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2E772" w14:textId="77777777" w:rsidR="00552479" w:rsidRPr="004B1DB5" w:rsidRDefault="00822FD9" w:rsidP="00DE0E30">
      <w:pPr>
        <w:jc w:val="center"/>
        <w:rPr>
          <w:rFonts w:ascii="Times New Roman" w:hAnsi="Times New Roman" w:cs="Times New Roman"/>
          <w:b/>
          <w:sz w:val="32"/>
          <w:szCs w:val="32"/>
        </w:rPr>
      </w:pPr>
      <w:r w:rsidRPr="004B1DB5">
        <w:rPr>
          <w:rFonts w:ascii="Times New Roman" w:hAnsi="Times New Roman" w:cs="Times New Roman"/>
          <w:b/>
          <w:sz w:val="32"/>
          <w:szCs w:val="32"/>
        </w:rPr>
        <w:t>Spatial distribution and demographic structure</w:t>
      </w:r>
      <w:r w:rsidR="00DE0E30" w:rsidRPr="004B1DB5">
        <w:rPr>
          <w:rFonts w:ascii="Times New Roman" w:hAnsi="Times New Roman" w:cs="Times New Roman"/>
          <w:b/>
          <w:sz w:val="32"/>
          <w:szCs w:val="32"/>
        </w:rPr>
        <w:t xml:space="preserve"> of </w:t>
      </w:r>
      <w:r w:rsidR="00DE0E30" w:rsidRPr="004B1DB5">
        <w:rPr>
          <w:rFonts w:ascii="Times New Roman" w:hAnsi="Times New Roman" w:cs="Times New Roman"/>
          <w:b/>
          <w:i/>
          <w:sz w:val="32"/>
          <w:szCs w:val="32"/>
        </w:rPr>
        <w:t>Pellonula leonensis</w:t>
      </w:r>
      <w:r w:rsidRPr="004B1DB5">
        <w:rPr>
          <w:rFonts w:ascii="Times New Roman" w:hAnsi="Times New Roman" w:cs="Times New Roman"/>
          <w:b/>
          <w:sz w:val="32"/>
          <w:szCs w:val="32"/>
        </w:rPr>
        <w:t xml:space="preserve"> Boulenger, 1916 (Clupeiforme</w:t>
      </w:r>
      <w:r w:rsidR="006B1ABE" w:rsidRPr="004B1DB5">
        <w:rPr>
          <w:rFonts w:ascii="Times New Roman" w:hAnsi="Times New Roman" w:cs="Times New Roman"/>
          <w:b/>
          <w:sz w:val="32"/>
          <w:szCs w:val="32"/>
        </w:rPr>
        <w:t>:</w:t>
      </w:r>
      <w:r w:rsidR="00DE0E30" w:rsidRPr="004B1DB5">
        <w:rPr>
          <w:rFonts w:ascii="Times New Roman" w:hAnsi="Times New Roman" w:cs="Times New Roman"/>
          <w:b/>
          <w:sz w:val="32"/>
          <w:szCs w:val="32"/>
        </w:rPr>
        <w:t xml:space="preserve"> Clupeidae) </w:t>
      </w:r>
      <w:r w:rsidRPr="004B1DB5">
        <w:rPr>
          <w:rFonts w:ascii="Times New Roman" w:hAnsi="Times New Roman" w:cs="Times New Roman"/>
          <w:b/>
          <w:sz w:val="32"/>
          <w:szCs w:val="32"/>
        </w:rPr>
        <w:t>across</w:t>
      </w:r>
      <w:r w:rsidR="00DE0E30" w:rsidRPr="004B1DB5">
        <w:rPr>
          <w:rFonts w:ascii="Times New Roman" w:hAnsi="Times New Roman" w:cs="Times New Roman"/>
          <w:b/>
          <w:sz w:val="32"/>
          <w:szCs w:val="32"/>
        </w:rPr>
        <w:t xml:space="preserve"> fishing zones of the Taabo Dam Lake</w:t>
      </w:r>
      <w:r w:rsidRPr="004B1DB5">
        <w:rPr>
          <w:rFonts w:ascii="Times New Roman" w:hAnsi="Times New Roman" w:cs="Times New Roman"/>
          <w:b/>
          <w:sz w:val="32"/>
          <w:szCs w:val="32"/>
        </w:rPr>
        <w:t>,</w:t>
      </w:r>
      <w:r w:rsidR="009B535E" w:rsidRPr="004B1DB5">
        <w:rPr>
          <w:rFonts w:ascii="Times New Roman" w:hAnsi="Times New Roman" w:cs="Times New Roman"/>
          <w:b/>
          <w:sz w:val="32"/>
          <w:szCs w:val="32"/>
        </w:rPr>
        <w:t xml:space="preserve"> Côte d’Ivoire</w:t>
      </w:r>
    </w:p>
    <w:p w14:paraId="1C75E259" w14:textId="77777777" w:rsidR="00EA3E5E" w:rsidRPr="004B1DB5" w:rsidRDefault="00EA3E5E" w:rsidP="00DE0E30">
      <w:pPr>
        <w:rPr>
          <w:rFonts w:ascii="Times New Roman" w:hAnsi="Times New Roman" w:cs="Times New Roman"/>
          <w:sz w:val="24"/>
          <w:szCs w:val="24"/>
        </w:rPr>
      </w:pPr>
    </w:p>
    <w:p w14:paraId="71793351" w14:textId="77777777" w:rsidR="00EA3E5E" w:rsidRPr="004B1DB5" w:rsidRDefault="00EA3E5E" w:rsidP="00EA3E5E">
      <w:pPr>
        <w:rPr>
          <w:rFonts w:ascii="Times New Roman" w:hAnsi="Times New Roman" w:cs="Times New Roman"/>
          <w:b/>
          <w:sz w:val="24"/>
          <w:szCs w:val="24"/>
        </w:rPr>
      </w:pPr>
      <w:r w:rsidRPr="004B1DB5">
        <w:rPr>
          <w:rFonts w:ascii="Times New Roman" w:hAnsi="Times New Roman" w:cs="Times New Roman"/>
          <w:b/>
          <w:sz w:val="24"/>
          <w:szCs w:val="24"/>
        </w:rPr>
        <w:t>ABSTRACT</w:t>
      </w:r>
    </w:p>
    <w:p w14:paraId="13D9607D" w14:textId="6FB1C0ED" w:rsidR="00EA3E5E" w:rsidRPr="004B1DB5" w:rsidRDefault="00356998" w:rsidP="00356998">
      <w:pPr>
        <w:pStyle w:val="pdq2pgselectionanchorcontainer"/>
      </w:pPr>
      <w:r>
        <w:t xml:space="preserve">Understanding spatial variation in the demographic structure of exploited fish populations is important for identifying areas where fishing pressure may affect recruitment and reproductive capacity. This study assessed the spatial distribution and demographic structure of </w:t>
      </w:r>
      <w:r>
        <w:rPr>
          <w:rStyle w:val="Emphasis"/>
        </w:rPr>
        <w:t>Pellonula leonensis</w:t>
      </w:r>
      <w:r>
        <w:t xml:space="preserve"> across seven fishing zones of the Taabo Dam Lake, Côte d’Ivoire. Commercial fishery landings were sampled monthly from August 2014 to July 2015, and 10,875 specimens were examined for standard length, sex, and maturity stage. Sampling locations and dates were recorded when fishing vessels unloaded their catches, enabling comparison of demographic indicators among the zones. Sex ratios varied significantly among zones, with females predominating at Courandjourou (1:4.63) and Antonio (1:2.01), whereas males predominated at Dike (1.68:1). Mature specimens were more abundant than immature individuals in most zones, although no significant difference was observed in the Islands area. Mature females accounted for 60.71% of catches at Courandjourou, 37.37% at Antonio, 34.48% at Islands, and 31.05% at Port. The proportion of specimens within the optimal size range was highest at Courandjourou (46.07%) and lowest at Dike (23.43%). Super-breeders were poorly represented across all zones, ranging from 2.27% at Antonio to 16.36% at Islands. These findings demonstrate marked spatial variation in sex ratio, maturity composition, and size structure across the reservoir. Continued monitoring incorporating seasonal conditions, environmental variables, and fishing effort is required to confirm these patterns and support the development of zone-specific management measures for the sustainable exploitation of </w:t>
      </w:r>
      <w:r>
        <w:rPr>
          <w:rStyle w:val="Emphasis"/>
        </w:rPr>
        <w:t>P. leonensis</w:t>
      </w:r>
      <w:r>
        <w:t xml:space="preserve"> in the Taabo Reservoir.</w:t>
      </w:r>
    </w:p>
    <w:p w14:paraId="155762F8" w14:textId="0514BB2B" w:rsidR="000969B7" w:rsidRPr="004B1DB5" w:rsidRDefault="000969B7" w:rsidP="000969B7">
      <w:pPr>
        <w:spacing w:before="60"/>
        <w:rPr>
          <w:rFonts w:ascii="Times New Roman" w:hAnsi="Times New Roman" w:cs="Times New Roman"/>
          <w:sz w:val="24"/>
          <w:szCs w:val="24"/>
        </w:rPr>
      </w:pPr>
      <w:r w:rsidRPr="004B1DB5">
        <w:rPr>
          <w:rFonts w:ascii="Times New Roman" w:hAnsi="Times New Roman" w:cs="Times New Roman"/>
          <w:b/>
          <w:bCs/>
          <w:iCs/>
          <w:sz w:val="24"/>
          <w:szCs w:val="24"/>
        </w:rPr>
        <w:t xml:space="preserve">Keywords: </w:t>
      </w:r>
      <w:r w:rsidR="004B1DB5">
        <w:rPr>
          <w:rStyle w:val="Emphasis"/>
        </w:rPr>
        <w:t>Pellonula leonensis</w:t>
      </w:r>
      <w:r w:rsidR="004B1DB5">
        <w:t>; Taabo Reservoir; demographic structure; spatial distribution; sex ratio; maturity stage; optimal size; super-breeders; inland fisheries; fishery management</w:t>
      </w:r>
    </w:p>
    <w:p w14:paraId="547C897A" w14:textId="77777777" w:rsidR="00D1410A" w:rsidRPr="004B1DB5" w:rsidRDefault="00D1410A" w:rsidP="00EA3E5E">
      <w:pPr>
        <w:rPr>
          <w:rFonts w:ascii="Times New Roman" w:hAnsi="Times New Roman" w:cs="Times New Roman"/>
          <w:b/>
          <w:sz w:val="24"/>
          <w:szCs w:val="24"/>
        </w:rPr>
      </w:pPr>
    </w:p>
    <w:p w14:paraId="48B2EECD" w14:textId="77777777" w:rsidR="001B0712" w:rsidRPr="004B1DB5" w:rsidRDefault="001B0712">
      <w:pPr>
        <w:rPr>
          <w:rFonts w:ascii="Times New Roman" w:hAnsi="Times New Roman" w:cs="Times New Roman"/>
          <w:b/>
          <w:sz w:val="24"/>
          <w:szCs w:val="24"/>
        </w:rPr>
      </w:pPr>
      <w:r w:rsidRPr="004B1DB5">
        <w:rPr>
          <w:rFonts w:ascii="Times New Roman" w:hAnsi="Times New Roman" w:cs="Times New Roman"/>
          <w:b/>
          <w:sz w:val="24"/>
          <w:szCs w:val="24"/>
        </w:rPr>
        <w:br w:type="page"/>
      </w:r>
    </w:p>
    <w:p w14:paraId="13801461" w14:textId="77777777" w:rsidR="00EA3E5E" w:rsidRPr="004B1DB5" w:rsidRDefault="00EA3E5E" w:rsidP="00EA3E5E">
      <w:pPr>
        <w:rPr>
          <w:rFonts w:ascii="Times New Roman" w:hAnsi="Times New Roman" w:cs="Times New Roman"/>
          <w:b/>
          <w:sz w:val="24"/>
          <w:szCs w:val="24"/>
        </w:rPr>
      </w:pPr>
      <w:r w:rsidRPr="004B1DB5">
        <w:rPr>
          <w:rFonts w:ascii="Times New Roman" w:hAnsi="Times New Roman" w:cs="Times New Roman"/>
          <w:b/>
          <w:sz w:val="24"/>
          <w:szCs w:val="24"/>
        </w:rPr>
        <w:lastRenderedPageBreak/>
        <w:t xml:space="preserve">INTRODUCTION </w:t>
      </w:r>
    </w:p>
    <w:p w14:paraId="339A81EA" w14:textId="77777777" w:rsidR="00242319" w:rsidRPr="004B1DB5" w:rsidRDefault="00EA3E5E" w:rsidP="00242319">
      <w:pPr>
        <w:spacing w:after="0" w:line="360" w:lineRule="auto"/>
        <w:jc w:val="both"/>
        <w:rPr>
          <w:rFonts w:ascii="Times New Roman" w:hAnsi="Times New Roman" w:cs="Times New Roman"/>
          <w:sz w:val="24"/>
          <w:szCs w:val="24"/>
        </w:rPr>
      </w:pPr>
      <w:r w:rsidRPr="004B1DB5">
        <w:rPr>
          <w:rFonts w:ascii="Times New Roman" w:hAnsi="Times New Roman" w:cs="Times New Roman"/>
          <w:sz w:val="24"/>
          <w:szCs w:val="24"/>
        </w:rPr>
        <w:t xml:space="preserve">Inland fisheries in sub-Saharan Africa play a vital role in food security and provide an important source of animal protein. In this region, more than 30% of people rely on fish as their main source of animal protein and essential micronutrients (Muringai et al., 2022). Within these fisheries, small pelagic fishes play vital socioeconomic and nutritional roles for many rural communities living along rivers and lakes (Kolding et al., 2019). However, their capacity to meet growing food needs is increasingly threatened by overfishing, habitat degradation, illegal fishing, and the effects of climate change (Maulu et al., 2024). Given these challenges, a thorough understanding of the biology and ecology of exploited species is essential for the sustainable management of fishery resources. </w:t>
      </w:r>
      <w:r w:rsidRPr="004B1DB5">
        <w:rPr>
          <w:rFonts w:ascii="Times New Roman" w:eastAsia="Times New Roman" w:hAnsi="Times New Roman"/>
          <w:bCs/>
          <w:sz w:val="24"/>
        </w:rPr>
        <w:t>Recent syntheses indicate that small pelagic fishes can undergo marked shifts in abundance and distribution over multiple timescales, reinforcing the need for sustained monitoring and ecosystem-based management (Peck et al., 2024).</w:t>
      </w:r>
    </w:p>
    <w:p w14:paraId="4976BC15" w14:textId="77777777" w:rsidR="00242319" w:rsidRPr="004B1DB5" w:rsidRDefault="00FA563A" w:rsidP="001B0712">
      <w:pPr>
        <w:spacing w:after="0" w:line="360" w:lineRule="auto"/>
        <w:jc w:val="both"/>
        <w:rPr>
          <w:rFonts w:ascii="Times New Roman" w:hAnsi="Times New Roman" w:cs="Times New Roman"/>
          <w:sz w:val="24"/>
          <w:szCs w:val="24"/>
        </w:rPr>
      </w:pPr>
      <w:r w:rsidRPr="004B1DB5">
        <w:rPr>
          <w:rFonts w:ascii="Times New Roman" w:hAnsi="Times New Roman" w:cs="Times New Roman"/>
          <w:sz w:val="24"/>
          <w:szCs w:val="24"/>
        </w:rPr>
        <w:t>In the context of sustainable management, understanding the factors that determine fish behaviour and spatial distribution represents a major scientific challenge. Throughout their development, fish must balance the fulfilment of their vital needs with adaptation to changes in their environment. According to Sor et al. (2024), hydrological regimes exert a decisive influence on this behaviour. The magnitude, timing, and rate of changes in flow are key factors determining access to habitats, reproductive success, and the migratory movements of fish populations (Sor et al., 2024). These variations act both as physiological signals that trigger migration to spawning grounds and as physical mechanisms that enable individuals to access newly flooded areas and exploit new food resources (Pratt et al., 2023; Waltham &amp; Sheaves, 2026). These hydrological dynamics are particularly important in highly modified dam lakes, where artificial regulation of water levels profoundly alters natural habitat conditions. In these West African lake environments, fishes of the family Clupeidae occupy a distinct ecological and economic niche (Kouamé et al., 2006). According to Waltham and Sheaves (2026), the spatial distribution of these pelagic species is influenced by multiple environmental factors, including temperature, turbidity, and hydrological connectivity. These hydrodynamic changes can create new ecological niches and functionally fragment the lake environment. Consequently, fish redistribute themselves within the lake according to their specific biological needs at each stage of development (Jackson et al., 2001; Agostinho et al., 2016).</w:t>
      </w:r>
      <w:r w:rsidRPr="004B1DB5">
        <w:rPr>
          <w:rFonts w:ascii="Times New Roman" w:eastAsia="Times New Roman" w:hAnsi="Times New Roman"/>
          <w:sz w:val="24"/>
        </w:rPr>
        <w:t xml:space="preserve"> Reservoir assessments have also demonstrated spatial variation in fish-community composition among sampling zones and in relation to environmental conditions, </w:t>
      </w:r>
      <w:r w:rsidRPr="004B1DB5">
        <w:rPr>
          <w:rFonts w:ascii="Times New Roman" w:eastAsia="Times New Roman" w:hAnsi="Times New Roman"/>
          <w:sz w:val="24"/>
        </w:rPr>
        <w:lastRenderedPageBreak/>
        <w:t>supporting zone-specific evaluation rather than reliance on reservoir-wide averages (Herawati et al., 2022; Thakur et al., 2025).</w:t>
      </w:r>
    </w:p>
    <w:p w14:paraId="6B1A55CE" w14:textId="77777777" w:rsidR="00242319" w:rsidRPr="004B1DB5" w:rsidRDefault="00FA563A" w:rsidP="001B0712">
      <w:pPr>
        <w:spacing w:after="0" w:line="360" w:lineRule="auto"/>
        <w:jc w:val="both"/>
        <w:rPr>
          <w:rFonts w:ascii="Times New Roman" w:hAnsi="Times New Roman" w:cs="Times New Roman"/>
          <w:sz w:val="24"/>
          <w:szCs w:val="24"/>
        </w:rPr>
      </w:pPr>
      <w:r w:rsidRPr="004B1DB5">
        <w:rPr>
          <w:rFonts w:ascii="Times New Roman" w:hAnsi="Times New Roman" w:cs="Times New Roman"/>
          <w:sz w:val="24"/>
          <w:szCs w:val="24"/>
        </w:rPr>
        <w:t xml:space="preserve">Studies conducted in the Ebrié Lagoon revealed a clear preference by </w:t>
      </w:r>
      <w:r w:rsidRPr="004B1DB5">
        <w:rPr>
          <w:rFonts w:ascii="Times New Roman" w:hAnsi="Times New Roman" w:cs="Times New Roman"/>
          <w:i/>
          <w:iCs/>
          <w:sz w:val="24"/>
          <w:szCs w:val="24"/>
        </w:rPr>
        <w:t>Ethmalosa fimbriata</w:t>
      </w:r>
      <w:r w:rsidRPr="004B1DB5">
        <w:rPr>
          <w:rFonts w:ascii="Times New Roman" w:hAnsi="Times New Roman" w:cs="Times New Roman"/>
          <w:sz w:val="24"/>
          <w:szCs w:val="24"/>
        </w:rPr>
        <w:t xml:space="preserve"> (Bowdich, 1825) for certain lagoon areas, associated with salinity gradients and seasonal river inflows (Albaret &amp; Écoutin, 1989). Similarly, investigations on the Ivorian-Ghanaian continental shelf revealed marked spatial variation in the distribution and abundance of pelagic fishes in relation to local upwelling conditions, highlighting the importance of spatiotemporal factors in structuring these populations (Marchal &amp; Picaut, 1977). Although the overall adaptation of Clupeidae to dam-affected lake environments is well documented (Gourène et al., 1999; Kolding et al., 2019), most scientific research has traditionally focused on the effects of physicochemical fluctuations in the water or on overall changes in biomass (Vanden Bossche &amp; Bernacsek, 1990; Adou et al., 2017). However, a species population within a reservoir does not form a homogeneous unit; rather, it is divided into demographic subunits. Studies mapping the internal spatial microdistribution of populations using intrinsic indicators, such as sexual maturity and sex distribution, remain rare (Welcomme, 2001; Agostinho et al., 2016). Consequently, a clear knowledge gap remains regarding how </w:t>
      </w:r>
      <w:r w:rsidRPr="004B1DB5">
        <w:rPr>
          <w:rFonts w:ascii="Times New Roman" w:hAnsi="Times New Roman" w:cs="Times New Roman"/>
          <w:i/>
          <w:iCs/>
          <w:sz w:val="24"/>
          <w:szCs w:val="24"/>
        </w:rPr>
        <w:t>P. leonensis</w:t>
      </w:r>
      <w:r w:rsidRPr="004B1DB5">
        <w:rPr>
          <w:rFonts w:ascii="Times New Roman" w:hAnsi="Times New Roman" w:cs="Times New Roman"/>
          <w:sz w:val="24"/>
          <w:szCs w:val="24"/>
        </w:rPr>
        <w:t xml:space="preserve"> populations, including immature and adult individuals, are distributed among the fishing areas of a single reservoir throughout the reproductive cycle.</w:t>
      </w:r>
      <w:r w:rsidRPr="004B1DB5">
        <w:rPr>
          <w:rFonts w:ascii="Times New Roman" w:eastAsia="Times New Roman" w:hAnsi="Times New Roman"/>
          <w:sz w:val="24"/>
        </w:rPr>
        <w:t xml:space="preserve"> Recent West African studies further show that size structure and population-dynamic indicators can provide practical evidence for evaluating the exploitation status of pelagic fish stocks in data-limited fisheries (Coulibaly et al., 2024; Sidibeh et al., 2024).</w:t>
      </w:r>
    </w:p>
    <w:p w14:paraId="6C5ABA6B" w14:textId="77777777" w:rsidR="00242319" w:rsidRPr="004B1DB5" w:rsidRDefault="00FA563A" w:rsidP="00242319">
      <w:pPr>
        <w:spacing w:after="0" w:line="360" w:lineRule="auto"/>
        <w:ind w:firstLine="720"/>
        <w:jc w:val="both"/>
        <w:rPr>
          <w:rFonts w:ascii="Times New Roman" w:hAnsi="Times New Roman" w:cs="Times New Roman"/>
          <w:sz w:val="24"/>
          <w:szCs w:val="24"/>
        </w:rPr>
      </w:pPr>
      <w:r w:rsidRPr="004B1DB5">
        <w:rPr>
          <w:rFonts w:ascii="Times New Roman" w:hAnsi="Times New Roman" w:cs="Times New Roman"/>
          <w:sz w:val="24"/>
          <w:szCs w:val="24"/>
        </w:rPr>
        <w:t>Understanding this asymmetric demographic distribution is, however, crucial to the sustainability of the resource. The localised concentration of immature individuals or mature spawners exposes the species to the risk of targeted overexploitation by non-selective artisanal fishing gear, such as purse seines or small-mesh nets (Arizi et al., 2022; Kolding et al., 2019). The absence of maps identifying these critical areas hinders the implementation of effective spatiotemporal management measures, which are essential for preserving stock recruitment (Cochrane &amp; Garcia, 2009).</w:t>
      </w:r>
    </w:p>
    <w:p w14:paraId="6FAE7B00" w14:textId="77777777" w:rsidR="00FA563A" w:rsidRPr="004B1DB5" w:rsidRDefault="00FA563A" w:rsidP="00242319">
      <w:pPr>
        <w:spacing w:line="360" w:lineRule="auto"/>
        <w:ind w:firstLine="720"/>
        <w:jc w:val="both"/>
        <w:rPr>
          <w:rFonts w:ascii="Times New Roman" w:hAnsi="Times New Roman" w:cs="Times New Roman"/>
          <w:sz w:val="24"/>
          <w:szCs w:val="24"/>
        </w:rPr>
      </w:pPr>
      <w:r w:rsidRPr="004B1DB5">
        <w:rPr>
          <w:rFonts w:ascii="Times New Roman" w:hAnsi="Times New Roman" w:cs="Times New Roman"/>
          <w:sz w:val="24"/>
          <w:szCs w:val="24"/>
        </w:rPr>
        <w:t xml:space="preserve">To address this scientific gap, this study aimed to analyse the population of </w:t>
      </w:r>
      <w:r w:rsidRPr="004B1DB5">
        <w:rPr>
          <w:rFonts w:ascii="Times New Roman" w:hAnsi="Times New Roman" w:cs="Times New Roman"/>
          <w:i/>
          <w:iCs/>
          <w:sz w:val="24"/>
          <w:szCs w:val="24"/>
        </w:rPr>
        <w:t>P. leonensis</w:t>
      </w:r>
      <w:r w:rsidRPr="004B1DB5">
        <w:rPr>
          <w:rFonts w:ascii="Times New Roman" w:hAnsi="Times New Roman" w:cs="Times New Roman"/>
          <w:sz w:val="24"/>
          <w:szCs w:val="24"/>
        </w:rPr>
        <w:t xml:space="preserve"> across the fishing areas of Taabo Dam Lake using several biological indicators.</w:t>
      </w:r>
    </w:p>
    <w:p w14:paraId="13B1B101" w14:textId="77777777" w:rsidR="003C67EE" w:rsidRPr="004B1DB5" w:rsidRDefault="003C67EE" w:rsidP="00EA3E5E">
      <w:pPr>
        <w:rPr>
          <w:rFonts w:ascii="Times New Roman" w:hAnsi="Times New Roman" w:cs="Times New Roman"/>
          <w:b/>
          <w:sz w:val="24"/>
          <w:szCs w:val="24"/>
        </w:rPr>
      </w:pPr>
      <w:r w:rsidRPr="004B1DB5">
        <w:rPr>
          <w:rFonts w:ascii="Times New Roman" w:hAnsi="Times New Roman" w:cs="Times New Roman"/>
          <w:b/>
          <w:sz w:val="24"/>
          <w:szCs w:val="24"/>
        </w:rPr>
        <w:t>2-Materials and Methods</w:t>
      </w:r>
    </w:p>
    <w:p w14:paraId="22E02C89" w14:textId="77777777" w:rsidR="00B138FB" w:rsidRPr="004B1DB5" w:rsidRDefault="00B138FB" w:rsidP="00EA3E5E">
      <w:pPr>
        <w:rPr>
          <w:rFonts w:ascii="Times New Roman" w:hAnsi="Times New Roman" w:cs="Times New Roman"/>
          <w:b/>
          <w:sz w:val="24"/>
          <w:szCs w:val="24"/>
        </w:rPr>
      </w:pPr>
      <w:r w:rsidRPr="004B1DB5">
        <w:rPr>
          <w:rFonts w:ascii="Times New Roman" w:hAnsi="Times New Roman" w:cs="Times New Roman"/>
          <w:b/>
          <w:sz w:val="24"/>
          <w:szCs w:val="24"/>
        </w:rPr>
        <w:t>2.1-Fish sampling</w:t>
      </w:r>
    </w:p>
    <w:p w14:paraId="0D194DF4" w14:textId="77777777" w:rsidR="00191838" w:rsidRPr="004B1DB5" w:rsidRDefault="00755A02" w:rsidP="00191838">
      <w:pPr>
        <w:pStyle w:val="NormalWeb"/>
        <w:spacing w:line="360" w:lineRule="auto"/>
        <w:jc w:val="both"/>
      </w:pPr>
      <w:r w:rsidRPr="004B1DB5">
        <w:lastRenderedPageBreak/>
        <w:t xml:space="preserve">Specimens of </w:t>
      </w:r>
      <w:r w:rsidRPr="004B1DB5">
        <w:rPr>
          <w:i/>
          <w:iCs/>
        </w:rPr>
        <w:t>P. leonensis</w:t>
      </w:r>
      <w:r w:rsidRPr="004B1DB5">
        <w:t xml:space="preserve"> were obtained from commercial fisheries. After </w:t>
      </w:r>
      <w:r w:rsidRPr="004B1DB5">
        <w:rPr>
          <w:i/>
          <w:iCs/>
        </w:rPr>
        <w:t>P. leonensis</w:t>
      </w:r>
      <w:r w:rsidRPr="004B1DB5">
        <w:t xml:space="preserve"> were landed at the Taabo Village landing site, specimens were collected from the fishers’ catches. The samples were collected daily and stored in pill boxes containing a 10% formaldehyde solution. The catch area for each specimen was recorded on the pill box, after which the specimens were transferred to the laboratory. In the laboratory, standard length, sex, and maturity stage were determined, recorded in a logbook, and entered into an Excel spreadsheet.</w:t>
      </w:r>
    </w:p>
    <w:p w14:paraId="1ED03660" w14:textId="77777777" w:rsidR="00B138FB" w:rsidRPr="004B1DB5" w:rsidRDefault="00B138FB" w:rsidP="00755A02">
      <w:pPr>
        <w:spacing w:line="360" w:lineRule="auto"/>
        <w:rPr>
          <w:rFonts w:ascii="Times New Roman" w:hAnsi="Times New Roman" w:cs="Times New Roman"/>
          <w:sz w:val="24"/>
          <w:szCs w:val="24"/>
        </w:rPr>
      </w:pPr>
    </w:p>
    <w:p w14:paraId="34C2C536" w14:textId="77777777" w:rsidR="003C67EE" w:rsidRPr="004B1DB5" w:rsidRDefault="003C67EE" w:rsidP="00EA3E5E">
      <w:pPr>
        <w:rPr>
          <w:rFonts w:ascii="Times New Roman" w:hAnsi="Times New Roman" w:cs="Times New Roman"/>
          <w:b/>
          <w:sz w:val="24"/>
          <w:szCs w:val="24"/>
        </w:rPr>
      </w:pPr>
      <w:r w:rsidRPr="004B1DB5">
        <w:rPr>
          <w:rFonts w:ascii="Times New Roman" w:hAnsi="Times New Roman" w:cs="Times New Roman"/>
          <w:b/>
          <w:sz w:val="24"/>
          <w:szCs w:val="24"/>
        </w:rPr>
        <w:t>2.</w:t>
      </w:r>
      <w:r w:rsidR="00B138FB" w:rsidRPr="004B1DB5">
        <w:rPr>
          <w:rFonts w:ascii="Times New Roman" w:hAnsi="Times New Roman" w:cs="Times New Roman"/>
          <w:b/>
          <w:sz w:val="24"/>
          <w:szCs w:val="24"/>
        </w:rPr>
        <w:t>2</w:t>
      </w:r>
      <w:r w:rsidRPr="004B1DB5">
        <w:rPr>
          <w:rFonts w:ascii="Times New Roman" w:hAnsi="Times New Roman" w:cs="Times New Roman"/>
          <w:b/>
          <w:sz w:val="24"/>
          <w:szCs w:val="24"/>
        </w:rPr>
        <w:t>-Mapping of Fishing areas</w:t>
      </w:r>
    </w:p>
    <w:p w14:paraId="2F147545" w14:textId="77777777" w:rsidR="003C67EE" w:rsidRPr="004B1DB5" w:rsidRDefault="003C67EE" w:rsidP="003C67EE">
      <w:pPr>
        <w:spacing w:line="360" w:lineRule="auto"/>
        <w:jc w:val="both"/>
        <w:rPr>
          <w:rFonts w:ascii="Times New Roman" w:eastAsia="Times New Roman" w:hAnsi="Times New Roman" w:cs="Times New Roman"/>
          <w:sz w:val="24"/>
          <w:szCs w:val="24"/>
        </w:rPr>
      </w:pPr>
      <w:r w:rsidRPr="004B1DB5">
        <w:rPr>
          <w:rFonts w:ascii="Times New Roman" w:eastAsia="Times New Roman" w:hAnsi="Times New Roman" w:cs="Times New Roman"/>
          <w:sz w:val="24"/>
          <w:szCs w:val="24"/>
        </w:rPr>
        <w:t xml:space="preserve">Fishing areas were identified in consultation with local fishers and georeferenced using a Garmin GPS device and ArcGIS software. The GPS coordinates were imported into ArcGIS with the Bd Géo 200 geographic database to generate zone-specific polygons. The spatial overlay of these polygons was then used to produce a cartographic representation of the </w:t>
      </w:r>
      <w:r w:rsidRPr="004B1DB5">
        <w:rPr>
          <w:rFonts w:ascii="Times New Roman" w:eastAsia="Times New Roman" w:hAnsi="Times New Roman" w:cs="Times New Roman"/>
          <w:i/>
          <w:iCs/>
          <w:sz w:val="24"/>
          <w:szCs w:val="24"/>
        </w:rPr>
        <w:t>P. leonensis</w:t>
      </w:r>
      <w:r w:rsidRPr="004B1DB5">
        <w:rPr>
          <w:rFonts w:ascii="Times New Roman" w:eastAsia="Times New Roman" w:hAnsi="Times New Roman" w:cs="Times New Roman"/>
          <w:sz w:val="24"/>
          <w:szCs w:val="24"/>
        </w:rPr>
        <w:t xml:space="preserve"> fishing areas in the Taabo Reservoir.</w:t>
      </w:r>
    </w:p>
    <w:p w14:paraId="3EE3AAF0" w14:textId="77777777" w:rsidR="003C67EE" w:rsidRPr="004B1DB5" w:rsidRDefault="003C67EE" w:rsidP="003C67EE">
      <w:pPr>
        <w:spacing w:line="360" w:lineRule="auto"/>
        <w:jc w:val="both"/>
        <w:rPr>
          <w:rFonts w:ascii="Times New Roman" w:eastAsia="Times New Roman" w:hAnsi="Times New Roman" w:cs="Times New Roman"/>
          <w:b/>
          <w:sz w:val="24"/>
          <w:szCs w:val="24"/>
        </w:rPr>
      </w:pPr>
      <w:r w:rsidRPr="004B1DB5">
        <w:rPr>
          <w:rFonts w:ascii="Times New Roman" w:eastAsia="Times New Roman" w:hAnsi="Times New Roman" w:cs="Times New Roman"/>
          <w:b/>
          <w:sz w:val="24"/>
          <w:szCs w:val="24"/>
        </w:rPr>
        <w:t>2.</w:t>
      </w:r>
      <w:r w:rsidR="00B138FB" w:rsidRPr="004B1DB5">
        <w:rPr>
          <w:rFonts w:ascii="Times New Roman" w:eastAsia="Times New Roman" w:hAnsi="Times New Roman" w:cs="Times New Roman"/>
          <w:b/>
          <w:sz w:val="24"/>
          <w:szCs w:val="24"/>
        </w:rPr>
        <w:t>3</w:t>
      </w:r>
      <w:r w:rsidRPr="004B1DB5">
        <w:rPr>
          <w:rFonts w:ascii="Times New Roman" w:eastAsia="Times New Roman" w:hAnsi="Times New Roman" w:cs="Times New Roman"/>
          <w:b/>
          <w:sz w:val="24"/>
          <w:szCs w:val="24"/>
        </w:rPr>
        <w:t>-Determination of sex Ratio</w:t>
      </w:r>
    </w:p>
    <w:p w14:paraId="3F218EFB" w14:textId="77777777" w:rsidR="003C67EE" w:rsidRPr="004B1DB5" w:rsidRDefault="003C67EE" w:rsidP="003C67EE">
      <w:pPr>
        <w:spacing w:before="60" w:after="80" w:line="276" w:lineRule="auto"/>
        <w:jc w:val="both"/>
      </w:pPr>
      <w:r w:rsidRPr="004B1DB5">
        <w:rPr>
          <w:rFonts w:ascii="Times New Roman" w:eastAsia="Times New Roman" w:hAnsi="Times New Roman" w:cs="Times New Roman"/>
        </w:rPr>
        <w:t>At a given time, the sex ratio was defined as the ratio of the number of males to the number of females (Kartas &amp; Quignard, 1984):</w:t>
      </w:r>
    </w:p>
    <w:p w14:paraId="05770C34" w14:textId="77777777" w:rsidR="003C67EE" w:rsidRPr="004B1DB5" w:rsidRDefault="003C67EE" w:rsidP="003C67EE">
      <w:pPr>
        <w:spacing w:line="360" w:lineRule="auto"/>
        <w:jc w:val="both"/>
        <w:rPr>
          <w:rFonts w:ascii="Times New Roman" w:hAnsi="Times New Roman" w:cs="Times New Roman"/>
          <w:b/>
          <w:sz w:val="24"/>
          <w:szCs w:val="24"/>
        </w:rPr>
      </w:pPr>
      <m:oMathPara>
        <m:oMath>
          <m:r>
            <w:rPr>
              <w:rFonts w:ascii="Cambria Math" w:hAnsi="Cambria Math" w:cs="Times New Roman"/>
              <w:sz w:val="24"/>
              <w:szCs w:val="24"/>
            </w:rPr>
            <m:t>SR=M/F</m:t>
          </m:r>
        </m:oMath>
      </m:oMathPara>
    </w:p>
    <w:p w14:paraId="431BD246" w14:textId="77777777" w:rsidR="0099280F" w:rsidRPr="004B1DB5" w:rsidRDefault="00C724A6" w:rsidP="003C67EE">
      <w:pPr>
        <w:spacing w:line="360" w:lineRule="auto"/>
        <w:jc w:val="both"/>
        <w:rPr>
          <w:rFonts w:ascii="Times New Roman" w:hAnsi="Times New Roman" w:cs="Times New Roman"/>
          <w:sz w:val="24"/>
          <w:szCs w:val="24"/>
        </w:rPr>
      </w:pPr>
      <w:r w:rsidRPr="004B1DB5">
        <w:rPr>
          <w:rFonts w:ascii="Times New Roman" w:hAnsi="Times New Roman" w:cs="Times New Roman"/>
          <w:sz w:val="24"/>
          <w:szCs w:val="24"/>
        </w:rPr>
        <w:t>With : SR = sex-ratio ; M = male ; F = female</w:t>
      </w:r>
    </w:p>
    <w:p w14:paraId="1D5EA7CA" w14:textId="77777777" w:rsidR="003C67EE" w:rsidRPr="004B1DB5" w:rsidRDefault="003C67EE" w:rsidP="003C67EE">
      <w:pPr>
        <w:spacing w:line="360" w:lineRule="auto"/>
        <w:jc w:val="both"/>
        <w:rPr>
          <w:rFonts w:ascii="Times New Roman" w:hAnsi="Times New Roman" w:cs="Times New Roman"/>
          <w:b/>
          <w:sz w:val="24"/>
          <w:szCs w:val="24"/>
        </w:rPr>
      </w:pPr>
      <w:r w:rsidRPr="004B1DB5">
        <w:rPr>
          <w:rFonts w:ascii="Times New Roman" w:hAnsi="Times New Roman" w:cs="Times New Roman"/>
          <w:b/>
          <w:sz w:val="24"/>
          <w:szCs w:val="24"/>
        </w:rPr>
        <w:t>2.</w:t>
      </w:r>
      <w:r w:rsidR="00B138FB" w:rsidRPr="004B1DB5">
        <w:rPr>
          <w:rFonts w:ascii="Times New Roman" w:hAnsi="Times New Roman" w:cs="Times New Roman"/>
          <w:b/>
          <w:sz w:val="24"/>
          <w:szCs w:val="24"/>
        </w:rPr>
        <w:t>4</w:t>
      </w:r>
      <w:r w:rsidRPr="004B1DB5">
        <w:rPr>
          <w:rFonts w:ascii="Times New Roman" w:hAnsi="Times New Roman" w:cs="Times New Roman"/>
          <w:b/>
          <w:sz w:val="24"/>
          <w:szCs w:val="24"/>
        </w:rPr>
        <w:t>-Analysis of stock fringes in fishing areas</w:t>
      </w:r>
    </w:p>
    <w:p w14:paraId="5357BA7C" w14:textId="77777777" w:rsidR="003C67EE" w:rsidRPr="004B1DB5" w:rsidRDefault="003C67EE" w:rsidP="003C67EE">
      <w:pPr>
        <w:spacing w:line="360" w:lineRule="auto"/>
        <w:jc w:val="both"/>
        <w:rPr>
          <w:rFonts w:ascii="Times New Roman" w:eastAsia="Times New Roman" w:hAnsi="Times New Roman" w:cs="Times New Roman"/>
        </w:rPr>
      </w:pPr>
      <w:r w:rsidRPr="004B1DB5">
        <w:rPr>
          <w:rFonts w:ascii="Times New Roman" w:eastAsia="Times New Roman" w:hAnsi="Times New Roman" w:cs="Times New Roman"/>
        </w:rPr>
        <w:t>In this study, 10,875 specimens were analysed to characterise the demographic composition of exploited stocks. Individuals were grouped according to sex and maturity stage. Fish of both sexes at stages I and II were classified as immature, whereas those at stages III, IV, and V were classified as mature.</w:t>
      </w:r>
    </w:p>
    <w:p w14:paraId="679A1989" w14:textId="77777777" w:rsidR="003C67EE" w:rsidRPr="004B1DB5" w:rsidRDefault="003C67EE" w:rsidP="003C67EE">
      <w:pPr>
        <w:spacing w:before="60" w:after="80" w:line="276" w:lineRule="auto"/>
        <w:jc w:val="both"/>
        <w:rPr>
          <w:rFonts w:ascii="Times New Roman" w:eastAsia="Times New Roman" w:hAnsi="Times New Roman" w:cs="Times New Roman"/>
          <w:b/>
          <w:sz w:val="24"/>
          <w:szCs w:val="24"/>
        </w:rPr>
      </w:pPr>
      <w:r w:rsidRPr="004B1DB5">
        <w:rPr>
          <w:rFonts w:ascii="Times New Roman" w:eastAsia="Times New Roman" w:hAnsi="Times New Roman" w:cs="Times New Roman"/>
          <w:b/>
          <w:sz w:val="24"/>
          <w:szCs w:val="24"/>
        </w:rPr>
        <w:t>2.</w:t>
      </w:r>
      <w:r w:rsidR="00B138FB" w:rsidRPr="004B1DB5">
        <w:rPr>
          <w:rFonts w:ascii="Times New Roman" w:eastAsia="Times New Roman" w:hAnsi="Times New Roman" w:cs="Times New Roman"/>
          <w:b/>
          <w:sz w:val="24"/>
          <w:szCs w:val="24"/>
        </w:rPr>
        <w:t>5</w:t>
      </w:r>
      <w:r w:rsidRPr="004B1DB5">
        <w:rPr>
          <w:rFonts w:ascii="Times New Roman" w:eastAsia="Times New Roman" w:hAnsi="Times New Roman" w:cs="Times New Roman"/>
          <w:b/>
          <w:sz w:val="24"/>
          <w:szCs w:val="24"/>
        </w:rPr>
        <w:t>-Fish at optimal size (Lopt)</w:t>
      </w:r>
    </w:p>
    <w:p w14:paraId="1DD28B97" w14:textId="77777777" w:rsidR="003C67EE" w:rsidRPr="004B1DB5" w:rsidRDefault="00820064" w:rsidP="003A3C34">
      <w:pPr>
        <w:spacing w:before="60" w:after="80" w:line="360" w:lineRule="auto"/>
        <w:jc w:val="both"/>
        <w:rPr>
          <w:rFonts w:ascii="Times New Roman" w:eastAsia="Times New Roman" w:hAnsi="Times New Roman" w:cs="Times New Roman"/>
          <w:sz w:val="24"/>
          <w:szCs w:val="24"/>
        </w:rPr>
      </w:pPr>
      <w:r w:rsidRPr="004B1DB5">
        <w:rPr>
          <w:rFonts w:ascii="Times New Roman" w:hAnsi="Times New Roman" w:cs="Times New Roman"/>
          <w:sz w:val="24"/>
          <w:szCs w:val="24"/>
        </w:rPr>
        <w:t>The optimal catch size (Lopt) corresponds to the size at which the biomass of a cohort reaches its theoretical maximum in a population subject to constant natural mortality, before losses due to natural mortality exceed biomass gains through growth</w:t>
      </w:r>
      <w:r w:rsidRPr="004B1DB5">
        <w:rPr>
          <w:rFonts w:ascii="Times New Roman" w:eastAsia="Times New Roman" w:hAnsi="Times New Roman" w:cs="Times New Roman"/>
          <w:sz w:val="24"/>
          <w:szCs w:val="24"/>
        </w:rPr>
        <w:t>. It was calculated using the formula proposed by Froese and Binohlan (2000):</w:t>
      </w:r>
    </w:p>
    <w:p w14:paraId="3141EC22" w14:textId="77777777" w:rsidR="003A3C34" w:rsidRPr="004B1DB5" w:rsidRDefault="003A3C34" w:rsidP="003A3C34">
      <w:pPr>
        <w:spacing w:before="60" w:after="80" w:line="360" w:lineRule="auto"/>
        <w:jc w:val="both"/>
        <w:rPr>
          <w:sz w:val="24"/>
          <w:szCs w:val="24"/>
        </w:rPr>
      </w:pPr>
      <m:oMathPara>
        <m:oMath>
          <m:r>
            <w:rPr>
              <w:rFonts w:ascii="Cambria Math" w:hAnsi="Cambria Math"/>
              <w:sz w:val="24"/>
              <w:szCs w:val="24"/>
            </w:rPr>
            <w:lastRenderedPageBreak/>
            <m:t>Lopt=L∞ [</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3+</m:t>
              </m:r>
              <m:f>
                <m:fPr>
                  <m:ctrlPr>
                    <w:rPr>
                      <w:rFonts w:ascii="Cambria Math" w:hAnsi="Cambria Math"/>
                      <w:i/>
                      <w:sz w:val="24"/>
                      <w:szCs w:val="24"/>
                    </w:rPr>
                  </m:ctrlPr>
                </m:fPr>
                <m:num>
                  <m:r>
                    <w:rPr>
                      <w:rFonts w:ascii="Cambria Math" w:hAnsi="Cambria Math"/>
                      <w:sz w:val="24"/>
                      <w:szCs w:val="24"/>
                    </w:rPr>
                    <m:t>M</m:t>
                  </m:r>
                </m:num>
                <m:den>
                  <m:r>
                    <w:rPr>
                      <w:rFonts w:ascii="Cambria Math" w:hAnsi="Cambria Math"/>
                      <w:sz w:val="24"/>
                      <w:szCs w:val="24"/>
                    </w:rPr>
                    <m:t>K</m:t>
                  </m:r>
                </m:den>
              </m:f>
            </m:den>
          </m:f>
          <m:r>
            <w:rPr>
              <w:rFonts w:ascii="Cambria Math" w:hAnsi="Cambria Math"/>
              <w:sz w:val="24"/>
              <w:szCs w:val="24"/>
            </w:rPr>
            <m:t>]</m:t>
          </m:r>
        </m:oMath>
      </m:oMathPara>
    </w:p>
    <w:p w14:paraId="490CAABE" w14:textId="77777777" w:rsidR="00E041D1" w:rsidRPr="004B1DB5" w:rsidRDefault="00820064" w:rsidP="00E041D1">
      <w:pPr>
        <w:pStyle w:val="NormalWeb"/>
        <w:spacing w:after="0" w:afterAutospacing="0" w:line="360" w:lineRule="auto"/>
        <w:jc w:val="both"/>
      </w:pPr>
      <w:r w:rsidRPr="004B1DB5">
        <w:t xml:space="preserve">With : </w:t>
      </w:r>
      <w:r w:rsidR="00E041D1" w:rsidRPr="004B1DB5">
        <w:t xml:space="preserve">K = von Bertalanffy (1938) growth coefficient ; </w:t>
      </w:r>
      <w:r w:rsidRPr="004B1DB5">
        <w:t>L∞ = asymptotic length (mm), estimated by fitting the von Bertalanffy model to size-frequency data</w:t>
      </w:r>
      <w:r w:rsidR="00E041D1" w:rsidRPr="004B1DB5">
        <w:t xml:space="preserve"> and M = natural mortality coefficient (year⁻¹) calculated using Pauly’s methods (1980, 1984) via FiSAT II (Gayanilo et al., 2005)</w:t>
      </w:r>
    </w:p>
    <w:p w14:paraId="05FF256D" w14:textId="77777777" w:rsidR="003C67EE" w:rsidRPr="004B1DB5" w:rsidRDefault="003A3C34" w:rsidP="00E041D1">
      <w:pPr>
        <w:spacing w:before="40" w:after="0" w:line="360" w:lineRule="auto"/>
        <w:jc w:val="both"/>
        <w:rPr>
          <w:sz w:val="24"/>
          <w:szCs w:val="24"/>
        </w:rPr>
      </w:pPr>
      <w:r w:rsidRPr="004B1DB5">
        <w:rPr>
          <w:rFonts w:ascii="Times New Roman" w:eastAsia="Times New Roman" w:hAnsi="Times New Roman" w:cs="Times New Roman"/>
          <w:sz w:val="24"/>
          <w:szCs w:val="24"/>
        </w:rPr>
        <w:t>A precautionary margin of ±10% was applied to Lopt. The proportion of fish within this size interval was determined from landing data. According to Froese (2004), the optimal size range may also be expressed as follows:</w:t>
      </w:r>
    </w:p>
    <w:p w14:paraId="284B7761" w14:textId="77777777" w:rsidR="00372207" w:rsidRPr="004B1DB5" w:rsidRDefault="00372207" w:rsidP="003C67EE">
      <w:pPr>
        <w:spacing w:line="360" w:lineRule="auto"/>
        <w:jc w:val="both"/>
        <w:rPr>
          <w:rFonts w:ascii="Times New Roman" w:hAnsi="Times New Roman" w:cs="Times New Roman"/>
          <w:sz w:val="24"/>
          <w:szCs w:val="24"/>
        </w:rPr>
      </w:pPr>
      <m:oMathPara>
        <m:oMath>
          <m:r>
            <m:rPr>
              <m:sty m:val="p"/>
            </m:rPr>
            <w:rPr>
              <w:rFonts w:ascii="Cambria Math" w:hAnsi="Cambria Math" w:cs="Times New Roman"/>
              <w:sz w:val="24"/>
              <w:szCs w:val="24"/>
            </w:rPr>
            <m:t>[Lopt-Lopt x 0.1 to Lopt+Lopt x 0.1]</m:t>
          </m:r>
        </m:oMath>
      </m:oMathPara>
    </w:p>
    <w:p w14:paraId="722F813A" w14:textId="77777777" w:rsidR="003C67EE" w:rsidRPr="004B1DB5" w:rsidRDefault="00372207" w:rsidP="00372207">
      <w:pPr>
        <w:tabs>
          <w:tab w:val="left" w:pos="1206"/>
        </w:tabs>
        <w:rPr>
          <w:rFonts w:ascii="Times New Roman" w:hAnsi="Times New Roman" w:cs="Times New Roman"/>
          <w:sz w:val="24"/>
          <w:szCs w:val="24"/>
        </w:rPr>
      </w:pPr>
      <w:r w:rsidRPr="004B1DB5">
        <w:rPr>
          <w:rFonts w:ascii="Times New Roman" w:hAnsi="Times New Roman" w:cs="Times New Roman"/>
          <w:sz w:val="24"/>
          <w:szCs w:val="24"/>
        </w:rPr>
        <w:t xml:space="preserve">With </w:t>
      </w:r>
      <w:r w:rsidR="00FE41B0" w:rsidRPr="004B1DB5">
        <w:rPr>
          <w:rFonts w:ascii="Times New Roman" w:hAnsi="Times New Roman" w:cs="Times New Roman"/>
          <w:sz w:val="24"/>
          <w:szCs w:val="24"/>
        </w:rPr>
        <w:t xml:space="preserve">: </w:t>
      </w:r>
      <w:r w:rsidRPr="004B1DB5">
        <w:rPr>
          <w:rFonts w:ascii="Times New Roman" w:hAnsi="Times New Roman" w:cs="Times New Roman"/>
          <w:sz w:val="24"/>
          <w:szCs w:val="24"/>
        </w:rPr>
        <w:t>Lopt x 0.1 = safety factor</w:t>
      </w:r>
      <w:r w:rsidR="009A471D" w:rsidRPr="004B1DB5">
        <w:rPr>
          <w:rFonts w:ascii="Times New Roman" w:hAnsi="Times New Roman" w:cs="Times New Roman"/>
          <w:sz w:val="24"/>
          <w:szCs w:val="24"/>
        </w:rPr>
        <w:t xml:space="preserve">  </w:t>
      </w:r>
    </w:p>
    <w:p w14:paraId="237D88BB" w14:textId="77777777" w:rsidR="00011BEB" w:rsidRPr="004B1DB5" w:rsidRDefault="00011BEB" w:rsidP="00372207">
      <w:pPr>
        <w:tabs>
          <w:tab w:val="left" w:pos="1206"/>
        </w:tabs>
        <w:rPr>
          <w:rFonts w:ascii="Times New Roman" w:hAnsi="Times New Roman" w:cs="Times New Roman"/>
          <w:sz w:val="24"/>
          <w:szCs w:val="24"/>
        </w:rPr>
      </w:pPr>
    </w:p>
    <w:p w14:paraId="21F32EC0" w14:textId="77777777" w:rsidR="00372207" w:rsidRPr="004B1DB5" w:rsidRDefault="00372207" w:rsidP="00372207">
      <w:pPr>
        <w:tabs>
          <w:tab w:val="left" w:pos="1206"/>
        </w:tabs>
        <w:rPr>
          <w:rFonts w:ascii="Times New Roman" w:hAnsi="Times New Roman" w:cs="Times New Roman"/>
          <w:b/>
          <w:sz w:val="24"/>
          <w:szCs w:val="24"/>
        </w:rPr>
      </w:pPr>
      <w:r w:rsidRPr="004B1DB5">
        <w:rPr>
          <w:rFonts w:ascii="Times New Roman" w:hAnsi="Times New Roman" w:cs="Times New Roman"/>
          <w:b/>
          <w:sz w:val="24"/>
          <w:szCs w:val="24"/>
        </w:rPr>
        <w:t>2.</w:t>
      </w:r>
      <w:r w:rsidR="00B138FB" w:rsidRPr="004B1DB5">
        <w:rPr>
          <w:rFonts w:ascii="Times New Roman" w:hAnsi="Times New Roman" w:cs="Times New Roman"/>
          <w:b/>
          <w:sz w:val="24"/>
          <w:szCs w:val="24"/>
        </w:rPr>
        <w:t>6</w:t>
      </w:r>
      <w:r w:rsidRPr="004B1DB5">
        <w:rPr>
          <w:rFonts w:ascii="Times New Roman" w:hAnsi="Times New Roman" w:cs="Times New Roman"/>
          <w:b/>
          <w:sz w:val="24"/>
          <w:szCs w:val="24"/>
        </w:rPr>
        <w:t>-Super broodstock (SR)</w:t>
      </w:r>
    </w:p>
    <w:p w14:paraId="095533CD" w14:textId="77777777" w:rsidR="002444C4" w:rsidRPr="004B1DB5" w:rsidRDefault="00372207" w:rsidP="002444C4">
      <w:pPr>
        <w:pStyle w:val="NormalWeb"/>
        <w:spacing w:line="360" w:lineRule="auto"/>
        <w:jc w:val="both"/>
      </w:pPr>
      <w:r w:rsidRPr="004B1DB5">
        <w:t xml:space="preserve">Fish that attain a size more than 10% above their optimal size are considered super-breeders. Thus, this indicator reflects the percentage of the oldest fish in the catches. The purpose is therefore to determine the proportion of these older specimens in catches of </w:t>
      </w:r>
      <w:r w:rsidRPr="004B1DB5">
        <w:rPr>
          <w:i/>
          <w:iCs/>
        </w:rPr>
        <w:t>Pellonula leonensis</w:t>
      </w:r>
      <w:r w:rsidRPr="004B1DB5">
        <w:t xml:space="preserve"> from Taabo Dam Lake. This indicator is used to assess the exploitation status of the stock based on catch data. When the super-breeder proportion is between 30% and 40%, the stock structure can be considered healthy. However, a proportion below 20% indicates a threat to the stock. The size of super-breeders can be determined using the formula below:</w:t>
      </w:r>
    </w:p>
    <w:p w14:paraId="24B0EDDB" w14:textId="77777777" w:rsidR="002444C4" w:rsidRPr="004B1DB5" w:rsidRDefault="002444C4" w:rsidP="002444C4">
      <w:pPr>
        <w:pStyle w:val="NormalWeb"/>
      </w:pPr>
      <m:oMathPara>
        <m:oMath>
          <m:r>
            <m:rPr>
              <m:sty m:val="p"/>
            </m:rPr>
            <w:rPr>
              <w:rFonts w:ascii="Cambria Math" w:hAnsi="Cambria Math"/>
            </w:rPr>
            <m:t>Lsb</m:t>
          </m:r>
          <m:r>
            <w:rPr>
              <w:rFonts w:ascii="Cambria Math" w:eastAsia="Cambria Math" w:hAnsi="Cambria Math" w:cs="Cambria Math"/>
            </w:rPr>
            <m:t>=Lopt+10%Lopt</m:t>
          </m:r>
        </m:oMath>
      </m:oMathPara>
    </w:p>
    <w:p w14:paraId="32A1AEBF" w14:textId="77777777" w:rsidR="008514F7" w:rsidRPr="004B1DB5" w:rsidRDefault="008514F7" w:rsidP="002444C4">
      <w:pPr>
        <w:spacing w:before="100" w:beforeAutospacing="1" w:after="100" w:afterAutospacing="1" w:line="360" w:lineRule="auto"/>
        <w:jc w:val="both"/>
        <w:rPr>
          <w:rFonts w:ascii="Times New Roman" w:hAnsi="Times New Roman" w:cs="Times New Roman"/>
          <w:sz w:val="24"/>
          <w:szCs w:val="24"/>
        </w:rPr>
      </w:pPr>
      <w:r w:rsidRPr="004B1DB5">
        <w:rPr>
          <w:rFonts w:ascii="Times New Roman" w:hAnsi="Times New Roman" w:cs="Times New Roman"/>
          <w:sz w:val="24"/>
          <w:szCs w:val="24"/>
        </w:rPr>
        <w:t>With = Lsb = super breeders size</w:t>
      </w:r>
    </w:p>
    <w:p w14:paraId="7FB99419" w14:textId="77777777" w:rsidR="00372207" w:rsidRPr="004B1DB5" w:rsidRDefault="002444C4" w:rsidP="002444C4">
      <w:pPr>
        <w:spacing w:before="100" w:beforeAutospacing="1" w:after="100" w:afterAutospacing="1" w:line="360" w:lineRule="auto"/>
        <w:jc w:val="both"/>
        <w:rPr>
          <w:rFonts w:ascii="Times New Roman" w:eastAsia="Times New Roman" w:hAnsi="Times New Roman" w:cs="Times New Roman"/>
          <w:sz w:val="24"/>
          <w:szCs w:val="24"/>
        </w:rPr>
      </w:pPr>
      <w:r w:rsidRPr="004B1DB5">
        <w:rPr>
          <w:rFonts w:ascii="Times New Roman" w:hAnsi="Times New Roman" w:cs="Times New Roman"/>
          <w:sz w:val="24"/>
          <w:szCs w:val="24"/>
        </w:rPr>
        <w:t>After this size has been determined, individuals with a size greater than or equal to the calculated value are considered super-breeders in the stock.</w:t>
      </w:r>
    </w:p>
    <w:p w14:paraId="0D738490" w14:textId="77777777" w:rsidR="00E041D1" w:rsidRPr="004B1DB5" w:rsidRDefault="00E041D1" w:rsidP="00372207">
      <w:pPr>
        <w:spacing w:before="100" w:beforeAutospacing="1" w:after="100" w:afterAutospacing="1" w:line="360" w:lineRule="auto"/>
        <w:jc w:val="both"/>
        <w:rPr>
          <w:rFonts w:ascii="Times New Roman" w:eastAsia="Times New Roman" w:hAnsi="Times New Roman" w:cs="Times New Roman"/>
          <w:sz w:val="24"/>
          <w:szCs w:val="24"/>
        </w:rPr>
      </w:pPr>
    </w:p>
    <w:p w14:paraId="23B136FF" w14:textId="77777777" w:rsidR="00372207" w:rsidRPr="004B1DB5" w:rsidRDefault="00372207" w:rsidP="00372207">
      <w:pPr>
        <w:pStyle w:val="NormalWeb"/>
        <w:rPr>
          <w:b/>
        </w:rPr>
      </w:pPr>
      <w:r w:rsidRPr="004B1DB5">
        <w:rPr>
          <w:b/>
        </w:rPr>
        <w:t>2.</w:t>
      </w:r>
      <w:r w:rsidR="00B138FB" w:rsidRPr="004B1DB5">
        <w:rPr>
          <w:b/>
        </w:rPr>
        <w:t>7</w:t>
      </w:r>
      <w:r w:rsidRPr="004B1DB5">
        <w:rPr>
          <w:b/>
        </w:rPr>
        <w:t>-Statistical Analysis</w:t>
      </w:r>
    </w:p>
    <w:p w14:paraId="60978E54" w14:textId="77777777" w:rsidR="00755A02" w:rsidRPr="004B1DB5" w:rsidRDefault="00372207" w:rsidP="00372207">
      <w:pPr>
        <w:pStyle w:val="NormalWeb"/>
        <w:spacing w:before="0" w:beforeAutospacing="0" w:after="0" w:afterAutospacing="0" w:line="360" w:lineRule="auto"/>
        <w:jc w:val="both"/>
      </w:pPr>
      <w:r w:rsidRPr="004B1DB5">
        <w:lastRenderedPageBreak/>
        <w:t>The chi-square test in Statistica 7.1 was used to compare sex ratios and the percentages of different age groups in fish stocks among the catch areas of Taabo Dam Lake.</w:t>
      </w:r>
    </w:p>
    <w:p w14:paraId="313C2779" w14:textId="77777777" w:rsidR="00755A02" w:rsidRPr="004B1DB5" w:rsidRDefault="00755A02" w:rsidP="00372207">
      <w:pPr>
        <w:pStyle w:val="NormalWeb"/>
        <w:spacing w:before="0" w:beforeAutospacing="0" w:after="0" w:afterAutospacing="0" w:line="360" w:lineRule="auto"/>
        <w:jc w:val="both"/>
      </w:pPr>
    </w:p>
    <w:p w14:paraId="6BC32991" w14:textId="77777777" w:rsidR="00372207" w:rsidRPr="004B1DB5" w:rsidRDefault="00372207" w:rsidP="00372207">
      <w:pPr>
        <w:pStyle w:val="NormalWeb"/>
        <w:spacing w:before="0" w:beforeAutospacing="0" w:after="0" w:afterAutospacing="0" w:line="360" w:lineRule="auto"/>
        <w:jc w:val="both"/>
        <w:rPr>
          <w:b/>
        </w:rPr>
      </w:pPr>
      <w:r w:rsidRPr="004B1DB5">
        <w:rPr>
          <w:b/>
        </w:rPr>
        <w:t>3-Results</w:t>
      </w:r>
    </w:p>
    <w:p w14:paraId="391E8CFF" w14:textId="77777777" w:rsidR="00372207" w:rsidRPr="004B1DB5" w:rsidRDefault="00372207" w:rsidP="00372207">
      <w:pPr>
        <w:pStyle w:val="NormalWeb"/>
        <w:spacing w:before="0" w:beforeAutospacing="0" w:after="0" w:afterAutospacing="0" w:line="360" w:lineRule="auto"/>
        <w:jc w:val="both"/>
        <w:rPr>
          <w:b/>
        </w:rPr>
      </w:pPr>
      <w:r w:rsidRPr="004B1DB5">
        <w:rPr>
          <w:b/>
        </w:rPr>
        <w:t>3.1-Mapping of capture areas</w:t>
      </w:r>
    </w:p>
    <w:p w14:paraId="6413ED13" w14:textId="77777777" w:rsidR="00372207" w:rsidRPr="004B1DB5" w:rsidRDefault="00372207" w:rsidP="00372207">
      <w:pPr>
        <w:pStyle w:val="NormalWeb"/>
        <w:spacing w:line="360" w:lineRule="auto"/>
        <w:jc w:val="both"/>
      </w:pPr>
      <w:r w:rsidRPr="004B1DB5">
        <w:rPr>
          <w:i/>
          <w:iCs/>
        </w:rPr>
        <w:t>P. leonensis</w:t>
      </w:r>
      <w:r w:rsidRPr="004B1DB5">
        <w:t xml:space="preserve"> was caught in seven (07) areas of Taabo Dam Lake (Figure 1): Taabo City, Senegalegoum, Courandjourou, Antonio, Port, Dike, and Islands.</w:t>
      </w:r>
    </w:p>
    <w:p w14:paraId="6B7AD4F5" w14:textId="77777777" w:rsidR="00372207" w:rsidRPr="004B1DB5" w:rsidRDefault="0099280F" w:rsidP="00372207">
      <w:pPr>
        <w:pStyle w:val="NormalWeb"/>
      </w:pPr>
      <w:r w:rsidRPr="004B1DB5">
        <w:rPr>
          <w:noProof/>
        </w:rPr>
        <w:drawing>
          <wp:inline distT="0" distB="0" distL="0" distR="0" wp14:anchorId="671B8C65" wp14:editId="26E5EA24">
            <wp:extent cx="5972810" cy="4225290"/>
            <wp:effectExtent l="0" t="0" r="8890" b="3810"/>
            <wp:docPr id="9" name="Image 9" descr="C:\Users\AHOUTOU\Downloads\Carte Dr Ahoutou.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OUTOU\Downloads\Carte Dr Ahoutou.jp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2810" cy="4225290"/>
                    </a:xfrm>
                    <a:prstGeom prst="rect">
                      <a:avLst/>
                    </a:prstGeom>
                    <a:noFill/>
                    <a:ln>
                      <a:noFill/>
                    </a:ln>
                  </pic:spPr>
                </pic:pic>
              </a:graphicData>
            </a:graphic>
          </wp:inline>
        </w:drawing>
      </w:r>
    </w:p>
    <w:p w14:paraId="624899C9" w14:textId="77777777" w:rsidR="001740E3" w:rsidRPr="004B1DB5" w:rsidRDefault="001740E3" w:rsidP="00DF2AA1">
      <w:pPr>
        <w:pStyle w:val="NormalWeb"/>
        <w:ind w:left="1440" w:firstLine="720"/>
      </w:pPr>
      <w:r w:rsidRPr="004B1DB5">
        <w:t xml:space="preserve">Figure 1: Catchment areas for </w:t>
      </w:r>
      <w:r w:rsidRPr="004B1DB5">
        <w:rPr>
          <w:i/>
        </w:rPr>
        <w:t>P. leonensis</w:t>
      </w:r>
      <w:r w:rsidRPr="004B1DB5">
        <w:t xml:space="preserve"> in the Taabo Reservoir</w:t>
      </w:r>
    </w:p>
    <w:p w14:paraId="1640ABAF" w14:textId="77777777" w:rsidR="00F83CE2" w:rsidRPr="004B1DB5" w:rsidRDefault="00F83CE2" w:rsidP="001740E3">
      <w:pPr>
        <w:pStyle w:val="NormalWeb"/>
        <w:spacing w:before="0" w:beforeAutospacing="0" w:after="0" w:afterAutospacing="0" w:line="360" w:lineRule="auto"/>
        <w:jc w:val="both"/>
        <w:rPr>
          <w:b/>
        </w:rPr>
      </w:pPr>
    </w:p>
    <w:p w14:paraId="4A070F1F" w14:textId="77777777" w:rsidR="001740E3" w:rsidRPr="004B1DB5" w:rsidRDefault="001740E3" w:rsidP="001740E3">
      <w:pPr>
        <w:pStyle w:val="NormalWeb"/>
        <w:spacing w:before="0" w:beforeAutospacing="0" w:after="0" w:afterAutospacing="0" w:line="360" w:lineRule="auto"/>
        <w:jc w:val="both"/>
        <w:rPr>
          <w:b/>
        </w:rPr>
      </w:pPr>
      <w:r w:rsidRPr="004B1DB5">
        <w:rPr>
          <w:b/>
        </w:rPr>
        <w:t xml:space="preserve">3.2-Size structure of </w:t>
      </w:r>
      <w:r w:rsidRPr="004B1DB5">
        <w:rPr>
          <w:b/>
          <w:i/>
        </w:rPr>
        <w:t>Pellonula leonensis</w:t>
      </w:r>
    </w:p>
    <w:p w14:paraId="0BDBFB18" w14:textId="77777777" w:rsidR="001740E3" w:rsidRPr="004B1DB5" w:rsidRDefault="001740E3" w:rsidP="001740E3">
      <w:pPr>
        <w:pStyle w:val="NormalWeb"/>
        <w:spacing w:before="0" w:beforeAutospacing="0" w:after="0" w:afterAutospacing="0" w:line="360" w:lineRule="auto"/>
        <w:jc w:val="both"/>
      </w:pPr>
      <w:r w:rsidRPr="004B1DB5">
        <w:t xml:space="preserve">Specimens of </w:t>
      </w:r>
      <w:r w:rsidRPr="004B1DB5">
        <w:rPr>
          <w:i/>
          <w:iCs/>
        </w:rPr>
        <w:t>Pellonula leonensis</w:t>
      </w:r>
      <w:r w:rsidRPr="004B1DB5">
        <w:t xml:space="preserve"> caught by fishers in the Taabo Reservoir (n = 10 875) using shore seines had standard lengths ranging from 16.43 to 63.80 mm, with a mean of 32.31 ± 4.80 mm. The histograms showed monthly variation among the different size classes. A single peak or </w:t>
      </w:r>
      <w:r w:rsidRPr="004B1DB5">
        <w:lastRenderedPageBreak/>
        <w:t>mode was observed in each month except February, when two peaks occurred. Specimens in the size class [29.20; 32.50[ were most numerous from August to November and in March, May, and July. In December, January, February, and June, individuals measuring 32.50–35.80 mm were more prevalent in the samples.</w:t>
      </w:r>
    </w:p>
    <w:p w14:paraId="113C919A" w14:textId="77777777" w:rsidR="0099280F" w:rsidRPr="004B1DB5" w:rsidRDefault="0099280F" w:rsidP="001740E3">
      <w:pPr>
        <w:pStyle w:val="NormalWeb"/>
        <w:spacing w:before="0" w:beforeAutospacing="0" w:after="0" w:afterAutospacing="0" w:line="360" w:lineRule="auto"/>
        <w:jc w:val="both"/>
        <w:rPr>
          <w:b/>
        </w:rPr>
      </w:pPr>
    </w:p>
    <w:p w14:paraId="5BAA782B" w14:textId="77777777" w:rsidR="001740E3" w:rsidRPr="004B1DB5" w:rsidRDefault="001740E3" w:rsidP="001740E3">
      <w:pPr>
        <w:pStyle w:val="NormalWeb"/>
        <w:spacing w:before="0" w:beforeAutospacing="0" w:after="0" w:afterAutospacing="0" w:line="360" w:lineRule="auto"/>
        <w:jc w:val="both"/>
        <w:rPr>
          <w:b/>
        </w:rPr>
      </w:pPr>
      <w:r w:rsidRPr="004B1DB5">
        <w:rPr>
          <w:b/>
        </w:rPr>
        <w:t>3.2.1-Size parameters in the sampling areas</w:t>
      </w:r>
    </w:p>
    <w:p w14:paraId="35D0DE71" w14:textId="77777777" w:rsidR="001740E3" w:rsidRPr="004B1DB5" w:rsidRDefault="001740E3" w:rsidP="001740E3">
      <w:pPr>
        <w:pStyle w:val="NormalWeb"/>
        <w:spacing w:before="0" w:beforeAutospacing="0" w:after="0" w:afterAutospacing="0" w:line="360" w:lineRule="auto"/>
        <w:jc w:val="both"/>
        <w:rPr>
          <w:b/>
        </w:rPr>
      </w:pPr>
      <w:r w:rsidRPr="004B1DB5">
        <w:rPr>
          <w:b/>
        </w:rPr>
        <w:t>3.2.1.1-Size structure on the left bank</w:t>
      </w:r>
    </w:p>
    <w:p w14:paraId="28F26035" w14:textId="77777777" w:rsidR="001740E3" w:rsidRPr="004B1DB5" w:rsidRDefault="001740E3" w:rsidP="001740E3">
      <w:pPr>
        <w:pStyle w:val="NormalWeb"/>
        <w:spacing w:line="360" w:lineRule="auto"/>
        <w:jc w:val="both"/>
      </w:pPr>
      <w:r w:rsidRPr="004B1DB5">
        <w:t xml:space="preserve">In the Taabo City area, the standard lengths of the 3,086 specimens collected ranged from 20.59 to 63.80 mm, with a mean of 32.58 ± 4.15 mm. The specimens were distributed among thirteen size classes. Individuals measuring 29.20–32.50 mm were dominant. This class comprised 1,043 individuals, representing 33.80% of the sample. The size classes [32.50; 35.80[ and [25.90; 29.20[ accounted for 26.50% and 18.44% of fishers’ landings, respectively. The </w:t>
      </w:r>
      <w:r w:rsidRPr="004B1DB5">
        <w:rPr>
          <w:i/>
          <w:iCs/>
        </w:rPr>
        <w:t>P. leonensis</w:t>
      </w:r>
      <w:r w:rsidRPr="004B1DB5">
        <w:t xml:space="preserve"> specimens (n = 1,860) collected in the Senegalegoum area were distributed among twelve size classes. Their standard lengths (SL) ranged from 20.95 to 56.96 mm, with a mean of 33.33 ± 4.60 mm. The graphical representation indicated that fish with standard lengths between 29.20 and 35.80 mm were the most frequently caught, accounting for 56.56% of the sample. The size classes [25.90; 29.20[ and [35.80; 39.10[ comprised 568 individuals, representing 30.54% of the sample. Examination of the catches showed that specimens measuring between 16 and 25.90 mm and those larger than 49 mm constituted the least exploited segment of the population, accounting for 3.33%.</w:t>
      </w:r>
    </w:p>
    <w:p w14:paraId="75618BD8" w14:textId="77777777" w:rsidR="001740E3" w:rsidRPr="004B1DB5" w:rsidRDefault="001740E3" w:rsidP="001740E3">
      <w:pPr>
        <w:pStyle w:val="NormalWeb"/>
        <w:rPr>
          <w:b/>
        </w:rPr>
      </w:pPr>
      <w:r w:rsidRPr="004B1DB5">
        <w:rPr>
          <w:b/>
        </w:rPr>
        <w:t>3.2.1.2-Size structure on the right bank</w:t>
      </w:r>
    </w:p>
    <w:p w14:paraId="3A3EDF52" w14:textId="77777777" w:rsidR="001740E3" w:rsidRPr="004B1DB5" w:rsidRDefault="001740E3" w:rsidP="004227FE">
      <w:pPr>
        <w:pStyle w:val="NormalWeb"/>
        <w:spacing w:before="0" w:beforeAutospacing="0" w:after="0" w:afterAutospacing="0" w:line="360" w:lineRule="auto"/>
        <w:jc w:val="both"/>
      </w:pPr>
      <w:r w:rsidRPr="004B1DB5">
        <w:t xml:space="preserve">Specimens caught at Courandjourou (n = 1,014) had standard lengths ranging from 18.70 to 63.34 mm, with a mean of 34.91 ± 5.17 mm. Of the twelve observed size classes, [29.20; 32.50[ and [32.50; 35.80[ were the most frequently represented and together accounted for 49.01% of the catch. The modal class was [32.50; 35.80[, representing 27.02% of the total. Fish measuring 35.80–39.10 mm and 39.10–42.40 mm numbered 199 (19.63%) and 133 (13.12%), respectively. Specimens measuring 52.30–58.90 mm were absent from the landings. Fish measuring at least 42.40 mm but less than 52.30 mm accounted for 7.69% of the catch in this zone. The standard lengths of specimens caught in the Antonio zone ranged from 16.43 to 56.32 mm. The mean standard length in this catch area was 30.86 ± 4.56 mm across twelve size classes. Catches of </w:t>
      </w:r>
      <w:r w:rsidRPr="004B1DB5">
        <w:rPr>
          <w:i/>
          <w:iCs/>
        </w:rPr>
        <w:t>P. leonensis</w:t>
      </w:r>
      <w:r w:rsidRPr="004B1DB5">
        <w:t xml:space="preserve"> were dominated by specimens measuring 25.90–32.50 mm, which accounted for 54.18% </w:t>
      </w:r>
      <w:r w:rsidRPr="004B1DB5">
        <w:lastRenderedPageBreak/>
        <w:t>of the catch in this fishing zone. They were followed by the classes [32.50; 35.80[ and [22.60; 25.90[, which accounted for 19.55% and 10.41%, respectively.</w:t>
      </w:r>
    </w:p>
    <w:p w14:paraId="190A1E64" w14:textId="77777777" w:rsidR="001740E3" w:rsidRPr="004B1DB5" w:rsidRDefault="001740E3" w:rsidP="004227FE">
      <w:pPr>
        <w:pStyle w:val="NormalWeb"/>
        <w:spacing w:before="0" w:beforeAutospacing="0" w:after="0" w:afterAutospacing="0" w:line="360" w:lineRule="auto"/>
        <w:jc w:val="both"/>
      </w:pPr>
      <w:r w:rsidRPr="004B1DB5">
        <w:t>Specimens measuring 39.10 mm or more accounted for less than 5% of the population. A total of 53 individuals (2.41%) had standard lengths between 16 and 22.60 mm, whereas 193 individuals (8.77%) measured between 35.80 and 39.10 mm.</w:t>
      </w:r>
    </w:p>
    <w:p w14:paraId="343C8E63" w14:textId="77777777" w:rsidR="001740E3" w:rsidRPr="004B1DB5" w:rsidRDefault="001740E3" w:rsidP="001740E3">
      <w:pPr>
        <w:pStyle w:val="NormalWeb"/>
        <w:spacing w:line="360" w:lineRule="auto"/>
        <w:jc w:val="both"/>
      </w:pPr>
      <w:r w:rsidRPr="004B1DB5">
        <w:t>Morphometric analysis of the 1,300 specimens captured in the Dike area indicated that standard length ranged from 17.60 to 55.58 mm. These specimens were distributed among twelve size classes and had an estimated mean standard length (SL) of 31.26 ± 4.63 mm.</w:t>
      </w:r>
    </w:p>
    <w:p w14:paraId="122F3E50" w14:textId="77777777" w:rsidR="00C60442" w:rsidRPr="004B1DB5" w:rsidRDefault="004227FE" w:rsidP="00C60442">
      <w:pPr>
        <w:pStyle w:val="NormalWeb"/>
      </w:pPr>
      <w:r w:rsidRPr="004B1DB5">
        <w:rPr>
          <w:b/>
        </w:rPr>
        <w:t>3.3-</w:t>
      </w:r>
      <w:r w:rsidR="00C60442" w:rsidRPr="004B1DB5">
        <w:rPr>
          <w:b/>
        </w:rPr>
        <w:t xml:space="preserve"> Fringes of </w:t>
      </w:r>
      <w:r w:rsidR="00C60442" w:rsidRPr="004B1DB5">
        <w:rPr>
          <w:b/>
          <w:i/>
        </w:rPr>
        <w:t>Pellonula leonensis</w:t>
      </w:r>
      <w:r w:rsidR="00C60442" w:rsidRPr="004B1DB5">
        <w:rPr>
          <w:b/>
        </w:rPr>
        <w:t xml:space="preserve"> populations</w:t>
      </w:r>
    </w:p>
    <w:p w14:paraId="39764E71" w14:textId="77777777" w:rsidR="00C60442" w:rsidRPr="004B1DB5" w:rsidRDefault="004227FE" w:rsidP="00C60442">
      <w:pPr>
        <w:pStyle w:val="NormalWeb"/>
        <w:spacing w:before="0" w:beforeAutospacing="0" w:after="0" w:afterAutospacing="0" w:line="360" w:lineRule="auto"/>
        <w:rPr>
          <w:b/>
        </w:rPr>
      </w:pPr>
      <w:r w:rsidRPr="004B1DB5">
        <w:rPr>
          <w:b/>
        </w:rPr>
        <w:t xml:space="preserve">3.3.1-sex-ratio </w:t>
      </w:r>
      <w:r w:rsidR="00C60442" w:rsidRPr="004B1DB5">
        <w:rPr>
          <w:b/>
        </w:rPr>
        <w:t>in</w:t>
      </w:r>
      <w:r w:rsidRPr="004B1DB5">
        <w:rPr>
          <w:b/>
        </w:rPr>
        <w:t xml:space="preserve"> diff</w:t>
      </w:r>
      <w:r w:rsidR="00C60442" w:rsidRPr="004B1DB5">
        <w:rPr>
          <w:b/>
        </w:rPr>
        <w:t>e</w:t>
      </w:r>
      <w:r w:rsidRPr="004B1DB5">
        <w:rPr>
          <w:b/>
        </w:rPr>
        <w:t xml:space="preserve">rent </w:t>
      </w:r>
      <w:r w:rsidR="00C60442" w:rsidRPr="004B1DB5">
        <w:rPr>
          <w:b/>
        </w:rPr>
        <w:t xml:space="preserve">catch area </w:t>
      </w:r>
    </w:p>
    <w:p w14:paraId="0AAC148E" w14:textId="77777777" w:rsidR="00C60442" w:rsidRPr="004B1DB5" w:rsidRDefault="00C60442" w:rsidP="00C60442">
      <w:pPr>
        <w:pStyle w:val="NormalWeb"/>
        <w:spacing w:before="0" w:beforeAutospacing="0" w:after="0" w:afterAutospacing="0" w:line="360" w:lineRule="auto"/>
        <w:ind w:firstLine="720"/>
      </w:pPr>
      <w:r w:rsidRPr="004B1DB5">
        <w:t>The sex ratio of this pelagic species varied among catch areas. It was skewed towards females in Antonio, Courandjourou, and Port (Table 1), where the sex ratios were 1:2.01 (male:female), 1:4.63, and 1:1.01, respectively. In contrast, males predominated in Taabo City, with a sex ratio of 1.07:1, and in Senegalegoum, with a ratio of 1.02:1. Male specimens represented 62.68% of the catch in the Dike area and 56.69% in the Islands area, corresponding to sex ratios of 1.68:1 and 1.31:1, respectively.</w:t>
      </w:r>
    </w:p>
    <w:p w14:paraId="069D345A" w14:textId="77777777" w:rsidR="004227FE" w:rsidRPr="004B1DB5" w:rsidRDefault="004227FE" w:rsidP="004227FE">
      <w:pPr>
        <w:pStyle w:val="NormalWeb"/>
        <w:spacing w:before="0" w:beforeAutospacing="0" w:after="0" w:afterAutospacing="0" w:line="360" w:lineRule="auto"/>
        <w:jc w:val="both"/>
      </w:pPr>
      <w:r w:rsidRPr="004B1DB5">
        <w:t>Seasonally, males predominated in Taabo City and Senegalegoum during both the dry season (DS) and the rainy season (RS), whereas females predominated in Courandjourou during both seasons (Figure 2). Seasonal variation in the sex ratio was observed in Senegalegoum, Port, and Islands. In Senegalegoum, the sex ratio was 1:1.05 during the dry season and 1.15:1 during the rainy season. In the Port and Islands areas, the sex ratios were 1.02:1 and 1:1.17, respectively, during the dry season. During the rainy season, the corresponding sex ratios were 1:1.29 and 1.07:1.</w:t>
      </w:r>
    </w:p>
    <w:p w14:paraId="57EE0CFA" w14:textId="77777777" w:rsidR="00282C87" w:rsidRPr="004B1DB5" w:rsidRDefault="00282C87" w:rsidP="004227FE">
      <w:pPr>
        <w:pStyle w:val="NormalWeb"/>
        <w:spacing w:before="0" w:beforeAutospacing="0" w:after="0" w:afterAutospacing="0" w:line="360" w:lineRule="auto"/>
        <w:jc w:val="both"/>
      </w:pPr>
    </w:p>
    <w:p w14:paraId="6274BA12" w14:textId="77777777" w:rsidR="004227FE" w:rsidRPr="004B1DB5" w:rsidRDefault="00F83CE2" w:rsidP="00047C50">
      <w:pPr>
        <w:pStyle w:val="NormalWeb"/>
        <w:ind w:firstLine="720"/>
      </w:pPr>
      <w:r w:rsidRPr="004B1DB5">
        <w:t>Table 1</w:t>
      </w:r>
      <w:r w:rsidR="004227FE" w:rsidRPr="004B1DB5">
        <w:t xml:space="preserve">: Sex ratio of </w:t>
      </w:r>
      <w:r w:rsidR="004227FE" w:rsidRPr="004B1DB5">
        <w:rPr>
          <w:i/>
          <w:iCs/>
        </w:rPr>
        <w:t>P.</w:t>
      </w:r>
      <w:r w:rsidR="004227FE" w:rsidRPr="004B1DB5">
        <w:rPr>
          <w:i/>
        </w:rPr>
        <w:t xml:space="preserve"> leonensis</w:t>
      </w:r>
      <w:r w:rsidR="004227FE" w:rsidRPr="004B1DB5">
        <w:t xml:space="preserve"> specimens from the capture areas </w:t>
      </w:r>
    </w:p>
    <w:tbl>
      <w:tblPr>
        <w:tblW w:w="7907" w:type="dxa"/>
        <w:tblInd w:w="55" w:type="dxa"/>
        <w:tblCellMar>
          <w:left w:w="70" w:type="dxa"/>
          <w:right w:w="70" w:type="dxa"/>
        </w:tblCellMar>
        <w:tblLook w:val="04A0" w:firstRow="1" w:lastRow="0" w:firstColumn="1" w:lastColumn="0" w:noHBand="0" w:noVBand="1"/>
      </w:tblPr>
      <w:tblGrid>
        <w:gridCol w:w="1800"/>
        <w:gridCol w:w="1200"/>
        <w:gridCol w:w="1200"/>
        <w:gridCol w:w="1200"/>
        <w:gridCol w:w="1200"/>
        <w:gridCol w:w="1307"/>
      </w:tblGrid>
      <w:tr w:rsidR="004227FE" w:rsidRPr="004B1DB5" w14:paraId="269C1AAB" w14:textId="77777777" w:rsidTr="000B0DB0">
        <w:trPr>
          <w:trHeight w:val="300"/>
        </w:trPr>
        <w:tc>
          <w:tcPr>
            <w:tcW w:w="1800" w:type="dxa"/>
            <w:tcBorders>
              <w:top w:val="nil"/>
              <w:left w:val="nil"/>
              <w:bottom w:val="nil"/>
              <w:right w:val="nil"/>
            </w:tcBorders>
            <w:noWrap/>
            <w:vAlign w:val="bottom"/>
            <w:hideMark/>
          </w:tcPr>
          <w:p w14:paraId="331329EB" w14:textId="77777777" w:rsidR="004227FE" w:rsidRPr="004B1DB5" w:rsidRDefault="004227FE"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013BED00" w14:textId="77777777" w:rsidR="004227FE" w:rsidRPr="004B1DB5" w:rsidRDefault="004227FE"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72FFB731" w14:textId="77777777" w:rsidR="004227FE" w:rsidRPr="004B1DB5" w:rsidRDefault="004227FE"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5723DAB9" w14:textId="77777777" w:rsidR="004227FE" w:rsidRPr="004B1DB5" w:rsidRDefault="004227FE"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158ABD42" w14:textId="77777777" w:rsidR="004227FE" w:rsidRPr="004B1DB5" w:rsidRDefault="004227FE" w:rsidP="00086402">
            <w:pPr>
              <w:spacing w:after="0" w:line="240" w:lineRule="auto"/>
              <w:rPr>
                <w:rFonts w:ascii="Calibri" w:eastAsia="Times New Roman" w:hAnsi="Calibri" w:cs="Calibri"/>
                <w:color w:val="000000"/>
                <w:lang w:eastAsia="fr-FR"/>
              </w:rPr>
            </w:pPr>
          </w:p>
        </w:tc>
        <w:tc>
          <w:tcPr>
            <w:tcW w:w="1307" w:type="dxa"/>
            <w:tcBorders>
              <w:top w:val="nil"/>
              <w:left w:val="nil"/>
              <w:bottom w:val="nil"/>
              <w:right w:val="nil"/>
            </w:tcBorders>
          </w:tcPr>
          <w:p w14:paraId="068B3C7C" w14:textId="77777777" w:rsidR="004227FE" w:rsidRPr="004B1DB5" w:rsidRDefault="004227FE" w:rsidP="00086402">
            <w:pPr>
              <w:spacing w:after="0" w:line="240" w:lineRule="auto"/>
              <w:rPr>
                <w:rFonts w:ascii="Calibri" w:eastAsia="Times New Roman" w:hAnsi="Calibri" w:cs="Calibri"/>
                <w:color w:val="000000"/>
                <w:lang w:eastAsia="fr-FR"/>
              </w:rPr>
            </w:pPr>
          </w:p>
        </w:tc>
      </w:tr>
      <w:tr w:rsidR="004227FE" w:rsidRPr="004B1DB5" w14:paraId="73189A17" w14:textId="77777777" w:rsidTr="000B0DB0">
        <w:trPr>
          <w:trHeight w:val="315"/>
        </w:trPr>
        <w:tc>
          <w:tcPr>
            <w:tcW w:w="1800" w:type="dxa"/>
            <w:tcBorders>
              <w:top w:val="single" w:sz="4" w:space="0" w:color="auto"/>
              <w:left w:val="nil"/>
              <w:bottom w:val="single" w:sz="4" w:space="0" w:color="auto"/>
              <w:right w:val="nil"/>
            </w:tcBorders>
            <w:noWrap/>
            <w:vAlign w:val="bottom"/>
            <w:hideMark/>
          </w:tcPr>
          <w:p w14:paraId="4DB7DFBF" w14:textId="77777777" w:rsidR="004227FE" w:rsidRPr="004B1DB5" w:rsidRDefault="004227FE" w:rsidP="00086402">
            <w:pPr>
              <w:spacing w:after="0" w:line="240" w:lineRule="auto"/>
              <w:rPr>
                <w:rFonts w:ascii="Times New Roman" w:eastAsia="Times New Roman" w:hAnsi="Times New Roman" w:cs="Times New Roman"/>
                <w:b/>
                <w:bCs/>
                <w:i/>
                <w:iCs/>
                <w:color w:val="000000"/>
                <w:sz w:val="24"/>
                <w:szCs w:val="24"/>
                <w:lang w:eastAsia="fr-FR"/>
              </w:rPr>
            </w:pPr>
            <w:r w:rsidRPr="004B1DB5">
              <w:rPr>
                <w:rFonts w:ascii="Times New Roman" w:eastAsia="Times New Roman" w:hAnsi="Times New Roman" w:cs="Times New Roman"/>
                <w:b/>
                <w:bCs/>
                <w:i/>
                <w:iCs/>
                <w:color w:val="000000"/>
                <w:sz w:val="24"/>
                <w:szCs w:val="24"/>
                <w:lang w:eastAsia="fr-FR"/>
              </w:rPr>
              <w:t>Capture Area</w:t>
            </w:r>
          </w:p>
        </w:tc>
        <w:tc>
          <w:tcPr>
            <w:tcW w:w="1200" w:type="dxa"/>
            <w:tcBorders>
              <w:top w:val="single" w:sz="4" w:space="0" w:color="auto"/>
              <w:left w:val="nil"/>
              <w:bottom w:val="single" w:sz="4" w:space="0" w:color="auto"/>
              <w:right w:val="nil"/>
            </w:tcBorders>
            <w:noWrap/>
            <w:vAlign w:val="bottom"/>
            <w:hideMark/>
          </w:tcPr>
          <w:p w14:paraId="220F831F" w14:textId="77777777" w:rsidR="004227FE" w:rsidRPr="004B1DB5" w:rsidRDefault="004227FE" w:rsidP="00086402">
            <w:pPr>
              <w:spacing w:after="0" w:line="240" w:lineRule="auto"/>
              <w:rPr>
                <w:rFonts w:ascii="Times New Roman" w:eastAsia="Times New Roman" w:hAnsi="Times New Roman" w:cs="Times New Roman"/>
                <w:b/>
                <w:bCs/>
                <w:i/>
                <w:iCs/>
                <w:color w:val="000000"/>
                <w:sz w:val="24"/>
                <w:szCs w:val="24"/>
                <w:lang w:eastAsia="fr-FR"/>
              </w:rPr>
            </w:pPr>
            <w:r w:rsidRPr="004B1DB5">
              <w:rPr>
                <w:rFonts w:ascii="Times New Roman" w:eastAsia="Times New Roman" w:hAnsi="Times New Roman" w:cs="Times New Roman"/>
                <w:b/>
                <w:bCs/>
                <w:i/>
                <w:iCs/>
                <w:color w:val="000000"/>
                <w:sz w:val="24"/>
                <w:szCs w:val="24"/>
                <w:lang w:eastAsia="fr-FR"/>
              </w:rPr>
              <w:t>(♂)</w:t>
            </w:r>
          </w:p>
        </w:tc>
        <w:tc>
          <w:tcPr>
            <w:tcW w:w="1200" w:type="dxa"/>
            <w:tcBorders>
              <w:top w:val="single" w:sz="4" w:space="0" w:color="auto"/>
              <w:left w:val="nil"/>
              <w:bottom w:val="single" w:sz="4" w:space="0" w:color="auto"/>
              <w:right w:val="nil"/>
            </w:tcBorders>
            <w:noWrap/>
            <w:vAlign w:val="bottom"/>
            <w:hideMark/>
          </w:tcPr>
          <w:p w14:paraId="482602D8" w14:textId="77777777" w:rsidR="004227FE" w:rsidRPr="004B1DB5" w:rsidRDefault="004227FE" w:rsidP="00086402">
            <w:pPr>
              <w:spacing w:after="0" w:line="240" w:lineRule="auto"/>
              <w:rPr>
                <w:rFonts w:ascii="Times New Roman" w:eastAsia="Times New Roman" w:hAnsi="Times New Roman" w:cs="Times New Roman"/>
                <w:b/>
                <w:bCs/>
                <w:i/>
                <w:iCs/>
                <w:color w:val="000000"/>
                <w:sz w:val="24"/>
                <w:szCs w:val="24"/>
                <w:lang w:eastAsia="fr-FR"/>
              </w:rPr>
            </w:pPr>
            <w:r w:rsidRPr="004B1DB5">
              <w:rPr>
                <w:rFonts w:ascii="Times New Roman" w:eastAsia="Times New Roman" w:hAnsi="Times New Roman" w:cs="Times New Roman"/>
                <w:b/>
                <w:bCs/>
                <w:i/>
                <w:iCs/>
                <w:color w:val="000000"/>
                <w:sz w:val="24"/>
                <w:szCs w:val="24"/>
                <w:lang w:eastAsia="fr-FR"/>
              </w:rPr>
              <w:t>(♀)</w:t>
            </w:r>
          </w:p>
        </w:tc>
        <w:tc>
          <w:tcPr>
            <w:tcW w:w="1200" w:type="dxa"/>
            <w:tcBorders>
              <w:top w:val="single" w:sz="4" w:space="0" w:color="auto"/>
              <w:left w:val="nil"/>
              <w:bottom w:val="single" w:sz="4" w:space="0" w:color="auto"/>
              <w:right w:val="nil"/>
            </w:tcBorders>
            <w:noWrap/>
            <w:vAlign w:val="bottom"/>
            <w:hideMark/>
          </w:tcPr>
          <w:p w14:paraId="7547F65A" w14:textId="77777777" w:rsidR="004227FE" w:rsidRPr="004B1DB5" w:rsidRDefault="004227FE" w:rsidP="00086402">
            <w:pPr>
              <w:spacing w:after="0" w:line="240" w:lineRule="auto"/>
              <w:rPr>
                <w:rFonts w:ascii="Times New Roman" w:eastAsia="Times New Roman" w:hAnsi="Times New Roman" w:cs="Times New Roman"/>
                <w:b/>
                <w:bCs/>
                <w:i/>
                <w:iCs/>
                <w:color w:val="000000"/>
                <w:sz w:val="24"/>
                <w:szCs w:val="24"/>
                <w:lang w:eastAsia="fr-FR"/>
              </w:rPr>
            </w:pPr>
            <w:r w:rsidRPr="004B1DB5">
              <w:rPr>
                <w:rFonts w:ascii="Times New Roman" w:eastAsia="Times New Roman" w:hAnsi="Times New Roman" w:cs="Times New Roman"/>
                <w:b/>
                <w:bCs/>
                <w:i/>
                <w:iCs/>
                <w:color w:val="000000"/>
                <w:sz w:val="24"/>
                <w:szCs w:val="24"/>
                <w:lang w:eastAsia="fr-FR"/>
              </w:rPr>
              <w:t>χ2</w:t>
            </w:r>
          </w:p>
        </w:tc>
        <w:tc>
          <w:tcPr>
            <w:tcW w:w="1200" w:type="dxa"/>
            <w:tcBorders>
              <w:top w:val="single" w:sz="4" w:space="0" w:color="auto"/>
              <w:left w:val="nil"/>
              <w:bottom w:val="single" w:sz="4" w:space="0" w:color="auto"/>
              <w:right w:val="nil"/>
            </w:tcBorders>
            <w:noWrap/>
            <w:vAlign w:val="bottom"/>
            <w:hideMark/>
          </w:tcPr>
          <w:p w14:paraId="64C2CB63" w14:textId="77777777" w:rsidR="004227FE" w:rsidRPr="004B1DB5" w:rsidRDefault="004227FE" w:rsidP="00086402">
            <w:pPr>
              <w:spacing w:after="0" w:line="240" w:lineRule="auto"/>
              <w:rPr>
                <w:rFonts w:ascii="Times New Roman" w:eastAsia="Times New Roman" w:hAnsi="Times New Roman" w:cs="Times New Roman"/>
                <w:b/>
                <w:bCs/>
                <w:i/>
                <w:iCs/>
                <w:color w:val="000000"/>
                <w:sz w:val="24"/>
                <w:szCs w:val="24"/>
                <w:lang w:eastAsia="fr-FR"/>
              </w:rPr>
            </w:pPr>
            <w:r w:rsidRPr="004B1DB5">
              <w:rPr>
                <w:rFonts w:ascii="Times New Roman" w:eastAsia="Times New Roman" w:hAnsi="Times New Roman" w:cs="Times New Roman"/>
                <w:b/>
                <w:bCs/>
                <w:i/>
                <w:iCs/>
                <w:color w:val="000000"/>
                <w:sz w:val="24"/>
                <w:szCs w:val="24"/>
                <w:lang w:eastAsia="fr-FR"/>
              </w:rPr>
              <w:t>P</w:t>
            </w:r>
          </w:p>
        </w:tc>
        <w:tc>
          <w:tcPr>
            <w:tcW w:w="1307" w:type="dxa"/>
            <w:tcBorders>
              <w:top w:val="single" w:sz="4" w:space="0" w:color="auto"/>
              <w:left w:val="nil"/>
              <w:bottom w:val="single" w:sz="4" w:space="0" w:color="auto"/>
              <w:right w:val="nil"/>
            </w:tcBorders>
          </w:tcPr>
          <w:p w14:paraId="20017600" w14:textId="77777777" w:rsidR="004227FE" w:rsidRPr="004B1DB5" w:rsidRDefault="004227FE" w:rsidP="00086402">
            <w:pPr>
              <w:spacing w:after="0" w:line="240" w:lineRule="auto"/>
              <w:rPr>
                <w:rFonts w:ascii="Times New Roman" w:eastAsia="Times New Roman" w:hAnsi="Times New Roman" w:cs="Times New Roman"/>
                <w:b/>
                <w:bCs/>
                <w:i/>
                <w:iCs/>
                <w:color w:val="000000"/>
                <w:sz w:val="24"/>
                <w:szCs w:val="24"/>
                <w:lang w:eastAsia="fr-FR"/>
              </w:rPr>
            </w:pPr>
            <w:r w:rsidRPr="004B1DB5">
              <w:rPr>
                <w:rFonts w:ascii="Times New Roman" w:eastAsia="Times New Roman" w:hAnsi="Times New Roman" w:cs="Times New Roman"/>
                <w:b/>
                <w:bCs/>
                <w:i/>
                <w:iCs/>
                <w:color w:val="000000"/>
                <w:sz w:val="24"/>
                <w:szCs w:val="24"/>
                <w:lang w:eastAsia="fr-FR"/>
              </w:rPr>
              <w:t>M/F</w:t>
            </w:r>
          </w:p>
        </w:tc>
      </w:tr>
      <w:tr w:rsidR="004227FE" w:rsidRPr="004B1DB5" w14:paraId="2749B37B" w14:textId="77777777" w:rsidTr="000B0DB0">
        <w:trPr>
          <w:trHeight w:val="315"/>
        </w:trPr>
        <w:tc>
          <w:tcPr>
            <w:tcW w:w="1800" w:type="dxa"/>
            <w:tcBorders>
              <w:top w:val="nil"/>
              <w:left w:val="nil"/>
              <w:bottom w:val="nil"/>
              <w:right w:val="nil"/>
            </w:tcBorders>
            <w:noWrap/>
            <w:vAlign w:val="bottom"/>
            <w:hideMark/>
          </w:tcPr>
          <w:p w14:paraId="11DC581F" w14:textId="77777777" w:rsidR="004227FE" w:rsidRPr="004B1DB5" w:rsidRDefault="004227FE" w:rsidP="00086402">
            <w:pPr>
              <w:spacing w:after="0" w:line="240" w:lineRule="auto"/>
              <w:rPr>
                <w:rFonts w:ascii="Times New Roman" w:eastAsia="Times New Roman" w:hAnsi="Times New Roman" w:cs="Times New Roman"/>
                <w:i/>
                <w:iCs/>
                <w:color w:val="000000"/>
                <w:sz w:val="24"/>
                <w:szCs w:val="24"/>
                <w:lang w:eastAsia="fr-FR"/>
              </w:rPr>
            </w:pPr>
            <w:r w:rsidRPr="004B1DB5">
              <w:rPr>
                <w:rFonts w:ascii="Times New Roman" w:eastAsia="Times New Roman" w:hAnsi="Times New Roman" w:cs="Times New Roman"/>
                <w:i/>
                <w:iCs/>
                <w:color w:val="000000"/>
                <w:sz w:val="24"/>
                <w:szCs w:val="24"/>
                <w:lang w:eastAsia="fr-FR"/>
              </w:rPr>
              <w:t>Taabo cit</w:t>
            </w:r>
            <w:r w:rsidR="000B0DB0" w:rsidRPr="004B1DB5">
              <w:rPr>
                <w:rFonts w:ascii="Times New Roman" w:eastAsia="Times New Roman" w:hAnsi="Times New Roman" w:cs="Times New Roman"/>
                <w:i/>
                <w:iCs/>
                <w:color w:val="000000"/>
                <w:sz w:val="24"/>
                <w:szCs w:val="24"/>
                <w:lang w:eastAsia="fr-FR"/>
              </w:rPr>
              <w:t>y</w:t>
            </w:r>
          </w:p>
        </w:tc>
        <w:tc>
          <w:tcPr>
            <w:tcW w:w="1200" w:type="dxa"/>
            <w:tcBorders>
              <w:top w:val="nil"/>
              <w:left w:val="nil"/>
              <w:bottom w:val="nil"/>
              <w:right w:val="nil"/>
            </w:tcBorders>
            <w:noWrap/>
            <w:vAlign w:val="bottom"/>
            <w:hideMark/>
          </w:tcPr>
          <w:p w14:paraId="4D2D692A"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1397</w:t>
            </w:r>
          </w:p>
        </w:tc>
        <w:tc>
          <w:tcPr>
            <w:tcW w:w="1200" w:type="dxa"/>
            <w:tcBorders>
              <w:top w:val="nil"/>
              <w:left w:val="nil"/>
              <w:bottom w:val="nil"/>
              <w:right w:val="nil"/>
            </w:tcBorders>
            <w:noWrap/>
            <w:vAlign w:val="bottom"/>
            <w:hideMark/>
          </w:tcPr>
          <w:p w14:paraId="62284A2C"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1306</w:t>
            </w:r>
          </w:p>
        </w:tc>
        <w:tc>
          <w:tcPr>
            <w:tcW w:w="1200" w:type="dxa"/>
            <w:tcBorders>
              <w:top w:val="nil"/>
              <w:left w:val="nil"/>
              <w:bottom w:val="nil"/>
              <w:right w:val="nil"/>
            </w:tcBorders>
            <w:noWrap/>
            <w:vAlign w:val="bottom"/>
            <w:hideMark/>
          </w:tcPr>
          <w:p w14:paraId="3EB252A0"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3</w:t>
            </w:r>
            <w:r w:rsidR="003B19DB"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07</w:t>
            </w:r>
          </w:p>
        </w:tc>
        <w:tc>
          <w:tcPr>
            <w:tcW w:w="1200" w:type="dxa"/>
            <w:tcBorders>
              <w:top w:val="nil"/>
              <w:left w:val="nil"/>
              <w:bottom w:val="nil"/>
              <w:right w:val="nil"/>
            </w:tcBorders>
            <w:noWrap/>
            <w:vAlign w:val="bottom"/>
            <w:hideMark/>
          </w:tcPr>
          <w:p w14:paraId="5A189964" w14:textId="77777777" w:rsidR="004227FE" w:rsidRPr="004B1DB5" w:rsidRDefault="004227FE" w:rsidP="00086402">
            <w:pPr>
              <w:spacing w:after="0" w:line="240" w:lineRule="auto"/>
              <w:rPr>
                <w:rFonts w:ascii="Times New Roman" w:eastAsia="Times New Roman" w:hAnsi="Times New Roman" w:cs="Times New Roman"/>
                <w:i/>
                <w:color w:val="000000"/>
                <w:sz w:val="24"/>
                <w:szCs w:val="24"/>
                <w:lang w:eastAsia="fr-FR"/>
              </w:rPr>
            </w:pPr>
            <w:r w:rsidRPr="004B1DB5">
              <w:rPr>
                <w:rFonts w:ascii="Times New Roman" w:eastAsia="Times New Roman" w:hAnsi="Times New Roman" w:cs="Times New Roman"/>
                <w:i/>
                <w:color w:val="000000"/>
                <w:sz w:val="24"/>
                <w:szCs w:val="24"/>
                <w:lang w:eastAsia="fr-FR"/>
              </w:rPr>
              <w:t>0</w:t>
            </w:r>
            <w:r w:rsidR="003B19DB" w:rsidRPr="004B1DB5">
              <w:rPr>
                <w:rFonts w:ascii="Times New Roman" w:eastAsia="Times New Roman" w:hAnsi="Times New Roman" w:cs="Times New Roman"/>
                <w:i/>
                <w:color w:val="000000"/>
                <w:sz w:val="24"/>
                <w:szCs w:val="24"/>
                <w:lang w:eastAsia="fr-FR"/>
              </w:rPr>
              <w:t>.</w:t>
            </w:r>
            <w:r w:rsidRPr="004B1DB5">
              <w:rPr>
                <w:rFonts w:ascii="Times New Roman" w:eastAsia="Times New Roman" w:hAnsi="Times New Roman" w:cs="Times New Roman"/>
                <w:i/>
                <w:color w:val="000000"/>
                <w:sz w:val="24"/>
                <w:szCs w:val="24"/>
                <w:lang w:eastAsia="fr-FR"/>
              </w:rPr>
              <w:t>0797</w:t>
            </w:r>
          </w:p>
        </w:tc>
        <w:tc>
          <w:tcPr>
            <w:tcW w:w="1307" w:type="dxa"/>
            <w:tcBorders>
              <w:top w:val="nil"/>
              <w:left w:val="nil"/>
              <w:bottom w:val="nil"/>
              <w:right w:val="nil"/>
            </w:tcBorders>
          </w:tcPr>
          <w:p w14:paraId="7CC1864A"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07 : 1</w:t>
            </w:r>
          </w:p>
        </w:tc>
      </w:tr>
      <w:tr w:rsidR="004227FE" w:rsidRPr="004B1DB5" w14:paraId="006B656F" w14:textId="77777777" w:rsidTr="000B0DB0">
        <w:trPr>
          <w:trHeight w:val="315"/>
        </w:trPr>
        <w:tc>
          <w:tcPr>
            <w:tcW w:w="1800" w:type="dxa"/>
            <w:tcBorders>
              <w:top w:val="nil"/>
              <w:left w:val="nil"/>
              <w:bottom w:val="nil"/>
              <w:right w:val="nil"/>
            </w:tcBorders>
            <w:noWrap/>
            <w:vAlign w:val="bottom"/>
            <w:hideMark/>
          </w:tcPr>
          <w:p w14:paraId="51772D0E" w14:textId="77777777" w:rsidR="004227FE" w:rsidRPr="004B1DB5" w:rsidRDefault="004227FE" w:rsidP="00086402">
            <w:pPr>
              <w:spacing w:after="0" w:line="240" w:lineRule="auto"/>
              <w:rPr>
                <w:rFonts w:ascii="Times New Roman" w:eastAsia="Times New Roman" w:hAnsi="Times New Roman" w:cs="Times New Roman"/>
                <w:i/>
                <w:iCs/>
                <w:color w:val="000000"/>
                <w:sz w:val="24"/>
                <w:szCs w:val="24"/>
                <w:lang w:eastAsia="fr-FR"/>
              </w:rPr>
            </w:pPr>
            <w:r w:rsidRPr="004B1DB5">
              <w:rPr>
                <w:rFonts w:ascii="Times New Roman" w:eastAsia="Times New Roman" w:hAnsi="Times New Roman" w:cs="Times New Roman"/>
                <w:i/>
                <w:iCs/>
                <w:color w:val="000000"/>
                <w:sz w:val="24"/>
                <w:szCs w:val="24"/>
                <w:lang w:eastAsia="fr-FR"/>
              </w:rPr>
              <w:t>Senegalegoum</w:t>
            </w:r>
          </w:p>
        </w:tc>
        <w:tc>
          <w:tcPr>
            <w:tcW w:w="1200" w:type="dxa"/>
            <w:tcBorders>
              <w:top w:val="nil"/>
              <w:left w:val="nil"/>
              <w:bottom w:val="nil"/>
              <w:right w:val="nil"/>
            </w:tcBorders>
            <w:noWrap/>
            <w:vAlign w:val="bottom"/>
            <w:hideMark/>
          </w:tcPr>
          <w:p w14:paraId="640854D7"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799</w:t>
            </w:r>
          </w:p>
        </w:tc>
        <w:tc>
          <w:tcPr>
            <w:tcW w:w="1200" w:type="dxa"/>
            <w:tcBorders>
              <w:top w:val="nil"/>
              <w:left w:val="nil"/>
              <w:bottom w:val="nil"/>
              <w:right w:val="nil"/>
            </w:tcBorders>
            <w:noWrap/>
            <w:vAlign w:val="bottom"/>
            <w:hideMark/>
          </w:tcPr>
          <w:p w14:paraId="2EABA562"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781</w:t>
            </w:r>
          </w:p>
        </w:tc>
        <w:tc>
          <w:tcPr>
            <w:tcW w:w="1200" w:type="dxa"/>
            <w:tcBorders>
              <w:top w:val="nil"/>
              <w:left w:val="nil"/>
              <w:bottom w:val="nil"/>
              <w:right w:val="nil"/>
            </w:tcBorders>
            <w:noWrap/>
            <w:vAlign w:val="bottom"/>
            <w:hideMark/>
          </w:tcPr>
          <w:p w14:paraId="09F45BF3"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0</w:t>
            </w:r>
            <w:r w:rsidR="003B19DB"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205</w:t>
            </w:r>
          </w:p>
        </w:tc>
        <w:tc>
          <w:tcPr>
            <w:tcW w:w="1200" w:type="dxa"/>
            <w:tcBorders>
              <w:top w:val="nil"/>
              <w:left w:val="nil"/>
              <w:bottom w:val="nil"/>
              <w:right w:val="nil"/>
            </w:tcBorders>
            <w:noWrap/>
            <w:vAlign w:val="bottom"/>
            <w:hideMark/>
          </w:tcPr>
          <w:p w14:paraId="7E78275B" w14:textId="77777777" w:rsidR="004227FE" w:rsidRPr="004B1DB5" w:rsidRDefault="004227FE" w:rsidP="00086402">
            <w:pPr>
              <w:spacing w:after="0" w:line="240" w:lineRule="auto"/>
              <w:rPr>
                <w:rFonts w:ascii="Times New Roman" w:eastAsia="Times New Roman" w:hAnsi="Times New Roman" w:cs="Times New Roman"/>
                <w:i/>
                <w:color w:val="000000"/>
                <w:sz w:val="24"/>
                <w:szCs w:val="24"/>
                <w:lang w:eastAsia="fr-FR"/>
              </w:rPr>
            </w:pPr>
            <w:r w:rsidRPr="004B1DB5">
              <w:rPr>
                <w:rFonts w:ascii="Times New Roman" w:eastAsia="Times New Roman" w:hAnsi="Times New Roman" w:cs="Times New Roman"/>
                <w:i/>
                <w:color w:val="000000"/>
                <w:sz w:val="24"/>
                <w:szCs w:val="24"/>
                <w:lang w:eastAsia="fr-FR"/>
              </w:rPr>
              <w:t>0</w:t>
            </w:r>
            <w:r w:rsidR="003B19DB" w:rsidRPr="004B1DB5">
              <w:rPr>
                <w:rFonts w:ascii="Times New Roman" w:eastAsia="Times New Roman" w:hAnsi="Times New Roman" w:cs="Times New Roman"/>
                <w:i/>
                <w:color w:val="000000"/>
                <w:sz w:val="24"/>
                <w:szCs w:val="24"/>
                <w:lang w:eastAsia="fr-FR"/>
              </w:rPr>
              <w:t>.</w:t>
            </w:r>
            <w:r w:rsidRPr="004B1DB5">
              <w:rPr>
                <w:rFonts w:ascii="Times New Roman" w:eastAsia="Times New Roman" w:hAnsi="Times New Roman" w:cs="Times New Roman"/>
                <w:i/>
                <w:color w:val="000000"/>
                <w:sz w:val="24"/>
                <w:szCs w:val="24"/>
                <w:lang w:eastAsia="fr-FR"/>
              </w:rPr>
              <w:t>6505</w:t>
            </w:r>
          </w:p>
        </w:tc>
        <w:tc>
          <w:tcPr>
            <w:tcW w:w="1307" w:type="dxa"/>
            <w:tcBorders>
              <w:top w:val="nil"/>
              <w:left w:val="nil"/>
              <w:bottom w:val="nil"/>
              <w:right w:val="nil"/>
            </w:tcBorders>
          </w:tcPr>
          <w:p w14:paraId="628AC318"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w:t>
            </w:r>
            <w:r w:rsidR="003B19DB"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02 : 1</w:t>
            </w:r>
          </w:p>
        </w:tc>
      </w:tr>
      <w:tr w:rsidR="004227FE" w:rsidRPr="004B1DB5" w14:paraId="77829991" w14:textId="77777777" w:rsidTr="000B0DB0">
        <w:trPr>
          <w:trHeight w:val="315"/>
        </w:trPr>
        <w:tc>
          <w:tcPr>
            <w:tcW w:w="1800" w:type="dxa"/>
            <w:tcBorders>
              <w:top w:val="nil"/>
              <w:left w:val="nil"/>
              <w:bottom w:val="nil"/>
              <w:right w:val="nil"/>
            </w:tcBorders>
            <w:noWrap/>
            <w:vAlign w:val="bottom"/>
            <w:hideMark/>
          </w:tcPr>
          <w:p w14:paraId="331F1483" w14:textId="77777777" w:rsidR="004227FE" w:rsidRPr="004B1DB5" w:rsidRDefault="004227FE" w:rsidP="00086402">
            <w:pPr>
              <w:spacing w:after="0" w:line="240" w:lineRule="auto"/>
              <w:rPr>
                <w:rFonts w:ascii="Times New Roman" w:eastAsia="Times New Roman" w:hAnsi="Times New Roman" w:cs="Times New Roman"/>
                <w:i/>
                <w:iCs/>
                <w:color w:val="000000"/>
                <w:sz w:val="24"/>
                <w:szCs w:val="24"/>
                <w:lang w:eastAsia="fr-FR"/>
              </w:rPr>
            </w:pPr>
            <w:r w:rsidRPr="004B1DB5">
              <w:rPr>
                <w:rFonts w:ascii="Times New Roman" w:eastAsia="Times New Roman" w:hAnsi="Times New Roman" w:cs="Times New Roman"/>
                <w:i/>
                <w:iCs/>
                <w:color w:val="000000"/>
                <w:sz w:val="24"/>
                <w:szCs w:val="24"/>
                <w:lang w:eastAsia="fr-FR"/>
              </w:rPr>
              <w:t>Di</w:t>
            </w:r>
            <w:r w:rsidR="000B0DB0" w:rsidRPr="004B1DB5">
              <w:rPr>
                <w:rFonts w:ascii="Times New Roman" w:eastAsia="Times New Roman" w:hAnsi="Times New Roman" w:cs="Times New Roman"/>
                <w:i/>
                <w:iCs/>
                <w:color w:val="000000"/>
                <w:sz w:val="24"/>
                <w:szCs w:val="24"/>
                <w:lang w:eastAsia="fr-FR"/>
              </w:rPr>
              <w:t>k</w:t>
            </w:r>
            <w:r w:rsidRPr="004B1DB5">
              <w:rPr>
                <w:rFonts w:ascii="Times New Roman" w:eastAsia="Times New Roman" w:hAnsi="Times New Roman" w:cs="Times New Roman"/>
                <w:i/>
                <w:iCs/>
                <w:color w:val="000000"/>
                <w:sz w:val="24"/>
                <w:szCs w:val="24"/>
                <w:lang w:eastAsia="fr-FR"/>
              </w:rPr>
              <w:t>e</w:t>
            </w:r>
          </w:p>
        </w:tc>
        <w:tc>
          <w:tcPr>
            <w:tcW w:w="1200" w:type="dxa"/>
            <w:tcBorders>
              <w:top w:val="nil"/>
              <w:left w:val="nil"/>
              <w:bottom w:val="nil"/>
              <w:right w:val="nil"/>
            </w:tcBorders>
            <w:noWrap/>
            <w:vAlign w:val="bottom"/>
            <w:hideMark/>
          </w:tcPr>
          <w:p w14:paraId="4A62C07B"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613</w:t>
            </w:r>
          </w:p>
        </w:tc>
        <w:tc>
          <w:tcPr>
            <w:tcW w:w="1200" w:type="dxa"/>
            <w:tcBorders>
              <w:top w:val="nil"/>
              <w:left w:val="nil"/>
              <w:bottom w:val="nil"/>
              <w:right w:val="nil"/>
            </w:tcBorders>
            <w:noWrap/>
            <w:vAlign w:val="bottom"/>
            <w:hideMark/>
          </w:tcPr>
          <w:p w14:paraId="497EFA53"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365</w:t>
            </w:r>
          </w:p>
        </w:tc>
        <w:tc>
          <w:tcPr>
            <w:tcW w:w="1200" w:type="dxa"/>
            <w:tcBorders>
              <w:top w:val="nil"/>
              <w:left w:val="nil"/>
              <w:bottom w:val="nil"/>
              <w:right w:val="nil"/>
            </w:tcBorders>
            <w:noWrap/>
            <w:vAlign w:val="bottom"/>
            <w:hideMark/>
          </w:tcPr>
          <w:p w14:paraId="275616D3"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63</w:t>
            </w:r>
            <w:r w:rsidR="003B19DB"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06</w:t>
            </w:r>
          </w:p>
        </w:tc>
        <w:tc>
          <w:tcPr>
            <w:tcW w:w="1200" w:type="dxa"/>
            <w:tcBorders>
              <w:top w:val="nil"/>
              <w:left w:val="nil"/>
              <w:bottom w:val="nil"/>
              <w:right w:val="nil"/>
            </w:tcBorders>
            <w:noWrap/>
            <w:vAlign w:val="bottom"/>
            <w:hideMark/>
          </w:tcPr>
          <w:p w14:paraId="2CB659DF" w14:textId="77777777" w:rsidR="004227FE" w:rsidRPr="004B1DB5" w:rsidRDefault="004227FE" w:rsidP="00086402">
            <w:pPr>
              <w:spacing w:after="0" w:line="240" w:lineRule="auto"/>
              <w:rPr>
                <w:rFonts w:ascii="Times New Roman" w:eastAsia="Times New Roman" w:hAnsi="Times New Roman" w:cs="Times New Roman"/>
                <w:i/>
                <w:color w:val="000000"/>
                <w:sz w:val="24"/>
                <w:szCs w:val="24"/>
                <w:lang w:eastAsia="fr-FR"/>
              </w:rPr>
            </w:pPr>
            <w:r w:rsidRPr="004B1DB5">
              <w:rPr>
                <w:rFonts w:ascii="Times New Roman" w:eastAsia="Times New Roman" w:hAnsi="Times New Roman" w:cs="Times New Roman"/>
                <w:i/>
                <w:color w:val="000000"/>
                <w:sz w:val="24"/>
                <w:szCs w:val="24"/>
                <w:lang w:eastAsia="fr-FR"/>
              </w:rPr>
              <w:t>˂0</w:t>
            </w:r>
            <w:r w:rsidR="00472F5F" w:rsidRPr="004B1DB5">
              <w:rPr>
                <w:rFonts w:ascii="Times New Roman" w:eastAsia="Times New Roman" w:hAnsi="Times New Roman" w:cs="Times New Roman"/>
                <w:i/>
                <w:color w:val="000000"/>
                <w:sz w:val="24"/>
                <w:szCs w:val="24"/>
                <w:lang w:eastAsia="fr-FR"/>
              </w:rPr>
              <w:t>.</w:t>
            </w:r>
            <w:r w:rsidRPr="004B1DB5">
              <w:rPr>
                <w:rFonts w:ascii="Times New Roman" w:eastAsia="Times New Roman" w:hAnsi="Times New Roman" w:cs="Times New Roman"/>
                <w:i/>
                <w:color w:val="000000"/>
                <w:sz w:val="24"/>
                <w:szCs w:val="24"/>
                <w:lang w:eastAsia="fr-FR"/>
              </w:rPr>
              <w:t>001</w:t>
            </w:r>
          </w:p>
        </w:tc>
        <w:tc>
          <w:tcPr>
            <w:tcW w:w="1307" w:type="dxa"/>
            <w:tcBorders>
              <w:top w:val="nil"/>
              <w:left w:val="nil"/>
              <w:bottom w:val="nil"/>
              <w:right w:val="nil"/>
            </w:tcBorders>
          </w:tcPr>
          <w:p w14:paraId="6AA282D8"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w:t>
            </w:r>
            <w:r w:rsidR="003B19DB"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68 : 1</w:t>
            </w:r>
          </w:p>
        </w:tc>
      </w:tr>
      <w:tr w:rsidR="004227FE" w:rsidRPr="004B1DB5" w14:paraId="6C4C6867" w14:textId="77777777" w:rsidTr="000B0DB0">
        <w:trPr>
          <w:trHeight w:val="315"/>
        </w:trPr>
        <w:tc>
          <w:tcPr>
            <w:tcW w:w="1800" w:type="dxa"/>
            <w:tcBorders>
              <w:top w:val="nil"/>
              <w:left w:val="nil"/>
              <w:bottom w:val="nil"/>
              <w:right w:val="nil"/>
            </w:tcBorders>
            <w:noWrap/>
            <w:vAlign w:val="bottom"/>
            <w:hideMark/>
          </w:tcPr>
          <w:p w14:paraId="684A4E9A" w14:textId="77777777" w:rsidR="004227FE" w:rsidRPr="004B1DB5" w:rsidRDefault="004227FE" w:rsidP="00086402">
            <w:pPr>
              <w:spacing w:after="0" w:line="240" w:lineRule="auto"/>
              <w:rPr>
                <w:rFonts w:ascii="Times New Roman" w:eastAsia="Times New Roman" w:hAnsi="Times New Roman" w:cs="Times New Roman"/>
                <w:i/>
                <w:iCs/>
                <w:color w:val="000000"/>
                <w:sz w:val="24"/>
                <w:szCs w:val="24"/>
                <w:lang w:eastAsia="fr-FR"/>
              </w:rPr>
            </w:pPr>
            <w:r w:rsidRPr="004B1DB5">
              <w:rPr>
                <w:rFonts w:ascii="Times New Roman" w:eastAsia="Times New Roman" w:hAnsi="Times New Roman" w:cs="Times New Roman"/>
                <w:i/>
                <w:iCs/>
                <w:color w:val="000000"/>
                <w:sz w:val="24"/>
                <w:szCs w:val="24"/>
                <w:lang w:eastAsia="fr-FR"/>
              </w:rPr>
              <w:t>Port</w:t>
            </w:r>
          </w:p>
        </w:tc>
        <w:tc>
          <w:tcPr>
            <w:tcW w:w="1200" w:type="dxa"/>
            <w:tcBorders>
              <w:top w:val="nil"/>
              <w:left w:val="nil"/>
              <w:bottom w:val="nil"/>
              <w:right w:val="nil"/>
            </w:tcBorders>
            <w:noWrap/>
            <w:vAlign w:val="bottom"/>
            <w:hideMark/>
          </w:tcPr>
          <w:p w14:paraId="05B65EC3"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381</w:t>
            </w:r>
          </w:p>
        </w:tc>
        <w:tc>
          <w:tcPr>
            <w:tcW w:w="1200" w:type="dxa"/>
            <w:tcBorders>
              <w:top w:val="nil"/>
              <w:left w:val="nil"/>
              <w:bottom w:val="nil"/>
              <w:right w:val="nil"/>
            </w:tcBorders>
            <w:noWrap/>
            <w:vAlign w:val="bottom"/>
            <w:hideMark/>
          </w:tcPr>
          <w:p w14:paraId="405E1922"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386</w:t>
            </w:r>
          </w:p>
        </w:tc>
        <w:tc>
          <w:tcPr>
            <w:tcW w:w="1200" w:type="dxa"/>
            <w:tcBorders>
              <w:top w:val="nil"/>
              <w:left w:val="nil"/>
              <w:bottom w:val="nil"/>
              <w:right w:val="nil"/>
            </w:tcBorders>
            <w:noWrap/>
            <w:vAlign w:val="bottom"/>
            <w:hideMark/>
          </w:tcPr>
          <w:p w14:paraId="74F71353"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0</w:t>
            </w:r>
            <w:r w:rsidR="003B19DB"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033</w:t>
            </w:r>
          </w:p>
        </w:tc>
        <w:tc>
          <w:tcPr>
            <w:tcW w:w="1200" w:type="dxa"/>
            <w:tcBorders>
              <w:top w:val="nil"/>
              <w:left w:val="nil"/>
              <w:bottom w:val="nil"/>
              <w:right w:val="nil"/>
            </w:tcBorders>
            <w:noWrap/>
            <w:vAlign w:val="bottom"/>
            <w:hideMark/>
          </w:tcPr>
          <w:p w14:paraId="45AD5F86" w14:textId="77777777" w:rsidR="004227FE" w:rsidRPr="004B1DB5" w:rsidRDefault="004227FE" w:rsidP="00086402">
            <w:pPr>
              <w:spacing w:after="0" w:line="240" w:lineRule="auto"/>
              <w:rPr>
                <w:rFonts w:ascii="Times New Roman" w:eastAsia="Times New Roman" w:hAnsi="Times New Roman" w:cs="Times New Roman"/>
                <w:i/>
                <w:color w:val="000000"/>
                <w:sz w:val="24"/>
                <w:szCs w:val="24"/>
                <w:lang w:eastAsia="fr-FR"/>
              </w:rPr>
            </w:pPr>
            <w:r w:rsidRPr="004B1DB5">
              <w:rPr>
                <w:rFonts w:ascii="Times New Roman" w:eastAsia="Times New Roman" w:hAnsi="Times New Roman" w:cs="Times New Roman"/>
                <w:i/>
                <w:color w:val="000000"/>
                <w:sz w:val="24"/>
                <w:szCs w:val="24"/>
                <w:lang w:eastAsia="fr-FR"/>
              </w:rPr>
              <w:t>0</w:t>
            </w:r>
            <w:r w:rsidR="00472F5F" w:rsidRPr="004B1DB5">
              <w:rPr>
                <w:rFonts w:ascii="Times New Roman" w:eastAsia="Times New Roman" w:hAnsi="Times New Roman" w:cs="Times New Roman"/>
                <w:i/>
                <w:color w:val="000000"/>
                <w:sz w:val="24"/>
                <w:szCs w:val="24"/>
                <w:lang w:eastAsia="fr-FR"/>
              </w:rPr>
              <w:t>.</w:t>
            </w:r>
            <w:r w:rsidRPr="004B1DB5">
              <w:rPr>
                <w:rFonts w:ascii="Times New Roman" w:eastAsia="Times New Roman" w:hAnsi="Times New Roman" w:cs="Times New Roman"/>
                <w:i/>
                <w:color w:val="000000"/>
                <w:sz w:val="24"/>
                <w:szCs w:val="24"/>
                <w:lang w:eastAsia="fr-FR"/>
              </w:rPr>
              <w:t>8564</w:t>
            </w:r>
          </w:p>
        </w:tc>
        <w:tc>
          <w:tcPr>
            <w:tcW w:w="1307" w:type="dxa"/>
            <w:tcBorders>
              <w:top w:val="nil"/>
              <w:left w:val="nil"/>
              <w:bottom w:val="nil"/>
              <w:right w:val="nil"/>
            </w:tcBorders>
          </w:tcPr>
          <w:p w14:paraId="273661A3"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 : 1</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01</w:t>
            </w:r>
          </w:p>
        </w:tc>
      </w:tr>
      <w:tr w:rsidR="004227FE" w:rsidRPr="004B1DB5" w14:paraId="230BC0BA" w14:textId="77777777" w:rsidTr="000B0DB0">
        <w:trPr>
          <w:trHeight w:val="315"/>
        </w:trPr>
        <w:tc>
          <w:tcPr>
            <w:tcW w:w="1800" w:type="dxa"/>
            <w:tcBorders>
              <w:top w:val="nil"/>
              <w:left w:val="nil"/>
              <w:bottom w:val="nil"/>
              <w:right w:val="nil"/>
            </w:tcBorders>
            <w:noWrap/>
            <w:vAlign w:val="bottom"/>
            <w:hideMark/>
          </w:tcPr>
          <w:p w14:paraId="4A4E2E7B" w14:textId="77777777" w:rsidR="004227FE" w:rsidRPr="004B1DB5" w:rsidRDefault="004227FE" w:rsidP="00086402">
            <w:pPr>
              <w:spacing w:after="0" w:line="240" w:lineRule="auto"/>
              <w:rPr>
                <w:rFonts w:ascii="Times New Roman" w:eastAsia="Times New Roman" w:hAnsi="Times New Roman" w:cs="Times New Roman"/>
                <w:i/>
                <w:iCs/>
                <w:color w:val="000000"/>
                <w:sz w:val="24"/>
                <w:szCs w:val="24"/>
                <w:lang w:eastAsia="fr-FR"/>
              </w:rPr>
            </w:pPr>
            <w:r w:rsidRPr="004B1DB5">
              <w:rPr>
                <w:rFonts w:ascii="Times New Roman" w:eastAsia="Times New Roman" w:hAnsi="Times New Roman" w:cs="Times New Roman"/>
                <w:i/>
                <w:iCs/>
                <w:color w:val="000000"/>
                <w:sz w:val="24"/>
                <w:szCs w:val="24"/>
                <w:lang w:eastAsia="fr-FR"/>
              </w:rPr>
              <w:lastRenderedPageBreak/>
              <w:t>Antonio</w:t>
            </w:r>
          </w:p>
        </w:tc>
        <w:tc>
          <w:tcPr>
            <w:tcW w:w="1200" w:type="dxa"/>
            <w:tcBorders>
              <w:top w:val="nil"/>
              <w:left w:val="nil"/>
              <w:bottom w:val="nil"/>
              <w:right w:val="nil"/>
            </w:tcBorders>
            <w:noWrap/>
            <w:vAlign w:val="bottom"/>
            <w:hideMark/>
          </w:tcPr>
          <w:p w14:paraId="3459F04A"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519</w:t>
            </w:r>
          </w:p>
        </w:tc>
        <w:tc>
          <w:tcPr>
            <w:tcW w:w="1200" w:type="dxa"/>
            <w:tcBorders>
              <w:top w:val="nil"/>
              <w:left w:val="nil"/>
              <w:bottom w:val="nil"/>
              <w:right w:val="nil"/>
            </w:tcBorders>
            <w:noWrap/>
            <w:vAlign w:val="bottom"/>
            <w:hideMark/>
          </w:tcPr>
          <w:p w14:paraId="796404EC"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1044</w:t>
            </w:r>
          </w:p>
        </w:tc>
        <w:tc>
          <w:tcPr>
            <w:tcW w:w="1200" w:type="dxa"/>
            <w:tcBorders>
              <w:top w:val="nil"/>
              <w:left w:val="nil"/>
              <w:bottom w:val="nil"/>
              <w:right w:val="nil"/>
            </w:tcBorders>
            <w:noWrap/>
            <w:vAlign w:val="bottom"/>
            <w:hideMark/>
          </w:tcPr>
          <w:p w14:paraId="0D1DBADD"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176</w:t>
            </w:r>
            <w:r w:rsidR="003B19DB"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4</w:t>
            </w:r>
          </w:p>
        </w:tc>
        <w:tc>
          <w:tcPr>
            <w:tcW w:w="1200" w:type="dxa"/>
            <w:tcBorders>
              <w:top w:val="nil"/>
              <w:left w:val="nil"/>
              <w:bottom w:val="nil"/>
              <w:right w:val="nil"/>
            </w:tcBorders>
            <w:noWrap/>
            <w:vAlign w:val="bottom"/>
            <w:hideMark/>
          </w:tcPr>
          <w:p w14:paraId="48965DC4" w14:textId="77777777" w:rsidR="004227FE" w:rsidRPr="004B1DB5" w:rsidRDefault="004227FE" w:rsidP="00086402">
            <w:pPr>
              <w:spacing w:after="0" w:line="240" w:lineRule="auto"/>
              <w:rPr>
                <w:rFonts w:ascii="Times New Roman" w:eastAsia="Times New Roman" w:hAnsi="Times New Roman" w:cs="Times New Roman"/>
                <w:i/>
                <w:color w:val="000000"/>
                <w:sz w:val="24"/>
                <w:szCs w:val="24"/>
                <w:lang w:eastAsia="fr-FR"/>
              </w:rPr>
            </w:pPr>
            <w:r w:rsidRPr="004B1DB5">
              <w:rPr>
                <w:rFonts w:ascii="Times New Roman" w:eastAsia="Times New Roman" w:hAnsi="Times New Roman" w:cs="Times New Roman"/>
                <w:i/>
                <w:color w:val="000000"/>
                <w:sz w:val="24"/>
                <w:szCs w:val="24"/>
                <w:lang w:eastAsia="fr-FR"/>
              </w:rPr>
              <w:t>˂0</w:t>
            </w:r>
            <w:r w:rsidR="00472F5F" w:rsidRPr="004B1DB5">
              <w:rPr>
                <w:rFonts w:ascii="Times New Roman" w:eastAsia="Times New Roman" w:hAnsi="Times New Roman" w:cs="Times New Roman"/>
                <w:i/>
                <w:color w:val="000000"/>
                <w:sz w:val="24"/>
                <w:szCs w:val="24"/>
                <w:lang w:eastAsia="fr-FR"/>
              </w:rPr>
              <w:t>.</w:t>
            </w:r>
            <w:r w:rsidRPr="004B1DB5">
              <w:rPr>
                <w:rFonts w:ascii="Times New Roman" w:eastAsia="Times New Roman" w:hAnsi="Times New Roman" w:cs="Times New Roman"/>
                <w:i/>
                <w:color w:val="000000"/>
                <w:sz w:val="24"/>
                <w:szCs w:val="24"/>
                <w:lang w:eastAsia="fr-FR"/>
              </w:rPr>
              <w:t>001</w:t>
            </w:r>
          </w:p>
        </w:tc>
        <w:tc>
          <w:tcPr>
            <w:tcW w:w="1307" w:type="dxa"/>
            <w:tcBorders>
              <w:top w:val="nil"/>
              <w:left w:val="nil"/>
              <w:bottom w:val="nil"/>
              <w:right w:val="nil"/>
            </w:tcBorders>
          </w:tcPr>
          <w:p w14:paraId="4B980BDB"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 : 2</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01</w:t>
            </w:r>
          </w:p>
        </w:tc>
      </w:tr>
      <w:tr w:rsidR="004227FE" w:rsidRPr="004B1DB5" w14:paraId="43528D43" w14:textId="77777777" w:rsidTr="000B0DB0">
        <w:trPr>
          <w:trHeight w:val="315"/>
        </w:trPr>
        <w:tc>
          <w:tcPr>
            <w:tcW w:w="1800" w:type="dxa"/>
            <w:tcBorders>
              <w:top w:val="nil"/>
              <w:left w:val="nil"/>
              <w:bottom w:val="nil"/>
              <w:right w:val="nil"/>
            </w:tcBorders>
            <w:noWrap/>
            <w:vAlign w:val="bottom"/>
            <w:hideMark/>
          </w:tcPr>
          <w:p w14:paraId="14ED7631" w14:textId="77777777" w:rsidR="004227FE" w:rsidRPr="004B1DB5" w:rsidRDefault="004227FE" w:rsidP="00086402">
            <w:pPr>
              <w:spacing w:after="0" w:line="240" w:lineRule="auto"/>
              <w:rPr>
                <w:rFonts w:ascii="Times New Roman" w:eastAsia="Times New Roman" w:hAnsi="Times New Roman" w:cs="Times New Roman"/>
                <w:i/>
                <w:iCs/>
                <w:color w:val="000000"/>
                <w:sz w:val="24"/>
                <w:szCs w:val="24"/>
                <w:lang w:eastAsia="fr-FR"/>
              </w:rPr>
            </w:pPr>
            <w:r w:rsidRPr="004B1DB5">
              <w:rPr>
                <w:rFonts w:ascii="Times New Roman" w:eastAsia="Times New Roman" w:hAnsi="Times New Roman" w:cs="Times New Roman"/>
                <w:i/>
                <w:iCs/>
                <w:color w:val="000000"/>
                <w:sz w:val="24"/>
                <w:szCs w:val="24"/>
                <w:lang w:eastAsia="fr-FR"/>
              </w:rPr>
              <w:t>Courandjourou</w:t>
            </w:r>
          </w:p>
        </w:tc>
        <w:tc>
          <w:tcPr>
            <w:tcW w:w="1200" w:type="dxa"/>
            <w:tcBorders>
              <w:top w:val="nil"/>
              <w:left w:val="nil"/>
              <w:bottom w:val="nil"/>
              <w:right w:val="nil"/>
            </w:tcBorders>
            <w:noWrap/>
            <w:vAlign w:val="bottom"/>
            <w:hideMark/>
          </w:tcPr>
          <w:p w14:paraId="74DBE860"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135</w:t>
            </w:r>
          </w:p>
        </w:tc>
        <w:tc>
          <w:tcPr>
            <w:tcW w:w="1200" w:type="dxa"/>
            <w:tcBorders>
              <w:top w:val="nil"/>
              <w:left w:val="nil"/>
              <w:bottom w:val="nil"/>
              <w:right w:val="nil"/>
            </w:tcBorders>
            <w:noWrap/>
            <w:vAlign w:val="bottom"/>
            <w:hideMark/>
          </w:tcPr>
          <w:p w14:paraId="336E9C05"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625</w:t>
            </w:r>
          </w:p>
        </w:tc>
        <w:tc>
          <w:tcPr>
            <w:tcW w:w="1200" w:type="dxa"/>
            <w:tcBorders>
              <w:top w:val="nil"/>
              <w:left w:val="nil"/>
              <w:bottom w:val="nil"/>
              <w:right w:val="nil"/>
            </w:tcBorders>
            <w:noWrap/>
            <w:vAlign w:val="bottom"/>
            <w:hideMark/>
          </w:tcPr>
          <w:p w14:paraId="35642A15"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315</w:t>
            </w:r>
            <w:r w:rsidR="003B19DB"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8</w:t>
            </w:r>
          </w:p>
        </w:tc>
        <w:tc>
          <w:tcPr>
            <w:tcW w:w="1200" w:type="dxa"/>
            <w:tcBorders>
              <w:top w:val="nil"/>
              <w:left w:val="nil"/>
              <w:bottom w:val="nil"/>
              <w:right w:val="nil"/>
            </w:tcBorders>
            <w:noWrap/>
            <w:vAlign w:val="bottom"/>
            <w:hideMark/>
          </w:tcPr>
          <w:p w14:paraId="5EAF3F4B" w14:textId="77777777" w:rsidR="004227FE" w:rsidRPr="004B1DB5" w:rsidRDefault="004227FE" w:rsidP="00086402">
            <w:pPr>
              <w:spacing w:after="0" w:line="240" w:lineRule="auto"/>
              <w:rPr>
                <w:rFonts w:ascii="Times New Roman" w:eastAsia="Times New Roman" w:hAnsi="Times New Roman" w:cs="Times New Roman"/>
                <w:i/>
                <w:color w:val="000000"/>
                <w:sz w:val="24"/>
                <w:szCs w:val="24"/>
                <w:lang w:eastAsia="fr-FR"/>
              </w:rPr>
            </w:pPr>
            <w:r w:rsidRPr="004B1DB5">
              <w:rPr>
                <w:rFonts w:ascii="Times New Roman" w:eastAsia="Times New Roman" w:hAnsi="Times New Roman" w:cs="Times New Roman"/>
                <w:i/>
                <w:color w:val="000000"/>
                <w:sz w:val="24"/>
                <w:szCs w:val="24"/>
                <w:lang w:eastAsia="fr-FR"/>
              </w:rPr>
              <w:t>˂0</w:t>
            </w:r>
            <w:r w:rsidR="003B19DB" w:rsidRPr="004B1DB5">
              <w:rPr>
                <w:rFonts w:ascii="Times New Roman" w:eastAsia="Times New Roman" w:hAnsi="Times New Roman" w:cs="Times New Roman"/>
                <w:i/>
                <w:color w:val="000000"/>
                <w:sz w:val="24"/>
                <w:szCs w:val="24"/>
                <w:lang w:eastAsia="fr-FR"/>
              </w:rPr>
              <w:t>.</w:t>
            </w:r>
            <w:r w:rsidRPr="004B1DB5">
              <w:rPr>
                <w:rFonts w:ascii="Times New Roman" w:eastAsia="Times New Roman" w:hAnsi="Times New Roman" w:cs="Times New Roman"/>
                <w:i/>
                <w:color w:val="000000"/>
                <w:sz w:val="24"/>
                <w:szCs w:val="24"/>
                <w:lang w:eastAsia="fr-FR"/>
              </w:rPr>
              <w:t>001</w:t>
            </w:r>
          </w:p>
        </w:tc>
        <w:tc>
          <w:tcPr>
            <w:tcW w:w="1307" w:type="dxa"/>
            <w:tcBorders>
              <w:top w:val="nil"/>
              <w:left w:val="nil"/>
              <w:bottom w:val="nil"/>
              <w:right w:val="nil"/>
            </w:tcBorders>
          </w:tcPr>
          <w:p w14:paraId="041C0E05"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 : 4</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63</w:t>
            </w:r>
          </w:p>
        </w:tc>
      </w:tr>
      <w:tr w:rsidR="004227FE" w:rsidRPr="004B1DB5" w14:paraId="0AD2797D" w14:textId="77777777" w:rsidTr="000B0DB0">
        <w:trPr>
          <w:trHeight w:val="315"/>
        </w:trPr>
        <w:tc>
          <w:tcPr>
            <w:tcW w:w="1800" w:type="dxa"/>
            <w:tcBorders>
              <w:top w:val="nil"/>
              <w:left w:val="nil"/>
              <w:bottom w:val="single" w:sz="4" w:space="0" w:color="auto"/>
              <w:right w:val="nil"/>
            </w:tcBorders>
            <w:noWrap/>
            <w:vAlign w:val="bottom"/>
            <w:hideMark/>
          </w:tcPr>
          <w:p w14:paraId="51022D10" w14:textId="77777777" w:rsidR="004227FE" w:rsidRPr="004B1DB5" w:rsidRDefault="004227FE" w:rsidP="00086402">
            <w:pPr>
              <w:spacing w:after="0" w:line="240" w:lineRule="auto"/>
              <w:rPr>
                <w:rFonts w:ascii="Times New Roman" w:eastAsia="Times New Roman" w:hAnsi="Times New Roman" w:cs="Times New Roman"/>
                <w:i/>
                <w:iCs/>
                <w:color w:val="000000"/>
                <w:sz w:val="24"/>
                <w:szCs w:val="24"/>
                <w:lang w:eastAsia="fr-FR"/>
              </w:rPr>
            </w:pPr>
            <w:r w:rsidRPr="004B1DB5">
              <w:rPr>
                <w:rFonts w:ascii="Times New Roman" w:eastAsia="Times New Roman" w:hAnsi="Times New Roman" w:cs="Times New Roman"/>
                <w:i/>
                <w:iCs/>
                <w:color w:val="000000"/>
                <w:sz w:val="24"/>
                <w:szCs w:val="24"/>
                <w:lang w:eastAsia="fr-FR"/>
              </w:rPr>
              <w:t>Is</w:t>
            </w:r>
            <w:r w:rsidR="000B0DB0" w:rsidRPr="004B1DB5">
              <w:rPr>
                <w:rFonts w:ascii="Times New Roman" w:eastAsia="Times New Roman" w:hAnsi="Times New Roman" w:cs="Times New Roman"/>
                <w:i/>
                <w:iCs/>
                <w:color w:val="000000"/>
                <w:sz w:val="24"/>
                <w:szCs w:val="24"/>
                <w:lang w:eastAsia="fr-FR"/>
              </w:rPr>
              <w:t>lands</w:t>
            </w:r>
          </w:p>
        </w:tc>
        <w:tc>
          <w:tcPr>
            <w:tcW w:w="1200" w:type="dxa"/>
            <w:tcBorders>
              <w:top w:val="nil"/>
              <w:left w:val="nil"/>
              <w:bottom w:val="single" w:sz="4" w:space="0" w:color="auto"/>
              <w:right w:val="nil"/>
            </w:tcBorders>
            <w:noWrap/>
            <w:vAlign w:val="bottom"/>
            <w:hideMark/>
          </w:tcPr>
          <w:p w14:paraId="5B87A3F7"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 72</w:t>
            </w:r>
          </w:p>
        </w:tc>
        <w:tc>
          <w:tcPr>
            <w:tcW w:w="1200" w:type="dxa"/>
            <w:tcBorders>
              <w:top w:val="nil"/>
              <w:left w:val="nil"/>
              <w:bottom w:val="single" w:sz="4" w:space="0" w:color="auto"/>
              <w:right w:val="nil"/>
            </w:tcBorders>
            <w:noWrap/>
            <w:vAlign w:val="bottom"/>
            <w:hideMark/>
          </w:tcPr>
          <w:p w14:paraId="7DAA1CCF"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55 </w:t>
            </w:r>
          </w:p>
        </w:tc>
        <w:tc>
          <w:tcPr>
            <w:tcW w:w="1200" w:type="dxa"/>
            <w:tcBorders>
              <w:top w:val="nil"/>
              <w:left w:val="nil"/>
              <w:bottom w:val="single" w:sz="4" w:space="0" w:color="auto"/>
              <w:right w:val="nil"/>
            </w:tcBorders>
            <w:noWrap/>
            <w:vAlign w:val="bottom"/>
            <w:hideMark/>
          </w:tcPr>
          <w:p w14:paraId="0220287D"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 2</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28</w:t>
            </w:r>
          </w:p>
        </w:tc>
        <w:tc>
          <w:tcPr>
            <w:tcW w:w="1200" w:type="dxa"/>
            <w:tcBorders>
              <w:top w:val="nil"/>
              <w:left w:val="nil"/>
              <w:bottom w:val="single" w:sz="4" w:space="0" w:color="auto"/>
              <w:right w:val="nil"/>
            </w:tcBorders>
            <w:noWrap/>
            <w:vAlign w:val="bottom"/>
            <w:hideMark/>
          </w:tcPr>
          <w:p w14:paraId="26BDFD7B" w14:textId="77777777" w:rsidR="004227FE" w:rsidRPr="004B1DB5" w:rsidRDefault="004227FE" w:rsidP="00086402">
            <w:pPr>
              <w:spacing w:after="0" w:line="240" w:lineRule="auto"/>
              <w:rPr>
                <w:rFonts w:ascii="Times New Roman" w:eastAsia="Times New Roman" w:hAnsi="Times New Roman" w:cs="Times New Roman"/>
                <w:i/>
                <w:color w:val="000000"/>
                <w:sz w:val="24"/>
                <w:szCs w:val="24"/>
                <w:lang w:eastAsia="fr-FR"/>
              </w:rPr>
            </w:pPr>
            <w:r w:rsidRPr="004B1DB5">
              <w:rPr>
                <w:rFonts w:ascii="Times New Roman" w:eastAsia="Times New Roman" w:hAnsi="Times New Roman" w:cs="Times New Roman"/>
                <w:i/>
                <w:color w:val="000000"/>
                <w:sz w:val="24"/>
                <w:szCs w:val="24"/>
                <w:lang w:eastAsia="fr-FR"/>
              </w:rPr>
              <w:t> 0</w:t>
            </w:r>
            <w:r w:rsidR="003B19DB" w:rsidRPr="004B1DB5">
              <w:rPr>
                <w:rFonts w:ascii="Times New Roman" w:eastAsia="Times New Roman" w:hAnsi="Times New Roman" w:cs="Times New Roman"/>
                <w:i/>
                <w:color w:val="000000"/>
                <w:sz w:val="24"/>
                <w:szCs w:val="24"/>
                <w:lang w:eastAsia="fr-FR"/>
              </w:rPr>
              <w:t>.</w:t>
            </w:r>
            <w:r w:rsidRPr="004B1DB5">
              <w:rPr>
                <w:rFonts w:ascii="Times New Roman" w:eastAsia="Times New Roman" w:hAnsi="Times New Roman" w:cs="Times New Roman"/>
                <w:i/>
                <w:color w:val="000000"/>
                <w:sz w:val="24"/>
                <w:szCs w:val="24"/>
                <w:lang w:eastAsia="fr-FR"/>
              </w:rPr>
              <w:t>1313</w:t>
            </w:r>
          </w:p>
        </w:tc>
        <w:tc>
          <w:tcPr>
            <w:tcW w:w="1307" w:type="dxa"/>
            <w:tcBorders>
              <w:top w:val="nil"/>
              <w:left w:val="nil"/>
              <w:bottom w:val="single" w:sz="4" w:space="0" w:color="auto"/>
              <w:right w:val="nil"/>
            </w:tcBorders>
          </w:tcPr>
          <w:p w14:paraId="61B228C2" w14:textId="77777777" w:rsidR="004227FE" w:rsidRPr="004B1DB5" w:rsidRDefault="004227FE"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w:t>
            </w:r>
            <w:r w:rsidR="003B19DB"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31 : 1</w:t>
            </w:r>
          </w:p>
        </w:tc>
      </w:tr>
    </w:tbl>
    <w:p w14:paraId="478B702D" w14:textId="77777777" w:rsidR="000B0DB0" w:rsidRPr="004B1DB5" w:rsidRDefault="000B0DB0" w:rsidP="000B0DB0">
      <w:pPr>
        <w:pStyle w:val="NormalWeb"/>
        <w:ind w:firstLine="720"/>
        <w:rPr>
          <w:i/>
        </w:rPr>
      </w:pPr>
      <w:r w:rsidRPr="004B1DB5">
        <w:rPr>
          <w:i/>
        </w:rPr>
        <w:t>With : M = males ; F = female</w:t>
      </w:r>
    </w:p>
    <w:p w14:paraId="4B5B37ED" w14:textId="77777777" w:rsidR="000B0DB0" w:rsidRPr="004B1DB5" w:rsidRDefault="00047C50" w:rsidP="004227FE">
      <w:pPr>
        <w:pStyle w:val="NormalWeb"/>
      </w:pPr>
      <w:r w:rsidRPr="004B1DB5">
        <w:rPr>
          <w:noProof/>
        </w:rPr>
        <w:drawing>
          <wp:anchor distT="0" distB="0" distL="114300" distR="114300" simplePos="0" relativeHeight="251668480" behindDoc="1" locked="0" layoutInCell="1" allowOverlap="1" wp14:anchorId="41018437" wp14:editId="66BF6C0F">
            <wp:simplePos x="0" y="0"/>
            <wp:positionH relativeFrom="column">
              <wp:posOffset>2730</wp:posOffset>
            </wp:positionH>
            <wp:positionV relativeFrom="paragraph">
              <wp:posOffset>4758</wp:posOffset>
            </wp:positionV>
            <wp:extent cx="5972810" cy="3476625"/>
            <wp:effectExtent l="0" t="0" r="8890" b="0"/>
            <wp:wrapNone/>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057D672D" w14:textId="77777777" w:rsidR="00DF2AA1" w:rsidRPr="004B1DB5" w:rsidRDefault="00DF2AA1" w:rsidP="004227FE">
      <w:pPr>
        <w:pStyle w:val="NormalWeb"/>
      </w:pPr>
    </w:p>
    <w:p w14:paraId="36EBE84A" w14:textId="77777777" w:rsidR="00DF2AA1" w:rsidRPr="004B1DB5" w:rsidRDefault="00DF2AA1" w:rsidP="004227FE">
      <w:pPr>
        <w:pStyle w:val="NormalWeb"/>
      </w:pPr>
    </w:p>
    <w:p w14:paraId="133B288A" w14:textId="77777777" w:rsidR="00DF2AA1" w:rsidRPr="004B1DB5" w:rsidRDefault="00DF2AA1" w:rsidP="004227FE">
      <w:pPr>
        <w:pStyle w:val="NormalWeb"/>
      </w:pPr>
    </w:p>
    <w:p w14:paraId="5F8EFED0" w14:textId="77777777" w:rsidR="00DF2AA1" w:rsidRPr="004B1DB5" w:rsidRDefault="00DF2AA1" w:rsidP="004227FE">
      <w:pPr>
        <w:pStyle w:val="NormalWeb"/>
      </w:pPr>
    </w:p>
    <w:p w14:paraId="0BD252BF" w14:textId="77777777" w:rsidR="00DF2AA1" w:rsidRPr="004B1DB5" w:rsidRDefault="00DF2AA1" w:rsidP="004227FE">
      <w:pPr>
        <w:pStyle w:val="NormalWeb"/>
      </w:pPr>
    </w:p>
    <w:p w14:paraId="1EBD336B" w14:textId="77777777" w:rsidR="00DF2AA1" w:rsidRPr="004B1DB5" w:rsidRDefault="00DF2AA1" w:rsidP="004227FE">
      <w:pPr>
        <w:pStyle w:val="NormalWeb"/>
      </w:pPr>
    </w:p>
    <w:p w14:paraId="5B6A5507" w14:textId="77777777" w:rsidR="00DF2AA1" w:rsidRPr="004B1DB5" w:rsidRDefault="00DF2AA1" w:rsidP="004227FE">
      <w:pPr>
        <w:pStyle w:val="NormalWeb"/>
      </w:pPr>
    </w:p>
    <w:p w14:paraId="194CE07C" w14:textId="77777777" w:rsidR="000B0DB0" w:rsidRPr="004B1DB5" w:rsidRDefault="000B0DB0" w:rsidP="004227FE">
      <w:pPr>
        <w:pStyle w:val="NormalWeb"/>
      </w:pPr>
    </w:p>
    <w:p w14:paraId="354CC0F3" w14:textId="77777777" w:rsidR="004227FE" w:rsidRPr="004B1DB5" w:rsidRDefault="004227FE" w:rsidP="004227FE">
      <w:pPr>
        <w:pStyle w:val="NormalWeb"/>
      </w:pPr>
    </w:p>
    <w:p w14:paraId="5C930431" w14:textId="77777777" w:rsidR="004227FE" w:rsidRPr="004B1DB5" w:rsidRDefault="004227FE" w:rsidP="004227FE">
      <w:pPr>
        <w:pStyle w:val="NormalWeb"/>
      </w:pPr>
      <w:r w:rsidRPr="004B1DB5">
        <w:t>Figure 2: Variation in sex ratio across different catchment areas during the dry and rainy seasons.</w:t>
      </w:r>
    </w:p>
    <w:p w14:paraId="0F14A472" w14:textId="77777777" w:rsidR="000F2A6B" w:rsidRPr="004B1DB5" w:rsidRDefault="00B61570" w:rsidP="000F2A6B">
      <w:pPr>
        <w:pStyle w:val="NormalWeb"/>
        <w:rPr>
          <w:b/>
        </w:rPr>
      </w:pPr>
      <w:r w:rsidRPr="004B1DB5">
        <w:rPr>
          <w:b/>
        </w:rPr>
        <w:t>3.3</w:t>
      </w:r>
      <w:r w:rsidR="000F2A6B" w:rsidRPr="004B1DB5">
        <w:rPr>
          <w:b/>
        </w:rPr>
        <w:t>.2-Changes in the proportions of harvested stocks</w:t>
      </w:r>
    </w:p>
    <w:p w14:paraId="25F55852" w14:textId="77777777" w:rsidR="004227FE" w:rsidRPr="004B1DB5" w:rsidRDefault="004227FE" w:rsidP="004227FE">
      <w:pPr>
        <w:pStyle w:val="NormalWeb"/>
        <w:spacing w:line="360" w:lineRule="auto"/>
        <w:jc w:val="both"/>
      </w:pPr>
      <w:r w:rsidRPr="004B1DB5">
        <w:t>Analysis of fishery landings indicated that the highest proportion of immature fish occurred in the Islands area, at 52.71% (Figure 3), followed by Port and Antonio, at 43.99% and 40.36%, respectively. The highest proportions of mature males were observed in Dike (46.04%), Taabo City (43.01%), and Senegalegoum (41.57%). Mature females were captured predominantly in Courandjourou (60.71%) and Islands (34.48%).</w:t>
      </w:r>
    </w:p>
    <w:p w14:paraId="504A1063" w14:textId="77777777" w:rsidR="001C3891" w:rsidRPr="004B1DB5" w:rsidRDefault="001C3891" w:rsidP="004227FE">
      <w:pPr>
        <w:pStyle w:val="NormalWeb"/>
        <w:spacing w:line="360" w:lineRule="auto"/>
        <w:jc w:val="both"/>
      </w:pPr>
    </w:p>
    <w:p w14:paraId="4463948F" w14:textId="77777777" w:rsidR="001C3891" w:rsidRPr="004B1DB5" w:rsidRDefault="001C3891" w:rsidP="004227FE">
      <w:pPr>
        <w:pStyle w:val="NormalWeb"/>
        <w:spacing w:line="360" w:lineRule="auto"/>
        <w:jc w:val="both"/>
      </w:pPr>
    </w:p>
    <w:p w14:paraId="3B470FAF" w14:textId="77777777" w:rsidR="001C3891" w:rsidRPr="004B1DB5" w:rsidRDefault="001C3891" w:rsidP="004227FE">
      <w:pPr>
        <w:pStyle w:val="NormalWeb"/>
        <w:spacing w:line="360" w:lineRule="auto"/>
        <w:jc w:val="both"/>
      </w:pPr>
    </w:p>
    <w:p w14:paraId="30318F55" w14:textId="77777777" w:rsidR="001C3891" w:rsidRPr="004B1DB5" w:rsidRDefault="001C3891" w:rsidP="004227FE">
      <w:pPr>
        <w:pStyle w:val="NormalWeb"/>
        <w:spacing w:line="360" w:lineRule="auto"/>
        <w:jc w:val="both"/>
      </w:pPr>
    </w:p>
    <w:p w14:paraId="785472C9" w14:textId="77777777" w:rsidR="001C3891" w:rsidRPr="004B1DB5" w:rsidRDefault="001C3891" w:rsidP="004227FE">
      <w:pPr>
        <w:pStyle w:val="NormalWeb"/>
        <w:spacing w:line="360" w:lineRule="auto"/>
        <w:jc w:val="both"/>
      </w:pPr>
    </w:p>
    <w:p w14:paraId="5AC49117" w14:textId="77777777" w:rsidR="001740E3" w:rsidRPr="004B1DB5" w:rsidRDefault="001C0317" w:rsidP="001740E3">
      <w:pPr>
        <w:pStyle w:val="NormalWeb"/>
      </w:pPr>
      <w:r w:rsidRPr="004B1DB5">
        <w:rPr>
          <w:noProof/>
        </w:rPr>
        <w:drawing>
          <wp:anchor distT="0" distB="0" distL="114300" distR="114300" simplePos="0" relativeHeight="251661312" behindDoc="1" locked="0" layoutInCell="1" allowOverlap="1" wp14:anchorId="08FA55E9" wp14:editId="6596167A">
            <wp:simplePos x="0" y="0"/>
            <wp:positionH relativeFrom="column">
              <wp:posOffset>3321331</wp:posOffset>
            </wp:positionH>
            <wp:positionV relativeFrom="paragraph">
              <wp:posOffset>-91721</wp:posOffset>
            </wp:positionV>
            <wp:extent cx="2952750" cy="1914023"/>
            <wp:effectExtent l="0" t="0" r="0" b="10160"/>
            <wp:wrapNone/>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4B1DB5">
        <w:rPr>
          <w:noProof/>
        </w:rPr>
        <w:drawing>
          <wp:anchor distT="0" distB="0" distL="114300" distR="114300" simplePos="0" relativeHeight="251662336" behindDoc="1" locked="0" layoutInCell="1" allowOverlap="1" wp14:anchorId="5578C16D" wp14:editId="3C766C5B">
            <wp:simplePos x="0" y="0"/>
            <wp:positionH relativeFrom="column">
              <wp:posOffset>0</wp:posOffset>
            </wp:positionH>
            <wp:positionV relativeFrom="paragraph">
              <wp:posOffset>-93610</wp:posOffset>
            </wp:positionV>
            <wp:extent cx="3009900" cy="1914525"/>
            <wp:effectExtent l="0" t="0" r="0" b="9525"/>
            <wp:wrapNone/>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41FEF3CD" w14:textId="77777777" w:rsidR="001740E3" w:rsidRPr="004B1DB5" w:rsidRDefault="001740E3" w:rsidP="001740E3">
      <w:pPr>
        <w:pStyle w:val="NormalWeb"/>
        <w:spacing w:line="360" w:lineRule="auto"/>
        <w:jc w:val="both"/>
      </w:pPr>
    </w:p>
    <w:p w14:paraId="6CDBCE25" w14:textId="77777777" w:rsidR="001740E3" w:rsidRPr="004B1DB5" w:rsidRDefault="001740E3" w:rsidP="001740E3">
      <w:pPr>
        <w:pStyle w:val="NormalWeb"/>
        <w:spacing w:line="360" w:lineRule="auto"/>
        <w:jc w:val="both"/>
      </w:pPr>
    </w:p>
    <w:p w14:paraId="47805701" w14:textId="77777777" w:rsidR="001740E3" w:rsidRPr="004B1DB5" w:rsidRDefault="001740E3" w:rsidP="001740E3">
      <w:pPr>
        <w:pStyle w:val="NormalWeb"/>
        <w:spacing w:line="360" w:lineRule="auto"/>
        <w:jc w:val="both"/>
      </w:pPr>
    </w:p>
    <w:p w14:paraId="21969B0E" w14:textId="77777777" w:rsidR="001740E3" w:rsidRPr="004B1DB5" w:rsidRDefault="001C0317" w:rsidP="001740E3">
      <w:pPr>
        <w:pStyle w:val="NormalWeb"/>
        <w:spacing w:line="360" w:lineRule="auto"/>
        <w:jc w:val="both"/>
      </w:pPr>
      <w:r w:rsidRPr="004B1DB5">
        <w:rPr>
          <w:noProof/>
        </w:rPr>
        <w:drawing>
          <wp:anchor distT="0" distB="0" distL="114300" distR="114300" simplePos="0" relativeHeight="251664384" behindDoc="1" locked="0" layoutInCell="1" allowOverlap="1" wp14:anchorId="4DD47100" wp14:editId="1EFF0F1B">
            <wp:simplePos x="0" y="0"/>
            <wp:positionH relativeFrom="column">
              <wp:posOffset>3324860</wp:posOffset>
            </wp:positionH>
            <wp:positionV relativeFrom="paragraph">
              <wp:posOffset>221615</wp:posOffset>
            </wp:positionV>
            <wp:extent cx="2971800" cy="1704975"/>
            <wp:effectExtent l="0" t="0" r="0" b="9525"/>
            <wp:wrapNone/>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4B1DB5">
        <w:rPr>
          <w:noProof/>
        </w:rPr>
        <w:drawing>
          <wp:anchor distT="0" distB="0" distL="114300" distR="114300" simplePos="0" relativeHeight="251663360" behindDoc="1" locked="0" layoutInCell="1" allowOverlap="1" wp14:anchorId="0B3923AD" wp14:editId="1323E434">
            <wp:simplePos x="0" y="0"/>
            <wp:positionH relativeFrom="column">
              <wp:posOffset>38100</wp:posOffset>
            </wp:positionH>
            <wp:positionV relativeFrom="paragraph">
              <wp:posOffset>223520</wp:posOffset>
            </wp:positionV>
            <wp:extent cx="2971800" cy="1790700"/>
            <wp:effectExtent l="0" t="0" r="0" b="0"/>
            <wp:wrapNone/>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29C72BD3" w14:textId="77777777" w:rsidR="001740E3" w:rsidRPr="004B1DB5" w:rsidRDefault="001740E3" w:rsidP="001740E3">
      <w:pPr>
        <w:pStyle w:val="NormalWeb"/>
        <w:spacing w:line="360" w:lineRule="auto"/>
        <w:jc w:val="both"/>
      </w:pPr>
    </w:p>
    <w:p w14:paraId="58E8F8EB" w14:textId="77777777" w:rsidR="001740E3" w:rsidRPr="004B1DB5" w:rsidRDefault="001740E3" w:rsidP="001740E3">
      <w:pPr>
        <w:pStyle w:val="NormalWeb"/>
        <w:spacing w:line="360" w:lineRule="auto"/>
        <w:jc w:val="both"/>
      </w:pPr>
    </w:p>
    <w:p w14:paraId="7CA24335" w14:textId="77777777" w:rsidR="001740E3" w:rsidRPr="004B1DB5" w:rsidRDefault="001740E3" w:rsidP="001740E3">
      <w:pPr>
        <w:pStyle w:val="NormalWeb"/>
        <w:spacing w:line="360" w:lineRule="auto"/>
        <w:jc w:val="both"/>
      </w:pPr>
    </w:p>
    <w:p w14:paraId="77F94169" w14:textId="77777777" w:rsidR="001740E3" w:rsidRPr="004B1DB5" w:rsidRDefault="001C0317" w:rsidP="001740E3">
      <w:pPr>
        <w:pStyle w:val="NormalWeb"/>
      </w:pPr>
      <w:r w:rsidRPr="004B1DB5">
        <w:rPr>
          <w:noProof/>
        </w:rPr>
        <w:drawing>
          <wp:anchor distT="0" distB="0" distL="114300" distR="114300" simplePos="0" relativeHeight="251666432" behindDoc="1" locked="0" layoutInCell="1" allowOverlap="1" wp14:anchorId="7EF8FB70" wp14:editId="009CE66E">
            <wp:simplePos x="0" y="0"/>
            <wp:positionH relativeFrom="column">
              <wp:posOffset>3321331</wp:posOffset>
            </wp:positionH>
            <wp:positionV relativeFrom="paragraph">
              <wp:posOffset>255580</wp:posOffset>
            </wp:positionV>
            <wp:extent cx="2971800" cy="1846078"/>
            <wp:effectExtent l="0" t="0" r="0" b="1905"/>
            <wp:wrapNone/>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4B1DB5">
        <w:rPr>
          <w:noProof/>
        </w:rPr>
        <w:drawing>
          <wp:anchor distT="0" distB="0" distL="114300" distR="114300" simplePos="0" relativeHeight="251665408" behindDoc="1" locked="0" layoutInCell="1" allowOverlap="1" wp14:anchorId="17D1E898" wp14:editId="533FC400">
            <wp:simplePos x="0" y="0"/>
            <wp:positionH relativeFrom="column">
              <wp:posOffset>3810</wp:posOffset>
            </wp:positionH>
            <wp:positionV relativeFrom="paragraph">
              <wp:posOffset>329698</wp:posOffset>
            </wp:positionV>
            <wp:extent cx="3009900" cy="1771650"/>
            <wp:effectExtent l="0" t="0" r="0" b="0"/>
            <wp:wrapNone/>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304F4E69" w14:textId="77777777" w:rsidR="000F2A6B" w:rsidRPr="004B1DB5" w:rsidRDefault="000F2A6B" w:rsidP="001740E3">
      <w:pPr>
        <w:ind w:firstLine="720"/>
        <w:rPr>
          <w:rFonts w:ascii="Times New Roman" w:hAnsi="Times New Roman" w:cs="Times New Roman"/>
          <w:sz w:val="24"/>
          <w:szCs w:val="24"/>
        </w:rPr>
      </w:pPr>
    </w:p>
    <w:p w14:paraId="6D7FCFF5" w14:textId="77777777" w:rsidR="000F2A6B" w:rsidRPr="004B1DB5" w:rsidRDefault="000F2A6B" w:rsidP="000F2A6B">
      <w:pPr>
        <w:rPr>
          <w:rFonts w:ascii="Times New Roman" w:hAnsi="Times New Roman" w:cs="Times New Roman"/>
          <w:sz w:val="24"/>
          <w:szCs w:val="24"/>
        </w:rPr>
      </w:pPr>
    </w:p>
    <w:p w14:paraId="5B59E496" w14:textId="77777777" w:rsidR="000F2A6B" w:rsidRPr="004B1DB5" w:rsidRDefault="000F2A6B" w:rsidP="000F2A6B">
      <w:pPr>
        <w:rPr>
          <w:rFonts w:ascii="Times New Roman" w:hAnsi="Times New Roman" w:cs="Times New Roman"/>
          <w:sz w:val="24"/>
          <w:szCs w:val="24"/>
        </w:rPr>
      </w:pPr>
    </w:p>
    <w:p w14:paraId="22A32EA1" w14:textId="77777777" w:rsidR="000F2A6B" w:rsidRPr="004B1DB5" w:rsidRDefault="000F2A6B" w:rsidP="000F2A6B">
      <w:pPr>
        <w:rPr>
          <w:rFonts w:ascii="Times New Roman" w:hAnsi="Times New Roman" w:cs="Times New Roman"/>
          <w:sz w:val="24"/>
          <w:szCs w:val="24"/>
        </w:rPr>
      </w:pPr>
    </w:p>
    <w:p w14:paraId="69408BAF" w14:textId="77777777" w:rsidR="000F2A6B" w:rsidRPr="004B1DB5" w:rsidRDefault="000F2A6B" w:rsidP="000F2A6B">
      <w:pPr>
        <w:rPr>
          <w:rFonts w:ascii="Times New Roman" w:hAnsi="Times New Roman" w:cs="Times New Roman"/>
          <w:sz w:val="24"/>
          <w:szCs w:val="24"/>
        </w:rPr>
      </w:pPr>
    </w:p>
    <w:p w14:paraId="6C3BB76D" w14:textId="77777777" w:rsidR="000F2A6B" w:rsidRPr="004B1DB5" w:rsidRDefault="000F2A6B" w:rsidP="000F2A6B">
      <w:pPr>
        <w:rPr>
          <w:rFonts w:ascii="Times New Roman" w:hAnsi="Times New Roman" w:cs="Times New Roman"/>
          <w:sz w:val="24"/>
          <w:szCs w:val="24"/>
        </w:rPr>
      </w:pPr>
    </w:p>
    <w:p w14:paraId="49F8BE4B" w14:textId="77777777" w:rsidR="000F2A6B" w:rsidRPr="004B1DB5" w:rsidRDefault="001C0317" w:rsidP="000F2A6B">
      <w:pPr>
        <w:rPr>
          <w:rFonts w:ascii="Times New Roman" w:hAnsi="Times New Roman" w:cs="Times New Roman"/>
          <w:sz w:val="24"/>
          <w:szCs w:val="24"/>
        </w:rPr>
      </w:pPr>
      <w:r w:rsidRPr="004B1DB5">
        <w:rPr>
          <w:noProof/>
        </w:rPr>
        <w:drawing>
          <wp:anchor distT="0" distB="0" distL="114300" distR="114300" simplePos="0" relativeHeight="251667456" behindDoc="1" locked="0" layoutInCell="1" allowOverlap="1" wp14:anchorId="26045407" wp14:editId="589E7D75">
            <wp:simplePos x="0" y="0"/>
            <wp:positionH relativeFrom="column">
              <wp:posOffset>1598856</wp:posOffset>
            </wp:positionH>
            <wp:positionV relativeFrom="paragraph">
              <wp:posOffset>82668</wp:posOffset>
            </wp:positionV>
            <wp:extent cx="3352800" cy="1690577"/>
            <wp:effectExtent l="0" t="0" r="0" b="5080"/>
            <wp:wrapNone/>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66A91A16" w14:textId="77777777" w:rsidR="000F2A6B" w:rsidRPr="004B1DB5" w:rsidRDefault="000F2A6B" w:rsidP="000F2A6B">
      <w:pPr>
        <w:rPr>
          <w:rFonts w:ascii="Times New Roman" w:hAnsi="Times New Roman" w:cs="Times New Roman"/>
          <w:sz w:val="24"/>
          <w:szCs w:val="24"/>
        </w:rPr>
      </w:pPr>
    </w:p>
    <w:p w14:paraId="005AABD7" w14:textId="77777777" w:rsidR="000F2A6B" w:rsidRPr="004B1DB5" w:rsidRDefault="000F2A6B" w:rsidP="000F2A6B">
      <w:pPr>
        <w:rPr>
          <w:rFonts w:ascii="Times New Roman" w:hAnsi="Times New Roman" w:cs="Times New Roman"/>
          <w:sz w:val="24"/>
          <w:szCs w:val="24"/>
        </w:rPr>
      </w:pPr>
    </w:p>
    <w:p w14:paraId="317F1586" w14:textId="77777777" w:rsidR="000F2A6B" w:rsidRPr="004B1DB5" w:rsidRDefault="000F2A6B" w:rsidP="000F2A6B">
      <w:pPr>
        <w:rPr>
          <w:rFonts w:ascii="Times New Roman" w:hAnsi="Times New Roman" w:cs="Times New Roman"/>
          <w:sz w:val="24"/>
          <w:szCs w:val="24"/>
        </w:rPr>
      </w:pPr>
    </w:p>
    <w:p w14:paraId="736974EB" w14:textId="77777777" w:rsidR="000F2A6B" w:rsidRPr="004B1DB5" w:rsidRDefault="000F2A6B" w:rsidP="000F2A6B">
      <w:pPr>
        <w:rPr>
          <w:rFonts w:ascii="Times New Roman" w:hAnsi="Times New Roman" w:cs="Times New Roman"/>
          <w:sz w:val="24"/>
          <w:szCs w:val="24"/>
        </w:rPr>
      </w:pPr>
    </w:p>
    <w:p w14:paraId="2FB74F49" w14:textId="77777777" w:rsidR="000F2A6B" w:rsidRPr="004B1DB5" w:rsidRDefault="000F2A6B" w:rsidP="000F2A6B">
      <w:pPr>
        <w:rPr>
          <w:rFonts w:ascii="Times New Roman" w:hAnsi="Times New Roman" w:cs="Times New Roman"/>
          <w:sz w:val="24"/>
          <w:szCs w:val="24"/>
        </w:rPr>
      </w:pPr>
    </w:p>
    <w:p w14:paraId="26697D5C" w14:textId="77777777" w:rsidR="000F2A6B" w:rsidRPr="004B1DB5" w:rsidRDefault="000F2A6B" w:rsidP="000F2A6B">
      <w:pPr>
        <w:pStyle w:val="NormalWeb"/>
      </w:pPr>
      <w:r w:rsidRPr="004B1DB5">
        <w:lastRenderedPageBreak/>
        <w:t xml:space="preserve">Figure 3: Proportion of exploited stocks of </w:t>
      </w:r>
      <w:r w:rsidRPr="004B1DB5">
        <w:rPr>
          <w:i/>
        </w:rPr>
        <w:t>P. leonensis</w:t>
      </w:r>
      <w:r w:rsidRPr="004B1DB5">
        <w:t xml:space="preserve"> in the various fishing zones of the Taabo Reservoir</w:t>
      </w:r>
    </w:p>
    <w:p w14:paraId="37FB0418" w14:textId="77777777" w:rsidR="000F2A6B" w:rsidRPr="004B1DB5" w:rsidRDefault="00487ED5" w:rsidP="000B0DB0">
      <w:pPr>
        <w:pStyle w:val="NormalWeb"/>
        <w:ind w:firstLine="720"/>
      </w:pPr>
      <w:r w:rsidRPr="004B1DB5">
        <w:t xml:space="preserve">With : Imm </w:t>
      </w:r>
      <w:r w:rsidR="000B0DB0" w:rsidRPr="004B1DB5">
        <w:t>= Immatures;  M mature=  mature males ; F mature = mature female</w:t>
      </w:r>
    </w:p>
    <w:p w14:paraId="33D8E61C" w14:textId="77777777" w:rsidR="000F2A6B" w:rsidRPr="004B1DB5" w:rsidRDefault="00F83CE2" w:rsidP="000F2A6B">
      <w:pPr>
        <w:pStyle w:val="NormalWeb"/>
      </w:pPr>
      <w:r w:rsidRPr="004B1DB5">
        <w:t>Table 2:</w:t>
      </w:r>
      <w:r w:rsidR="000F2A6B" w:rsidRPr="004B1DB5">
        <w:t xml:space="preserve"> Ratio of immature to mature specimens of </w:t>
      </w:r>
      <w:r w:rsidR="000F2A6B" w:rsidRPr="004B1DB5">
        <w:rPr>
          <w:i/>
        </w:rPr>
        <w:t>P. leonensis</w:t>
      </w:r>
      <w:r w:rsidR="000F2A6B" w:rsidRPr="004B1DB5">
        <w:t xml:space="preserve"> from the capture areas</w:t>
      </w:r>
    </w:p>
    <w:tbl>
      <w:tblPr>
        <w:tblW w:w="7800" w:type="dxa"/>
        <w:tblInd w:w="55" w:type="dxa"/>
        <w:tblCellMar>
          <w:left w:w="70" w:type="dxa"/>
          <w:right w:w="70" w:type="dxa"/>
        </w:tblCellMar>
        <w:tblLook w:val="04A0" w:firstRow="1" w:lastRow="0" w:firstColumn="1" w:lastColumn="0" w:noHBand="0" w:noVBand="1"/>
      </w:tblPr>
      <w:tblGrid>
        <w:gridCol w:w="1800"/>
        <w:gridCol w:w="1200"/>
        <w:gridCol w:w="1200"/>
        <w:gridCol w:w="1200"/>
        <w:gridCol w:w="1200"/>
        <w:gridCol w:w="1200"/>
      </w:tblGrid>
      <w:tr w:rsidR="006417D8" w:rsidRPr="004B1DB5" w14:paraId="6449947D" w14:textId="77777777" w:rsidTr="00086402">
        <w:trPr>
          <w:trHeight w:val="300"/>
        </w:trPr>
        <w:tc>
          <w:tcPr>
            <w:tcW w:w="1800" w:type="dxa"/>
            <w:tcBorders>
              <w:top w:val="nil"/>
              <w:left w:val="nil"/>
              <w:bottom w:val="nil"/>
              <w:right w:val="nil"/>
            </w:tcBorders>
            <w:noWrap/>
            <w:vAlign w:val="bottom"/>
            <w:hideMark/>
          </w:tcPr>
          <w:p w14:paraId="23008E66" w14:textId="77777777" w:rsidR="006417D8" w:rsidRPr="004B1DB5" w:rsidRDefault="006417D8"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6763AACE" w14:textId="77777777" w:rsidR="006417D8" w:rsidRPr="004B1DB5" w:rsidRDefault="006417D8"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759C932C" w14:textId="77777777" w:rsidR="006417D8" w:rsidRPr="004B1DB5" w:rsidRDefault="006417D8"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12C7063C" w14:textId="77777777" w:rsidR="006417D8" w:rsidRPr="004B1DB5" w:rsidRDefault="006417D8"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7846DA06" w14:textId="77777777" w:rsidR="006417D8" w:rsidRPr="004B1DB5" w:rsidRDefault="006417D8"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tcPr>
          <w:p w14:paraId="51271B27" w14:textId="77777777" w:rsidR="006417D8" w:rsidRPr="004B1DB5" w:rsidRDefault="006417D8" w:rsidP="00086402">
            <w:pPr>
              <w:spacing w:after="0" w:line="240" w:lineRule="auto"/>
              <w:rPr>
                <w:rFonts w:ascii="Calibri" w:eastAsia="Times New Roman" w:hAnsi="Calibri" w:cs="Calibri"/>
                <w:color w:val="000000"/>
                <w:lang w:eastAsia="fr-FR"/>
              </w:rPr>
            </w:pPr>
          </w:p>
        </w:tc>
      </w:tr>
      <w:tr w:rsidR="006417D8" w:rsidRPr="004B1DB5" w14:paraId="5853D7F2" w14:textId="77777777" w:rsidTr="00086402">
        <w:trPr>
          <w:trHeight w:val="315"/>
        </w:trPr>
        <w:tc>
          <w:tcPr>
            <w:tcW w:w="1800" w:type="dxa"/>
            <w:tcBorders>
              <w:top w:val="single" w:sz="4" w:space="0" w:color="auto"/>
              <w:left w:val="nil"/>
              <w:bottom w:val="single" w:sz="4" w:space="0" w:color="auto"/>
              <w:right w:val="nil"/>
            </w:tcBorders>
            <w:noWrap/>
            <w:vAlign w:val="bottom"/>
            <w:hideMark/>
          </w:tcPr>
          <w:p w14:paraId="75D259C5" w14:textId="77777777" w:rsidR="006417D8" w:rsidRPr="004B1DB5" w:rsidRDefault="006417D8" w:rsidP="00086402">
            <w:pPr>
              <w:spacing w:after="0" w:line="240" w:lineRule="auto"/>
              <w:rPr>
                <w:rFonts w:ascii="Times New Roman" w:eastAsia="Times New Roman" w:hAnsi="Times New Roman" w:cs="Times New Roman"/>
                <w:b/>
                <w:bCs/>
                <w:i/>
                <w:iCs/>
                <w:color w:val="000000"/>
                <w:sz w:val="24"/>
                <w:szCs w:val="24"/>
                <w:lang w:eastAsia="fr-FR"/>
              </w:rPr>
            </w:pPr>
            <w:r w:rsidRPr="004B1DB5">
              <w:rPr>
                <w:rFonts w:ascii="Times New Roman" w:eastAsia="Times New Roman" w:hAnsi="Times New Roman" w:cs="Times New Roman"/>
                <w:b/>
                <w:bCs/>
                <w:i/>
                <w:iCs/>
                <w:color w:val="000000"/>
                <w:sz w:val="24"/>
                <w:szCs w:val="24"/>
                <w:lang w:eastAsia="fr-FR"/>
              </w:rPr>
              <w:t>Capture area</w:t>
            </w:r>
          </w:p>
        </w:tc>
        <w:tc>
          <w:tcPr>
            <w:tcW w:w="1200" w:type="dxa"/>
            <w:tcBorders>
              <w:top w:val="single" w:sz="4" w:space="0" w:color="auto"/>
              <w:left w:val="nil"/>
              <w:bottom w:val="single" w:sz="4" w:space="0" w:color="auto"/>
              <w:right w:val="nil"/>
            </w:tcBorders>
            <w:noWrap/>
            <w:vAlign w:val="bottom"/>
            <w:hideMark/>
          </w:tcPr>
          <w:p w14:paraId="21CADD05" w14:textId="77777777" w:rsidR="006417D8" w:rsidRPr="004B1DB5" w:rsidRDefault="006417D8" w:rsidP="00086402">
            <w:pPr>
              <w:spacing w:after="0" w:line="240" w:lineRule="auto"/>
              <w:rPr>
                <w:rFonts w:ascii="Times New Roman" w:eastAsia="Times New Roman" w:hAnsi="Times New Roman" w:cs="Times New Roman"/>
                <w:b/>
                <w:bCs/>
                <w:i/>
                <w:iCs/>
                <w:color w:val="000000"/>
                <w:sz w:val="24"/>
                <w:szCs w:val="24"/>
                <w:lang w:eastAsia="fr-FR"/>
              </w:rPr>
            </w:pPr>
            <w:r w:rsidRPr="004B1DB5">
              <w:rPr>
                <w:rFonts w:ascii="Times New Roman" w:eastAsia="Times New Roman" w:hAnsi="Times New Roman" w:cs="Times New Roman"/>
                <w:b/>
                <w:bCs/>
                <w:i/>
                <w:iCs/>
                <w:color w:val="000000"/>
                <w:sz w:val="24"/>
                <w:szCs w:val="24"/>
                <w:lang w:eastAsia="fr-FR"/>
              </w:rPr>
              <w:t>Immature</w:t>
            </w:r>
          </w:p>
        </w:tc>
        <w:tc>
          <w:tcPr>
            <w:tcW w:w="1200" w:type="dxa"/>
            <w:tcBorders>
              <w:top w:val="single" w:sz="4" w:space="0" w:color="auto"/>
              <w:left w:val="nil"/>
              <w:bottom w:val="single" w:sz="4" w:space="0" w:color="auto"/>
              <w:right w:val="nil"/>
            </w:tcBorders>
            <w:noWrap/>
            <w:vAlign w:val="bottom"/>
            <w:hideMark/>
          </w:tcPr>
          <w:p w14:paraId="7E8DC56E" w14:textId="77777777" w:rsidR="006417D8" w:rsidRPr="004B1DB5" w:rsidRDefault="006417D8" w:rsidP="00086402">
            <w:pPr>
              <w:spacing w:after="0" w:line="240" w:lineRule="auto"/>
              <w:rPr>
                <w:rFonts w:ascii="Times New Roman" w:eastAsia="Times New Roman" w:hAnsi="Times New Roman" w:cs="Times New Roman"/>
                <w:b/>
                <w:bCs/>
                <w:i/>
                <w:iCs/>
                <w:color w:val="000000"/>
                <w:sz w:val="24"/>
                <w:szCs w:val="24"/>
                <w:lang w:eastAsia="fr-FR"/>
              </w:rPr>
            </w:pPr>
            <w:r w:rsidRPr="004B1DB5">
              <w:rPr>
                <w:rFonts w:ascii="Times New Roman" w:eastAsia="Times New Roman" w:hAnsi="Times New Roman" w:cs="Times New Roman"/>
                <w:b/>
                <w:bCs/>
                <w:i/>
                <w:iCs/>
                <w:color w:val="000000"/>
                <w:sz w:val="24"/>
                <w:szCs w:val="24"/>
                <w:lang w:eastAsia="fr-FR"/>
              </w:rPr>
              <w:t>Matures</w:t>
            </w:r>
          </w:p>
        </w:tc>
        <w:tc>
          <w:tcPr>
            <w:tcW w:w="1200" w:type="dxa"/>
            <w:tcBorders>
              <w:top w:val="single" w:sz="4" w:space="0" w:color="auto"/>
              <w:left w:val="nil"/>
              <w:bottom w:val="single" w:sz="4" w:space="0" w:color="auto"/>
              <w:right w:val="nil"/>
            </w:tcBorders>
            <w:noWrap/>
            <w:vAlign w:val="bottom"/>
            <w:hideMark/>
          </w:tcPr>
          <w:p w14:paraId="1FDC0B24" w14:textId="77777777" w:rsidR="006417D8" w:rsidRPr="004B1DB5" w:rsidRDefault="006417D8" w:rsidP="00086402">
            <w:pPr>
              <w:spacing w:after="0" w:line="240" w:lineRule="auto"/>
              <w:rPr>
                <w:rFonts w:ascii="Times New Roman" w:eastAsia="Times New Roman" w:hAnsi="Times New Roman" w:cs="Times New Roman"/>
                <w:b/>
                <w:bCs/>
                <w:i/>
                <w:iCs/>
                <w:color w:val="000000"/>
                <w:sz w:val="24"/>
                <w:szCs w:val="24"/>
                <w:lang w:eastAsia="fr-FR"/>
              </w:rPr>
            </w:pPr>
            <w:r w:rsidRPr="004B1DB5">
              <w:rPr>
                <w:rFonts w:ascii="Times New Roman" w:eastAsia="Times New Roman" w:hAnsi="Times New Roman" w:cs="Times New Roman"/>
                <w:b/>
                <w:bCs/>
                <w:i/>
                <w:iCs/>
                <w:color w:val="000000"/>
                <w:sz w:val="24"/>
                <w:szCs w:val="24"/>
                <w:lang w:eastAsia="fr-FR"/>
              </w:rPr>
              <w:t>χ2</w:t>
            </w:r>
          </w:p>
        </w:tc>
        <w:tc>
          <w:tcPr>
            <w:tcW w:w="1200" w:type="dxa"/>
            <w:tcBorders>
              <w:top w:val="single" w:sz="4" w:space="0" w:color="auto"/>
              <w:left w:val="nil"/>
              <w:bottom w:val="single" w:sz="4" w:space="0" w:color="auto"/>
              <w:right w:val="nil"/>
            </w:tcBorders>
            <w:noWrap/>
            <w:vAlign w:val="bottom"/>
            <w:hideMark/>
          </w:tcPr>
          <w:p w14:paraId="57A4396C" w14:textId="77777777" w:rsidR="006417D8" w:rsidRPr="004B1DB5" w:rsidRDefault="006417D8" w:rsidP="00086402">
            <w:pPr>
              <w:spacing w:after="0" w:line="240" w:lineRule="auto"/>
              <w:rPr>
                <w:rFonts w:ascii="Times New Roman" w:eastAsia="Times New Roman" w:hAnsi="Times New Roman" w:cs="Times New Roman"/>
                <w:b/>
                <w:bCs/>
                <w:i/>
                <w:iCs/>
                <w:color w:val="000000"/>
                <w:sz w:val="24"/>
                <w:szCs w:val="24"/>
                <w:lang w:eastAsia="fr-FR"/>
              </w:rPr>
            </w:pPr>
            <w:r w:rsidRPr="004B1DB5">
              <w:rPr>
                <w:rFonts w:ascii="Times New Roman" w:eastAsia="Times New Roman" w:hAnsi="Times New Roman" w:cs="Times New Roman"/>
                <w:b/>
                <w:bCs/>
                <w:i/>
                <w:iCs/>
                <w:color w:val="000000"/>
                <w:sz w:val="24"/>
                <w:szCs w:val="24"/>
                <w:lang w:eastAsia="fr-FR"/>
              </w:rPr>
              <w:t>P</w:t>
            </w:r>
          </w:p>
        </w:tc>
        <w:tc>
          <w:tcPr>
            <w:tcW w:w="1200" w:type="dxa"/>
            <w:tcBorders>
              <w:top w:val="single" w:sz="4" w:space="0" w:color="auto"/>
              <w:left w:val="nil"/>
              <w:bottom w:val="single" w:sz="4" w:space="0" w:color="auto"/>
              <w:right w:val="nil"/>
            </w:tcBorders>
          </w:tcPr>
          <w:p w14:paraId="523BB9CD" w14:textId="77777777" w:rsidR="006417D8" w:rsidRPr="004B1DB5" w:rsidRDefault="006417D8" w:rsidP="00086402">
            <w:pPr>
              <w:spacing w:after="0" w:line="240" w:lineRule="auto"/>
              <w:rPr>
                <w:rFonts w:ascii="Times New Roman" w:eastAsia="Times New Roman" w:hAnsi="Times New Roman" w:cs="Times New Roman"/>
                <w:b/>
                <w:bCs/>
                <w:i/>
                <w:iCs/>
                <w:color w:val="000000"/>
                <w:sz w:val="24"/>
                <w:szCs w:val="24"/>
                <w:lang w:eastAsia="fr-FR"/>
              </w:rPr>
            </w:pPr>
            <w:r w:rsidRPr="004B1DB5">
              <w:rPr>
                <w:rFonts w:ascii="Times New Roman" w:eastAsia="Times New Roman" w:hAnsi="Times New Roman" w:cs="Times New Roman"/>
                <w:b/>
                <w:bCs/>
                <w:i/>
                <w:iCs/>
                <w:color w:val="000000"/>
                <w:sz w:val="24"/>
                <w:szCs w:val="24"/>
                <w:lang w:eastAsia="fr-FR"/>
              </w:rPr>
              <w:t>Imm/M</w:t>
            </w:r>
          </w:p>
        </w:tc>
      </w:tr>
      <w:tr w:rsidR="006417D8" w:rsidRPr="004B1DB5" w14:paraId="0981CC4E" w14:textId="77777777" w:rsidTr="00086402">
        <w:trPr>
          <w:trHeight w:val="315"/>
        </w:trPr>
        <w:tc>
          <w:tcPr>
            <w:tcW w:w="1800" w:type="dxa"/>
            <w:tcBorders>
              <w:top w:val="nil"/>
              <w:left w:val="nil"/>
              <w:bottom w:val="nil"/>
              <w:right w:val="nil"/>
            </w:tcBorders>
            <w:noWrap/>
            <w:vAlign w:val="bottom"/>
            <w:hideMark/>
          </w:tcPr>
          <w:p w14:paraId="23903D07" w14:textId="77777777" w:rsidR="006417D8" w:rsidRPr="004B1DB5" w:rsidRDefault="006417D8" w:rsidP="00086402">
            <w:pPr>
              <w:spacing w:after="0" w:line="240" w:lineRule="auto"/>
              <w:rPr>
                <w:rFonts w:ascii="Times New Roman" w:eastAsia="Times New Roman" w:hAnsi="Times New Roman" w:cs="Times New Roman"/>
                <w:i/>
                <w:iCs/>
                <w:color w:val="000000"/>
                <w:sz w:val="24"/>
                <w:szCs w:val="24"/>
                <w:lang w:eastAsia="fr-FR"/>
              </w:rPr>
            </w:pPr>
            <w:r w:rsidRPr="004B1DB5">
              <w:rPr>
                <w:rFonts w:ascii="Times New Roman" w:eastAsia="Times New Roman" w:hAnsi="Times New Roman" w:cs="Times New Roman"/>
                <w:i/>
                <w:iCs/>
                <w:color w:val="000000"/>
                <w:sz w:val="24"/>
                <w:szCs w:val="24"/>
                <w:lang w:eastAsia="fr-FR"/>
              </w:rPr>
              <w:t>Taabo cit</w:t>
            </w:r>
            <w:r w:rsidR="00FF32D9" w:rsidRPr="004B1DB5">
              <w:rPr>
                <w:rFonts w:ascii="Times New Roman" w:eastAsia="Times New Roman" w:hAnsi="Times New Roman" w:cs="Times New Roman"/>
                <w:i/>
                <w:iCs/>
                <w:color w:val="000000"/>
                <w:sz w:val="24"/>
                <w:szCs w:val="24"/>
                <w:lang w:eastAsia="fr-FR"/>
              </w:rPr>
              <w:t>y</w:t>
            </w:r>
          </w:p>
        </w:tc>
        <w:tc>
          <w:tcPr>
            <w:tcW w:w="1200" w:type="dxa"/>
            <w:tcBorders>
              <w:top w:val="nil"/>
              <w:left w:val="nil"/>
              <w:bottom w:val="nil"/>
              <w:right w:val="nil"/>
            </w:tcBorders>
            <w:noWrap/>
            <w:vAlign w:val="bottom"/>
            <w:hideMark/>
          </w:tcPr>
          <w:p w14:paraId="6F81EE69"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765</w:t>
            </w:r>
          </w:p>
        </w:tc>
        <w:tc>
          <w:tcPr>
            <w:tcW w:w="1200" w:type="dxa"/>
            <w:tcBorders>
              <w:top w:val="nil"/>
              <w:left w:val="nil"/>
              <w:bottom w:val="nil"/>
              <w:right w:val="nil"/>
            </w:tcBorders>
            <w:noWrap/>
            <w:vAlign w:val="bottom"/>
            <w:hideMark/>
          </w:tcPr>
          <w:p w14:paraId="66A42D2D"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2311</w:t>
            </w:r>
          </w:p>
        </w:tc>
        <w:tc>
          <w:tcPr>
            <w:tcW w:w="1200" w:type="dxa"/>
            <w:tcBorders>
              <w:top w:val="nil"/>
              <w:left w:val="nil"/>
              <w:bottom w:val="nil"/>
              <w:right w:val="nil"/>
            </w:tcBorders>
            <w:noWrap/>
            <w:vAlign w:val="bottom"/>
            <w:hideMark/>
          </w:tcPr>
          <w:p w14:paraId="4365FB14"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772</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9</w:t>
            </w:r>
          </w:p>
        </w:tc>
        <w:tc>
          <w:tcPr>
            <w:tcW w:w="1200" w:type="dxa"/>
            <w:tcBorders>
              <w:top w:val="nil"/>
              <w:left w:val="nil"/>
              <w:bottom w:val="nil"/>
              <w:right w:val="nil"/>
            </w:tcBorders>
            <w:noWrap/>
            <w:vAlign w:val="bottom"/>
            <w:hideMark/>
          </w:tcPr>
          <w:p w14:paraId="3A5DFF0A" w14:textId="77777777" w:rsidR="006417D8" w:rsidRPr="004B1DB5" w:rsidRDefault="006417D8" w:rsidP="00086402">
            <w:pPr>
              <w:spacing w:after="0" w:line="240" w:lineRule="auto"/>
              <w:rPr>
                <w:rFonts w:ascii="Times New Roman" w:eastAsia="Times New Roman" w:hAnsi="Times New Roman" w:cs="Times New Roman"/>
                <w:i/>
                <w:color w:val="000000"/>
                <w:sz w:val="24"/>
                <w:szCs w:val="24"/>
                <w:lang w:eastAsia="fr-FR"/>
              </w:rPr>
            </w:pPr>
            <w:r w:rsidRPr="004B1DB5">
              <w:rPr>
                <w:rFonts w:ascii="Times New Roman" w:eastAsia="Times New Roman" w:hAnsi="Times New Roman" w:cs="Times New Roman"/>
                <w:i/>
                <w:color w:val="000000"/>
                <w:sz w:val="24"/>
                <w:szCs w:val="24"/>
                <w:lang w:eastAsia="fr-FR"/>
              </w:rPr>
              <w:t>˂</w:t>
            </w:r>
            <w:r w:rsidR="00186305" w:rsidRPr="004B1DB5">
              <w:rPr>
                <w:rFonts w:ascii="Times New Roman" w:eastAsia="Times New Roman" w:hAnsi="Times New Roman" w:cs="Times New Roman"/>
                <w:i/>
                <w:color w:val="000000"/>
                <w:sz w:val="24"/>
                <w:szCs w:val="24"/>
                <w:lang w:eastAsia="fr-FR"/>
              </w:rPr>
              <w:t>0.</w:t>
            </w:r>
            <w:r w:rsidRPr="004B1DB5">
              <w:rPr>
                <w:rFonts w:ascii="Times New Roman" w:eastAsia="Times New Roman" w:hAnsi="Times New Roman" w:cs="Times New Roman"/>
                <w:i/>
                <w:color w:val="000000"/>
                <w:sz w:val="24"/>
                <w:szCs w:val="24"/>
                <w:lang w:eastAsia="fr-FR"/>
              </w:rPr>
              <w:t>001</w:t>
            </w:r>
          </w:p>
        </w:tc>
        <w:tc>
          <w:tcPr>
            <w:tcW w:w="1200" w:type="dxa"/>
            <w:tcBorders>
              <w:top w:val="nil"/>
              <w:left w:val="nil"/>
              <w:bottom w:val="nil"/>
              <w:right w:val="nil"/>
            </w:tcBorders>
          </w:tcPr>
          <w:p w14:paraId="430DF521"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 : 3</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02</w:t>
            </w:r>
          </w:p>
        </w:tc>
      </w:tr>
      <w:tr w:rsidR="006417D8" w:rsidRPr="004B1DB5" w14:paraId="005DAC57" w14:textId="77777777" w:rsidTr="00086402">
        <w:trPr>
          <w:trHeight w:val="315"/>
        </w:trPr>
        <w:tc>
          <w:tcPr>
            <w:tcW w:w="1800" w:type="dxa"/>
            <w:tcBorders>
              <w:top w:val="nil"/>
              <w:left w:val="nil"/>
              <w:bottom w:val="nil"/>
              <w:right w:val="nil"/>
            </w:tcBorders>
            <w:noWrap/>
            <w:vAlign w:val="bottom"/>
            <w:hideMark/>
          </w:tcPr>
          <w:p w14:paraId="53879398" w14:textId="77777777" w:rsidR="006417D8" w:rsidRPr="004B1DB5" w:rsidRDefault="006417D8" w:rsidP="00086402">
            <w:pPr>
              <w:spacing w:after="0" w:line="240" w:lineRule="auto"/>
              <w:rPr>
                <w:rFonts w:ascii="Times New Roman" w:eastAsia="Times New Roman" w:hAnsi="Times New Roman" w:cs="Times New Roman"/>
                <w:i/>
                <w:iCs/>
                <w:color w:val="000000"/>
                <w:sz w:val="24"/>
                <w:szCs w:val="24"/>
                <w:lang w:eastAsia="fr-FR"/>
              </w:rPr>
            </w:pPr>
            <w:r w:rsidRPr="004B1DB5">
              <w:rPr>
                <w:rFonts w:ascii="Times New Roman" w:eastAsia="Times New Roman" w:hAnsi="Times New Roman" w:cs="Times New Roman"/>
                <w:i/>
                <w:iCs/>
                <w:color w:val="000000"/>
                <w:sz w:val="24"/>
                <w:szCs w:val="24"/>
                <w:lang w:eastAsia="fr-FR"/>
              </w:rPr>
              <w:t>Senegalegoum</w:t>
            </w:r>
          </w:p>
        </w:tc>
        <w:tc>
          <w:tcPr>
            <w:tcW w:w="1200" w:type="dxa"/>
            <w:tcBorders>
              <w:top w:val="nil"/>
              <w:left w:val="nil"/>
              <w:bottom w:val="nil"/>
              <w:right w:val="nil"/>
            </w:tcBorders>
            <w:noWrap/>
            <w:vAlign w:val="bottom"/>
            <w:hideMark/>
          </w:tcPr>
          <w:p w14:paraId="1335FE18"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485</w:t>
            </w:r>
          </w:p>
        </w:tc>
        <w:tc>
          <w:tcPr>
            <w:tcW w:w="1200" w:type="dxa"/>
            <w:tcBorders>
              <w:top w:val="nil"/>
              <w:left w:val="nil"/>
              <w:bottom w:val="nil"/>
              <w:right w:val="nil"/>
            </w:tcBorders>
            <w:noWrap/>
            <w:vAlign w:val="bottom"/>
            <w:hideMark/>
          </w:tcPr>
          <w:p w14:paraId="1961AA53"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1374</w:t>
            </w:r>
          </w:p>
        </w:tc>
        <w:tc>
          <w:tcPr>
            <w:tcW w:w="1200" w:type="dxa"/>
            <w:tcBorders>
              <w:top w:val="nil"/>
              <w:left w:val="nil"/>
              <w:bottom w:val="nil"/>
              <w:right w:val="nil"/>
            </w:tcBorders>
            <w:noWrap/>
            <w:vAlign w:val="bottom"/>
            <w:hideMark/>
          </w:tcPr>
          <w:p w14:paraId="52CFF031"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425</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7</w:t>
            </w:r>
          </w:p>
        </w:tc>
        <w:tc>
          <w:tcPr>
            <w:tcW w:w="1200" w:type="dxa"/>
            <w:tcBorders>
              <w:top w:val="nil"/>
              <w:left w:val="nil"/>
              <w:bottom w:val="nil"/>
              <w:right w:val="nil"/>
            </w:tcBorders>
            <w:noWrap/>
            <w:vAlign w:val="bottom"/>
            <w:hideMark/>
          </w:tcPr>
          <w:p w14:paraId="0E3E70EE" w14:textId="77777777" w:rsidR="006417D8" w:rsidRPr="004B1DB5" w:rsidRDefault="006417D8" w:rsidP="00086402">
            <w:pPr>
              <w:spacing w:after="0" w:line="240" w:lineRule="auto"/>
              <w:rPr>
                <w:rFonts w:ascii="Times New Roman" w:eastAsia="Times New Roman" w:hAnsi="Times New Roman" w:cs="Times New Roman"/>
                <w:i/>
                <w:color w:val="000000"/>
                <w:sz w:val="24"/>
                <w:szCs w:val="24"/>
                <w:lang w:eastAsia="fr-FR"/>
              </w:rPr>
            </w:pPr>
            <w:r w:rsidRPr="004B1DB5">
              <w:rPr>
                <w:rFonts w:ascii="Times New Roman" w:eastAsia="Times New Roman" w:hAnsi="Times New Roman" w:cs="Times New Roman"/>
                <w:i/>
                <w:color w:val="000000"/>
                <w:sz w:val="24"/>
                <w:szCs w:val="24"/>
                <w:lang w:eastAsia="fr-FR"/>
              </w:rPr>
              <w:t>˂</w:t>
            </w:r>
            <w:r w:rsidR="00186305" w:rsidRPr="004B1DB5">
              <w:rPr>
                <w:rFonts w:ascii="Times New Roman" w:eastAsia="Times New Roman" w:hAnsi="Times New Roman" w:cs="Times New Roman"/>
                <w:i/>
                <w:color w:val="000000"/>
                <w:sz w:val="24"/>
                <w:szCs w:val="24"/>
                <w:lang w:eastAsia="fr-FR"/>
              </w:rPr>
              <w:t>0.</w:t>
            </w:r>
            <w:r w:rsidRPr="004B1DB5">
              <w:rPr>
                <w:rFonts w:ascii="Times New Roman" w:eastAsia="Times New Roman" w:hAnsi="Times New Roman" w:cs="Times New Roman"/>
                <w:i/>
                <w:color w:val="000000"/>
                <w:sz w:val="24"/>
                <w:szCs w:val="24"/>
                <w:lang w:eastAsia="fr-FR"/>
              </w:rPr>
              <w:t>001</w:t>
            </w:r>
          </w:p>
        </w:tc>
        <w:tc>
          <w:tcPr>
            <w:tcW w:w="1200" w:type="dxa"/>
            <w:tcBorders>
              <w:top w:val="nil"/>
              <w:left w:val="nil"/>
              <w:bottom w:val="nil"/>
              <w:right w:val="nil"/>
            </w:tcBorders>
          </w:tcPr>
          <w:p w14:paraId="0C7F07DF"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 : 2</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83</w:t>
            </w:r>
          </w:p>
        </w:tc>
      </w:tr>
      <w:tr w:rsidR="006417D8" w:rsidRPr="004B1DB5" w14:paraId="2961D996" w14:textId="77777777" w:rsidTr="00086402">
        <w:trPr>
          <w:trHeight w:val="315"/>
        </w:trPr>
        <w:tc>
          <w:tcPr>
            <w:tcW w:w="1800" w:type="dxa"/>
            <w:tcBorders>
              <w:top w:val="nil"/>
              <w:left w:val="nil"/>
              <w:bottom w:val="nil"/>
              <w:right w:val="nil"/>
            </w:tcBorders>
            <w:noWrap/>
            <w:vAlign w:val="bottom"/>
            <w:hideMark/>
          </w:tcPr>
          <w:p w14:paraId="24A92D2B" w14:textId="77777777" w:rsidR="006417D8" w:rsidRPr="004B1DB5" w:rsidRDefault="006417D8" w:rsidP="00086402">
            <w:pPr>
              <w:spacing w:after="0" w:line="240" w:lineRule="auto"/>
              <w:rPr>
                <w:rFonts w:ascii="Times New Roman" w:eastAsia="Times New Roman" w:hAnsi="Times New Roman" w:cs="Times New Roman"/>
                <w:i/>
                <w:iCs/>
                <w:color w:val="000000"/>
                <w:sz w:val="24"/>
                <w:szCs w:val="24"/>
                <w:lang w:eastAsia="fr-FR"/>
              </w:rPr>
            </w:pPr>
            <w:r w:rsidRPr="004B1DB5">
              <w:rPr>
                <w:rFonts w:ascii="Times New Roman" w:eastAsia="Times New Roman" w:hAnsi="Times New Roman" w:cs="Times New Roman"/>
                <w:i/>
                <w:iCs/>
                <w:color w:val="000000"/>
                <w:sz w:val="24"/>
                <w:szCs w:val="24"/>
                <w:lang w:eastAsia="fr-FR"/>
              </w:rPr>
              <w:t>Di</w:t>
            </w:r>
            <w:r w:rsidR="00FF32D9" w:rsidRPr="004B1DB5">
              <w:rPr>
                <w:rFonts w:ascii="Times New Roman" w:eastAsia="Times New Roman" w:hAnsi="Times New Roman" w:cs="Times New Roman"/>
                <w:i/>
                <w:iCs/>
                <w:color w:val="000000"/>
                <w:sz w:val="24"/>
                <w:szCs w:val="24"/>
                <w:lang w:eastAsia="fr-FR"/>
              </w:rPr>
              <w:t>k</w:t>
            </w:r>
            <w:r w:rsidRPr="004B1DB5">
              <w:rPr>
                <w:rFonts w:ascii="Times New Roman" w:eastAsia="Times New Roman" w:hAnsi="Times New Roman" w:cs="Times New Roman"/>
                <w:i/>
                <w:iCs/>
                <w:color w:val="000000"/>
                <w:sz w:val="24"/>
                <w:szCs w:val="24"/>
                <w:lang w:eastAsia="fr-FR"/>
              </w:rPr>
              <w:t>e</w:t>
            </w:r>
          </w:p>
        </w:tc>
        <w:tc>
          <w:tcPr>
            <w:tcW w:w="1200" w:type="dxa"/>
            <w:tcBorders>
              <w:top w:val="nil"/>
              <w:left w:val="nil"/>
              <w:bottom w:val="nil"/>
              <w:right w:val="nil"/>
            </w:tcBorders>
            <w:noWrap/>
            <w:vAlign w:val="bottom"/>
            <w:hideMark/>
          </w:tcPr>
          <w:p w14:paraId="0936A0DE"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434</w:t>
            </w:r>
          </w:p>
        </w:tc>
        <w:tc>
          <w:tcPr>
            <w:tcW w:w="1200" w:type="dxa"/>
            <w:tcBorders>
              <w:top w:val="nil"/>
              <w:left w:val="nil"/>
              <w:bottom w:val="nil"/>
              <w:right w:val="nil"/>
            </w:tcBorders>
            <w:noWrap/>
            <w:vAlign w:val="bottom"/>
            <w:hideMark/>
          </w:tcPr>
          <w:p w14:paraId="0FC62923"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857</w:t>
            </w:r>
          </w:p>
        </w:tc>
        <w:tc>
          <w:tcPr>
            <w:tcW w:w="1200" w:type="dxa"/>
            <w:tcBorders>
              <w:top w:val="nil"/>
              <w:left w:val="nil"/>
              <w:bottom w:val="nil"/>
              <w:right w:val="nil"/>
            </w:tcBorders>
            <w:noWrap/>
            <w:vAlign w:val="bottom"/>
            <w:hideMark/>
          </w:tcPr>
          <w:p w14:paraId="4024D7F1"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138</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6</w:t>
            </w:r>
          </w:p>
        </w:tc>
        <w:tc>
          <w:tcPr>
            <w:tcW w:w="1200" w:type="dxa"/>
            <w:tcBorders>
              <w:top w:val="nil"/>
              <w:left w:val="nil"/>
              <w:bottom w:val="nil"/>
              <w:right w:val="nil"/>
            </w:tcBorders>
            <w:noWrap/>
            <w:vAlign w:val="bottom"/>
            <w:hideMark/>
          </w:tcPr>
          <w:p w14:paraId="607D032D" w14:textId="77777777" w:rsidR="006417D8" w:rsidRPr="004B1DB5" w:rsidRDefault="006417D8" w:rsidP="00086402">
            <w:pPr>
              <w:spacing w:after="0" w:line="240" w:lineRule="auto"/>
              <w:rPr>
                <w:rFonts w:ascii="Times New Roman" w:eastAsia="Times New Roman" w:hAnsi="Times New Roman" w:cs="Times New Roman"/>
                <w:i/>
                <w:color w:val="000000"/>
                <w:sz w:val="24"/>
                <w:szCs w:val="24"/>
                <w:lang w:eastAsia="fr-FR"/>
              </w:rPr>
            </w:pPr>
            <w:r w:rsidRPr="004B1DB5">
              <w:rPr>
                <w:rFonts w:ascii="Times New Roman" w:eastAsia="Times New Roman" w:hAnsi="Times New Roman" w:cs="Times New Roman"/>
                <w:i/>
                <w:color w:val="000000"/>
                <w:sz w:val="24"/>
                <w:szCs w:val="24"/>
                <w:lang w:eastAsia="fr-FR"/>
              </w:rPr>
              <w:t>˂</w:t>
            </w:r>
            <w:r w:rsidR="00186305" w:rsidRPr="004B1DB5">
              <w:rPr>
                <w:rFonts w:ascii="Times New Roman" w:eastAsia="Times New Roman" w:hAnsi="Times New Roman" w:cs="Times New Roman"/>
                <w:i/>
                <w:color w:val="000000"/>
                <w:sz w:val="24"/>
                <w:szCs w:val="24"/>
                <w:lang w:eastAsia="fr-FR"/>
              </w:rPr>
              <w:t>0.</w:t>
            </w:r>
            <w:r w:rsidRPr="004B1DB5">
              <w:rPr>
                <w:rFonts w:ascii="Times New Roman" w:eastAsia="Times New Roman" w:hAnsi="Times New Roman" w:cs="Times New Roman"/>
                <w:i/>
                <w:color w:val="000000"/>
                <w:sz w:val="24"/>
                <w:szCs w:val="24"/>
                <w:lang w:eastAsia="fr-FR"/>
              </w:rPr>
              <w:t>001</w:t>
            </w:r>
          </w:p>
        </w:tc>
        <w:tc>
          <w:tcPr>
            <w:tcW w:w="1200" w:type="dxa"/>
            <w:tcBorders>
              <w:top w:val="nil"/>
              <w:left w:val="nil"/>
              <w:bottom w:val="nil"/>
              <w:right w:val="nil"/>
            </w:tcBorders>
          </w:tcPr>
          <w:p w14:paraId="36EFD241"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 : 1</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97</w:t>
            </w:r>
          </w:p>
        </w:tc>
      </w:tr>
      <w:tr w:rsidR="006417D8" w:rsidRPr="004B1DB5" w14:paraId="781C8AFE" w14:textId="77777777" w:rsidTr="00086402">
        <w:trPr>
          <w:trHeight w:val="315"/>
        </w:trPr>
        <w:tc>
          <w:tcPr>
            <w:tcW w:w="1800" w:type="dxa"/>
            <w:tcBorders>
              <w:top w:val="nil"/>
              <w:left w:val="nil"/>
              <w:bottom w:val="nil"/>
              <w:right w:val="nil"/>
            </w:tcBorders>
            <w:noWrap/>
            <w:vAlign w:val="bottom"/>
            <w:hideMark/>
          </w:tcPr>
          <w:p w14:paraId="29E51E65" w14:textId="77777777" w:rsidR="006417D8" w:rsidRPr="004B1DB5" w:rsidRDefault="006417D8" w:rsidP="00086402">
            <w:pPr>
              <w:spacing w:after="0" w:line="240" w:lineRule="auto"/>
              <w:rPr>
                <w:rFonts w:ascii="Times New Roman" w:eastAsia="Times New Roman" w:hAnsi="Times New Roman" w:cs="Times New Roman"/>
                <w:i/>
                <w:iCs/>
                <w:color w:val="000000"/>
                <w:sz w:val="24"/>
                <w:szCs w:val="24"/>
                <w:lang w:eastAsia="fr-FR"/>
              </w:rPr>
            </w:pPr>
            <w:r w:rsidRPr="004B1DB5">
              <w:rPr>
                <w:rFonts w:ascii="Times New Roman" w:eastAsia="Times New Roman" w:hAnsi="Times New Roman" w:cs="Times New Roman"/>
                <w:i/>
                <w:iCs/>
                <w:color w:val="000000"/>
                <w:sz w:val="24"/>
                <w:szCs w:val="24"/>
                <w:lang w:eastAsia="fr-FR"/>
              </w:rPr>
              <w:t>Port</w:t>
            </w:r>
          </w:p>
        </w:tc>
        <w:tc>
          <w:tcPr>
            <w:tcW w:w="1200" w:type="dxa"/>
            <w:tcBorders>
              <w:top w:val="nil"/>
              <w:left w:val="nil"/>
              <w:bottom w:val="nil"/>
              <w:right w:val="nil"/>
            </w:tcBorders>
            <w:noWrap/>
            <w:vAlign w:val="bottom"/>
            <w:hideMark/>
          </w:tcPr>
          <w:p w14:paraId="55CBC66E"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502</w:t>
            </w:r>
          </w:p>
        </w:tc>
        <w:tc>
          <w:tcPr>
            <w:tcW w:w="1200" w:type="dxa"/>
            <w:tcBorders>
              <w:top w:val="nil"/>
              <w:left w:val="nil"/>
              <w:bottom w:val="nil"/>
              <w:right w:val="nil"/>
            </w:tcBorders>
            <w:noWrap/>
            <w:vAlign w:val="bottom"/>
            <w:hideMark/>
          </w:tcPr>
          <w:p w14:paraId="05885D94"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680</w:t>
            </w:r>
          </w:p>
        </w:tc>
        <w:tc>
          <w:tcPr>
            <w:tcW w:w="1200" w:type="dxa"/>
            <w:tcBorders>
              <w:top w:val="nil"/>
              <w:left w:val="nil"/>
              <w:bottom w:val="nil"/>
              <w:right w:val="nil"/>
            </w:tcBorders>
            <w:noWrap/>
            <w:vAlign w:val="bottom"/>
            <w:hideMark/>
          </w:tcPr>
          <w:p w14:paraId="5B7AB4A8"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26</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82</w:t>
            </w:r>
          </w:p>
        </w:tc>
        <w:tc>
          <w:tcPr>
            <w:tcW w:w="1200" w:type="dxa"/>
            <w:tcBorders>
              <w:top w:val="nil"/>
              <w:left w:val="nil"/>
              <w:bottom w:val="nil"/>
              <w:right w:val="nil"/>
            </w:tcBorders>
            <w:noWrap/>
            <w:vAlign w:val="bottom"/>
            <w:hideMark/>
          </w:tcPr>
          <w:p w14:paraId="0D716C39" w14:textId="77777777" w:rsidR="006417D8" w:rsidRPr="004B1DB5" w:rsidRDefault="006417D8" w:rsidP="00086402">
            <w:pPr>
              <w:spacing w:after="0" w:line="240" w:lineRule="auto"/>
              <w:rPr>
                <w:rFonts w:ascii="Times New Roman" w:eastAsia="Times New Roman" w:hAnsi="Times New Roman" w:cs="Times New Roman"/>
                <w:i/>
                <w:color w:val="000000"/>
                <w:sz w:val="24"/>
                <w:szCs w:val="24"/>
                <w:lang w:eastAsia="fr-FR"/>
              </w:rPr>
            </w:pPr>
            <w:r w:rsidRPr="004B1DB5">
              <w:rPr>
                <w:rFonts w:ascii="Times New Roman" w:eastAsia="Times New Roman" w:hAnsi="Times New Roman" w:cs="Times New Roman"/>
                <w:i/>
                <w:color w:val="000000"/>
                <w:sz w:val="24"/>
                <w:szCs w:val="24"/>
                <w:lang w:eastAsia="fr-FR"/>
              </w:rPr>
              <w:t>˂</w:t>
            </w:r>
            <w:r w:rsidR="00186305" w:rsidRPr="004B1DB5">
              <w:rPr>
                <w:rFonts w:ascii="Times New Roman" w:eastAsia="Times New Roman" w:hAnsi="Times New Roman" w:cs="Times New Roman"/>
                <w:i/>
                <w:color w:val="000000"/>
                <w:sz w:val="24"/>
                <w:szCs w:val="24"/>
                <w:lang w:eastAsia="fr-FR"/>
              </w:rPr>
              <w:t>0.</w:t>
            </w:r>
            <w:r w:rsidRPr="004B1DB5">
              <w:rPr>
                <w:rFonts w:ascii="Times New Roman" w:eastAsia="Times New Roman" w:hAnsi="Times New Roman" w:cs="Times New Roman"/>
                <w:i/>
                <w:color w:val="000000"/>
                <w:sz w:val="24"/>
                <w:szCs w:val="24"/>
                <w:lang w:eastAsia="fr-FR"/>
              </w:rPr>
              <w:t>001</w:t>
            </w:r>
          </w:p>
        </w:tc>
        <w:tc>
          <w:tcPr>
            <w:tcW w:w="1200" w:type="dxa"/>
            <w:tcBorders>
              <w:top w:val="nil"/>
              <w:left w:val="nil"/>
              <w:bottom w:val="nil"/>
              <w:right w:val="nil"/>
            </w:tcBorders>
          </w:tcPr>
          <w:p w14:paraId="53517C5B"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 : 1</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35</w:t>
            </w:r>
          </w:p>
        </w:tc>
      </w:tr>
      <w:tr w:rsidR="006417D8" w:rsidRPr="004B1DB5" w14:paraId="75377D15" w14:textId="77777777" w:rsidTr="00086402">
        <w:trPr>
          <w:trHeight w:val="315"/>
        </w:trPr>
        <w:tc>
          <w:tcPr>
            <w:tcW w:w="1800" w:type="dxa"/>
            <w:tcBorders>
              <w:top w:val="nil"/>
              <w:left w:val="nil"/>
              <w:bottom w:val="nil"/>
              <w:right w:val="nil"/>
            </w:tcBorders>
            <w:noWrap/>
            <w:vAlign w:val="bottom"/>
            <w:hideMark/>
          </w:tcPr>
          <w:p w14:paraId="7A0D2D9A" w14:textId="77777777" w:rsidR="006417D8" w:rsidRPr="004B1DB5" w:rsidRDefault="006417D8" w:rsidP="00086402">
            <w:pPr>
              <w:spacing w:after="0" w:line="240" w:lineRule="auto"/>
              <w:rPr>
                <w:rFonts w:ascii="Times New Roman" w:eastAsia="Times New Roman" w:hAnsi="Times New Roman" w:cs="Times New Roman"/>
                <w:i/>
                <w:iCs/>
                <w:color w:val="000000"/>
                <w:sz w:val="24"/>
                <w:szCs w:val="24"/>
                <w:lang w:eastAsia="fr-FR"/>
              </w:rPr>
            </w:pPr>
            <w:r w:rsidRPr="004B1DB5">
              <w:rPr>
                <w:rFonts w:ascii="Times New Roman" w:eastAsia="Times New Roman" w:hAnsi="Times New Roman" w:cs="Times New Roman"/>
                <w:i/>
                <w:iCs/>
                <w:color w:val="000000"/>
                <w:sz w:val="24"/>
                <w:szCs w:val="24"/>
                <w:lang w:eastAsia="fr-FR"/>
              </w:rPr>
              <w:t>Antonio</w:t>
            </w:r>
          </w:p>
        </w:tc>
        <w:tc>
          <w:tcPr>
            <w:tcW w:w="1200" w:type="dxa"/>
            <w:tcBorders>
              <w:top w:val="nil"/>
              <w:left w:val="nil"/>
              <w:bottom w:val="nil"/>
              <w:right w:val="nil"/>
            </w:tcBorders>
            <w:noWrap/>
            <w:vAlign w:val="bottom"/>
            <w:hideMark/>
          </w:tcPr>
          <w:p w14:paraId="669B6C8C"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860</w:t>
            </w:r>
          </w:p>
        </w:tc>
        <w:tc>
          <w:tcPr>
            <w:tcW w:w="1200" w:type="dxa"/>
            <w:tcBorders>
              <w:top w:val="nil"/>
              <w:left w:val="nil"/>
              <w:bottom w:val="nil"/>
              <w:right w:val="nil"/>
            </w:tcBorders>
            <w:noWrap/>
            <w:vAlign w:val="bottom"/>
            <w:hideMark/>
          </w:tcPr>
          <w:p w14:paraId="73A01D95"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1323</w:t>
            </w:r>
          </w:p>
        </w:tc>
        <w:tc>
          <w:tcPr>
            <w:tcW w:w="1200" w:type="dxa"/>
            <w:tcBorders>
              <w:top w:val="nil"/>
              <w:left w:val="nil"/>
              <w:bottom w:val="nil"/>
              <w:right w:val="nil"/>
            </w:tcBorders>
            <w:noWrap/>
            <w:vAlign w:val="bottom"/>
            <w:hideMark/>
          </w:tcPr>
          <w:p w14:paraId="609BDE74"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97</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79</w:t>
            </w:r>
          </w:p>
        </w:tc>
        <w:tc>
          <w:tcPr>
            <w:tcW w:w="1200" w:type="dxa"/>
            <w:tcBorders>
              <w:top w:val="nil"/>
              <w:left w:val="nil"/>
              <w:bottom w:val="nil"/>
              <w:right w:val="nil"/>
            </w:tcBorders>
            <w:noWrap/>
            <w:vAlign w:val="bottom"/>
            <w:hideMark/>
          </w:tcPr>
          <w:p w14:paraId="56B1F5C2" w14:textId="77777777" w:rsidR="006417D8" w:rsidRPr="004B1DB5" w:rsidRDefault="006417D8" w:rsidP="00086402">
            <w:pPr>
              <w:spacing w:after="0" w:line="240" w:lineRule="auto"/>
              <w:rPr>
                <w:rFonts w:ascii="Times New Roman" w:eastAsia="Times New Roman" w:hAnsi="Times New Roman" w:cs="Times New Roman"/>
                <w:i/>
                <w:color w:val="000000"/>
                <w:sz w:val="24"/>
                <w:szCs w:val="24"/>
                <w:lang w:eastAsia="fr-FR"/>
              </w:rPr>
            </w:pPr>
            <w:r w:rsidRPr="004B1DB5">
              <w:rPr>
                <w:rFonts w:ascii="Times New Roman" w:eastAsia="Times New Roman" w:hAnsi="Times New Roman" w:cs="Times New Roman"/>
                <w:i/>
                <w:color w:val="000000"/>
                <w:sz w:val="24"/>
                <w:szCs w:val="24"/>
                <w:lang w:eastAsia="fr-FR"/>
              </w:rPr>
              <w:t>˂</w:t>
            </w:r>
            <w:r w:rsidR="00186305" w:rsidRPr="004B1DB5">
              <w:rPr>
                <w:rFonts w:ascii="Times New Roman" w:eastAsia="Times New Roman" w:hAnsi="Times New Roman" w:cs="Times New Roman"/>
                <w:i/>
                <w:color w:val="000000"/>
                <w:sz w:val="24"/>
                <w:szCs w:val="24"/>
                <w:lang w:eastAsia="fr-FR"/>
              </w:rPr>
              <w:t>0.</w:t>
            </w:r>
            <w:r w:rsidRPr="004B1DB5">
              <w:rPr>
                <w:rFonts w:ascii="Times New Roman" w:eastAsia="Times New Roman" w:hAnsi="Times New Roman" w:cs="Times New Roman"/>
                <w:i/>
                <w:color w:val="000000"/>
                <w:sz w:val="24"/>
                <w:szCs w:val="24"/>
                <w:lang w:eastAsia="fr-FR"/>
              </w:rPr>
              <w:t>001</w:t>
            </w:r>
          </w:p>
        </w:tc>
        <w:tc>
          <w:tcPr>
            <w:tcW w:w="1200" w:type="dxa"/>
            <w:tcBorders>
              <w:top w:val="nil"/>
              <w:left w:val="nil"/>
              <w:bottom w:val="nil"/>
              <w:right w:val="nil"/>
            </w:tcBorders>
          </w:tcPr>
          <w:p w14:paraId="042E09B8"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 : 1</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54</w:t>
            </w:r>
          </w:p>
        </w:tc>
      </w:tr>
      <w:tr w:rsidR="006417D8" w:rsidRPr="004B1DB5" w14:paraId="377B691D" w14:textId="77777777" w:rsidTr="00086402">
        <w:trPr>
          <w:trHeight w:val="315"/>
        </w:trPr>
        <w:tc>
          <w:tcPr>
            <w:tcW w:w="1800" w:type="dxa"/>
            <w:tcBorders>
              <w:top w:val="nil"/>
              <w:left w:val="nil"/>
              <w:bottom w:val="nil"/>
              <w:right w:val="nil"/>
            </w:tcBorders>
            <w:noWrap/>
            <w:vAlign w:val="bottom"/>
            <w:hideMark/>
          </w:tcPr>
          <w:p w14:paraId="6CC67308" w14:textId="77777777" w:rsidR="006417D8" w:rsidRPr="004B1DB5" w:rsidRDefault="006417D8" w:rsidP="00086402">
            <w:pPr>
              <w:spacing w:after="0" w:line="240" w:lineRule="auto"/>
              <w:rPr>
                <w:rFonts w:ascii="Times New Roman" w:eastAsia="Times New Roman" w:hAnsi="Times New Roman" w:cs="Times New Roman"/>
                <w:i/>
                <w:iCs/>
                <w:color w:val="000000"/>
                <w:sz w:val="24"/>
                <w:szCs w:val="24"/>
                <w:lang w:eastAsia="fr-FR"/>
              </w:rPr>
            </w:pPr>
            <w:r w:rsidRPr="004B1DB5">
              <w:rPr>
                <w:rFonts w:ascii="Times New Roman" w:eastAsia="Times New Roman" w:hAnsi="Times New Roman" w:cs="Times New Roman"/>
                <w:i/>
                <w:iCs/>
                <w:color w:val="000000"/>
                <w:sz w:val="24"/>
                <w:szCs w:val="24"/>
                <w:lang w:eastAsia="fr-FR"/>
              </w:rPr>
              <w:t>Courandjourou</w:t>
            </w:r>
          </w:p>
        </w:tc>
        <w:tc>
          <w:tcPr>
            <w:tcW w:w="1200" w:type="dxa"/>
            <w:tcBorders>
              <w:top w:val="nil"/>
              <w:left w:val="nil"/>
              <w:bottom w:val="nil"/>
              <w:right w:val="nil"/>
            </w:tcBorders>
            <w:noWrap/>
            <w:vAlign w:val="bottom"/>
            <w:hideMark/>
          </w:tcPr>
          <w:p w14:paraId="1437E309"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393</w:t>
            </w:r>
          </w:p>
        </w:tc>
        <w:tc>
          <w:tcPr>
            <w:tcW w:w="1200" w:type="dxa"/>
            <w:tcBorders>
              <w:top w:val="nil"/>
              <w:left w:val="nil"/>
              <w:bottom w:val="nil"/>
              <w:right w:val="nil"/>
            </w:tcBorders>
            <w:noWrap/>
            <w:vAlign w:val="bottom"/>
            <w:hideMark/>
          </w:tcPr>
          <w:p w14:paraId="3F0D7DC0"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581</w:t>
            </w:r>
          </w:p>
        </w:tc>
        <w:tc>
          <w:tcPr>
            <w:tcW w:w="1200" w:type="dxa"/>
            <w:tcBorders>
              <w:top w:val="nil"/>
              <w:left w:val="nil"/>
              <w:bottom w:val="nil"/>
              <w:right w:val="nil"/>
            </w:tcBorders>
            <w:noWrap/>
            <w:vAlign w:val="bottom"/>
            <w:hideMark/>
          </w:tcPr>
          <w:p w14:paraId="039E1269"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36</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29</w:t>
            </w:r>
          </w:p>
        </w:tc>
        <w:tc>
          <w:tcPr>
            <w:tcW w:w="1200" w:type="dxa"/>
            <w:tcBorders>
              <w:top w:val="nil"/>
              <w:left w:val="nil"/>
              <w:bottom w:val="nil"/>
              <w:right w:val="nil"/>
            </w:tcBorders>
            <w:noWrap/>
            <w:vAlign w:val="bottom"/>
            <w:hideMark/>
          </w:tcPr>
          <w:p w14:paraId="6234E995" w14:textId="77777777" w:rsidR="006417D8" w:rsidRPr="004B1DB5" w:rsidRDefault="006417D8" w:rsidP="00086402">
            <w:pPr>
              <w:spacing w:after="0" w:line="240" w:lineRule="auto"/>
              <w:rPr>
                <w:rFonts w:ascii="Times New Roman" w:eastAsia="Times New Roman" w:hAnsi="Times New Roman" w:cs="Times New Roman"/>
                <w:i/>
                <w:color w:val="000000"/>
                <w:sz w:val="24"/>
                <w:szCs w:val="24"/>
                <w:lang w:eastAsia="fr-FR"/>
              </w:rPr>
            </w:pPr>
            <w:r w:rsidRPr="004B1DB5">
              <w:rPr>
                <w:rFonts w:ascii="Times New Roman" w:eastAsia="Times New Roman" w:hAnsi="Times New Roman" w:cs="Times New Roman"/>
                <w:i/>
                <w:color w:val="000000"/>
                <w:sz w:val="24"/>
                <w:szCs w:val="24"/>
                <w:lang w:eastAsia="fr-FR"/>
              </w:rPr>
              <w:t>˂</w:t>
            </w:r>
            <w:r w:rsidR="00186305" w:rsidRPr="004B1DB5">
              <w:rPr>
                <w:rFonts w:ascii="Times New Roman" w:eastAsia="Times New Roman" w:hAnsi="Times New Roman" w:cs="Times New Roman"/>
                <w:i/>
                <w:color w:val="000000"/>
                <w:sz w:val="24"/>
                <w:szCs w:val="24"/>
                <w:lang w:eastAsia="fr-FR"/>
              </w:rPr>
              <w:t>0.</w:t>
            </w:r>
            <w:r w:rsidRPr="004B1DB5">
              <w:rPr>
                <w:rFonts w:ascii="Times New Roman" w:eastAsia="Times New Roman" w:hAnsi="Times New Roman" w:cs="Times New Roman"/>
                <w:i/>
                <w:color w:val="000000"/>
                <w:sz w:val="24"/>
                <w:szCs w:val="24"/>
                <w:lang w:eastAsia="fr-FR"/>
              </w:rPr>
              <w:t>001</w:t>
            </w:r>
          </w:p>
        </w:tc>
        <w:tc>
          <w:tcPr>
            <w:tcW w:w="1200" w:type="dxa"/>
            <w:tcBorders>
              <w:top w:val="nil"/>
              <w:left w:val="nil"/>
              <w:bottom w:val="nil"/>
              <w:right w:val="nil"/>
            </w:tcBorders>
          </w:tcPr>
          <w:p w14:paraId="22F1F61D"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 : 1</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48</w:t>
            </w:r>
          </w:p>
        </w:tc>
      </w:tr>
      <w:tr w:rsidR="006417D8" w:rsidRPr="004B1DB5" w14:paraId="748AB192" w14:textId="77777777" w:rsidTr="00086402">
        <w:trPr>
          <w:trHeight w:val="315"/>
        </w:trPr>
        <w:tc>
          <w:tcPr>
            <w:tcW w:w="1800" w:type="dxa"/>
            <w:tcBorders>
              <w:top w:val="nil"/>
              <w:left w:val="nil"/>
              <w:bottom w:val="single" w:sz="4" w:space="0" w:color="auto"/>
              <w:right w:val="nil"/>
            </w:tcBorders>
            <w:noWrap/>
            <w:vAlign w:val="bottom"/>
            <w:hideMark/>
          </w:tcPr>
          <w:p w14:paraId="147C4851" w14:textId="77777777" w:rsidR="006417D8" w:rsidRPr="004B1DB5" w:rsidRDefault="006417D8" w:rsidP="00086402">
            <w:pPr>
              <w:spacing w:after="0" w:line="240" w:lineRule="auto"/>
              <w:rPr>
                <w:rFonts w:ascii="Times New Roman" w:eastAsia="Times New Roman" w:hAnsi="Times New Roman" w:cs="Times New Roman"/>
                <w:i/>
                <w:iCs/>
                <w:color w:val="000000"/>
                <w:sz w:val="24"/>
                <w:szCs w:val="24"/>
                <w:lang w:eastAsia="fr-FR"/>
              </w:rPr>
            </w:pPr>
            <w:r w:rsidRPr="004B1DB5">
              <w:rPr>
                <w:rFonts w:ascii="Times New Roman" w:eastAsia="Times New Roman" w:hAnsi="Times New Roman" w:cs="Times New Roman"/>
                <w:i/>
                <w:iCs/>
                <w:color w:val="000000"/>
                <w:sz w:val="24"/>
                <w:szCs w:val="24"/>
                <w:lang w:eastAsia="fr-FR"/>
              </w:rPr>
              <w:t>I</w:t>
            </w:r>
            <w:r w:rsidR="00FF32D9" w:rsidRPr="004B1DB5">
              <w:rPr>
                <w:rFonts w:ascii="Times New Roman" w:eastAsia="Times New Roman" w:hAnsi="Times New Roman" w:cs="Times New Roman"/>
                <w:i/>
                <w:iCs/>
                <w:color w:val="000000"/>
                <w:sz w:val="24"/>
                <w:szCs w:val="24"/>
                <w:lang w:eastAsia="fr-FR"/>
              </w:rPr>
              <w:t>slands</w:t>
            </w:r>
          </w:p>
        </w:tc>
        <w:tc>
          <w:tcPr>
            <w:tcW w:w="1200" w:type="dxa"/>
            <w:tcBorders>
              <w:top w:val="nil"/>
              <w:left w:val="nil"/>
              <w:bottom w:val="single" w:sz="4" w:space="0" w:color="auto"/>
              <w:right w:val="nil"/>
            </w:tcBorders>
            <w:noWrap/>
            <w:vAlign w:val="bottom"/>
            <w:hideMark/>
          </w:tcPr>
          <w:p w14:paraId="7EEF098A"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 108</w:t>
            </w:r>
          </w:p>
        </w:tc>
        <w:tc>
          <w:tcPr>
            <w:tcW w:w="1200" w:type="dxa"/>
            <w:tcBorders>
              <w:top w:val="nil"/>
              <w:left w:val="nil"/>
              <w:bottom w:val="single" w:sz="4" w:space="0" w:color="auto"/>
              <w:right w:val="nil"/>
            </w:tcBorders>
            <w:noWrap/>
            <w:vAlign w:val="bottom"/>
            <w:hideMark/>
          </w:tcPr>
          <w:p w14:paraId="334DE33A"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96 </w:t>
            </w:r>
          </w:p>
        </w:tc>
        <w:tc>
          <w:tcPr>
            <w:tcW w:w="1200" w:type="dxa"/>
            <w:tcBorders>
              <w:top w:val="nil"/>
              <w:left w:val="nil"/>
              <w:bottom w:val="single" w:sz="4" w:space="0" w:color="auto"/>
              <w:right w:val="nil"/>
            </w:tcBorders>
            <w:noWrap/>
            <w:vAlign w:val="bottom"/>
            <w:hideMark/>
          </w:tcPr>
          <w:p w14:paraId="4E12F7B8"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 0</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706</w:t>
            </w:r>
          </w:p>
        </w:tc>
        <w:tc>
          <w:tcPr>
            <w:tcW w:w="1200" w:type="dxa"/>
            <w:tcBorders>
              <w:top w:val="nil"/>
              <w:left w:val="nil"/>
              <w:bottom w:val="single" w:sz="4" w:space="0" w:color="auto"/>
              <w:right w:val="nil"/>
            </w:tcBorders>
            <w:noWrap/>
            <w:vAlign w:val="bottom"/>
            <w:hideMark/>
          </w:tcPr>
          <w:p w14:paraId="48B62AE8" w14:textId="77777777" w:rsidR="006417D8" w:rsidRPr="004B1DB5" w:rsidRDefault="00186305" w:rsidP="00086402">
            <w:pPr>
              <w:spacing w:after="0" w:line="240" w:lineRule="auto"/>
              <w:rPr>
                <w:rFonts w:ascii="Times New Roman" w:eastAsia="Times New Roman" w:hAnsi="Times New Roman" w:cs="Times New Roman"/>
                <w:i/>
                <w:color w:val="000000"/>
                <w:sz w:val="24"/>
                <w:szCs w:val="24"/>
                <w:lang w:eastAsia="fr-FR"/>
              </w:rPr>
            </w:pPr>
            <w:r w:rsidRPr="004B1DB5">
              <w:rPr>
                <w:rFonts w:ascii="Times New Roman" w:eastAsia="Times New Roman" w:hAnsi="Times New Roman" w:cs="Times New Roman"/>
                <w:i/>
                <w:color w:val="000000"/>
                <w:sz w:val="24"/>
                <w:szCs w:val="24"/>
                <w:lang w:eastAsia="fr-FR"/>
              </w:rPr>
              <w:t> 0.</w:t>
            </w:r>
            <w:r w:rsidR="006417D8" w:rsidRPr="004B1DB5">
              <w:rPr>
                <w:rFonts w:ascii="Times New Roman" w:eastAsia="Times New Roman" w:hAnsi="Times New Roman" w:cs="Times New Roman"/>
                <w:i/>
                <w:color w:val="000000"/>
                <w:sz w:val="24"/>
                <w:szCs w:val="24"/>
                <w:lang w:eastAsia="fr-FR"/>
              </w:rPr>
              <w:t>4008</w:t>
            </w:r>
          </w:p>
        </w:tc>
        <w:tc>
          <w:tcPr>
            <w:tcW w:w="1200" w:type="dxa"/>
            <w:tcBorders>
              <w:top w:val="nil"/>
              <w:left w:val="nil"/>
              <w:bottom w:val="single" w:sz="4" w:space="0" w:color="auto"/>
              <w:right w:val="nil"/>
            </w:tcBorders>
          </w:tcPr>
          <w:p w14:paraId="0F98D0B0"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r w:rsidRPr="004B1DB5">
              <w:rPr>
                <w:rFonts w:ascii="Times New Roman" w:eastAsia="Times New Roman" w:hAnsi="Times New Roman" w:cs="Times New Roman"/>
                <w:color w:val="000000"/>
                <w:sz w:val="24"/>
                <w:szCs w:val="24"/>
                <w:lang w:eastAsia="fr-FR"/>
              </w:rPr>
              <w:t>1 : 0</w:t>
            </w:r>
            <w:r w:rsidR="00472F5F" w:rsidRPr="004B1DB5">
              <w:rPr>
                <w:rFonts w:ascii="Times New Roman" w:eastAsia="Times New Roman" w:hAnsi="Times New Roman" w:cs="Times New Roman"/>
                <w:color w:val="000000"/>
                <w:sz w:val="24"/>
                <w:szCs w:val="24"/>
                <w:lang w:eastAsia="fr-FR"/>
              </w:rPr>
              <w:t>.</w:t>
            </w:r>
            <w:r w:rsidRPr="004B1DB5">
              <w:rPr>
                <w:rFonts w:ascii="Times New Roman" w:eastAsia="Times New Roman" w:hAnsi="Times New Roman" w:cs="Times New Roman"/>
                <w:color w:val="000000"/>
                <w:sz w:val="24"/>
                <w:szCs w:val="24"/>
                <w:lang w:eastAsia="fr-FR"/>
              </w:rPr>
              <w:t>89</w:t>
            </w:r>
          </w:p>
        </w:tc>
      </w:tr>
      <w:tr w:rsidR="006417D8" w:rsidRPr="004B1DB5" w14:paraId="13B6387A" w14:textId="77777777" w:rsidTr="00086402">
        <w:trPr>
          <w:trHeight w:val="315"/>
        </w:trPr>
        <w:tc>
          <w:tcPr>
            <w:tcW w:w="1800" w:type="dxa"/>
            <w:tcBorders>
              <w:top w:val="nil"/>
              <w:left w:val="nil"/>
              <w:bottom w:val="nil"/>
              <w:right w:val="nil"/>
            </w:tcBorders>
            <w:noWrap/>
            <w:vAlign w:val="bottom"/>
            <w:hideMark/>
          </w:tcPr>
          <w:p w14:paraId="07CB32BE" w14:textId="77777777" w:rsidR="006417D8" w:rsidRPr="004B1DB5" w:rsidRDefault="006417D8" w:rsidP="00086402">
            <w:pPr>
              <w:spacing w:after="0" w:line="240" w:lineRule="auto"/>
              <w:rPr>
                <w:rFonts w:ascii="Calibri" w:eastAsia="Times New Roman" w:hAnsi="Calibri" w:cs="Calibri"/>
                <w:color w:val="000000"/>
                <w:lang w:eastAsia="fr-FR"/>
              </w:rPr>
            </w:pPr>
          </w:p>
        </w:tc>
        <w:tc>
          <w:tcPr>
            <w:tcW w:w="1200" w:type="dxa"/>
            <w:tcBorders>
              <w:top w:val="nil"/>
              <w:left w:val="nil"/>
              <w:bottom w:val="nil"/>
              <w:right w:val="nil"/>
            </w:tcBorders>
            <w:noWrap/>
            <w:vAlign w:val="bottom"/>
            <w:hideMark/>
          </w:tcPr>
          <w:p w14:paraId="19664A83"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p>
        </w:tc>
        <w:tc>
          <w:tcPr>
            <w:tcW w:w="1200" w:type="dxa"/>
            <w:tcBorders>
              <w:top w:val="nil"/>
              <w:left w:val="nil"/>
              <w:bottom w:val="nil"/>
              <w:right w:val="nil"/>
            </w:tcBorders>
            <w:noWrap/>
            <w:vAlign w:val="bottom"/>
            <w:hideMark/>
          </w:tcPr>
          <w:p w14:paraId="044552DE"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p>
        </w:tc>
        <w:tc>
          <w:tcPr>
            <w:tcW w:w="1200" w:type="dxa"/>
            <w:tcBorders>
              <w:top w:val="nil"/>
              <w:left w:val="nil"/>
              <w:bottom w:val="nil"/>
              <w:right w:val="nil"/>
            </w:tcBorders>
            <w:noWrap/>
            <w:vAlign w:val="bottom"/>
            <w:hideMark/>
          </w:tcPr>
          <w:p w14:paraId="7288C8DD"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p>
        </w:tc>
        <w:tc>
          <w:tcPr>
            <w:tcW w:w="1200" w:type="dxa"/>
            <w:tcBorders>
              <w:top w:val="nil"/>
              <w:left w:val="nil"/>
              <w:bottom w:val="nil"/>
              <w:right w:val="nil"/>
            </w:tcBorders>
            <w:noWrap/>
            <w:vAlign w:val="bottom"/>
            <w:hideMark/>
          </w:tcPr>
          <w:p w14:paraId="048ECBA9"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p>
        </w:tc>
        <w:tc>
          <w:tcPr>
            <w:tcW w:w="1200" w:type="dxa"/>
            <w:tcBorders>
              <w:top w:val="nil"/>
              <w:left w:val="nil"/>
              <w:bottom w:val="nil"/>
              <w:right w:val="nil"/>
            </w:tcBorders>
          </w:tcPr>
          <w:p w14:paraId="7527D228" w14:textId="77777777" w:rsidR="006417D8" w:rsidRPr="004B1DB5" w:rsidRDefault="006417D8" w:rsidP="00086402">
            <w:pPr>
              <w:spacing w:after="0" w:line="240" w:lineRule="auto"/>
              <w:rPr>
                <w:rFonts w:ascii="Times New Roman" w:eastAsia="Times New Roman" w:hAnsi="Times New Roman" w:cs="Times New Roman"/>
                <w:color w:val="000000"/>
                <w:sz w:val="24"/>
                <w:szCs w:val="24"/>
                <w:lang w:eastAsia="fr-FR"/>
              </w:rPr>
            </w:pPr>
          </w:p>
        </w:tc>
      </w:tr>
    </w:tbl>
    <w:p w14:paraId="50A1622E" w14:textId="77777777" w:rsidR="006417D8" w:rsidRPr="004B1DB5" w:rsidRDefault="006417D8" w:rsidP="006417D8">
      <w:pPr>
        <w:pStyle w:val="NormalWeb"/>
        <w:rPr>
          <w:b/>
        </w:rPr>
      </w:pPr>
      <w:r w:rsidRPr="004B1DB5">
        <w:rPr>
          <w:b/>
        </w:rPr>
        <w:t>3.2.3-Seasonal variation in the number of immature fish caught in fishing areas</w:t>
      </w:r>
    </w:p>
    <w:p w14:paraId="5A4071F3" w14:textId="77777777" w:rsidR="002F465C" w:rsidRPr="004B1DB5" w:rsidRDefault="006417D8" w:rsidP="006417D8">
      <w:pPr>
        <w:pStyle w:val="NormalWeb"/>
        <w:spacing w:line="360" w:lineRule="auto"/>
        <w:jc w:val="both"/>
      </w:pPr>
      <w:r w:rsidRPr="004B1DB5">
        <w:t>Throughout the year, the proportion of immature specimens caught in each area varied among months (Figure 4). Antonio, Port, and Courandjourou recorded their highest proportions of immature fish during the long dry season (LDS), at 49.46%, 50.66%, and 52.88%, respectively. In Senegalegoum and Dike, the highest proportions of immature fish were observed during the short dry season (SDS), reaching 48.24% and 50.94%, respectively. The highest proportion of immature fish in Taabo City was recorded during the long rainy season (LRS).</w:t>
      </w:r>
    </w:p>
    <w:p w14:paraId="75605F0D" w14:textId="77777777" w:rsidR="00646343" w:rsidRPr="004B1DB5" w:rsidRDefault="002F465C" w:rsidP="006417D8">
      <w:pPr>
        <w:pStyle w:val="NormalWeb"/>
        <w:spacing w:line="360" w:lineRule="auto"/>
        <w:jc w:val="both"/>
      </w:pPr>
      <w:r w:rsidRPr="004B1DB5">
        <w:rPr>
          <w:noProof/>
        </w:rPr>
        <w:lastRenderedPageBreak/>
        <w:drawing>
          <wp:inline distT="0" distB="0" distL="0" distR="0" wp14:anchorId="10C6273B" wp14:editId="1330B1DC">
            <wp:extent cx="5972810" cy="3315970"/>
            <wp:effectExtent l="0" t="0" r="8890" b="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2B6585" w14:textId="77777777" w:rsidR="00646343" w:rsidRPr="004B1DB5" w:rsidRDefault="00646343" w:rsidP="00646343">
      <w:pPr>
        <w:pStyle w:val="NormalWeb"/>
        <w:jc w:val="both"/>
      </w:pPr>
      <w:r w:rsidRPr="004B1DB5">
        <w:t>Figure 4: Variation in the number of immature specimens caught in different fishing areas over the course of the fishing seasons.</w:t>
      </w:r>
    </w:p>
    <w:p w14:paraId="54E25317" w14:textId="77777777" w:rsidR="006417D8" w:rsidRPr="004B1DB5" w:rsidRDefault="00E47E0B" w:rsidP="006417D8">
      <w:pPr>
        <w:pStyle w:val="NormalWeb"/>
        <w:rPr>
          <w:i/>
        </w:rPr>
      </w:pPr>
      <w:r w:rsidRPr="004B1DB5">
        <w:rPr>
          <w:i/>
        </w:rPr>
        <w:t xml:space="preserve">SRS: short rainy season; LDS: long dry season; LRS: long rainy season; </w:t>
      </w:r>
      <w:r w:rsidR="006417D8" w:rsidRPr="004B1DB5">
        <w:rPr>
          <w:i/>
        </w:rPr>
        <w:t>S</w:t>
      </w:r>
      <w:r w:rsidRPr="004B1DB5">
        <w:rPr>
          <w:i/>
        </w:rPr>
        <w:t>D</w:t>
      </w:r>
      <w:r w:rsidR="006417D8" w:rsidRPr="004B1DB5">
        <w:rPr>
          <w:i/>
        </w:rPr>
        <w:t>S: short dry season</w:t>
      </w:r>
    </w:p>
    <w:p w14:paraId="099A86E7" w14:textId="77777777" w:rsidR="00646343" w:rsidRPr="004B1DB5" w:rsidRDefault="00646343" w:rsidP="006417D8">
      <w:pPr>
        <w:pStyle w:val="NormalWeb"/>
        <w:rPr>
          <w:i/>
        </w:rPr>
      </w:pPr>
    </w:p>
    <w:p w14:paraId="083614D4" w14:textId="77777777" w:rsidR="006564B1" w:rsidRPr="004B1DB5" w:rsidRDefault="006564B1" w:rsidP="006564B1">
      <w:pPr>
        <w:pStyle w:val="NormalWeb"/>
        <w:rPr>
          <w:b/>
        </w:rPr>
      </w:pPr>
      <w:r w:rsidRPr="004B1DB5">
        <w:rPr>
          <w:b/>
        </w:rPr>
        <w:t>3.2.4-Monthly variation in the number of mature females caught in the fishing areas</w:t>
      </w:r>
    </w:p>
    <w:p w14:paraId="1DC9B261" w14:textId="77777777" w:rsidR="006417D8" w:rsidRPr="004B1DB5" w:rsidRDefault="006564B1" w:rsidP="006564B1">
      <w:pPr>
        <w:pStyle w:val="NormalWeb"/>
        <w:spacing w:line="360" w:lineRule="auto"/>
        <w:jc w:val="both"/>
      </w:pPr>
      <w:r w:rsidRPr="004B1DB5">
        <w:t>Among the landings, the highest proportions of mature females were recorded during the short dry season (SDS) in Taabo City, Senegalegoum, Port, and Courandjourou, at 33.54%, 60.59%, 45.48%, and 63.49%, respectively. In Antonio and Dike, the highest proportions were observed during the long rainy season (LRS), reaching 48.57% and 31.75%, respectively. During the long dry season (LDS), catches of mature females were high in Port (38.63%) and Courandjourou (32.01%). The Islands area recorded the highest proportion of mature females during the short rainy season (SRS), at approximately 83.67%, followed by Taabo City at 26.73%.</w:t>
      </w:r>
    </w:p>
    <w:p w14:paraId="5DCCF0E7" w14:textId="77777777" w:rsidR="00BD30A7" w:rsidRPr="004B1DB5" w:rsidRDefault="000265FC" w:rsidP="000265FC">
      <w:pPr>
        <w:pStyle w:val="NormalWeb"/>
        <w:spacing w:line="360" w:lineRule="auto"/>
        <w:jc w:val="both"/>
      </w:pPr>
      <w:r w:rsidRPr="004B1DB5">
        <w:rPr>
          <w:noProof/>
        </w:rPr>
        <w:lastRenderedPageBreak/>
        <w:drawing>
          <wp:inline distT="0" distB="0" distL="0" distR="0" wp14:anchorId="7F131CBA" wp14:editId="4E2412C6">
            <wp:extent cx="5762847" cy="3413125"/>
            <wp:effectExtent l="0" t="0" r="0" b="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42BA91" w14:textId="77777777" w:rsidR="006564B1" w:rsidRPr="004B1DB5" w:rsidRDefault="00BD30A7" w:rsidP="006564B1">
      <w:pPr>
        <w:pStyle w:val="NormalWeb"/>
      </w:pPr>
      <w:r w:rsidRPr="004B1DB5">
        <w:tab/>
      </w:r>
      <w:r w:rsidR="006564B1" w:rsidRPr="004B1DB5">
        <w:t>Figure 5: Seasonal variation in stocks of mature females in the catch areas</w:t>
      </w:r>
    </w:p>
    <w:p w14:paraId="0CFC0EB1" w14:textId="77777777" w:rsidR="006564B1" w:rsidRPr="004B1DB5" w:rsidRDefault="006564B1" w:rsidP="00282C87">
      <w:pPr>
        <w:pStyle w:val="NormalWeb"/>
        <w:spacing w:line="360" w:lineRule="auto"/>
        <w:rPr>
          <w:b/>
        </w:rPr>
      </w:pPr>
      <w:r w:rsidRPr="004B1DB5">
        <w:rPr>
          <w:b/>
        </w:rPr>
        <w:t xml:space="preserve">3.2.5-Proportion of specimens at optimal </w:t>
      </w:r>
      <w:r w:rsidR="00E47E0B" w:rsidRPr="004B1DB5">
        <w:rPr>
          <w:b/>
        </w:rPr>
        <w:t>size (Lopt), super breeders (SB</w:t>
      </w:r>
      <w:r w:rsidRPr="004B1DB5">
        <w:rPr>
          <w:b/>
        </w:rPr>
        <w:t>), and specimens smaller than optimal size (&lt;Lopt) in the catch areas</w:t>
      </w:r>
    </w:p>
    <w:p w14:paraId="3CCC50C0" w14:textId="77777777" w:rsidR="006564B1" w:rsidRPr="004B1DB5" w:rsidRDefault="006564B1" w:rsidP="0082603E">
      <w:pPr>
        <w:pStyle w:val="NormalWeb"/>
        <w:spacing w:before="0" w:beforeAutospacing="0" w:after="0" w:afterAutospacing="0" w:line="360" w:lineRule="auto"/>
        <w:jc w:val="both"/>
      </w:pPr>
      <w:r w:rsidRPr="004B1DB5">
        <w:t xml:space="preserve">The optimal size of </w:t>
      </w:r>
      <w:r w:rsidRPr="004B1DB5">
        <w:rPr>
          <w:i/>
          <w:iCs/>
        </w:rPr>
        <w:t>Pellonula leonensis</w:t>
      </w:r>
      <w:r w:rsidRPr="004B1DB5">
        <w:t xml:space="preserve"> in Taabo Dam Lake was 37.21 mm. After application of the precautionary coefficient, the optimal size range was 33.49–40.93 mm. The proportion of specimens within this range varied among zones. The highest proportion of specimens at the optimal size was recorded in Courandjourou (46.07%), followed by Senegalegoum (38.15%), whereas the lowest proportion was observed in Dike (23.43%).</w:t>
      </w:r>
    </w:p>
    <w:p w14:paraId="0542B54A" w14:textId="77777777" w:rsidR="006564B1" w:rsidRPr="004B1DB5" w:rsidRDefault="006564B1" w:rsidP="0082603E">
      <w:pPr>
        <w:pStyle w:val="NormalWeb"/>
        <w:spacing w:before="0" w:beforeAutospacing="0" w:after="0" w:afterAutospacing="0" w:line="360" w:lineRule="auto"/>
        <w:jc w:val="both"/>
      </w:pPr>
      <w:r w:rsidRPr="004B1DB5">
        <w:t xml:space="preserve">The proportion of individuals smaller than the optimal size in the landings ranged from 41.65% in Courandjourou to 74.12% in Antonio. Analysis of </w:t>
      </w:r>
      <w:r w:rsidRPr="004B1DB5">
        <w:rPr>
          <w:i/>
          <w:iCs/>
        </w:rPr>
        <w:t>P. leonensis</w:t>
      </w:r>
      <w:r w:rsidRPr="004B1DB5">
        <w:t xml:space="preserve"> catches indicated that the proportion of super-breeders ranged from 2.92% in Antonio to 16.36% in Islands.</w:t>
      </w:r>
    </w:p>
    <w:p w14:paraId="6B317BB2" w14:textId="77777777" w:rsidR="00F01671" w:rsidRPr="004B1DB5" w:rsidRDefault="00C03981" w:rsidP="00C03981">
      <w:pPr>
        <w:pStyle w:val="NormalWeb"/>
      </w:pPr>
      <w:r w:rsidRPr="004B1DB5">
        <w:rPr>
          <w:noProof/>
        </w:rPr>
        <w:lastRenderedPageBreak/>
        <w:drawing>
          <wp:inline distT="0" distB="0" distL="0" distR="0" wp14:anchorId="498167A6" wp14:editId="58F10534">
            <wp:extent cx="5972810" cy="3370048"/>
            <wp:effectExtent l="0" t="0" r="8890" b="1905"/>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463551F" w14:textId="77777777" w:rsidR="00F01671" w:rsidRPr="004B1DB5" w:rsidRDefault="00F01671" w:rsidP="00686A8E">
      <w:pPr>
        <w:pStyle w:val="NormalWeb"/>
        <w:spacing w:line="360" w:lineRule="auto"/>
        <w:ind w:left="720"/>
      </w:pPr>
      <w:r w:rsidRPr="004B1DB5">
        <w:t>Figure 6: Proportion of specimens at optimal</w:t>
      </w:r>
      <w:r w:rsidR="00E47E0B" w:rsidRPr="004B1DB5">
        <w:t xml:space="preserve"> size (Lopt), super breeders (SB</w:t>
      </w:r>
      <w:r w:rsidRPr="004B1DB5">
        <w:t>), and those smaller than optimal size (&lt; Lopt).</w:t>
      </w:r>
    </w:p>
    <w:p w14:paraId="51C57109" w14:textId="77777777" w:rsidR="007672B6" w:rsidRPr="004B1DB5" w:rsidRDefault="007672B6" w:rsidP="00686A8E">
      <w:pPr>
        <w:pStyle w:val="NormalWeb"/>
        <w:spacing w:line="360" w:lineRule="auto"/>
        <w:ind w:left="720"/>
      </w:pPr>
    </w:p>
    <w:p w14:paraId="1E8E39E4" w14:textId="77777777" w:rsidR="00F83CE2" w:rsidRPr="004B1DB5" w:rsidRDefault="00F83CE2" w:rsidP="00686A8E">
      <w:pPr>
        <w:pStyle w:val="NormalWeb"/>
        <w:spacing w:line="360" w:lineRule="auto"/>
        <w:ind w:left="720"/>
      </w:pPr>
    </w:p>
    <w:p w14:paraId="514FAE94" w14:textId="77777777" w:rsidR="00F01671" w:rsidRPr="004B1DB5" w:rsidRDefault="00F01671" w:rsidP="00F01671">
      <w:pPr>
        <w:pStyle w:val="NormalWeb"/>
        <w:rPr>
          <w:b/>
        </w:rPr>
      </w:pPr>
      <w:r w:rsidRPr="004B1DB5">
        <w:rPr>
          <w:b/>
        </w:rPr>
        <w:t>3.2.6-Seasonal variation in the proportion of specimens at optimal size (Lopt) in the catch areas</w:t>
      </w:r>
    </w:p>
    <w:p w14:paraId="78E939EE" w14:textId="77777777" w:rsidR="007672B6" w:rsidRPr="004B1DB5" w:rsidRDefault="00F01671" w:rsidP="00F83CE2">
      <w:pPr>
        <w:pStyle w:val="NormalWeb"/>
        <w:spacing w:line="360" w:lineRule="auto"/>
        <w:jc w:val="both"/>
      </w:pPr>
      <w:r w:rsidRPr="004B1DB5">
        <w:t>Catch data collected during the different seasons showed that the proportion of fish of optimal size decreased in Taabo City, Antonio, Port, and Islands as the season changed from dry to wet. During the dry season, specimens of optimal size accounted for 43.15%, 29.16%, 30.99%, and 33.33% in Taabo City, Antonio, Port, and Islands, respectively (Figure 7). During the flood season, these proportions declined to 28.31%, 18.53%, 16.98%, and 25.58%, respectively. In contrast, the proportions of individuals of optimal size were relatively high during the rainy season (RS) in Senegalegoum (41.89%), Courandjourou (45.45%), and Dike (26.61%) and decreased slightly during the dry season (DS). During the dry season, the corresponding proportions in these areas were 32.29%, 44.64%, and 21.02%, respectively.</w:t>
      </w:r>
    </w:p>
    <w:p w14:paraId="26605B52" w14:textId="77777777" w:rsidR="007672B6" w:rsidRPr="004B1DB5" w:rsidRDefault="00B96A7B" w:rsidP="00F01671">
      <w:pPr>
        <w:tabs>
          <w:tab w:val="left" w:pos="1021"/>
        </w:tabs>
        <w:rPr>
          <w:rFonts w:ascii="Times New Roman" w:hAnsi="Times New Roman" w:cs="Times New Roman"/>
          <w:sz w:val="24"/>
          <w:szCs w:val="24"/>
        </w:rPr>
      </w:pPr>
      <w:r w:rsidRPr="004B1DB5">
        <w:rPr>
          <w:noProof/>
        </w:rPr>
        <w:lastRenderedPageBreak/>
        <w:drawing>
          <wp:inline distT="0" distB="0" distL="0" distR="0" wp14:anchorId="3CE028E2" wp14:editId="31617C79">
            <wp:extent cx="5901055" cy="4114800"/>
            <wp:effectExtent l="0" t="0" r="4445"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99C1601" w14:textId="77777777" w:rsidR="00137487" w:rsidRPr="004B1DB5" w:rsidRDefault="00137487" w:rsidP="00B96A7B">
      <w:pPr>
        <w:pStyle w:val="NormalWeb"/>
        <w:spacing w:line="360" w:lineRule="auto"/>
        <w:jc w:val="both"/>
      </w:pPr>
      <w:r w:rsidRPr="004B1DB5">
        <w:t>Figure 7: Seasonal variation in the number of specimens of optimal size in the catchment areas of the Taabo Dam.</w:t>
      </w:r>
    </w:p>
    <w:p w14:paraId="54050D90" w14:textId="77777777" w:rsidR="00B96A7B" w:rsidRPr="004B1DB5" w:rsidRDefault="00B96A7B" w:rsidP="00B96A7B">
      <w:pPr>
        <w:pStyle w:val="NormalWeb"/>
        <w:spacing w:line="360" w:lineRule="auto"/>
        <w:jc w:val="both"/>
      </w:pPr>
    </w:p>
    <w:p w14:paraId="60E6280D" w14:textId="77777777" w:rsidR="00137487" w:rsidRPr="004B1DB5" w:rsidRDefault="00137487" w:rsidP="00137487">
      <w:pPr>
        <w:pStyle w:val="NormalWeb"/>
        <w:rPr>
          <w:b/>
        </w:rPr>
      </w:pPr>
      <w:r w:rsidRPr="004B1DB5">
        <w:rPr>
          <w:b/>
        </w:rPr>
        <w:t>4-Discussion</w:t>
      </w:r>
    </w:p>
    <w:p w14:paraId="789B5349" w14:textId="77777777" w:rsidR="003C62ED" w:rsidRPr="004B1DB5" w:rsidRDefault="00137487" w:rsidP="00CD563E">
      <w:pPr>
        <w:pStyle w:val="NormalWeb"/>
        <w:spacing w:line="360" w:lineRule="auto"/>
        <w:jc w:val="both"/>
      </w:pPr>
      <w:r w:rsidRPr="004B1DB5">
        <w:t xml:space="preserve">Analysis of fishers’ catches showed that the size of </w:t>
      </w:r>
      <w:r w:rsidRPr="004B1DB5">
        <w:rPr>
          <w:i/>
          <w:iCs/>
        </w:rPr>
        <w:t>P. leonensis</w:t>
      </w:r>
      <w:r w:rsidRPr="004B1DB5">
        <w:t xml:space="preserve"> varied spatially among the fishing zones of the Taabo Reservoir. Mean standard length ranged from 30.86 ± 4.56 mm at Antonio on the right bank to 34.91 ± 5.17 mm at Courandjourou on the right bank, with mean values of 32.58 ± 4.15 mm at Taabo City and 33.33 ± 4.60 mm at Senegalegoum on the left bank. Furthermore, the mean standard length of </w:t>
      </w:r>
      <w:r w:rsidRPr="004B1DB5">
        <w:rPr>
          <w:i/>
          <w:iCs/>
        </w:rPr>
        <w:t>P. leonensis</w:t>
      </w:r>
      <w:r w:rsidRPr="004B1DB5">
        <w:t xml:space="preserve"> specimens recorded in the left-bank catch areas was greater than that of specimens caught on the right bank. This spatial variation in size may be explained, in part, by differences in exploitation intensity among catch areas. Overall, the catch data indicated a sex ratio favouring females. Similar findings were reported by Koné (2012) and Reynolds (1969) for Lake Kossou in Côte d’Ivoire and Lake Volta in Ghana, respectively. In many teleost fishes, </w:t>
      </w:r>
      <w:r w:rsidRPr="004B1DB5">
        <w:lastRenderedPageBreak/>
        <w:t xml:space="preserve">the predominance of one sex is common (Poulet, 2004; Djadji et al., 2013). Spatially, the sex ratio on the right bank of Lake Taabo differed from that on the left bank. Catches from the left-bank areas were dominated by males, corroborating the findings of Koné (2012), whereas females dominated on the right bank. This pattern revealed marked spatial heterogeneity in the sex ratio of </w:t>
      </w:r>
      <w:r w:rsidRPr="004B1DB5">
        <w:rPr>
          <w:i/>
          <w:iCs/>
        </w:rPr>
        <w:t>P. leonensis</w:t>
      </w:r>
      <w:r w:rsidRPr="004B1DB5">
        <w:t xml:space="preserve"> across the catch areas of Lake Taabo, ranging from 1:4.63, indicating strong female dominance at Courandjourou, to 1.68:1, indicating male dominance at Dike. Spatial variability in sex ratio is well documented among Clupeidae in tropical lake environments (Ahoutou et al., 2018; Froese &amp; Pauly, 2024) and may reflect differences in reproductive behaviour, gear use, and gear selectivity among fishing areas. The predominance of females in Antonio, Courandjourou, and Port may be related to the reproductive behaviour of the species. In many small African pelagic species, females tend to congregate in productive feeding areas or spawning grounds, increasing their vulnerability to non-selective fishing gear (Kolding et al., 2019; Baldé et al., 2022). The high proportion of females at Courandjourou, where catches also contained a high proportion of mature females, suggests that this site may serve as a preferred reproductive aggregation area for the species. Reproductive aggregations associated with local environmental conditions have been described in tropical lake systems (Šmejkal et al., 2023). Conversely, the predominance of males in Dike, Taabo City, and Senegalegoum may be related to territorial behaviour or the defence of spawning sites, which may make males more accessible to fishers. This phenomenon has been described in several tropical freshwater fish species, in which males are more active during the spawning season and are therefore more exposed to fishing gear (Kraidy et al., 2014). Seasonal variation in sex ratio, particularly in Senegalegoum, Port, and Islands, supports the possibility of seasonal reproductive migration influenced by the hydrology of the dam. Such patterns may occur because fluctuations in water level influence access to spawning grounds and the spatial distribution of individuals by sex (Omari, 2024; Šmejkal et al., 2023). Analysis of the landing composition revealed an uneven distribution of immature fish, mature males, and mature females among the zones, with important implications for sustainable fishery management. The Islands, Port, and Antonio zones contained high proportions of immature fish, exceeding 40%, which are concerning relative to sustainability thresholds established using length-based assessment methods. According to biological length-based indicators, the presence of more than 30% immature fish in catches constitutes a serious warning sign (Froese, 2004; Cope &amp; Punt, 2009). Analyses of artisanal sardinella landings in Ghana similarly found high proportions of immature fish, indicating a serious </w:t>
      </w:r>
      <w:r w:rsidRPr="004B1DB5">
        <w:lastRenderedPageBreak/>
        <w:t xml:space="preserve">risk to recruitment (Arizi et al., 2022). Seasonal variation in the landings of immature fish indicated a strong relationship between the hydrological regime of the reservoir and the vulnerability of juveniles to fishing gear. Peaks in immature fish during the major dry season (DS) in Antonio, Port, and Courandjourou suggest that falling water levels concentrate juveniles in areas accessible to fishing vessels. In tropical reservoirs, coastal refuge habitats available to juveniles are reduced during low-water periods (Omari, 2024; Šmejkal et al., 2023). During the major rainy season, however, the peak proportion of immature fish was observed in Taabo City. According to Kolding et al. (2019), floods promote juvenile recruitment by creating newly inundated habitats that support feeding and growth. The concentration of mature females in Courandjourou warrants particular attention in the management plan, because this area may serve as a primary spawning ground whose protection is important for maintaining the reproductive potential of the population (Froese, 2004; Stock et al., 2023). Furthermore, the predominance of mature males in Dike, Taabo City, and Senegalegoum suggests that these areas experience differentiated selective pressure, possibly associated with bathymetric characteristics and local currents that concentrate particular size and sex classes. The optimal size of </w:t>
      </w:r>
      <w:r w:rsidRPr="004B1DB5">
        <w:rPr>
          <w:i/>
          <w:iCs/>
        </w:rPr>
        <w:t>P. leonensis</w:t>
      </w:r>
      <w:r w:rsidRPr="004B1DB5">
        <w:t xml:space="preserve">, estimated at 37.21 mm, is an important criterion for assessing the sustainability of this fishery. The proportion of individuals at the optimal size was low across all zones, ranging from 23.43% in Dike to 46.07% in Courandjourou. Although these values were below the theoretically recommended 100%, the more important concern was the high proportion of suboptimal specimens (˂Lopt), which reached 74.12% in Antonio and confirmed the widespread exploitation of immature fish. Similar observations were reported in an assessment of Senegalese small pelagic fishes, in which an Lc/Lopt ratio below 1 for several species indicated that individuals were being caught too early (Baldé et al., 2022). Furthermore, the seasonal pattern in the proportion of specimens at Lopt in Taabo City, Antonio, Port, and Islands was opposite to that observed in Senegalegoum, Courandjourou, and Dike. This seasonal variation provides important information for developing appropriate seasonal management measures. The proportion of super-breeders ranged from 2.92% in Antonio to 16.36% in Islands. These values were well below the 20% threshold used to diagnose overexploitation (Froese, 2004; Stock et al., 2023). The low and uneven catch rates of these individuals may be explained by the use of shore seines locally known as “Mimie la go”, which have cod-end mesh sizes as small as 2 mm (Ahoutou et al., 2019), and by variation in fishing pressure among fishing areas (Ahoutou et al., 2018). According to Ahoutou et al. (2018), the Islands area experienced the lowest fishing pressure, with 33 fishing </w:t>
      </w:r>
      <w:r w:rsidRPr="004B1DB5">
        <w:lastRenderedPageBreak/>
        <w:t>trips accounting for 0.89% of the annual fishing effort, which may explain the highest proportion of super-breeders recorded in this area. Super-breeders play a disproportionate role in maintaining egg production and future recruitment. Their scarcity in catches reflects erosion of the stock’s reproductive potential, consistent with the BOFFF hypothesis (Hixon et al., 2014; Barneche et al., 2018). Depletion caused by the removal of the most fecund spawners is particularly concerning for a species whose rapid recruitment rate is its primary defence against overfishing.</w:t>
      </w:r>
    </w:p>
    <w:p w14:paraId="79D70C2E" w14:textId="77777777" w:rsidR="004B3902" w:rsidRPr="004B1DB5" w:rsidRDefault="00653C44" w:rsidP="004B3902">
      <w:pPr>
        <w:pStyle w:val="NormalWeb"/>
        <w:rPr>
          <w:b/>
        </w:rPr>
      </w:pPr>
      <w:r w:rsidRPr="004B1DB5">
        <w:rPr>
          <w:b/>
        </w:rPr>
        <w:t xml:space="preserve">5. </w:t>
      </w:r>
      <w:r w:rsidR="004B3902" w:rsidRPr="004B1DB5">
        <w:rPr>
          <w:b/>
        </w:rPr>
        <w:t>Conclusion</w:t>
      </w:r>
    </w:p>
    <w:p w14:paraId="49FB39DF" w14:textId="77777777" w:rsidR="003E58EB" w:rsidRPr="004B1DB5" w:rsidRDefault="003E58EB" w:rsidP="001C3891">
      <w:pPr>
        <w:pStyle w:val="NormalWeb"/>
        <w:spacing w:line="360" w:lineRule="auto"/>
        <w:jc w:val="both"/>
      </w:pPr>
      <w:r w:rsidRPr="004B1DB5">
        <w:t xml:space="preserve">The results of this study indicate spatial heterogeneity in the population structure of </w:t>
      </w:r>
      <w:r w:rsidRPr="004B1DB5">
        <w:rPr>
          <w:i/>
          <w:iCs/>
        </w:rPr>
        <w:t>P. leonensis</w:t>
      </w:r>
      <w:r w:rsidRPr="004B1DB5">
        <w:t xml:space="preserve"> in the Taabo Reservoir with respect to size structure, sex ratio, maturity stage, and the proportion of individuals at optimal size. Catches were dominated by females in Courandjourou and Antonio, whereas males predominated in Dike. Mature individuals were generally more prevalent than immature individuals in all sampled areas except Islands, where no significant difference was found between the two groups. Courandjourou was characterised by relatively high proportions of mature females and fish of optimal size compared with the other fishing zones, which contained substantial proportions of fish smaller than the optimal size. This contrast may reflect differences in fishing pressure or habitat among areas. The low proportion of super-breeders observed across all areas is concerning and may reflect the underrepresentation of large breeders in the catches. This pattern has been consistently observed in landings from these areas over the years. Although the results are consistent with the collected data, additional monitoring is required to account for seasonal and interannual fluctuations. Longer-term monitoring would help to confirm these preliminary trends and guide management measures designed to support the sustainability of </w:t>
      </w:r>
      <w:r w:rsidRPr="004B1DB5">
        <w:rPr>
          <w:i/>
          <w:iCs/>
        </w:rPr>
        <w:t>P. leonensis</w:t>
      </w:r>
      <w:r w:rsidRPr="004B1DB5">
        <w:t xml:space="preserve"> in the Taabo Reservoir.</w:t>
      </w:r>
    </w:p>
    <w:p w14:paraId="45E7EEE9" w14:textId="77777777" w:rsidR="006E535E" w:rsidRPr="004B1DB5" w:rsidRDefault="00653C44" w:rsidP="006E535E">
      <w:pPr>
        <w:spacing w:before="100" w:beforeAutospacing="1" w:after="100" w:afterAutospacing="1" w:line="240" w:lineRule="auto"/>
        <w:rPr>
          <w:rFonts w:ascii="Times New Roman" w:eastAsia="Times New Roman" w:hAnsi="Times New Roman" w:cs="Times New Roman"/>
          <w:b/>
          <w:sz w:val="24"/>
          <w:szCs w:val="24"/>
        </w:rPr>
      </w:pPr>
      <w:r w:rsidRPr="004B1DB5">
        <w:rPr>
          <w:rFonts w:ascii="Times New Roman" w:eastAsia="Times New Roman" w:hAnsi="Times New Roman" w:cs="Times New Roman"/>
          <w:b/>
          <w:sz w:val="24"/>
          <w:szCs w:val="24"/>
        </w:rPr>
        <w:t xml:space="preserve">6. </w:t>
      </w:r>
      <w:r w:rsidR="005E6189" w:rsidRPr="004B1DB5">
        <w:rPr>
          <w:rFonts w:ascii="Times New Roman" w:eastAsia="Times New Roman" w:hAnsi="Times New Roman" w:cs="Times New Roman"/>
          <w:b/>
          <w:sz w:val="24"/>
          <w:szCs w:val="24"/>
        </w:rPr>
        <w:t>L</w:t>
      </w:r>
      <w:r w:rsidR="006E535E" w:rsidRPr="004B1DB5">
        <w:rPr>
          <w:rFonts w:ascii="Times New Roman" w:eastAsia="Times New Roman" w:hAnsi="Times New Roman" w:cs="Times New Roman"/>
          <w:b/>
          <w:sz w:val="24"/>
          <w:szCs w:val="24"/>
        </w:rPr>
        <w:t>imitations:</w:t>
      </w:r>
    </w:p>
    <w:p w14:paraId="6DC544BF" w14:textId="77777777" w:rsidR="006E535E" w:rsidRPr="004B1DB5" w:rsidRDefault="006E535E" w:rsidP="004403C1">
      <w:pPr>
        <w:spacing w:before="100" w:beforeAutospacing="1" w:after="100" w:afterAutospacing="1" w:line="360" w:lineRule="auto"/>
        <w:jc w:val="both"/>
        <w:rPr>
          <w:rFonts w:ascii="Times New Roman" w:eastAsia="Times New Roman" w:hAnsi="Times New Roman" w:cs="Times New Roman"/>
          <w:sz w:val="24"/>
          <w:szCs w:val="24"/>
        </w:rPr>
      </w:pPr>
      <w:r w:rsidRPr="004B1DB5">
        <w:rPr>
          <w:rFonts w:ascii="Times New Roman" w:eastAsia="Times New Roman" w:hAnsi="Times New Roman" w:cs="Times New Roman"/>
          <w:sz w:val="24"/>
          <w:szCs w:val="24"/>
        </w:rPr>
        <w:t xml:space="preserve">This study was based on specimens collected from commercial fishery landings; therefore, the results may have been influenced by fishing-gear selectivity, fishing effort, and fishers’ access to different zones. Environmental variables, including water level, depth, temperature, turbidity, and habitat structure, were not directly analysed. The study used landing-based biological indicators but did not include fishery-independent surveys or genetic stock assessment. Conclusions regarding nursery or spawning zones should therefore be interpreted cautiously. Further studies </w:t>
      </w:r>
      <w:r w:rsidRPr="004B1DB5">
        <w:rPr>
          <w:rFonts w:ascii="Times New Roman" w:eastAsia="Times New Roman" w:hAnsi="Times New Roman" w:cs="Times New Roman"/>
          <w:sz w:val="24"/>
          <w:szCs w:val="24"/>
        </w:rPr>
        <w:lastRenderedPageBreak/>
        <w:t>integrating biological, environmental, and fishing-effort data are needed to confirm the observed spatial patterns.</w:t>
      </w:r>
    </w:p>
    <w:p w14:paraId="43EB4700" w14:textId="77777777" w:rsidR="004B3902" w:rsidRPr="004B1DB5" w:rsidRDefault="005A44C2" w:rsidP="004B3902">
      <w:pPr>
        <w:pStyle w:val="NormalWeb"/>
        <w:rPr>
          <w:b/>
        </w:rPr>
      </w:pPr>
      <w:r w:rsidRPr="004B1DB5">
        <w:rPr>
          <w:b/>
        </w:rPr>
        <w:t>Declaration of AI Use</w:t>
      </w:r>
    </w:p>
    <w:p w14:paraId="340FAF54" w14:textId="77777777" w:rsidR="005A44C2" w:rsidRPr="004B1DB5" w:rsidRDefault="005A44C2" w:rsidP="005A44C2">
      <w:pPr>
        <w:pStyle w:val="NormalWeb"/>
        <w:spacing w:line="360" w:lineRule="auto"/>
        <w:jc w:val="both"/>
        <w:rPr>
          <w:b/>
        </w:rPr>
      </w:pPr>
      <w:r w:rsidRPr="004B1DB5">
        <w:rPr>
          <w:rStyle w:val="fontstyle01"/>
          <w:sz w:val="24"/>
          <w:szCs w:val="24"/>
        </w:rPr>
        <w:t>This manuscript was prepared through the combined contributions of all author(s), including contributions to the study design, data, content development, results, interpretation, and related scholarly work. The author(s) acknowledge the use of Grammarly and Claude IA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8C60BAC" w14:textId="66007170" w:rsidR="00692896" w:rsidRPr="004B1DB5" w:rsidRDefault="00692896" w:rsidP="00692896">
      <w:pPr>
        <w:spacing w:after="200" w:line="276" w:lineRule="auto"/>
        <w:rPr>
          <w:rFonts w:ascii="Arial" w:eastAsia="Times New Roman" w:hAnsi="Arial" w:cs="Arial"/>
          <w:b/>
          <w:bCs/>
          <w:lang w:val="en-GB" w:eastAsia="en-GB"/>
        </w:rPr>
      </w:pPr>
      <w:r w:rsidRPr="004B1DB5">
        <w:rPr>
          <w:rFonts w:ascii="Arial" w:eastAsia="Times New Roman" w:hAnsi="Arial" w:cs="Arial"/>
          <w:b/>
          <w:bCs/>
          <w:lang w:val="en-GB" w:eastAsia="en-GB"/>
        </w:rPr>
        <w:t>COMPETING INTERESTS:</w:t>
      </w:r>
    </w:p>
    <w:p w14:paraId="40BA9D60" w14:textId="77777777" w:rsidR="00692896" w:rsidRPr="004B1DB5" w:rsidRDefault="00692896" w:rsidP="00692896">
      <w:pPr>
        <w:spacing w:after="200" w:line="276" w:lineRule="auto"/>
        <w:rPr>
          <w:rFonts w:ascii="Calibri" w:eastAsia="Times New Roman" w:hAnsi="Calibri" w:cs="Times New Roman"/>
          <w:lang w:val="en-GB" w:eastAsia="en-GB"/>
        </w:rPr>
      </w:pPr>
      <w:r w:rsidRPr="004B1DB5">
        <w:rPr>
          <w:rFonts w:ascii="Arial" w:eastAsia="Times New Roman" w:hAnsi="Arial" w:cs="Arial"/>
          <w:b/>
          <w:bCs/>
          <w:lang w:val="en-GB" w:eastAsia="en-GB"/>
        </w:rPr>
        <w:t>Authors have declared that they have no known competing financial interests OR non-financial interests OR personal relationships that could have appeared to influence the work reported in this paper.</w:t>
      </w:r>
    </w:p>
    <w:p w14:paraId="52344830" w14:textId="77777777" w:rsidR="00684FE2" w:rsidRPr="004B1DB5" w:rsidRDefault="00684FE2" w:rsidP="004B3902">
      <w:pPr>
        <w:pStyle w:val="NormalWeb"/>
        <w:rPr>
          <w:b/>
        </w:rPr>
      </w:pPr>
    </w:p>
    <w:p w14:paraId="3AC22AE3" w14:textId="77777777" w:rsidR="004B3902" w:rsidRPr="004B1DB5" w:rsidRDefault="004B3902" w:rsidP="004B3902">
      <w:pPr>
        <w:pStyle w:val="NormalWeb"/>
        <w:spacing w:before="0" w:after="0"/>
        <w:rPr>
          <w:b/>
          <w:lang w:val="es-US"/>
        </w:rPr>
      </w:pPr>
      <w:r w:rsidRPr="004B1DB5">
        <w:rPr>
          <w:b/>
          <w:lang w:val="es-US"/>
        </w:rPr>
        <w:t>References</w:t>
      </w:r>
    </w:p>
    <w:p w14:paraId="45F40AF3"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lang w:val="es-US"/>
        </w:rPr>
        <w:t xml:space="preserve">Adou, Y. E., Blahoua, K. G., Bamba, M., Yao, S. S., Kouamélan, E. P., &amp; N’Douba, V. (2017). Premières données sur l’inventaire du peuplement ichtyologique d’un lac ouest-africain situé entre deux barrages hydroélectriques: Lac d’Ayamé 2 (Côte d’Ivoire). </w:t>
      </w:r>
      <w:r w:rsidRPr="004B1DB5">
        <w:rPr>
          <w:rFonts w:ascii="Times New Roman" w:eastAsia="Times New Roman" w:hAnsi="Times New Roman" w:cs="Times New Roman"/>
          <w:i/>
        </w:rPr>
        <w:t>Journal of Applied Biosciences, 110</w:t>
      </w:r>
      <w:r w:rsidRPr="004B1DB5">
        <w:rPr>
          <w:rFonts w:ascii="Times New Roman" w:eastAsia="Times New Roman" w:hAnsi="Times New Roman" w:cs="Times New Roman"/>
        </w:rPr>
        <w:t xml:space="preserve">(1), 10808–10818. </w:t>
      </w:r>
      <w:hyperlink r:id="rId21">
        <w:r w:rsidR="00F958A8" w:rsidRPr="004B1DB5">
          <w:rPr>
            <w:rFonts w:ascii="Times New Roman" w:eastAsia="Times New Roman" w:hAnsi="Times New Roman" w:cs="Times New Roman"/>
            <w:color w:val="000000"/>
          </w:rPr>
          <w:t>https://doi.org/10.4314/jab.v110i1.11</w:t>
        </w:r>
      </w:hyperlink>
    </w:p>
    <w:p w14:paraId="3E54E6DE"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Agostinho, A. A., Gomes, L. C., Santos, N. C. L., Ortega, J. C. G., &amp; Pelicice, F. M. (2016). Fish assemblages in Neotropical reservoirs: Colonization patterns, impacts and management. </w:t>
      </w:r>
      <w:r w:rsidRPr="004B1DB5">
        <w:rPr>
          <w:rFonts w:ascii="Times New Roman" w:eastAsia="Times New Roman" w:hAnsi="Times New Roman" w:cs="Times New Roman"/>
          <w:i/>
        </w:rPr>
        <w:t>Fisheries Research, 173</w:t>
      </w:r>
      <w:r w:rsidRPr="004B1DB5">
        <w:rPr>
          <w:rFonts w:ascii="Times New Roman" w:eastAsia="Times New Roman" w:hAnsi="Times New Roman" w:cs="Times New Roman"/>
        </w:rPr>
        <w:t xml:space="preserve">, 26–36. </w:t>
      </w:r>
      <w:hyperlink r:id="rId22">
        <w:r w:rsidR="00F958A8" w:rsidRPr="004B1DB5">
          <w:rPr>
            <w:rFonts w:ascii="Times New Roman" w:eastAsia="Times New Roman" w:hAnsi="Times New Roman" w:cs="Times New Roman"/>
            <w:color w:val="000000"/>
          </w:rPr>
          <w:t>https://doi.org/10.1016/j.fishres.2015.04.006</w:t>
        </w:r>
      </w:hyperlink>
    </w:p>
    <w:p w14:paraId="5A299D47"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Ahoutou, K. E., Da Costa, K. S., Berté, S., &amp; Essetchi, K. (2018). </w:t>
      </w:r>
      <w:r w:rsidRPr="004B1DB5">
        <w:rPr>
          <w:rFonts w:ascii="Times New Roman" w:eastAsia="Times New Roman" w:hAnsi="Times New Roman" w:cs="Times New Roman"/>
          <w:i/>
        </w:rPr>
        <w:t>Pellonula leonensis</w:t>
      </w:r>
      <w:r w:rsidRPr="004B1DB5">
        <w:rPr>
          <w:rFonts w:ascii="Times New Roman" w:eastAsia="Times New Roman" w:hAnsi="Times New Roman" w:cs="Times New Roman"/>
        </w:rPr>
        <w:t xml:space="preserve"> Boulenger, 1916 fishery in Taabo Lake: Fishing areas, fishing effort and catches variability. </w:t>
      </w:r>
      <w:r w:rsidRPr="004B1DB5">
        <w:rPr>
          <w:rFonts w:ascii="Times New Roman" w:eastAsia="Times New Roman" w:hAnsi="Times New Roman" w:cs="Times New Roman"/>
          <w:i/>
        </w:rPr>
        <w:t>International Journal of Fisheries and Aquatic Studies, 6</w:t>
      </w:r>
      <w:r w:rsidRPr="004B1DB5">
        <w:rPr>
          <w:rFonts w:ascii="Times New Roman" w:eastAsia="Times New Roman" w:hAnsi="Times New Roman" w:cs="Times New Roman"/>
        </w:rPr>
        <w:t xml:space="preserve">(4), 104–110. </w:t>
      </w:r>
      <w:hyperlink r:id="rId23">
        <w:r w:rsidR="00F958A8" w:rsidRPr="004B1DB5">
          <w:rPr>
            <w:rFonts w:ascii="Times New Roman" w:eastAsia="Times New Roman" w:hAnsi="Times New Roman" w:cs="Times New Roman"/>
            <w:color w:val="000000"/>
          </w:rPr>
          <w:t>https://www.fisheriesjournal.com/archives/?ArticleId=1623&amp;issue=4&amp;part=B&amp;vol=6&amp;year=2018</w:t>
        </w:r>
      </w:hyperlink>
    </w:p>
    <w:p w14:paraId="09838357"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lang w:val="es-US"/>
        </w:rPr>
        <w:t xml:space="preserve">Ahoutou, K. E., Da Costa, K. S., Dietoa, Y. M., &amp; Kouamelan, E. P. (2019). </w:t>
      </w:r>
      <w:r w:rsidRPr="004B1DB5">
        <w:rPr>
          <w:rFonts w:ascii="Times New Roman" w:eastAsia="Times New Roman" w:hAnsi="Times New Roman" w:cs="Times New Roman"/>
        </w:rPr>
        <w:t xml:space="preserve">Diagnosis of stock exploitation of </w:t>
      </w:r>
      <w:r w:rsidRPr="004B1DB5">
        <w:rPr>
          <w:rFonts w:ascii="Times New Roman" w:eastAsia="Times New Roman" w:hAnsi="Times New Roman" w:cs="Times New Roman"/>
          <w:i/>
        </w:rPr>
        <w:t>Pellonula leonensis</w:t>
      </w:r>
      <w:r w:rsidRPr="004B1DB5">
        <w:rPr>
          <w:rFonts w:ascii="Times New Roman" w:eastAsia="Times New Roman" w:hAnsi="Times New Roman" w:cs="Times New Roman"/>
        </w:rPr>
        <w:t xml:space="preserve"> Boulenger, 1916 (Pisces: Clupeidae) at the Taabo Reservoir by the biological indicator method application. </w:t>
      </w:r>
      <w:r w:rsidRPr="004B1DB5">
        <w:rPr>
          <w:rFonts w:ascii="Times New Roman" w:eastAsia="Times New Roman" w:hAnsi="Times New Roman" w:cs="Times New Roman"/>
          <w:i/>
        </w:rPr>
        <w:t>International Journal of Innovation and Applied Studies, 25</w:t>
      </w:r>
      <w:r w:rsidRPr="004B1DB5">
        <w:rPr>
          <w:rFonts w:ascii="Times New Roman" w:eastAsia="Times New Roman" w:hAnsi="Times New Roman" w:cs="Times New Roman"/>
        </w:rPr>
        <w:t xml:space="preserve">(2), 623–637. </w:t>
      </w:r>
      <w:hyperlink r:id="rId24">
        <w:r w:rsidR="00F958A8" w:rsidRPr="004B1DB5">
          <w:rPr>
            <w:rFonts w:ascii="Times New Roman" w:eastAsia="Times New Roman" w:hAnsi="Times New Roman" w:cs="Times New Roman"/>
            <w:color w:val="000000"/>
          </w:rPr>
          <w:t>https://ijias.issr-journals.org/abstract.php?article=IJIAS-18-188-07</w:t>
        </w:r>
      </w:hyperlink>
    </w:p>
    <w:p w14:paraId="15524C37" w14:textId="77777777" w:rsidR="00F958A8" w:rsidRPr="004B1DB5" w:rsidRDefault="00000000">
      <w:pPr>
        <w:pStyle w:val="ListParagraph"/>
        <w:spacing w:after="0" w:line="240" w:lineRule="auto"/>
        <w:ind w:hanging="720"/>
        <w:rPr>
          <w:lang w:val="es-US"/>
        </w:rPr>
      </w:pPr>
      <w:r w:rsidRPr="004B1DB5">
        <w:rPr>
          <w:rFonts w:ascii="Times New Roman" w:eastAsia="Times New Roman" w:hAnsi="Times New Roman" w:cs="Times New Roman"/>
        </w:rPr>
        <w:t xml:space="preserve">Albaret, J.-J., &amp; Écoutin, J.-M. (1989). </w:t>
      </w:r>
      <w:r w:rsidRPr="004B1DB5">
        <w:rPr>
          <w:rFonts w:ascii="Times New Roman" w:eastAsia="Times New Roman" w:hAnsi="Times New Roman" w:cs="Times New Roman"/>
          <w:lang w:val="es-US"/>
        </w:rPr>
        <w:t xml:space="preserve">Communication mer-lagune: Impact d’une réouverture sur l’ichtyofaune de la lagune Ébrié (Côte d’Ivoire). </w:t>
      </w:r>
      <w:r w:rsidRPr="004B1DB5">
        <w:rPr>
          <w:rFonts w:ascii="Times New Roman" w:eastAsia="Times New Roman" w:hAnsi="Times New Roman" w:cs="Times New Roman"/>
          <w:i/>
          <w:lang w:val="es-US"/>
        </w:rPr>
        <w:t>Revue d’Hydrobiologie Tropicale, 22</w:t>
      </w:r>
      <w:r w:rsidRPr="004B1DB5">
        <w:rPr>
          <w:rFonts w:ascii="Times New Roman" w:eastAsia="Times New Roman" w:hAnsi="Times New Roman" w:cs="Times New Roman"/>
          <w:lang w:val="es-US"/>
        </w:rPr>
        <w:t xml:space="preserve">(1), 71–81. </w:t>
      </w:r>
      <w:hyperlink r:id="rId25">
        <w:r w:rsidR="00F958A8" w:rsidRPr="004B1DB5">
          <w:rPr>
            <w:rFonts w:ascii="Times New Roman" w:eastAsia="Times New Roman" w:hAnsi="Times New Roman" w:cs="Times New Roman"/>
            <w:color w:val="000000"/>
            <w:lang w:val="es-US"/>
          </w:rPr>
          <w:t>https://www.documentation.ird.fr/hor/fdi:27349</w:t>
        </w:r>
      </w:hyperlink>
    </w:p>
    <w:p w14:paraId="1142A8E2"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lastRenderedPageBreak/>
        <w:t xml:space="preserve">Arizi, E. K., Collie, J. S., Castro, K., &amp; Humphries, A. T. (2022). Fishing characteristics and catch composition of the sardinella fishery in Ghana indicate urgent management is needed. </w:t>
      </w:r>
      <w:r w:rsidRPr="004B1DB5">
        <w:rPr>
          <w:rFonts w:ascii="Times New Roman" w:eastAsia="Times New Roman" w:hAnsi="Times New Roman" w:cs="Times New Roman"/>
          <w:i/>
        </w:rPr>
        <w:t>Regional Studies in Marine Science, 52</w:t>
      </w:r>
      <w:r w:rsidRPr="004B1DB5">
        <w:rPr>
          <w:rFonts w:ascii="Times New Roman" w:eastAsia="Times New Roman" w:hAnsi="Times New Roman" w:cs="Times New Roman"/>
        </w:rPr>
        <w:t xml:space="preserve">, 102348. </w:t>
      </w:r>
      <w:hyperlink r:id="rId26">
        <w:r w:rsidR="00F958A8" w:rsidRPr="004B1DB5">
          <w:rPr>
            <w:rFonts w:ascii="Times New Roman" w:eastAsia="Times New Roman" w:hAnsi="Times New Roman" w:cs="Times New Roman"/>
            <w:color w:val="000000"/>
          </w:rPr>
          <w:t>https://doi.org/10.1016/j.rsma.2022.102348</w:t>
        </w:r>
      </w:hyperlink>
    </w:p>
    <w:p w14:paraId="4555A3D8"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Baldé, B. S., Brehmer, P., &amp; Diaw, P. D. (2022). Length-based assessment of five small pelagic fishes in the Senegalese artisanal fisheries. </w:t>
      </w:r>
      <w:r w:rsidRPr="004B1DB5">
        <w:rPr>
          <w:rFonts w:ascii="Times New Roman" w:eastAsia="Times New Roman" w:hAnsi="Times New Roman" w:cs="Times New Roman"/>
          <w:i/>
        </w:rPr>
        <w:t>PLOS ONE, 17</w:t>
      </w:r>
      <w:r w:rsidRPr="004B1DB5">
        <w:rPr>
          <w:rFonts w:ascii="Times New Roman" w:eastAsia="Times New Roman" w:hAnsi="Times New Roman" w:cs="Times New Roman"/>
        </w:rPr>
        <w:t xml:space="preserve">(12), e0279768. </w:t>
      </w:r>
      <w:hyperlink r:id="rId27">
        <w:r w:rsidR="00F958A8" w:rsidRPr="004B1DB5">
          <w:rPr>
            <w:rFonts w:ascii="Times New Roman" w:eastAsia="Times New Roman" w:hAnsi="Times New Roman" w:cs="Times New Roman"/>
            <w:color w:val="000000"/>
          </w:rPr>
          <w:t>https://doi.org/10.1371/journal.pone.0279768</w:t>
        </w:r>
      </w:hyperlink>
    </w:p>
    <w:p w14:paraId="017B62B9" w14:textId="77777777" w:rsidR="00F958A8" w:rsidRPr="004B1DB5" w:rsidRDefault="00000000">
      <w:pPr>
        <w:pStyle w:val="ListParagraph"/>
        <w:spacing w:after="0" w:line="240" w:lineRule="auto"/>
        <w:ind w:hanging="720"/>
        <w:rPr>
          <w:lang w:val="es-US"/>
        </w:rPr>
      </w:pPr>
      <w:r w:rsidRPr="004B1DB5">
        <w:rPr>
          <w:rFonts w:ascii="Times New Roman" w:eastAsia="Times New Roman" w:hAnsi="Times New Roman" w:cs="Times New Roman"/>
        </w:rPr>
        <w:t xml:space="preserve">Barneche, D. R., Robertson, D. R., White, C. R., &amp; Marshall, D. J. (2018). Fish reproductive-energy output increases disproportionately with body size. </w:t>
      </w:r>
      <w:r w:rsidRPr="004B1DB5">
        <w:rPr>
          <w:rFonts w:ascii="Times New Roman" w:eastAsia="Times New Roman" w:hAnsi="Times New Roman" w:cs="Times New Roman"/>
          <w:i/>
        </w:rPr>
        <w:t>Science, 360</w:t>
      </w:r>
      <w:r w:rsidRPr="004B1DB5">
        <w:rPr>
          <w:rFonts w:ascii="Times New Roman" w:eastAsia="Times New Roman" w:hAnsi="Times New Roman" w:cs="Times New Roman"/>
        </w:rPr>
        <w:t xml:space="preserve">(6389), 642–645. </w:t>
      </w:r>
      <w:hyperlink r:id="rId28">
        <w:r w:rsidR="00F958A8" w:rsidRPr="004B1DB5">
          <w:rPr>
            <w:rFonts w:ascii="Times New Roman" w:eastAsia="Times New Roman" w:hAnsi="Times New Roman" w:cs="Times New Roman"/>
            <w:color w:val="000000"/>
            <w:lang w:val="es-US"/>
          </w:rPr>
          <w:t>https://doi.org/10.1126/science.aao6868</w:t>
        </w:r>
      </w:hyperlink>
    </w:p>
    <w:p w14:paraId="75871118"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lang w:val="es-US"/>
        </w:rPr>
        <w:t xml:space="preserve">Cochrane, K. L., &amp; Garcia, S. M. (Eds.). </w:t>
      </w:r>
      <w:r w:rsidRPr="004B1DB5">
        <w:rPr>
          <w:rFonts w:ascii="Times New Roman" w:eastAsia="Times New Roman" w:hAnsi="Times New Roman" w:cs="Times New Roman"/>
        </w:rPr>
        <w:t xml:space="preserve">(2009). </w:t>
      </w:r>
      <w:r w:rsidRPr="004B1DB5">
        <w:rPr>
          <w:rFonts w:ascii="Times New Roman" w:eastAsia="Times New Roman" w:hAnsi="Times New Roman" w:cs="Times New Roman"/>
          <w:i/>
        </w:rPr>
        <w:t>A fishery manager’s guidebook</w:t>
      </w:r>
      <w:r w:rsidRPr="004B1DB5">
        <w:rPr>
          <w:rFonts w:ascii="Times New Roman" w:eastAsia="Times New Roman" w:hAnsi="Times New Roman" w:cs="Times New Roman"/>
        </w:rPr>
        <w:t xml:space="preserve"> (2nd ed.). Wiley-Blackwell. </w:t>
      </w:r>
      <w:hyperlink r:id="rId29">
        <w:r w:rsidR="00F958A8" w:rsidRPr="004B1DB5">
          <w:rPr>
            <w:rFonts w:ascii="Times New Roman" w:eastAsia="Times New Roman" w:hAnsi="Times New Roman" w:cs="Times New Roman"/>
            <w:color w:val="000000"/>
          </w:rPr>
          <w:t>https://doi.org/10.1002/9781444316315</w:t>
        </w:r>
      </w:hyperlink>
    </w:p>
    <w:p w14:paraId="59A7C745"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Cope, J. M., &amp; Punt, A. E. (2009). Length-based reference points for data-limited situations: Applications and restrictions. </w:t>
      </w:r>
      <w:r w:rsidRPr="004B1DB5">
        <w:rPr>
          <w:rFonts w:ascii="Times New Roman" w:eastAsia="Times New Roman" w:hAnsi="Times New Roman" w:cs="Times New Roman"/>
          <w:i/>
        </w:rPr>
        <w:t>Marine and Coastal Fisheries, 1</w:t>
      </w:r>
      <w:r w:rsidRPr="004B1DB5">
        <w:rPr>
          <w:rFonts w:ascii="Times New Roman" w:eastAsia="Times New Roman" w:hAnsi="Times New Roman" w:cs="Times New Roman"/>
        </w:rPr>
        <w:t xml:space="preserve">(1), 169–186. </w:t>
      </w:r>
      <w:hyperlink r:id="rId30">
        <w:r w:rsidR="00F958A8" w:rsidRPr="004B1DB5">
          <w:rPr>
            <w:rFonts w:ascii="Times New Roman" w:eastAsia="Times New Roman" w:hAnsi="Times New Roman" w:cs="Times New Roman"/>
            <w:color w:val="000000"/>
          </w:rPr>
          <w:t>https://doi.org/10.1577/C08-025.1</w:t>
        </w:r>
      </w:hyperlink>
    </w:p>
    <w:p w14:paraId="149489B2" w14:textId="77777777" w:rsidR="00400C6A" w:rsidRPr="004B1DB5" w:rsidRDefault="00000000">
      <w:pPr>
        <w:pStyle w:val="ListParagraph"/>
        <w:spacing w:after="0" w:line="240" w:lineRule="auto"/>
        <w:ind w:hanging="720"/>
      </w:pPr>
      <w:r w:rsidRPr="004B1DB5">
        <w:rPr>
          <w:rFonts w:ascii="Times New Roman" w:eastAsia="Times New Roman" w:hAnsi="Times New Roman"/>
          <w:sz w:val="24"/>
        </w:rPr>
        <w:t>Coulibaly, B., Aliko N’Guessan, G., Joanny Tapé Gnahoré, T., Sylla, S., &amp; Kone, T. (2024). Population dynamics and stock status of the round sardinella (</w:t>
      </w:r>
      <w:r w:rsidRPr="004B1DB5">
        <w:rPr>
          <w:rFonts w:ascii="Times New Roman" w:eastAsia="Times New Roman" w:hAnsi="Times New Roman"/>
          <w:i/>
          <w:sz w:val="24"/>
        </w:rPr>
        <w:t>Sardinella aurita</w:t>
      </w:r>
      <w:r w:rsidRPr="004B1DB5">
        <w:rPr>
          <w:rFonts w:ascii="Times New Roman" w:eastAsia="Times New Roman" w:hAnsi="Times New Roman"/>
          <w:sz w:val="24"/>
        </w:rPr>
        <w:t xml:space="preserve">, Valenciennes, 1847) in the coastal waters of Côte d’Ivoire (West Africa). </w:t>
      </w:r>
      <w:r w:rsidRPr="004B1DB5">
        <w:rPr>
          <w:rFonts w:ascii="Times New Roman" w:eastAsia="Times New Roman" w:hAnsi="Times New Roman"/>
          <w:i/>
          <w:sz w:val="24"/>
        </w:rPr>
        <w:t>Journal of Biology and Nature, 16</w:t>
      </w:r>
      <w:r w:rsidRPr="004B1DB5">
        <w:rPr>
          <w:rFonts w:ascii="Times New Roman" w:eastAsia="Times New Roman" w:hAnsi="Times New Roman"/>
          <w:sz w:val="24"/>
        </w:rPr>
        <w:t>(2), 28–36. https://doi.org/10.56557/joban/2024/v16i28830</w:t>
      </w:r>
    </w:p>
    <w:p w14:paraId="21732D29"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Djadji, E. L. G., Atsé, B. C., Sylla, S., Konan, J. K., &amp; Kouassi, N. J. (2013). Reproduction du Mugilidae </w:t>
      </w:r>
      <w:r w:rsidRPr="004B1DB5">
        <w:rPr>
          <w:rFonts w:ascii="Times New Roman" w:eastAsia="Times New Roman" w:hAnsi="Times New Roman" w:cs="Times New Roman"/>
          <w:i/>
        </w:rPr>
        <w:t>Mugil cephalus</w:t>
      </w:r>
      <w:r w:rsidRPr="004B1DB5">
        <w:rPr>
          <w:rFonts w:ascii="Times New Roman" w:eastAsia="Times New Roman" w:hAnsi="Times New Roman" w:cs="Times New Roman"/>
        </w:rPr>
        <w:t xml:space="preserve"> Linné, 1758 dans deux complexes lagunaires (lagunes Ébrié et de Grand-Lahou) de la Côte d’Ivoire. </w:t>
      </w:r>
      <w:r w:rsidRPr="004B1DB5">
        <w:rPr>
          <w:rFonts w:ascii="Times New Roman" w:eastAsia="Times New Roman" w:hAnsi="Times New Roman" w:cs="Times New Roman"/>
          <w:i/>
        </w:rPr>
        <w:t>International Journal of Biological and Chemical Sciences, 7</w:t>
      </w:r>
      <w:r w:rsidRPr="004B1DB5">
        <w:rPr>
          <w:rFonts w:ascii="Times New Roman" w:eastAsia="Times New Roman" w:hAnsi="Times New Roman" w:cs="Times New Roman"/>
        </w:rPr>
        <w:t xml:space="preserve">(4), 1701–1716. </w:t>
      </w:r>
      <w:hyperlink r:id="rId31">
        <w:r w:rsidR="00F958A8" w:rsidRPr="004B1DB5">
          <w:rPr>
            <w:rFonts w:ascii="Times New Roman" w:eastAsia="Times New Roman" w:hAnsi="Times New Roman" w:cs="Times New Roman"/>
            <w:color w:val="000000"/>
          </w:rPr>
          <w:t>https://doi.org/10.4314/ijbcs.v7i4.25</w:t>
        </w:r>
      </w:hyperlink>
    </w:p>
    <w:p w14:paraId="5A9839E9"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Froese, R. (2004). Keep it simple: Three indicators to deal with overfishing. </w:t>
      </w:r>
      <w:r w:rsidRPr="004B1DB5">
        <w:rPr>
          <w:rFonts w:ascii="Times New Roman" w:eastAsia="Times New Roman" w:hAnsi="Times New Roman" w:cs="Times New Roman"/>
          <w:i/>
        </w:rPr>
        <w:t>Fish and Fisheries, 5</w:t>
      </w:r>
      <w:r w:rsidRPr="004B1DB5">
        <w:rPr>
          <w:rFonts w:ascii="Times New Roman" w:eastAsia="Times New Roman" w:hAnsi="Times New Roman" w:cs="Times New Roman"/>
        </w:rPr>
        <w:t xml:space="preserve">(1), 86–91. </w:t>
      </w:r>
      <w:hyperlink r:id="rId32">
        <w:r w:rsidR="00F958A8" w:rsidRPr="004B1DB5">
          <w:rPr>
            <w:rFonts w:ascii="Times New Roman" w:eastAsia="Times New Roman" w:hAnsi="Times New Roman" w:cs="Times New Roman"/>
            <w:color w:val="000000"/>
          </w:rPr>
          <w:t>https://doi.org/10.1111/j.1467-2979.2004.00144.x</w:t>
        </w:r>
      </w:hyperlink>
    </w:p>
    <w:p w14:paraId="1CF28C71"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Froese, R., &amp; Binohlan, C. (2000). Empirical relationships to estimate asymptotic length, length at first maturity and length at maximum yield per recruit in fishes, with a simple method to evaluate length-frequency data. </w:t>
      </w:r>
      <w:r w:rsidRPr="004B1DB5">
        <w:rPr>
          <w:rFonts w:ascii="Times New Roman" w:eastAsia="Times New Roman" w:hAnsi="Times New Roman" w:cs="Times New Roman"/>
          <w:i/>
        </w:rPr>
        <w:t>Journal of Fish Biology, 56</w:t>
      </w:r>
      <w:r w:rsidRPr="004B1DB5">
        <w:rPr>
          <w:rFonts w:ascii="Times New Roman" w:eastAsia="Times New Roman" w:hAnsi="Times New Roman" w:cs="Times New Roman"/>
        </w:rPr>
        <w:t xml:space="preserve">(4), 758–773. </w:t>
      </w:r>
      <w:hyperlink r:id="rId33">
        <w:r w:rsidR="00F958A8" w:rsidRPr="004B1DB5">
          <w:rPr>
            <w:rFonts w:ascii="Times New Roman" w:eastAsia="Times New Roman" w:hAnsi="Times New Roman" w:cs="Times New Roman"/>
            <w:color w:val="000000"/>
          </w:rPr>
          <w:t>https://doi.org/10.1111/j.1095-8649.2000.tb00870.x</w:t>
        </w:r>
      </w:hyperlink>
    </w:p>
    <w:p w14:paraId="20029B00"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Froese, R., &amp; Pauly, D. (Eds.). (2024). </w:t>
      </w:r>
      <w:r w:rsidRPr="004B1DB5">
        <w:rPr>
          <w:rFonts w:ascii="Times New Roman" w:eastAsia="Times New Roman" w:hAnsi="Times New Roman" w:cs="Times New Roman"/>
          <w:i/>
        </w:rPr>
        <w:t>FishBase</w:t>
      </w:r>
      <w:r w:rsidRPr="004B1DB5">
        <w:rPr>
          <w:rFonts w:ascii="Times New Roman" w:eastAsia="Times New Roman" w:hAnsi="Times New Roman" w:cs="Times New Roman"/>
        </w:rPr>
        <w:t xml:space="preserve"> (Version 06/2024) [Database]. </w:t>
      </w:r>
      <w:hyperlink r:id="rId34">
        <w:r w:rsidR="00F958A8" w:rsidRPr="004B1DB5">
          <w:rPr>
            <w:rFonts w:ascii="Times New Roman" w:eastAsia="Times New Roman" w:hAnsi="Times New Roman" w:cs="Times New Roman"/>
            <w:color w:val="000000"/>
          </w:rPr>
          <w:t>https://www.fishbase.org</w:t>
        </w:r>
      </w:hyperlink>
    </w:p>
    <w:p w14:paraId="1F012193"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Gayanilo, F. C., Jr., Sparre, P., &amp; Pauly, D. (2005). </w:t>
      </w:r>
      <w:r w:rsidRPr="004B1DB5">
        <w:rPr>
          <w:rFonts w:ascii="Times New Roman" w:eastAsia="Times New Roman" w:hAnsi="Times New Roman" w:cs="Times New Roman"/>
          <w:i/>
        </w:rPr>
        <w:t>FAO-ICLARM stock assessment tools II (FiSAT II): Revised version: User’s guide</w:t>
      </w:r>
      <w:r w:rsidRPr="004B1DB5">
        <w:rPr>
          <w:rFonts w:ascii="Times New Roman" w:eastAsia="Times New Roman" w:hAnsi="Times New Roman" w:cs="Times New Roman"/>
        </w:rPr>
        <w:t xml:space="preserve"> (FAO Computerized Information Series, Fisheries No. 8, rev. ed.). Food and Agriculture Organization of the United Nations. </w:t>
      </w:r>
      <w:hyperlink r:id="rId35">
        <w:r w:rsidR="00F958A8" w:rsidRPr="004B1DB5">
          <w:rPr>
            <w:rFonts w:ascii="Times New Roman" w:eastAsia="Times New Roman" w:hAnsi="Times New Roman" w:cs="Times New Roman"/>
            <w:color w:val="000000"/>
          </w:rPr>
          <w:t>https://openknowledge.fao.org/handle/20.500.14283/y5997e</w:t>
        </w:r>
      </w:hyperlink>
    </w:p>
    <w:p w14:paraId="0971BE53"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Gourène, G., Teugels, G. G., Hugueny, B., &amp; Thys van den Audenaerde, D. F. E. (1999). Évaluation de la diversité ichtyologique d’un bassin ouest-africain après la construction d’un barrage. </w:t>
      </w:r>
      <w:r w:rsidRPr="004B1DB5">
        <w:rPr>
          <w:rFonts w:ascii="Times New Roman" w:eastAsia="Times New Roman" w:hAnsi="Times New Roman" w:cs="Times New Roman"/>
          <w:i/>
        </w:rPr>
        <w:t>Cybium, 23</w:t>
      </w:r>
      <w:r w:rsidRPr="004B1DB5">
        <w:rPr>
          <w:rFonts w:ascii="Times New Roman" w:eastAsia="Times New Roman" w:hAnsi="Times New Roman" w:cs="Times New Roman"/>
        </w:rPr>
        <w:t xml:space="preserve">(2), 147–160. </w:t>
      </w:r>
      <w:hyperlink r:id="rId36">
        <w:r w:rsidR="00F958A8" w:rsidRPr="004B1DB5">
          <w:rPr>
            <w:rFonts w:ascii="Times New Roman" w:eastAsia="Times New Roman" w:hAnsi="Times New Roman" w:cs="Times New Roman"/>
            <w:color w:val="000000"/>
          </w:rPr>
          <w:t>https://doi.org/10.26028/cybium/1999-232-003</w:t>
        </w:r>
      </w:hyperlink>
    </w:p>
    <w:p w14:paraId="6B9F3949" w14:textId="77777777" w:rsidR="00400C6A" w:rsidRPr="004B1DB5" w:rsidRDefault="00000000">
      <w:pPr>
        <w:pStyle w:val="ListParagraph"/>
        <w:spacing w:after="0" w:line="240" w:lineRule="auto"/>
        <w:ind w:hanging="720"/>
      </w:pPr>
      <w:r w:rsidRPr="004B1DB5">
        <w:rPr>
          <w:rFonts w:ascii="Times New Roman" w:eastAsia="Times New Roman" w:hAnsi="Times New Roman"/>
          <w:sz w:val="24"/>
        </w:rPr>
        <w:t xml:space="preserve">Herawati, T., Saputri, M. S. W., Yustiati, A., &amp; Hamdani, H. (2022). Structure of the fish community in the Jatigede Reservoir post six years of flooding. </w:t>
      </w:r>
      <w:r w:rsidRPr="004B1DB5">
        <w:rPr>
          <w:rFonts w:ascii="Times New Roman" w:eastAsia="Times New Roman" w:hAnsi="Times New Roman"/>
          <w:i/>
          <w:sz w:val="24"/>
        </w:rPr>
        <w:t>Asian Journal of Fisheries and Aquatic Research, 20</w:t>
      </w:r>
      <w:r w:rsidRPr="004B1DB5">
        <w:rPr>
          <w:rFonts w:ascii="Times New Roman" w:eastAsia="Times New Roman" w:hAnsi="Times New Roman"/>
          <w:sz w:val="24"/>
        </w:rPr>
        <w:t>(1), 1–8. https://doi.org/10.9734/ajfar/2022/v20i1483</w:t>
      </w:r>
    </w:p>
    <w:p w14:paraId="56659C21"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Hixon, M. A., Johnson, D. W., &amp; Sogard, S. M. (2014). BOFFFFs: On the importance of conserving old-growth age structure in fishery populations. </w:t>
      </w:r>
      <w:r w:rsidRPr="004B1DB5">
        <w:rPr>
          <w:rFonts w:ascii="Times New Roman" w:eastAsia="Times New Roman" w:hAnsi="Times New Roman" w:cs="Times New Roman"/>
          <w:i/>
        </w:rPr>
        <w:t>ICES Journal of Marine Science, 71</w:t>
      </w:r>
      <w:r w:rsidRPr="004B1DB5">
        <w:rPr>
          <w:rFonts w:ascii="Times New Roman" w:eastAsia="Times New Roman" w:hAnsi="Times New Roman" w:cs="Times New Roman"/>
        </w:rPr>
        <w:t xml:space="preserve">(8), 2171–2185. </w:t>
      </w:r>
      <w:hyperlink r:id="rId37">
        <w:r w:rsidR="00F958A8" w:rsidRPr="004B1DB5">
          <w:rPr>
            <w:rFonts w:ascii="Times New Roman" w:eastAsia="Times New Roman" w:hAnsi="Times New Roman" w:cs="Times New Roman"/>
            <w:color w:val="000000"/>
          </w:rPr>
          <w:t>https://doi.org/10.1093/icesjms/fst200</w:t>
        </w:r>
      </w:hyperlink>
    </w:p>
    <w:p w14:paraId="13238C83"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Jackson, D. A., Peres-Neto, P. R., &amp; Olden, J. D. (2001). What controls who is where in freshwater fish communities: The roles of biotic, abiotic and spatial factors. </w:t>
      </w:r>
      <w:r w:rsidRPr="004B1DB5">
        <w:rPr>
          <w:rFonts w:ascii="Times New Roman" w:eastAsia="Times New Roman" w:hAnsi="Times New Roman" w:cs="Times New Roman"/>
          <w:i/>
        </w:rPr>
        <w:t>Canadian Journal of Fisheries and Aquatic Sciences, 58</w:t>
      </w:r>
      <w:r w:rsidRPr="004B1DB5">
        <w:rPr>
          <w:rFonts w:ascii="Times New Roman" w:eastAsia="Times New Roman" w:hAnsi="Times New Roman" w:cs="Times New Roman"/>
        </w:rPr>
        <w:t xml:space="preserve">(1), 157–170. </w:t>
      </w:r>
      <w:hyperlink r:id="rId38">
        <w:r w:rsidR="00F958A8" w:rsidRPr="004B1DB5">
          <w:rPr>
            <w:rFonts w:ascii="Times New Roman" w:eastAsia="Times New Roman" w:hAnsi="Times New Roman" w:cs="Times New Roman"/>
            <w:color w:val="000000"/>
          </w:rPr>
          <w:t>https://doi.org/10.1139/cjfas-58-1-157</w:t>
        </w:r>
      </w:hyperlink>
    </w:p>
    <w:p w14:paraId="55D22DFE"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lang w:val="es-US"/>
        </w:rPr>
        <w:t xml:space="preserve">Kartas, F., &amp; Quignard, J.-P. (1984). </w:t>
      </w:r>
      <w:r w:rsidRPr="004B1DB5">
        <w:rPr>
          <w:rFonts w:ascii="Times New Roman" w:eastAsia="Times New Roman" w:hAnsi="Times New Roman" w:cs="Times New Roman"/>
          <w:i/>
          <w:lang w:val="es-US"/>
        </w:rPr>
        <w:t>La fécondité des poissons téléostéens</w:t>
      </w:r>
      <w:r w:rsidRPr="004B1DB5">
        <w:rPr>
          <w:rFonts w:ascii="Times New Roman" w:eastAsia="Times New Roman" w:hAnsi="Times New Roman" w:cs="Times New Roman"/>
          <w:lang w:val="es-US"/>
        </w:rPr>
        <w:t xml:space="preserve">. </w:t>
      </w:r>
      <w:r w:rsidRPr="004B1DB5">
        <w:rPr>
          <w:rFonts w:ascii="Times New Roman" w:eastAsia="Times New Roman" w:hAnsi="Times New Roman" w:cs="Times New Roman"/>
        </w:rPr>
        <w:t xml:space="preserve">Masson. </w:t>
      </w:r>
    </w:p>
    <w:p w14:paraId="7B3B5026"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Kolding, J., van Zwieten, P. A. M., Marttin, F., Funge-Smith, S., &amp; Poulain, F. (2019). </w:t>
      </w:r>
      <w:r w:rsidRPr="004B1DB5">
        <w:rPr>
          <w:rFonts w:ascii="Times New Roman" w:eastAsia="Times New Roman" w:hAnsi="Times New Roman" w:cs="Times New Roman"/>
          <w:i/>
        </w:rPr>
        <w:t>Freshwater small pelagic fish and their fisheries in major African lakes and reservoirs in relation to food security and nutrition</w:t>
      </w:r>
      <w:r w:rsidRPr="004B1DB5">
        <w:rPr>
          <w:rFonts w:ascii="Times New Roman" w:eastAsia="Times New Roman" w:hAnsi="Times New Roman" w:cs="Times New Roman"/>
        </w:rPr>
        <w:t xml:space="preserve"> (FAO Fisheries and Aquaculture Technical Paper No. 642). Food and Agriculture Organization of the United Nations. </w:t>
      </w:r>
      <w:hyperlink r:id="rId39">
        <w:r w:rsidR="00F958A8" w:rsidRPr="004B1DB5">
          <w:rPr>
            <w:rFonts w:ascii="Times New Roman" w:eastAsia="Times New Roman" w:hAnsi="Times New Roman" w:cs="Times New Roman"/>
            <w:color w:val="000000"/>
          </w:rPr>
          <w:t>https://doi.org/10.4060/ca0843en</w:t>
        </w:r>
      </w:hyperlink>
    </w:p>
    <w:p w14:paraId="2D7EAAB5"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lastRenderedPageBreak/>
        <w:t xml:space="preserve">Koné, N. (2012). </w:t>
      </w:r>
      <w:r w:rsidRPr="004B1DB5">
        <w:rPr>
          <w:rFonts w:ascii="Times New Roman" w:eastAsia="Times New Roman" w:hAnsi="Times New Roman" w:cs="Times New Roman"/>
          <w:i/>
        </w:rPr>
        <w:t>Study of the fishery, population parameters and reproductive biology of the clupeid Pellonula leonensis Boulenger, 1916 in the Kossou and Taabo reservoirs (Bandama River, Côte d’Ivoire)</w:t>
      </w:r>
      <w:r w:rsidRPr="004B1DB5">
        <w:rPr>
          <w:rFonts w:ascii="Times New Roman" w:eastAsia="Times New Roman" w:hAnsi="Times New Roman" w:cs="Times New Roman"/>
        </w:rPr>
        <w:t xml:space="preserve"> [Doctoral dissertation, Université Félix Houphouët-Boigny]. </w:t>
      </w:r>
    </w:p>
    <w:p w14:paraId="6F67A09E" w14:textId="77777777" w:rsidR="00F958A8" w:rsidRPr="004B1DB5" w:rsidRDefault="00000000">
      <w:pPr>
        <w:pStyle w:val="ListParagraph"/>
        <w:spacing w:after="0" w:line="240" w:lineRule="auto"/>
        <w:ind w:hanging="720"/>
        <w:rPr>
          <w:lang w:val="es-US"/>
        </w:rPr>
      </w:pPr>
      <w:r w:rsidRPr="004B1DB5">
        <w:rPr>
          <w:rFonts w:ascii="Times New Roman" w:eastAsia="Times New Roman" w:hAnsi="Times New Roman" w:cs="Times New Roman"/>
          <w:lang w:val="es-US"/>
        </w:rPr>
        <w:t xml:space="preserve">Kouamé, M. K., Ouattara, A., Dietoa, M. Y., &amp; Gourène, G. (2006). Alimentation du Clupeidae </w:t>
      </w:r>
      <w:r w:rsidRPr="004B1DB5">
        <w:rPr>
          <w:rFonts w:ascii="Times New Roman" w:eastAsia="Times New Roman" w:hAnsi="Times New Roman" w:cs="Times New Roman"/>
          <w:i/>
          <w:lang w:val="es-US"/>
        </w:rPr>
        <w:t>Pellonula leonensis</w:t>
      </w:r>
      <w:r w:rsidRPr="004B1DB5">
        <w:rPr>
          <w:rFonts w:ascii="Times New Roman" w:eastAsia="Times New Roman" w:hAnsi="Times New Roman" w:cs="Times New Roman"/>
          <w:lang w:val="es-US"/>
        </w:rPr>
        <w:t xml:space="preserve"> dans le lac de barrage de Buyo (Côte d’Ivoire). </w:t>
      </w:r>
      <w:r w:rsidRPr="004B1DB5">
        <w:rPr>
          <w:rFonts w:ascii="Times New Roman" w:eastAsia="Times New Roman" w:hAnsi="Times New Roman" w:cs="Times New Roman"/>
          <w:i/>
          <w:lang w:val="es-US"/>
        </w:rPr>
        <w:t>Cybium, 30</w:t>
      </w:r>
      <w:r w:rsidRPr="004B1DB5">
        <w:rPr>
          <w:rFonts w:ascii="Times New Roman" w:eastAsia="Times New Roman" w:hAnsi="Times New Roman" w:cs="Times New Roman"/>
          <w:lang w:val="es-US"/>
        </w:rPr>
        <w:t xml:space="preserve">(2), 145–150. </w:t>
      </w:r>
      <w:hyperlink r:id="rId40">
        <w:r w:rsidR="00F958A8" w:rsidRPr="004B1DB5">
          <w:rPr>
            <w:rFonts w:ascii="Times New Roman" w:eastAsia="Times New Roman" w:hAnsi="Times New Roman" w:cs="Times New Roman"/>
            <w:color w:val="000000"/>
            <w:lang w:val="es-US"/>
          </w:rPr>
          <w:t>https://doi.org/10.26028/cybium/2006-302-007</w:t>
        </w:r>
      </w:hyperlink>
    </w:p>
    <w:p w14:paraId="7589B672"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lang w:val="es-US"/>
        </w:rPr>
        <w:t xml:space="preserve">Kraidy, L. A. B., Koné, N., Berté, S., N’Zi Konan, G., Yao, S. S., &amp; Kouamélan, E. P. (2014). Pêche et paramètres de reproduction de </w:t>
      </w:r>
      <w:r w:rsidRPr="004B1DB5">
        <w:rPr>
          <w:rFonts w:ascii="Times New Roman" w:eastAsia="Times New Roman" w:hAnsi="Times New Roman" w:cs="Times New Roman"/>
          <w:i/>
          <w:lang w:val="es-US"/>
        </w:rPr>
        <w:t>Pellonula leonensis</w:t>
      </w:r>
      <w:r w:rsidRPr="004B1DB5">
        <w:rPr>
          <w:rFonts w:ascii="Times New Roman" w:eastAsia="Times New Roman" w:hAnsi="Times New Roman" w:cs="Times New Roman"/>
          <w:lang w:val="es-US"/>
        </w:rPr>
        <w:t xml:space="preserve"> Boulenger, 1916 dans le lac de Taabo (Fleuve Bandama, Côte d’Ivoire): Implications pour une exploitation durable du stock. </w:t>
      </w:r>
      <w:r w:rsidRPr="004B1DB5">
        <w:rPr>
          <w:rFonts w:ascii="Times New Roman" w:eastAsia="Times New Roman" w:hAnsi="Times New Roman" w:cs="Times New Roman"/>
          <w:i/>
        </w:rPr>
        <w:t>International Journal of Biological and Chemical Sciences, 8</w:t>
      </w:r>
      <w:r w:rsidRPr="004B1DB5">
        <w:rPr>
          <w:rFonts w:ascii="Times New Roman" w:eastAsia="Times New Roman" w:hAnsi="Times New Roman" w:cs="Times New Roman"/>
        </w:rPr>
        <w:t xml:space="preserve">(1), 75–88. </w:t>
      </w:r>
      <w:hyperlink r:id="rId41">
        <w:r w:rsidR="00F958A8" w:rsidRPr="004B1DB5">
          <w:rPr>
            <w:rFonts w:ascii="Times New Roman" w:eastAsia="Times New Roman" w:hAnsi="Times New Roman" w:cs="Times New Roman"/>
            <w:color w:val="000000"/>
          </w:rPr>
          <w:t>https://doi.org/10.4314/ijbcs.v8i1.8</w:t>
        </w:r>
      </w:hyperlink>
    </w:p>
    <w:p w14:paraId="3F2926BB"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Marchal, E., &amp; Picaut, J. (1977). Répartition et abondance évaluées par échointégration des poissons du plateau ivoiro-ghanéen en relation avec les upwellings locaux. </w:t>
      </w:r>
      <w:r w:rsidRPr="004B1DB5">
        <w:rPr>
          <w:rFonts w:ascii="Times New Roman" w:eastAsia="Times New Roman" w:hAnsi="Times New Roman" w:cs="Times New Roman"/>
          <w:i/>
        </w:rPr>
        <w:t>Journal de Recherche Océanographique, 2</w:t>
      </w:r>
      <w:r w:rsidRPr="004B1DB5">
        <w:rPr>
          <w:rFonts w:ascii="Times New Roman" w:eastAsia="Times New Roman" w:hAnsi="Times New Roman" w:cs="Times New Roman"/>
        </w:rPr>
        <w:t xml:space="preserve">(4), 39–57. </w:t>
      </w:r>
      <w:hyperlink r:id="rId42">
        <w:r w:rsidR="00F958A8" w:rsidRPr="004B1DB5">
          <w:rPr>
            <w:rFonts w:ascii="Times New Roman" w:eastAsia="Times New Roman" w:hAnsi="Times New Roman" w:cs="Times New Roman"/>
            <w:color w:val="000000"/>
          </w:rPr>
          <w:t>https://www.documentation.ird.fr/hor/fdi:09120</w:t>
        </w:r>
      </w:hyperlink>
    </w:p>
    <w:p w14:paraId="28BF9C64"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Maulu, S., Musuka, C. G., Molefe, M., Ngoepe, T. K., Gabriel, N. N., Mphande, J., Phiri, M., Muhala, V., Macuiane, M. A., Ndebele-Murisa, M. R., Hasimuna, O. J., Bokhutlo, T., Mulumpwa, M., Erasmus, V. N., Jere, W., Dekesa, C. H., Mubaya, C. P., Baloi, M. F., Iitembu, J. A., … Zhang, L. (2024). Contribution of fish to food and nutrition security in Southern Africa: Challenges and opportunities in fish production. </w:t>
      </w:r>
      <w:r w:rsidRPr="004B1DB5">
        <w:rPr>
          <w:rFonts w:ascii="Times New Roman" w:eastAsia="Times New Roman" w:hAnsi="Times New Roman" w:cs="Times New Roman"/>
          <w:i/>
        </w:rPr>
        <w:t>Frontiers in Nutrition, 11</w:t>
      </w:r>
      <w:r w:rsidRPr="004B1DB5">
        <w:rPr>
          <w:rFonts w:ascii="Times New Roman" w:eastAsia="Times New Roman" w:hAnsi="Times New Roman" w:cs="Times New Roman"/>
        </w:rPr>
        <w:t xml:space="preserve">, 1424740. </w:t>
      </w:r>
      <w:hyperlink r:id="rId43">
        <w:r w:rsidR="00F958A8" w:rsidRPr="004B1DB5">
          <w:rPr>
            <w:rFonts w:ascii="Times New Roman" w:eastAsia="Times New Roman" w:hAnsi="Times New Roman" w:cs="Times New Roman"/>
            <w:color w:val="000000"/>
          </w:rPr>
          <w:t>https://doi.org/10.3389/fnut.2024.1424740</w:t>
        </w:r>
      </w:hyperlink>
    </w:p>
    <w:p w14:paraId="59DF749B"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Muringai, R. T., Mafongoya, P. L., Lottering, R. T., Mugandani, R., &amp; Naidoo, D. (2022). Unlocking the potential of fish to improve food and nutrition security in Sub-Saharan Africa. </w:t>
      </w:r>
      <w:r w:rsidRPr="004B1DB5">
        <w:rPr>
          <w:rFonts w:ascii="Times New Roman" w:eastAsia="Times New Roman" w:hAnsi="Times New Roman" w:cs="Times New Roman"/>
          <w:i/>
        </w:rPr>
        <w:t>Sustainability, 14</w:t>
      </w:r>
      <w:r w:rsidRPr="004B1DB5">
        <w:rPr>
          <w:rFonts w:ascii="Times New Roman" w:eastAsia="Times New Roman" w:hAnsi="Times New Roman" w:cs="Times New Roman"/>
        </w:rPr>
        <w:t xml:space="preserve">(1), 318. </w:t>
      </w:r>
      <w:hyperlink r:id="rId44">
        <w:r w:rsidR="00F958A8" w:rsidRPr="004B1DB5">
          <w:rPr>
            <w:rFonts w:ascii="Times New Roman" w:eastAsia="Times New Roman" w:hAnsi="Times New Roman" w:cs="Times New Roman"/>
            <w:color w:val="000000"/>
          </w:rPr>
          <w:t>https://doi.org/10.3390/su14010318</w:t>
        </w:r>
      </w:hyperlink>
    </w:p>
    <w:p w14:paraId="6C8934B3"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Omari, H. (2024). Water level fluctuation effect on fish reproduction success. </w:t>
      </w:r>
      <w:r w:rsidRPr="004B1DB5">
        <w:rPr>
          <w:rFonts w:ascii="Times New Roman" w:eastAsia="Times New Roman" w:hAnsi="Times New Roman" w:cs="Times New Roman"/>
          <w:i/>
        </w:rPr>
        <w:t>International Journal of Ecology, 2024</w:t>
      </w:r>
      <w:r w:rsidRPr="004B1DB5">
        <w:rPr>
          <w:rFonts w:ascii="Times New Roman" w:eastAsia="Times New Roman" w:hAnsi="Times New Roman" w:cs="Times New Roman"/>
        </w:rPr>
        <w:t xml:space="preserve">, 4876582. </w:t>
      </w:r>
      <w:hyperlink r:id="rId45">
        <w:r w:rsidR="00F958A8" w:rsidRPr="004B1DB5">
          <w:rPr>
            <w:rFonts w:ascii="Times New Roman" w:eastAsia="Times New Roman" w:hAnsi="Times New Roman" w:cs="Times New Roman"/>
            <w:color w:val="000000"/>
          </w:rPr>
          <w:t>https://doi.org/10.1155/2024/4876582</w:t>
        </w:r>
      </w:hyperlink>
    </w:p>
    <w:p w14:paraId="66B7A16C"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Pauly, D. (1980). On the interrelationships between natural mortality, growth parameters and mean environmental temperature in 175 fish stocks. </w:t>
      </w:r>
      <w:r w:rsidRPr="004B1DB5">
        <w:rPr>
          <w:rFonts w:ascii="Times New Roman" w:eastAsia="Times New Roman" w:hAnsi="Times New Roman" w:cs="Times New Roman"/>
          <w:i/>
        </w:rPr>
        <w:t>ICES Journal of Marine Science, 39</w:t>
      </w:r>
      <w:r w:rsidRPr="004B1DB5">
        <w:rPr>
          <w:rFonts w:ascii="Times New Roman" w:eastAsia="Times New Roman" w:hAnsi="Times New Roman" w:cs="Times New Roman"/>
        </w:rPr>
        <w:t xml:space="preserve">(2), 175–192. </w:t>
      </w:r>
      <w:hyperlink r:id="rId46">
        <w:r w:rsidR="00F958A8" w:rsidRPr="004B1DB5">
          <w:rPr>
            <w:rFonts w:ascii="Times New Roman" w:eastAsia="Times New Roman" w:hAnsi="Times New Roman" w:cs="Times New Roman"/>
            <w:color w:val="000000"/>
          </w:rPr>
          <w:t>https://doi.org/10.1093/icesjms/39.2.175</w:t>
        </w:r>
      </w:hyperlink>
    </w:p>
    <w:p w14:paraId="2DB8A9BE"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Pauly, D. (1984). </w:t>
      </w:r>
      <w:r w:rsidRPr="004B1DB5">
        <w:rPr>
          <w:rFonts w:ascii="Times New Roman" w:eastAsia="Times New Roman" w:hAnsi="Times New Roman" w:cs="Times New Roman"/>
          <w:i/>
        </w:rPr>
        <w:t>Fish population dynamics in tropical waters: A manual for use with programmable calculators</w:t>
      </w:r>
      <w:r w:rsidRPr="004B1DB5">
        <w:rPr>
          <w:rFonts w:ascii="Times New Roman" w:eastAsia="Times New Roman" w:hAnsi="Times New Roman" w:cs="Times New Roman"/>
        </w:rPr>
        <w:t xml:space="preserve"> (ICLARM Studies and Reviews No. 8). International Center for Living Aquatic Resources Management. </w:t>
      </w:r>
      <w:hyperlink r:id="rId47">
        <w:r w:rsidR="00F958A8" w:rsidRPr="004B1DB5">
          <w:rPr>
            <w:rFonts w:ascii="Times New Roman" w:eastAsia="Times New Roman" w:hAnsi="Times New Roman" w:cs="Times New Roman"/>
            <w:color w:val="000000"/>
          </w:rPr>
          <w:t>https://digitalarchive.worldfishcenter.org/items/b69d3af9-1d95-4495-98c5-bbe4a6087917</w:t>
        </w:r>
      </w:hyperlink>
    </w:p>
    <w:p w14:paraId="20549B04" w14:textId="77777777" w:rsidR="00400C6A" w:rsidRPr="004B1DB5" w:rsidRDefault="00000000">
      <w:pPr>
        <w:pStyle w:val="ListParagraph"/>
        <w:spacing w:after="0" w:line="240" w:lineRule="auto"/>
        <w:ind w:hanging="720"/>
      </w:pPr>
      <w:r w:rsidRPr="004B1DB5">
        <w:rPr>
          <w:rFonts w:ascii="Times New Roman" w:eastAsia="Times New Roman" w:hAnsi="Times New Roman"/>
          <w:sz w:val="24"/>
        </w:rPr>
        <w:t xml:space="preserve">Peck, M. A., Catalán, I. A., Garrido, S., Rykaczewski, R. R., Asch, R. G., McDowell, J. R., Hazen, E. L., &amp; Kaplan, I. C. (2024). Small pelagic fish: New frontiers in ecological research. </w:t>
      </w:r>
      <w:r w:rsidRPr="004B1DB5">
        <w:rPr>
          <w:rFonts w:ascii="Times New Roman" w:eastAsia="Times New Roman" w:hAnsi="Times New Roman"/>
          <w:i/>
          <w:sz w:val="24"/>
        </w:rPr>
        <w:t>Marine Ecology Progress Series, 741</w:t>
      </w:r>
      <w:r w:rsidRPr="004B1DB5">
        <w:rPr>
          <w:rFonts w:ascii="Times New Roman" w:eastAsia="Times New Roman" w:hAnsi="Times New Roman"/>
          <w:sz w:val="24"/>
        </w:rPr>
        <w:t>, 1–6. https://doi.org/10.3354/meps14648</w:t>
      </w:r>
    </w:p>
    <w:p w14:paraId="68CBBCBF"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Poulet, N. (2004). </w:t>
      </w:r>
      <w:r w:rsidRPr="004B1DB5">
        <w:rPr>
          <w:rFonts w:ascii="Times New Roman" w:eastAsia="Times New Roman" w:hAnsi="Times New Roman" w:cs="Times New Roman"/>
          <w:i/>
        </w:rPr>
        <w:t>Le sandre Sander lucioperca (L.): Biologie, comportement et dynamique des populations en Camargue (Bouches-du-Rhône, France)</w:t>
      </w:r>
      <w:r w:rsidRPr="004B1DB5">
        <w:rPr>
          <w:rFonts w:ascii="Times New Roman" w:eastAsia="Times New Roman" w:hAnsi="Times New Roman" w:cs="Times New Roman"/>
        </w:rPr>
        <w:t xml:space="preserve"> [Doctoral dissertation, Université Toulouse III–Paul Sabatier]. </w:t>
      </w:r>
      <w:hyperlink r:id="rId48">
        <w:r w:rsidR="00F958A8" w:rsidRPr="004B1DB5">
          <w:rPr>
            <w:rFonts w:ascii="Times New Roman" w:eastAsia="Times New Roman" w:hAnsi="Times New Roman" w:cs="Times New Roman"/>
            <w:color w:val="000000"/>
          </w:rPr>
          <w:t>https://theses.fr/2004TOU30265</w:t>
        </w:r>
      </w:hyperlink>
    </w:p>
    <w:p w14:paraId="6B14D27C"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Pratt, O. P., Beesley, L. S., Pusey, B. J., Gwinn, D. C., Keogh, C. S., Setterfield, S. A., &amp; Douglas, M. M. (2023). Brief floodplain inundation provides growth and survival benefits to a young-of-year fish in an intermittent river threatened by water development. </w:t>
      </w:r>
      <w:r w:rsidRPr="004B1DB5">
        <w:rPr>
          <w:rFonts w:ascii="Times New Roman" w:eastAsia="Times New Roman" w:hAnsi="Times New Roman" w:cs="Times New Roman"/>
          <w:i/>
        </w:rPr>
        <w:t>Scientific Reports, 13</w:t>
      </w:r>
      <w:r w:rsidRPr="004B1DB5">
        <w:rPr>
          <w:rFonts w:ascii="Times New Roman" w:eastAsia="Times New Roman" w:hAnsi="Times New Roman" w:cs="Times New Roman"/>
        </w:rPr>
        <w:t xml:space="preserve">, 17725. </w:t>
      </w:r>
      <w:hyperlink r:id="rId49">
        <w:r w:rsidR="00F958A8" w:rsidRPr="004B1DB5">
          <w:rPr>
            <w:rFonts w:ascii="Times New Roman" w:eastAsia="Times New Roman" w:hAnsi="Times New Roman" w:cs="Times New Roman"/>
            <w:color w:val="000000"/>
          </w:rPr>
          <w:t>https://doi.org/10.1038/s41598-023-45000-x</w:t>
        </w:r>
      </w:hyperlink>
    </w:p>
    <w:p w14:paraId="18DBDCDB"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Reynolds, J. D. (1969). The biology of the clupeids in the new Volta Lake, Ghana. In L. E. Obeng (Ed.), </w:t>
      </w:r>
      <w:r w:rsidRPr="004B1DB5">
        <w:rPr>
          <w:rFonts w:ascii="Times New Roman" w:eastAsia="Times New Roman" w:hAnsi="Times New Roman" w:cs="Times New Roman"/>
          <w:i/>
        </w:rPr>
        <w:t>Man-made lakes: The Accra Symposium</w:t>
      </w:r>
      <w:r w:rsidRPr="004B1DB5">
        <w:rPr>
          <w:rFonts w:ascii="Times New Roman" w:eastAsia="Times New Roman" w:hAnsi="Times New Roman" w:cs="Times New Roman"/>
        </w:rPr>
        <w:t xml:space="preserve"> (pp. 195–203). Ghana University Press. </w:t>
      </w:r>
      <w:hyperlink r:id="rId50">
        <w:r w:rsidR="00F958A8" w:rsidRPr="004B1DB5">
          <w:rPr>
            <w:rFonts w:ascii="Times New Roman" w:eastAsia="Times New Roman" w:hAnsi="Times New Roman" w:cs="Times New Roman"/>
            <w:color w:val="000000"/>
          </w:rPr>
          <w:t>https://www.fao.org/4/ad769b/AD769B05.htm</w:t>
        </w:r>
      </w:hyperlink>
    </w:p>
    <w:p w14:paraId="45B47023" w14:textId="77777777" w:rsidR="00400C6A" w:rsidRPr="004B1DB5" w:rsidRDefault="00000000">
      <w:pPr>
        <w:pStyle w:val="ListParagraph"/>
        <w:spacing w:after="0" w:line="240" w:lineRule="auto"/>
        <w:ind w:hanging="720"/>
      </w:pPr>
      <w:r w:rsidRPr="004B1DB5">
        <w:rPr>
          <w:rFonts w:ascii="Times New Roman" w:eastAsia="Times New Roman" w:hAnsi="Times New Roman"/>
          <w:sz w:val="24"/>
        </w:rPr>
        <w:t xml:space="preserve">Sidibeh, M., Baldé, B. S., Jallow, M. S., &amp; Brehmer, P. (2024). Population size structure and length–weight relationships of selected pelagic fishes from the Gambian waters (West Africa). </w:t>
      </w:r>
      <w:r w:rsidRPr="004B1DB5">
        <w:rPr>
          <w:rFonts w:ascii="Times New Roman" w:eastAsia="Times New Roman" w:hAnsi="Times New Roman"/>
          <w:i/>
          <w:sz w:val="24"/>
        </w:rPr>
        <w:t>Journal of Applied Ichthyology, 2024</w:t>
      </w:r>
      <w:r w:rsidRPr="004B1DB5">
        <w:rPr>
          <w:rFonts w:ascii="Times New Roman" w:eastAsia="Times New Roman" w:hAnsi="Times New Roman"/>
          <w:sz w:val="24"/>
        </w:rPr>
        <w:t>, 5112123. https://doi.org/10.1155/2024/5112123</w:t>
      </w:r>
    </w:p>
    <w:p w14:paraId="363EB97F"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lastRenderedPageBreak/>
        <w:t xml:space="preserve">Šmejkal, M., Bartoň, D., Blabolil, P., Kolařík, T., Kubečka, J., Sajdlová, Z., Souza, A. T., &amp; Brabec, M. (2023). Diverse environmental cues drive the size of reproductive aggregation in a rheophilic fish. </w:t>
      </w:r>
      <w:r w:rsidRPr="004B1DB5">
        <w:rPr>
          <w:rFonts w:ascii="Times New Roman" w:eastAsia="Times New Roman" w:hAnsi="Times New Roman" w:cs="Times New Roman"/>
          <w:i/>
        </w:rPr>
        <w:t>Movement Ecology, 11</w:t>
      </w:r>
      <w:r w:rsidRPr="004B1DB5">
        <w:rPr>
          <w:rFonts w:ascii="Times New Roman" w:eastAsia="Times New Roman" w:hAnsi="Times New Roman" w:cs="Times New Roman"/>
        </w:rPr>
        <w:t xml:space="preserve">, 16. </w:t>
      </w:r>
      <w:hyperlink r:id="rId51">
        <w:r w:rsidR="00F958A8" w:rsidRPr="004B1DB5">
          <w:rPr>
            <w:rFonts w:ascii="Times New Roman" w:eastAsia="Times New Roman" w:hAnsi="Times New Roman" w:cs="Times New Roman"/>
            <w:color w:val="000000"/>
          </w:rPr>
          <w:t>https://doi.org/10.1186/s40462-023-00379-0</w:t>
        </w:r>
      </w:hyperlink>
    </w:p>
    <w:p w14:paraId="1F5EFB41"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Sor, R., Prudencio, L., Hogan, Z. S., Chandra, S., Ngor, P. B., &amp; Null, S. E. (2024). Factors influencing fish migration in one of the world’s largest inland fisheries. </w:t>
      </w:r>
      <w:r w:rsidRPr="004B1DB5">
        <w:rPr>
          <w:rFonts w:ascii="Times New Roman" w:eastAsia="Times New Roman" w:hAnsi="Times New Roman" w:cs="Times New Roman"/>
          <w:i/>
        </w:rPr>
        <w:t>Frontiers in Freshwater Science, 2</w:t>
      </w:r>
      <w:r w:rsidRPr="004B1DB5">
        <w:rPr>
          <w:rFonts w:ascii="Times New Roman" w:eastAsia="Times New Roman" w:hAnsi="Times New Roman" w:cs="Times New Roman"/>
        </w:rPr>
        <w:t xml:space="preserve">, 1426350. </w:t>
      </w:r>
      <w:hyperlink r:id="rId52">
        <w:r w:rsidR="00F958A8" w:rsidRPr="004B1DB5">
          <w:rPr>
            <w:rFonts w:ascii="Times New Roman" w:eastAsia="Times New Roman" w:hAnsi="Times New Roman" w:cs="Times New Roman"/>
            <w:color w:val="000000"/>
          </w:rPr>
          <w:t>https://doi.org/10.3389/ffwsc.2024.1426350</w:t>
        </w:r>
      </w:hyperlink>
    </w:p>
    <w:p w14:paraId="19D9B658"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Stock, B. C., Mullen, A. D., Jaffe, J. S., Candelmo, A., Heppell, S. A., Pattengill-Semmens, C. V., McCoy, C. M., Johnson, B. C., &amp; Semmens, B. X. (2023). Protected fish spawning aggregations as self-replenishing reservoirs for regional recovery. </w:t>
      </w:r>
      <w:r w:rsidRPr="004B1DB5">
        <w:rPr>
          <w:rFonts w:ascii="Times New Roman" w:eastAsia="Times New Roman" w:hAnsi="Times New Roman" w:cs="Times New Roman"/>
          <w:i/>
        </w:rPr>
        <w:t>Proceedings of the Royal Society B: Biological Sciences, 290</w:t>
      </w:r>
      <w:r w:rsidRPr="004B1DB5">
        <w:rPr>
          <w:rFonts w:ascii="Times New Roman" w:eastAsia="Times New Roman" w:hAnsi="Times New Roman" w:cs="Times New Roman"/>
        </w:rPr>
        <w:t xml:space="preserve">, 20230551. </w:t>
      </w:r>
      <w:hyperlink r:id="rId53">
        <w:r w:rsidR="00F958A8" w:rsidRPr="004B1DB5">
          <w:rPr>
            <w:rFonts w:ascii="Times New Roman" w:eastAsia="Times New Roman" w:hAnsi="Times New Roman" w:cs="Times New Roman"/>
            <w:color w:val="000000"/>
          </w:rPr>
          <w:t>https://doi.org/10.1098/rspb.2023.0551</w:t>
        </w:r>
      </w:hyperlink>
    </w:p>
    <w:p w14:paraId="50351D9E" w14:textId="77777777" w:rsidR="00400C6A" w:rsidRPr="004B1DB5" w:rsidRDefault="00000000">
      <w:pPr>
        <w:pStyle w:val="ListParagraph"/>
        <w:spacing w:after="0" w:line="240" w:lineRule="auto"/>
        <w:ind w:hanging="720"/>
      </w:pPr>
      <w:r w:rsidRPr="004B1DB5">
        <w:rPr>
          <w:rFonts w:ascii="Times New Roman" w:eastAsia="Times New Roman" w:hAnsi="Times New Roman"/>
          <w:sz w:val="24"/>
        </w:rPr>
        <w:t xml:space="preserve">Thakur, K., Mahajan, D., Sharma, A. K., Patial, P., Kumar, S., &amp; Kumar, R. (2025). Understanding fish assemblage structure using enviro assessment techniques in a Northwestern Himalayan reservoir of Beas River basin in Himachal Pradesh (H.P.), India. </w:t>
      </w:r>
      <w:r w:rsidRPr="004B1DB5">
        <w:rPr>
          <w:rFonts w:ascii="Times New Roman" w:eastAsia="Times New Roman" w:hAnsi="Times New Roman"/>
          <w:i/>
          <w:sz w:val="24"/>
        </w:rPr>
        <w:t>Environmental Science and Pollution Research</w:t>
      </w:r>
      <w:r w:rsidRPr="004B1DB5">
        <w:rPr>
          <w:rFonts w:ascii="Times New Roman" w:eastAsia="Times New Roman" w:hAnsi="Times New Roman"/>
          <w:sz w:val="24"/>
        </w:rPr>
        <w:t>. Advance online publication. https://doi.org/10.1007/s11356-024-35742-0</w:t>
      </w:r>
    </w:p>
    <w:p w14:paraId="20BE1376"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Vanden Bossche, J.-P., &amp; Bernacsek, G. M. (1990). </w:t>
      </w:r>
      <w:r w:rsidRPr="004B1DB5">
        <w:rPr>
          <w:rFonts w:ascii="Times New Roman" w:eastAsia="Times New Roman" w:hAnsi="Times New Roman" w:cs="Times New Roman"/>
          <w:i/>
        </w:rPr>
        <w:t>Source book for the inland fishery resources of Africa: Vol. 2</w:t>
      </w:r>
      <w:r w:rsidRPr="004B1DB5">
        <w:rPr>
          <w:rFonts w:ascii="Times New Roman" w:eastAsia="Times New Roman" w:hAnsi="Times New Roman" w:cs="Times New Roman"/>
        </w:rPr>
        <w:t xml:space="preserve"> (CIFA Technical Paper No. 18/2). Food and Agriculture Organization of the United Nations. </w:t>
      </w:r>
      <w:hyperlink r:id="rId54">
        <w:r w:rsidR="00F958A8" w:rsidRPr="004B1DB5">
          <w:rPr>
            <w:rFonts w:ascii="Times New Roman" w:eastAsia="Times New Roman" w:hAnsi="Times New Roman" w:cs="Times New Roman"/>
            <w:color w:val="000000"/>
          </w:rPr>
          <w:t>https://www.fao.org/4/T0360E/T0360E00.htm</w:t>
        </w:r>
      </w:hyperlink>
    </w:p>
    <w:p w14:paraId="36FD6046"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von Bertalanffy, L. (1938). A quantitative theory of organic growth (Inquiries on growth laws. II). </w:t>
      </w:r>
      <w:r w:rsidRPr="004B1DB5">
        <w:rPr>
          <w:rFonts w:ascii="Times New Roman" w:eastAsia="Times New Roman" w:hAnsi="Times New Roman" w:cs="Times New Roman"/>
          <w:i/>
        </w:rPr>
        <w:t>Human Biology, 10</w:t>
      </w:r>
      <w:r w:rsidRPr="004B1DB5">
        <w:rPr>
          <w:rFonts w:ascii="Times New Roman" w:eastAsia="Times New Roman" w:hAnsi="Times New Roman" w:cs="Times New Roman"/>
        </w:rPr>
        <w:t xml:space="preserve">(2), 181–213. </w:t>
      </w:r>
    </w:p>
    <w:p w14:paraId="31631F11" w14:textId="77777777" w:rsidR="00F958A8" w:rsidRPr="004B1DB5" w:rsidRDefault="00000000">
      <w:pPr>
        <w:pStyle w:val="ListParagraph"/>
        <w:spacing w:after="0" w:line="240" w:lineRule="auto"/>
        <w:ind w:hanging="720"/>
      </w:pPr>
      <w:r w:rsidRPr="004B1DB5">
        <w:rPr>
          <w:rFonts w:ascii="Times New Roman" w:eastAsia="Times New Roman" w:hAnsi="Times New Roman" w:cs="Times New Roman"/>
        </w:rPr>
        <w:t xml:space="preserve">Waltham, N. J., &amp; Sheaves, M. (2026). Hydrological connectivity and habitat condition shape fish assemblages on a tropical agricultural floodplain. </w:t>
      </w:r>
      <w:r w:rsidRPr="004B1DB5">
        <w:rPr>
          <w:rFonts w:ascii="Times New Roman" w:eastAsia="Times New Roman" w:hAnsi="Times New Roman" w:cs="Times New Roman"/>
          <w:i/>
        </w:rPr>
        <w:t>ICES Journal of Marine Science, 83</w:t>
      </w:r>
      <w:r w:rsidRPr="004B1DB5">
        <w:rPr>
          <w:rFonts w:ascii="Times New Roman" w:eastAsia="Times New Roman" w:hAnsi="Times New Roman" w:cs="Times New Roman"/>
        </w:rPr>
        <w:t xml:space="preserve">(2), fsag008. </w:t>
      </w:r>
      <w:hyperlink r:id="rId55">
        <w:r w:rsidR="00F958A8" w:rsidRPr="004B1DB5">
          <w:rPr>
            <w:rFonts w:ascii="Times New Roman" w:eastAsia="Times New Roman" w:hAnsi="Times New Roman" w:cs="Times New Roman"/>
            <w:color w:val="000000"/>
          </w:rPr>
          <w:t>https://doi.org/10.1093/icesjms/fsag008</w:t>
        </w:r>
      </w:hyperlink>
    </w:p>
    <w:p w14:paraId="42ABAD83" w14:textId="77777777" w:rsidR="00F958A8" w:rsidRPr="00811001" w:rsidRDefault="00000000">
      <w:pPr>
        <w:pStyle w:val="ListParagraph"/>
        <w:spacing w:after="0" w:line="240" w:lineRule="auto"/>
        <w:ind w:hanging="720"/>
      </w:pPr>
      <w:r w:rsidRPr="004B1DB5">
        <w:rPr>
          <w:rFonts w:ascii="Times New Roman" w:eastAsia="Times New Roman" w:hAnsi="Times New Roman" w:cs="Times New Roman"/>
        </w:rPr>
        <w:t xml:space="preserve">Welcomme, R. L. (2001). </w:t>
      </w:r>
      <w:r w:rsidRPr="004B1DB5">
        <w:rPr>
          <w:rFonts w:ascii="Times New Roman" w:eastAsia="Times New Roman" w:hAnsi="Times New Roman" w:cs="Times New Roman"/>
          <w:i/>
        </w:rPr>
        <w:t>Inland fisheries: Ecology and management</w:t>
      </w:r>
      <w:r w:rsidRPr="004B1DB5">
        <w:rPr>
          <w:rFonts w:ascii="Times New Roman" w:eastAsia="Times New Roman" w:hAnsi="Times New Roman" w:cs="Times New Roman"/>
        </w:rPr>
        <w:t xml:space="preserve">. Blackwell Science. </w:t>
      </w:r>
      <w:hyperlink r:id="rId56">
        <w:r w:rsidR="00F958A8" w:rsidRPr="004B1DB5">
          <w:rPr>
            <w:rFonts w:ascii="Times New Roman" w:eastAsia="Times New Roman" w:hAnsi="Times New Roman" w:cs="Times New Roman"/>
            <w:color w:val="000000"/>
          </w:rPr>
          <w:t>https://doi.org/10.1002/9780470995693</w:t>
        </w:r>
      </w:hyperlink>
    </w:p>
    <w:sectPr w:rsidR="00F958A8" w:rsidRPr="00811001">
      <w:headerReference w:type="even" r:id="rId57"/>
      <w:headerReference w:type="default" r:id="rId58"/>
      <w:footerReference w:type="even" r:id="rId59"/>
      <w:footerReference w:type="default" r:id="rId60"/>
      <w:headerReference w:type="first" r:id="rId61"/>
      <w:footerReference w:type="first" r:id="rId6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7FE6A" w14:textId="77777777" w:rsidR="008D5675" w:rsidRDefault="008D5675" w:rsidP="00F5704C">
      <w:pPr>
        <w:spacing w:after="0" w:line="240" w:lineRule="auto"/>
      </w:pPr>
      <w:r>
        <w:separator/>
      </w:r>
    </w:p>
  </w:endnote>
  <w:endnote w:type="continuationSeparator" w:id="0">
    <w:p w14:paraId="0426D9BB" w14:textId="77777777" w:rsidR="008D5675" w:rsidRDefault="008D5675" w:rsidP="00F57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5E469" w14:textId="77777777" w:rsidR="00086402" w:rsidRDefault="00086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8A77B" w14:textId="77777777" w:rsidR="00086402" w:rsidRDefault="000864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AA0D" w14:textId="77777777" w:rsidR="00086402" w:rsidRDefault="00086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0245B" w14:textId="77777777" w:rsidR="008D5675" w:rsidRDefault="008D5675" w:rsidP="00F5704C">
      <w:pPr>
        <w:spacing w:after="0" w:line="240" w:lineRule="auto"/>
      </w:pPr>
      <w:r>
        <w:separator/>
      </w:r>
    </w:p>
  </w:footnote>
  <w:footnote w:type="continuationSeparator" w:id="0">
    <w:p w14:paraId="46F658E9" w14:textId="77777777" w:rsidR="008D5675" w:rsidRDefault="008D5675" w:rsidP="00F57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AAC2C" w14:textId="77777777" w:rsidR="00086402" w:rsidRDefault="00000000">
    <w:pPr>
      <w:pStyle w:val="Header"/>
    </w:pPr>
    <w:r>
      <w:rPr>
        <w:noProof/>
      </w:rPr>
      <w:pict w14:anchorId="0261BB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172266" o:spid="_x0000_s1026" type="#_x0000_t136" style="position:absolute;margin-left:0;margin-top:0;width:558.3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EAB2" w14:textId="77777777" w:rsidR="00086402" w:rsidRDefault="00000000">
    <w:pPr>
      <w:pStyle w:val="Header"/>
    </w:pPr>
    <w:r>
      <w:rPr>
        <w:noProof/>
      </w:rPr>
      <w:pict w14:anchorId="26EFFA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172267" o:spid="_x0000_s1027" type="#_x0000_t136" style="position:absolute;margin-left:0;margin-top:0;width:558.3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2868E" w14:textId="77777777" w:rsidR="00086402" w:rsidRDefault="00000000">
    <w:pPr>
      <w:pStyle w:val="Header"/>
    </w:pPr>
    <w:r>
      <w:rPr>
        <w:noProof/>
      </w:rPr>
      <w:pict w14:anchorId="2A9B9C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172265" o:spid="_x0000_s1025" type="#_x0000_t136" style="position:absolute;margin-left:0;margin-top:0;width:558.3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A5BAD"/>
    <w:multiLevelType w:val="hybridMultilevel"/>
    <w:tmpl w:val="83A61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E46503"/>
    <w:multiLevelType w:val="multilevel"/>
    <w:tmpl w:val="CBEE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B1661C"/>
    <w:multiLevelType w:val="multilevel"/>
    <w:tmpl w:val="2C7C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46175A3"/>
    <w:multiLevelType w:val="multilevel"/>
    <w:tmpl w:val="7AD8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1246706">
    <w:abstractNumId w:val="2"/>
  </w:num>
  <w:num w:numId="2" w16cid:durableId="1503012016">
    <w:abstractNumId w:val="3"/>
  </w:num>
  <w:num w:numId="3" w16cid:durableId="1407609263">
    <w:abstractNumId w:val="1"/>
  </w:num>
  <w:num w:numId="4" w16cid:durableId="1967617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S0NDAxNDY2MTQ3MjRV0lEKTi0uzszPAykwrAUAb7JbGCwAAAA="/>
  </w:docVars>
  <w:rsids>
    <w:rsidRoot w:val="000F7373"/>
    <w:rsid w:val="00011BEB"/>
    <w:rsid w:val="000265FC"/>
    <w:rsid w:val="0003725B"/>
    <w:rsid w:val="0004021D"/>
    <w:rsid w:val="00047C50"/>
    <w:rsid w:val="00053ECB"/>
    <w:rsid w:val="0005607E"/>
    <w:rsid w:val="00086402"/>
    <w:rsid w:val="000969B7"/>
    <w:rsid w:val="000B0DB0"/>
    <w:rsid w:val="000B1C3A"/>
    <w:rsid w:val="000B27EA"/>
    <w:rsid w:val="000C0EEF"/>
    <w:rsid w:val="000F2A6B"/>
    <w:rsid w:val="000F7373"/>
    <w:rsid w:val="00121E08"/>
    <w:rsid w:val="00137487"/>
    <w:rsid w:val="001735C4"/>
    <w:rsid w:val="001740E3"/>
    <w:rsid w:val="00186305"/>
    <w:rsid w:val="001864C6"/>
    <w:rsid w:val="00191838"/>
    <w:rsid w:val="00197617"/>
    <w:rsid w:val="001B0712"/>
    <w:rsid w:val="001C0317"/>
    <w:rsid w:val="001C3858"/>
    <w:rsid w:val="001C3891"/>
    <w:rsid w:val="001E058B"/>
    <w:rsid w:val="00202547"/>
    <w:rsid w:val="00242319"/>
    <w:rsid w:val="002444C4"/>
    <w:rsid w:val="00266B10"/>
    <w:rsid w:val="00277F08"/>
    <w:rsid w:val="00282C87"/>
    <w:rsid w:val="002F465C"/>
    <w:rsid w:val="00302D7A"/>
    <w:rsid w:val="00354309"/>
    <w:rsid w:val="00356998"/>
    <w:rsid w:val="003603A3"/>
    <w:rsid w:val="003645B9"/>
    <w:rsid w:val="003647A7"/>
    <w:rsid w:val="00372207"/>
    <w:rsid w:val="00376C93"/>
    <w:rsid w:val="00384B45"/>
    <w:rsid w:val="003A3C34"/>
    <w:rsid w:val="003B19DB"/>
    <w:rsid w:val="003C52E3"/>
    <w:rsid w:val="003C62ED"/>
    <w:rsid w:val="003C67EE"/>
    <w:rsid w:val="003D4814"/>
    <w:rsid w:val="003E284D"/>
    <w:rsid w:val="003E58EB"/>
    <w:rsid w:val="003F6A18"/>
    <w:rsid w:val="00400C6A"/>
    <w:rsid w:val="0040760C"/>
    <w:rsid w:val="00421678"/>
    <w:rsid w:val="004227FE"/>
    <w:rsid w:val="004403C1"/>
    <w:rsid w:val="004665A1"/>
    <w:rsid w:val="00472F5F"/>
    <w:rsid w:val="00487ED5"/>
    <w:rsid w:val="004A10D7"/>
    <w:rsid w:val="004B1DB5"/>
    <w:rsid w:val="004B3902"/>
    <w:rsid w:val="004B7DD3"/>
    <w:rsid w:val="004F0D5D"/>
    <w:rsid w:val="005034C7"/>
    <w:rsid w:val="005375C1"/>
    <w:rsid w:val="00552479"/>
    <w:rsid w:val="005A44C2"/>
    <w:rsid w:val="005C2910"/>
    <w:rsid w:val="005C6292"/>
    <w:rsid w:val="005C6ABB"/>
    <w:rsid w:val="005E4738"/>
    <w:rsid w:val="005E6189"/>
    <w:rsid w:val="00623B10"/>
    <w:rsid w:val="00626F16"/>
    <w:rsid w:val="00632EB4"/>
    <w:rsid w:val="00634A8E"/>
    <w:rsid w:val="006417D8"/>
    <w:rsid w:val="00646343"/>
    <w:rsid w:val="00651FA9"/>
    <w:rsid w:val="00653C44"/>
    <w:rsid w:val="006564B1"/>
    <w:rsid w:val="00660971"/>
    <w:rsid w:val="00661D69"/>
    <w:rsid w:val="00675D6B"/>
    <w:rsid w:val="006823DF"/>
    <w:rsid w:val="00684FE2"/>
    <w:rsid w:val="00686A8E"/>
    <w:rsid w:val="00692896"/>
    <w:rsid w:val="006B1ABE"/>
    <w:rsid w:val="006B6622"/>
    <w:rsid w:val="006D4B41"/>
    <w:rsid w:val="006E535E"/>
    <w:rsid w:val="006E5F7A"/>
    <w:rsid w:val="0070198C"/>
    <w:rsid w:val="007025BB"/>
    <w:rsid w:val="00710EAF"/>
    <w:rsid w:val="007244F2"/>
    <w:rsid w:val="00724E09"/>
    <w:rsid w:val="00726335"/>
    <w:rsid w:val="00750051"/>
    <w:rsid w:val="00751CF6"/>
    <w:rsid w:val="00754416"/>
    <w:rsid w:val="00755A02"/>
    <w:rsid w:val="00756F52"/>
    <w:rsid w:val="007617D7"/>
    <w:rsid w:val="007672B6"/>
    <w:rsid w:val="007751B9"/>
    <w:rsid w:val="0079404D"/>
    <w:rsid w:val="007A590D"/>
    <w:rsid w:val="007D3039"/>
    <w:rsid w:val="007E1D25"/>
    <w:rsid w:val="007E40BE"/>
    <w:rsid w:val="007E7E16"/>
    <w:rsid w:val="00801BF7"/>
    <w:rsid w:val="00811001"/>
    <w:rsid w:val="00820064"/>
    <w:rsid w:val="0082182B"/>
    <w:rsid w:val="00822FD9"/>
    <w:rsid w:val="0082603E"/>
    <w:rsid w:val="008514F7"/>
    <w:rsid w:val="00884957"/>
    <w:rsid w:val="008B6639"/>
    <w:rsid w:val="008D5675"/>
    <w:rsid w:val="008F65F7"/>
    <w:rsid w:val="009121DC"/>
    <w:rsid w:val="00947D6A"/>
    <w:rsid w:val="0099143D"/>
    <w:rsid w:val="0099280F"/>
    <w:rsid w:val="009A471D"/>
    <w:rsid w:val="009B535E"/>
    <w:rsid w:val="009B5E28"/>
    <w:rsid w:val="009C1940"/>
    <w:rsid w:val="009C1DA4"/>
    <w:rsid w:val="00A1750E"/>
    <w:rsid w:val="00A80BAE"/>
    <w:rsid w:val="00AB687A"/>
    <w:rsid w:val="00B138FB"/>
    <w:rsid w:val="00B26B8F"/>
    <w:rsid w:val="00B538D1"/>
    <w:rsid w:val="00B61570"/>
    <w:rsid w:val="00B96A7B"/>
    <w:rsid w:val="00BA6A3A"/>
    <w:rsid w:val="00BB70DB"/>
    <w:rsid w:val="00BC629E"/>
    <w:rsid w:val="00BD30A7"/>
    <w:rsid w:val="00C03981"/>
    <w:rsid w:val="00C04EA7"/>
    <w:rsid w:val="00C12CA1"/>
    <w:rsid w:val="00C5542D"/>
    <w:rsid w:val="00C60442"/>
    <w:rsid w:val="00C66B3B"/>
    <w:rsid w:val="00C724A6"/>
    <w:rsid w:val="00CB3335"/>
    <w:rsid w:val="00CD563E"/>
    <w:rsid w:val="00D1410A"/>
    <w:rsid w:val="00D209CB"/>
    <w:rsid w:val="00D829BE"/>
    <w:rsid w:val="00DB3C4C"/>
    <w:rsid w:val="00DC6FE9"/>
    <w:rsid w:val="00DE0E30"/>
    <w:rsid w:val="00DF2AA1"/>
    <w:rsid w:val="00E041D1"/>
    <w:rsid w:val="00E223CB"/>
    <w:rsid w:val="00E41621"/>
    <w:rsid w:val="00E47E0B"/>
    <w:rsid w:val="00E73750"/>
    <w:rsid w:val="00E73C69"/>
    <w:rsid w:val="00EA3E5E"/>
    <w:rsid w:val="00EB2D2C"/>
    <w:rsid w:val="00F01671"/>
    <w:rsid w:val="00F32774"/>
    <w:rsid w:val="00F51505"/>
    <w:rsid w:val="00F52D8B"/>
    <w:rsid w:val="00F5704C"/>
    <w:rsid w:val="00F83CE2"/>
    <w:rsid w:val="00F958A8"/>
    <w:rsid w:val="00FA563A"/>
    <w:rsid w:val="00FE41B0"/>
    <w:rsid w:val="00FF3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76BE1"/>
  <w15:chartTrackingRefBased/>
  <w15:docId w15:val="{4ADBE930-6446-4684-B998-18184BDC2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23B10"/>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paragraph" w:styleId="Heading3">
    <w:name w:val="heading 3"/>
    <w:basedOn w:val="Normal"/>
    <w:link w:val="Heading3Char"/>
    <w:uiPriority w:val="9"/>
    <w:qFormat/>
    <w:rsid w:val="00623B10"/>
    <w:pPr>
      <w:spacing w:before="100" w:beforeAutospacing="1" w:after="100" w:afterAutospacing="1" w:line="240" w:lineRule="auto"/>
      <w:outlineLvl w:val="2"/>
    </w:pPr>
    <w:rPr>
      <w:rFonts w:ascii="Times New Roman" w:eastAsia="Times New Roman" w:hAnsi="Times New Roman" w:cs="Times New Roman"/>
      <w:b/>
      <w:bCs/>
      <w:sz w:val="27"/>
      <w:szCs w:val="27"/>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22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72207"/>
    <w:rPr>
      <w:color w:val="0000FF"/>
      <w:u w:val="single"/>
    </w:rPr>
  </w:style>
  <w:style w:type="character" w:customStyle="1" w:styleId="Heading2Char">
    <w:name w:val="Heading 2 Char"/>
    <w:basedOn w:val="DefaultParagraphFont"/>
    <w:link w:val="Heading2"/>
    <w:uiPriority w:val="9"/>
    <w:rsid w:val="00623B10"/>
    <w:rPr>
      <w:rFonts w:ascii="Times New Roman" w:eastAsia="Times New Roman" w:hAnsi="Times New Roman" w:cs="Times New Roman"/>
      <w:b/>
      <w:bCs/>
      <w:sz w:val="36"/>
      <w:szCs w:val="36"/>
      <w:lang w:val="fr-FR" w:eastAsia="fr-FR"/>
    </w:rPr>
  </w:style>
  <w:style w:type="character" w:customStyle="1" w:styleId="Heading3Char">
    <w:name w:val="Heading 3 Char"/>
    <w:basedOn w:val="DefaultParagraphFont"/>
    <w:link w:val="Heading3"/>
    <w:uiPriority w:val="9"/>
    <w:rsid w:val="00623B10"/>
    <w:rPr>
      <w:rFonts w:ascii="Times New Roman" w:eastAsia="Times New Roman" w:hAnsi="Times New Roman" w:cs="Times New Roman"/>
      <w:b/>
      <w:bCs/>
      <w:sz w:val="27"/>
      <w:szCs w:val="27"/>
      <w:lang w:val="fr-FR" w:eastAsia="fr-FR"/>
    </w:rPr>
  </w:style>
  <w:style w:type="character" w:styleId="Strong">
    <w:name w:val="Strong"/>
    <w:basedOn w:val="DefaultParagraphFont"/>
    <w:uiPriority w:val="22"/>
    <w:qFormat/>
    <w:rsid w:val="00623B10"/>
    <w:rPr>
      <w:b/>
      <w:bCs/>
    </w:rPr>
  </w:style>
  <w:style w:type="character" w:styleId="Emphasis">
    <w:name w:val="Emphasis"/>
    <w:basedOn w:val="DefaultParagraphFont"/>
    <w:uiPriority w:val="20"/>
    <w:qFormat/>
    <w:rsid w:val="00623B10"/>
    <w:rPr>
      <w:i/>
      <w:iCs/>
    </w:rPr>
  </w:style>
  <w:style w:type="character" w:styleId="CommentReference">
    <w:name w:val="annotation reference"/>
    <w:basedOn w:val="DefaultParagraphFont"/>
    <w:uiPriority w:val="99"/>
    <w:semiHidden/>
    <w:unhideWhenUsed/>
    <w:rsid w:val="000B27EA"/>
    <w:rPr>
      <w:sz w:val="16"/>
      <w:szCs w:val="16"/>
    </w:rPr>
  </w:style>
  <w:style w:type="paragraph" w:styleId="CommentText">
    <w:name w:val="annotation text"/>
    <w:basedOn w:val="Normal"/>
    <w:link w:val="CommentTextChar"/>
    <w:uiPriority w:val="99"/>
    <w:semiHidden/>
    <w:unhideWhenUsed/>
    <w:rsid w:val="000B27EA"/>
    <w:pPr>
      <w:spacing w:line="240" w:lineRule="auto"/>
    </w:pPr>
    <w:rPr>
      <w:sz w:val="20"/>
      <w:szCs w:val="20"/>
    </w:rPr>
  </w:style>
  <w:style w:type="character" w:customStyle="1" w:styleId="CommentTextChar">
    <w:name w:val="Comment Text Char"/>
    <w:basedOn w:val="DefaultParagraphFont"/>
    <w:link w:val="CommentText"/>
    <w:uiPriority w:val="99"/>
    <w:semiHidden/>
    <w:rsid w:val="000B27EA"/>
    <w:rPr>
      <w:sz w:val="20"/>
      <w:szCs w:val="20"/>
    </w:rPr>
  </w:style>
  <w:style w:type="paragraph" w:styleId="CommentSubject">
    <w:name w:val="annotation subject"/>
    <w:basedOn w:val="CommentText"/>
    <w:next w:val="CommentText"/>
    <w:link w:val="CommentSubjectChar"/>
    <w:uiPriority w:val="99"/>
    <w:semiHidden/>
    <w:unhideWhenUsed/>
    <w:rsid w:val="000B27EA"/>
    <w:rPr>
      <w:b/>
      <w:bCs/>
    </w:rPr>
  </w:style>
  <w:style w:type="character" w:customStyle="1" w:styleId="CommentSubjectChar">
    <w:name w:val="Comment Subject Char"/>
    <w:basedOn w:val="CommentTextChar"/>
    <w:link w:val="CommentSubject"/>
    <w:uiPriority w:val="99"/>
    <w:semiHidden/>
    <w:rsid w:val="000B27EA"/>
    <w:rPr>
      <w:b/>
      <w:bCs/>
      <w:sz w:val="20"/>
      <w:szCs w:val="20"/>
    </w:rPr>
  </w:style>
  <w:style w:type="paragraph" w:styleId="BalloonText">
    <w:name w:val="Balloon Text"/>
    <w:basedOn w:val="Normal"/>
    <w:link w:val="BalloonTextChar"/>
    <w:uiPriority w:val="99"/>
    <w:semiHidden/>
    <w:unhideWhenUsed/>
    <w:rsid w:val="00634A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A8E"/>
    <w:rPr>
      <w:rFonts w:ascii="Segoe UI" w:hAnsi="Segoe UI" w:cs="Segoe UI"/>
      <w:sz w:val="18"/>
      <w:szCs w:val="18"/>
    </w:rPr>
  </w:style>
  <w:style w:type="character" w:customStyle="1" w:styleId="fontstyle01">
    <w:name w:val="fontstyle01"/>
    <w:basedOn w:val="DefaultParagraphFont"/>
    <w:rsid w:val="005A44C2"/>
    <w:rPr>
      <w:rFonts w:ascii="TimesNewRomanPSMT" w:hAnsi="TimesNewRomanPSMT" w:hint="default"/>
      <w:b w:val="0"/>
      <w:bCs w:val="0"/>
      <w:i w:val="0"/>
      <w:iCs w:val="0"/>
      <w:color w:val="222222"/>
      <w:sz w:val="20"/>
      <w:szCs w:val="20"/>
    </w:rPr>
  </w:style>
  <w:style w:type="paragraph" w:styleId="Revision">
    <w:name w:val="Revision"/>
    <w:hidden/>
    <w:uiPriority w:val="99"/>
    <w:semiHidden/>
    <w:rsid w:val="005C2910"/>
    <w:pPr>
      <w:spacing w:after="0" w:line="240" w:lineRule="auto"/>
    </w:pPr>
  </w:style>
  <w:style w:type="character" w:customStyle="1" w:styleId="UnresolvedMention1">
    <w:name w:val="Unresolved Mention1"/>
    <w:basedOn w:val="DefaultParagraphFont"/>
    <w:uiPriority w:val="99"/>
    <w:semiHidden/>
    <w:unhideWhenUsed/>
    <w:rsid w:val="005C2910"/>
    <w:rPr>
      <w:color w:val="605E5C"/>
      <w:shd w:val="clear" w:color="auto" w:fill="E1DFDD"/>
    </w:rPr>
  </w:style>
  <w:style w:type="paragraph" w:styleId="Header">
    <w:name w:val="header"/>
    <w:basedOn w:val="Normal"/>
    <w:link w:val="HeaderChar"/>
    <w:uiPriority w:val="99"/>
    <w:unhideWhenUsed/>
    <w:rsid w:val="00F570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04C"/>
  </w:style>
  <w:style w:type="paragraph" w:styleId="Footer">
    <w:name w:val="footer"/>
    <w:basedOn w:val="Normal"/>
    <w:link w:val="FooterChar"/>
    <w:uiPriority w:val="99"/>
    <w:unhideWhenUsed/>
    <w:rsid w:val="00F570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04C"/>
  </w:style>
  <w:style w:type="character" w:customStyle="1" w:styleId="fontstyle21">
    <w:name w:val="fontstyle21"/>
    <w:basedOn w:val="DefaultParagraphFont"/>
    <w:rsid w:val="00CB3335"/>
    <w:rPr>
      <w:rFonts w:ascii="TimesNewRomanPSMT" w:hAnsi="TimesNewRomanPSMT" w:hint="default"/>
      <w:b w:val="0"/>
      <w:bCs w:val="0"/>
      <w:i w:val="0"/>
      <w:iCs w:val="0"/>
      <w:color w:val="000000"/>
      <w:sz w:val="24"/>
      <w:szCs w:val="24"/>
    </w:rPr>
  </w:style>
  <w:style w:type="character" w:customStyle="1" w:styleId="infolabel">
    <w:name w:val="info_label"/>
    <w:basedOn w:val="DefaultParagraphFont"/>
    <w:rsid w:val="00801BF7"/>
  </w:style>
  <w:style w:type="character" w:customStyle="1" w:styleId="infovalue">
    <w:name w:val="info_value"/>
    <w:basedOn w:val="DefaultParagraphFont"/>
    <w:rsid w:val="00801BF7"/>
  </w:style>
  <w:style w:type="character" w:customStyle="1" w:styleId="fontstyle31">
    <w:name w:val="fontstyle31"/>
    <w:basedOn w:val="DefaultParagraphFont"/>
    <w:rsid w:val="00E223CB"/>
    <w:rPr>
      <w:rFonts w:ascii="TimesNewRomanPS-ItalicMT" w:hAnsi="TimesNewRomanPS-ItalicMT" w:hint="default"/>
      <w:b w:val="0"/>
      <w:bCs w:val="0"/>
      <w:i/>
      <w:iCs/>
      <w:color w:val="000000"/>
      <w:sz w:val="24"/>
      <w:szCs w:val="24"/>
    </w:rPr>
  </w:style>
  <w:style w:type="paragraph" w:styleId="ListParagraph">
    <w:name w:val="List Paragraph"/>
    <w:basedOn w:val="Normal"/>
    <w:uiPriority w:val="34"/>
    <w:qFormat/>
    <w:rsid w:val="00053ECB"/>
    <w:pPr>
      <w:ind w:left="720"/>
      <w:contextualSpacing/>
    </w:pPr>
  </w:style>
  <w:style w:type="paragraph" w:customStyle="1" w:styleId="pdq2pgselectionanchorcontainer">
    <w:name w:val="pdq2pg_selectionanchorcontainer"/>
    <w:basedOn w:val="Normal"/>
    <w:rsid w:val="003569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1124">
      <w:bodyDiv w:val="1"/>
      <w:marLeft w:val="0"/>
      <w:marRight w:val="0"/>
      <w:marTop w:val="0"/>
      <w:marBottom w:val="0"/>
      <w:divBdr>
        <w:top w:val="none" w:sz="0" w:space="0" w:color="auto"/>
        <w:left w:val="none" w:sz="0" w:space="0" w:color="auto"/>
        <w:bottom w:val="none" w:sz="0" w:space="0" w:color="auto"/>
        <w:right w:val="none" w:sz="0" w:space="0" w:color="auto"/>
      </w:divBdr>
    </w:div>
    <w:div w:id="65618354">
      <w:bodyDiv w:val="1"/>
      <w:marLeft w:val="0"/>
      <w:marRight w:val="0"/>
      <w:marTop w:val="0"/>
      <w:marBottom w:val="0"/>
      <w:divBdr>
        <w:top w:val="none" w:sz="0" w:space="0" w:color="auto"/>
        <w:left w:val="none" w:sz="0" w:space="0" w:color="auto"/>
        <w:bottom w:val="none" w:sz="0" w:space="0" w:color="auto"/>
        <w:right w:val="none" w:sz="0" w:space="0" w:color="auto"/>
      </w:divBdr>
    </w:div>
    <w:div w:id="76220750">
      <w:bodyDiv w:val="1"/>
      <w:marLeft w:val="0"/>
      <w:marRight w:val="0"/>
      <w:marTop w:val="0"/>
      <w:marBottom w:val="0"/>
      <w:divBdr>
        <w:top w:val="none" w:sz="0" w:space="0" w:color="auto"/>
        <w:left w:val="none" w:sz="0" w:space="0" w:color="auto"/>
        <w:bottom w:val="none" w:sz="0" w:space="0" w:color="auto"/>
        <w:right w:val="none" w:sz="0" w:space="0" w:color="auto"/>
      </w:divBdr>
    </w:div>
    <w:div w:id="88084875">
      <w:bodyDiv w:val="1"/>
      <w:marLeft w:val="0"/>
      <w:marRight w:val="0"/>
      <w:marTop w:val="0"/>
      <w:marBottom w:val="0"/>
      <w:divBdr>
        <w:top w:val="none" w:sz="0" w:space="0" w:color="auto"/>
        <w:left w:val="none" w:sz="0" w:space="0" w:color="auto"/>
        <w:bottom w:val="none" w:sz="0" w:space="0" w:color="auto"/>
        <w:right w:val="none" w:sz="0" w:space="0" w:color="auto"/>
      </w:divBdr>
    </w:div>
    <w:div w:id="88939960">
      <w:bodyDiv w:val="1"/>
      <w:marLeft w:val="0"/>
      <w:marRight w:val="0"/>
      <w:marTop w:val="0"/>
      <w:marBottom w:val="0"/>
      <w:divBdr>
        <w:top w:val="none" w:sz="0" w:space="0" w:color="auto"/>
        <w:left w:val="none" w:sz="0" w:space="0" w:color="auto"/>
        <w:bottom w:val="none" w:sz="0" w:space="0" w:color="auto"/>
        <w:right w:val="none" w:sz="0" w:space="0" w:color="auto"/>
      </w:divBdr>
    </w:div>
    <w:div w:id="269897946">
      <w:bodyDiv w:val="1"/>
      <w:marLeft w:val="0"/>
      <w:marRight w:val="0"/>
      <w:marTop w:val="0"/>
      <w:marBottom w:val="0"/>
      <w:divBdr>
        <w:top w:val="none" w:sz="0" w:space="0" w:color="auto"/>
        <w:left w:val="none" w:sz="0" w:space="0" w:color="auto"/>
        <w:bottom w:val="none" w:sz="0" w:space="0" w:color="auto"/>
        <w:right w:val="none" w:sz="0" w:space="0" w:color="auto"/>
      </w:divBdr>
    </w:div>
    <w:div w:id="291208140">
      <w:bodyDiv w:val="1"/>
      <w:marLeft w:val="0"/>
      <w:marRight w:val="0"/>
      <w:marTop w:val="0"/>
      <w:marBottom w:val="0"/>
      <w:divBdr>
        <w:top w:val="none" w:sz="0" w:space="0" w:color="auto"/>
        <w:left w:val="none" w:sz="0" w:space="0" w:color="auto"/>
        <w:bottom w:val="none" w:sz="0" w:space="0" w:color="auto"/>
        <w:right w:val="none" w:sz="0" w:space="0" w:color="auto"/>
      </w:divBdr>
    </w:div>
    <w:div w:id="316804070">
      <w:bodyDiv w:val="1"/>
      <w:marLeft w:val="0"/>
      <w:marRight w:val="0"/>
      <w:marTop w:val="0"/>
      <w:marBottom w:val="0"/>
      <w:divBdr>
        <w:top w:val="none" w:sz="0" w:space="0" w:color="auto"/>
        <w:left w:val="none" w:sz="0" w:space="0" w:color="auto"/>
        <w:bottom w:val="none" w:sz="0" w:space="0" w:color="auto"/>
        <w:right w:val="none" w:sz="0" w:space="0" w:color="auto"/>
      </w:divBdr>
    </w:div>
    <w:div w:id="331833014">
      <w:bodyDiv w:val="1"/>
      <w:marLeft w:val="0"/>
      <w:marRight w:val="0"/>
      <w:marTop w:val="0"/>
      <w:marBottom w:val="0"/>
      <w:divBdr>
        <w:top w:val="none" w:sz="0" w:space="0" w:color="auto"/>
        <w:left w:val="none" w:sz="0" w:space="0" w:color="auto"/>
        <w:bottom w:val="none" w:sz="0" w:space="0" w:color="auto"/>
        <w:right w:val="none" w:sz="0" w:space="0" w:color="auto"/>
      </w:divBdr>
    </w:div>
    <w:div w:id="370500311">
      <w:bodyDiv w:val="1"/>
      <w:marLeft w:val="0"/>
      <w:marRight w:val="0"/>
      <w:marTop w:val="0"/>
      <w:marBottom w:val="0"/>
      <w:divBdr>
        <w:top w:val="none" w:sz="0" w:space="0" w:color="auto"/>
        <w:left w:val="none" w:sz="0" w:space="0" w:color="auto"/>
        <w:bottom w:val="none" w:sz="0" w:space="0" w:color="auto"/>
        <w:right w:val="none" w:sz="0" w:space="0" w:color="auto"/>
      </w:divBdr>
    </w:div>
    <w:div w:id="381639102">
      <w:bodyDiv w:val="1"/>
      <w:marLeft w:val="0"/>
      <w:marRight w:val="0"/>
      <w:marTop w:val="0"/>
      <w:marBottom w:val="0"/>
      <w:divBdr>
        <w:top w:val="none" w:sz="0" w:space="0" w:color="auto"/>
        <w:left w:val="none" w:sz="0" w:space="0" w:color="auto"/>
        <w:bottom w:val="none" w:sz="0" w:space="0" w:color="auto"/>
        <w:right w:val="none" w:sz="0" w:space="0" w:color="auto"/>
      </w:divBdr>
    </w:div>
    <w:div w:id="404255598">
      <w:bodyDiv w:val="1"/>
      <w:marLeft w:val="0"/>
      <w:marRight w:val="0"/>
      <w:marTop w:val="0"/>
      <w:marBottom w:val="0"/>
      <w:divBdr>
        <w:top w:val="none" w:sz="0" w:space="0" w:color="auto"/>
        <w:left w:val="none" w:sz="0" w:space="0" w:color="auto"/>
        <w:bottom w:val="none" w:sz="0" w:space="0" w:color="auto"/>
        <w:right w:val="none" w:sz="0" w:space="0" w:color="auto"/>
      </w:divBdr>
    </w:div>
    <w:div w:id="435635347">
      <w:bodyDiv w:val="1"/>
      <w:marLeft w:val="0"/>
      <w:marRight w:val="0"/>
      <w:marTop w:val="0"/>
      <w:marBottom w:val="0"/>
      <w:divBdr>
        <w:top w:val="none" w:sz="0" w:space="0" w:color="auto"/>
        <w:left w:val="none" w:sz="0" w:space="0" w:color="auto"/>
        <w:bottom w:val="none" w:sz="0" w:space="0" w:color="auto"/>
        <w:right w:val="none" w:sz="0" w:space="0" w:color="auto"/>
      </w:divBdr>
    </w:div>
    <w:div w:id="563370359">
      <w:bodyDiv w:val="1"/>
      <w:marLeft w:val="0"/>
      <w:marRight w:val="0"/>
      <w:marTop w:val="0"/>
      <w:marBottom w:val="0"/>
      <w:divBdr>
        <w:top w:val="none" w:sz="0" w:space="0" w:color="auto"/>
        <w:left w:val="none" w:sz="0" w:space="0" w:color="auto"/>
        <w:bottom w:val="none" w:sz="0" w:space="0" w:color="auto"/>
        <w:right w:val="none" w:sz="0" w:space="0" w:color="auto"/>
      </w:divBdr>
    </w:div>
    <w:div w:id="601955816">
      <w:bodyDiv w:val="1"/>
      <w:marLeft w:val="0"/>
      <w:marRight w:val="0"/>
      <w:marTop w:val="0"/>
      <w:marBottom w:val="0"/>
      <w:divBdr>
        <w:top w:val="none" w:sz="0" w:space="0" w:color="auto"/>
        <w:left w:val="none" w:sz="0" w:space="0" w:color="auto"/>
        <w:bottom w:val="none" w:sz="0" w:space="0" w:color="auto"/>
        <w:right w:val="none" w:sz="0" w:space="0" w:color="auto"/>
      </w:divBdr>
    </w:div>
    <w:div w:id="622466100">
      <w:bodyDiv w:val="1"/>
      <w:marLeft w:val="0"/>
      <w:marRight w:val="0"/>
      <w:marTop w:val="0"/>
      <w:marBottom w:val="0"/>
      <w:divBdr>
        <w:top w:val="none" w:sz="0" w:space="0" w:color="auto"/>
        <w:left w:val="none" w:sz="0" w:space="0" w:color="auto"/>
        <w:bottom w:val="none" w:sz="0" w:space="0" w:color="auto"/>
        <w:right w:val="none" w:sz="0" w:space="0" w:color="auto"/>
      </w:divBdr>
    </w:div>
    <w:div w:id="637731892">
      <w:bodyDiv w:val="1"/>
      <w:marLeft w:val="0"/>
      <w:marRight w:val="0"/>
      <w:marTop w:val="0"/>
      <w:marBottom w:val="0"/>
      <w:divBdr>
        <w:top w:val="none" w:sz="0" w:space="0" w:color="auto"/>
        <w:left w:val="none" w:sz="0" w:space="0" w:color="auto"/>
        <w:bottom w:val="none" w:sz="0" w:space="0" w:color="auto"/>
        <w:right w:val="none" w:sz="0" w:space="0" w:color="auto"/>
      </w:divBdr>
    </w:div>
    <w:div w:id="687680334">
      <w:bodyDiv w:val="1"/>
      <w:marLeft w:val="0"/>
      <w:marRight w:val="0"/>
      <w:marTop w:val="0"/>
      <w:marBottom w:val="0"/>
      <w:divBdr>
        <w:top w:val="none" w:sz="0" w:space="0" w:color="auto"/>
        <w:left w:val="none" w:sz="0" w:space="0" w:color="auto"/>
        <w:bottom w:val="none" w:sz="0" w:space="0" w:color="auto"/>
        <w:right w:val="none" w:sz="0" w:space="0" w:color="auto"/>
      </w:divBdr>
    </w:div>
    <w:div w:id="693962296">
      <w:bodyDiv w:val="1"/>
      <w:marLeft w:val="0"/>
      <w:marRight w:val="0"/>
      <w:marTop w:val="0"/>
      <w:marBottom w:val="0"/>
      <w:divBdr>
        <w:top w:val="none" w:sz="0" w:space="0" w:color="auto"/>
        <w:left w:val="none" w:sz="0" w:space="0" w:color="auto"/>
        <w:bottom w:val="none" w:sz="0" w:space="0" w:color="auto"/>
        <w:right w:val="none" w:sz="0" w:space="0" w:color="auto"/>
      </w:divBdr>
    </w:div>
    <w:div w:id="714356845">
      <w:bodyDiv w:val="1"/>
      <w:marLeft w:val="0"/>
      <w:marRight w:val="0"/>
      <w:marTop w:val="0"/>
      <w:marBottom w:val="0"/>
      <w:divBdr>
        <w:top w:val="none" w:sz="0" w:space="0" w:color="auto"/>
        <w:left w:val="none" w:sz="0" w:space="0" w:color="auto"/>
        <w:bottom w:val="none" w:sz="0" w:space="0" w:color="auto"/>
        <w:right w:val="none" w:sz="0" w:space="0" w:color="auto"/>
      </w:divBdr>
    </w:div>
    <w:div w:id="720324711">
      <w:bodyDiv w:val="1"/>
      <w:marLeft w:val="0"/>
      <w:marRight w:val="0"/>
      <w:marTop w:val="0"/>
      <w:marBottom w:val="0"/>
      <w:divBdr>
        <w:top w:val="none" w:sz="0" w:space="0" w:color="auto"/>
        <w:left w:val="none" w:sz="0" w:space="0" w:color="auto"/>
        <w:bottom w:val="none" w:sz="0" w:space="0" w:color="auto"/>
        <w:right w:val="none" w:sz="0" w:space="0" w:color="auto"/>
      </w:divBdr>
    </w:div>
    <w:div w:id="766847393">
      <w:bodyDiv w:val="1"/>
      <w:marLeft w:val="0"/>
      <w:marRight w:val="0"/>
      <w:marTop w:val="0"/>
      <w:marBottom w:val="0"/>
      <w:divBdr>
        <w:top w:val="none" w:sz="0" w:space="0" w:color="auto"/>
        <w:left w:val="none" w:sz="0" w:space="0" w:color="auto"/>
        <w:bottom w:val="none" w:sz="0" w:space="0" w:color="auto"/>
        <w:right w:val="none" w:sz="0" w:space="0" w:color="auto"/>
      </w:divBdr>
    </w:div>
    <w:div w:id="907764449">
      <w:bodyDiv w:val="1"/>
      <w:marLeft w:val="0"/>
      <w:marRight w:val="0"/>
      <w:marTop w:val="0"/>
      <w:marBottom w:val="0"/>
      <w:divBdr>
        <w:top w:val="none" w:sz="0" w:space="0" w:color="auto"/>
        <w:left w:val="none" w:sz="0" w:space="0" w:color="auto"/>
        <w:bottom w:val="none" w:sz="0" w:space="0" w:color="auto"/>
        <w:right w:val="none" w:sz="0" w:space="0" w:color="auto"/>
      </w:divBdr>
    </w:div>
    <w:div w:id="912470698">
      <w:bodyDiv w:val="1"/>
      <w:marLeft w:val="0"/>
      <w:marRight w:val="0"/>
      <w:marTop w:val="0"/>
      <w:marBottom w:val="0"/>
      <w:divBdr>
        <w:top w:val="none" w:sz="0" w:space="0" w:color="auto"/>
        <w:left w:val="none" w:sz="0" w:space="0" w:color="auto"/>
        <w:bottom w:val="none" w:sz="0" w:space="0" w:color="auto"/>
        <w:right w:val="none" w:sz="0" w:space="0" w:color="auto"/>
      </w:divBdr>
    </w:div>
    <w:div w:id="991182471">
      <w:bodyDiv w:val="1"/>
      <w:marLeft w:val="0"/>
      <w:marRight w:val="0"/>
      <w:marTop w:val="0"/>
      <w:marBottom w:val="0"/>
      <w:divBdr>
        <w:top w:val="none" w:sz="0" w:space="0" w:color="auto"/>
        <w:left w:val="none" w:sz="0" w:space="0" w:color="auto"/>
        <w:bottom w:val="none" w:sz="0" w:space="0" w:color="auto"/>
        <w:right w:val="none" w:sz="0" w:space="0" w:color="auto"/>
      </w:divBdr>
    </w:div>
    <w:div w:id="1019698046">
      <w:bodyDiv w:val="1"/>
      <w:marLeft w:val="0"/>
      <w:marRight w:val="0"/>
      <w:marTop w:val="0"/>
      <w:marBottom w:val="0"/>
      <w:divBdr>
        <w:top w:val="none" w:sz="0" w:space="0" w:color="auto"/>
        <w:left w:val="none" w:sz="0" w:space="0" w:color="auto"/>
        <w:bottom w:val="none" w:sz="0" w:space="0" w:color="auto"/>
        <w:right w:val="none" w:sz="0" w:space="0" w:color="auto"/>
      </w:divBdr>
    </w:div>
    <w:div w:id="1153522747">
      <w:bodyDiv w:val="1"/>
      <w:marLeft w:val="0"/>
      <w:marRight w:val="0"/>
      <w:marTop w:val="0"/>
      <w:marBottom w:val="0"/>
      <w:divBdr>
        <w:top w:val="none" w:sz="0" w:space="0" w:color="auto"/>
        <w:left w:val="none" w:sz="0" w:space="0" w:color="auto"/>
        <w:bottom w:val="none" w:sz="0" w:space="0" w:color="auto"/>
        <w:right w:val="none" w:sz="0" w:space="0" w:color="auto"/>
      </w:divBdr>
    </w:div>
    <w:div w:id="1168984968">
      <w:bodyDiv w:val="1"/>
      <w:marLeft w:val="0"/>
      <w:marRight w:val="0"/>
      <w:marTop w:val="0"/>
      <w:marBottom w:val="0"/>
      <w:divBdr>
        <w:top w:val="none" w:sz="0" w:space="0" w:color="auto"/>
        <w:left w:val="none" w:sz="0" w:space="0" w:color="auto"/>
        <w:bottom w:val="none" w:sz="0" w:space="0" w:color="auto"/>
        <w:right w:val="none" w:sz="0" w:space="0" w:color="auto"/>
      </w:divBdr>
      <w:divsChild>
        <w:div w:id="1838769621">
          <w:blockQuote w:val="1"/>
          <w:marLeft w:val="0"/>
          <w:marRight w:val="0"/>
          <w:marTop w:val="0"/>
          <w:marBottom w:val="0"/>
          <w:divBdr>
            <w:top w:val="single" w:sz="2" w:space="0" w:color="auto"/>
            <w:left w:val="single" w:sz="24" w:space="9" w:color="EAEAEA"/>
            <w:bottom w:val="single" w:sz="2" w:space="0" w:color="auto"/>
            <w:right w:val="single" w:sz="2" w:space="0" w:color="auto"/>
          </w:divBdr>
        </w:div>
      </w:divsChild>
    </w:div>
    <w:div w:id="1232888310">
      <w:bodyDiv w:val="1"/>
      <w:marLeft w:val="0"/>
      <w:marRight w:val="0"/>
      <w:marTop w:val="0"/>
      <w:marBottom w:val="0"/>
      <w:divBdr>
        <w:top w:val="none" w:sz="0" w:space="0" w:color="auto"/>
        <w:left w:val="none" w:sz="0" w:space="0" w:color="auto"/>
        <w:bottom w:val="none" w:sz="0" w:space="0" w:color="auto"/>
        <w:right w:val="none" w:sz="0" w:space="0" w:color="auto"/>
      </w:divBdr>
    </w:div>
    <w:div w:id="1235428416">
      <w:bodyDiv w:val="1"/>
      <w:marLeft w:val="0"/>
      <w:marRight w:val="0"/>
      <w:marTop w:val="0"/>
      <w:marBottom w:val="0"/>
      <w:divBdr>
        <w:top w:val="none" w:sz="0" w:space="0" w:color="auto"/>
        <w:left w:val="none" w:sz="0" w:space="0" w:color="auto"/>
        <w:bottom w:val="none" w:sz="0" w:space="0" w:color="auto"/>
        <w:right w:val="none" w:sz="0" w:space="0" w:color="auto"/>
      </w:divBdr>
    </w:div>
    <w:div w:id="1236816181">
      <w:bodyDiv w:val="1"/>
      <w:marLeft w:val="0"/>
      <w:marRight w:val="0"/>
      <w:marTop w:val="0"/>
      <w:marBottom w:val="0"/>
      <w:divBdr>
        <w:top w:val="none" w:sz="0" w:space="0" w:color="auto"/>
        <w:left w:val="none" w:sz="0" w:space="0" w:color="auto"/>
        <w:bottom w:val="none" w:sz="0" w:space="0" w:color="auto"/>
        <w:right w:val="none" w:sz="0" w:space="0" w:color="auto"/>
      </w:divBdr>
    </w:div>
    <w:div w:id="1266963415">
      <w:bodyDiv w:val="1"/>
      <w:marLeft w:val="0"/>
      <w:marRight w:val="0"/>
      <w:marTop w:val="0"/>
      <w:marBottom w:val="0"/>
      <w:divBdr>
        <w:top w:val="none" w:sz="0" w:space="0" w:color="auto"/>
        <w:left w:val="none" w:sz="0" w:space="0" w:color="auto"/>
        <w:bottom w:val="none" w:sz="0" w:space="0" w:color="auto"/>
        <w:right w:val="none" w:sz="0" w:space="0" w:color="auto"/>
      </w:divBdr>
    </w:div>
    <w:div w:id="1269387733">
      <w:bodyDiv w:val="1"/>
      <w:marLeft w:val="0"/>
      <w:marRight w:val="0"/>
      <w:marTop w:val="0"/>
      <w:marBottom w:val="0"/>
      <w:divBdr>
        <w:top w:val="none" w:sz="0" w:space="0" w:color="auto"/>
        <w:left w:val="none" w:sz="0" w:space="0" w:color="auto"/>
        <w:bottom w:val="none" w:sz="0" w:space="0" w:color="auto"/>
        <w:right w:val="none" w:sz="0" w:space="0" w:color="auto"/>
      </w:divBdr>
    </w:div>
    <w:div w:id="1334340681">
      <w:bodyDiv w:val="1"/>
      <w:marLeft w:val="0"/>
      <w:marRight w:val="0"/>
      <w:marTop w:val="0"/>
      <w:marBottom w:val="0"/>
      <w:divBdr>
        <w:top w:val="none" w:sz="0" w:space="0" w:color="auto"/>
        <w:left w:val="none" w:sz="0" w:space="0" w:color="auto"/>
        <w:bottom w:val="none" w:sz="0" w:space="0" w:color="auto"/>
        <w:right w:val="none" w:sz="0" w:space="0" w:color="auto"/>
      </w:divBdr>
    </w:div>
    <w:div w:id="1375419969">
      <w:bodyDiv w:val="1"/>
      <w:marLeft w:val="0"/>
      <w:marRight w:val="0"/>
      <w:marTop w:val="0"/>
      <w:marBottom w:val="0"/>
      <w:divBdr>
        <w:top w:val="none" w:sz="0" w:space="0" w:color="auto"/>
        <w:left w:val="none" w:sz="0" w:space="0" w:color="auto"/>
        <w:bottom w:val="none" w:sz="0" w:space="0" w:color="auto"/>
        <w:right w:val="none" w:sz="0" w:space="0" w:color="auto"/>
      </w:divBdr>
    </w:div>
    <w:div w:id="1471900115">
      <w:bodyDiv w:val="1"/>
      <w:marLeft w:val="0"/>
      <w:marRight w:val="0"/>
      <w:marTop w:val="0"/>
      <w:marBottom w:val="0"/>
      <w:divBdr>
        <w:top w:val="none" w:sz="0" w:space="0" w:color="auto"/>
        <w:left w:val="none" w:sz="0" w:space="0" w:color="auto"/>
        <w:bottom w:val="none" w:sz="0" w:space="0" w:color="auto"/>
        <w:right w:val="none" w:sz="0" w:space="0" w:color="auto"/>
      </w:divBdr>
    </w:div>
    <w:div w:id="1536504571">
      <w:bodyDiv w:val="1"/>
      <w:marLeft w:val="0"/>
      <w:marRight w:val="0"/>
      <w:marTop w:val="0"/>
      <w:marBottom w:val="0"/>
      <w:divBdr>
        <w:top w:val="none" w:sz="0" w:space="0" w:color="auto"/>
        <w:left w:val="none" w:sz="0" w:space="0" w:color="auto"/>
        <w:bottom w:val="none" w:sz="0" w:space="0" w:color="auto"/>
        <w:right w:val="none" w:sz="0" w:space="0" w:color="auto"/>
      </w:divBdr>
    </w:div>
    <w:div w:id="1573731620">
      <w:bodyDiv w:val="1"/>
      <w:marLeft w:val="0"/>
      <w:marRight w:val="0"/>
      <w:marTop w:val="0"/>
      <w:marBottom w:val="0"/>
      <w:divBdr>
        <w:top w:val="none" w:sz="0" w:space="0" w:color="auto"/>
        <w:left w:val="none" w:sz="0" w:space="0" w:color="auto"/>
        <w:bottom w:val="none" w:sz="0" w:space="0" w:color="auto"/>
        <w:right w:val="none" w:sz="0" w:space="0" w:color="auto"/>
      </w:divBdr>
    </w:div>
    <w:div w:id="1601181411">
      <w:bodyDiv w:val="1"/>
      <w:marLeft w:val="0"/>
      <w:marRight w:val="0"/>
      <w:marTop w:val="0"/>
      <w:marBottom w:val="0"/>
      <w:divBdr>
        <w:top w:val="none" w:sz="0" w:space="0" w:color="auto"/>
        <w:left w:val="none" w:sz="0" w:space="0" w:color="auto"/>
        <w:bottom w:val="none" w:sz="0" w:space="0" w:color="auto"/>
        <w:right w:val="none" w:sz="0" w:space="0" w:color="auto"/>
      </w:divBdr>
    </w:div>
    <w:div w:id="1608152387">
      <w:bodyDiv w:val="1"/>
      <w:marLeft w:val="0"/>
      <w:marRight w:val="0"/>
      <w:marTop w:val="0"/>
      <w:marBottom w:val="0"/>
      <w:divBdr>
        <w:top w:val="none" w:sz="0" w:space="0" w:color="auto"/>
        <w:left w:val="none" w:sz="0" w:space="0" w:color="auto"/>
        <w:bottom w:val="none" w:sz="0" w:space="0" w:color="auto"/>
        <w:right w:val="none" w:sz="0" w:space="0" w:color="auto"/>
      </w:divBdr>
    </w:div>
    <w:div w:id="1631326138">
      <w:bodyDiv w:val="1"/>
      <w:marLeft w:val="0"/>
      <w:marRight w:val="0"/>
      <w:marTop w:val="0"/>
      <w:marBottom w:val="0"/>
      <w:divBdr>
        <w:top w:val="none" w:sz="0" w:space="0" w:color="auto"/>
        <w:left w:val="none" w:sz="0" w:space="0" w:color="auto"/>
        <w:bottom w:val="none" w:sz="0" w:space="0" w:color="auto"/>
        <w:right w:val="none" w:sz="0" w:space="0" w:color="auto"/>
      </w:divBdr>
    </w:div>
    <w:div w:id="1646620677">
      <w:bodyDiv w:val="1"/>
      <w:marLeft w:val="0"/>
      <w:marRight w:val="0"/>
      <w:marTop w:val="0"/>
      <w:marBottom w:val="0"/>
      <w:divBdr>
        <w:top w:val="none" w:sz="0" w:space="0" w:color="auto"/>
        <w:left w:val="none" w:sz="0" w:space="0" w:color="auto"/>
        <w:bottom w:val="none" w:sz="0" w:space="0" w:color="auto"/>
        <w:right w:val="none" w:sz="0" w:space="0" w:color="auto"/>
      </w:divBdr>
    </w:div>
    <w:div w:id="1674910850">
      <w:bodyDiv w:val="1"/>
      <w:marLeft w:val="0"/>
      <w:marRight w:val="0"/>
      <w:marTop w:val="0"/>
      <w:marBottom w:val="0"/>
      <w:divBdr>
        <w:top w:val="none" w:sz="0" w:space="0" w:color="auto"/>
        <w:left w:val="none" w:sz="0" w:space="0" w:color="auto"/>
        <w:bottom w:val="none" w:sz="0" w:space="0" w:color="auto"/>
        <w:right w:val="none" w:sz="0" w:space="0" w:color="auto"/>
      </w:divBdr>
    </w:div>
    <w:div w:id="1759136217">
      <w:bodyDiv w:val="1"/>
      <w:marLeft w:val="0"/>
      <w:marRight w:val="0"/>
      <w:marTop w:val="0"/>
      <w:marBottom w:val="0"/>
      <w:divBdr>
        <w:top w:val="none" w:sz="0" w:space="0" w:color="auto"/>
        <w:left w:val="none" w:sz="0" w:space="0" w:color="auto"/>
        <w:bottom w:val="none" w:sz="0" w:space="0" w:color="auto"/>
        <w:right w:val="none" w:sz="0" w:space="0" w:color="auto"/>
      </w:divBdr>
    </w:div>
    <w:div w:id="1768112558">
      <w:bodyDiv w:val="1"/>
      <w:marLeft w:val="0"/>
      <w:marRight w:val="0"/>
      <w:marTop w:val="0"/>
      <w:marBottom w:val="0"/>
      <w:divBdr>
        <w:top w:val="none" w:sz="0" w:space="0" w:color="auto"/>
        <w:left w:val="none" w:sz="0" w:space="0" w:color="auto"/>
        <w:bottom w:val="none" w:sz="0" w:space="0" w:color="auto"/>
        <w:right w:val="none" w:sz="0" w:space="0" w:color="auto"/>
      </w:divBdr>
    </w:div>
    <w:div w:id="1770813733">
      <w:bodyDiv w:val="1"/>
      <w:marLeft w:val="0"/>
      <w:marRight w:val="0"/>
      <w:marTop w:val="0"/>
      <w:marBottom w:val="0"/>
      <w:divBdr>
        <w:top w:val="none" w:sz="0" w:space="0" w:color="auto"/>
        <w:left w:val="none" w:sz="0" w:space="0" w:color="auto"/>
        <w:bottom w:val="none" w:sz="0" w:space="0" w:color="auto"/>
        <w:right w:val="none" w:sz="0" w:space="0" w:color="auto"/>
      </w:divBdr>
    </w:div>
    <w:div w:id="1777679277">
      <w:bodyDiv w:val="1"/>
      <w:marLeft w:val="0"/>
      <w:marRight w:val="0"/>
      <w:marTop w:val="0"/>
      <w:marBottom w:val="0"/>
      <w:divBdr>
        <w:top w:val="none" w:sz="0" w:space="0" w:color="auto"/>
        <w:left w:val="none" w:sz="0" w:space="0" w:color="auto"/>
        <w:bottom w:val="none" w:sz="0" w:space="0" w:color="auto"/>
        <w:right w:val="none" w:sz="0" w:space="0" w:color="auto"/>
      </w:divBdr>
    </w:div>
    <w:div w:id="1817136977">
      <w:bodyDiv w:val="1"/>
      <w:marLeft w:val="0"/>
      <w:marRight w:val="0"/>
      <w:marTop w:val="0"/>
      <w:marBottom w:val="0"/>
      <w:divBdr>
        <w:top w:val="none" w:sz="0" w:space="0" w:color="auto"/>
        <w:left w:val="none" w:sz="0" w:space="0" w:color="auto"/>
        <w:bottom w:val="none" w:sz="0" w:space="0" w:color="auto"/>
        <w:right w:val="none" w:sz="0" w:space="0" w:color="auto"/>
      </w:divBdr>
    </w:div>
    <w:div w:id="1819376931">
      <w:bodyDiv w:val="1"/>
      <w:marLeft w:val="0"/>
      <w:marRight w:val="0"/>
      <w:marTop w:val="0"/>
      <w:marBottom w:val="0"/>
      <w:divBdr>
        <w:top w:val="none" w:sz="0" w:space="0" w:color="auto"/>
        <w:left w:val="none" w:sz="0" w:space="0" w:color="auto"/>
        <w:bottom w:val="none" w:sz="0" w:space="0" w:color="auto"/>
        <w:right w:val="none" w:sz="0" w:space="0" w:color="auto"/>
      </w:divBdr>
    </w:div>
    <w:div w:id="1828088923">
      <w:bodyDiv w:val="1"/>
      <w:marLeft w:val="0"/>
      <w:marRight w:val="0"/>
      <w:marTop w:val="0"/>
      <w:marBottom w:val="0"/>
      <w:divBdr>
        <w:top w:val="none" w:sz="0" w:space="0" w:color="auto"/>
        <w:left w:val="none" w:sz="0" w:space="0" w:color="auto"/>
        <w:bottom w:val="none" w:sz="0" w:space="0" w:color="auto"/>
        <w:right w:val="none" w:sz="0" w:space="0" w:color="auto"/>
      </w:divBdr>
    </w:div>
    <w:div w:id="1845851968">
      <w:bodyDiv w:val="1"/>
      <w:marLeft w:val="0"/>
      <w:marRight w:val="0"/>
      <w:marTop w:val="0"/>
      <w:marBottom w:val="0"/>
      <w:divBdr>
        <w:top w:val="none" w:sz="0" w:space="0" w:color="auto"/>
        <w:left w:val="none" w:sz="0" w:space="0" w:color="auto"/>
        <w:bottom w:val="none" w:sz="0" w:space="0" w:color="auto"/>
        <w:right w:val="none" w:sz="0" w:space="0" w:color="auto"/>
      </w:divBdr>
    </w:div>
    <w:div w:id="1891919964">
      <w:bodyDiv w:val="1"/>
      <w:marLeft w:val="0"/>
      <w:marRight w:val="0"/>
      <w:marTop w:val="0"/>
      <w:marBottom w:val="0"/>
      <w:divBdr>
        <w:top w:val="none" w:sz="0" w:space="0" w:color="auto"/>
        <w:left w:val="none" w:sz="0" w:space="0" w:color="auto"/>
        <w:bottom w:val="none" w:sz="0" w:space="0" w:color="auto"/>
        <w:right w:val="none" w:sz="0" w:space="0" w:color="auto"/>
      </w:divBdr>
    </w:div>
    <w:div w:id="2076858416">
      <w:bodyDiv w:val="1"/>
      <w:marLeft w:val="0"/>
      <w:marRight w:val="0"/>
      <w:marTop w:val="0"/>
      <w:marBottom w:val="0"/>
      <w:divBdr>
        <w:top w:val="none" w:sz="0" w:space="0" w:color="auto"/>
        <w:left w:val="none" w:sz="0" w:space="0" w:color="auto"/>
        <w:bottom w:val="none" w:sz="0" w:space="0" w:color="auto"/>
        <w:right w:val="none" w:sz="0" w:space="0" w:color="auto"/>
      </w:divBdr>
    </w:div>
    <w:div w:id="2089381514">
      <w:bodyDiv w:val="1"/>
      <w:marLeft w:val="0"/>
      <w:marRight w:val="0"/>
      <w:marTop w:val="0"/>
      <w:marBottom w:val="0"/>
      <w:divBdr>
        <w:top w:val="none" w:sz="0" w:space="0" w:color="auto"/>
        <w:left w:val="none" w:sz="0" w:space="0" w:color="auto"/>
        <w:bottom w:val="none" w:sz="0" w:space="0" w:color="auto"/>
        <w:right w:val="none" w:sz="0" w:space="0" w:color="auto"/>
      </w:divBdr>
    </w:div>
    <w:div w:id="2091613543">
      <w:bodyDiv w:val="1"/>
      <w:marLeft w:val="0"/>
      <w:marRight w:val="0"/>
      <w:marTop w:val="0"/>
      <w:marBottom w:val="0"/>
      <w:divBdr>
        <w:top w:val="none" w:sz="0" w:space="0" w:color="auto"/>
        <w:left w:val="none" w:sz="0" w:space="0" w:color="auto"/>
        <w:bottom w:val="none" w:sz="0" w:space="0" w:color="auto"/>
        <w:right w:val="none" w:sz="0" w:space="0" w:color="auto"/>
      </w:divBdr>
    </w:div>
    <w:div w:id="210279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s://doi.org/10.1016/j.rsma.2022.102348" TargetMode="External"/><Relationship Id="rId39" Type="http://schemas.openxmlformats.org/officeDocument/2006/relationships/hyperlink" Target="https://doi.org/10.4060/ca0843en" TargetMode="External"/><Relationship Id="rId21" Type="http://schemas.openxmlformats.org/officeDocument/2006/relationships/hyperlink" Target="https://doi.org/10.4314/jab.v110i1.11" TargetMode="External"/><Relationship Id="rId34" Type="http://schemas.openxmlformats.org/officeDocument/2006/relationships/hyperlink" Target="https://www.fishbase.org" TargetMode="External"/><Relationship Id="rId42" Type="http://schemas.openxmlformats.org/officeDocument/2006/relationships/hyperlink" Target="https://www.documentation.ird.fr/hor/fdi:09120" TargetMode="External"/><Relationship Id="rId47" Type="http://schemas.openxmlformats.org/officeDocument/2006/relationships/hyperlink" Target="https://digitalarchive.worldfishcenter.org/items/b69d3af9-1d95-4495-98c5-bbe4a6087917" TargetMode="External"/><Relationship Id="rId50" Type="http://schemas.openxmlformats.org/officeDocument/2006/relationships/hyperlink" Target="https://www.fao.org/4/ad769b/AD769B05.htm" TargetMode="External"/><Relationship Id="rId55" Type="http://schemas.openxmlformats.org/officeDocument/2006/relationships/hyperlink" Target="https://doi.org/10.1093/icesjms/fsag008"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hyperlink" Target="https://doi.org/10.1002/9781444316315" TargetMode="External"/><Relationship Id="rId11" Type="http://schemas.openxmlformats.org/officeDocument/2006/relationships/chart" Target="charts/chart3.xml"/><Relationship Id="rId24" Type="http://schemas.openxmlformats.org/officeDocument/2006/relationships/hyperlink" Target="https://ijias.issr-journals.org/abstract.php?article=IJIAS-18-188-07" TargetMode="External"/><Relationship Id="rId32" Type="http://schemas.openxmlformats.org/officeDocument/2006/relationships/hyperlink" Target="https://doi.org/10.1111/j.1467-2979.2004.00144.x" TargetMode="External"/><Relationship Id="rId37" Type="http://schemas.openxmlformats.org/officeDocument/2006/relationships/hyperlink" Target="https://doi.org/10.1093/icesjms/fst200" TargetMode="External"/><Relationship Id="rId40" Type="http://schemas.openxmlformats.org/officeDocument/2006/relationships/hyperlink" Target="https://doi.org/10.26028/cybium/2006-302-007" TargetMode="External"/><Relationship Id="rId45" Type="http://schemas.openxmlformats.org/officeDocument/2006/relationships/hyperlink" Target="https://doi.org/10.1155/2024/4876582" TargetMode="External"/><Relationship Id="rId53" Type="http://schemas.openxmlformats.org/officeDocument/2006/relationships/hyperlink" Target="https://doi.org/10.1098/rspb.2023.0551"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chart" Target="charts/chart11.xml"/><Relationship Id="rId14" Type="http://schemas.openxmlformats.org/officeDocument/2006/relationships/chart" Target="charts/chart6.xml"/><Relationship Id="rId22" Type="http://schemas.openxmlformats.org/officeDocument/2006/relationships/hyperlink" Target="https://doi.org/10.1016/j.fishres.2015.04.006" TargetMode="External"/><Relationship Id="rId27" Type="http://schemas.openxmlformats.org/officeDocument/2006/relationships/hyperlink" Target="https://doi.org/10.1371/journal.pone.0279768" TargetMode="External"/><Relationship Id="rId30" Type="http://schemas.openxmlformats.org/officeDocument/2006/relationships/hyperlink" Target="https://doi.org/10.1577/C08-025.1" TargetMode="External"/><Relationship Id="rId35" Type="http://schemas.openxmlformats.org/officeDocument/2006/relationships/hyperlink" Target="https://openknowledge.fao.org/handle/20.500.14283/y5997e" TargetMode="External"/><Relationship Id="rId43" Type="http://schemas.openxmlformats.org/officeDocument/2006/relationships/hyperlink" Target="https://doi.org/10.3389/fnut.2024.1424740" TargetMode="External"/><Relationship Id="rId48" Type="http://schemas.openxmlformats.org/officeDocument/2006/relationships/hyperlink" Target="https://theses.fr/2004TOU30265" TargetMode="External"/><Relationship Id="rId56" Type="http://schemas.openxmlformats.org/officeDocument/2006/relationships/hyperlink" Target="https://doi.org/10.1002/9780470995693"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doi.org/10.1186/s40462-023-00379-0" TargetMode="Externa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s://www.documentation.ird.fr/hor/fdi:27349" TargetMode="External"/><Relationship Id="rId33" Type="http://schemas.openxmlformats.org/officeDocument/2006/relationships/hyperlink" Target="https://doi.org/10.1111/j.1095-8649.2000.tb00870.x" TargetMode="External"/><Relationship Id="rId38" Type="http://schemas.openxmlformats.org/officeDocument/2006/relationships/hyperlink" Target="https://doi.org/10.1139/cjfas-58-1-157" TargetMode="External"/><Relationship Id="rId46" Type="http://schemas.openxmlformats.org/officeDocument/2006/relationships/hyperlink" Target="https://doi.org/10.1093/icesjms/39.2.175" TargetMode="External"/><Relationship Id="rId59" Type="http://schemas.openxmlformats.org/officeDocument/2006/relationships/footer" Target="footer1.xml"/><Relationship Id="rId20" Type="http://schemas.openxmlformats.org/officeDocument/2006/relationships/chart" Target="charts/chart12.xml"/><Relationship Id="rId41" Type="http://schemas.openxmlformats.org/officeDocument/2006/relationships/hyperlink" Target="https://doi.org/10.4314/ijbcs.v8i1.8" TargetMode="External"/><Relationship Id="rId54" Type="http://schemas.openxmlformats.org/officeDocument/2006/relationships/hyperlink" Target="https://www.fao.org/4/T0360E/T0360E00.htm"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hyperlink" Target="https://www.fisheriesjournal.com/archives/?ArticleId=1623&amp;issue=4&amp;part=B&amp;vol=6&amp;year=2018" TargetMode="External"/><Relationship Id="rId28" Type="http://schemas.openxmlformats.org/officeDocument/2006/relationships/hyperlink" Target="https://doi.org/10.1126/science.aao6868" TargetMode="External"/><Relationship Id="rId36" Type="http://schemas.openxmlformats.org/officeDocument/2006/relationships/hyperlink" Target="https://doi.org/10.26028/cybium/1999-232-003" TargetMode="External"/><Relationship Id="rId49" Type="http://schemas.openxmlformats.org/officeDocument/2006/relationships/hyperlink" Target="https://doi.org/10.1038/s41598-023-45000-x" TargetMode="External"/><Relationship Id="rId57" Type="http://schemas.openxmlformats.org/officeDocument/2006/relationships/header" Target="header1.xml"/><Relationship Id="rId10" Type="http://schemas.openxmlformats.org/officeDocument/2006/relationships/chart" Target="charts/chart2.xml"/><Relationship Id="rId31" Type="http://schemas.openxmlformats.org/officeDocument/2006/relationships/hyperlink" Target="https://doi.org/10.4314/ijbcs.v7i4.25" TargetMode="External"/><Relationship Id="rId44" Type="http://schemas.openxmlformats.org/officeDocument/2006/relationships/hyperlink" Target="https://doi.org/10.3390/su14010318" TargetMode="External"/><Relationship Id="rId52" Type="http://schemas.openxmlformats.org/officeDocument/2006/relationships/hyperlink" Target="https://doi.org/10.3389/ffwsc.2024.1426350"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Feuil1!$C$113</c:f>
              <c:strCache>
                <c:ptCount val="1"/>
                <c:pt idx="0">
                  <c:v>Taabo City</c:v>
                </c:pt>
              </c:strCache>
            </c:strRef>
          </c:tx>
          <c:spPr>
            <a:solidFill>
              <a:schemeClr val="accent1"/>
            </a:solidFill>
            <a:ln>
              <a:noFill/>
            </a:ln>
            <a:effectLst/>
          </c:spPr>
          <c:invertIfNegative val="0"/>
          <c:cat>
            <c:multiLvlStrRef>
              <c:f>Feuil1!$A$114:$B$117</c:f>
              <c:multiLvlStrCache>
                <c:ptCount val="4"/>
                <c:lvl>
                  <c:pt idx="0">
                    <c:v>Males</c:v>
                  </c:pt>
                  <c:pt idx="1">
                    <c:v>females</c:v>
                  </c:pt>
                  <c:pt idx="2">
                    <c:v>Males</c:v>
                  </c:pt>
                  <c:pt idx="3">
                    <c:v>females</c:v>
                  </c:pt>
                </c:lvl>
                <c:lvl>
                  <c:pt idx="0">
                    <c:v>DS</c:v>
                  </c:pt>
                  <c:pt idx="2">
                    <c:v>RS</c:v>
                  </c:pt>
                </c:lvl>
              </c:multiLvlStrCache>
            </c:multiLvlStrRef>
          </c:cat>
          <c:val>
            <c:numRef>
              <c:f>Feuil1!$C$114:$C$117</c:f>
              <c:numCache>
                <c:formatCode>General</c:formatCode>
                <c:ptCount val="4"/>
                <c:pt idx="0">
                  <c:v>53.34</c:v>
                </c:pt>
                <c:pt idx="1">
                  <c:v>46.66</c:v>
                </c:pt>
                <c:pt idx="2">
                  <c:v>50.18</c:v>
                </c:pt>
                <c:pt idx="3">
                  <c:v>49.82</c:v>
                </c:pt>
              </c:numCache>
            </c:numRef>
          </c:val>
          <c:extLst>
            <c:ext xmlns:c16="http://schemas.microsoft.com/office/drawing/2014/chart" uri="{C3380CC4-5D6E-409C-BE32-E72D297353CC}">
              <c16:uniqueId val="{00000000-F41B-4ED5-885F-905929D33D24}"/>
            </c:ext>
          </c:extLst>
        </c:ser>
        <c:ser>
          <c:idx val="1"/>
          <c:order val="1"/>
          <c:tx>
            <c:strRef>
              <c:f>Feuil1!$D$113</c:f>
              <c:strCache>
                <c:ptCount val="1"/>
                <c:pt idx="0">
                  <c:v>Senegalegoum</c:v>
                </c:pt>
              </c:strCache>
            </c:strRef>
          </c:tx>
          <c:spPr>
            <a:solidFill>
              <a:schemeClr val="accent2"/>
            </a:solidFill>
            <a:ln>
              <a:noFill/>
            </a:ln>
            <a:effectLst/>
          </c:spPr>
          <c:invertIfNegative val="0"/>
          <c:cat>
            <c:multiLvlStrRef>
              <c:f>Feuil1!$A$114:$B$117</c:f>
              <c:multiLvlStrCache>
                <c:ptCount val="4"/>
                <c:lvl>
                  <c:pt idx="0">
                    <c:v>Males</c:v>
                  </c:pt>
                  <c:pt idx="1">
                    <c:v>females</c:v>
                  </c:pt>
                  <c:pt idx="2">
                    <c:v>Males</c:v>
                  </c:pt>
                  <c:pt idx="3">
                    <c:v>females</c:v>
                  </c:pt>
                </c:lvl>
                <c:lvl>
                  <c:pt idx="0">
                    <c:v>DS</c:v>
                  </c:pt>
                  <c:pt idx="2">
                    <c:v>RS</c:v>
                  </c:pt>
                </c:lvl>
              </c:multiLvlStrCache>
            </c:multiLvlStrRef>
          </c:cat>
          <c:val>
            <c:numRef>
              <c:f>Feuil1!$D$114:$D$117</c:f>
              <c:numCache>
                <c:formatCode>General</c:formatCode>
                <c:ptCount val="4"/>
                <c:pt idx="0">
                  <c:v>48.62</c:v>
                </c:pt>
                <c:pt idx="1">
                  <c:v>51.38</c:v>
                </c:pt>
                <c:pt idx="2">
                  <c:v>53.54</c:v>
                </c:pt>
                <c:pt idx="3">
                  <c:v>46.46</c:v>
                </c:pt>
              </c:numCache>
            </c:numRef>
          </c:val>
          <c:extLst>
            <c:ext xmlns:c16="http://schemas.microsoft.com/office/drawing/2014/chart" uri="{C3380CC4-5D6E-409C-BE32-E72D297353CC}">
              <c16:uniqueId val="{00000001-F41B-4ED5-885F-905929D33D24}"/>
            </c:ext>
          </c:extLst>
        </c:ser>
        <c:ser>
          <c:idx val="2"/>
          <c:order val="2"/>
          <c:tx>
            <c:strRef>
              <c:f>Feuil1!$E$113</c:f>
              <c:strCache>
                <c:ptCount val="1"/>
                <c:pt idx="0">
                  <c:v>Antonio</c:v>
                </c:pt>
              </c:strCache>
            </c:strRef>
          </c:tx>
          <c:spPr>
            <a:solidFill>
              <a:schemeClr val="accent3"/>
            </a:solidFill>
            <a:ln>
              <a:noFill/>
            </a:ln>
            <a:effectLst/>
          </c:spPr>
          <c:invertIfNegative val="0"/>
          <c:cat>
            <c:multiLvlStrRef>
              <c:f>Feuil1!$A$114:$B$117</c:f>
              <c:multiLvlStrCache>
                <c:ptCount val="4"/>
                <c:lvl>
                  <c:pt idx="0">
                    <c:v>Males</c:v>
                  </c:pt>
                  <c:pt idx="1">
                    <c:v>females</c:v>
                  </c:pt>
                  <c:pt idx="2">
                    <c:v>Males</c:v>
                  </c:pt>
                  <c:pt idx="3">
                    <c:v>females</c:v>
                  </c:pt>
                </c:lvl>
                <c:lvl>
                  <c:pt idx="0">
                    <c:v>DS</c:v>
                  </c:pt>
                  <c:pt idx="2">
                    <c:v>RS</c:v>
                  </c:pt>
                </c:lvl>
              </c:multiLvlStrCache>
            </c:multiLvlStrRef>
          </c:cat>
          <c:val>
            <c:numRef>
              <c:f>Feuil1!$E$114:$E$117</c:f>
              <c:numCache>
                <c:formatCode>General</c:formatCode>
                <c:ptCount val="4"/>
                <c:pt idx="0">
                  <c:v>42.22</c:v>
                </c:pt>
                <c:pt idx="1">
                  <c:v>57.78</c:v>
                </c:pt>
                <c:pt idx="2">
                  <c:v>25.48</c:v>
                </c:pt>
                <c:pt idx="3">
                  <c:v>74.52</c:v>
                </c:pt>
              </c:numCache>
            </c:numRef>
          </c:val>
          <c:extLst>
            <c:ext xmlns:c16="http://schemas.microsoft.com/office/drawing/2014/chart" uri="{C3380CC4-5D6E-409C-BE32-E72D297353CC}">
              <c16:uniqueId val="{00000002-F41B-4ED5-885F-905929D33D24}"/>
            </c:ext>
          </c:extLst>
        </c:ser>
        <c:ser>
          <c:idx val="3"/>
          <c:order val="3"/>
          <c:tx>
            <c:strRef>
              <c:f>Feuil1!$F$113</c:f>
              <c:strCache>
                <c:ptCount val="1"/>
                <c:pt idx="0">
                  <c:v>Port</c:v>
                </c:pt>
              </c:strCache>
            </c:strRef>
          </c:tx>
          <c:spPr>
            <a:solidFill>
              <a:schemeClr val="accent4"/>
            </a:solidFill>
            <a:ln>
              <a:noFill/>
            </a:ln>
            <a:effectLst/>
          </c:spPr>
          <c:invertIfNegative val="0"/>
          <c:cat>
            <c:multiLvlStrRef>
              <c:f>Feuil1!$A$114:$B$117</c:f>
              <c:multiLvlStrCache>
                <c:ptCount val="4"/>
                <c:lvl>
                  <c:pt idx="0">
                    <c:v>Males</c:v>
                  </c:pt>
                  <c:pt idx="1">
                    <c:v>females</c:v>
                  </c:pt>
                  <c:pt idx="2">
                    <c:v>Males</c:v>
                  </c:pt>
                  <c:pt idx="3">
                    <c:v>females</c:v>
                  </c:pt>
                </c:lvl>
                <c:lvl>
                  <c:pt idx="0">
                    <c:v>DS</c:v>
                  </c:pt>
                  <c:pt idx="2">
                    <c:v>RS</c:v>
                  </c:pt>
                </c:lvl>
              </c:multiLvlStrCache>
            </c:multiLvlStrRef>
          </c:cat>
          <c:val>
            <c:numRef>
              <c:f>Feuil1!$F$114:$F$117</c:f>
              <c:numCache>
                <c:formatCode>General</c:formatCode>
                <c:ptCount val="4"/>
                <c:pt idx="0">
                  <c:v>50.6</c:v>
                </c:pt>
                <c:pt idx="1">
                  <c:v>49.4</c:v>
                </c:pt>
                <c:pt idx="2">
                  <c:v>43.69</c:v>
                </c:pt>
                <c:pt idx="3">
                  <c:v>56.31</c:v>
                </c:pt>
              </c:numCache>
            </c:numRef>
          </c:val>
          <c:extLst>
            <c:ext xmlns:c16="http://schemas.microsoft.com/office/drawing/2014/chart" uri="{C3380CC4-5D6E-409C-BE32-E72D297353CC}">
              <c16:uniqueId val="{00000003-F41B-4ED5-885F-905929D33D24}"/>
            </c:ext>
          </c:extLst>
        </c:ser>
        <c:ser>
          <c:idx val="4"/>
          <c:order val="4"/>
          <c:tx>
            <c:strRef>
              <c:f>Feuil1!$G$113</c:f>
              <c:strCache>
                <c:ptCount val="1"/>
                <c:pt idx="0">
                  <c:v>Courandj</c:v>
                </c:pt>
              </c:strCache>
            </c:strRef>
          </c:tx>
          <c:spPr>
            <a:solidFill>
              <a:schemeClr val="accent5"/>
            </a:solidFill>
            <a:ln>
              <a:noFill/>
            </a:ln>
            <a:effectLst/>
          </c:spPr>
          <c:invertIfNegative val="0"/>
          <c:cat>
            <c:multiLvlStrRef>
              <c:f>Feuil1!$A$114:$B$117</c:f>
              <c:multiLvlStrCache>
                <c:ptCount val="4"/>
                <c:lvl>
                  <c:pt idx="0">
                    <c:v>Males</c:v>
                  </c:pt>
                  <c:pt idx="1">
                    <c:v>females</c:v>
                  </c:pt>
                  <c:pt idx="2">
                    <c:v>Males</c:v>
                  </c:pt>
                  <c:pt idx="3">
                    <c:v>females</c:v>
                  </c:pt>
                </c:lvl>
                <c:lvl>
                  <c:pt idx="0">
                    <c:v>DS</c:v>
                  </c:pt>
                  <c:pt idx="2">
                    <c:v>RS</c:v>
                  </c:pt>
                </c:lvl>
              </c:multiLvlStrCache>
            </c:multiLvlStrRef>
          </c:cat>
          <c:val>
            <c:numRef>
              <c:f>Feuil1!$G$114:$G$117</c:f>
              <c:numCache>
                <c:formatCode>General</c:formatCode>
                <c:ptCount val="4"/>
                <c:pt idx="0">
                  <c:v>17.78</c:v>
                </c:pt>
                <c:pt idx="1">
                  <c:v>82.22</c:v>
                </c:pt>
                <c:pt idx="2">
                  <c:v>17.86</c:v>
                </c:pt>
                <c:pt idx="3">
                  <c:v>82.14</c:v>
                </c:pt>
              </c:numCache>
            </c:numRef>
          </c:val>
          <c:extLst>
            <c:ext xmlns:c16="http://schemas.microsoft.com/office/drawing/2014/chart" uri="{C3380CC4-5D6E-409C-BE32-E72D297353CC}">
              <c16:uniqueId val="{00000004-F41B-4ED5-885F-905929D33D24}"/>
            </c:ext>
          </c:extLst>
        </c:ser>
        <c:ser>
          <c:idx val="5"/>
          <c:order val="5"/>
          <c:tx>
            <c:strRef>
              <c:f>Feuil1!$H$113</c:f>
              <c:strCache>
                <c:ptCount val="1"/>
                <c:pt idx="0">
                  <c:v>Dike</c:v>
                </c:pt>
              </c:strCache>
            </c:strRef>
          </c:tx>
          <c:spPr>
            <a:solidFill>
              <a:schemeClr val="accent6"/>
            </a:solidFill>
            <a:ln>
              <a:noFill/>
            </a:ln>
            <a:effectLst/>
          </c:spPr>
          <c:invertIfNegative val="0"/>
          <c:cat>
            <c:multiLvlStrRef>
              <c:f>Feuil1!$A$114:$B$117</c:f>
              <c:multiLvlStrCache>
                <c:ptCount val="4"/>
                <c:lvl>
                  <c:pt idx="0">
                    <c:v>Males</c:v>
                  </c:pt>
                  <c:pt idx="1">
                    <c:v>females</c:v>
                  </c:pt>
                  <c:pt idx="2">
                    <c:v>Males</c:v>
                  </c:pt>
                  <c:pt idx="3">
                    <c:v>females</c:v>
                  </c:pt>
                </c:lvl>
                <c:lvl>
                  <c:pt idx="0">
                    <c:v>DS</c:v>
                  </c:pt>
                  <c:pt idx="2">
                    <c:v>RS</c:v>
                  </c:pt>
                </c:lvl>
              </c:multiLvlStrCache>
            </c:multiLvlStrRef>
          </c:cat>
          <c:val>
            <c:numRef>
              <c:f>Feuil1!$H$114:$H$117</c:f>
              <c:numCache>
                <c:formatCode>General</c:formatCode>
                <c:ptCount val="4"/>
                <c:pt idx="0">
                  <c:v>61.68</c:v>
                </c:pt>
                <c:pt idx="1">
                  <c:v>38.32</c:v>
                </c:pt>
                <c:pt idx="2">
                  <c:v>63.36</c:v>
                </c:pt>
                <c:pt idx="3">
                  <c:v>36.64</c:v>
                </c:pt>
              </c:numCache>
            </c:numRef>
          </c:val>
          <c:extLst>
            <c:ext xmlns:c16="http://schemas.microsoft.com/office/drawing/2014/chart" uri="{C3380CC4-5D6E-409C-BE32-E72D297353CC}">
              <c16:uniqueId val="{00000005-F41B-4ED5-885F-905929D33D24}"/>
            </c:ext>
          </c:extLst>
        </c:ser>
        <c:ser>
          <c:idx val="6"/>
          <c:order val="6"/>
          <c:tx>
            <c:strRef>
              <c:f>Feuil1!$I$113</c:f>
              <c:strCache>
                <c:ptCount val="1"/>
                <c:pt idx="0">
                  <c:v>Islands</c:v>
                </c:pt>
              </c:strCache>
            </c:strRef>
          </c:tx>
          <c:spPr>
            <a:solidFill>
              <a:schemeClr val="accent1">
                <a:lumMod val="60000"/>
              </a:schemeClr>
            </a:solidFill>
            <a:ln>
              <a:noFill/>
            </a:ln>
            <a:effectLst/>
          </c:spPr>
          <c:invertIfNegative val="0"/>
          <c:cat>
            <c:multiLvlStrRef>
              <c:f>Feuil1!$A$114:$B$117</c:f>
              <c:multiLvlStrCache>
                <c:ptCount val="4"/>
                <c:lvl>
                  <c:pt idx="0">
                    <c:v>Males</c:v>
                  </c:pt>
                  <c:pt idx="1">
                    <c:v>females</c:v>
                  </c:pt>
                  <c:pt idx="2">
                    <c:v>Males</c:v>
                  </c:pt>
                  <c:pt idx="3">
                    <c:v>females</c:v>
                  </c:pt>
                </c:lvl>
                <c:lvl>
                  <c:pt idx="0">
                    <c:v>DS</c:v>
                  </c:pt>
                  <c:pt idx="2">
                    <c:v>RS</c:v>
                  </c:pt>
                </c:lvl>
              </c:multiLvlStrCache>
            </c:multiLvlStrRef>
          </c:cat>
          <c:val>
            <c:numRef>
              <c:f>Feuil1!$I$114:$I$117</c:f>
              <c:numCache>
                <c:formatCode>General</c:formatCode>
                <c:ptCount val="4"/>
                <c:pt idx="0">
                  <c:v>46.15</c:v>
                </c:pt>
                <c:pt idx="1">
                  <c:v>53.85</c:v>
                </c:pt>
                <c:pt idx="2">
                  <c:v>51.76</c:v>
                </c:pt>
                <c:pt idx="3">
                  <c:v>48.24</c:v>
                </c:pt>
              </c:numCache>
            </c:numRef>
          </c:val>
          <c:extLst>
            <c:ext xmlns:c16="http://schemas.microsoft.com/office/drawing/2014/chart" uri="{C3380CC4-5D6E-409C-BE32-E72D297353CC}">
              <c16:uniqueId val="{00000006-F41B-4ED5-885F-905929D33D24}"/>
            </c:ext>
          </c:extLst>
        </c:ser>
        <c:dLbls>
          <c:showLegendKey val="0"/>
          <c:showVal val="0"/>
          <c:showCatName val="0"/>
          <c:showSerName val="0"/>
          <c:showPercent val="0"/>
          <c:showBubbleSize val="0"/>
        </c:dLbls>
        <c:gapWidth val="219"/>
        <c:overlap val="-27"/>
        <c:axId val="1181130927"/>
        <c:axId val="1181140495"/>
      </c:barChart>
      <c:catAx>
        <c:axId val="1181130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81140495"/>
        <c:crosses val="autoZero"/>
        <c:auto val="1"/>
        <c:lblAlgn val="ctr"/>
        <c:lblOffset val="100"/>
        <c:noMultiLvlLbl val="0"/>
      </c:catAx>
      <c:valAx>
        <c:axId val="11811404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Percentage</a:t>
                </a:r>
              </a:p>
            </c:rich>
          </c:tx>
          <c:layout>
            <c:manualLayout>
              <c:xMode val="edge"/>
              <c:yMode val="edge"/>
              <c:x val="1.5920395515274726E-2"/>
              <c:y val="0.1191084191399151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81130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779817117097143"/>
          <c:y val="5.0925925925925923E-2"/>
          <c:w val="0.74902510177385062"/>
          <c:h val="0.6244721493146691"/>
        </c:manualLayout>
      </c:layout>
      <c:bar3DChart>
        <c:barDir val="col"/>
        <c:grouping val="clustered"/>
        <c:varyColors val="0"/>
        <c:ser>
          <c:idx val="0"/>
          <c:order val="0"/>
          <c:tx>
            <c:strRef>
              <c:f>Feuil1!$A$59</c:f>
              <c:strCache>
                <c:ptCount val="1"/>
                <c:pt idx="0">
                  <c:v>SRS</c:v>
                </c:pt>
              </c:strCache>
            </c:strRef>
          </c:tx>
          <c:spPr>
            <a:solidFill>
              <a:schemeClr val="accent1"/>
            </a:solidFill>
            <a:ln>
              <a:noFill/>
            </a:ln>
            <a:effectLst/>
            <a:sp3d/>
          </c:spPr>
          <c:invertIfNegative val="0"/>
          <c:cat>
            <c:strRef>
              <c:f>Feuil1!$B$58:$H$58</c:f>
              <c:strCache>
                <c:ptCount val="7"/>
                <c:pt idx="0">
                  <c:v>Taabo City</c:v>
                </c:pt>
                <c:pt idx="1">
                  <c:v>Senegalegoum</c:v>
                </c:pt>
                <c:pt idx="2">
                  <c:v>Antonio</c:v>
                </c:pt>
                <c:pt idx="3">
                  <c:v>Port</c:v>
                </c:pt>
                <c:pt idx="4">
                  <c:v>Courandj</c:v>
                </c:pt>
                <c:pt idx="5">
                  <c:v>Dike</c:v>
                </c:pt>
                <c:pt idx="6">
                  <c:v>Islands</c:v>
                </c:pt>
              </c:strCache>
            </c:strRef>
          </c:cat>
          <c:val>
            <c:numRef>
              <c:f>Feuil1!$B$59:$H$59</c:f>
              <c:numCache>
                <c:formatCode>General</c:formatCode>
                <c:ptCount val="7"/>
                <c:pt idx="0">
                  <c:v>26.73</c:v>
                </c:pt>
                <c:pt idx="1">
                  <c:v>14.11</c:v>
                </c:pt>
                <c:pt idx="2">
                  <c:v>10.92</c:v>
                </c:pt>
                <c:pt idx="3">
                  <c:v>15.89</c:v>
                </c:pt>
                <c:pt idx="4">
                  <c:v>0</c:v>
                </c:pt>
                <c:pt idx="5">
                  <c:v>18.41</c:v>
                </c:pt>
                <c:pt idx="6">
                  <c:v>83.67</c:v>
                </c:pt>
              </c:numCache>
            </c:numRef>
          </c:val>
          <c:extLst>
            <c:ext xmlns:c16="http://schemas.microsoft.com/office/drawing/2014/chart" uri="{C3380CC4-5D6E-409C-BE32-E72D297353CC}">
              <c16:uniqueId val="{00000000-11A5-463A-8031-86ECB3C28BB3}"/>
            </c:ext>
          </c:extLst>
        </c:ser>
        <c:ser>
          <c:idx val="1"/>
          <c:order val="1"/>
          <c:tx>
            <c:strRef>
              <c:f>Feuil1!$A$60</c:f>
              <c:strCache>
                <c:ptCount val="1"/>
                <c:pt idx="0">
                  <c:v>LDS</c:v>
                </c:pt>
              </c:strCache>
            </c:strRef>
          </c:tx>
          <c:spPr>
            <a:solidFill>
              <a:schemeClr val="accent2"/>
            </a:solidFill>
            <a:ln>
              <a:noFill/>
            </a:ln>
            <a:effectLst/>
            <a:sp3d/>
          </c:spPr>
          <c:invertIfNegative val="0"/>
          <c:cat>
            <c:strRef>
              <c:f>Feuil1!$B$58:$H$58</c:f>
              <c:strCache>
                <c:ptCount val="7"/>
                <c:pt idx="0">
                  <c:v>Taabo City</c:v>
                </c:pt>
                <c:pt idx="1">
                  <c:v>Senegalegoum</c:v>
                </c:pt>
                <c:pt idx="2">
                  <c:v>Antonio</c:v>
                </c:pt>
                <c:pt idx="3">
                  <c:v>Port</c:v>
                </c:pt>
                <c:pt idx="4">
                  <c:v>Courandj</c:v>
                </c:pt>
                <c:pt idx="5">
                  <c:v>Dike</c:v>
                </c:pt>
                <c:pt idx="6">
                  <c:v>Islands</c:v>
                </c:pt>
              </c:strCache>
            </c:strRef>
          </c:cat>
          <c:val>
            <c:numRef>
              <c:f>Feuil1!$B$60:$H$60</c:f>
              <c:numCache>
                <c:formatCode>General</c:formatCode>
                <c:ptCount val="7"/>
                <c:pt idx="0">
                  <c:v>16.37</c:v>
                </c:pt>
                <c:pt idx="1">
                  <c:v>13.18</c:v>
                </c:pt>
                <c:pt idx="2">
                  <c:v>28.31</c:v>
                </c:pt>
                <c:pt idx="3">
                  <c:v>38.630000000000003</c:v>
                </c:pt>
                <c:pt idx="4">
                  <c:v>32.01</c:v>
                </c:pt>
                <c:pt idx="5">
                  <c:v>29.84</c:v>
                </c:pt>
                <c:pt idx="6">
                  <c:v>16.329999999999998</c:v>
                </c:pt>
              </c:numCache>
            </c:numRef>
          </c:val>
          <c:extLst>
            <c:ext xmlns:c16="http://schemas.microsoft.com/office/drawing/2014/chart" uri="{C3380CC4-5D6E-409C-BE32-E72D297353CC}">
              <c16:uniqueId val="{00000001-11A5-463A-8031-86ECB3C28BB3}"/>
            </c:ext>
          </c:extLst>
        </c:ser>
        <c:ser>
          <c:idx val="2"/>
          <c:order val="2"/>
          <c:tx>
            <c:strRef>
              <c:f>Feuil1!$A$61</c:f>
              <c:strCache>
                <c:ptCount val="1"/>
                <c:pt idx="0">
                  <c:v>LRS</c:v>
                </c:pt>
              </c:strCache>
            </c:strRef>
          </c:tx>
          <c:spPr>
            <a:solidFill>
              <a:schemeClr val="accent3"/>
            </a:solidFill>
            <a:ln>
              <a:noFill/>
            </a:ln>
            <a:effectLst/>
            <a:sp3d/>
          </c:spPr>
          <c:invertIfNegative val="0"/>
          <c:cat>
            <c:strRef>
              <c:f>Feuil1!$B$58:$H$58</c:f>
              <c:strCache>
                <c:ptCount val="7"/>
                <c:pt idx="0">
                  <c:v>Taabo City</c:v>
                </c:pt>
                <c:pt idx="1">
                  <c:v>Senegalegoum</c:v>
                </c:pt>
                <c:pt idx="2">
                  <c:v>Antonio</c:v>
                </c:pt>
                <c:pt idx="3">
                  <c:v>Port</c:v>
                </c:pt>
                <c:pt idx="4">
                  <c:v>Courandj</c:v>
                </c:pt>
                <c:pt idx="5">
                  <c:v>Dike</c:v>
                </c:pt>
                <c:pt idx="6">
                  <c:v>Islands</c:v>
                </c:pt>
              </c:strCache>
            </c:strRef>
          </c:cat>
          <c:val>
            <c:numRef>
              <c:f>Feuil1!$B$61:$H$61</c:f>
              <c:numCache>
                <c:formatCode>General</c:formatCode>
                <c:ptCount val="7"/>
                <c:pt idx="0">
                  <c:v>23.36</c:v>
                </c:pt>
                <c:pt idx="1">
                  <c:v>12.12</c:v>
                </c:pt>
                <c:pt idx="2">
                  <c:v>48.57</c:v>
                </c:pt>
                <c:pt idx="3">
                  <c:v>0</c:v>
                </c:pt>
                <c:pt idx="4">
                  <c:v>4.5</c:v>
                </c:pt>
                <c:pt idx="5">
                  <c:v>31.75</c:v>
                </c:pt>
                <c:pt idx="6">
                  <c:v>0</c:v>
                </c:pt>
              </c:numCache>
            </c:numRef>
          </c:val>
          <c:extLst>
            <c:ext xmlns:c16="http://schemas.microsoft.com/office/drawing/2014/chart" uri="{C3380CC4-5D6E-409C-BE32-E72D297353CC}">
              <c16:uniqueId val="{00000002-11A5-463A-8031-86ECB3C28BB3}"/>
            </c:ext>
          </c:extLst>
        </c:ser>
        <c:ser>
          <c:idx val="3"/>
          <c:order val="3"/>
          <c:tx>
            <c:strRef>
              <c:f>Feuil1!$A$62</c:f>
              <c:strCache>
                <c:ptCount val="1"/>
                <c:pt idx="0">
                  <c:v>SDS</c:v>
                </c:pt>
              </c:strCache>
            </c:strRef>
          </c:tx>
          <c:spPr>
            <a:solidFill>
              <a:schemeClr val="accent4"/>
            </a:solidFill>
            <a:ln>
              <a:noFill/>
            </a:ln>
            <a:effectLst/>
            <a:sp3d/>
          </c:spPr>
          <c:invertIfNegative val="0"/>
          <c:cat>
            <c:strRef>
              <c:f>Feuil1!$B$58:$H$58</c:f>
              <c:strCache>
                <c:ptCount val="7"/>
                <c:pt idx="0">
                  <c:v>Taabo City</c:v>
                </c:pt>
                <c:pt idx="1">
                  <c:v>Senegalegoum</c:v>
                </c:pt>
                <c:pt idx="2">
                  <c:v>Antonio</c:v>
                </c:pt>
                <c:pt idx="3">
                  <c:v>Port</c:v>
                </c:pt>
                <c:pt idx="4">
                  <c:v>Courandj</c:v>
                </c:pt>
                <c:pt idx="5">
                  <c:v>Dike</c:v>
                </c:pt>
                <c:pt idx="6">
                  <c:v>Islands</c:v>
                </c:pt>
              </c:strCache>
            </c:strRef>
          </c:cat>
          <c:val>
            <c:numRef>
              <c:f>Feuil1!$B$62:$H$62</c:f>
              <c:numCache>
                <c:formatCode>General</c:formatCode>
                <c:ptCount val="7"/>
                <c:pt idx="0">
                  <c:v>33.54</c:v>
                </c:pt>
                <c:pt idx="1">
                  <c:v>60.59</c:v>
                </c:pt>
                <c:pt idx="2">
                  <c:v>12.2</c:v>
                </c:pt>
                <c:pt idx="3">
                  <c:v>45.48</c:v>
                </c:pt>
                <c:pt idx="4">
                  <c:v>63.49</c:v>
                </c:pt>
                <c:pt idx="5">
                  <c:v>20</c:v>
                </c:pt>
                <c:pt idx="6">
                  <c:v>0</c:v>
                </c:pt>
              </c:numCache>
            </c:numRef>
          </c:val>
          <c:extLst>
            <c:ext xmlns:c16="http://schemas.microsoft.com/office/drawing/2014/chart" uri="{C3380CC4-5D6E-409C-BE32-E72D297353CC}">
              <c16:uniqueId val="{00000003-11A5-463A-8031-86ECB3C28BB3}"/>
            </c:ext>
          </c:extLst>
        </c:ser>
        <c:dLbls>
          <c:showLegendKey val="0"/>
          <c:showVal val="0"/>
          <c:showCatName val="0"/>
          <c:showSerName val="0"/>
          <c:showPercent val="0"/>
          <c:showBubbleSize val="0"/>
        </c:dLbls>
        <c:gapWidth val="150"/>
        <c:shape val="box"/>
        <c:axId val="1138915135"/>
        <c:axId val="1138918463"/>
        <c:axId val="0"/>
      </c:bar3DChart>
      <c:catAx>
        <c:axId val="11389151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Fishing area</a:t>
                </a:r>
              </a:p>
            </c:rich>
          </c:tx>
          <c:layout>
            <c:manualLayout>
              <c:xMode val="edge"/>
              <c:yMode val="edge"/>
              <c:x val="0.35408036761470202"/>
              <c:y val="0.850752390053440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8918463"/>
        <c:crosses val="autoZero"/>
        <c:auto val="1"/>
        <c:lblAlgn val="ctr"/>
        <c:lblOffset val="100"/>
        <c:noMultiLvlLbl val="0"/>
      </c:catAx>
      <c:valAx>
        <c:axId val="11389184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r>
                  <a:rPr lang="en-US" baseline="0"/>
                  <a:t> </a:t>
                </a:r>
                <a:endParaRPr lang="en-US"/>
              </a:p>
            </c:rich>
          </c:tx>
          <c:layout>
            <c:manualLayout>
              <c:xMode val="edge"/>
              <c:yMode val="edge"/>
              <c:x val="3.7509186351706046E-2"/>
              <c:y val="8.936461067366578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8915135"/>
        <c:crosses val="autoZero"/>
        <c:crossBetween val="between"/>
      </c:valAx>
      <c:spPr>
        <a:noFill/>
        <a:ln>
          <a:noFill/>
        </a:ln>
        <a:effectLst/>
      </c:spPr>
    </c:plotArea>
    <c:legend>
      <c:legendPos val="b"/>
      <c:layout>
        <c:manualLayout>
          <c:xMode val="edge"/>
          <c:yMode val="edge"/>
          <c:x val="0.87307082513010859"/>
          <c:y val="0.18113371245261009"/>
          <c:w val="8.1896899979594484E-2"/>
          <c:h val="0.23090332458442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995878870530333E-2"/>
          <c:y val="5.0925925925925923E-2"/>
          <c:w val="0.78439179478939713"/>
          <c:h val="0.60132400116652096"/>
        </c:manualLayout>
      </c:layout>
      <c:bar3DChart>
        <c:barDir val="col"/>
        <c:grouping val="clustered"/>
        <c:varyColors val="0"/>
        <c:ser>
          <c:idx val="0"/>
          <c:order val="0"/>
          <c:tx>
            <c:strRef>
              <c:f>Feuil1!$A$30</c:f>
              <c:strCache>
                <c:ptCount val="1"/>
                <c:pt idx="0">
                  <c:v>&lt;Lopt</c:v>
                </c:pt>
              </c:strCache>
            </c:strRef>
          </c:tx>
          <c:spPr>
            <a:solidFill>
              <a:schemeClr val="accent1"/>
            </a:solidFill>
            <a:ln>
              <a:noFill/>
            </a:ln>
            <a:effectLst/>
            <a:sp3d/>
          </c:spPr>
          <c:invertIfNegative val="0"/>
          <c:cat>
            <c:strRef>
              <c:f>Feuil1!$B$29:$H$29</c:f>
              <c:strCache>
                <c:ptCount val="7"/>
                <c:pt idx="0">
                  <c:v>Taabo City</c:v>
                </c:pt>
                <c:pt idx="1">
                  <c:v>Senegalegoum</c:v>
                </c:pt>
                <c:pt idx="2">
                  <c:v>Antonio</c:v>
                </c:pt>
                <c:pt idx="3">
                  <c:v>Port</c:v>
                </c:pt>
                <c:pt idx="4">
                  <c:v>Courandj</c:v>
                </c:pt>
                <c:pt idx="5">
                  <c:v>Dike</c:v>
                </c:pt>
                <c:pt idx="6">
                  <c:v>Islands</c:v>
                </c:pt>
              </c:strCache>
            </c:strRef>
          </c:cat>
          <c:val>
            <c:numRef>
              <c:f>Feuil1!$B$30:$H$30</c:f>
              <c:numCache>
                <c:formatCode>General</c:formatCode>
                <c:ptCount val="7"/>
                <c:pt idx="0">
                  <c:v>63.94</c:v>
                </c:pt>
                <c:pt idx="1">
                  <c:v>56.05</c:v>
                </c:pt>
                <c:pt idx="2">
                  <c:v>74.12</c:v>
                </c:pt>
                <c:pt idx="3">
                  <c:v>69.06</c:v>
                </c:pt>
                <c:pt idx="4">
                  <c:v>41.65</c:v>
                </c:pt>
                <c:pt idx="5">
                  <c:v>73.66</c:v>
                </c:pt>
                <c:pt idx="6">
                  <c:v>56.54</c:v>
                </c:pt>
              </c:numCache>
            </c:numRef>
          </c:val>
          <c:extLst>
            <c:ext xmlns:c16="http://schemas.microsoft.com/office/drawing/2014/chart" uri="{C3380CC4-5D6E-409C-BE32-E72D297353CC}">
              <c16:uniqueId val="{00000000-99CE-4F2A-91D1-5DDFFEBAF3EE}"/>
            </c:ext>
          </c:extLst>
        </c:ser>
        <c:ser>
          <c:idx val="1"/>
          <c:order val="1"/>
          <c:tx>
            <c:strRef>
              <c:f>Feuil1!$A$31</c:f>
              <c:strCache>
                <c:ptCount val="1"/>
                <c:pt idx="0">
                  <c:v>Lopt</c:v>
                </c:pt>
              </c:strCache>
            </c:strRef>
          </c:tx>
          <c:spPr>
            <a:solidFill>
              <a:schemeClr val="accent2"/>
            </a:solidFill>
            <a:ln>
              <a:noFill/>
            </a:ln>
            <a:effectLst/>
            <a:sp3d/>
          </c:spPr>
          <c:invertIfNegative val="0"/>
          <c:cat>
            <c:strRef>
              <c:f>Feuil1!$B$29:$H$29</c:f>
              <c:strCache>
                <c:ptCount val="7"/>
                <c:pt idx="0">
                  <c:v>Taabo City</c:v>
                </c:pt>
                <c:pt idx="1">
                  <c:v>Senegalegoum</c:v>
                </c:pt>
                <c:pt idx="2">
                  <c:v>Antonio</c:v>
                </c:pt>
                <c:pt idx="3">
                  <c:v>Port</c:v>
                </c:pt>
                <c:pt idx="4">
                  <c:v>Courandj</c:v>
                </c:pt>
                <c:pt idx="5">
                  <c:v>Dike</c:v>
                </c:pt>
                <c:pt idx="6">
                  <c:v>Islands</c:v>
                </c:pt>
              </c:strCache>
            </c:strRef>
          </c:cat>
          <c:val>
            <c:numRef>
              <c:f>Feuil1!$B$31:$H$31</c:f>
              <c:numCache>
                <c:formatCode>General</c:formatCode>
                <c:ptCount val="7"/>
                <c:pt idx="0">
                  <c:v>32.11</c:v>
                </c:pt>
                <c:pt idx="1">
                  <c:v>38.15</c:v>
                </c:pt>
                <c:pt idx="2">
                  <c:v>23.62</c:v>
                </c:pt>
                <c:pt idx="3">
                  <c:v>27.64</c:v>
                </c:pt>
                <c:pt idx="4">
                  <c:v>46.07</c:v>
                </c:pt>
                <c:pt idx="5">
                  <c:v>23.43</c:v>
                </c:pt>
                <c:pt idx="6">
                  <c:v>27.1</c:v>
                </c:pt>
              </c:numCache>
            </c:numRef>
          </c:val>
          <c:extLst>
            <c:ext xmlns:c16="http://schemas.microsoft.com/office/drawing/2014/chart" uri="{C3380CC4-5D6E-409C-BE32-E72D297353CC}">
              <c16:uniqueId val="{00000001-99CE-4F2A-91D1-5DDFFEBAF3EE}"/>
            </c:ext>
          </c:extLst>
        </c:ser>
        <c:ser>
          <c:idx val="2"/>
          <c:order val="2"/>
          <c:tx>
            <c:strRef>
              <c:f>Feuil1!$A$32</c:f>
              <c:strCache>
                <c:ptCount val="1"/>
                <c:pt idx="0">
                  <c:v>SB</c:v>
                </c:pt>
              </c:strCache>
            </c:strRef>
          </c:tx>
          <c:spPr>
            <a:solidFill>
              <a:schemeClr val="accent3"/>
            </a:solidFill>
            <a:ln>
              <a:noFill/>
            </a:ln>
            <a:effectLst/>
            <a:sp3d/>
          </c:spPr>
          <c:invertIfNegative val="0"/>
          <c:cat>
            <c:strRef>
              <c:f>Feuil1!$B$29:$H$29</c:f>
              <c:strCache>
                <c:ptCount val="7"/>
                <c:pt idx="0">
                  <c:v>Taabo City</c:v>
                </c:pt>
                <c:pt idx="1">
                  <c:v>Senegalegoum</c:v>
                </c:pt>
                <c:pt idx="2">
                  <c:v>Antonio</c:v>
                </c:pt>
                <c:pt idx="3">
                  <c:v>Port</c:v>
                </c:pt>
                <c:pt idx="4">
                  <c:v>Courandj</c:v>
                </c:pt>
                <c:pt idx="5">
                  <c:v>Dike</c:v>
                </c:pt>
                <c:pt idx="6">
                  <c:v>Islands</c:v>
                </c:pt>
              </c:strCache>
            </c:strRef>
          </c:cat>
          <c:val>
            <c:numRef>
              <c:f>Feuil1!$B$32:$H$32</c:f>
              <c:numCache>
                <c:formatCode>General</c:formatCode>
                <c:ptCount val="7"/>
                <c:pt idx="0">
                  <c:v>3.95</c:v>
                </c:pt>
                <c:pt idx="1">
                  <c:v>5.8</c:v>
                </c:pt>
                <c:pt idx="2">
                  <c:v>2.27</c:v>
                </c:pt>
                <c:pt idx="3">
                  <c:v>3.33</c:v>
                </c:pt>
                <c:pt idx="4">
                  <c:v>12.28</c:v>
                </c:pt>
                <c:pt idx="5">
                  <c:v>2.92</c:v>
                </c:pt>
                <c:pt idx="6">
                  <c:v>16.36</c:v>
                </c:pt>
              </c:numCache>
            </c:numRef>
          </c:val>
          <c:extLst>
            <c:ext xmlns:c16="http://schemas.microsoft.com/office/drawing/2014/chart" uri="{C3380CC4-5D6E-409C-BE32-E72D297353CC}">
              <c16:uniqueId val="{00000002-99CE-4F2A-91D1-5DDFFEBAF3EE}"/>
            </c:ext>
          </c:extLst>
        </c:ser>
        <c:ser>
          <c:idx val="3"/>
          <c:order val="3"/>
          <c:tx>
            <c:strRef>
              <c:f>Feuil1!$A$33</c:f>
              <c:strCache>
                <c:ptCount val="1"/>
              </c:strCache>
            </c:strRef>
          </c:tx>
          <c:spPr>
            <a:solidFill>
              <a:schemeClr val="accent4"/>
            </a:solidFill>
            <a:ln>
              <a:noFill/>
            </a:ln>
            <a:effectLst/>
            <a:sp3d/>
          </c:spPr>
          <c:invertIfNegative val="0"/>
          <c:cat>
            <c:strRef>
              <c:f>Feuil1!$B$29:$H$29</c:f>
              <c:strCache>
                <c:ptCount val="7"/>
                <c:pt idx="0">
                  <c:v>Taabo City</c:v>
                </c:pt>
                <c:pt idx="1">
                  <c:v>Senegalegoum</c:v>
                </c:pt>
                <c:pt idx="2">
                  <c:v>Antonio</c:v>
                </c:pt>
                <c:pt idx="3">
                  <c:v>Port</c:v>
                </c:pt>
                <c:pt idx="4">
                  <c:v>Courandj</c:v>
                </c:pt>
                <c:pt idx="5">
                  <c:v>Dike</c:v>
                </c:pt>
                <c:pt idx="6">
                  <c:v>Islands</c:v>
                </c:pt>
              </c:strCache>
            </c:strRef>
          </c:cat>
          <c:val>
            <c:numRef>
              <c:f>Feuil1!$B$33:$H$33</c:f>
              <c:numCache>
                <c:formatCode>General</c:formatCode>
                <c:ptCount val="7"/>
              </c:numCache>
            </c:numRef>
          </c:val>
          <c:extLst>
            <c:ext xmlns:c16="http://schemas.microsoft.com/office/drawing/2014/chart" uri="{C3380CC4-5D6E-409C-BE32-E72D297353CC}">
              <c16:uniqueId val="{00000003-99CE-4F2A-91D1-5DDFFEBAF3EE}"/>
            </c:ext>
          </c:extLst>
        </c:ser>
        <c:dLbls>
          <c:showLegendKey val="0"/>
          <c:showVal val="0"/>
          <c:showCatName val="0"/>
          <c:showSerName val="0"/>
          <c:showPercent val="0"/>
          <c:showBubbleSize val="0"/>
        </c:dLbls>
        <c:gapWidth val="150"/>
        <c:shape val="box"/>
        <c:axId val="1138912639"/>
        <c:axId val="1138920543"/>
        <c:axId val="0"/>
      </c:bar3DChart>
      <c:catAx>
        <c:axId val="113891263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Fishing area</a:t>
                </a:r>
              </a:p>
            </c:rich>
          </c:tx>
          <c:layout>
            <c:manualLayout>
              <c:xMode val="edge"/>
              <c:yMode val="edge"/>
              <c:x val="0.37465244969378825"/>
              <c:y val="0.8439209682123067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8920543"/>
        <c:crosses val="autoZero"/>
        <c:auto val="1"/>
        <c:lblAlgn val="ctr"/>
        <c:lblOffset val="100"/>
        <c:noMultiLvlLbl val="0"/>
      </c:catAx>
      <c:valAx>
        <c:axId val="11389205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Percentage</a:t>
                </a:r>
              </a:p>
            </c:rich>
          </c:tx>
          <c:layout>
            <c:manualLayout>
              <c:xMode val="edge"/>
              <c:yMode val="edge"/>
              <c:x val="5.9840034844026871E-3"/>
              <c:y val="0.1328063129901050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8912639"/>
        <c:crosses val="autoZero"/>
        <c:crossBetween val="between"/>
      </c:valAx>
      <c:spPr>
        <a:noFill/>
        <a:ln>
          <a:noFill/>
        </a:ln>
        <a:effectLst/>
      </c:spPr>
    </c:plotArea>
    <c:legend>
      <c:legendPos val="b"/>
      <c:legendEntry>
        <c:idx val="3"/>
        <c:delete val="1"/>
      </c:legendEntry>
      <c:layout>
        <c:manualLayout>
          <c:xMode val="edge"/>
          <c:yMode val="edge"/>
          <c:x val="0.86055290558380393"/>
          <c:y val="0.16946108399390272"/>
          <c:w val="0.10815194188330116"/>
          <c:h val="0.2082173210741055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689127941147987"/>
          <c:y val="5.1179953814427852E-2"/>
          <c:w val="0.74321011074122356"/>
          <c:h val="0.60540266683093125"/>
        </c:manualLayout>
      </c:layout>
      <c:bar3DChart>
        <c:barDir val="col"/>
        <c:grouping val="clustered"/>
        <c:varyColors val="0"/>
        <c:ser>
          <c:idx val="0"/>
          <c:order val="0"/>
          <c:tx>
            <c:strRef>
              <c:f>Feuil1!$A$5</c:f>
              <c:strCache>
                <c:ptCount val="1"/>
                <c:pt idx="0">
                  <c:v>DS</c:v>
                </c:pt>
              </c:strCache>
            </c:strRef>
          </c:tx>
          <c:spPr>
            <a:solidFill>
              <a:schemeClr val="accent1"/>
            </a:solidFill>
            <a:ln>
              <a:noFill/>
            </a:ln>
            <a:effectLst/>
            <a:sp3d/>
          </c:spPr>
          <c:invertIfNegative val="0"/>
          <c:cat>
            <c:strRef>
              <c:f>Feuil1!$B$4:$H$4</c:f>
              <c:strCache>
                <c:ptCount val="7"/>
                <c:pt idx="0">
                  <c:v>Taabo City</c:v>
                </c:pt>
                <c:pt idx="1">
                  <c:v>Senegalegoum</c:v>
                </c:pt>
                <c:pt idx="2">
                  <c:v>Antonio</c:v>
                </c:pt>
                <c:pt idx="3">
                  <c:v>Port</c:v>
                </c:pt>
                <c:pt idx="4">
                  <c:v>Courandj</c:v>
                </c:pt>
                <c:pt idx="5">
                  <c:v>Dike</c:v>
                </c:pt>
                <c:pt idx="6">
                  <c:v>Islands</c:v>
                </c:pt>
              </c:strCache>
            </c:strRef>
          </c:cat>
          <c:val>
            <c:numRef>
              <c:f>Feuil1!$B$5:$H$5</c:f>
              <c:numCache>
                <c:formatCode>General</c:formatCode>
                <c:ptCount val="7"/>
                <c:pt idx="0">
                  <c:v>45.13</c:v>
                </c:pt>
                <c:pt idx="1">
                  <c:v>32.29</c:v>
                </c:pt>
                <c:pt idx="2">
                  <c:v>29.16</c:v>
                </c:pt>
                <c:pt idx="3">
                  <c:v>30.99</c:v>
                </c:pt>
                <c:pt idx="4">
                  <c:v>44.64</c:v>
                </c:pt>
                <c:pt idx="5">
                  <c:v>21.02</c:v>
                </c:pt>
                <c:pt idx="6">
                  <c:v>33.33</c:v>
                </c:pt>
              </c:numCache>
            </c:numRef>
          </c:val>
          <c:extLst>
            <c:ext xmlns:c16="http://schemas.microsoft.com/office/drawing/2014/chart" uri="{C3380CC4-5D6E-409C-BE32-E72D297353CC}">
              <c16:uniqueId val="{00000000-CAD7-4925-95E0-761F0DCDD845}"/>
            </c:ext>
          </c:extLst>
        </c:ser>
        <c:ser>
          <c:idx val="1"/>
          <c:order val="1"/>
          <c:tx>
            <c:strRef>
              <c:f>Feuil1!$A$6</c:f>
              <c:strCache>
                <c:ptCount val="1"/>
                <c:pt idx="0">
                  <c:v>RS</c:v>
                </c:pt>
              </c:strCache>
            </c:strRef>
          </c:tx>
          <c:spPr>
            <a:solidFill>
              <a:schemeClr val="accent2"/>
            </a:solidFill>
            <a:ln>
              <a:noFill/>
            </a:ln>
            <a:effectLst/>
            <a:sp3d/>
          </c:spPr>
          <c:invertIfNegative val="0"/>
          <c:cat>
            <c:strRef>
              <c:f>Feuil1!$B$4:$H$4</c:f>
              <c:strCache>
                <c:ptCount val="7"/>
                <c:pt idx="0">
                  <c:v>Taabo City</c:v>
                </c:pt>
                <c:pt idx="1">
                  <c:v>Senegalegoum</c:v>
                </c:pt>
                <c:pt idx="2">
                  <c:v>Antonio</c:v>
                </c:pt>
                <c:pt idx="3">
                  <c:v>Port</c:v>
                </c:pt>
                <c:pt idx="4">
                  <c:v>Courandj</c:v>
                </c:pt>
                <c:pt idx="5">
                  <c:v>Dike</c:v>
                </c:pt>
                <c:pt idx="6">
                  <c:v>Islands</c:v>
                </c:pt>
              </c:strCache>
            </c:strRef>
          </c:cat>
          <c:val>
            <c:numRef>
              <c:f>Feuil1!$B$6:$H$6</c:f>
              <c:numCache>
                <c:formatCode>General</c:formatCode>
                <c:ptCount val="7"/>
                <c:pt idx="0">
                  <c:v>28.31</c:v>
                </c:pt>
                <c:pt idx="1">
                  <c:v>41.89</c:v>
                </c:pt>
                <c:pt idx="2">
                  <c:v>18.53</c:v>
                </c:pt>
                <c:pt idx="3">
                  <c:v>16.98</c:v>
                </c:pt>
                <c:pt idx="4">
                  <c:v>45.45</c:v>
                </c:pt>
                <c:pt idx="5">
                  <c:v>26.61</c:v>
                </c:pt>
                <c:pt idx="6">
                  <c:v>25.58</c:v>
                </c:pt>
              </c:numCache>
            </c:numRef>
          </c:val>
          <c:extLst>
            <c:ext xmlns:c16="http://schemas.microsoft.com/office/drawing/2014/chart" uri="{C3380CC4-5D6E-409C-BE32-E72D297353CC}">
              <c16:uniqueId val="{00000001-CAD7-4925-95E0-761F0DCDD845}"/>
            </c:ext>
          </c:extLst>
        </c:ser>
        <c:dLbls>
          <c:showLegendKey val="0"/>
          <c:showVal val="0"/>
          <c:showCatName val="0"/>
          <c:showSerName val="0"/>
          <c:showPercent val="0"/>
          <c:showBubbleSize val="0"/>
        </c:dLbls>
        <c:gapWidth val="150"/>
        <c:shape val="box"/>
        <c:axId val="1046765215"/>
        <c:axId val="1046761887"/>
        <c:axId val="0"/>
      </c:bar3DChart>
      <c:catAx>
        <c:axId val="1046765215"/>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Fishing area</a:t>
                </a:r>
              </a:p>
            </c:rich>
          </c:tx>
          <c:layout>
            <c:manualLayout>
              <c:xMode val="edge"/>
              <c:yMode val="edge"/>
              <c:x val="0.40913667132402598"/>
              <c:y val="0.7909504714688441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46761887"/>
        <c:crosses val="autoZero"/>
        <c:auto val="1"/>
        <c:lblAlgn val="ctr"/>
        <c:lblOffset val="100"/>
        <c:noMultiLvlLbl val="0"/>
      </c:catAx>
      <c:valAx>
        <c:axId val="10467618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percentage</a:t>
                </a:r>
              </a:p>
            </c:rich>
          </c:tx>
          <c:layout>
            <c:manualLayout>
              <c:xMode val="edge"/>
              <c:yMode val="edge"/>
              <c:x val="4.6259019592900789E-2"/>
              <c:y val="9.2001895041159007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46765215"/>
        <c:crosses val="autoZero"/>
        <c:crossBetween val="between"/>
      </c:valAx>
      <c:spPr>
        <a:noFill/>
        <a:ln>
          <a:noFill/>
        </a:ln>
        <a:effectLst/>
      </c:spPr>
    </c:plotArea>
    <c:legend>
      <c:legendPos val="b"/>
      <c:layout>
        <c:manualLayout>
          <c:xMode val="edge"/>
          <c:yMode val="edge"/>
          <c:x val="0.90013362017469756"/>
          <c:y val="0.14295972743666782"/>
          <c:w val="6.4900089899179045E-2"/>
          <c:h val="0.1973824700483868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Senegalegoum</a:t>
            </a:r>
          </a:p>
        </c:rich>
      </c:tx>
      <c:layout>
        <c:manualLayout>
          <c:xMode val="edge"/>
          <c:yMode val="edge"/>
          <c:x val="0.1803237659808653"/>
          <c:y val="6.4816764214633629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311827956989246E-2"/>
          <c:y val="0.19108734402852046"/>
          <c:w val="0.67304309541952412"/>
          <c:h val="0.73048128342245988"/>
        </c:manualLayout>
      </c:layout>
      <c:pie3DChart>
        <c:varyColors val="1"/>
        <c:ser>
          <c:idx val="0"/>
          <c:order val="0"/>
          <c:tx>
            <c:strRef>
              <c:f>Feuil4!$I$7</c:f>
              <c:strCache>
                <c:ptCount val="1"/>
                <c:pt idx="0">
                  <c:v>Senegalegoum</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8BD8-4A6B-ACA9-83CA54342969}"/>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8BD8-4A6B-ACA9-83CA54342969}"/>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8BD8-4A6B-ACA9-83CA5434296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Feuil4!$J$6:$L$6</c:f>
              <c:strCache>
                <c:ptCount val="3"/>
                <c:pt idx="0">
                  <c:v>Imm</c:v>
                </c:pt>
                <c:pt idx="1">
                  <c:v>M matures</c:v>
                </c:pt>
                <c:pt idx="2">
                  <c:v>F matures</c:v>
                </c:pt>
              </c:strCache>
            </c:strRef>
          </c:cat>
          <c:val>
            <c:numRef>
              <c:f>Feuil4!$J$7:$L$7</c:f>
              <c:numCache>
                <c:formatCode>General</c:formatCode>
                <c:ptCount val="3"/>
                <c:pt idx="0">
                  <c:v>27.14</c:v>
                </c:pt>
                <c:pt idx="1">
                  <c:v>41.57</c:v>
                </c:pt>
                <c:pt idx="2">
                  <c:v>31.29</c:v>
                </c:pt>
              </c:numCache>
            </c:numRef>
          </c:val>
          <c:extLst>
            <c:ext xmlns:c16="http://schemas.microsoft.com/office/drawing/2014/chart" uri="{C3380CC4-5D6E-409C-BE32-E72D297353CC}">
              <c16:uniqueId val="{00000006-8BD8-4A6B-ACA9-83CA54342969}"/>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6542849885699773"/>
          <c:y val="0.88349935719546968"/>
          <c:w val="0.634734400135467"/>
          <c:h val="0.11197822236387672"/>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fr-FR" sz="1200">
                <a:latin typeface="Times New Roman" panose="02020603050405020304" pitchFamily="18" charset="0"/>
                <a:cs typeface="Times New Roman" panose="02020603050405020304" pitchFamily="18" charset="0"/>
              </a:rPr>
              <a:t>Taabo city</a:t>
            </a:r>
          </a:p>
        </c:rich>
      </c:tx>
      <c:layout>
        <c:manualLayout>
          <c:xMode val="edge"/>
          <c:yMode val="edge"/>
          <c:x val="0.26236486262002062"/>
          <c:y val="1.209803998380798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413502109704644E-2"/>
          <c:y val="0.17114427860696516"/>
          <c:w val="0.68347054719425893"/>
          <c:h val="0.75588723051409623"/>
        </c:manualLayout>
      </c:layout>
      <c:pie3DChart>
        <c:varyColors val="1"/>
        <c:ser>
          <c:idx val="0"/>
          <c:order val="0"/>
          <c:tx>
            <c:strRef>
              <c:f>Feuil4!$I$4</c:f>
              <c:strCache>
                <c:ptCount val="1"/>
                <c:pt idx="0">
                  <c:v>Taabo cité</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F3C7-439F-86A0-F9B50DB7503B}"/>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F3C7-439F-86A0-F9B50DB7503B}"/>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F3C7-439F-86A0-F9B50DB7503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Feuil4!$J$3:$L$3</c:f>
              <c:strCache>
                <c:ptCount val="3"/>
                <c:pt idx="0">
                  <c:v>Imm</c:v>
                </c:pt>
                <c:pt idx="1">
                  <c:v>M matures</c:v>
                </c:pt>
                <c:pt idx="2">
                  <c:v>F matures</c:v>
                </c:pt>
              </c:strCache>
            </c:strRef>
          </c:cat>
          <c:val>
            <c:numRef>
              <c:f>Feuil4!$J$4:$L$4</c:f>
              <c:numCache>
                <c:formatCode>General</c:formatCode>
                <c:ptCount val="3"/>
                <c:pt idx="0">
                  <c:v>26.58</c:v>
                </c:pt>
                <c:pt idx="1">
                  <c:v>43.01</c:v>
                </c:pt>
                <c:pt idx="2">
                  <c:v>30.42</c:v>
                </c:pt>
              </c:numCache>
            </c:numRef>
          </c:val>
          <c:extLst>
            <c:ext xmlns:c16="http://schemas.microsoft.com/office/drawing/2014/chart" uri="{C3380CC4-5D6E-409C-BE32-E72D297353CC}">
              <c16:uniqueId val="{00000006-F3C7-439F-86A0-F9B50DB7503B}"/>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4646466660021928"/>
          <c:y val="0.88805891800838332"/>
          <c:w val="0.62268248114555302"/>
          <c:h val="0.11194108199161672"/>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Dike</a:t>
            </a:r>
          </a:p>
        </c:rich>
      </c:tx>
      <c:layout>
        <c:manualLayout>
          <c:xMode val="edge"/>
          <c:yMode val="edge"/>
          <c:x val="0.28946227875361735"/>
          <c:y val="6.9719497353333644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008547008547008E-2"/>
          <c:y val="0.19217877094972063"/>
          <c:w val="0.67941247728649301"/>
          <c:h val="0.72588454376163869"/>
        </c:manualLayout>
      </c:layout>
      <c:pie3DChart>
        <c:varyColors val="1"/>
        <c:ser>
          <c:idx val="0"/>
          <c:order val="0"/>
          <c:tx>
            <c:strRef>
              <c:f>Feuil4!$N$7</c:f>
              <c:strCache>
                <c:ptCount val="1"/>
                <c:pt idx="0">
                  <c:v>Digue</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3DA0-4F6D-BC04-AF775F853BDF}"/>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3DA0-4F6D-BC04-AF775F853BDF}"/>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3DA0-4F6D-BC04-AF775F853BD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Feuil4!$O$6:$Q$6</c:f>
              <c:strCache>
                <c:ptCount val="3"/>
                <c:pt idx="0">
                  <c:v>Imm</c:v>
                </c:pt>
                <c:pt idx="1">
                  <c:v>M matures</c:v>
                </c:pt>
                <c:pt idx="2">
                  <c:v>F matures</c:v>
                </c:pt>
              </c:strCache>
            </c:strRef>
          </c:cat>
          <c:val>
            <c:numRef>
              <c:f>Feuil4!$O$7:$Q$7</c:f>
              <c:numCache>
                <c:formatCode>General</c:formatCode>
                <c:ptCount val="3"/>
                <c:pt idx="0">
                  <c:v>34.19</c:v>
                </c:pt>
                <c:pt idx="1">
                  <c:v>46.04</c:v>
                </c:pt>
                <c:pt idx="2">
                  <c:v>19.77</c:v>
                </c:pt>
              </c:numCache>
            </c:numRef>
          </c:val>
          <c:extLst>
            <c:ext xmlns:c16="http://schemas.microsoft.com/office/drawing/2014/chart" uri="{C3380CC4-5D6E-409C-BE32-E72D297353CC}">
              <c16:uniqueId val="{00000006-3DA0-4F6D-BC04-AF775F853BDF}"/>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8466720506090584"/>
          <c:y val="0.86685200662766315"/>
          <c:w val="0.63066558987818833"/>
          <c:h val="0.12569920380064226"/>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Antonio</a:t>
            </a:r>
          </a:p>
        </c:rich>
      </c:tx>
      <c:layout>
        <c:manualLayout>
          <c:xMode val="edge"/>
          <c:yMode val="edge"/>
          <c:x val="0.27524463288242818"/>
          <c:y val="1.2363880046909004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008547008547008E-2"/>
          <c:y val="0.13333333333333333"/>
          <c:w val="0.72642102429504007"/>
          <c:h val="0.78865248226950357"/>
        </c:manualLayout>
      </c:layout>
      <c:pie3DChart>
        <c:varyColors val="1"/>
        <c:ser>
          <c:idx val="0"/>
          <c:order val="0"/>
          <c:tx>
            <c:strRef>
              <c:f>Feuil4!$N$4</c:f>
              <c:strCache>
                <c:ptCount val="1"/>
                <c:pt idx="0">
                  <c:v>Antonio</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CC49-49A4-B3CC-35E4C453EA3A}"/>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CC49-49A4-B3CC-35E4C453EA3A}"/>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CC49-49A4-B3CC-35E4C453EA3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Feuil4!$O$3:$Q$3</c:f>
              <c:strCache>
                <c:ptCount val="3"/>
                <c:pt idx="0">
                  <c:v>Imm</c:v>
                </c:pt>
                <c:pt idx="1">
                  <c:v>M matures</c:v>
                </c:pt>
                <c:pt idx="2">
                  <c:v>F matures</c:v>
                </c:pt>
              </c:strCache>
            </c:strRef>
          </c:cat>
          <c:val>
            <c:numRef>
              <c:f>Feuil4!$O$4:$Q$4</c:f>
              <c:numCache>
                <c:formatCode>General</c:formatCode>
                <c:ptCount val="3"/>
                <c:pt idx="0">
                  <c:v>40.36</c:v>
                </c:pt>
                <c:pt idx="1">
                  <c:v>22.27</c:v>
                </c:pt>
                <c:pt idx="2">
                  <c:v>37.369999999999997</c:v>
                </c:pt>
              </c:numCache>
            </c:numRef>
          </c:val>
          <c:extLst>
            <c:ext xmlns:c16="http://schemas.microsoft.com/office/drawing/2014/chart" uri="{C3380CC4-5D6E-409C-BE32-E72D297353CC}">
              <c16:uniqueId val="{00000006-CC49-49A4-B3CC-35E4C453EA3A}"/>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7184669224039303"/>
          <c:y val="0.87322611269336015"/>
          <c:w val="0.63066558987818833"/>
          <c:h val="0.11968168872507959"/>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Courandjourou</a:t>
            </a:r>
          </a:p>
        </c:rich>
      </c:tx>
      <c:layout>
        <c:manualLayout>
          <c:xMode val="edge"/>
          <c:yMode val="edge"/>
          <c:x val="0.22784390689902501"/>
          <c:y val="3.469051805417527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9439360620462981E-2"/>
          <c:y val="0.15209744413016332"/>
          <c:w val="0.66308891568734085"/>
          <c:h val="0.7158993960706368"/>
        </c:manualLayout>
      </c:layout>
      <c:pie3DChart>
        <c:varyColors val="1"/>
        <c:ser>
          <c:idx val="0"/>
          <c:order val="0"/>
          <c:tx>
            <c:strRef>
              <c:f>Feuil4!$I$13</c:f>
              <c:strCache>
                <c:ptCount val="1"/>
                <c:pt idx="0">
                  <c:v>Courandjourou</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1C43-497E-AF59-3E3331390AEA}"/>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1C43-497E-AF59-3E3331390AEA}"/>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1C43-497E-AF59-3E3331390AE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Feuil4!$J$12:$L$12</c:f>
              <c:strCache>
                <c:ptCount val="3"/>
                <c:pt idx="0">
                  <c:v>Imm</c:v>
                </c:pt>
                <c:pt idx="1">
                  <c:v>M matures</c:v>
                </c:pt>
                <c:pt idx="2">
                  <c:v>F matures</c:v>
                </c:pt>
              </c:strCache>
            </c:strRef>
          </c:cat>
          <c:val>
            <c:numRef>
              <c:f>Feuil4!$J$13:$L$13</c:f>
              <c:numCache>
                <c:formatCode>General</c:formatCode>
                <c:ptCount val="3"/>
                <c:pt idx="0">
                  <c:v>23.81</c:v>
                </c:pt>
                <c:pt idx="1">
                  <c:v>15.48</c:v>
                </c:pt>
                <c:pt idx="2">
                  <c:v>60.71</c:v>
                </c:pt>
              </c:numCache>
            </c:numRef>
          </c:val>
          <c:extLst>
            <c:ext xmlns:c16="http://schemas.microsoft.com/office/drawing/2014/chart" uri="{C3380CC4-5D6E-409C-BE32-E72D297353CC}">
              <c16:uniqueId val="{00000006-1C43-497E-AF59-3E3331390AEA}"/>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Port</a:t>
            </a:r>
          </a:p>
        </c:rich>
      </c:tx>
      <c:layout>
        <c:manualLayout>
          <c:xMode val="edge"/>
          <c:yMode val="edge"/>
          <c:x val="0.3027914548656101"/>
          <c:y val="6.815680298027261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1083099906629318E-2"/>
          <c:y val="0.17952338344070629"/>
          <c:w val="0.72490034308851325"/>
          <c:h val="0.7464036029587211"/>
        </c:manualLayout>
      </c:layout>
      <c:pie3DChart>
        <c:varyColors val="1"/>
        <c:ser>
          <c:idx val="0"/>
          <c:order val="0"/>
          <c:tx>
            <c:strRef>
              <c:f>Feuil4!$I$10</c:f>
              <c:strCache>
                <c:ptCount val="1"/>
                <c:pt idx="0">
                  <c:v>Port</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0354-4E62-91BA-0CDA2EB87B91}"/>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0354-4E62-91BA-0CDA2EB87B91}"/>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0354-4E62-91BA-0CDA2EB87B9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Feuil4!$J$9:$L$9</c:f>
              <c:strCache>
                <c:ptCount val="3"/>
                <c:pt idx="0">
                  <c:v>Imm</c:v>
                </c:pt>
                <c:pt idx="1">
                  <c:v>M matures</c:v>
                </c:pt>
                <c:pt idx="2">
                  <c:v>F matures</c:v>
                </c:pt>
              </c:strCache>
            </c:strRef>
          </c:cat>
          <c:val>
            <c:numRef>
              <c:f>Feuil4!$J$10:$L$10</c:f>
              <c:numCache>
                <c:formatCode>General</c:formatCode>
                <c:ptCount val="3"/>
                <c:pt idx="0">
                  <c:v>43.99</c:v>
                </c:pt>
                <c:pt idx="1">
                  <c:v>24.96</c:v>
                </c:pt>
                <c:pt idx="2">
                  <c:v>31.05</c:v>
                </c:pt>
              </c:numCache>
            </c:numRef>
          </c:val>
          <c:extLst>
            <c:ext xmlns:c16="http://schemas.microsoft.com/office/drawing/2014/chart" uri="{C3380CC4-5D6E-409C-BE32-E72D297353CC}">
              <c16:uniqueId val="{00000006-0354-4E62-91BA-0CDA2EB87B91}"/>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8865875942722349"/>
          <c:y val="0.87186295261479407"/>
          <c:w val="0.62268248114555313"/>
          <c:h val="0.12096858860384389"/>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Islands</a:t>
            </a:r>
          </a:p>
        </c:rich>
      </c:tx>
      <c:layout>
        <c:manualLayout>
          <c:xMode val="edge"/>
          <c:yMode val="edge"/>
          <c:x val="0.37966714387974232"/>
          <c:y val="5.6938263151888593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0574743497971843E-2"/>
          <c:y val="0.14474666210201984"/>
          <c:w val="0.68049302075876883"/>
          <c:h val="0.71032580166609605"/>
        </c:manualLayout>
      </c:layout>
      <c:pie3DChart>
        <c:varyColors val="1"/>
        <c:ser>
          <c:idx val="0"/>
          <c:order val="0"/>
          <c:tx>
            <c:strRef>
              <c:f>Feuil4!$N$13</c:f>
              <c:strCache>
                <c:ptCount val="1"/>
                <c:pt idx="0">
                  <c:v>Iles</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3533-47B7-8F19-521DE254CED9}"/>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3533-47B7-8F19-521DE254CED9}"/>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3533-47B7-8F19-521DE254CED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Feuil4!$O$12:$Q$12</c:f>
              <c:strCache>
                <c:ptCount val="3"/>
                <c:pt idx="0">
                  <c:v>Imm</c:v>
                </c:pt>
                <c:pt idx="1">
                  <c:v>M matures</c:v>
                </c:pt>
                <c:pt idx="2">
                  <c:v>F matures</c:v>
                </c:pt>
              </c:strCache>
            </c:strRef>
          </c:cat>
          <c:val>
            <c:numRef>
              <c:f>Feuil4!$O$13:$Q$13</c:f>
              <c:numCache>
                <c:formatCode>General</c:formatCode>
                <c:ptCount val="3"/>
                <c:pt idx="0">
                  <c:v>52.71</c:v>
                </c:pt>
                <c:pt idx="1">
                  <c:v>12.81</c:v>
                </c:pt>
                <c:pt idx="2">
                  <c:v>34.479999999999997</c:v>
                </c:pt>
              </c:numCache>
            </c:numRef>
          </c:val>
          <c:extLst>
            <c:ext xmlns:c16="http://schemas.microsoft.com/office/drawing/2014/chart" uri="{C3380CC4-5D6E-409C-BE32-E72D297353CC}">
              <c16:uniqueId val="{00000006-3533-47B7-8F19-521DE254CED9}"/>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8262168933428777"/>
          <c:y val="0.83423827456350563"/>
          <c:w val="0.55899904557384883"/>
          <c:h val="0.12678526003182736"/>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Feuil1!$B$87</c:f>
              <c:strCache>
                <c:ptCount val="1"/>
                <c:pt idx="0">
                  <c:v>Taabo City</c:v>
                </c:pt>
              </c:strCache>
            </c:strRef>
          </c:tx>
          <c:spPr>
            <a:solidFill>
              <a:schemeClr val="accent1"/>
            </a:solidFill>
            <a:ln>
              <a:noFill/>
            </a:ln>
            <a:effectLst/>
            <a:sp3d/>
          </c:spPr>
          <c:invertIfNegative val="0"/>
          <c:cat>
            <c:strRef>
              <c:f>Feuil1!$A$88:$A$91</c:f>
              <c:strCache>
                <c:ptCount val="4"/>
                <c:pt idx="0">
                  <c:v>SRS</c:v>
                </c:pt>
                <c:pt idx="1">
                  <c:v>LDS</c:v>
                </c:pt>
                <c:pt idx="2">
                  <c:v>LRS</c:v>
                </c:pt>
                <c:pt idx="3">
                  <c:v>SDS</c:v>
                </c:pt>
              </c:strCache>
            </c:strRef>
          </c:cat>
          <c:val>
            <c:numRef>
              <c:f>Feuil1!$B$88:$B$91</c:f>
              <c:numCache>
                <c:formatCode>General</c:formatCode>
                <c:ptCount val="4"/>
                <c:pt idx="0">
                  <c:v>25.09</c:v>
                </c:pt>
                <c:pt idx="1">
                  <c:v>8.9</c:v>
                </c:pt>
                <c:pt idx="2">
                  <c:v>38.61</c:v>
                </c:pt>
                <c:pt idx="3">
                  <c:v>27.4</c:v>
                </c:pt>
              </c:numCache>
            </c:numRef>
          </c:val>
          <c:extLst>
            <c:ext xmlns:c16="http://schemas.microsoft.com/office/drawing/2014/chart" uri="{C3380CC4-5D6E-409C-BE32-E72D297353CC}">
              <c16:uniqueId val="{00000000-77B7-4E23-A6C7-A8B72F896A43}"/>
            </c:ext>
          </c:extLst>
        </c:ser>
        <c:ser>
          <c:idx val="1"/>
          <c:order val="1"/>
          <c:tx>
            <c:strRef>
              <c:f>Feuil1!$C$87</c:f>
              <c:strCache>
                <c:ptCount val="1"/>
                <c:pt idx="0">
                  <c:v>Senegalegoum</c:v>
                </c:pt>
              </c:strCache>
            </c:strRef>
          </c:tx>
          <c:spPr>
            <a:solidFill>
              <a:schemeClr val="accent2"/>
            </a:solidFill>
            <a:ln>
              <a:noFill/>
            </a:ln>
            <a:effectLst/>
            <a:sp3d/>
          </c:spPr>
          <c:invertIfNegative val="0"/>
          <c:cat>
            <c:strRef>
              <c:f>Feuil1!$A$88:$A$91</c:f>
              <c:strCache>
                <c:ptCount val="4"/>
                <c:pt idx="0">
                  <c:v>SRS</c:v>
                </c:pt>
                <c:pt idx="1">
                  <c:v>LDS</c:v>
                </c:pt>
                <c:pt idx="2">
                  <c:v>LRS</c:v>
                </c:pt>
                <c:pt idx="3">
                  <c:v>SDS</c:v>
                </c:pt>
              </c:strCache>
            </c:strRef>
          </c:cat>
          <c:val>
            <c:numRef>
              <c:f>Feuil1!$C$88:$C$91</c:f>
              <c:numCache>
                <c:formatCode>General</c:formatCode>
                <c:ptCount val="4"/>
                <c:pt idx="0">
                  <c:v>33.450000000000003</c:v>
                </c:pt>
                <c:pt idx="1">
                  <c:v>14.08</c:v>
                </c:pt>
                <c:pt idx="2">
                  <c:v>4.2300000000000004</c:v>
                </c:pt>
                <c:pt idx="3">
                  <c:v>48.24</c:v>
                </c:pt>
              </c:numCache>
            </c:numRef>
          </c:val>
          <c:extLst>
            <c:ext xmlns:c16="http://schemas.microsoft.com/office/drawing/2014/chart" uri="{C3380CC4-5D6E-409C-BE32-E72D297353CC}">
              <c16:uniqueId val="{00000001-77B7-4E23-A6C7-A8B72F896A43}"/>
            </c:ext>
          </c:extLst>
        </c:ser>
        <c:ser>
          <c:idx val="2"/>
          <c:order val="2"/>
          <c:tx>
            <c:strRef>
              <c:f>Feuil1!$D$87</c:f>
              <c:strCache>
                <c:ptCount val="1"/>
                <c:pt idx="0">
                  <c:v>Antonio</c:v>
                </c:pt>
              </c:strCache>
            </c:strRef>
          </c:tx>
          <c:spPr>
            <a:solidFill>
              <a:schemeClr val="accent3"/>
            </a:solidFill>
            <a:ln>
              <a:noFill/>
            </a:ln>
            <a:effectLst/>
            <a:sp3d/>
          </c:spPr>
          <c:invertIfNegative val="0"/>
          <c:cat>
            <c:strRef>
              <c:f>Feuil1!$A$88:$A$91</c:f>
              <c:strCache>
                <c:ptCount val="4"/>
                <c:pt idx="0">
                  <c:v>SRS</c:v>
                </c:pt>
                <c:pt idx="1">
                  <c:v>LDS</c:v>
                </c:pt>
                <c:pt idx="2">
                  <c:v>LRS</c:v>
                </c:pt>
                <c:pt idx="3">
                  <c:v>SDS</c:v>
                </c:pt>
              </c:strCache>
            </c:strRef>
          </c:cat>
          <c:val>
            <c:numRef>
              <c:f>Feuil1!$D$88:$D$91</c:f>
              <c:numCache>
                <c:formatCode>General</c:formatCode>
                <c:ptCount val="4"/>
                <c:pt idx="0">
                  <c:v>17.39</c:v>
                </c:pt>
                <c:pt idx="1">
                  <c:v>49.46</c:v>
                </c:pt>
                <c:pt idx="2">
                  <c:v>27.99</c:v>
                </c:pt>
                <c:pt idx="3">
                  <c:v>5.16</c:v>
                </c:pt>
              </c:numCache>
            </c:numRef>
          </c:val>
          <c:extLst>
            <c:ext xmlns:c16="http://schemas.microsoft.com/office/drawing/2014/chart" uri="{C3380CC4-5D6E-409C-BE32-E72D297353CC}">
              <c16:uniqueId val="{00000002-77B7-4E23-A6C7-A8B72F896A43}"/>
            </c:ext>
          </c:extLst>
        </c:ser>
        <c:ser>
          <c:idx val="3"/>
          <c:order val="3"/>
          <c:tx>
            <c:strRef>
              <c:f>Feuil1!$E$87</c:f>
              <c:strCache>
                <c:ptCount val="1"/>
                <c:pt idx="0">
                  <c:v>Port</c:v>
                </c:pt>
              </c:strCache>
            </c:strRef>
          </c:tx>
          <c:spPr>
            <a:solidFill>
              <a:schemeClr val="accent4"/>
            </a:solidFill>
            <a:ln>
              <a:noFill/>
            </a:ln>
            <a:effectLst/>
            <a:sp3d/>
          </c:spPr>
          <c:invertIfNegative val="0"/>
          <c:cat>
            <c:strRef>
              <c:f>Feuil1!$A$88:$A$91</c:f>
              <c:strCache>
                <c:ptCount val="4"/>
                <c:pt idx="0">
                  <c:v>SRS</c:v>
                </c:pt>
                <c:pt idx="1">
                  <c:v>LDS</c:v>
                </c:pt>
                <c:pt idx="2">
                  <c:v>LRS</c:v>
                </c:pt>
                <c:pt idx="3">
                  <c:v>SDS</c:v>
                </c:pt>
              </c:strCache>
            </c:strRef>
          </c:cat>
          <c:val>
            <c:numRef>
              <c:f>Feuil1!$E$88:$E$91</c:f>
              <c:numCache>
                <c:formatCode>General</c:formatCode>
                <c:ptCount val="4"/>
                <c:pt idx="0">
                  <c:v>24.01</c:v>
                </c:pt>
                <c:pt idx="1">
                  <c:v>50.66</c:v>
                </c:pt>
                <c:pt idx="2">
                  <c:v>0</c:v>
                </c:pt>
                <c:pt idx="3">
                  <c:v>25.33</c:v>
                </c:pt>
              </c:numCache>
            </c:numRef>
          </c:val>
          <c:extLst>
            <c:ext xmlns:c16="http://schemas.microsoft.com/office/drawing/2014/chart" uri="{C3380CC4-5D6E-409C-BE32-E72D297353CC}">
              <c16:uniqueId val="{00000003-77B7-4E23-A6C7-A8B72F896A43}"/>
            </c:ext>
          </c:extLst>
        </c:ser>
        <c:ser>
          <c:idx val="4"/>
          <c:order val="4"/>
          <c:tx>
            <c:strRef>
              <c:f>Feuil1!$F$87</c:f>
              <c:strCache>
                <c:ptCount val="1"/>
                <c:pt idx="0">
                  <c:v>Courandj</c:v>
                </c:pt>
              </c:strCache>
            </c:strRef>
          </c:tx>
          <c:spPr>
            <a:solidFill>
              <a:schemeClr val="accent5"/>
            </a:solidFill>
            <a:ln>
              <a:noFill/>
            </a:ln>
            <a:effectLst/>
            <a:sp3d/>
          </c:spPr>
          <c:invertIfNegative val="0"/>
          <c:cat>
            <c:strRef>
              <c:f>Feuil1!$A$88:$A$91</c:f>
              <c:strCache>
                <c:ptCount val="4"/>
                <c:pt idx="0">
                  <c:v>SRS</c:v>
                </c:pt>
                <c:pt idx="1">
                  <c:v>LDS</c:v>
                </c:pt>
                <c:pt idx="2">
                  <c:v>LRS</c:v>
                </c:pt>
                <c:pt idx="3">
                  <c:v>SDS</c:v>
                </c:pt>
              </c:strCache>
            </c:strRef>
          </c:cat>
          <c:val>
            <c:numRef>
              <c:f>Feuil1!$F$88:$F$91</c:f>
              <c:numCache>
                <c:formatCode>General</c:formatCode>
                <c:ptCount val="4"/>
                <c:pt idx="0">
                  <c:v>0</c:v>
                </c:pt>
                <c:pt idx="1">
                  <c:v>52.88</c:v>
                </c:pt>
                <c:pt idx="2">
                  <c:v>8.6300000000000008</c:v>
                </c:pt>
                <c:pt idx="3">
                  <c:v>38.49</c:v>
                </c:pt>
              </c:numCache>
            </c:numRef>
          </c:val>
          <c:extLst>
            <c:ext xmlns:c16="http://schemas.microsoft.com/office/drawing/2014/chart" uri="{C3380CC4-5D6E-409C-BE32-E72D297353CC}">
              <c16:uniqueId val="{00000004-77B7-4E23-A6C7-A8B72F896A43}"/>
            </c:ext>
          </c:extLst>
        </c:ser>
        <c:ser>
          <c:idx val="5"/>
          <c:order val="5"/>
          <c:tx>
            <c:strRef>
              <c:f>Feuil1!$G$87</c:f>
              <c:strCache>
                <c:ptCount val="1"/>
                <c:pt idx="0">
                  <c:v>Dike</c:v>
                </c:pt>
              </c:strCache>
            </c:strRef>
          </c:tx>
          <c:spPr>
            <a:solidFill>
              <a:schemeClr val="accent6"/>
            </a:solidFill>
            <a:ln>
              <a:noFill/>
            </a:ln>
            <a:effectLst/>
            <a:sp3d/>
          </c:spPr>
          <c:invertIfNegative val="0"/>
          <c:cat>
            <c:strRef>
              <c:f>Feuil1!$A$88:$A$91</c:f>
              <c:strCache>
                <c:ptCount val="4"/>
                <c:pt idx="0">
                  <c:v>SRS</c:v>
                </c:pt>
                <c:pt idx="1">
                  <c:v>LDS</c:v>
                </c:pt>
                <c:pt idx="2">
                  <c:v>LRS</c:v>
                </c:pt>
                <c:pt idx="3">
                  <c:v>SDS</c:v>
                </c:pt>
              </c:strCache>
            </c:strRef>
          </c:cat>
          <c:val>
            <c:numRef>
              <c:f>Feuil1!$G$88:$G$91</c:f>
              <c:numCache>
                <c:formatCode>General</c:formatCode>
                <c:ptCount val="4"/>
                <c:pt idx="0">
                  <c:v>2.14</c:v>
                </c:pt>
                <c:pt idx="1">
                  <c:v>32.44</c:v>
                </c:pt>
                <c:pt idx="2">
                  <c:v>14.48</c:v>
                </c:pt>
                <c:pt idx="3">
                  <c:v>50.94</c:v>
                </c:pt>
              </c:numCache>
            </c:numRef>
          </c:val>
          <c:extLst>
            <c:ext xmlns:c16="http://schemas.microsoft.com/office/drawing/2014/chart" uri="{C3380CC4-5D6E-409C-BE32-E72D297353CC}">
              <c16:uniqueId val="{00000005-77B7-4E23-A6C7-A8B72F896A43}"/>
            </c:ext>
          </c:extLst>
        </c:ser>
        <c:ser>
          <c:idx val="6"/>
          <c:order val="6"/>
          <c:tx>
            <c:strRef>
              <c:f>Feuil1!$H$87</c:f>
              <c:strCache>
                <c:ptCount val="1"/>
                <c:pt idx="0">
                  <c:v>Islands</c:v>
                </c:pt>
              </c:strCache>
            </c:strRef>
          </c:tx>
          <c:spPr>
            <a:solidFill>
              <a:schemeClr val="accent1">
                <a:lumMod val="60000"/>
              </a:schemeClr>
            </a:solidFill>
            <a:ln>
              <a:noFill/>
            </a:ln>
            <a:effectLst/>
            <a:sp3d/>
          </c:spPr>
          <c:invertIfNegative val="0"/>
          <c:cat>
            <c:strRef>
              <c:f>Feuil1!$A$88:$A$91</c:f>
              <c:strCache>
                <c:ptCount val="4"/>
                <c:pt idx="0">
                  <c:v>SRS</c:v>
                </c:pt>
                <c:pt idx="1">
                  <c:v>LDS</c:v>
                </c:pt>
                <c:pt idx="2">
                  <c:v>LRS</c:v>
                </c:pt>
                <c:pt idx="3">
                  <c:v>SDS</c:v>
                </c:pt>
              </c:strCache>
            </c:strRef>
          </c:cat>
          <c:val>
            <c:numRef>
              <c:f>Feuil1!$H$88:$H$91</c:f>
              <c:numCache>
                <c:formatCode>General</c:formatCode>
                <c:ptCount val="4"/>
                <c:pt idx="0">
                  <c:v>90.59</c:v>
                </c:pt>
                <c:pt idx="1">
                  <c:v>9.41</c:v>
                </c:pt>
                <c:pt idx="2">
                  <c:v>0</c:v>
                </c:pt>
                <c:pt idx="3">
                  <c:v>0</c:v>
                </c:pt>
              </c:numCache>
            </c:numRef>
          </c:val>
          <c:extLst>
            <c:ext xmlns:c16="http://schemas.microsoft.com/office/drawing/2014/chart" uri="{C3380CC4-5D6E-409C-BE32-E72D297353CC}">
              <c16:uniqueId val="{00000006-77B7-4E23-A6C7-A8B72F896A43}"/>
            </c:ext>
          </c:extLst>
        </c:ser>
        <c:dLbls>
          <c:showLegendKey val="0"/>
          <c:showVal val="0"/>
          <c:showCatName val="0"/>
          <c:showSerName val="0"/>
          <c:showPercent val="0"/>
          <c:showBubbleSize val="0"/>
        </c:dLbls>
        <c:gapWidth val="150"/>
        <c:shape val="box"/>
        <c:axId val="1137729695"/>
        <c:axId val="1137726367"/>
        <c:axId val="0"/>
      </c:bar3DChart>
      <c:catAx>
        <c:axId val="1137729695"/>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Climatic   season</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7726367"/>
        <c:crosses val="autoZero"/>
        <c:auto val="1"/>
        <c:lblAlgn val="ctr"/>
        <c:lblOffset val="100"/>
        <c:noMultiLvlLbl val="0"/>
      </c:catAx>
      <c:valAx>
        <c:axId val="11377263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Percentage</a:t>
                </a:r>
              </a:p>
            </c:rich>
          </c:tx>
          <c:layout>
            <c:manualLayout>
              <c:xMode val="edge"/>
              <c:yMode val="edge"/>
              <c:x val="4.5236876640419942E-2"/>
              <c:y val="0.162224773986585"/>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7729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46E2A-3C91-41FE-B916-3BA6055DE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7179</TotalTime>
  <Pages>22</Pages>
  <Words>6815</Words>
  <Characters>38846</Characters>
  <Application>Microsoft Office Word</Application>
  <DocSecurity>0</DocSecurity>
  <Lines>323</Lines>
  <Paragraphs>91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AHOUTOU</dc:creator>
  <cp:keywords/>
  <dc:description/>
  <cp:lastModifiedBy>SDI CPU 1117</cp:lastModifiedBy>
  <cp:revision>115</cp:revision>
  <dcterms:created xsi:type="dcterms:W3CDTF">2026-06-11T10:39:00Z</dcterms:created>
  <dcterms:modified xsi:type="dcterms:W3CDTF">2026-07-24T12:15:00Z</dcterms:modified>
</cp:coreProperties>
</file>