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C540B" w14:textId="77777777" w:rsidR="005129EA" w:rsidRDefault="00000000">
      <w:pPr>
        <w:spacing w:after="200"/>
        <w:ind w:firstLine="0"/>
      </w:pPr>
      <w:r>
        <w:rPr>
          <w:b/>
        </w:rPr>
        <w:t>Original Research Article</w:t>
      </w:r>
    </w:p>
    <w:p w14:paraId="7200E21D" w14:textId="77777777" w:rsidR="005129EA" w:rsidRPr="0097217A" w:rsidRDefault="00000000" w:rsidP="0097217A">
      <w:pPr>
        <w:ind w:firstLine="0"/>
        <w:jc w:val="center"/>
        <w:rPr>
          <w:b/>
          <w:sz w:val="25"/>
        </w:rPr>
      </w:pPr>
      <w:r w:rsidRPr="0097217A">
        <w:rPr>
          <w:b/>
          <w:sz w:val="25"/>
        </w:rPr>
        <w:t xml:space="preserve">PCR-Based Monitoring of Short-Term Response to </w:t>
      </w:r>
      <w:proofErr w:type="spellStart"/>
      <w:r w:rsidRPr="0097217A">
        <w:rPr>
          <w:b/>
          <w:sz w:val="25"/>
        </w:rPr>
        <w:t>Quinapyramine</w:t>
      </w:r>
      <w:proofErr w:type="spellEnd"/>
      <w:r w:rsidRPr="0097217A">
        <w:rPr>
          <w:b/>
          <w:sz w:val="25"/>
        </w:rPr>
        <w:t xml:space="preserve"> Treatment in Naturally Occurring Equine Surra in Eastern Uttar Pradesh, India</w:t>
      </w:r>
    </w:p>
    <w:p w14:paraId="26EF749D" w14:textId="77777777" w:rsidR="000616AC" w:rsidRDefault="000616AC" w:rsidP="000616AC">
      <w:pPr>
        <w:ind w:firstLine="0"/>
        <w:rPr>
          <w:b/>
          <w:sz w:val="25"/>
        </w:rPr>
      </w:pPr>
    </w:p>
    <w:p w14:paraId="4B596B19" w14:textId="77777777" w:rsidR="005129EA" w:rsidRDefault="00000000" w:rsidP="000616AC">
      <w:pPr>
        <w:ind w:firstLine="0"/>
      </w:pPr>
      <w:r>
        <w:rPr>
          <w:b/>
          <w:sz w:val="25"/>
        </w:rPr>
        <w:t>Abstract</w:t>
      </w:r>
    </w:p>
    <w:p w14:paraId="406E8389" w14:textId="77777777" w:rsidR="005129EA" w:rsidRDefault="00000000">
      <w:pPr>
        <w:pStyle w:val="AbstractText"/>
      </w:pPr>
      <w:r>
        <w:t xml:space="preserve">Equine surra, caused by </w:t>
      </w:r>
      <w:r>
        <w:rPr>
          <w:i/>
        </w:rPr>
        <w:t xml:space="preserve">Trypanosoma </w:t>
      </w:r>
      <w:proofErr w:type="spellStart"/>
      <w:r>
        <w:rPr>
          <w:i/>
        </w:rPr>
        <w:t>evansi</w:t>
      </w:r>
      <w:proofErr w:type="spellEnd"/>
      <w:r>
        <w:t xml:space="preserve">, is an important </w:t>
      </w:r>
      <w:proofErr w:type="spellStart"/>
      <w:r>
        <w:t>haemoprotozoan</w:t>
      </w:r>
      <w:proofErr w:type="spellEnd"/>
      <w:r>
        <w:t xml:space="preserve"> disease of working equids. This prospective descriptive pilot field study evaluated short-term changes after </w:t>
      </w:r>
      <w:proofErr w:type="spellStart"/>
      <w:r>
        <w:t>quinapyramine</w:t>
      </w:r>
      <w:proofErr w:type="spellEnd"/>
      <w:r>
        <w:t xml:space="preserve"> treatment and monitored </w:t>
      </w:r>
      <w:r>
        <w:rPr>
          <w:i/>
        </w:rPr>
        <w:t xml:space="preserve">T. </w:t>
      </w:r>
      <w:proofErr w:type="spellStart"/>
      <w:r>
        <w:rPr>
          <w:i/>
        </w:rPr>
        <w:t>evansi</w:t>
      </w:r>
      <w:proofErr w:type="spellEnd"/>
      <w:r>
        <w:t xml:space="preserve"> DNA detection during follow-up. Twelve indigenous horses from Ghazipur district, Uttar Pradesh, India, were included. Six naturally infected PCR-positive horses received a commercial </w:t>
      </w:r>
      <w:proofErr w:type="spellStart"/>
      <w:r>
        <w:t>quinapyramine</w:t>
      </w:r>
      <w:proofErr w:type="spellEnd"/>
      <w:r>
        <w:t xml:space="preserve"> preparation at 5.0 mg/kg body weight by subcutaneous injection, and six PCR-negative horses served as contemporaneous comparison animals. Blood collected on Days 0, 3, 7, 14, and 21 was examined by the </w:t>
      </w:r>
      <w:proofErr w:type="spellStart"/>
      <w:r>
        <w:t>microhaematocrit</w:t>
      </w:r>
      <w:proofErr w:type="spellEnd"/>
      <w:r>
        <w:t xml:space="preserve"> centrifugation technique, Giemsa-stained blood-smear examination, conventional PCR targeting </w:t>
      </w:r>
      <w:r>
        <w:rPr>
          <w:highlight w:val="yellow"/>
        </w:rPr>
        <w:t>a 196-bp invariable surface glycoprotein sequence</w:t>
      </w:r>
      <w:r>
        <w:t xml:space="preserve">, and indirect antibody ELISA. No parasites were detected microscopically in treated horses from Day 3 onward. PCR-negative status was recorded in 2/6 horses on Day 3, 4/6 on Day 7, and 3/6 on Days 14 and 21. The greatest observed PCR-negative proportion was therefore 66.7% on Day 7, followed by 50.0% on Days 14 and 21. </w:t>
      </w:r>
      <w:r>
        <w:rPr>
          <w:highlight w:val="yellow"/>
        </w:rPr>
        <w:t>The recorded group-level antibody relative percentage positivity increased</w:t>
      </w:r>
      <w:r>
        <w:t xml:space="preserve"> from 75 on Day 0 to 90 and 91 on Days 3 and 7, respectively, and declined to 50 and 51 on Days 14 and 21. The findings indicate rapid suppression of microscopically detectable </w:t>
      </w:r>
      <w:proofErr w:type="spellStart"/>
      <w:r>
        <w:t>parasitaemia</w:t>
      </w:r>
      <w:proofErr w:type="spellEnd"/>
      <w:r>
        <w:t xml:space="preserve"> but incomplete and non-sustained PCR-negative conversion in some horses during the 21-day follow-up. Conventional PCR provided additional post-treatment information beyond microscopy, </w:t>
      </w:r>
      <w:r w:rsidR="00C13F0F" w:rsidRPr="00C13F0F">
        <w:t>whereas antibody ELISA reflected continuing antibody reactivity rather than immediate parasitological cure</w:t>
      </w:r>
      <w:r>
        <w:t>. Larger controlled studies with longer follow-up and quantitative molecular testing are required to define treatment effectiveness more precisely.</w:t>
      </w:r>
    </w:p>
    <w:p w14:paraId="6AB8F65C" w14:textId="77777777" w:rsidR="005129EA" w:rsidRDefault="00000000">
      <w:pPr>
        <w:pStyle w:val="AbstractText"/>
        <w:spacing w:after="180"/>
      </w:pPr>
      <w:r>
        <w:rPr>
          <w:b/>
        </w:rPr>
        <w:t>Keywords:</w:t>
      </w:r>
      <w:r>
        <w:t xml:space="preserve"> </w:t>
      </w:r>
      <w:r>
        <w:rPr>
          <w:i/>
        </w:rPr>
        <w:t xml:space="preserve">Trypanosoma </w:t>
      </w:r>
      <w:proofErr w:type="spellStart"/>
      <w:r>
        <w:rPr>
          <w:i/>
        </w:rPr>
        <w:t>evansi</w:t>
      </w:r>
      <w:proofErr w:type="spellEnd"/>
      <w:r>
        <w:t xml:space="preserve">; equine surra; </w:t>
      </w:r>
      <w:proofErr w:type="spellStart"/>
      <w:r>
        <w:t>quinapyramine</w:t>
      </w:r>
      <w:proofErr w:type="spellEnd"/>
      <w:r>
        <w:t>; treatment monitoring; ISG-PCR; antibody ELISA</w:t>
      </w:r>
    </w:p>
    <w:p w14:paraId="54D00E39" w14:textId="77777777" w:rsidR="005129EA" w:rsidRDefault="00000000">
      <w:pPr>
        <w:pStyle w:val="Heading1"/>
      </w:pPr>
      <w:r>
        <w:t>1. Introduction</w:t>
      </w:r>
    </w:p>
    <w:p w14:paraId="4CBE82A3" w14:textId="6387A8A0" w:rsidR="005129EA" w:rsidRDefault="00000000">
      <w:r>
        <w:t xml:space="preserve">Surra is a mechanically transmitted animal </w:t>
      </w:r>
      <w:proofErr w:type="spellStart"/>
      <w:r>
        <w:t>trypanosomosis</w:t>
      </w:r>
      <w:proofErr w:type="spellEnd"/>
      <w:r>
        <w:t xml:space="preserve"> caused by </w:t>
      </w:r>
      <w:r>
        <w:rPr>
          <w:i/>
        </w:rPr>
        <w:t xml:space="preserve">Trypanosoma </w:t>
      </w:r>
      <w:proofErr w:type="spellStart"/>
      <w:r>
        <w:rPr>
          <w:i/>
        </w:rPr>
        <w:t>evansi</w:t>
      </w:r>
      <w:proofErr w:type="spellEnd"/>
      <w:r>
        <w:t xml:space="preserve">. </w:t>
      </w:r>
      <w:r w:rsidR="00F56EC2" w:rsidRPr="00F56EC2">
        <w:t xml:space="preserve">Recent evidence indicates that equine trypanosomiasis remains concentrated in low- and middle-income countries and contributes substantially to equine morbidity and mortality, reinforcing its continuing importance for the health and welfare of working equids (Raftery et al., </w:t>
      </w:r>
      <w:r>
        <w:rPr>
          <w:highlight w:val="yellow"/>
        </w:rPr>
        <w:t>2026</w:t>
      </w:r>
      <w:r w:rsidR="008A19DF">
        <w:t>a</w:t>
      </w:r>
      <w:r>
        <w:t>).</w:t>
      </w:r>
      <w:r w:rsidR="00F56EC2">
        <w:t xml:space="preserve"> </w:t>
      </w:r>
      <w:r>
        <w:t xml:space="preserve">The parasite has a broad geographical distribution and infects numerous domestic and wild mammals, with clinically important disease particularly reported in equids, camels, and dogs. Transmission is principally associated with </w:t>
      </w:r>
      <w:proofErr w:type="spellStart"/>
      <w:r>
        <w:t>haematophagous</w:t>
      </w:r>
      <w:proofErr w:type="spellEnd"/>
      <w:r>
        <w:t xml:space="preserve"> flies, especially tabanids and </w:t>
      </w:r>
      <w:proofErr w:type="spellStart"/>
      <w:r>
        <w:t>stomoxyine</w:t>
      </w:r>
      <w:proofErr w:type="spellEnd"/>
      <w:r>
        <w:t xml:space="preserve"> flies, although iatrogenic and vertical routes may also occur. Clinical manifestations in horses are variable and may include intermittent fever, progressive </w:t>
      </w:r>
      <w:proofErr w:type="spellStart"/>
      <w:r>
        <w:t>anaemia</w:t>
      </w:r>
      <w:proofErr w:type="spellEnd"/>
      <w:r>
        <w:t xml:space="preserve">, weakness, loss of body condition, petechial </w:t>
      </w:r>
      <w:proofErr w:type="spellStart"/>
      <w:r>
        <w:t>haemorrhages</w:t>
      </w:r>
      <w:proofErr w:type="spellEnd"/>
      <w:r>
        <w:t xml:space="preserve">, dependent oedema, ocular lesions, and, in some cases, neurological involvement (Aregawi et al., 2019; </w:t>
      </w:r>
      <w:proofErr w:type="spellStart"/>
      <w:r>
        <w:t>Desquesnes</w:t>
      </w:r>
      <w:proofErr w:type="spellEnd"/>
      <w:r>
        <w:t xml:space="preserve"> et al., 2013a, 2013b). </w:t>
      </w:r>
      <w:r w:rsidR="00F56EC2" w:rsidRPr="00F56EC2">
        <w:t xml:space="preserve">A recent investigation involving horses demonstrated marked variation in clinical presentation and incomplete agreement among </w:t>
      </w:r>
      <w:r>
        <w:rPr>
          <w:highlight w:val="yellow"/>
        </w:rPr>
        <w:t>microscopic, serological, and molecular findings</w:t>
      </w:r>
      <w:r>
        <w:t>, supporting the complementary rather than interchangeable use of these diagnostic approaches (Javanshir et al., 2023).</w:t>
      </w:r>
      <w:r w:rsidR="00F56EC2">
        <w:t xml:space="preserve"> </w:t>
      </w:r>
      <w:r>
        <w:t xml:space="preserve">Equine </w:t>
      </w:r>
      <w:proofErr w:type="spellStart"/>
      <w:r>
        <w:t>trypanosomosis</w:t>
      </w:r>
      <w:proofErr w:type="spellEnd"/>
      <w:r>
        <w:t xml:space="preserve"> remains diagnostically challenging because clinical signs are not pathognomonic and </w:t>
      </w:r>
      <w:proofErr w:type="spellStart"/>
      <w:r>
        <w:t>parasitaemia</w:t>
      </w:r>
      <w:proofErr w:type="spellEnd"/>
      <w:r>
        <w:t xml:space="preserve"> may fluctuate below the detection threshold of direct microscopic methods (Büscher et al., 2019).</w:t>
      </w:r>
    </w:p>
    <w:p w14:paraId="43A69090" w14:textId="151BB123" w:rsidR="00F56EC2" w:rsidRDefault="00000000">
      <w:r>
        <w:t xml:space="preserve">Diagnosis and post-treatment assessment are strengthened by combining parasite detection, DNA detection, and antibody detection. Microscopy provides direct evidence of circulating parasites but has limited sensitivity when </w:t>
      </w:r>
      <w:proofErr w:type="spellStart"/>
      <w:r>
        <w:t>parasitaemia</w:t>
      </w:r>
      <w:proofErr w:type="spellEnd"/>
      <w:r>
        <w:t xml:space="preserve"> is low. Molecular assays can detect parasite DNA at lower apparent </w:t>
      </w:r>
      <w:proofErr w:type="spellStart"/>
      <w:r>
        <w:t>parasitaemia</w:t>
      </w:r>
      <w:proofErr w:type="spellEnd"/>
      <w:r>
        <w:t>, whereas antibody assays are useful for documenting exposure but may remain positive after treatment and cannot, by themselves, establish active infection or parasitological cure (</w:t>
      </w:r>
      <w:proofErr w:type="spellStart"/>
      <w:r>
        <w:t>Desquesnes</w:t>
      </w:r>
      <w:proofErr w:type="spellEnd"/>
      <w:r>
        <w:t xml:space="preserve"> et al., 2022; Kim et al., 2024). </w:t>
      </w:r>
      <w:r w:rsidR="00F56EC2" w:rsidRPr="00F56EC2">
        <w:t xml:space="preserve">Recent molecularly confirmed equine infections have further demonstrated that PCR can establish the presence of </w:t>
      </w:r>
      <w:r>
        <w:rPr>
          <w:i/>
          <w:highlight w:val="yellow"/>
        </w:rPr>
        <w:t xml:space="preserve">T. </w:t>
      </w:r>
      <w:proofErr w:type="spellStart"/>
      <w:r w:rsidR="00F56EC2" w:rsidRPr="00F56EC2">
        <w:rPr>
          <w:i/>
          <w:highlight w:val="yellow"/>
        </w:rPr>
        <w:t>evansi</w:t>
      </w:r>
      <w:proofErr w:type="spellEnd"/>
      <w:r w:rsidR="00F56EC2" w:rsidRPr="00F56EC2">
        <w:t xml:space="preserve"> while clinicopathological measurements </w:t>
      </w:r>
      <w:proofErr w:type="spellStart"/>
      <w:r>
        <w:rPr>
          <w:highlight w:val="yellow"/>
        </w:rPr>
        <w:t>characterise</w:t>
      </w:r>
      <w:proofErr w:type="spellEnd"/>
      <w:r>
        <w:t xml:space="preserve"> the associated systemic effects, illustrating the value of integrating molecular and clinical laboratory evidence (</w:t>
      </w:r>
      <w:proofErr w:type="spellStart"/>
      <w:r w:rsidR="00F56EC2" w:rsidRPr="00F56EC2">
        <w:t>Shoraba</w:t>
      </w:r>
      <w:proofErr w:type="spellEnd"/>
      <w:r w:rsidR="00F56EC2" w:rsidRPr="00F56EC2">
        <w:t xml:space="preserve"> et al., </w:t>
      </w:r>
      <w:r w:rsidR="00F56EC2" w:rsidRPr="00F56EC2">
        <w:lastRenderedPageBreak/>
        <w:t>2024).</w:t>
      </w:r>
      <w:r w:rsidR="00F56EC2">
        <w:t xml:space="preserve"> </w:t>
      </w:r>
      <w:r>
        <w:t xml:space="preserve">Chemotherapy remains central to surra management, but the limited number of </w:t>
      </w:r>
      <w:proofErr w:type="spellStart"/>
      <w:r>
        <w:t>trypanocidal</w:t>
      </w:r>
      <w:proofErr w:type="spellEnd"/>
      <w:r>
        <w:t xml:space="preserve"> compounds, variable field efficacy, possible reinfection, tissue persistence, and treatment-associated recurrence complicate interpretation of short-term response (Giordani et al., 2016; Raftery et al., 2026</w:t>
      </w:r>
      <w:r w:rsidR="008A19DF">
        <w:t>b</w:t>
      </w:r>
      <w:r>
        <w:t xml:space="preserve">). </w:t>
      </w:r>
      <w:r w:rsidR="00F56EC2" w:rsidRPr="00F56EC2">
        <w:t xml:space="preserve">Experimental work with a pony-derived </w:t>
      </w:r>
      <w:r>
        <w:rPr>
          <w:i/>
          <w:highlight w:val="yellow"/>
        </w:rPr>
        <w:t xml:space="preserve">T. </w:t>
      </w:r>
      <w:proofErr w:type="spellStart"/>
      <w:r w:rsidR="00F56EC2" w:rsidRPr="00F56EC2">
        <w:rPr>
          <w:i/>
          <w:highlight w:val="yellow"/>
        </w:rPr>
        <w:t>evansi</w:t>
      </w:r>
      <w:proofErr w:type="spellEnd"/>
      <w:r w:rsidR="00F56EC2" w:rsidRPr="00F56EC2">
        <w:t xml:space="preserve"> isolate has shown that exposure to </w:t>
      </w:r>
      <w:proofErr w:type="spellStart"/>
      <w:r w:rsidR="00F56EC2" w:rsidRPr="00F56EC2">
        <w:t>quinapyramine</w:t>
      </w:r>
      <w:proofErr w:type="spellEnd"/>
      <w:r w:rsidR="00F56EC2" w:rsidRPr="00F56EC2">
        <w:t xml:space="preserve"> methyl sulphate alters the expression of parasite genes involved in cellular homeostasis and metabolic regulation, although these molecular effects should not be interpreted as evidence of clinical cure (Gupta et al., 2022).</w:t>
      </w:r>
    </w:p>
    <w:p w14:paraId="6804CCFC" w14:textId="77777777" w:rsidR="000D3FE9" w:rsidRDefault="00000000">
      <w:r>
        <w:rPr>
          <w:highlight w:val="yellow"/>
        </w:rPr>
        <w:t xml:space="preserve">However, evidence remains limited regarding the short-term agreement among microscopy, conventional ISG-PCR, and antibody ELISA after </w:t>
      </w:r>
      <w:proofErr w:type="spellStart"/>
      <w:r>
        <w:rPr>
          <w:highlight w:val="yellow"/>
        </w:rPr>
        <w:t>quinapyramine</w:t>
      </w:r>
      <w:proofErr w:type="spellEnd"/>
      <w:r>
        <w:rPr>
          <w:highlight w:val="yellow"/>
        </w:rPr>
        <w:t xml:space="preserve"> treatment in naturally infected horses under field conditions in eastern Uttar Pradesh. In particular, the persistence or re-detection of </w:t>
      </w:r>
      <w:r>
        <w:rPr>
          <w:i/>
          <w:highlight w:val="yellow"/>
        </w:rPr>
        <w:t xml:space="preserve">T. </w:t>
      </w:r>
      <w:proofErr w:type="spellStart"/>
      <w:r>
        <w:rPr>
          <w:i/>
          <w:highlight w:val="yellow"/>
        </w:rPr>
        <w:t>evansi</w:t>
      </w:r>
      <w:proofErr w:type="spellEnd"/>
      <w:r>
        <w:rPr>
          <w:highlight w:val="yellow"/>
        </w:rPr>
        <w:t xml:space="preserve"> DNA during early follow-up requires further </w:t>
      </w:r>
      <w:proofErr w:type="spellStart"/>
      <w:r>
        <w:rPr>
          <w:highlight w:val="yellow"/>
        </w:rPr>
        <w:t>characterisation</w:t>
      </w:r>
      <w:proofErr w:type="spellEnd"/>
      <w:r>
        <w:rPr>
          <w:highlight w:val="yellow"/>
        </w:rPr>
        <w:t xml:space="preserve"> alongside parasitological and serological findings.</w:t>
      </w:r>
    </w:p>
    <w:p w14:paraId="1B38D63C" w14:textId="77777777" w:rsidR="005129EA" w:rsidRDefault="00000000">
      <w:r>
        <w:t xml:space="preserve">The present study aimed to describe the 21-day parasitological, molecular, and serological changes after </w:t>
      </w:r>
      <w:proofErr w:type="spellStart"/>
      <w:r>
        <w:t>quinapyramine</w:t>
      </w:r>
      <w:proofErr w:type="spellEnd"/>
      <w:r>
        <w:t xml:space="preserve"> treatment in naturally infected horses and to assess whether conventional ISG-PCR provided additional information beyond direct microscopy during short-term follow-up.</w:t>
      </w:r>
    </w:p>
    <w:p w14:paraId="6E7F8AD8" w14:textId="77777777" w:rsidR="005129EA" w:rsidRDefault="00000000">
      <w:pPr>
        <w:pStyle w:val="Heading1"/>
      </w:pPr>
      <w:r>
        <w:t>2. Materials and Methods</w:t>
      </w:r>
    </w:p>
    <w:p w14:paraId="4A042254" w14:textId="77777777" w:rsidR="005129EA" w:rsidRDefault="00000000">
      <w:pPr>
        <w:pStyle w:val="Heading2"/>
      </w:pPr>
      <w:r>
        <w:t>2.2 Recruitment of Study Animals</w:t>
      </w:r>
    </w:p>
    <w:p w14:paraId="1BA5BC6C" w14:textId="77777777" w:rsidR="005129EA" w:rsidRDefault="00000000">
      <w:r>
        <w:t xml:space="preserve">Study animals were selected in Ghazipur district, Uttar Pradesh, India. On the basis of information provided by local field veterinarians, horses showing clinical signs compatible with surra were identified, and blood samples were transported to the Department of Veterinary Parasitology, Acharya Narendra Deva University of Agriculture and Technology, </w:t>
      </w:r>
      <w:proofErr w:type="spellStart"/>
      <w:r>
        <w:t>Kumarganj</w:t>
      </w:r>
      <w:proofErr w:type="spellEnd"/>
      <w:r>
        <w:t xml:space="preserve">, Ayodhya, for laboratory examination. Initial parasitological assessment included Giemsa-stained blood-smear examination. Horses reported by their owners to have received </w:t>
      </w:r>
      <w:proofErr w:type="spellStart"/>
      <w:r>
        <w:t>trypanocidal</w:t>
      </w:r>
      <w:proofErr w:type="spellEnd"/>
      <w:r>
        <w:t xml:space="preserve"> treatment during the preceding month, animals showing neurological manifestations, and animals with other severe concurrent illnesses were excluded to reduce avoidable clinical risk and major confounding during follow-up. Representative nonspecific clinical findings compatible with surra are shown in Figure 1.</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896"/>
        <w:gridCol w:w="4896"/>
      </w:tblGrid>
      <w:tr w:rsidR="005129EA" w14:paraId="0E1001AB" w14:textId="77777777">
        <w:trPr>
          <w:cantSplit/>
          <w:jc w:val="center"/>
        </w:trPr>
        <w:tc>
          <w:tcPr>
            <w:tcW w:w="4896" w:type="dxa"/>
            <w:tcMar>
              <w:top w:w="0" w:type="dxa"/>
              <w:left w:w="50" w:type="dxa"/>
              <w:bottom w:w="0" w:type="dxa"/>
              <w:right w:w="50" w:type="dxa"/>
            </w:tcMar>
            <w:vAlign w:val="center"/>
          </w:tcPr>
          <w:p w14:paraId="403A2EC9" w14:textId="77777777" w:rsidR="005129EA" w:rsidRDefault="00000000">
            <w:pPr>
              <w:ind w:firstLine="0"/>
              <w:jc w:val="center"/>
            </w:pPr>
            <w:r>
              <w:rPr>
                <w:noProof/>
              </w:rPr>
              <w:drawing>
                <wp:inline distT="0" distB="0" distL="0" distR="0" wp14:anchorId="7C25B372" wp14:editId="4D621B6B">
                  <wp:extent cx="2148840" cy="3813641"/>
                  <wp:effectExtent l="0" t="0" r="0" b="0"/>
                  <wp:docPr id="1" name="Picture 1" descr="Figure 1. Petechial haemorrhages on the vaginal mucosa and a horse showing nonspecific clinical signs compatible with surra. Left panel."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3_img1.png"/>
                          <pic:cNvPicPr/>
                        </pic:nvPicPr>
                        <pic:blipFill>
                          <a:blip r:embed="rId8"/>
                          <a:stretch>
                            <a:fillRect/>
                          </a:stretch>
                        </pic:blipFill>
                        <pic:spPr>
                          <a:xfrm>
                            <a:off x="0" y="0"/>
                            <a:ext cx="2148840" cy="3813641"/>
                          </a:xfrm>
                          <a:prstGeom prst="rect">
                            <a:avLst/>
                          </a:prstGeom>
                        </pic:spPr>
                      </pic:pic>
                    </a:graphicData>
                  </a:graphic>
                </wp:inline>
              </w:drawing>
            </w:r>
          </w:p>
        </w:tc>
        <w:tc>
          <w:tcPr>
            <w:tcW w:w="4896" w:type="dxa"/>
            <w:tcMar>
              <w:top w:w="0" w:type="dxa"/>
              <w:left w:w="50" w:type="dxa"/>
              <w:bottom w:w="0" w:type="dxa"/>
              <w:right w:w="50" w:type="dxa"/>
            </w:tcMar>
            <w:vAlign w:val="center"/>
          </w:tcPr>
          <w:p w14:paraId="1321ADAA" w14:textId="77777777" w:rsidR="005129EA" w:rsidRDefault="00000000">
            <w:pPr>
              <w:ind w:firstLine="0"/>
              <w:jc w:val="center"/>
            </w:pPr>
            <w:r>
              <w:rPr>
                <w:noProof/>
              </w:rPr>
              <w:drawing>
                <wp:inline distT="0" distB="0" distL="0" distR="0" wp14:anchorId="47C2AD37" wp14:editId="127BEC8D">
                  <wp:extent cx="2148840" cy="3027911"/>
                  <wp:effectExtent l="0" t="0" r="0" b="0"/>
                  <wp:docPr id="2" name="Picture 2" descr="Figure 1. Petechial haemorrhages on the vaginal mucosa and a horse showing nonspecific clinical signs compatible with surra. Right panel."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3_img2.png"/>
                          <pic:cNvPicPr/>
                        </pic:nvPicPr>
                        <pic:blipFill>
                          <a:blip r:embed="rId9"/>
                          <a:stretch>
                            <a:fillRect/>
                          </a:stretch>
                        </pic:blipFill>
                        <pic:spPr>
                          <a:xfrm>
                            <a:off x="0" y="0"/>
                            <a:ext cx="2148840" cy="3027911"/>
                          </a:xfrm>
                          <a:prstGeom prst="rect">
                            <a:avLst/>
                          </a:prstGeom>
                        </pic:spPr>
                      </pic:pic>
                    </a:graphicData>
                  </a:graphic>
                </wp:inline>
              </w:drawing>
            </w:r>
          </w:p>
        </w:tc>
      </w:tr>
    </w:tbl>
    <w:p w14:paraId="171CA55C" w14:textId="77777777" w:rsidR="005129EA" w:rsidRDefault="00000000">
      <w:pPr>
        <w:pStyle w:val="CaptionClean"/>
      </w:pPr>
      <w:r>
        <w:lastRenderedPageBreak/>
        <w:t xml:space="preserve">Figure 1. Petechial </w:t>
      </w:r>
      <w:proofErr w:type="spellStart"/>
      <w:r>
        <w:t>haemorrhages</w:t>
      </w:r>
      <w:proofErr w:type="spellEnd"/>
      <w:r>
        <w:t xml:space="preserve"> on the vaginal mucosa and a horse showing nonspecific clinical signs compatible with surra.</w:t>
      </w:r>
    </w:p>
    <w:p w14:paraId="410082A7" w14:textId="77777777" w:rsidR="005129EA" w:rsidRDefault="00000000">
      <w:pPr>
        <w:pStyle w:val="Heading2"/>
      </w:pPr>
      <w:r>
        <w:t>2.3 Study Design and Treatment</w:t>
      </w:r>
    </w:p>
    <w:p w14:paraId="4BA11E67" w14:textId="77777777" w:rsidR="005129EA" w:rsidRDefault="00000000">
      <w:r>
        <w:t xml:space="preserve">This was a prospective descriptive pilot field study with an uninfected comparison group. A total of 12 indigenous horses older than two years were enrolled. Six horses confirmed as PCR-positive for </w:t>
      </w:r>
      <w:r>
        <w:rPr>
          <w:i/>
        </w:rPr>
        <w:t xml:space="preserve">T. </w:t>
      </w:r>
      <w:proofErr w:type="spellStart"/>
      <w:r>
        <w:rPr>
          <w:i/>
        </w:rPr>
        <w:t>evansi</w:t>
      </w:r>
      <w:proofErr w:type="spellEnd"/>
      <w:r>
        <w:t xml:space="preserve"> formed the treatment group (T-1), and six PCR-negative horses formed the comparison group (C). The PCR-negative group provided contemporaneous negative comparison samples and was not an infected </w:t>
      </w:r>
      <w:r>
        <w:rPr>
          <w:highlight w:val="yellow"/>
        </w:rPr>
        <w:t>treatment control group</w:t>
      </w:r>
      <w:r>
        <w:t xml:space="preserve">. </w:t>
      </w:r>
      <w:r w:rsidR="00C13F0F" w:rsidRPr="00C13F0F">
        <w:t xml:space="preserve">Horses in group T-1 received a commercial </w:t>
      </w:r>
      <w:proofErr w:type="spellStart"/>
      <w:r w:rsidR="00C13F0F" w:rsidRPr="00C13F0F">
        <w:t>quinapyramine</w:t>
      </w:r>
      <w:proofErr w:type="spellEnd"/>
      <w:r w:rsidR="00C13F0F" w:rsidRPr="00C13F0F">
        <w:t xml:space="preserve"> preparation (</w:t>
      </w:r>
      <w:proofErr w:type="spellStart"/>
      <w:r w:rsidR="00C13F0F" w:rsidRPr="00C13F0F">
        <w:t>Triquin</w:t>
      </w:r>
      <w:proofErr w:type="spellEnd"/>
      <w:r w:rsidR="00C13F0F" w:rsidRPr="00C13F0F">
        <w:t xml:space="preserve">®, </w:t>
      </w:r>
      <w:proofErr w:type="spellStart"/>
      <w:r w:rsidR="00C13F0F" w:rsidRPr="00C13F0F">
        <w:t>Vetoquinol</w:t>
      </w:r>
      <w:proofErr w:type="spellEnd"/>
      <w:r w:rsidR="00C13F0F" w:rsidRPr="00C13F0F">
        <w:t>) at the recorded dose of 5.0 mg/kg body weight by subcutaneous injection in the neck region</w:t>
      </w:r>
      <w:r>
        <w:t xml:space="preserve">. The comparison group remained untreated. The administered preparation, dose, recorded concentration, injection site, and route are </w:t>
      </w:r>
      <w:proofErr w:type="spellStart"/>
      <w:r>
        <w:t>summarised</w:t>
      </w:r>
      <w:proofErr w:type="spellEnd"/>
      <w:r>
        <w:t xml:space="preserve"> in Table 1. Supportive nutritional and symptomatic management was provided to treated animals when clinically required. Clinical observations and laboratory assessments were recorded before treatment and at the scheduled post-treatment sampling times.</w:t>
      </w:r>
    </w:p>
    <w:p w14:paraId="7F18382C" w14:textId="77777777" w:rsidR="005129EA" w:rsidRDefault="00000000">
      <w:pPr>
        <w:keepNext/>
        <w:spacing w:before="100" w:after="60"/>
        <w:ind w:firstLine="0"/>
      </w:pPr>
      <w:r>
        <w:rPr>
          <w:b/>
          <w:sz w:val="19"/>
        </w:rPr>
        <w:t xml:space="preserve">Table 1. </w:t>
      </w:r>
      <w:proofErr w:type="spellStart"/>
      <w:r>
        <w:rPr>
          <w:b/>
          <w:sz w:val="19"/>
        </w:rPr>
        <w:t>Trypanocidal</w:t>
      </w:r>
      <w:proofErr w:type="spellEnd"/>
      <w:r>
        <w:rPr>
          <w:b/>
          <w:sz w:val="19"/>
        </w:rPr>
        <w:t xml:space="preserve"> preparation, dose, recorded concentration, injection site, and route of administration on Day 0.</w:t>
      </w:r>
    </w:p>
    <w:tbl>
      <w:tblPr>
        <w:tblW w:w="0" w:type="auto"/>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firstRow="1" w:lastRow="0" w:firstColumn="1" w:lastColumn="0" w:noHBand="0" w:noVBand="1"/>
      </w:tblPr>
      <w:tblGrid>
        <w:gridCol w:w="1152"/>
        <w:gridCol w:w="2376"/>
        <w:gridCol w:w="1296"/>
        <w:gridCol w:w="1152"/>
        <w:gridCol w:w="1080"/>
        <w:gridCol w:w="2160"/>
      </w:tblGrid>
      <w:tr w:rsidR="005129EA" w14:paraId="1D311094" w14:textId="77777777" w:rsidTr="0097217A">
        <w:trPr>
          <w:cantSplit/>
          <w:tblHeader/>
          <w:jc w:val="center"/>
        </w:trPr>
        <w:tc>
          <w:tcPr>
            <w:tcW w:w="1152" w:type="dxa"/>
            <w:tcMar>
              <w:top w:w="80" w:type="dxa"/>
              <w:left w:w="90" w:type="dxa"/>
              <w:bottom w:w="80" w:type="dxa"/>
              <w:right w:w="90" w:type="dxa"/>
            </w:tcMar>
            <w:vAlign w:val="center"/>
          </w:tcPr>
          <w:p w14:paraId="5F2FD942" w14:textId="77777777" w:rsidR="005129EA" w:rsidRDefault="00000000">
            <w:pPr>
              <w:spacing w:after="0" w:line="240" w:lineRule="auto"/>
              <w:ind w:firstLine="0"/>
              <w:jc w:val="center"/>
            </w:pPr>
            <w:r>
              <w:rPr>
                <w:b/>
                <w:sz w:val="16"/>
              </w:rPr>
              <w:t>Group (no. of animals)</w:t>
            </w:r>
          </w:p>
        </w:tc>
        <w:tc>
          <w:tcPr>
            <w:tcW w:w="2376" w:type="dxa"/>
            <w:tcMar>
              <w:top w:w="80" w:type="dxa"/>
              <w:left w:w="90" w:type="dxa"/>
              <w:bottom w:w="80" w:type="dxa"/>
              <w:right w:w="90" w:type="dxa"/>
            </w:tcMar>
            <w:vAlign w:val="center"/>
          </w:tcPr>
          <w:p w14:paraId="49AE9AC2" w14:textId="77777777" w:rsidR="005129EA" w:rsidRDefault="00000000">
            <w:pPr>
              <w:spacing w:after="0" w:line="240" w:lineRule="auto"/>
              <w:ind w:firstLine="0"/>
              <w:jc w:val="left"/>
            </w:pPr>
            <w:r>
              <w:rPr>
                <w:b/>
                <w:sz w:val="16"/>
              </w:rPr>
              <w:t>Preparation</w:t>
            </w:r>
          </w:p>
        </w:tc>
        <w:tc>
          <w:tcPr>
            <w:tcW w:w="1296" w:type="dxa"/>
            <w:tcMar>
              <w:top w:w="80" w:type="dxa"/>
              <w:left w:w="90" w:type="dxa"/>
              <w:bottom w:w="80" w:type="dxa"/>
              <w:right w:w="90" w:type="dxa"/>
            </w:tcMar>
            <w:vAlign w:val="center"/>
          </w:tcPr>
          <w:p w14:paraId="4A73DFE4" w14:textId="77777777" w:rsidR="005129EA" w:rsidRDefault="00000000">
            <w:pPr>
              <w:spacing w:after="0" w:line="240" w:lineRule="auto"/>
              <w:ind w:firstLine="0"/>
              <w:jc w:val="center"/>
            </w:pPr>
            <w:r>
              <w:rPr>
                <w:b/>
                <w:sz w:val="16"/>
              </w:rPr>
              <w:t>Dose</w:t>
            </w:r>
          </w:p>
        </w:tc>
        <w:tc>
          <w:tcPr>
            <w:tcW w:w="1152" w:type="dxa"/>
            <w:tcMar>
              <w:top w:w="80" w:type="dxa"/>
              <w:left w:w="90" w:type="dxa"/>
              <w:bottom w:w="80" w:type="dxa"/>
              <w:right w:w="90" w:type="dxa"/>
            </w:tcMar>
            <w:vAlign w:val="center"/>
          </w:tcPr>
          <w:p w14:paraId="5A60F861" w14:textId="77777777" w:rsidR="005129EA" w:rsidRDefault="00000000">
            <w:pPr>
              <w:spacing w:after="0" w:line="240" w:lineRule="auto"/>
              <w:ind w:firstLine="0"/>
              <w:jc w:val="center"/>
            </w:pPr>
            <w:r>
              <w:rPr>
                <w:b/>
                <w:sz w:val="16"/>
              </w:rPr>
              <w:t>Recorded concentration</w:t>
            </w:r>
          </w:p>
        </w:tc>
        <w:tc>
          <w:tcPr>
            <w:tcW w:w="1080" w:type="dxa"/>
            <w:tcMar>
              <w:top w:w="80" w:type="dxa"/>
              <w:left w:w="90" w:type="dxa"/>
              <w:bottom w:w="80" w:type="dxa"/>
              <w:right w:w="90" w:type="dxa"/>
            </w:tcMar>
            <w:vAlign w:val="center"/>
          </w:tcPr>
          <w:p w14:paraId="5525972D" w14:textId="77777777" w:rsidR="005129EA" w:rsidRDefault="00000000">
            <w:pPr>
              <w:spacing w:after="0" w:line="240" w:lineRule="auto"/>
              <w:ind w:firstLine="0"/>
              <w:jc w:val="center"/>
            </w:pPr>
            <w:r>
              <w:rPr>
                <w:b/>
                <w:sz w:val="16"/>
              </w:rPr>
              <w:t>Injection site</w:t>
            </w:r>
          </w:p>
        </w:tc>
        <w:tc>
          <w:tcPr>
            <w:tcW w:w="2160" w:type="dxa"/>
            <w:tcMar>
              <w:top w:w="80" w:type="dxa"/>
              <w:left w:w="90" w:type="dxa"/>
              <w:bottom w:w="80" w:type="dxa"/>
              <w:right w:w="90" w:type="dxa"/>
            </w:tcMar>
            <w:vAlign w:val="center"/>
          </w:tcPr>
          <w:p w14:paraId="1E256F71" w14:textId="77777777" w:rsidR="005129EA" w:rsidRDefault="00000000">
            <w:pPr>
              <w:spacing w:after="0" w:line="240" w:lineRule="auto"/>
              <w:ind w:firstLine="0"/>
              <w:jc w:val="left"/>
            </w:pPr>
            <w:r>
              <w:rPr>
                <w:b/>
                <w:sz w:val="16"/>
              </w:rPr>
              <w:t>Route of administration</w:t>
            </w:r>
          </w:p>
        </w:tc>
      </w:tr>
      <w:tr w:rsidR="005129EA" w14:paraId="254EBEA5" w14:textId="77777777" w:rsidTr="0097217A">
        <w:trPr>
          <w:cantSplit/>
          <w:jc w:val="center"/>
        </w:trPr>
        <w:tc>
          <w:tcPr>
            <w:tcW w:w="1152" w:type="dxa"/>
            <w:tcMar>
              <w:top w:w="80" w:type="dxa"/>
              <w:left w:w="90" w:type="dxa"/>
              <w:bottom w:w="80" w:type="dxa"/>
              <w:right w:w="90" w:type="dxa"/>
            </w:tcMar>
            <w:vAlign w:val="center"/>
          </w:tcPr>
          <w:p w14:paraId="7E55BF06" w14:textId="77777777" w:rsidR="005129EA" w:rsidRDefault="00000000">
            <w:pPr>
              <w:spacing w:after="0" w:line="240" w:lineRule="auto"/>
              <w:ind w:firstLine="0"/>
              <w:jc w:val="center"/>
            </w:pPr>
            <w:r>
              <w:rPr>
                <w:sz w:val="16"/>
              </w:rPr>
              <w:t>T-1 (n = 6)</w:t>
            </w:r>
          </w:p>
        </w:tc>
        <w:tc>
          <w:tcPr>
            <w:tcW w:w="2376" w:type="dxa"/>
            <w:tcMar>
              <w:top w:w="80" w:type="dxa"/>
              <w:left w:w="90" w:type="dxa"/>
              <w:bottom w:w="80" w:type="dxa"/>
              <w:right w:w="90" w:type="dxa"/>
            </w:tcMar>
            <w:vAlign w:val="center"/>
          </w:tcPr>
          <w:p w14:paraId="3A8E5166" w14:textId="77777777" w:rsidR="005129EA" w:rsidRDefault="00000000">
            <w:pPr>
              <w:spacing w:after="0" w:line="240" w:lineRule="auto"/>
              <w:ind w:firstLine="0"/>
              <w:jc w:val="left"/>
            </w:pPr>
            <w:r>
              <w:rPr>
                <w:sz w:val="16"/>
              </w:rPr>
              <w:t xml:space="preserve">Commercial </w:t>
            </w:r>
            <w:proofErr w:type="spellStart"/>
            <w:r>
              <w:rPr>
                <w:sz w:val="16"/>
              </w:rPr>
              <w:t>quinapyramine</w:t>
            </w:r>
            <w:proofErr w:type="spellEnd"/>
            <w:r>
              <w:rPr>
                <w:sz w:val="16"/>
              </w:rPr>
              <w:t xml:space="preserve"> preparation (</w:t>
            </w:r>
            <w:proofErr w:type="spellStart"/>
            <w:r>
              <w:rPr>
                <w:sz w:val="16"/>
              </w:rPr>
              <w:t>Triquin</w:t>
            </w:r>
            <w:proofErr w:type="spellEnd"/>
            <w:r>
              <w:rPr>
                <w:sz w:val="16"/>
              </w:rPr>
              <w:t xml:space="preserve">®, </w:t>
            </w:r>
            <w:proofErr w:type="spellStart"/>
            <w:r>
              <w:rPr>
                <w:sz w:val="16"/>
              </w:rPr>
              <w:t>Vetoquinol</w:t>
            </w:r>
            <w:proofErr w:type="spellEnd"/>
            <w:r>
              <w:rPr>
                <w:sz w:val="16"/>
              </w:rPr>
              <w:t>)</w:t>
            </w:r>
          </w:p>
        </w:tc>
        <w:tc>
          <w:tcPr>
            <w:tcW w:w="1296" w:type="dxa"/>
            <w:tcMar>
              <w:top w:w="80" w:type="dxa"/>
              <w:left w:w="90" w:type="dxa"/>
              <w:bottom w:w="80" w:type="dxa"/>
              <w:right w:w="90" w:type="dxa"/>
            </w:tcMar>
            <w:vAlign w:val="center"/>
          </w:tcPr>
          <w:p w14:paraId="00D59897" w14:textId="77777777" w:rsidR="005129EA" w:rsidRDefault="00000000">
            <w:pPr>
              <w:spacing w:after="0" w:line="240" w:lineRule="auto"/>
              <w:ind w:firstLine="0"/>
              <w:jc w:val="center"/>
            </w:pPr>
            <w:r>
              <w:rPr>
                <w:sz w:val="16"/>
              </w:rPr>
              <w:t>5.0 mg/kg body weight</w:t>
            </w:r>
          </w:p>
        </w:tc>
        <w:tc>
          <w:tcPr>
            <w:tcW w:w="1152" w:type="dxa"/>
            <w:tcMar>
              <w:top w:w="80" w:type="dxa"/>
              <w:left w:w="90" w:type="dxa"/>
              <w:bottom w:w="80" w:type="dxa"/>
              <w:right w:w="90" w:type="dxa"/>
            </w:tcMar>
            <w:vAlign w:val="center"/>
          </w:tcPr>
          <w:p w14:paraId="1D4B86DD" w14:textId="77777777" w:rsidR="005129EA" w:rsidRDefault="00000000">
            <w:pPr>
              <w:spacing w:after="0" w:line="240" w:lineRule="auto"/>
              <w:ind w:firstLine="0"/>
              <w:jc w:val="center"/>
            </w:pPr>
            <w:r>
              <w:rPr>
                <w:sz w:val="16"/>
              </w:rPr>
              <w:t>10%</w:t>
            </w:r>
          </w:p>
        </w:tc>
        <w:tc>
          <w:tcPr>
            <w:tcW w:w="1080" w:type="dxa"/>
            <w:tcMar>
              <w:top w:w="80" w:type="dxa"/>
              <w:left w:w="90" w:type="dxa"/>
              <w:bottom w:w="80" w:type="dxa"/>
              <w:right w:w="90" w:type="dxa"/>
            </w:tcMar>
            <w:vAlign w:val="center"/>
          </w:tcPr>
          <w:p w14:paraId="758193FD" w14:textId="77777777" w:rsidR="005129EA" w:rsidRDefault="00000000">
            <w:pPr>
              <w:spacing w:after="0" w:line="240" w:lineRule="auto"/>
              <w:ind w:firstLine="0"/>
              <w:jc w:val="center"/>
            </w:pPr>
            <w:r>
              <w:rPr>
                <w:sz w:val="16"/>
              </w:rPr>
              <w:t>Neck region</w:t>
            </w:r>
          </w:p>
        </w:tc>
        <w:tc>
          <w:tcPr>
            <w:tcW w:w="2160" w:type="dxa"/>
            <w:tcMar>
              <w:top w:w="80" w:type="dxa"/>
              <w:left w:w="90" w:type="dxa"/>
              <w:bottom w:w="80" w:type="dxa"/>
              <w:right w:w="90" w:type="dxa"/>
            </w:tcMar>
            <w:vAlign w:val="center"/>
          </w:tcPr>
          <w:p w14:paraId="07175619" w14:textId="77777777" w:rsidR="005129EA" w:rsidRDefault="00000000">
            <w:pPr>
              <w:spacing w:after="0" w:line="240" w:lineRule="auto"/>
              <w:ind w:firstLine="0"/>
              <w:jc w:val="left"/>
            </w:pPr>
            <w:r>
              <w:rPr>
                <w:sz w:val="16"/>
              </w:rPr>
              <w:t>Subcutaneous, using a 20 G, 1.5-inch needle</w:t>
            </w:r>
          </w:p>
        </w:tc>
      </w:tr>
      <w:tr w:rsidR="005129EA" w14:paraId="7FE3C7AD" w14:textId="77777777" w:rsidTr="0097217A">
        <w:trPr>
          <w:cantSplit/>
          <w:jc w:val="center"/>
        </w:trPr>
        <w:tc>
          <w:tcPr>
            <w:tcW w:w="1152" w:type="dxa"/>
            <w:tcMar>
              <w:top w:w="80" w:type="dxa"/>
              <w:left w:w="90" w:type="dxa"/>
              <w:bottom w:w="80" w:type="dxa"/>
              <w:right w:w="90" w:type="dxa"/>
            </w:tcMar>
            <w:vAlign w:val="center"/>
          </w:tcPr>
          <w:p w14:paraId="58F4974E" w14:textId="77777777" w:rsidR="005129EA" w:rsidRDefault="00000000">
            <w:pPr>
              <w:spacing w:after="0" w:line="240" w:lineRule="auto"/>
              <w:ind w:firstLine="0"/>
              <w:jc w:val="center"/>
            </w:pPr>
            <w:r>
              <w:rPr>
                <w:sz w:val="16"/>
              </w:rPr>
              <w:t>C (n = 6)</w:t>
            </w:r>
          </w:p>
        </w:tc>
        <w:tc>
          <w:tcPr>
            <w:tcW w:w="2376" w:type="dxa"/>
            <w:tcMar>
              <w:top w:w="80" w:type="dxa"/>
              <w:left w:w="90" w:type="dxa"/>
              <w:bottom w:w="80" w:type="dxa"/>
              <w:right w:w="90" w:type="dxa"/>
            </w:tcMar>
            <w:vAlign w:val="center"/>
          </w:tcPr>
          <w:p w14:paraId="3A5D8399" w14:textId="77777777" w:rsidR="005129EA" w:rsidRDefault="00000000">
            <w:pPr>
              <w:spacing w:after="0" w:line="240" w:lineRule="auto"/>
              <w:ind w:firstLine="0"/>
              <w:jc w:val="left"/>
            </w:pPr>
            <w:r>
              <w:rPr>
                <w:sz w:val="16"/>
              </w:rPr>
              <w:t>None</w:t>
            </w:r>
          </w:p>
        </w:tc>
        <w:tc>
          <w:tcPr>
            <w:tcW w:w="1296" w:type="dxa"/>
            <w:tcMar>
              <w:top w:w="80" w:type="dxa"/>
              <w:left w:w="90" w:type="dxa"/>
              <w:bottom w:w="80" w:type="dxa"/>
              <w:right w:w="90" w:type="dxa"/>
            </w:tcMar>
            <w:vAlign w:val="center"/>
          </w:tcPr>
          <w:p w14:paraId="308E4C84" w14:textId="77777777" w:rsidR="005129EA" w:rsidRDefault="00000000">
            <w:pPr>
              <w:spacing w:after="0" w:line="240" w:lineRule="auto"/>
              <w:ind w:firstLine="0"/>
              <w:jc w:val="center"/>
            </w:pPr>
            <w:r>
              <w:rPr>
                <w:sz w:val="16"/>
              </w:rPr>
              <w:t>-</w:t>
            </w:r>
          </w:p>
        </w:tc>
        <w:tc>
          <w:tcPr>
            <w:tcW w:w="1152" w:type="dxa"/>
            <w:tcMar>
              <w:top w:w="80" w:type="dxa"/>
              <w:left w:w="90" w:type="dxa"/>
              <w:bottom w:w="80" w:type="dxa"/>
              <w:right w:w="90" w:type="dxa"/>
            </w:tcMar>
            <w:vAlign w:val="center"/>
          </w:tcPr>
          <w:p w14:paraId="5E1A25D0" w14:textId="77777777" w:rsidR="005129EA" w:rsidRDefault="00000000">
            <w:pPr>
              <w:spacing w:after="0" w:line="240" w:lineRule="auto"/>
              <w:ind w:firstLine="0"/>
              <w:jc w:val="center"/>
            </w:pPr>
            <w:r>
              <w:rPr>
                <w:sz w:val="16"/>
              </w:rPr>
              <w:t>-</w:t>
            </w:r>
          </w:p>
        </w:tc>
        <w:tc>
          <w:tcPr>
            <w:tcW w:w="1080" w:type="dxa"/>
            <w:tcMar>
              <w:top w:w="80" w:type="dxa"/>
              <w:left w:w="90" w:type="dxa"/>
              <w:bottom w:w="80" w:type="dxa"/>
              <w:right w:w="90" w:type="dxa"/>
            </w:tcMar>
            <w:vAlign w:val="center"/>
          </w:tcPr>
          <w:p w14:paraId="2C298FCE" w14:textId="77777777" w:rsidR="005129EA" w:rsidRDefault="00000000">
            <w:pPr>
              <w:spacing w:after="0" w:line="240" w:lineRule="auto"/>
              <w:ind w:firstLine="0"/>
              <w:jc w:val="center"/>
            </w:pPr>
            <w:r>
              <w:rPr>
                <w:sz w:val="16"/>
              </w:rPr>
              <w:t>-</w:t>
            </w:r>
          </w:p>
        </w:tc>
        <w:tc>
          <w:tcPr>
            <w:tcW w:w="2160" w:type="dxa"/>
            <w:tcMar>
              <w:top w:w="80" w:type="dxa"/>
              <w:left w:w="90" w:type="dxa"/>
              <w:bottom w:w="80" w:type="dxa"/>
              <w:right w:w="90" w:type="dxa"/>
            </w:tcMar>
            <w:vAlign w:val="center"/>
          </w:tcPr>
          <w:p w14:paraId="517E933F" w14:textId="77777777" w:rsidR="005129EA" w:rsidRDefault="00000000">
            <w:pPr>
              <w:spacing w:after="0" w:line="240" w:lineRule="auto"/>
              <w:ind w:firstLine="0"/>
              <w:jc w:val="left"/>
            </w:pPr>
            <w:r>
              <w:rPr>
                <w:sz w:val="16"/>
              </w:rPr>
              <w:t>-</w:t>
            </w:r>
          </w:p>
        </w:tc>
      </w:tr>
    </w:tbl>
    <w:p w14:paraId="60703859" w14:textId="77777777" w:rsidR="005129EA" w:rsidRDefault="00000000">
      <w:pPr>
        <w:spacing w:before="40" w:after="80"/>
        <w:ind w:firstLine="0"/>
      </w:pPr>
      <w:r>
        <w:rPr>
          <w:i/>
          <w:sz w:val="17"/>
        </w:rPr>
        <w:t>Note.</w:t>
      </w:r>
      <w:r>
        <w:rPr>
          <w:sz w:val="17"/>
        </w:rPr>
        <w:t xml:space="preserve"> The chemical designation is reported as documented in the original study treatment record; interpretation in this article is limited to the administered commercial preparation and recorded dose.</w:t>
      </w:r>
    </w:p>
    <w:p w14:paraId="4C2E9BF4" w14:textId="77777777" w:rsidR="005129EA" w:rsidRDefault="00000000">
      <w:pPr>
        <w:pStyle w:val="Heading2"/>
      </w:pPr>
      <w:r>
        <w:t>2.4 Estimation of Body Weight for Dose Calculation</w:t>
      </w:r>
    </w:p>
    <w:p w14:paraId="3321AF84" w14:textId="77777777" w:rsidR="005129EA" w:rsidRDefault="00000000">
      <w:r>
        <w:t xml:space="preserve">Body weight was estimated from body length and heart-girth measurements in </w:t>
      </w:r>
      <w:proofErr w:type="spellStart"/>
      <w:r>
        <w:t>centimetres</w:t>
      </w:r>
      <w:proofErr w:type="spellEnd"/>
      <w:r>
        <w:t xml:space="preserve"> using the equation described by Carroll and Huntington (1988):</w:t>
      </w:r>
    </w:p>
    <w:p w14:paraId="2E57268F" w14:textId="77777777" w:rsidR="005129EA" w:rsidRDefault="00000000">
      <w:pPr>
        <w:spacing w:before="60" w:after="140"/>
        <w:ind w:firstLine="0"/>
        <w:jc w:val="center"/>
      </w:pPr>
      <w:r>
        <w:t>Estimated body weight (kg) = [heart girth (cm)]</w:t>
      </w:r>
      <w:r>
        <w:rPr>
          <w:vertAlign w:val="superscript"/>
        </w:rPr>
        <w:t>2</w:t>
      </w:r>
      <w:r>
        <w:t xml:space="preserve"> × body length (cm) / 11,900</w:t>
      </w:r>
    </w:p>
    <w:p w14:paraId="606EF9FD" w14:textId="77777777" w:rsidR="005129EA" w:rsidRDefault="00000000">
      <w:pPr>
        <w:pStyle w:val="Heading2"/>
      </w:pPr>
      <w:r>
        <w:t>2.5 Parameters Assessed Before and After Drug Administration</w:t>
      </w:r>
    </w:p>
    <w:p w14:paraId="1C794809" w14:textId="77777777" w:rsidR="005129EA" w:rsidRDefault="00000000">
      <w:r>
        <w:t xml:space="preserve">Parasitological, molecular, and serological observations were obtained before treatment on Day 0 and after treatment on Days 3, 7, 14, and 21, as </w:t>
      </w:r>
      <w:proofErr w:type="spellStart"/>
      <w:r>
        <w:t>summarised</w:t>
      </w:r>
      <w:proofErr w:type="spellEnd"/>
      <w:r>
        <w:t xml:space="preserve"> in Table 2.</w:t>
      </w:r>
    </w:p>
    <w:p w14:paraId="73CD5509" w14:textId="77777777" w:rsidR="005129EA" w:rsidRDefault="00000000">
      <w:pPr>
        <w:keepNext/>
        <w:spacing w:before="100" w:after="60"/>
        <w:ind w:firstLine="0"/>
      </w:pPr>
      <w:r>
        <w:rPr>
          <w:b/>
          <w:sz w:val="19"/>
        </w:rPr>
        <w:t>Table 2. Laboratory observations and sampling schedule.</w:t>
      </w:r>
    </w:p>
    <w:tbl>
      <w:tblPr>
        <w:tblW w:w="0" w:type="auto"/>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firstRow="1" w:lastRow="0" w:firstColumn="1" w:lastColumn="0" w:noHBand="0" w:noVBand="1"/>
      </w:tblPr>
      <w:tblGrid>
        <w:gridCol w:w="792"/>
        <w:gridCol w:w="2232"/>
        <w:gridCol w:w="2664"/>
        <w:gridCol w:w="3672"/>
      </w:tblGrid>
      <w:tr w:rsidR="005129EA" w14:paraId="055B02B6" w14:textId="77777777" w:rsidTr="0097217A">
        <w:trPr>
          <w:cantSplit/>
          <w:tblHeader/>
          <w:jc w:val="center"/>
        </w:trPr>
        <w:tc>
          <w:tcPr>
            <w:tcW w:w="792" w:type="dxa"/>
            <w:tcMar>
              <w:top w:w="80" w:type="dxa"/>
              <w:left w:w="90" w:type="dxa"/>
              <w:bottom w:w="80" w:type="dxa"/>
              <w:right w:w="90" w:type="dxa"/>
            </w:tcMar>
            <w:vAlign w:val="center"/>
          </w:tcPr>
          <w:p w14:paraId="27443D52" w14:textId="77777777" w:rsidR="005129EA" w:rsidRDefault="00000000">
            <w:pPr>
              <w:spacing w:after="0" w:line="240" w:lineRule="auto"/>
              <w:ind w:firstLine="0"/>
              <w:jc w:val="center"/>
            </w:pPr>
            <w:r>
              <w:rPr>
                <w:b/>
                <w:sz w:val="17"/>
              </w:rPr>
              <w:t>S. No.</w:t>
            </w:r>
          </w:p>
        </w:tc>
        <w:tc>
          <w:tcPr>
            <w:tcW w:w="2232" w:type="dxa"/>
            <w:tcMar>
              <w:top w:w="80" w:type="dxa"/>
              <w:left w:w="90" w:type="dxa"/>
              <w:bottom w:w="80" w:type="dxa"/>
              <w:right w:w="90" w:type="dxa"/>
            </w:tcMar>
            <w:vAlign w:val="center"/>
          </w:tcPr>
          <w:p w14:paraId="7FF140C9" w14:textId="77777777" w:rsidR="005129EA" w:rsidRDefault="00000000">
            <w:pPr>
              <w:spacing w:after="0" w:line="240" w:lineRule="auto"/>
              <w:ind w:firstLine="0"/>
              <w:jc w:val="left"/>
            </w:pPr>
            <w:r>
              <w:rPr>
                <w:b/>
                <w:sz w:val="17"/>
              </w:rPr>
              <w:t>Parameter</w:t>
            </w:r>
          </w:p>
        </w:tc>
        <w:tc>
          <w:tcPr>
            <w:tcW w:w="2664" w:type="dxa"/>
            <w:tcMar>
              <w:top w:w="80" w:type="dxa"/>
              <w:left w:w="90" w:type="dxa"/>
              <w:bottom w:w="80" w:type="dxa"/>
              <w:right w:w="90" w:type="dxa"/>
            </w:tcMar>
            <w:vAlign w:val="center"/>
          </w:tcPr>
          <w:p w14:paraId="654F6297" w14:textId="77777777" w:rsidR="005129EA" w:rsidRDefault="00000000">
            <w:pPr>
              <w:spacing w:after="0" w:line="240" w:lineRule="auto"/>
              <w:ind w:firstLine="0"/>
              <w:jc w:val="left"/>
            </w:pPr>
            <w:r>
              <w:rPr>
                <w:b/>
                <w:sz w:val="17"/>
              </w:rPr>
              <w:t>Method</w:t>
            </w:r>
          </w:p>
        </w:tc>
        <w:tc>
          <w:tcPr>
            <w:tcW w:w="3672" w:type="dxa"/>
            <w:tcMar>
              <w:top w:w="80" w:type="dxa"/>
              <w:left w:w="90" w:type="dxa"/>
              <w:bottom w:w="80" w:type="dxa"/>
              <w:right w:w="90" w:type="dxa"/>
            </w:tcMar>
            <w:vAlign w:val="center"/>
          </w:tcPr>
          <w:p w14:paraId="3186398F" w14:textId="77777777" w:rsidR="005129EA" w:rsidRDefault="00000000">
            <w:pPr>
              <w:spacing w:after="0" w:line="240" w:lineRule="auto"/>
              <w:ind w:firstLine="0"/>
              <w:jc w:val="left"/>
            </w:pPr>
            <w:r>
              <w:rPr>
                <w:b/>
                <w:sz w:val="17"/>
              </w:rPr>
              <w:t>Sampling schedule</w:t>
            </w:r>
          </w:p>
        </w:tc>
      </w:tr>
      <w:tr w:rsidR="005129EA" w14:paraId="1716F9A0" w14:textId="77777777" w:rsidTr="0097217A">
        <w:trPr>
          <w:cantSplit/>
          <w:jc w:val="center"/>
        </w:trPr>
        <w:tc>
          <w:tcPr>
            <w:tcW w:w="792" w:type="dxa"/>
            <w:tcMar>
              <w:top w:w="80" w:type="dxa"/>
              <w:left w:w="90" w:type="dxa"/>
              <w:bottom w:w="80" w:type="dxa"/>
              <w:right w:w="90" w:type="dxa"/>
            </w:tcMar>
            <w:vAlign w:val="center"/>
          </w:tcPr>
          <w:p w14:paraId="0F83B8D7" w14:textId="77777777" w:rsidR="005129EA" w:rsidRDefault="00000000">
            <w:pPr>
              <w:spacing w:after="0" w:line="240" w:lineRule="auto"/>
              <w:ind w:firstLine="0"/>
              <w:jc w:val="center"/>
            </w:pPr>
            <w:r>
              <w:rPr>
                <w:sz w:val="17"/>
              </w:rPr>
              <w:t>1</w:t>
            </w:r>
          </w:p>
        </w:tc>
        <w:tc>
          <w:tcPr>
            <w:tcW w:w="2232" w:type="dxa"/>
            <w:tcMar>
              <w:top w:w="80" w:type="dxa"/>
              <w:left w:w="90" w:type="dxa"/>
              <w:bottom w:w="80" w:type="dxa"/>
              <w:right w:w="90" w:type="dxa"/>
            </w:tcMar>
            <w:vAlign w:val="center"/>
          </w:tcPr>
          <w:p w14:paraId="4B56D6D6" w14:textId="77777777" w:rsidR="005129EA" w:rsidRDefault="00000000">
            <w:pPr>
              <w:spacing w:after="0" w:line="240" w:lineRule="auto"/>
              <w:ind w:firstLine="0"/>
              <w:jc w:val="left"/>
            </w:pPr>
            <w:r>
              <w:rPr>
                <w:sz w:val="17"/>
              </w:rPr>
              <w:t>Parasitological examination</w:t>
            </w:r>
          </w:p>
        </w:tc>
        <w:tc>
          <w:tcPr>
            <w:tcW w:w="2664" w:type="dxa"/>
            <w:tcMar>
              <w:top w:w="80" w:type="dxa"/>
              <w:left w:w="90" w:type="dxa"/>
              <w:bottom w:w="80" w:type="dxa"/>
              <w:right w:w="90" w:type="dxa"/>
            </w:tcMar>
            <w:vAlign w:val="center"/>
          </w:tcPr>
          <w:p w14:paraId="5D7CBB90" w14:textId="77777777" w:rsidR="005129EA" w:rsidRDefault="00000000">
            <w:pPr>
              <w:spacing w:after="0" w:line="240" w:lineRule="auto"/>
              <w:ind w:firstLine="0"/>
              <w:jc w:val="left"/>
            </w:pPr>
            <w:r>
              <w:rPr>
                <w:sz w:val="17"/>
              </w:rPr>
              <w:t>MHCT and Giemsa-stained blood-smear examination</w:t>
            </w:r>
          </w:p>
        </w:tc>
        <w:tc>
          <w:tcPr>
            <w:tcW w:w="3672" w:type="dxa"/>
            <w:tcMar>
              <w:top w:w="80" w:type="dxa"/>
              <w:left w:w="90" w:type="dxa"/>
              <w:bottom w:w="80" w:type="dxa"/>
              <w:right w:w="90" w:type="dxa"/>
            </w:tcMar>
            <w:vAlign w:val="center"/>
          </w:tcPr>
          <w:p w14:paraId="15346BC4" w14:textId="77777777" w:rsidR="005129EA" w:rsidRDefault="00000000">
            <w:pPr>
              <w:spacing w:after="0" w:line="240" w:lineRule="auto"/>
              <w:ind w:firstLine="0"/>
              <w:jc w:val="left"/>
            </w:pPr>
            <w:r>
              <w:rPr>
                <w:sz w:val="17"/>
              </w:rPr>
              <w:t>Day 0 before treatment; Days 3, 7, 14, and 21 after treatment</w:t>
            </w:r>
          </w:p>
        </w:tc>
      </w:tr>
      <w:tr w:rsidR="005129EA" w14:paraId="03B12F41" w14:textId="77777777" w:rsidTr="0097217A">
        <w:trPr>
          <w:cantSplit/>
          <w:jc w:val="center"/>
        </w:trPr>
        <w:tc>
          <w:tcPr>
            <w:tcW w:w="792" w:type="dxa"/>
            <w:tcMar>
              <w:top w:w="80" w:type="dxa"/>
              <w:left w:w="90" w:type="dxa"/>
              <w:bottom w:w="80" w:type="dxa"/>
              <w:right w:w="90" w:type="dxa"/>
            </w:tcMar>
            <w:vAlign w:val="center"/>
          </w:tcPr>
          <w:p w14:paraId="6773242C" w14:textId="77777777" w:rsidR="005129EA" w:rsidRDefault="00000000">
            <w:pPr>
              <w:spacing w:after="0" w:line="240" w:lineRule="auto"/>
              <w:ind w:firstLine="0"/>
              <w:jc w:val="center"/>
            </w:pPr>
            <w:r>
              <w:rPr>
                <w:sz w:val="17"/>
              </w:rPr>
              <w:t>2</w:t>
            </w:r>
          </w:p>
        </w:tc>
        <w:tc>
          <w:tcPr>
            <w:tcW w:w="2232" w:type="dxa"/>
            <w:tcMar>
              <w:top w:w="80" w:type="dxa"/>
              <w:left w:w="90" w:type="dxa"/>
              <w:bottom w:w="80" w:type="dxa"/>
              <w:right w:w="90" w:type="dxa"/>
            </w:tcMar>
            <w:vAlign w:val="center"/>
          </w:tcPr>
          <w:p w14:paraId="473F9CE7" w14:textId="77777777" w:rsidR="005129EA" w:rsidRDefault="00000000">
            <w:pPr>
              <w:spacing w:after="0" w:line="240" w:lineRule="auto"/>
              <w:ind w:firstLine="0"/>
              <w:jc w:val="left"/>
            </w:pPr>
            <w:r>
              <w:rPr>
                <w:sz w:val="17"/>
              </w:rPr>
              <w:t>Molecular diagnosis</w:t>
            </w:r>
          </w:p>
        </w:tc>
        <w:tc>
          <w:tcPr>
            <w:tcW w:w="2664" w:type="dxa"/>
            <w:tcMar>
              <w:top w:w="80" w:type="dxa"/>
              <w:left w:w="90" w:type="dxa"/>
              <w:bottom w:w="80" w:type="dxa"/>
              <w:right w:w="90" w:type="dxa"/>
            </w:tcMar>
            <w:vAlign w:val="center"/>
          </w:tcPr>
          <w:p w14:paraId="6E73197D" w14:textId="77777777" w:rsidR="005129EA" w:rsidRDefault="00000000">
            <w:pPr>
              <w:spacing w:after="0" w:line="240" w:lineRule="auto"/>
              <w:ind w:firstLine="0"/>
              <w:jc w:val="left"/>
            </w:pPr>
            <w:r>
              <w:rPr>
                <w:sz w:val="17"/>
              </w:rPr>
              <w:t>ISG-PCR</w:t>
            </w:r>
          </w:p>
        </w:tc>
        <w:tc>
          <w:tcPr>
            <w:tcW w:w="3672" w:type="dxa"/>
            <w:tcMar>
              <w:top w:w="80" w:type="dxa"/>
              <w:left w:w="90" w:type="dxa"/>
              <w:bottom w:w="80" w:type="dxa"/>
              <w:right w:w="90" w:type="dxa"/>
            </w:tcMar>
            <w:vAlign w:val="center"/>
          </w:tcPr>
          <w:p w14:paraId="50A5CCDE" w14:textId="77777777" w:rsidR="005129EA" w:rsidRDefault="00000000">
            <w:pPr>
              <w:spacing w:after="0" w:line="240" w:lineRule="auto"/>
              <w:ind w:firstLine="0"/>
              <w:jc w:val="left"/>
            </w:pPr>
            <w:r>
              <w:rPr>
                <w:sz w:val="17"/>
              </w:rPr>
              <w:t>Day 0 before treatment; Days 3, 7, 14, and 21 after treatment</w:t>
            </w:r>
          </w:p>
        </w:tc>
      </w:tr>
      <w:tr w:rsidR="005129EA" w14:paraId="016DB2C4" w14:textId="77777777" w:rsidTr="0097217A">
        <w:trPr>
          <w:cantSplit/>
          <w:jc w:val="center"/>
        </w:trPr>
        <w:tc>
          <w:tcPr>
            <w:tcW w:w="792" w:type="dxa"/>
            <w:tcMar>
              <w:top w:w="80" w:type="dxa"/>
              <w:left w:w="90" w:type="dxa"/>
              <w:bottom w:w="80" w:type="dxa"/>
              <w:right w:w="90" w:type="dxa"/>
            </w:tcMar>
            <w:vAlign w:val="center"/>
          </w:tcPr>
          <w:p w14:paraId="3F6E727B" w14:textId="77777777" w:rsidR="005129EA" w:rsidRDefault="00000000">
            <w:pPr>
              <w:spacing w:after="0" w:line="240" w:lineRule="auto"/>
              <w:ind w:firstLine="0"/>
              <w:jc w:val="center"/>
            </w:pPr>
            <w:r>
              <w:rPr>
                <w:sz w:val="17"/>
              </w:rPr>
              <w:t>3</w:t>
            </w:r>
          </w:p>
        </w:tc>
        <w:tc>
          <w:tcPr>
            <w:tcW w:w="2232" w:type="dxa"/>
            <w:tcMar>
              <w:top w:w="80" w:type="dxa"/>
              <w:left w:w="90" w:type="dxa"/>
              <w:bottom w:w="80" w:type="dxa"/>
              <w:right w:w="90" w:type="dxa"/>
            </w:tcMar>
            <w:vAlign w:val="center"/>
          </w:tcPr>
          <w:p w14:paraId="0B2AB66C" w14:textId="77777777" w:rsidR="005129EA" w:rsidRDefault="00000000">
            <w:pPr>
              <w:spacing w:after="0" w:line="240" w:lineRule="auto"/>
              <w:ind w:firstLine="0"/>
              <w:jc w:val="left"/>
            </w:pPr>
            <w:r>
              <w:rPr>
                <w:sz w:val="17"/>
              </w:rPr>
              <w:t>Serological diagnosis</w:t>
            </w:r>
          </w:p>
        </w:tc>
        <w:tc>
          <w:tcPr>
            <w:tcW w:w="2664" w:type="dxa"/>
            <w:tcMar>
              <w:top w:w="80" w:type="dxa"/>
              <w:left w:w="90" w:type="dxa"/>
              <w:bottom w:w="80" w:type="dxa"/>
              <w:right w:w="90" w:type="dxa"/>
            </w:tcMar>
            <w:vAlign w:val="center"/>
          </w:tcPr>
          <w:p w14:paraId="00A509A1" w14:textId="77777777" w:rsidR="005129EA" w:rsidRDefault="00000000">
            <w:pPr>
              <w:spacing w:after="0" w:line="240" w:lineRule="auto"/>
              <w:ind w:firstLine="0"/>
              <w:jc w:val="left"/>
            </w:pPr>
            <w:r>
              <w:rPr>
                <w:sz w:val="17"/>
              </w:rPr>
              <w:t>Indirect antibody ELISA</w:t>
            </w:r>
          </w:p>
        </w:tc>
        <w:tc>
          <w:tcPr>
            <w:tcW w:w="3672" w:type="dxa"/>
            <w:tcMar>
              <w:top w:w="80" w:type="dxa"/>
              <w:left w:w="90" w:type="dxa"/>
              <w:bottom w:w="80" w:type="dxa"/>
              <w:right w:w="90" w:type="dxa"/>
            </w:tcMar>
            <w:vAlign w:val="center"/>
          </w:tcPr>
          <w:p w14:paraId="566F2866" w14:textId="77777777" w:rsidR="005129EA" w:rsidRDefault="00000000">
            <w:pPr>
              <w:spacing w:after="0" w:line="240" w:lineRule="auto"/>
              <w:ind w:firstLine="0"/>
              <w:jc w:val="left"/>
            </w:pPr>
            <w:r>
              <w:rPr>
                <w:sz w:val="17"/>
              </w:rPr>
              <w:t>Day 0 before treatment; Days 3, 7, 14, and 21 after treatment</w:t>
            </w:r>
          </w:p>
        </w:tc>
      </w:tr>
    </w:tbl>
    <w:p w14:paraId="686FC2BF" w14:textId="77777777" w:rsidR="005129EA" w:rsidRDefault="00000000">
      <w:pPr>
        <w:pStyle w:val="Heading2"/>
      </w:pPr>
      <w:r>
        <w:t>2.6 Blood-Sample Collection</w:t>
      </w:r>
    </w:p>
    <w:p w14:paraId="228F0669" w14:textId="77777777" w:rsidR="005129EA" w:rsidRDefault="00000000">
      <w:r>
        <w:t>Approximately 5 mL of blood was collected aseptically from the jugular vein of each horse at each of the five sampling occasions using sterile disposable syringes and 20 G, 1.5-inch needles. Samples were divided between K3-EDTA tubes for parasitological examination and DNA extraction and clot-activator tubes for serum separation and antibody ELISA. The same sampling schedule was applied to treatment and comparison animals (Table 2; Figure 2).</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896"/>
        <w:gridCol w:w="4896"/>
      </w:tblGrid>
      <w:tr w:rsidR="005129EA" w14:paraId="1630C8EA" w14:textId="77777777">
        <w:trPr>
          <w:cantSplit/>
          <w:jc w:val="center"/>
        </w:trPr>
        <w:tc>
          <w:tcPr>
            <w:tcW w:w="4896" w:type="dxa"/>
            <w:tcMar>
              <w:top w:w="0" w:type="dxa"/>
              <w:left w:w="50" w:type="dxa"/>
              <w:bottom w:w="0" w:type="dxa"/>
              <w:right w:w="50" w:type="dxa"/>
            </w:tcMar>
            <w:vAlign w:val="center"/>
          </w:tcPr>
          <w:p w14:paraId="63F5B419" w14:textId="77777777" w:rsidR="005129EA" w:rsidRDefault="00000000">
            <w:pPr>
              <w:ind w:firstLine="0"/>
              <w:jc w:val="center"/>
            </w:pPr>
            <w:r>
              <w:rPr>
                <w:noProof/>
              </w:rPr>
              <w:lastRenderedPageBreak/>
              <w:drawing>
                <wp:inline distT="0" distB="0" distL="0" distR="0" wp14:anchorId="372EA155" wp14:editId="12F017FE">
                  <wp:extent cx="2240280" cy="4480560"/>
                  <wp:effectExtent l="0" t="0" r="0" b="0"/>
                  <wp:docPr id="3" name="Picture 3" descr="Figure 2. Jugular blood-sample collection from study horses. Left panel." titl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4_img1.png"/>
                          <pic:cNvPicPr/>
                        </pic:nvPicPr>
                        <pic:blipFill>
                          <a:blip r:embed="rId10"/>
                          <a:stretch>
                            <a:fillRect/>
                          </a:stretch>
                        </pic:blipFill>
                        <pic:spPr>
                          <a:xfrm>
                            <a:off x="0" y="0"/>
                            <a:ext cx="2240280" cy="4480560"/>
                          </a:xfrm>
                          <a:prstGeom prst="rect">
                            <a:avLst/>
                          </a:prstGeom>
                        </pic:spPr>
                      </pic:pic>
                    </a:graphicData>
                  </a:graphic>
                </wp:inline>
              </w:drawing>
            </w:r>
          </w:p>
        </w:tc>
        <w:tc>
          <w:tcPr>
            <w:tcW w:w="4896" w:type="dxa"/>
            <w:tcMar>
              <w:top w:w="0" w:type="dxa"/>
              <w:left w:w="50" w:type="dxa"/>
              <w:bottom w:w="0" w:type="dxa"/>
              <w:right w:w="50" w:type="dxa"/>
            </w:tcMar>
            <w:vAlign w:val="center"/>
          </w:tcPr>
          <w:p w14:paraId="640B07A2" w14:textId="77777777" w:rsidR="005129EA" w:rsidRDefault="00000000">
            <w:pPr>
              <w:ind w:firstLine="0"/>
              <w:jc w:val="center"/>
            </w:pPr>
            <w:r>
              <w:rPr>
                <w:noProof/>
              </w:rPr>
              <w:drawing>
                <wp:inline distT="0" distB="0" distL="0" distR="0" wp14:anchorId="1FD52425" wp14:editId="4ED8741C">
                  <wp:extent cx="2514600" cy="3018960"/>
                  <wp:effectExtent l="0" t="0" r="0" b="0"/>
                  <wp:docPr id="4" name="Picture 4" descr="Figure 2. Jugular blood-sample collection from study horses. Right panel." titl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4_img2.png"/>
                          <pic:cNvPicPr/>
                        </pic:nvPicPr>
                        <pic:blipFill>
                          <a:blip r:embed="rId11"/>
                          <a:stretch>
                            <a:fillRect/>
                          </a:stretch>
                        </pic:blipFill>
                        <pic:spPr>
                          <a:xfrm>
                            <a:off x="0" y="0"/>
                            <a:ext cx="2514600" cy="3018960"/>
                          </a:xfrm>
                          <a:prstGeom prst="rect">
                            <a:avLst/>
                          </a:prstGeom>
                        </pic:spPr>
                      </pic:pic>
                    </a:graphicData>
                  </a:graphic>
                </wp:inline>
              </w:drawing>
            </w:r>
          </w:p>
        </w:tc>
      </w:tr>
    </w:tbl>
    <w:p w14:paraId="68988489" w14:textId="77777777" w:rsidR="005129EA" w:rsidRDefault="00000000">
      <w:pPr>
        <w:pStyle w:val="CaptionClean"/>
      </w:pPr>
      <w:r>
        <w:t>Figure 2. Jugular blood-sample collection from study horses.</w:t>
      </w:r>
    </w:p>
    <w:p w14:paraId="3E215935" w14:textId="77777777" w:rsidR="005129EA" w:rsidRDefault="00000000">
      <w:pPr>
        <w:pStyle w:val="Heading2"/>
      </w:pPr>
      <w:r>
        <w:t>2.7 Parasitological Examination</w:t>
      </w:r>
    </w:p>
    <w:p w14:paraId="20680D23" w14:textId="77777777" w:rsidR="005129EA" w:rsidRDefault="00000000">
      <w:pPr>
        <w:pStyle w:val="Heading3"/>
      </w:pPr>
      <w:r>
        <w:t xml:space="preserve">2.7.1 </w:t>
      </w:r>
      <w:proofErr w:type="spellStart"/>
      <w:r>
        <w:t>Microhaematocrit</w:t>
      </w:r>
      <w:proofErr w:type="spellEnd"/>
      <w:r>
        <w:t xml:space="preserve"> Centrifugation Technique</w:t>
      </w:r>
    </w:p>
    <w:p w14:paraId="52CCCB1C" w14:textId="77777777" w:rsidR="005129EA" w:rsidRDefault="00000000">
      <w:r>
        <w:t xml:space="preserve">Anticoagulated blood was examined for motile trypanosomes using the </w:t>
      </w:r>
      <w:proofErr w:type="spellStart"/>
      <w:r>
        <w:t>microhaematocrit</w:t>
      </w:r>
      <w:proofErr w:type="spellEnd"/>
      <w:r>
        <w:t xml:space="preserve"> centrifugation technique described by Woo (1970). The buffy-coat region was examined microscopically (Figure 3).</w:t>
      </w:r>
    </w:p>
    <w:p w14:paraId="1598D162" w14:textId="77777777" w:rsidR="005129EA" w:rsidRDefault="00000000">
      <w:pPr>
        <w:pStyle w:val="Heading3"/>
      </w:pPr>
      <w:r>
        <w:t>2.7.2 Blood-Smear Examination</w:t>
      </w:r>
    </w:p>
    <w:p w14:paraId="22A558C5" w14:textId="77777777" w:rsidR="005129EA" w:rsidRDefault="00000000">
      <w:r>
        <w:t xml:space="preserve">Thin blood smears were prepared from approximately </w:t>
      </w:r>
      <w:r>
        <w:rPr>
          <w:highlight w:val="yellow"/>
        </w:rPr>
        <w:t>3–5 µL</w:t>
      </w:r>
      <w:r>
        <w:t xml:space="preserve"> of blood, air-dried, fixed in absolute methanol for 10 minutes, and stained for 45 minutes with Giemsa stain diluted 1:10 in phosphate-buffered saline (pH 7.2). Stained smears were examined by oil-immersion microscopy for </w:t>
      </w:r>
      <w:proofErr w:type="spellStart"/>
      <w:r>
        <w:t>haemoprotozoan</w:t>
      </w:r>
      <w:proofErr w:type="spellEnd"/>
      <w:r>
        <w:t xml:space="preserve"> parasites (Figure 3).</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896"/>
        <w:gridCol w:w="4896"/>
      </w:tblGrid>
      <w:tr w:rsidR="005129EA" w14:paraId="1907C384" w14:textId="77777777">
        <w:trPr>
          <w:cantSplit/>
          <w:jc w:val="center"/>
        </w:trPr>
        <w:tc>
          <w:tcPr>
            <w:tcW w:w="4896" w:type="dxa"/>
            <w:tcMar>
              <w:top w:w="0" w:type="dxa"/>
              <w:left w:w="50" w:type="dxa"/>
              <w:bottom w:w="0" w:type="dxa"/>
              <w:right w:w="50" w:type="dxa"/>
            </w:tcMar>
            <w:vAlign w:val="center"/>
          </w:tcPr>
          <w:p w14:paraId="3C4B51F0" w14:textId="77777777" w:rsidR="005129EA" w:rsidRDefault="00000000">
            <w:pPr>
              <w:ind w:firstLine="0"/>
              <w:jc w:val="center"/>
            </w:pPr>
            <w:r>
              <w:rPr>
                <w:noProof/>
              </w:rPr>
              <w:lastRenderedPageBreak/>
              <w:drawing>
                <wp:inline distT="0" distB="0" distL="0" distR="0" wp14:anchorId="60EB39C0" wp14:editId="3B1363F3">
                  <wp:extent cx="2606040" cy="2075029"/>
                  <wp:effectExtent l="0" t="0" r="0" b="0"/>
                  <wp:docPr id="5" name="Picture 5" descr="Figure 3. Equipment and prepared samples used for microhaematocrit centrifugation and Giemsa-stained blood-smear examination. Left panel." titl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5_img1.png"/>
                          <pic:cNvPicPr/>
                        </pic:nvPicPr>
                        <pic:blipFill>
                          <a:blip r:embed="rId12"/>
                          <a:stretch>
                            <a:fillRect/>
                          </a:stretch>
                        </pic:blipFill>
                        <pic:spPr>
                          <a:xfrm>
                            <a:off x="0" y="0"/>
                            <a:ext cx="2606040" cy="2075029"/>
                          </a:xfrm>
                          <a:prstGeom prst="rect">
                            <a:avLst/>
                          </a:prstGeom>
                        </pic:spPr>
                      </pic:pic>
                    </a:graphicData>
                  </a:graphic>
                </wp:inline>
              </w:drawing>
            </w:r>
          </w:p>
        </w:tc>
        <w:tc>
          <w:tcPr>
            <w:tcW w:w="4896" w:type="dxa"/>
            <w:tcMar>
              <w:top w:w="0" w:type="dxa"/>
              <w:left w:w="50" w:type="dxa"/>
              <w:bottom w:w="0" w:type="dxa"/>
              <w:right w:w="50" w:type="dxa"/>
            </w:tcMar>
            <w:vAlign w:val="center"/>
          </w:tcPr>
          <w:p w14:paraId="30932BE5" w14:textId="77777777" w:rsidR="005129EA" w:rsidRDefault="00000000">
            <w:pPr>
              <w:ind w:firstLine="0"/>
              <w:jc w:val="center"/>
            </w:pPr>
            <w:r>
              <w:rPr>
                <w:noProof/>
              </w:rPr>
              <w:drawing>
                <wp:inline distT="0" distB="0" distL="0" distR="0" wp14:anchorId="71EE3C03" wp14:editId="5B813E04">
                  <wp:extent cx="2606040" cy="1252012"/>
                  <wp:effectExtent l="0" t="0" r="0" b="0"/>
                  <wp:docPr id="6" name="Picture 6" descr="Figure 3. Equipment and prepared samples used for microhaematocrit centrifugation and Giemsa-stained blood-smear examination. Right panel." titl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5_img2.png"/>
                          <pic:cNvPicPr/>
                        </pic:nvPicPr>
                        <pic:blipFill>
                          <a:blip r:embed="rId13"/>
                          <a:stretch>
                            <a:fillRect/>
                          </a:stretch>
                        </pic:blipFill>
                        <pic:spPr>
                          <a:xfrm>
                            <a:off x="0" y="0"/>
                            <a:ext cx="2606040" cy="1252012"/>
                          </a:xfrm>
                          <a:prstGeom prst="rect">
                            <a:avLst/>
                          </a:prstGeom>
                        </pic:spPr>
                      </pic:pic>
                    </a:graphicData>
                  </a:graphic>
                </wp:inline>
              </w:drawing>
            </w:r>
          </w:p>
        </w:tc>
      </w:tr>
    </w:tbl>
    <w:p w14:paraId="59E451D4" w14:textId="77777777" w:rsidR="005129EA" w:rsidRDefault="00000000">
      <w:pPr>
        <w:pStyle w:val="CaptionClean"/>
      </w:pPr>
      <w:r>
        <w:t xml:space="preserve">Figure 3. Equipment and prepared samples used for </w:t>
      </w:r>
      <w:proofErr w:type="spellStart"/>
      <w:r>
        <w:t>microhaematocrit</w:t>
      </w:r>
      <w:proofErr w:type="spellEnd"/>
      <w:r>
        <w:t xml:space="preserve"> centrifugation and Giemsa-stained blood-smear examination.</w:t>
      </w:r>
    </w:p>
    <w:p w14:paraId="272418AB" w14:textId="77777777" w:rsidR="005129EA" w:rsidRDefault="00000000">
      <w:pPr>
        <w:pStyle w:val="Heading2"/>
      </w:pPr>
      <w:r>
        <w:t>2.8 Molecular Diagnosis</w:t>
      </w:r>
    </w:p>
    <w:p w14:paraId="2ED32C1E" w14:textId="77777777" w:rsidR="005129EA" w:rsidRDefault="00000000">
      <w:pPr>
        <w:pStyle w:val="Heading3"/>
      </w:pPr>
      <w:r>
        <w:t>2.8.1 DNA Extraction</w:t>
      </w:r>
    </w:p>
    <w:p w14:paraId="76504620" w14:textId="77777777" w:rsidR="005129EA" w:rsidRDefault="00000000">
      <w:r>
        <w:t xml:space="preserve">Total genomic DNA was extracted from 100 µL of EDTA-anticoagulated whole blood using a </w:t>
      </w:r>
      <w:proofErr w:type="spellStart"/>
      <w:r>
        <w:t>DNeasy</w:t>
      </w:r>
      <w:proofErr w:type="spellEnd"/>
      <w:r>
        <w:t xml:space="preserve"> Blood and Tissue Kit (Qiagen India Pvt. Ltd., New Delhi) according to the manufacturer's instructions. Blood was mixed with 20 µL of proteinase K, adjusted to 220 µL with phosphate-buffered saline, combined with 200 µL of buffer AL, and incubated at 56°C for 10 minutes. After addition of 200 µL of absolute ethanol, the lysate was transferred to a </w:t>
      </w:r>
      <w:proofErr w:type="spellStart"/>
      <w:r>
        <w:t>DNeasy</w:t>
      </w:r>
      <w:proofErr w:type="spellEnd"/>
      <w:r>
        <w:t xml:space="preserve"> spin column. Columns were washed sequentially with buffers AW1 and AW2, and DNA was eluted in 30 µL of buffer AE and stored at -40°C until analysis.</w:t>
      </w:r>
    </w:p>
    <w:p w14:paraId="009F218E" w14:textId="77777777" w:rsidR="005129EA" w:rsidRDefault="00000000">
      <w:pPr>
        <w:pStyle w:val="Heading3"/>
      </w:pPr>
      <w:r>
        <w:t>2.8.2 Invariable Surface Glycoprotein PCR</w:t>
      </w:r>
    </w:p>
    <w:p w14:paraId="73D6F5A9" w14:textId="77777777" w:rsidR="005129EA" w:rsidRDefault="00000000">
      <w:r>
        <w:t xml:space="preserve">Molecular detection was performed using conventional PCR with the ISG196-F and ISG196-R primers, which target a conserved invariable surface glycoprotein sequence and generate </w:t>
      </w:r>
      <w:r>
        <w:rPr>
          <w:highlight w:val="yellow"/>
        </w:rPr>
        <w:t>a 196-bp amplicon</w:t>
      </w:r>
      <w:r>
        <w:t xml:space="preserve"> (Kumar et al., 2016). Primer sequences are presented in Table 3. Each 25 µL reaction contained 12.5 µL of 2× </w:t>
      </w:r>
      <w:proofErr w:type="spellStart"/>
      <w:r>
        <w:t>TopTaq</w:t>
      </w:r>
      <w:proofErr w:type="spellEnd"/>
      <w:r>
        <w:t xml:space="preserve"> Master Mix (Qiagen), 1.0 µL of each primer, 2.0 µL of template DNA, and 8.5 µL of nuclease-free water. The thermal-cycling conditions are presented in Table 4. Amplified products were resolved </w:t>
      </w:r>
      <w:r>
        <w:rPr>
          <w:highlight w:val="yellow"/>
        </w:rPr>
        <w:t>on a 1.5% agarose gel</w:t>
      </w:r>
      <w:r>
        <w:t xml:space="preserve"> containing an appropriate nucleic-acid stain and </w:t>
      </w:r>
      <w:proofErr w:type="spellStart"/>
      <w:r>
        <w:t>visualised</w:t>
      </w:r>
      <w:proofErr w:type="spellEnd"/>
      <w:r>
        <w:t xml:space="preserve"> under ultraviolet illumination. A distinct band at 196 bp was interpreted as PCR-positive.</w:t>
      </w:r>
    </w:p>
    <w:p w14:paraId="189B53A0" w14:textId="77777777" w:rsidR="005129EA" w:rsidRDefault="00000000">
      <w:pPr>
        <w:keepNext/>
        <w:spacing w:before="100" w:after="60"/>
        <w:ind w:firstLine="0"/>
      </w:pPr>
      <w:r>
        <w:rPr>
          <w:b/>
          <w:sz w:val="19"/>
        </w:rPr>
        <w:t>Table 3. Primer sequences used for ISG-PCR.</w:t>
      </w:r>
    </w:p>
    <w:tbl>
      <w:tblPr>
        <w:tblW w:w="0" w:type="auto"/>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firstRow="1" w:lastRow="0" w:firstColumn="1" w:lastColumn="0" w:noHBand="0" w:noVBand="1"/>
      </w:tblPr>
      <w:tblGrid>
        <w:gridCol w:w="1584"/>
        <w:gridCol w:w="4608"/>
        <w:gridCol w:w="1440"/>
        <w:gridCol w:w="1584"/>
      </w:tblGrid>
      <w:tr w:rsidR="005129EA" w14:paraId="5FD7CBB0" w14:textId="77777777" w:rsidTr="0097217A">
        <w:trPr>
          <w:cantSplit/>
          <w:tblHeader/>
          <w:jc w:val="center"/>
        </w:trPr>
        <w:tc>
          <w:tcPr>
            <w:tcW w:w="1584" w:type="dxa"/>
            <w:tcMar>
              <w:top w:w="80" w:type="dxa"/>
              <w:left w:w="90" w:type="dxa"/>
              <w:bottom w:w="80" w:type="dxa"/>
              <w:right w:w="90" w:type="dxa"/>
            </w:tcMar>
            <w:vAlign w:val="center"/>
          </w:tcPr>
          <w:p w14:paraId="19E3F07A" w14:textId="77777777" w:rsidR="005129EA" w:rsidRDefault="00000000">
            <w:pPr>
              <w:spacing w:after="0" w:line="240" w:lineRule="auto"/>
              <w:ind w:firstLine="0"/>
              <w:jc w:val="center"/>
            </w:pPr>
            <w:r>
              <w:rPr>
                <w:b/>
                <w:sz w:val="18"/>
              </w:rPr>
              <w:t>Primer</w:t>
            </w:r>
          </w:p>
        </w:tc>
        <w:tc>
          <w:tcPr>
            <w:tcW w:w="4608" w:type="dxa"/>
            <w:tcMar>
              <w:top w:w="80" w:type="dxa"/>
              <w:left w:w="90" w:type="dxa"/>
              <w:bottom w:w="80" w:type="dxa"/>
              <w:right w:w="90" w:type="dxa"/>
            </w:tcMar>
            <w:vAlign w:val="center"/>
          </w:tcPr>
          <w:p w14:paraId="588D3982" w14:textId="77777777" w:rsidR="005129EA" w:rsidRDefault="00000000">
            <w:pPr>
              <w:spacing w:after="0" w:line="240" w:lineRule="auto"/>
              <w:ind w:firstLine="0"/>
              <w:jc w:val="left"/>
            </w:pPr>
            <w:r>
              <w:rPr>
                <w:b/>
                <w:sz w:val="18"/>
              </w:rPr>
              <w:t>Sequence (5' to 3')</w:t>
            </w:r>
          </w:p>
        </w:tc>
        <w:tc>
          <w:tcPr>
            <w:tcW w:w="1440" w:type="dxa"/>
            <w:tcMar>
              <w:top w:w="80" w:type="dxa"/>
              <w:left w:w="90" w:type="dxa"/>
              <w:bottom w:w="80" w:type="dxa"/>
              <w:right w:w="90" w:type="dxa"/>
            </w:tcMar>
            <w:vAlign w:val="center"/>
          </w:tcPr>
          <w:p w14:paraId="3CE40B1D" w14:textId="77777777" w:rsidR="005129EA" w:rsidRDefault="00000000">
            <w:pPr>
              <w:spacing w:after="0" w:line="240" w:lineRule="auto"/>
              <w:ind w:firstLine="0"/>
              <w:jc w:val="center"/>
            </w:pPr>
            <w:r>
              <w:rPr>
                <w:b/>
                <w:sz w:val="18"/>
              </w:rPr>
              <w:t>Length (bp)</w:t>
            </w:r>
          </w:p>
        </w:tc>
        <w:tc>
          <w:tcPr>
            <w:tcW w:w="1584" w:type="dxa"/>
            <w:tcMar>
              <w:top w:w="80" w:type="dxa"/>
              <w:left w:w="90" w:type="dxa"/>
              <w:bottom w:w="80" w:type="dxa"/>
              <w:right w:w="90" w:type="dxa"/>
            </w:tcMar>
            <w:vAlign w:val="center"/>
          </w:tcPr>
          <w:p w14:paraId="138B3E0A" w14:textId="77777777" w:rsidR="005129EA" w:rsidRDefault="00000000">
            <w:pPr>
              <w:spacing w:after="0" w:line="240" w:lineRule="auto"/>
              <w:ind w:firstLine="0"/>
              <w:jc w:val="center"/>
            </w:pPr>
            <w:r>
              <w:rPr>
                <w:b/>
                <w:sz w:val="18"/>
              </w:rPr>
              <w:t>Amplicon size</w:t>
            </w:r>
          </w:p>
        </w:tc>
      </w:tr>
      <w:tr w:rsidR="005129EA" w14:paraId="02621E9E" w14:textId="77777777" w:rsidTr="0097217A">
        <w:trPr>
          <w:cantSplit/>
          <w:jc w:val="center"/>
        </w:trPr>
        <w:tc>
          <w:tcPr>
            <w:tcW w:w="1584" w:type="dxa"/>
            <w:tcMar>
              <w:top w:w="80" w:type="dxa"/>
              <w:left w:w="90" w:type="dxa"/>
              <w:bottom w:w="80" w:type="dxa"/>
              <w:right w:w="90" w:type="dxa"/>
            </w:tcMar>
            <w:vAlign w:val="center"/>
          </w:tcPr>
          <w:p w14:paraId="74AE18C5" w14:textId="77777777" w:rsidR="005129EA" w:rsidRDefault="00000000">
            <w:pPr>
              <w:spacing w:after="0" w:line="240" w:lineRule="auto"/>
              <w:ind w:firstLine="0"/>
              <w:jc w:val="center"/>
            </w:pPr>
            <w:r>
              <w:rPr>
                <w:sz w:val="18"/>
              </w:rPr>
              <w:t>ISG196-F</w:t>
            </w:r>
          </w:p>
        </w:tc>
        <w:tc>
          <w:tcPr>
            <w:tcW w:w="4608" w:type="dxa"/>
            <w:tcMar>
              <w:top w:w="80" w:type="dxa"/>
              <w:left w:w="90" w:type="dxa"/>
              <w:bottom w:w="80" w:type="dxa"/>
              <w:right w:w="90" w:type="dxa"/>
            </w:tcMar>
            <w:vAlign w:val="center"/>
          </w:tcPr>
          <w:p w14:paraId="55F924BE" w14:textId="77777777" w:rsidR="005129EA" w:rsidRDefault="00000000">
            <w:pPr>
              <w:spacing w:after="0" w:line="240" w:lineRule="auto"/>
              <w:ind w:firstLine="0"/>
              <w:jc w:val="left"/>
            </w:pPr>
            <w:r>
              <w:rPr>
                <w:sz w:val="18"/>
              </w:rPr>
              <w:t>AAAGCCACCGAAGATGCAGA</w:t>
            </w:r>
          </w:p>
        </w:tc>
        <w:tc>
          <w:tcPr>
            <w:tcW w:w="1440" w:type="dxa"/>
            <w:tcMar>
              <w:top w:w="80" w:type="dxa"/>
              <w:left w:w="90" w:type="dxa"/>
              <w:bottom w:w="80" w:type="dxa"/>
              <w:right w:w="90" w:type="dxa"/>
            </w:tcMar>
            <w:vAlign w:val="center"/>
          </w:tcPr>
          <w:p w14:paraId="52036B82" w14:textId="77777777" w:rsidR="005129EA" w:rsidRDefault="00000000">
            <w:pPr>
              <w:spacing w:after="0" w:line="240" w:lineRule="auto"/>
              <w:ind w:firstLine="0"/>
              <w:jc w:val="center"/>
            </w:pPr>
            <w:r>
              <w:rPr>
                <w:sz w:val="18"/>
              </w:rPr>
              <w:t>20</w:t>
            </w:r>
          </w:p>
        </w:tc>
        <w:tc>
          <w:tcPr>
            <w:tcW w:w="1584" w:type="dxa"/>
            <w:tcMar>
              <w:top w:w="80" w:type="dxa"/>
              <w:left w:w="90" w:type="dxa"/>
              <w:bottom w:w="80" w:type="dxa"/>
              <w:right w:w="90" w:type="dxa"/>
            </w:tcMar>
            <w:vAlign w:val="center"/>
          </w:tcPr>
          <w:p w14:paraId="684035F0" w14:textId="77777777" w:rsidR="005129EA" w:rsidRDefault="00000000">
            <w:pPr>
              <w:spacing w:after="0" w:line="240" w:lineRule="auto"/>
              <w:ind w:firstLine="0"/>
              <w:jc w:val="center"/>
            </w:pPr>
            <w:r>
              <w:rPr>
                <w:sz w:val="18"/>
              </w:rPr>
              <w:t>196 bp</w:t>
            </w:r>
          </w:p>
        </w:tc>
      </w:tr>
      <w:tr w:rsidR="005129EA" w14:paraId="52EA3CFC" w14:textId="77777777" w:rsidTr="0097217A">
        <w:trPr>
          <w:cantSplit/>
          <w:jc w:val="center"/>
        </w:trPr>
        <w:tc>
          <w:tcPr>
            <w:tcW w:w="1584" w:type="dxa"/>
            <w:tcMar>
              <w:top w:w="80" w:type="dxa"/>
              <w:left w:w="90" w:type="dxa"/>
              <w:bottom w:w="80" w:type="dxa"/>
              <w:right w:w="90" w:type="dxa"/>
            </w:tcMar>
            <w:vAlign w:val="center"/>
          </w:tcPr>
          <w:p w14:paraId="093D527E" w14:textId="77777777" w:rsidR="005129EA" w:rsidRDefault="00000000">
            <w:pPr>
              <w:spacing w:after="0" w:line="240" w:lineRule="auto"/>
              <w:ind w:firstLine="0"/>
              <w:jc w:val="center"/>
            </w:pPr>
            <w:r>
              <w:rPr>
                <w:sz w:val="18"/>
              </w:rPr>
              <w:t>ISG196-R</w:t>
            </w:r>
          </w:p>
        </w:tc>
        <w:tc>
          <w:tcPr>
            <w:tcW w:w="4608" w:type="dxa"/>
            <w:tcMar>
              <w:top w:w="80" w:type="dxa"/>
              <w:left w:w="90" w:type="dxa"/>
              <w:bottom w:w="80" w:type="dxa"/>
              <w:right w:w="90" w:type="dxa"/>
            </w:tcMar>
            <w:vAlign w:val="center"/>
          </w:tcPr>
          <w:p w14:paraId="10925D02" w14:textId="77777777" w:rsidR="005129EA" w:rsidRDefault="00000000">
            <w:pPr>
              <w:spacing w:after="0" w:line="240" w:lineRule="auto"/>
              <w:ind w:firstLine="0"/>
              <w:jc w:val="left"/>
            </w:pPr>
            <w:r>
              <w:rPr>
                <w:sz w:val="18"/>
              </w:rPr>
              <w:t>TTGTCCCAATCCAGCCACTC</w:t>
            </w:r>
          </w:p>
        </w:tc>
        <w:tc>
          <w:tcPr>
            <w:tcW w:w="1440" w:type="dxa"/>
            <w:tcMar>
              <w:top w:w="80" w:type="dxa"/>
              <w:left w:w="90" w:type="dxa"/>
              <w:bottom w:w="80" w:type="dxa"/>
              <w:right w:w="90" w:type="dxa"/>
            </w:tcMar>
            <w:vAlign w:val="center"/>
          </w:tcPr>
          <w:p w14:paraId="5A06C6CB" w14:textId="77777777" w:rsidR="005129EA" w:rsidRDefault="00000000">
            <w:pPr>
              <w:spacing w:after="0" w:line="240" w:lineRule="auto"/>
              <w:ind w:firstLine="0"/>
              <w:jc w:val="center"/>
            </w:pPr>
            <w:r>
              <w:rPr>
                <w:sz w:val="18"/>
              </w:rPr>
              <w:t>20</w:t>
            </w:r>
          </w:p>
        </w:tc>
        <w:tc>
          <w:tcPr>
            <w:tcW w:w="1584" w:type="dxa"/>
            <w:tcMar>
              <w:top w:w="80" w:type="dxa"/>
              <w:left w:w="90" w:type="dxa"/>
              <w:bottom w:w="80" w:type="dxa"/>
              <w:right w:w="90" w:type="dxa"/>
            </w:tcMar>
            <w:vAlign w:val="center"/>
          </w:tcPr>
          <w:p w14:paraId="510549BA" w14:textId="77777777" w:rsidR="005129EA" w:rsidRDefault="00000000">
            <w:pPr>
              <w:spacing w:after="0" w:line="240" w:lineRule="auto"/>
              <w:ind w:firstLine="0"/>
              <w:jc w:val="center"/>
            </w:pPr>
            <w:r>
              <w:rPr>
                <w:sz w:val="18"/>
              </w:rPr>
              <w:t>196 bp</w:t>
            </w:r>
          </w:p>
        </w:tc>
      </w:tr>
    </w:tbl>
    <w:p w14:paraId="7F327645" w14:textId="77777777" w:rsidR="005129EA" w:rsidRDefault="00000000">
      <w:pPr>
        <w:keepNext/>
        <w:pageBreakBefore/>
        <w:spacing w:before="100" w:after="60"/>
        <w:ind w:firstLine="0"/>
      </w:pPr>
      <w:r>
        <w:rPr>
          <w:b/>
          <w:sz w:val="19"/>
        </w:rPr>
        <w:lastRenderedPageBreak/>
        <w:t>Table 4. Reaction mixture and thermal-cycling conditions for ISG-PCR.</w:t>
      </w:r>
    </w:p>
    <w:tbl>
      <w:tblPr>
        <w:tblW w:w="0" w:type="auto"/>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firstRow="1" w:lastRow="0" w:firstColumn="1" w:lastColumn="0" w:noHBand="0" w:noVBand="1"/>
      </w:tblPr>
      <w:tblGrid>
        <w:gridCol w:w="3888"/>
        <w:gridCol w:w="1728"/>
        <w:gridCol w:w="1728"/>
        <w:gridCol w:w="1584"/>
      </w:tblGrid>
      <w:tr w:rsidR="005129EA" w14:paraId="136387F4" w14:textId="77777777" w:rsidTr="0097217A">
        <w:trPr>
          <w:cantSplit/>
          <w:tblHeader/>
          <w:jc w:val="center"/>
        </w:trPr>
        <w:tc>
          <w:tcPr>
            <w:tcW w:w="1584" w:type="dxa"/>
            <w:gridSpan w:val="4"/>
            <w:tcMar>
              <w:top w:w="80" w:type="dxa"/>
              <w:left w:w="90" w:type="dxa"/>
              <w:bottom w:w="80" w:type="dxa"/>
              <w:right w:w="90" w:type="dxa"/>
            </w:tcMar>
            <w:vAlign w:val="center"/>
          </w:tcPr>
          <w:p w14:paraId="4DF03664" w14:textId="77777777" w:rsidR="005129EA" w:rsidRDefault="00000000">
            <w:pPr>
              <w:spacing w:after="0" w:line="240" w:lineRule="auto"/>
              <w:ind w:firstLine="0"/>
              <w:jc w:val="center"/>
            </w:pPr>
            <w:r>
              <w:rPr>
                <w:b/>
                <w:sz w:val="17"/>
              </w:rPr>
              <w:t>A. Reaction mixture</w:t>
            </w:r>
          </w:p>
        </w:tc>
      </w:tr>
      <w:tr w:rsidR="005129EA" w14:paraId="71046C16" w14:textId="77777777" w:rsidTr="0097217A">
        <w:trPr>
          <w:cantSplit/>
          <w:jc w:val="center"/>
        </w:trPr>
        <w:tc>
          <w:tcPr>
            <w:tcW w:w="3888" w:type="dxa"/>
            <w:tcMar>
              <w:top w:w="80" w:type="dxa"/>
              <w:left w:w="90" w:type="dxa"/>
              <w:bottom w:w="80" w:type="dxa"/>
              <w:right w:w="90" w:type="dxa"/>
            </w:tcMar>
            <w:vAlign w:val="center"/>
          </w:tcPr>
          <w:p w14:paraId="6C634526" w14:textId="77777777" w:rsidR="005129EA" w:rsidRDefault="00000000">
            <w:pPr>
              <w:spacing w:after="0" w:line="240" w:lineRule="auto"/>
              <w:ind w:firstLine="0"/>
              <w:jc w:val="left"/>
            </w:pPr>
            <w:r>
              <w:rPr>
                <w:b/>
                <w:sz w:val="17"/>
              </w:rPr>
              <w:t>Component</w:t>
            </w:r>
          </w:p>
        </w:tc>
        <w:tc>
          <w:tcPr>
            <w:tcW w:w="1728" w:type="dxa"/>
            <w:tcMar>
              <w:top w:w="80" w:type="dxa"/>
              <w:left w:w="90" w:type="dxa"/>
              <w:bottom w:w="80" w:type="dxa"/>
              <w:right w:w="90" w:type="dxa"/>
            </w:tcMar>
            <w:vAlign w:val="center"/>
          </w:tcPr>
          <w:p w14:paraId="3760B4C5" w14:textId="77777777" w:rsidR="005129EA" w:rsidRDefault="00000000">
            <w:pPr>
              <w:spacing w:after="0" w:line="240" w:lineRule="auto"/>
              <w:ind w:firstLine="0"/>
              <w:jc w:val="center"/>
            </w:pPr>
            <w:r>
              <w:rPr>
                <w:b/>
                <w:sz w:val="17"/>
              </w:rPr>
              <w:t>Quantity</w:t>
            </w:r>
          </w:p>
        </w:tc>
        <w:tc>
          <w:tcPr>
            <w:tcW w:w="1584" w:type="dxa"/>
            <w:gridSpan w:val="2"/>
            <w:tcMar>
              <w:top w:w="80" w:type="dxa"/>
              <w:left w:w="90" w:type="dxa"/>
              <w:bottom w:w="80" w:type="dxa"/>
              <w:right w:w="90" w:type="dxa"/>
            </w:tcMar>
            <w:vAlign w:val="center"/>
          </w:tcPr>
          <w:p w14:paraId="1403CE0C" w14:textId="77777777" w:rsidR="005129EA" w:rsidRDefault="005129EA">
            <w:pPr>
              <w:spacing w:after="0" w:line="240" w:lineRule="auto"/>
              <w:ind w:firstLine="0"/>
              <w:jc w:val="center"/>
            </w:pPr>
          </w:p>
        </w:tc>
      </w:tr>
      <w:tr w:rsidR="005129EA" w14:paraId="7807C30A" w14:textId="77777777" w:rsidTr="0097217A">
        <w:trPr>
          <w:cantSplit/>
          <w:jc w:val="center"/>
        </w:trPr>
        <w:tc>
          <w:tcPr>
            <w:tcW w:w="3888" w:type="dxa"/>
            <w:tcMar>
              <w:top w:w="80" w:type="dxa"/>
              <w:left w:w="90" w:type="dxa"/>
              <w:bottom w:w="80" w:type="dxa"/>
              <w:right w:w="90" w:type="dxa"/>
            </w:tcMar>
            <w:vAlign w:val="center"/>
          </w:tcPr>
          <w:p w14:paraId="51B37E01" w14:textId="77777777" w:rsidR="005129EA" w:rsidRDefault="00000000">
            <w:pPr>
              <w:spacing w:after="0" w:line="240" w:lineRule="auto"/>
              <w:ind w:firstLine="0"/>
              <w:jc w:val="left"/>
            </w:pPr>
            <w:r>
              <w:rPr>
                <w:sz w:val="17"/>
              </w:rPr>
              <w:t xml:space="preserve">2× </w:t>
            </w:r>
            <w:proofErr w:type="spellStart"/>
            <w:r>
              <w:rPr>
                <w:sz w:val="17"/>
              </w:rPr>
              <w:t>TopTaq</w:t>
            </w:r>
            <w:proofErr w:type="spellEnd"/>
            <w:r>
              <w:rPr>
                <w:sz w:val="17"/>
              </w:rPr>
              <w:t xml:space="preserve"> Master Mix</w:t>
            </w:r>
          </w:p>
        </w:tc>
        <w:tc>
          <w:tcPr>
            <w:tcW w:w="1728" w:type="dxa"/>
            <w:tcMar>
              <w:top w:w="80" w:type="dxa"/>
              <w:left w:w="90" w:type="dxa"/>
              <w:bottom w:w="80" w:type="dxa"/>
              <w:right w:w="90" w:type="dxa"/>
            </w:tcMar>
            <w:vAlign w:val="center"/>
          </w:tcPr>
          <w:p w14:paraId="6DF5C97F" w14:textId="77777777" w:rsidR="005129EA" w:rsidRDefault="00000000">
            <w:pPr>
              <w:spacing w:after="0" w:line="240" w:lineRule="auto"/>
              <w:ind w:firstLine="0"/>
              <w:jc w:val="center"/>
            </w:pPr>
            <w:r>
              <w:rPr>
                <w:sz w:val="17"/>
              </w:rPr>
              <w:t>12.5 µL</w:t>
            </w:r>
          </w:p>
        </w:tc>
        <w:tc>
          <w:tcPr>
            <w:tcW w:w="1584" w:type="dxa"/>
            <w:gridSpan w:val="2"/>
            <w:tcMar>
              <w:top w:w="80" w:type="dxa"/>
              <w:left w:w="90" w:type="dxa"/>
              <w:bottom w:w="80" w:type="dxa"/>
              <w:right w:w="90" w:type="dxa"/>
            </w:tcMar>
            <w:vAlign w:val="center"/>
          </w:tcPr>
          <w:p w14:paraId="094004E0" w14:textId="77777777" w:rsidR="005129EA" w:rsidRDefault="005129EA">
            <w:pPr>
              <w:spacing w:after="0" w:line="240" w:lineRule="auto"/>
              <w:ind w:firstLine="0"/>
              <w:jc w:val="center"/>
            </w:pPr>
          </w:p>
        </w:tc>
      </w:tr>
      <w:tr w:rsidR="005129EA" w14:paraId="14412CA4" w14:textId="77777777" w:rsidTr="0097217A">
        <w:trPr>
          <w:cantSplit/>
          <w:jc w:val="center"/>
        </w:trPr>
        <w:tc>
          <w:tcPr>
            <w:tcW w:w="3888" w:type="dxa"/>
            <w:tcMar>
              <w:top w:w="80" w:type="dxa"/>
              <w:left w:w="90" w:type="dxa"/>
              <w:bottom w:w="80" w:type="dxa"/>
              <w:right w:w="90" w:type="dxa"/>
            </w:tcMar>
            <w:vAlign w:val="center"/>
          </w:tcPr>
          <w:p w14:paraId="5CD24347" w14:textId="77777777" w:rsidR="005129EA" w:rsidRDefault="00000000">
            <w:pPr>
              <w:spacing w:after="0" w:line="240" w:lineRule="auto"/>
              <w:ind w:firstLine="0"/>
              <w:jc w:val="left"/>
            </w:pPr>
            <w:r>
              <w:rPr>
                <w:sz w:val="17"/>
              </w:rPr>
              <w:t>Forward primer (10 µM)</w:t>
            </w:r>
          </w:p>
        </w:tc>
        <w:tc>
          <w:tcPr>
            <w:tcW w:w="1728" w:type="dxa"/>
            <w:tcMar>
              <w:top w:w="80" w:type="dxa"/>
              <w:left w:w="90" w:type="dxa"/>
              <w:bottom w:w="80" w:type="dxa"/>
              <w:right w:w="90" w:type="dxa"/>
            </w:tcMar>
            <w:vAlign w:val="center"/>
          </w:tcPr>
          <w:p w14:paraId="096BE352" w14:textId="77777777" w:rsidR="005129EA" w:rsidRDefault="00000000">
            <w:pPr>
              <w:spacing w:after="0" w:line="240" w:lineRule="auto"/>
              <w:ind w:firstLine="0"/>
              <w:jc w:val="center"/>
            </w:pPr>
            <w:r>
              <w:rPr>
                <w:sz w:val="17"/>
              </w:rPr>
              <w:t>1.0 µL</w:t>
            </w:r>
          </w:p>
        </w:tc>
        <w:tc>
          <w:tcPr>
            <w:tcW w:w="1584" w:type="dxa"/>
            <w:gridSpan w:val="2"/>
            <w:tcMar>
              <w:top w:w="80" w:type="dxa"/>
              <w:left w:w="90" w:type="dxa"/>
              <w:bottom w:w="80" w:type="dxa"/>
              <w:right w:w="90" w:type="dxa"/>
            </w:tcMar>
            <w:vAlign w:val="center"/>
          </w:tcPr>
          <w:p w14:paraId="0AFC832E" w14:textId="77777777" w:rsidR="005129EA" w:rsidRDefault="005129EA">
            <w:pPr>
              <w:spacing w:after="0" w:line="240" w:lineRule="auto"/>
              <w:ind w:firstLine="0"/>
              <w:jc w:val="center"/>
            </w:pPr>
          </w:p>
        </w:tc>
      </w:tr>
      <w:tr w:rsidR="005129EA" w14:paraId="002B8A58" w14:textId="77777777" w:rsidTr="0097217A">
        <w:trPr>
          <w:cantSplit/>
          <w:jc w:val="center"/>
        </w:trPr>
        <w:tc>
          <w:tcPr>
            <w:tcW w:w="3888" w:type="dxa"/>
            <w:tcMar>
              <w:top w:w="80" w:type="dxa"/>
              <w:left w:w="90" w:type="dxa"/>
              <w:bottom w:w="80" w:type="dxa"/>
              <w:right w:w="90" w:type="dxa"/>
            </w:tcMar>
            <w:vAlign w:val="center"/>
          </w:tcPr>
          <w:p w14:paraId="235A5A82" w14:textId="77777777" w:rsidR="005129EA" w:rsidRDefault="00000000">
            <w:pPr>
              <w:spacing w:after="0" w:line="240" w:lineRule="auto"/>
              <w:ind w:firstLine="0"/>
              <w:jc w:val="left"/>
            </w:pPr>
            <w:r>
              <w:rPr>
                <w:sz w:val="17"/>
              </w:rPr>
              <w:t>Reverse primer (10 µM)</w:t>
            </w:r>
          </w:p>
        </w:tc>
        <w:tc>
          <w:tcPr>
            <w:tcW w:w="1728" w:type="dxa"/>
            <w:tcMar>
              <w:top w:w="80" w:type="dxa"/>
              <w:left w:w="90" w:type="dxa"/>
              <w:bottom w:w="80" w:type="dxa"/>
              <w:right w:w="90" w:type="dxa"/>
            </w:tcMar>
            <w:vAlign w:val="center"/>
          </w:tcPr>
          <w:p w14:paraId="5C4EF947" w14:textId="77777777" w:rsidR="005129EA" w:rsidRDefault="00000000">
            <w:pPr>
              <w:spacing w:after="0" w:line="240" w:lineRule="auto"/>
              <w:ind w:firstLine="0"/>
              <w:jc w:val="center"/>
            </w:pPr>
            <w:r>
              <w:rPr>
                <w:sz w:val="17"/>
              </w:rPr>
              <w:t>1.0 µL</w:t>
            </w:r>
          </w:p>
        </w:tc>
        <w:tc>
          <w:tcPr>
            <w:tcW w:w="1584" w:type="dxa"/>
            <w:gridSpan w:val="2"/>
            <w:tcMar>
              <w:top w:w="80" w:type="dxa"/>
              <w:left w:w="90" w:type="dxa"/>
              <w:bottom w:w="80" w:type="dxa"/>
              <w:right w:w="90" w:type="dxa"/>
            </w:tcMar>
            <w:vAlign w:val="center"/>
          </w:tcPr>
          <w:p w14:paraId="5CBE00A4" w14:textId="77777777" w:rsidR="005129EA" w:rsidRDefault="005129EA">
            <w:pPr>
              <w:spacing w:after="0" w:line="240" w:lineRule="auto"/>
              <w:ind w:firstLine="0"/>
              <w:jc w:val="center"/>
            </w:pPr>
          </w:p>
        </w:tc>
      </w:tr>
      <w:tr w:rsidR="005129EA" w14:paraId="285B53A8" w14:textId="77777777" w:rsidTr="0097217A">
        <w:trPr>
          <w:cantSplit/>
          <w:jc w:val="center"/>
        </w:trPr>
        <w:tc>
          <w:tcPr>
            <w:tcW w:w="3888" w:type="dxa"/>
            <w:tcMar>
              <w:top w:w="80" w:type="dxa"/>
              <w:left w:w="90" w:type="dxa"/>
              <w:bottom w:w="80" w:type="dxa"/>
              <w:right w:w="90" w:type="dxa"/>
            </w:tcMar>
            <w:vAlign w:val="center"/>
          </w:tcPr>
          <w:p w14:paraId="216701A0" w14:textId="77777777" w:rsidR="005129EA" w:rsidRDefault="00000000">
            <w:pPr>
              <w:spacing w:after="0" w:line="240" w:lineRule="auto"/>
              <w:ind w:firstLine="0"/>
              <w:jc w:val="left"/>
            </w:pPr>
            <w:r>
              <w:rPr>
                <w:sz w:val="17"/>
              </w:rPr>
              <w:t>Nuclease-free water</w:t>
            </w:r>
          </w:p>
        </w:tc>
        <w:tc>
          <w:tcPr>
            <w:tcW w:w="1728" w:type="dxa"/>
            <w:tcMar>
              <w:top w:w="80" w:type="dxa"/>
              <w:left w:w="90" w:type="dxa"/>
              <w:bottom w:w="80" w:type="dxa"/>
              <w:right w:w="90" w:type="dxa"/>
            </w:tcMar>
            <w:vAlign w:val="center"/>
          </w:tcPr>
          <w:p w14:paraId="07B61EB0" w14:textId="77777777" w:rsidR="005129EA" w:rsidRDefault="00000000">
            <w:pPr>
              <w:spacing w:after="0" w:line="240" w:lineRule="auto"/>
              <w:ind w:firstLine="0"/>
              <w:jc w:val="center"/>
            </w:pPr>
            <w:r>
              <w:rPr>
                <w:sz w:val="17"/>
              </w:rPr>
              <w:t>8.5 µL</w:t>
            </w:r>
          </w:p>
        </w:tc>
        <w:tc>
          <w:tcPr>
            <w:tcW w:w="1584" w:type="dxa"/>
            <w:gridSpan w:val="2"/>
            <w:tcMar>
              <w:top w:w="80" w:type="dxa"/>
              <w:left w:w="90" w:type="dxa"/>
              <w:bottom w:w="80" w:type="dxa"/>
              <w:right w:w="90" w:type="dxa"/>
            </w:tcMar>
            <w:vAlign w:val="center"/>
          </w:tcPr>
          <w:p w14:paraId="70C3F357" w14:textId="77777777" w:rsidR="005129EA" w:rsidRDefault="005129EA">
            <w:pPr>
              <w:spacing w:after="0" w:line="240" w:lineRule="auto"/>
              <w:ind w:firstLine="0"/>
              <w:jc w:val="center"/>
            </w:pPr>
          </w:p>
        </w:tc>
      </w:tr>
      <w:tr w:rsidR="005129EA" w14:paraId="38F0D8EB" w14:textId="77777777" w:rsidTr="0097217A">
        <w:trPr>
          <w:cantSplit/>
          <w:jc w:val="center"/>
        </w:trPr>
        <w:tc>
          <w:tcPr>
            <w:tcW w:w="3888" w:type="dxa"/>
            <w:tcMar>
              <w:top w:w="80" w:type="dxa"/>
              <w:left w:w="90" w:type="dxa"/>
              <w:bottom w:w="80" w:type="dxa"/>
              <w:right w:w="90" w:type="dxa"/>
            </w:tcMar>
            <w:vAlign w:val="center"/>
          </w:tcPr>
          <w:p w14:paraId="52A52208" w14:textId="77777777" w:rsidR="005129EA" w:rsidRDefault="00000000">
            <w:pPr>
              <w:spacing w:after="0" w:line="240" w:lineRule="auto"/>
              <w:ind w:firstLine="0"/>
              <w:jc w:val="left"/>
            </w:pPr>
            <w:r>
              <w:rPr>
                <w:sz w:val="17"/>
              </w:rPr>
              <w:t>Template DNA</w:t>
            </w:r>
          </w:p>
        </w:tc>
        <w:tc>
          <w:tcPr>
            <w:tcW w:w="1728" w:type="dxa"/>
            <w:tcMar>
              <w:top w:w="80" w:type="dxa"/>
              <w:left w:w="90" w:type="dxa"/>
              <w:bottom w:w="80" w:type="dxa"/>
              <w:right w:w="90" w:type="dxa"/>
            </w:tcMar>
            <w:vAlign w:val="center"/>
          </w:tcPr>
          <w:p w14:paraId="24176A1E" w14:textId="77777777" w:rsidR="005129EA" w:rsidRDefault="00000000">
            <w:pPr>
              <w:spacing w:after="0" w:line="240" w:lineRule="auto"/>
              <w:ind w:firstLine="0"/>
              <w:jc w:val="center"/>
            </w:pPr>
            <w:r>
              <w:rPr>
                <w:sz w:val="17"/>
              </w:rPr>
              <w:t>2.0 µL</w:t>
            </w:r>
          </w:p>
        </w:tc>
        <w:tc>
          <w:tcPr>
            <w:tcW w:w="1584" w:type="dxa"/>
            <w:gridSpan w:val="2"/>
            <w:tcMar>
              <w:top w:w="80" w:type="dxa"/>
              <w:left w:w="90" w:type="dxa"/>
              <w:bottom w:w="80" w:type="dxa"/>
              <w:right w:w="90" w:type="dxa"/>
            </w:tcMar>
            <w:vAlign w:val="center"/>
          </w:tcPr>
          <w:p w14:paraId="314ED93D" w14:textId="77777777" w:rsidR="005129EA" w:rsidRDefault="005129EA">
            <w:pPr>
              <w:spacing w:after="0" w:line="240" w:lineRule="auto"/>
              <w:ind w:firstLine="0"/>
              <w:jc w:val="center"/>
            </w:pPr>
          </w:p>
        </w:tc>
      </w:tr>
      <w:tr w:rsidR="005129EA" w14:paraId="6D7807D9" w14:textId="77777777" w:rsidTr="0097217A">
        <w:trPr>
          <w:cantSplit/>
          <w:jc w:val="center"/>
        </w:trPr>
        <w:tc>
          <w:tcPr>
            <w:tcW w:w="3888" w:type="dxa"/>
            <w:tcMar>
              <w:top w:w="80" w:type="dxa"/>
              <w:left w:w="90" w:type="dxa"/>
              <w:bottom w:w="80" w:type="dxa"/>
              <w:right w:w="90" w:type="dxa"/>
            </w:tcMar>
            <w:vAlign w:val="center"/>
          </w:tcPr>
          <w:p w14:paraId="0ABE8E75" w14:textId="77777777" w:rsidR="005129EA" w:rsidRDefault="00000000">
            <w:pPr>
              <w:spacing w:after="0" w:line="240" w:lineRule="auto"/>
              <w:ind w:firstLine="0"/>
              <w:jc w:val="left"/>
            </w:pPr>
            <w:r>
              <w:rPr>
                <w:sz w:val="17"/>
              </w:rPr>
              <w:t>Total reaction volume</w:t>
            </w:r>
          </w:p>
        </w:tc>
        <w:tc>
          <w:tcPr>
            <w:tcW w:w="1728" w:type="dxa"/>
            <w:tcMar>
              <w:top w:w="80" w:type="dxa"/>
              <w:left w:w="90" w:type="dxa"/>
              <w:bottom w:w="80" w:type="dxa"/>
              <w:right w:w="90" w:type="dxa"/>
            </w:tcMar>
            <w:vAlign w:val="center"/>
          </w:tcPr>
          <w:p w14:paraId="4B6BE53C" w14:textId="77777777" w:rsidR="005129EA" w:rsidRDefault="00000000">
            <w:pPr>
              <w:spacing w:after="0" w:line="240" w:lineRule="auto"/>
              <w:ind w:firstLine="0"/>
              <w:jc w:val="center"/>
            </w:pPr>
            <w:r>
              <w:rPr>
                <w:sz w:val="17"/>
              </w:rPr>
              <w:t>25.0 µL</w:t>
            </w:r>
          </w:p>
        </w:tc>
        <w:tc>
          <w:tcPr>
            <w:tcW w:w="1584" w:type="dxa"/>
            <w:gridSpan w:val="2"/>
            <w:tcMar>
              <w:top w:w="80" w:type="dxa"/>
              <w:left w:w="90" w:type="dxa"/>
              <w:bottom w:w="80" w:type="dxa"/>
              <w:right w:w="90" w:type="dxa"/>
            </w:tcMar>
            <w:vAlign w:val="center"/>
          </w:tcPr>
          <w:p w14:paraId="05461A9F" w14:textId="77777777" w:rsidR="005129EA" w:rsidRDefault="005129EA">
            <w:pPr>
              <w:spacing w:after="0" w:line="240" w:lineRule="auto"/>
              <w:ind w:firstLine="0"/>
              <w:jc w:val="center"/>
            </w:pPr>
          </w:p>
        </w:tc>
      </w:tr>
      <w:tr w:rsidR="005129EA" w14:paraId="012EEF87" w14:textId="77777777" w:rsidTr="0097217A">
        <w:trPr>
          <w:cantSplit/>
          <w:jc w:val="center"/>
        </w:trPr>
        <w:tc>
          <w:tcPr>
            <w:tcW w:w="1584" w:type="dxa"/>
            <w:gridSpan w:val="4"/>
            <w:tcMar>
              <w:top w:w="80" w:type="dxa"/>
              <w:left w:w="90" w:type="dxa"/>
              <w:bottom w:w="80" w:type="dxa"/>
              <w:right w:w="90" w:type="dxa"/>
            </w:tcMar>
            <w:vAlign w:val="center"/>
          </w:tcPr>
          <w:p w14:paraId="30D1F19D" w14:textId="77777777" w:rsidR="005129EA" w:rsidRDefault="00000000">
            <w:pPr>
              <w:spacing w:after="0" w:line="240" w:lineRule="auto"/>
              <w:ind w:firstLine="0"/>
              <w:jc w:val="center"/>
            </w:pPr>
            <w:r>
              <w:rPr>
                <w:b/>
                <w:sz w:val="17"/>
              </w:rPr>
              <w:t xml:space="preserve">B. Thermal-cycling </w:t>
            </w:r>
            <w:proofErr w:type="spellStart"/>
            <w:r>
              <w:rPr>
                <w:b/>
                <w:sz w:val="17"/>
              </w:rPr>
              <w:t>programme</w:t>
            </w:r>
            <w:proofErr w:type="spellEnd"/>
          </w:p>
        </w:tc>
      </w:tr>
      <w:tr w:rsidR="005129EA" w14:paraId="4F4FE32D" w14:textId="77777777" w:rsidTr="0097217A">
        <w:trPr>
          <w:cantSplit/>
          <w:jc w:val="center"/>
        </w:trPr>
        <w:tc>
          <w:tcPr>
            <w:tcW w:w="3888" w:type="dxa"/>
            <w:tcMar>
              <w:top w:w="80" w:type="dxa"/>
              <w:left w:w="90" w:type="dxa"/>
              <w:bottom w:w="80" w:type="dxa"/>
              <w:right w:w="90" w:type="dxa"/>
            </w:tcMar>
            <w:vAlign w:val="center"/>
          </w:tcPr>
          <w:p w14:paraId="00A7B935" w14:textId="77777777" w:rsidR="005129EA" w:rsidRDefault="00000000">
            <w:pPr>
              <w:spacing w:after="0" w:line="240" w:lineRule="auto"/>
              <w:ind w:firstLine="0"/>
              <w:jc w:val="left"/>
            </w:pPr>
            <w:r>
              <w:rPr>
                <w:b/>
                <w:sz w:val="17"/>
              </w:rPr>
              <w:t>Step</w:t>
            </w:r>
          </w:p>
        </w:tc>
        <w:tc>
          <w:tcPr>
            <w:tcW w:w="1728" w:type="dxa"/>
            <w:tcMar>
              <w:top w:w="80" w:type="dxa"/>
              <w:left w:w="90" w:type="dxa"/>
              <w:bottom w:w="80" w:type="dxa"/>
              <w:right w:w="90" w:type="dxa"/>
            </w:tcMar>
            <w:vAlign w:val="center"/>
          </w:tcPr>
          <w:p w14:paraId="3D78CB58" w14:textId="77777777" w:rsidR="005129EA" w:rsidRDefault="00000000">
            <w:pPr>
              <w:spacing w:after="0" w:line="240" w:lineRule="auto"/>
              <w:ind w:firstLine="0"/>
              <w:jc w:val="center"/>
            </w:pPr>
            <w:r>
              <w:rPr>
                <w:b/>
                <w:sz w:val="17"/>
              </w:rPr>
              <w:t>Temperature</w:t>
            </w:r>
          </w:p>
        </w:tc>
        <w:tc>
          <w:tcPr>
            <w:tcW w:w="1728" w:type="dxa"/>
            <w:tcMar>
              <w:top w:w="80" w:type="dxa"/>
              <w:left w:w="90" w:type="dxa"/>
              <w:bottom w:w="80" w:type="dxa"/>
              <w:right w:w="90" w:type="dxa"/>
            </w:tcMar>
            <w:vAlign w:val="center"/>
          </w:tcPr>
          <w:p w14:paraId="5E1DD0EF" w14:textId="77777777" w:rsidR="005129EA" w:rsidRDefault="00000000">
            <w:pPr>
              <w:spacing w:after="0" w:line="240" w:lineRule="auto"/>
              <w:ind w:firstLine="0"/>
              <w:jc w:val="center"/>
            </w:pPr>
            <w:r>
              <w:rPr>
                <w:b/>
                <w:sz w:val="17"/>
              </w:rPr>
              <w:t>Time</w:t>
            </w:r>
          </w:p>
        </w:tc>
        <w:tc>
          <w:tcPr>
            <w:tcW w:w="1584" w:type="dxa"/>
            <w:tcMar>
              <w:top w:w="80" w:type="dxa"/>
              <w:left w:w="90" w:type="dxa"/>
              <w:bottom w:w="80" w:type="dxa"/>
              <w:right w:w="90" w:type="dxa"/>
            </w:tcMar>
            <w:vAlign w:val="center"/>
          </w:tcPr>
          <w:p w14:paraId="38E549E0" w14:textId="77777777" w:rsidR="005129EA" w:rsidRDefault="00000000">
            <w:pPr>
              <w:spacing w:after="0" w:line="240" w:lineRule="auto"/>
              <w:ind w:firstLine="0"/>
              <w:jc w:val="center"/>
            </w:pPr>
            <w:r>
              <w:rPr>
                <w:b/>
                <w:sz w:val="17"/>
              </w:rPr>
              <w:t>Cycles</w:t>
            </w:r>
          </w:p>
        </w:tc>
      </w:tr>
      <w:tr w:rsidR="005129EA" w14:paraId="05AC01F2" w14:textId="77777777" w:rsidTr="0097217A">
        <w:trPr>
          <w:cantSplit/>
          <w:jc w:val="center"/>
        </w:trPr>
        <w:tc>
          <w:tcPr>
            <w:tcW w:w="3888" w:type="dxa"/>
            <w:tcMar>
              <w:top w:w="80" w:type="dxa"/>
              <w:left w:w="90" w:type="dxa"/>
              <w:bottom w:w="80" w:type="dxa"/>
              <w:right w:w="90" w:type="dxa"/>
            </w:tcMar>
            <w:vAlign w:val="center"/>
          </w:tcPr>
          <w:p w14:paraId="46CB1628" w14:textId="77777777" w:rsidR="005129EA" w:rsidRDefault="00000000">
            <w:pPr>
              <w:spacing w:after="0" w:line="240" w:lineRule="auto"/>
              <w:ind w:firstLine="0"/>
              <w:jc w:val="left"/>
            </w:pPr>
            <w:r>
              <w:rPr>
                <w:sz w:val="17"/>
              </w:rPr>
              <w:t>Initial denaturation</w:t>
            </w:r>
          </w:p>
        </w:tc>
        <w:tc>
          <w:tcPr>
            <w:tcW w:w="1728" w:type="dxa"/>
            <w:tcMar>
              <w:top w:w="80" w:type="dxa"/>
              <w:left w:w="90" w:type="dxa"/>
              <w:bottom w:w="80" w:type="dxa"/>
              <w:right w:w="90" w:type="dxa"/>
            </w:tcMar>
            <w:vAlign w:val="center"/>
          </w:tcPr>
          <w:p w14:paraId="781DCA14" w14:textId="77777777" w:rsidR="005129EA" w:rsidRDefault="00000000">
            <w:pPr>
              <w:spacing w:after="0" w:line="240" w:lineRule="auto"/>
              <w:ind w:firstLine="0"/>
              <w:jc w:val="center"/>
            </w:pPr>
            <w:r>
              <w:rPr>
                <w:sz w:val="17"/>
              </w:rPr>
              <w:t>95°C</w:t>
            </w:r>
          </w:p>
        </w:tc>
        <w:tc>
          <w:tcPr>
            <w:tcW w:w="1728" w:type="dxa"/>
            <w:tcMar>
              <w:top w:w="80" w:type="dxa"/>
              <w:left w:w="90" w:type="dxa"/>
              <w:bottom w:w="80" w:type="dxa"/>
              <w:right w:w="90" w:type="dxa"/>
            </w:tcMar>
            <w:vAlign w:val="center"/>
          </w:tcPr>
          <w:p w14:paraId="29DE6165" w14:textId="77777777" w:rsidR="005129EA" w:rsidRDefault="00000000">
            <w:pPr>
              <w:spacing w:after="0" w:line="240" w:lineRule="auto"/>
              <w:ind w:firstLine="0"/>
              <w:jc w:val="center"/>
            </w:pPr>
            <w:r>
              <w:rPr>
                <w:sz w:val="17"/>
              </w:rPr>
              <w:t>5 min</w:t>
            </w:r>
          </w:p>
        </w:tc>
        <w:tc>
          <w:tcPr>
            <w:tcW w:w="1584" w:type="dxa"/>
            <w:tcMar>
              <w:top w:w="80" w:type="dxa"/>
              <w:left w:w="90" w:type="dxa"/>
              <w:bottom w:w="80" w:type="dxa"/>
              <w:right w:w="90" w:type="dxa"/>
            </w:tcMar>
            <w:vAlign w:val="center"/>
          </w:tcPr>
          <w:p w14:paraId="534B2A8B" w14:textId="77777777" w:rsidR="005129EA" w:rsidRDefault="00000000">
            <w:pPr>
              <w:spacing w:after="0" w:line="240" w:lineRule="auto"/>
              <w:ind w:firstLine="0"/>
              <w:jc w:val="center"/>
            </w:pPr>
            <w:r>
              <w:rPr>
                <w:sz w:val="17"/>
              </w:rPr>
              <w:t>1</w:t>
            </w:r>
          </w:p>
        </w:tc>
      </w:tr>
      <w:tr w:rsidR="005129EA" w14:paraId="085EE796" w14:textId="77777777" w:rsidTr="0097217A">
        <w:trPr>
          <w:cantSplit/>
          <w:jc w:val="center"/>
        </w:trPr>
        <w:tc>
          <w:tcPr>
            <w:tcW w:w="3888" w:type="dxa"/>
            <w:tcMar>
              <w:top w:w="80" w:type="dxa"/>
              <w:left w:w="90" w:type="dxa"/>
              <w:bottom w:w="80" w:type="dxa"/>
              <w:right w:w="90" w:type="dxa"/>
            </w:tcMar>
            <w:vAlign w:val="center"/>
          </w:tcPr>
          <w:p w14:paraId="32D36686" w14:textId="77777777" w:rsidR="005129EA" w:rsidRDefault="00000000">
            <w:pPr>
              <w:spacing w:after="0" w:line="240" w:lineRule="auto"/>
              <w:ind w:firstLine="0"/>
              <w:jc w:val="left"/>
            </w:pPr>
            <w:r>
              <w:rPr>
                <w:sz w:val="17"/>
              </w:rPr>
              <w:t>Denaturation</w:t>
            </w:r>
          </w:p>
        </w:tc>
        <w:tc>
          <w:tcPr>
            <w:tcW w:w="1728" w:type="dxa"/>
            <w:tcMar>
              <w:top w:w="80" w:type="dxa"/>
              <w:left w:w="90" w:type="dxa"/>
              <w:bottom w:w="80" w:type="dxa"/>
              <w:right w:w="90" w:type="dxa"/>
            </w:tcMar>
            <w:vAlign w:val="center"/>
          </w:tcPr>
          <w:p w14:paraId="7310F2B3" w14:textId="77777777" w:rsidR="005129EA" w:rsidRDefault="00000000">
            <w:pPr>
              <w:spacing w:after="0" w:line="240" w:lineRule="auto"/>
              <w:ind w:firstLine="0"/>
              <w:jc w:val="center"/>
            </w:pPr>
            <w:r>
              <w:rPr>
                <w:sz w:val="17"/>
              </w:rPr>
              <w:t>95°C</w:t>
            </w:r>
          </w:p>
        </w:tc>
        <w:tc>
          <w:tcPr>
            <w:tcW w:w="1728" w:type="dxa"/>
            <w:tcMar>
              <w:top w:w="80" w:type="dxa"/>
              <w:left w:w="90" w:type="dxa"/>
              <w:bottom w:w="80" w:type="dxa"/>
              <w:right w:w="90" w:type="dxa"/>
            </w:tcMar>
            <w:vAlign w:val="center"/>
          </w:tcPr>
          <w:p w14:paraId="6C3BBCED" w14:textId="77777777" w:rsidR="005129EA" w:rsidRDefault="00000000">
            <w:pPr>
              <w:spacing w:after="0" w:line="240" w:lineRule="auto"/>
              <w:ind w:firstLine="0"/>
              <w:jc w:val="center"/>
            </w:pPr>
            <w:r>
              <w:rPr>
                <w:sz w:val="17"/>
              </w:rPr>
              <w:t>30 s</w:t>
            </w:r>
          </w:p>
        </w:tc>
        <w:tc>
          <w:tcPr>
            <w:tcW w:w="1584" w:type="dxa"/>
            <w:tcMar>
              <w:top w:w="80" w:type="dxa"/>
              <w:left w:w="90" w:type="dxa"/>
              <w:bottom w:w="80" w:type="dxa"/>
              <w:right w:w="90" w:type="dxa"/>
            </w:tcMar>
            <w:vAlign w:val="center"/>
          </w:tcPr>
          <w:p w14:paraId="4ACBD2B3" w14:textId="77777777" w:rsidR="005129EA" w:rsidRDefault="00000000">
            <w:pPr>
              <w:spacing w:after="0" w:line="240" w:lineRule="auto"/>
              <w:ind w:firstLine="0"/>
              <w:jc w:val="center"/>
            </w:pPr>
            <w:r>
              <w:rPr>
                <w:sz w:val="17"/>
              </w:rPr>
              <w:t>32</w:t>
            </w:r>
          </w:p>
        </w:tc>
      </w:tr>
      <w:tr w:rsidR="005129EA" w14:paraId="51F837B0" w14:textId="77777777" w:rsidTr="0097217A">
        <w:trPr>
          <w:cantSplit/>
          <w:jc w:val="center"/>
        </w:trPr>
        <w:tc>
          <w:tcPr>
            <w:tcW w:w="3888" w:type="dxa"/>
            <w:tcMar>
              <w:top w:w="80" w:type="dxa"/>
              <w:left w:w="90" w:type="dxa"/>
              <w:bottom w:w="80" w:type="dxa"/>
              <w:right w:w="90" w:type="dxa"/>
            </w:tcMar>
            <w:vAlign w:val="center"/>
          </w:tcPr>
          <w:p w14:paraId="3BE70EB4" w14:textId="77777777" w:rsidR="005129EA" w:rsidRDefault="00000000">
            <w:pPr>
              <w:spacing w:after="0" w:line="240" w:lineRule="auto"/>
              <w:ind w:firstLine="0"/>
              <w:jc w:val="left"/>
            </w:pPr>
            <w:r>
              <w:rPr>
                <w:sz w:val="17"/>
              </w:rPr>
              <w:t>Annealing</w:t>
            </w:r>
          </w:p>
        </w:tc>
        <w:tc>
          <w:tcPr>
            <w:tcW w:w="1728" w:type="dxa"/>
            <w:tcMar>
              <w:top w:w="80" w:type="dxa"/>
              <w:left w:w="90" w:type="dxa"/>
              <w:bottom w:w="80" w:type="dxa"/>
              <w:right w:w="90" w:type="dxa"/>
            </w:tcMar>
            <w:vAlign w:val="center"/>
          </w:tcPr>
          <w:p w14:paraId="2A2BE57C" w14:textId="77777777" w:rsidR="005129EA" w:rsidRDefault="00000000">
            <w:pPr>
              <w:spacing w:after="0" w:line="240" w:lineRule="auto"/>
              <w:ind w:firstLine="0"/>
              <w:jc w:val="center"/>
            </w:pPr>
            <w:r>
              <w:rPr>
                <w:sz w:val="17"/>
              </w:rPr>
              <w:t>58°C</w:t>
            </w:r>
          </w:p>
        </w:tc>
        <w:tc>
          <w:tcPr>
            <w:tcW w:w="1728" w:type="dxa"/>
            <w:tcMar>
              <w:top w:w="80" w:type="dxa"/>
              <w:left w:w="90" w:type="dxa"/>
              <w:bottom w:w="80" w:type="dxa"/>
              <w:right w:w="90" w:type="dxa"/>
            </w:tcMar>
            <w:vAlign w:val="center"/>
          </w:tcPr>
          <w:p w14:paraId="710F9492" w14:textId="77777777" w:rsidR="005129EA" w:rsidRDefault="00000000">
            <w:pPr>
              <w:spacing w:after="0" w:line="240" w:lineRule="auto"/>
              <w:ind w:firstLine="0"/>
              <w:jc w:val="center"/>
            </w:pPr>
            <w:r>
              <w:rPr>
                <w:sz w:val="17"/>
              </w:rPr>
              <w:t>30 s</w:t>
            </w:r>
          </w:p>
        </w:tc>
        <w:tc>
          <w:tcPr>
            <w:tcW w:w="1584" w:type="dxa"/>
            <w:tcMar>
              <w:top w:w="80" w:type="dxa"/>
              <w:left w:w="90" w:type="dxa"/>
              <w:bottom w:w="80" w:type="dxa"/>
              <w:right w:w="90" w:type="dxa"/>
            </w:tcMar>
            <w:vAlign w:val="center"/>
          </w:tcPr>
          <w:p w14:paraId="7DC38CA9" w14:textId="77777777" w:rsidR="005129EA" w:rsidRDefault="00000000">
            <w:pPr>
              <w:spacing w:after="0" w:line="240" w:lineRule="auto"/>
              <w:ind w:firstLine="0"/>
              <w:jc w:val="center"/>
            </w:pPr>
            <w:r>
              <w:rPr>
                <w:sz w:val="17"/>
              </w:rPr>
              <w:t>32</w:t>
            </w:r>
          </w:p>
        </w:tc>
      </w:tr>
      <w:tr w:rsidR="005129EA" w14:paraId="47DA52C9" w14:textId="77777777" w:rsidTr="0097217A">
        <w:trPr>
          <w:cantSplit/>
          <w:jc w:val="center"/>
        </w:trPr>
        <w:tc>
          <w:tcPr>
            <w:tcW w:w="3888" w:type="dxa"/>
            <w:tcMar>
              <w:top w:w="80" w:type="dxa"/>
              <w:left w:w="90" w:type="dxa"/>
              <w:bottom w:w="80" w:type="dxa"/>
              <w:right w:w="90" w:type="dxa"/>
            </w:tcMar>
            <w:vAlign w:val="center"/>
          </w:tcPr>
          <w:p w14:paraId="3A7D445D" w14:textId="77777777" w:rsidR="005129EA" w:rsidRDefault="00000000">
            <w:pPr>
              <w:spacing w:after="0" w:line="240" w:lineRule="auto"/>
              <w:ind w:firstLine="0"/>
              <w:jc w:val="left"/>
            </w:pPr>
            <w:r>
              <w:rPr>
                <w:sz w:val="17"/>
              </w:rPr>
              <w:t>Extension</w:t>
            </w:r>
          </w:p>
        </w:tc>
        <w:tc>
          <w:tcPr>
            <w:tcW w:w="1728" w:type="dxa"/>
            <w:tcMar>
              <w:top w:w="80" w:type="dxa"/>
              <w:left w:w="90" w:type="dxa"/>
              <w:bottom w:w="80" w:type="dxa"/>
              <w:right w:w="90" w:type="dxa"/>
            </w:tcMar>
            <w:vAlign w:val="center"/>
          </w:tcPr>
          <w:p w14:paraId="72B46D10" w14:textId="77777777" w:rsidR="005129EA" w:rsidRDefault="00000000">
            <w:pPr>
              <w:spacing w:after="0" w:line="240" w:lineRule="auto"/>
              <w:ind w:firstLine="0"/>
              <w:jc w:val="center"/>
            </w:pPr>
            <w:r>
              <w:rPr>
                <w:sz w:val="17"/>
              </w:rPr>
              <w:t>72°C</w:t>
            </w:r>
          </w:p>
        </w:tc>
        <w:tc>
          <w:tcPr>
            <w:tcW w:w="1728" w:type="dxa"/>
            <w:tcMar>
              <w:top w:w="80" w:type="dxa"/>
              <w:left w:w="90" w:type="dxa"/>
              <w:bottom w:w="80" w:type="dxa"/>
              <w:right w:w="90" w:type="dxa"/>
            </w:tcMar>
            <w:vAlign w:val="center"/>
          </w:tcPr>
          <w:p w14:paraId="0EC8F162" w14:textId="77777777" w:rsidR="005129EA" w:rsidRDefault="00000000">
            <w:pPr>
              <w:spacing w:after="0" w:line="240" w:lineRule="auto"/>
              <w:ind w:firstLine="0"/>
              <w:jc w:val="center"/>
            </w:pPr>
            <w:r>
              <w:rPr>
                <w:sz w:val="17"/>
              </w:rPr>
              <w:t>30 s</w:t>
            </w:r>
          </w:p>
        </w:tc>
        <w:tc>
          <w:tcPr>
            <w:tcW w:w="1584" w:type="dxa"/>
            <w:tcMar>
              <w:top w:w="80" w:type="dxa"/>
              <w:left w:w="90" w:type="dxa"/>
              <w:bottom w:w="80" w:type="dxa"/>
              <w:right w:w="90" w:type="dxa"/>
            </w:tcMar>
            <w:vAlign w:val="center"/>
          </w:tcPr>
          <w:p w14:paraId="4DE0E5BD" w14:textId="77777777" w:rsidR="005129EA" w:rsidRDefault="00000000">
            <w:pPr>
              <w:spacing w:after="0" w:line="240" w:lineRule="auto"/>
              <w:ind w:firstLine="0"/>
              <w:jc w:val="center"/>
            </w:pPr>
            <w:r>
              <w:rPr>
                <w:sz w:val="17"/>
              </w:rPr>
              <w:t>32</w:t>
            </w:r>
          </w:p>
        </w:tc>
      </w:tr>
      <w:tr w:rsidR="005129EA" w14:paraId="5B0F24E2" w14:textId="77777777" w:rsidTr="0097217A">
        <w:trPr>
          <w:cantSplit/>
          <w:jc w:val="center"/>
        </w:trPr>
        <w:tc>
          <w:tcPr>
            <w:tcW w:w="3888" w:type="dxa"/>
            <w:tcMar>
              <w:top w:w="80" w:type="dxa"/>
              <w:left w:w="90" w:type="dxa"/>
              <w:bottom w:w="80" w:type="dxa"/>
              <w:right w:w="90" w:type="dxa"/>
            </w:tcMar>
            <w:vAlign w:val="center"/>
          </w:tcPr>
          <w:p w14:paraId="1DA6BBAB" w14:textId="77777777" w:rsidR="005129EA" w:rsidRDefault="00000000">
            <w:pPr>
              <w:spacing w:after="0" w:line="240" w:lineRule="auto"/>
              <w:ind w:firstLine="0"/>
              <w:jc w:val="left"/>
            </w:pPr>
            <w:r>
              <w:rPr>
                <w:sz w:val="17"/>
              </w:rPr>
              <w:t>Final extension</w:t>
            </w:r>
          </w:p>
        </w:tc>
        <w:tc>
          <w:tcPr>
            <w:tcW w:w="1728" w:type="dxa"/>
            <w:tcMar>
              <w:top w:w="80" w:type="dxa"/>
              <w:left w:w="90" w:type="dxa"/>
              <w:bottom w:w="80" w:type="dxa"/>
              <w:right w:w="90" w:type="dxa"/>
            </w:tcMar>
            <w:vAlign w:val="center"/>
          </w:tcPr>
          <w:p w14:paraId="207A5003" w14:textId="77777777" w:rsidR="005129EA" w:rsidRDefault="00000000">
            <w:pPr>
              <w:spacing w:after="0" w:line="240" w:lineRule="auto"/>
              <w:ind w:firstLine="0"/>
              <w:jc w:val="center"/>
            </w:pPr>
            <w:r>
              <w:rPr>
                <w:sz w:val="17"/>
              </w:rPr>
              <w:t>72°C</w:t>
            </w:r>
          </w:p>
        </w:tc>
        <w:tc>
          <w:tcPr>
            <w:tcW w:w="1728" w:type="dxa"/>
            <w:tcMar>
              <w:top w:w="80" w:type="dxa"/>
              <w:left w:w="90" w:type="dxa"/>
              <w:bottom w:w="80" w:type="dxa"/>
              <w:right w:w="90" w:type="dxa"/>
            </w:tcMar>
            <w:vAlign w:val="center"/>
          </w:tcPr>
          <w:p w14:paraId="0F5C421C" w14:textId="77777777" w:rsidR="005129EA" w:rsidRDefault="00000000">
            <w:pPr>
              <w:spacing w:after="0" w:line="240" w:lineRule="auto"/>
              <w:ind w:firstLine="0"/>
              <w:jc w:val="center"/>
            </w:pPr>
            <w:r>
              <w:rPr>
                <w:sz w:val="17"/>
              </w:rPr>
              <w:t>10 min</w:t>
            </w:r>
          </w:p>
        </w:tc>
        <w:tc>
          <w:tcPr>
            <w:tcW w:w="1584" w:type="dxa"/>
            <w:tcMar>
              <w:top w:w="80" w:type="dxa"/>
              <w:left w:w="90" w:type="dxa"/>
              <w:bottom w:w="80" w:type="dxa"/>
              <w:right w:w="90" w:type="dxa"/>
            </w:tcMar>
            <w:vAlign w:val="center"/>
          </w:tcPr>
          <w:p w14:paraId="6160D66E" w14:textId="77777777" w:rsidR="005129EA" w:rsidRDefault="00000000">
            <w:pPr>
              <w:spacing w:after="0" w:line="240" w:lineRule="auto"/>
              <w:ind w:firstLine="0"/>
              <w:jc w:val="center"/>
            </w:pPr>
            <w:r>
              <w:rPr>
                <w:sz w:val="17"/>
              </w:rPr>
              <w:t>1</w:t>
            </w:r>
          </w:p>
        </w:tc>
      </w:tr>
    </w:tbl>
    <w:p w14:paraId="6F06D3A8" w14:textId="77777777" w:rsidR="005129EA" w:rsidRDefault="00000000">
      <w:pPr>
        <w:pStyle w:val="Heading2"/>
      </w:pPr>
      <w:r>
        <w:t>2.9 Serological Diagnosis</w:t>
      </w:r>
    </w:p>
    <w:p w14:paraId="73F2C0E6" w14:textId="77777777" w:rsidR="005129EA" w:rsidRDefault="00000000">
      <w:pPr>
        <w:pStyle w:val="Heading3"/>
      </w:pPr>
      <w:r>
        <w:t>2.9.1 Indirect Antibody ELISA</w:t>
      </w:r>
    </w:p>
    <w:p w14:paraId="42DF34E9" w14:textId="77777777" w:rsidR="005129EA" w:rsidRDefault="00000000">
      <w:r>
        <w:t xml:space="preserve">Serum was separated by centrifugation and stored at -20°C until analysis. Antibodies against </w:t>
      </w:r>
      <w:r>
        <w:rPr>
          <w:i/>
        </w:rPr>
        <w:t xml:space="preserve">T. </w:t>
      </w:r>
      <w:proofErr w:type="spellStart"/>
      <w:r>
        <w:rPr>
          <w:i/>
        </w:rPr>
        <w:t>evansi</w:t>
      </w:r>
      <w:proofErr w:type="spellEnd"/>
      <w:r>
        <w:t xml:space="preserve"> were detected </w:t>
      </w:r>
      <w:r>
        <w:rPr>
          <w:highlight w:val="yellow"/>
        </w:rPr>
        <w:t>using an indirect ELISA based on whole-cell lysate antigen, following the procedure reported for equids by Kumar et al. (2013)</w:t>
      </w:r>
      <w:r>
        <w:t xml:space="preserve">. Microplates were coated overnight at 4°C with 500 ng of whole-cell lysate antigen in carbonate-bicarbonate buffer (0.1 M, pH 9.6). After washing with phosphate-buffered saline containing 0.05% Tween 20, plates were blocked with 5% skimmed milk in washing buffer for one hour at 37°C. Serum samples diluted 1:100 were tested in duplicate. Anti-horse IgG conjugate diluted 1:15,000 was then added, and </w:t>
      </w:r>
      <w:proofErr w:type="spellStart"/>
      <w:r>
        <w:t>colour</w:t>
      </w:r>
      <w:proofErr w:type="spellEnd"/>
      <w:r>
        <w:t xml:space="preserve"> was developed with tetramethylbenzidine substrate. The reaction was stopped with 1 M </w:t>
      </w:r>
      <w:proofErr w:type="spellStart"/>
      <w:r>
        <w:t>sulphuric</w:t>
      </w:r>
      <w:proofErr w:type="spellEnd"/>
      <w:r>
        <w:t xml:space="preserve"> acid, and optical density was measured at 450 nm.</w:t>
      </w:r>
      <w:r w:rsidR="00F56EC2">
        <w:t xml:space="preserve"> </w:t>
      </w:r>
      <w:r w:rsidR="00F56EC2" w:rsidRPr="00F56EC2">
        <w:t xml:space="preserve">Recent validation of in vitro-produced and freeze-dried </w:t>
      </w:r>
      <w:r w:rsidR="00F56EC2" w:rsidRPr="00F56EC2">
        <w:rPr>
          <w:i/>
          <w:iCs/>
        </w:rPr>
        <w:t xml:space="preserve">T. </w:t>
      </w:r>
      <w:proofErr w:type="spellStart"/>
      <w:r w:rsidR="00F56EC2" w:rsidRPr="00F56EC2">
        <w:rPr>
          <w:i/>
          <w:iCs/>
        </w:rPr>
        <w:t>evansi</w:t>
      </w:r>
      <w:proofErr w:type="spellEnd"/>
      <w:r w:rsidR="00F56EC2" w:rsidRPr="00F56EC2">
        <w:t xml:space="preserve"> whole-cell lysate antigens in a camel ELISA demonstrated that antigen production and preservation can materially influence assay reproducibility, </w:t>
      </w:r>
      <w:proofErr w:type="spellStart"/>
      <w:r>
        <w:rPr>
          <w:highlight w:val="yellow"/>
        </w:rPr>
        <w:t>emphasising</w:t>
      </w:r>
      <w:proofErr w:type="spellEnd"/>
      <w:r>
        <w:t xml:space="preserve"> the importance of </w:t>
      </w:r>
      <w:proofErr w:type="spellStart"/>
      <w:r>
        <w:rPr>
          <w:highlight w:val="yellow"/>
        </w:rPr>
        <w:t>standardised</w:t>
      </w:r>
      <w:proofErr w:type="spellEnd"/>
      <w:r>
        <w:t xml:space="preserve"> antigen preparations and plate-level controls in whole-cell lysate serology (Bossard &amp; </w:t>
      </w:r>
      <w:proofErr w:type="spellStart"/>
      <w:r w:rsidR="00F56EC2" w:rsidRPr="00F56EC2">
        <w:t>Desquesnes</w:t>
      </w:r>
      <w:proofErr w:type="spellEnd"/>
      <w:r w:rsidR="00F56EC2" w:rsidRPr="00F56EC2">
        <w:t>, 2023).</w:t>
      </w:r>
    </w:p>
    <w:p w14:paraId="07FDA424" w14:textId="77777777" w:rsidR="00F56EC2" w:rsidRDefault="00F56EC2"/>
    <w:p w14:paraId="288EB639" w14:textId="77777777" w:rsidR="005129EA" w:rsidRDefault="00000000">
      <w:pPr>
        <w:ind w:firstLine="0"/>
        <w:jc w:val="center"/>
      </w:pPr>
      <w:r>
        <w:rPr>
          <w:sz w:val="20"/>
        </w:rPr>
        <w:t>RPP (%) = [(mean OD of test sample - mean OD of negative control) / (mean OD of positive control - mean OD of negative control)] × 100</w:t>
      </w:r>
    </w:p>
    <w:p w14:paraId="05F16494" w14:textId="77777777" w:rsidR="00F56EC2" w:rsidRDefault="00F56EC2"/>
    <w:p w14:paraId="18AC3A44" w14:textId="77777777" w:rsidR="005129EA" w:rsidRDefault="00000000">
      <w:r>
        <w:t>Relative percentage positivity (RPP) was calculated using the reference-control-corrected formula reported by Kumar et al. (2013). An RPP value greater than 15% was interpreted as seropositive, consistent with the cut-off established for the equine whole-cell lysate antibody ELISA. Because antibodies can persist after treatment, the ELISA findings were interpreted as evidence of antibody reactivity rather than as an immediate measure of parasitological cure (Monzon et al., 2003; Yadav et al., 2014).</w:t>
      </w:r>
    </w:p>
    <w:p w14:paraId="2243F488" w14:textId="77777777" w:rsidR="005129EA" w:rsidRDefault="00000000">
      <w:pPr>
        <w:pStyle w:val="Heading2"/>
      </w:pPr>
      <w:r>
        <w:lastRenderedPageBreak/>
        <w:t>2.10 Data Analysis</w:t>
      </w:r>
    </w:p>
    <w:p w14:paraId="2408D73B" w14:textId="77777777" w:rsidR="005129EA" w:rsidRDefault="00000000">
      <w:r>
        <w:t xml:space="preserve">The study was </w:t>
      </w:r>
      <w:proofErr w:type="spellStart"/>
      <w:r>
        <w:t>analysed</w:t>
      </w:r>
      <w:proofErr w:type="spellEnd"/>
      <w:r>
        <w:t xml:space="preserve"> descriptively because only six infected horses received treatment. PCR results are reported as animal counts and percentages at each sampling time, with fractions presented to show the underlying denominators. ELISA findings are reported as the recorded group-level RPP values; individual-animal dispersion measures were not available. GraphPad Prism version 8.0.2 was used for data </w:t>
      </w:r>
      <w:proofErr w:type="spellStart"/>
      <w:r>
        <w:t>organisation</w:t>
      </w:r>
      <w:proofErr w:type="spellEnd"/>
      <w:r>
        <w:t xml:space="preserve"> and graphical presentation. </w:t>
      </w:r>
      <w:r>
        <w:rPr>
          <w:highlight w:val="yellow"/>
        </w:rPr>
        <w:t>No inferential comparisons were used</w:t>
      </w:r>
      <w:r>
        <w:t xml:space="preserve"> to support treatment-effect claims.</w:t>
      </w:r>
    </w:p>
    <w:p w14:paraId="0235B367" w14:textId="77777777" w:rsidR="005129EA" w:rsidRDefault="00000000">
      <w:pPr>
        <w:pStyle w:val="Heading1"/>
      </w:pPr>
      <w:r>
        <w:t>3. Results and Discussion</w:t>
      </w:r>
    </w:p>
    <w:p w14:paraId="61301609" w14:textId="77777777" w:rsidR="005129EA" w:rsidRDefault="00000000">
      <w:pPr>
        <w:pStyle w:val="Heading2"/>
      </w:pPr>
      <w:r>
        <w:t>3.1 Parasitological Findings</w:t>
      </w:r>
    </w:p>
    <w:p w14:paraId="0CCA4A24" w14:textId="77777777" w:rsidR="005129EA" w:rsidRDefault="00000000">
      <w:r>
        <w:t xml:space="preserve">All six treated horses were </w:t>
      </w:r>
      <w:proofErr w:type="spellStart"/>
      <w:r>
        <w:t>parasitologically</w:t>
      </w:r>
      <w:proofErr w:type="spellEnd"/>
      <w:r>
        <w:t xml:space="preserve"> positive before treatment. </w:t>
      </w:r>
      <w:r>
        <w:rPr>
          <w:highlight w:val="yellow"/>
        </w:rPr>
        <w:t>From Day 3 to Day 21</w:t>
      </w:r>
      <w:r>
        <w:t xml:space="preserve">, </w:t>
      </w:r>
      <w:r>
        <w:rPr>
          <w:i/>
        </w:rPr>
        <w:t xml:space="preserve">T. </w:t>
      </w:r>
      <w:proofErr w:type="spellStart"/>
      <w:r>
        <w:rPr>
          <w:i/>
        </w:rPr>
        <w:t>evansi</w:t>
      </w:r>
      <w:proofErr w:type="spellEnd"/>
      <w:r>
        <w:t xml:space="preserve"> was not detected in treated horses by either </w:t>
      </w:r>
      <w:proofErr w:type="spellStart"/>
      <w:r>
        <w:t>microhaematocrit</w:t>
      </w:r>
      <w:proofErr w:type="spellEnd"/>
      <w:r>
        <w:t xml:space="preserve"> centrifugation or Giemsa-stained blood-smear examination. The comparison horses remained negative. Representative pre-treatment blood-smear fields are shown in Figure 4.</w:t>
      </w:r>
    </w:p>
    <w:p w14:paraId="478AFCA7" w14:textId="77777777" w:rsidR="005129EA" w:rsidRDefault="00000000">
      <w:r>
        <w:t xml:space="preserve">The early disappearance of microscopically detectable </w:t>
      </w:r>
      <w:proofErr w:type="spellStart"/>
      <w:r>
        <w:t>parasitaemia</w:t>
      </w:r>
      <w:proofErr w:type="spellEnd"/>
      <w:r>
        <w:t xml:space="preserve"> is compatible with a rapid reduction in circulating parasite numbers after treatment. Nevertheless, microscopy has limited sensitivity when </w:t>
      </w:r>
      <w:proofErr w:type="spellStart"/>
      <w:r>
        <w:t>parasitaemia</w:t>
      </w:r>
      <w:proofErr w:type="spellEnd"/>
      <w:r>
        <w:t xml:space="preserve"> is low or fluctuating, and a negative microscopic result should not be equated with complete elimination of infection. This limitation is particularly relevant in equine </w:t>
      </w:r>
      <w:proofErr w:type="spellStart"/>
      <w:r>
        <w:t>trypanosomosis</w:t>
      </w:r>
      <w:proofErr w:type="spellEnd"/>
      <w:r>
        <w:t xml:space="preserve">, for which combined diagnostic approaches are recommended (Büscher et al., 2019; </w:t>
      </w:r>
      <w:proofErr w:type="spellStart"/>
      <w:r>
        <w:t>Desquesnes</w:t>
      </w:r>
      <w:proofErr w:type="spellEnd"/>
      <w:r>
        <w:t xml:space="preserve"> et al., 2022; Kim et al., 2024).</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896"/>
        <w:gridCol w:w="4896"/>
      </w:tblGrid>
      <w:tr w:rsidR="005129EA" w14:paraId="5705D60D" w14:textId="77777777">
        <w:trPr>
          <w:cantSplit/>
          <w:jc w:val="center"/>
        </w:trPr>
        <w:tc>
          <w:tcPr>
            <w:tcW w:w="4896" w:type="dxa"/>
            <w:tcMar>
              <w:top w:w="0" w:type="dxa"/>
              <w:left w:w="50" w:type="dxa"/>
              <w:bottom w:w="0" w:type="dxa"/>
              <w:right w:w="50" w:type="dxa"/>
            </w:tcMar>
            <w:vAlign w:val="center"/>
          </w:tcPr>
          <w:p w14:paraId="3A0B67A3" w14:textId="77777777" w:rsidR="005129EA" w:rsidRDefault="00000000">
            <w:pPr>
              <w:ind w:firstLine="0"/>
              <w:jc w:val="center"/>
            </w:pPr>
            <w:r>
              <w:rPr>
                <w:noProof/>
              </w:rPr>
              <w:drawing>
                <wp:inline distT="0" distB="0" distL="0" distR="0" wp14:anchorId="08351445" wp14:editId="7757555C">
                  <wp:extent cx="2514600" cy="3352800"/>
                  <wp:effectExtent l="0" t="0" r="0" b="0"/>
                  <wp:docPr id="7" name="Picture 7" descr="Figure 4. Representative Giemsa-stained blood-smear fields from the T-1 and C groups before treatment. Left panel." title="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7_img1.png"/>
                          <pic:cNvPicPr/>
                        </pic:nvPicPr>
                        <pic:blipFill>
                          <a:blip r:embed="rId14"/>
                          <a:stretch>
                            <a:fillRect/>
                          </a:stretch>
                        </pic:blipFill>
                        <pic:spPr>
                          <a:xfrm>
                            <a:off x="0" y="0"/>
                            <a:ext cx="2514600" cy="3352800"/>
                          </a:xfrm>
                          <a:prstGeom prst="rect">
                            <a:avLst/>
                          </a:prstGeom>
                        </pic:spPr>
                      </pic:pic>
                    </a:graphicData>
                  </a:graphic>
                </wp:inline>
              </w:drawing>
            </w:r>
          </w:p>
        </w:tc>
        <w:tc>
          <w:tcPr>
            <w:tcW w:w="4896" w:type="dxa"/>
            <w:tcMar>
              <w:top w:w="0" w:type="dxa"/>
              <w:left w:w="50" w:type="dxa"/>
              <w:bottom w:w="0" w:type="dxa"/>
              <w:right w:w="50" w:type="dxa"/>
            </w:tcMar>
            <w:vAlign w:val="center"/>
          </w:tcPr>
          <w:p w14:paraId="6293B14E" w14:textId="77777777" w:rsidR="005129EA" w:rsidRDefault="00000000">
            <w:pPr>
              <w:ind w:firstLine="0"/>
              <w:jc w:val="center"/>
            </w:pPr>
            <w:r>
              <w:rPr>
                <w:noProof/>
              </w:rPr>
              <w:drawing>
                <wp:inline distT="0" distB="0" distL="0" distR="0" wp14:anchorId="6C729066" wp14:editId="021A7B24">
                  <wp:extent cx="2240280" cy="2987039"/>
                  <wp:effectExtent l="0" t="0" r="0" b="0"/>
                  <wp:docPr id="8" name="Picture 8" descr="Figure 4. Representative Giemsa-stained blood-smear fields from the T-1 and C groups before treatment. Right panel." title="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7_img2.png"/>
                          <pic:cNvPicPr/>
                        </pic:nvPicPr>
                        <pic:blipFill>
                          <a:blip r:embed="rId15"/>
                          <a:stretch>
                            <a:fillRect/>
                          </a:stretch>
                        </pic:blipFill>
                        <pic:spPr>
                          <a:xfrm>
                            <a:off x="0" y="0"/>
                            <a:ext cx="2240280" cy="2987039"/>
                          </a:xfrm>
                          <a:prstGeom prst="rect">
                            <a:avLst/>
                          </a:prstGeom>
                        </pic:spPr>
                      </pic:pic>
                    </a:graphicData>
                  </a:graphic>
                </wp:inline>
              </w:drawing>
            </w:r>
          </w:p>
        </w:tc>
      </w:tr>
    </w:tbl>
    <w:p w14:paraId="15F18CF6" w14:textId="77777777" w:rsidR="005129EA" w:rsidRDefault="00000000">
      <w:pPr>
        <w:pStyle w:val="CaptionClean"/>
      </w:pPr>
      <w:r>
        <w:t>Figure 4. Representative Giemsa-stained blood-smear fields from the T-1 and C groups before treatment.</w:t>
      </w:r>
    </w:p>
    <w:p w14:paraId="6EB983D8" w14:textId="77777777" w:rsidR="005129EA" w:rsidRDefault="00000000">
      <w:pPr>
        <w:pStyle w:val="Heading2"/>
      </w:pPr>
      <w:r>
        <w:t>3.2 ISG-PCR Findings</w:t>
      </w:r>
    </w:p>
    <w:p w14:paraId="5E03E470" w14:textId="77777777" w:rsidR="005129EA" w:rsidRDefault="00000000">
      <w:r>
        <w:t xml:space="preserve">All six horses in group T-1 were PCR-positive on Day 0, whereas all six comparison horses were PCR-negative throughout the observation period. Following treatment, 2/6 treated horses (33.3%) were PCR-negative on Day 3 and 4/6 (66.7%) were PCR-negative on Day 7. On Days 14 and 21, 3/6 horses (50.0%) were PCR-negative and 3/6 (50.0%) remained PCR-positive (Table 5). Thus, the maximum observed PCR-negative count occurred on Day 7, and the group-level number of PCR-negative horses subsequently decreased from four to three. </w:t>
      </w:r>
      <w:r>
        <w:rPr>
          <w:highlight w:val="yellow"/>
        </w:rPr>
        <w:t>The study records also documented re-detection</w:t>
      </w:r>
      <w:r>
        <w:t xml:space="preserve"> of PCR positivity after an intervening negative result. Representative longitudinal gel findings are presented in Figure 5.</w:t>
      </w:r>
    </w:p>
    <w:p w14:paraId="565F76FA" w14:textId="77777777" w:rsidR="005129EA" w:rsidRDefault="00000000">
      <w:pPr>
        <w:keepNext/>
        <w:pageBreakBefore/>
        <w:spacing w:before="100" w:after="60"/>
        <w:ind w:firstLine="0"/>
      </w:pPr>
      <w:r>
        <w:rPr>
          <w:b/>
          <w:sz w:val="19"/>
        </w:rPr>
        <w:lastRenderedPageBreak/>
        <w:t>Table 5. ISG-PCR results in comparison and treated horses before and after treatment.</w:t>
      </w:r>
    </w:p>
    <w:tbl>
      <w:tblPr>
        <w:tblW w:w="0" w:type="auto"/>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firstRow="1" w:lastRow="0" w:firstColumn="1" w:lastColumn="0" w:noHBand="0" w:noVBand="1"/>
      </w:tblPr>
      <w:tblGrid>
        <w:gridCol w:w="1584"/>
        <w:gridCol w:w="792"/>
        <w:gridCol w:w="1728"/>
        <w:gridCol w:w="1656"/>
        <w:gridCol w:w="1656"/>
        <w:gridCol w:w="2232"/>
      </w:tblGrid>
      <w:tr w:rsidR="005129EA" w14:paraId="0A369D19" w14:textId="77777777" w:rsidTr="0097217A">
        <w:trPr>
          <w:cantSplit/>
          <w:tblHeader/>
          <w:jc w:val="center"/>
        </w:trPr>
        <w:tc>
          <w:tcPr>
            <w:tcW w:w="1584" w:type="dxa"/>
            <w:tcMar>
              <w:top w:w="80" w:type="dxa"/>
              <w:left w:w="90" w:type="dxa"/>
              <w:bottom w:w="80" w:type="dxa"/>
              <w:right w:w="90" w:type="dxa"/>
            </w:tcMar>
            <w:vAlign w:val="center"/>
          </w:tcPr>
          <w:p w14:paraId="276429F1" w14:textId="77777777" w:rsidR="005129EA" w:rsidRDefault="00000000">
            <w:pPr>
              <w:spacing w:after="0" w:line="240" w:lineRule="auto"/>
              <w:ind w:firstLine="0"/>
              <w:jc w:val="left"/>
            </w:pPr>
            <w:r>
              <w:rPr>
                <w:b/>
                <w:sz w:val="15"/>
              </w:rPr>
              <w:t>Treatment phase</w:t>
            </w:r>
          </w:p>
        </w:tc>
        <w:tc>
          <w:tcPr>
            <w:tcW w:w="792" w:type="dxa"/>
            <w:tcMar>
              <w:top w:w="80" w:type="dxa"/>
              <w:left w:w="90" w:type="dxa"/>
              <w:bottom w:w="80" w:type="dxa"/>
              <w:right w:w="90" w:type="dxa"/>
            </w:tcMar>
            <w:vAlign w:val="center"/>
          </w:tcPr>
          <w:p w14:paraId="48A9C337" w14:textId="77777777" w:rsidR="005129EA" w:rsidRDefault="00000000">
            <w:pPr>
              <w:spacing w:after="0" w:line="240" w:lineRule="auto"/>
              <w:ind w:firstLine="0"/>
              <w:jc w:val="center"/>
            </w:pPr>
            <w:r>
              <w:rPr>
                <w:b/>
                <w:sz w:val="15"/>
              </w:rPr>
              <w:t>Day</w:t>
            </w:r>
          </w:p>
        </w:tc>
        <w:tc>
          <w:tcPr>
            <w:tcW w:w="1728" w:type="dxa"/>
            <w:tcMar>
              <w:top w:w="80" w:type="dxa"/>
              <w:left w:w="90" w:type="dxa"/>
              <w:bottom w:w="80" w:type="dxa"/>
              <w:right w:w="90" w:type="dxa"/>
            </w:tcMar>
            <w:vAlign w:val="center"/>
          </w:tcPr>
          <w:p w14:paraId="33B2E574" w14:textId="77777777" w:rsidR="005129EA" w:rsidRDefault="00000000">
            <w:pPr>
              <w:spacing w:after="0" w:line="240" w:lineRule="auto"/>
              <w:ind w:firstLine="0"/>
              <w:jc w:val="center"/>
            </w:pPr>
            <w:r>
              <w:rPr>
                <w:b/>
                <w:sz w:val="15"/>
              </w:rPr>
              <w:t>C (n = 6), PCR-negative</w:t>
            </w:r>
          </w:p>
        </w:tc>
        <w:tc>
          <w:tcPr>
            <w:tcW w:w="1656" w:type="dxa"/>
            <w:tcMar>
              <w:top w:w="80" w:type="dxa"/>
              <w:left w:w="90" w:type="dxa"/>
              <w:bottom w:w="80" w:type="dxa"/>
              <w:right w:w="90" w:type="dxa"/>
            </w:tcMar>
            <w:vAlign w:val="center"/>
          </w:tcPr>
          <w:p w14:paraId="71197020" w14:textId="77777777" w:rsidR="005129EA" w:rsidRDefault="00000000">
            <w:pPr>
              <w:spacing w:after="0" w:line="240" w:lineRule="auto"/>
              <w:ind w:firstLine="0"/>
              <w:jc w:val="center"/>
            </w:pPr>
            <w:r>
              <w:rPr>
                <w:b/>
                <w:sz w:val="15"/>
              </w:rPr>
              <w:t>T-1 (n = 6), PCR-positive</w:t>
            </w:r>
          </w:p>
        </w:tc>
        <w:tc>
          <w:tcPr>
            <w:tcW w:w="1656" w:type="dxa"/>
            <w:tcMar>
              <w:top w:w="80" w:type="dxa"/>
              <w:left w:w="90" w:type="dxa"/>
              <w:bottom w:w="80" w:type="dxa"/>
              <w:right w:w="90" w:type="dxa"/>
            </w:tcMar>
            <w:vAlign w:val="center"/>
          </w:tcPr>
          <w:p w14:paraId="77EF656C" w14:textId="77777777" w:rsidR="005129EA" w:rsidRDefault="00000000">
            <w:pPr>
              <w:spacing w:after="0" w:line="240" w:lineRule="auto"/>
              <w:ind w:firstLine="0"/>
              <w:jc w:val="center"/>
            </w:pPr>
            <w:r>
              <w:rPr>
                <w:b/>
                <w:sz w:val="15"/>
              </w:rPr>
              <w:t>T-1 (n = 6), PCR-negative</w:t>
            </w:r>
          </w:p>
        </w:tc>
        <w:tc>
          <w:tcPr>
            <w:tcW w:w="2232" w:type="dxa"/>
            <w:tcMar>
              <w:top w:w="80" w:type="dxa"/>
              <w:left w:w="90" w:type="dxa"/>
              <w:bottom w:w="80" w:type="dxa"/>
              <w:right w:w="90" w:type="dxa"/>
            </w:tcMar>
            <w:vAlign w:val="center"/>
          </w:tcPr>
          <w:p w14:paraId="3612CC5B" w14:textId="77777777" w:rsidR="005129EA" w:rsidRDefault="00000000">
            <w:pPr>
              <w:spacing w:after="0" w:line="240" w:lineRule="auto"/>
              <w:ind w:firstLine="0"/>
              <w:jc w:val="center"/>
            </w:pPr>
            <w:r>
              <w:rPr>
                <w:b/>
                <w:sz w:val="15"/>
              </w:rPr>
              <w:t>Recorded PCR re-detection after an earlier negative result</w:t>
            </w:r>
          </w:p>
        </w:tc>
      </w:tr>
      <w:tr w:rsidR="005129EA" w14:paraId="44A868D6" w14:textId="77777777" w:rsidTr="0097217A">
        <w:trPr>
          <w:cantSplit/>
          <w:jc w:val="center"/>
        </w:trPr>
        <w:tc>
          <w:tcPr>
            <w:tcW w:w="1584" w:type="dxa"/>
            <w:tcMar>
              <w:top w:w="80" w:type="dxa"/>
              <w:left w:w="90" w:type="dxa"/>
              <w:bottom w:w="80" w:type="dxa"/>
              <w:right w:w="90" w:type="dxa"/>
            </w:tcMar>
            <w:vAlign w:val="center"/>
          </w:tcPr>
          <w:p w14:paraId="6C3579FB" w14:textId="77777777" w:rsidR="005129EA" w:rsidRDefault="00000000">
            <w:pPr>
              <w:spacing w:after="0" w:line="240" w:lineRule="auto"/>
              <w:ind w:firstLine="0"/>
              <w:jc w:val="left"/>
            </w:pPr>
            <w:r>
              <w:rPr>
                <w:sz w:val="15"/>
              </w:rPr>
              <w:t>Pre-treatment</w:t>
            </w:r>
          </w:p>
        </w:tc>
        <w:tc>
          <w:tcPr>
            <w:tcW w:w="792" w:type="dxa"/>
            <w:tcMar>
              <w:top w:w="80" w:type="dxa"/>
              <w:left w:w="90" w:type="dxa"/>
              <w:bottom w:w="80" w:type="dxa"/>
              <w:right w:w="90" w:type="dxa"/>
            </w:tcMar>
            <w:vAlign w:val="center"/>
          </w:tcPr>
          <w:p w14:paraId="5A959156" w14:textId="77777777" w:rsidR="005129EA" w:rsidRDefault="00000000">
            <w:pPr>
              <w:spacing w:after="0" w:line="240" w:lineRule="auto"/>
              <w:ind w:firstLine="0"/>
              <w:jc w:val="center"/>
            </w:pPr>
            <w:r>
              <w:rPr>
                <w:sz w:val="15"/>
              </w:rPr>
              <w:t>D-0</w:t>
            </w:r>
          </w:p>
        </w:tc>
        <w:tc>
          <w:tcPr>
            <w:tcW w:w="1728" w:type="dxa"/>
            <w:tcMar>
              <w:top w:w="80" w:type="dxa"/>
              <w:left w:w="90" w:type="dxa"/>
              <w:bottom w:w="80" w:type="dxa"/>
              <w:right w:w="90" w:type="dxa"/>
            </w:tcMar>
            <w:vAlign w:val="center"/>
          </w:tcPr>
          <w:p w14:paraId="36F57386" w14:textId="77777777" w:rsidR="005129EA" w:rsidRDefault="00000000">
            <w:pPr>
              <w:spacing w:after="0" w:line="240" w:lineRule="auto"/>
              <w:ind w:firstLine="0"/>
              <w:jc w:val="center"/>
            </w:pPr>
            <w:r>
              <w:rPr>
                <w:sz w:val="15"/>
              </w:rPr>
              <w:t>6</w:t>
            </w:r>
          </w:p>
        </w:tc>
        <w:tc>
          <w:tcPr>
            <w:tcW w:w="1656" w:type="dxa"/>
            <w:tcMar>
              <w:top w:w="80" w:type="dxa"/>
              <w:left w:w="90" w:type="dxa"/>
              <w:bottom w:w="80" w:type="dxa"/>
              <w:right w:w="90" w:type="dxa"/>
            </w:tcMar>
            <w:vAlign w:val="center"/>
          </w:tcPr>
          <w:p w14:paraId="015DA903" w14:textId="77777777" w:rsidR="005129EA" w:rsidRDefault="00000000">
            <w:pPr>
              <w:spacing w:after="0" w:line="240" w:lineRule="auto"/>
              <w:ind w:firstLine="0"/>
              <w:jc w:val="center"/>
            </w:pPr>
            <w:r>
              <w:rPr>
                <w:sz w:val="15"/>
              </w:rPr>
              <w:t>6</w:t>
            </w:r>
          </w:p>
        </w:tc>
        <w:tc>
          <w:tcPr>
            <w:tcW w:w="1656" w:type="dxa"/>
            <w:tcMar>
              <w:top w:w="80" w:type="dxa"/>
              <w:left w:w="90" w:type="dxa"/>
              <w:bottom w:w="80" w:type="dxa"/>
              <w:right w:w="90" w:type="dxa"/>
            </w:tcMar>
            <w:vAlign w:val="center"/>
          </w:tcPr>
          <w:p w14:paraId="01297697" w14:textId="77777777" w:rsidR="005129EA" w:rsidRDefault="00000000">
            <w:pPr>
              <w:spacing w:after="0" w:line="240" w:lineRule="auto"/>
              <w:ind w:firstLine="0"/>
              <w:jc w:val="center"/>
            </w:pPr>
            <w:r>
              <w:rPr>
                <w:sz w:val="15"/>
              </w:rPr>
              <w:t>0</w:t>
            </w:r>
          </w:p>
        </w:tc>
        <w:tc>
          <w:tcPr>
            <w:tcW w:w="2232" w:type="dxa"/>
            <w:tcMar>
              <w:top w:w="80" w:type="dxa"/>
              <w:left w:w="90" w:type="dxa"/>
              <w:bottom w:w="80" w:type="dxa"/>
              <w:right w:w="90" w:type="dxa"/>
            </w:tcMar>
            <w:vAlign w:val="center"/>
          </w:tcPr>
          <w:p w14:paraId="2EB72F90" w14:textId="77777777" w:rsidR="005129EA" w:rsidRDefault="00000000">
            <w:pPr>
              <w:spacing w:after="0" w:line="240" w:lineRule="auto"/>
              <w:ind w:firstLine="0"/>
              <w:jc w:val="center"/>
            </w:pPr>
            <w:r>
              <w:rPr>
                <w:sz w:val="15"/>
              </w:rPr>
              <w:t>0</w:t>
            </w:r>
          </w:p>
        </w:tc>
      </w:tr>
      <w:tr w:rsidR="005129EA" w14:paraId="64A2892F" w14:textId="77777777" w:rsidTr="0097217A">
        <w:trPr>
          <w:cantSplit/>
          <w:jc w:val="center"/>
        </w:trPr>
        <w:tc>
          <w:tcPr>
            <w:tcW w:w="1584" w:type="dxa"/>
            <w:tcMar>
              <w:top w:w="80" w:type="dxa"/>
              <w:left w:w="90" w:type="dxa"/>
              <w:bottom w:w="80" w:type="dxa"/>
              <w:right w:w="90" w:type="dxa"/>
            </w:tcMar>
            <w:vAlign w:val="center"/>
          </w:tcPr>
          <w:p w14:paraId="0BCAA9CE" w14:textId="77777777" w:rsidR="005129EA" w:rsidRDefault="00000000">
            <w:pPr>
              <w:spacing w:after="0" w:line="240" w:lineRule="auto"/>
              <w:ind w:firstLine="0"/>
              <w:jc w:val="left"/>
            </w:pPr>
            <w:r>
              <w:rPr>
                <w:sz w:val="15"/>
              </w:rPr>
              <w:t>Post-treatment</w:t>
            </w:r>
          </w:p>
        </w:tc>
        <w:tc>
          <w:tcPr>
            <w:tcW w:w="792" w:type="dxa"/>
            <w:tcMar>
              <w:top w:w="80" w:type="dxa"/>
              <w:left w:w="90" w:type="dxa"/>
              <w:bottom w:w="80" w:type="dxa"/>
              <w:right w:w="90" w:type="dxa"/>
            </w:tcMar>
            <w:vAlign w:val="center"/>
          </w:tcPr>
          <w:p w14:paraId="78E10DB6" w14:textId="77777777" w:rsidR="005129EA" w:rsidRDefault="00000000">
            <w:pPr>
              <w:spacing w:after="0" w:line="240" w:lineRule="auto"/>
              <w:ind w:firstLine="0"/>
              <w:jc w:val="center"/>
            </w:pPr>
            <w:r>
              <w:rPr>
                <w:sz w:val="15"/>
              </w:rPr>
              <w:t>D-3</w:t>
            </w:r>
          </w:p>
        </w:tc>
        <w:tc>
          <w:tcPr>
            <w:tcW w:w="1728" w:type="dxa"/>
            <w:tcMar>
              <w:top w:w="80" w:type="dxa"/>
              <w:left w:w="90" w:type="dxa"/>
              <w:bottom w:w="80" w:type="dxa"/>
              <w:right w:w="90" w:type="dxa"/>
            </w:tcMar>
            <w:vAlign w:val="center"/>
          </w:tcPr>
          <w:p w14:paraId="6CD80310" w14:textId="77777777" w:rsidR="005129EA" w:rsidRDefault="00000000">
            <w:pPr>
              <w:spacing w:after="0" w:line="240" w:lineRule="auto"/>
              <w:ind w:firstLine="0"/>
              <w:jc w:val="center"/>
            </w:pPr>
            <w:r>
              <w:rPr>
                <w:sz w:val="15"/>
              </w:rPr>
              <w:t>6</w:t>
            </w:r>
          </w:p>
        </w:tc>
        <w:tc>
          <w:tcPr>
            <w:tcW w:w="1656" w:type="dxa"/>
            <w:tcMar>
              <w:top w:w="80" w:type="dxa"/>
              <w:left w:w="90" w:type="dxa"/>
              <w:bottom w:w="80" w:type="dxa"/>
              <w:right w:w="90" w:type="dxa"/>
            </w:tcMar>
            <w:vAlign w:val="center"/>
          </w:tcPr>
          <w:p w14:paraId="35FA7812" w14:textId="77777777" w:rsidR="005129EA" w:rsidRDefault="00000000">
            <w:pPr>
              <w:spacing w:after="0" w:line="240" w:lineRule="auto"/>
              <w:ind w:firstLine="0"/>
              <w:jc w:val="center"/>
            </w:pPr>
            <w:r>
              <w:rPr>
                <w:sz w:val="15"/>
              </w:rPr>
              <w:t>4</w:t>
            </w:r>
          </w:p>
        </w:tc>
        <w:tc>
          <w:tcPr>
            <w:tcW w:w="1656" w:type="dxa"/>
            <w:tcMar>
              <w:top w:w="80" w:type="dxa"/>
              <w:left w:w="90" w:type="dxa"/>
              <w:bottom w:w="80" w:type="dxa"/>
              <w:right w:w="90" w:type="dxa"/>
            </w:tcMar>
            <w:vAlign w:val="center"/>
          </w:tcPr>
          <w:p w14:paraId="64DD1CBC" w14:textId="77777777" w:rsidR="005129EA" w:rsidRDefault="00000000">
            <w:pPr>
              <w:spacing w:after="0" w:line="240" w:lineRule="auto"/>
              <w:ind w:firstLine="0"/>
              <w:jc w:val="center"/>
            </w:pPr>
            <w:r>
              <w:rPr>
                <w:sz w:val="15"/>
              </w:rPr>
              <w:t>2</w:t>
            </w:r>
          </w:p>
        </w:tc>
        <w:tc>
          <w:tcPr>
            <w:tcW w:w="2232" w:type="dxa"/>
            <w:tcMar>
              <w:top w:w="80" w:type="dxa"/>
              <w:left w:w="90" w:type="dxa"/>
              <w:bottom w:w="80" w:type="dxa"/>
              <w:right w:w="90" w:type="dxa"/>
            </w:tcMar>
            <w:vAlign w:val="center"/>
          </w:tcPr>
          <w:p w14:paraId="11A43C1B" w14:textId="77777777" w:rsidR="005129EA" w:rsidRDefault="00000000">
            <w:pPr>
              <w:spacing w:after="0" w:line="240" w:lineRule="auto"/>
              <w:ind w:firstLine="0"/>
              <w:jc w:val="center"/>
            </w:pPr>
            <w:r>
              <w:rPr>
                <w:sz w:val="15"/>
              </w:rPr>
              <w:t>0</w:t>
            </w:r>
          </w:p>
        </w:tc>
      </w:tr>
      <w:tr w:rsidR="005129EA" w14:paraId="640A378C" w14:textId="77777777" w:rsidTr="0097217A">
        <w:trPr>
          <w:cantSplit/>
          <w:jc w:val="center"/>
        </w:trPr>
        <w:tc>
          <w:tcPr>
            <w:tcW w:w="1584" w:type="dxa"/>
            <w:tcMar>
              <w:top w:w="80" w:type="dxa"/>
              <w:left w:w="90" w:type="dxa"/>
              <w:bottom w:w="80" w:type="dxa"/>
              <w:right w:w="90" w:type="dxa"/>
            </w:tcMar>
            <w:vAlign w:val="center"/>
          </w:tcPr>
          <w:p w14:paraId="4A75C4D0" w14:textId="77777777" w:rsidR="005129EA" w:rsidRDefault="00000000">
            <w:pPr>
              <w:spacing w:after="0" w:line="240" w:lineRule="auto"/>
              <w:ind w:firstLine="0"/>
              <w:jc w:val="left"/>
            </w:pPr>
            <w:r>
              <w:rPr>
                <w:sz w:val="15"/>
              </w:rPr>
              <w:t>Post-treatment</w:t>
            </w:r>
          </w:p>
        </w:tc>
        <w:tc>
          <w:tcPr>
            <w:tcW w:w="792" w:type="dxa"/>
            <w:tcMar>
              <w:top w:w="80" w:type="dxa"/>
              <w:left w:w="90" w:type="dxa"/>
              <w:bottom w:w="80" w:type="dxa"/>
              <w:right w:w="90" w:type="dxa"/>
            </w:tcMar>
            <w:vAlign w:val="center"/>
          </w:tcPr>
          <w:p w14:paraId="230C3941" w14:textId="77777777" w:rsidR="005129EA" w:rsidRDefault="00000000">
            <w:pPr>
              <w:spacing w:after="0" w:line="240" w:lineRule="auto"/>
              <w:ind w:firstLine="0"/>
              <w:jc w:val="center"/>
            </w:pPr>
            <w:r>
              <w:rPr>
                <w:sz w:val="15"/>
              </w:rPr>
              <w:t>D-7</w:t>
            </w:r>
          </w:p>
        </w:tc>
        <w:tc>
          <w:tcPr>
            <w:tcW w:w="1728" w:type="dxa"/>
            <w:tcMar>
              <w:top w:w="80" w:type="dxa"/>
              <w:left w:w="90" w:type="dxa"/>
              <w:bottom w:w="80" w:type="dxa"/>
              <w:right w:w="90" w:type="dxa"/>
            </w:tcMar>
            <w:vAlign w:val="center"/>
          </w:tcPr>
          <w:p w14:paraId="26FD365A" w14:textId="77777777" w:rsidR="005129EA" w:rsidRDefault="00000000">
            <w:pPr>
              <w:spacing w:after="0" w:line="240" w:lineRule="auto"/>
              <w:ind w:firstLine="0"/>
              <w:jc w:val="center"/>
            </w:pPr>
            <w:r>
              <w:rPr>
                <w:sz w:val="15"/>
              </w:rPr>
              <w:t>6</w:t>
            </w:r>
          </w:p>
        </w:tc>
        <w:tc>
          <w:tcPr>
            <w:tcW w:w="1656" w:type="dxa"/>
            <w:tcMar>
              <w:top w:w="80" w:type="dxa"/>
              <w:left w:w="90" w:type="dxa"/>
              <w:bottom w:w="80" w:type="dxa"/>
              <w:right w:w="90" w:type="dxa"/>
            </w:tcMar>
            <w:vAlign w:val="center"/>
          </w:tcPr>
          <w:p w14:paraId="5B1AD5F6" w14:textId="77777777" w:rsidR="005129EA" w:rsidRDefault="00000000">
            <w:pPr>
              <w:spacing w:after="0" w:line="240" w:lineRule="auto"/>
              <w:ind w:firstLine="0"/>
              <w:jc w:val="center"/>
            </w:pPr>
            <w:r>
              <w:rPr>
                <w:sz w:val="15"/>
              </w:rPr>
              <w:t>2</w:t>
            </w:r>
          </w:p>
        </w:tc>
        <w:tc>
          <w:tcPr>
            <w:tcW w:w="1656" w:type="dxa"/>
            <w:tcMar>
              <w:top w:w="80" w:type="dxa"/>
              <w:left w:w="90" w:type="dxa"/>
              <w:bottom w:w="80" w:type="dxa"/>
              <w:right w:w="90" w:type="dxa"/>
            </w:tcMar>
            <w:vAlign w:val="center"/>
          </w:tcPr>
          <w:p w14:paraId="2F8F3235" w14:textId="77777777" w:rsidR="005129EA" w:rsidRDefault="00000000">
            <w:pPr>
              <w:spacing w:after="0" w:line="240" w:lineRule="auto"/>
              <w:ind w:firstLine="0"/>
              <w:jc w:val="center"/>
            </w:pPr>
            <w:r>
              <w:rPr>
                <w:sz w:val="15"/>
              </w:rPr>
              <w:t>4</w:t>
            </w:r>
          </w:p>
        </w:tc>
        <w:tc>
          <w:tcPr>
            <w:tcW w:w="2232" w:type="dxa"/>
            <w:tcMar>
              <w:top w:w="80" w:type="dxa"/>
              <w:left w:w="90" w:type="dxa"/>
              <w:bottom w:w="80" w:type="dxa"/>
              <w:right w:w="90" w:type="dxa"/>
            </w:tcMar>
            <w:vAlign w:val="center"/>
          </w:tcPr>
          <w:p w14:paraId="2385EE0D" w14:textId="77777777" w:rsidR="005129EA" w:rsidRDefault="00000000">
            <w:pPr>
              <w:spacing w:after="0" w:line="240" w:lineRule="auto"/>
              <w:ind w:firstLine="0"/>
              <w:jc w:val="center"/>
            </w:pPr>
            <w:r>
              <w:rPr>
                <w:sz w:val="15"/>
              </w:rPr>
              <w:t>0</w:t>
            </w:r>
          </w:p>
        </w:tc>
      </w:tr>
      <w:tr w:rsidR="005129EA" w14:paraId="04937644" w14:textId="77777777" w:rsidTr="0097217A">
        <w:trPr>
          <w:cantSplit/>
          <w:jc w:val="center"/>
        </w:trPr>
        <w:tc>
          <w:tcPr>
            <w:tcW w:w="1584" w:type="dxa"/>
            <w:tcMar>
              <w:top w:w="80" w:type="dxa"/>
              <w:left w:w="90" w:type="dxa"/>
              <w:bottom w:w="80" w:type="dxa"/>
              <w:right w:w="90" w:type="dxa"/>
            </w:tcMar>
            <w:vAlign w:val="center"/>
          </w:tcPr>
          <w:p w14:paraId="7701D2FE" w14:textId="77777777" w:rsidR="005129EA" w:rsidRDefault="00000000">
            <w:pPr>
              <w:spacing w:after="0" w:line="240" w:lineRule="auto"/>
              <w:ind w:firstLine="0"/>
              <w:jc w:val="left"/>
            </w:pPr>
            <w:r>
              <w:rPr>
                <w:sz w:val="15"/>
              </w:rPr>
              <w:t>Post-treatment</w:t>
            </w:r>
          </w:p>
        </w:tc>
        <w:tc>
          <w:tcPr>
            <w:tcW w:w="792" w:type="dxa"/>
            <w:tcMar>
              <w:top w:w="80" w:type="dxa"/>
              <w:left w:w="90" w:type="dxa"/>
              <w:bottom w:w="80" w:type="dxa"/>
              <w:right w:w="90" w:type="dxa"/>
            </w:tcMar>
            <w:vAlign w:val="center"/>
          </w:tcPr>
          <w:p w14:paraId="1C085203" w14:textId="77777777" w:rsidR="005129EA" w:rsidRDefault="00000000">
            <w:pPr>
              <w:spacing w:after="0" w:line="240" w:lineRule="auto"/>
              <w:ind w:firstLine="0"/>
              <w:jc w:val="center"/>
            </w:pPr>
            <w:r>
              <w:rPr>
                <w:sz w:val="15"/>
              </w:rPr>
              <w:t>D-14</w:t>
            </w:r>
          </w:p>
        </w:tc>
        <w:tc>
          <w:tcPr>
            <w:tcW w:w="1728" w:type="dxa"/>
            <w:tcMar>
              <w:top w:w="80" w:type="dxa"/>
              <w:left w:w="90" w:type="dxa"/>
              <w:bottom w:w="80" w:type="dxa"/>
              <w:right w:w="90" w:type="dxa"/>
            </w:tcMar>
            <w:vAlign w:val="center"/>
          </w:tcPr>
          <w:p w14:paraId="063EFAC2" w14:textId="77777777" w:rsidR="005129EA" w:rsidRDefault="00000000">
            <w:pPr>
              <w:spacing w:after="0" w:line="240" w:lineRule="auto"/>
              <w:ind w:firstLine="0"/>
              <w:jc w:val="center"/>
            </w:pPr>
            <w:r>
              <w:rPr>
                <w:sz w:val="15"/>
              </w:rPr>
              <w:t>6</w:t>
            </w:r>
          </w:p>
        </w:tc>
        <w:tc>
          <w:tcPr>
            <w:tcW w:w="1656" w:type="dxa"/>
            <w:tcMar>
              <w:top w:w="80" w:type="dxa"/>
              <w:left w:w="90" w:type="dxa"/>
              <w:bottom w:w="80" w:type="dxa"/>
              <w:right w:w="90" w:type="dxa"/>
            </w:tcMar>
            <w:vAlign w:val="center"/>
          </w:tcPr>
          <w:p w14:paraId="3926AAC3" w14:textId="77777777" w:rsidR="005129EA" w:rsidRDefault="00000000">
            <w:pPr>
              <w:spacing w:after="0" w:line="240" w:lineRule="auto"/>
              <w:ind w:firstLine="0"/>
              <w:jc w:val="center"/>
            </w:pPr>
            <w:r>
              <w:rPr>
                <w:sz w:val="15"/>
              </w:rPr>
              <w:t>3</w:t>
            </w:r>
          </w:p>
        </w:tc>
        <w:tc>
          <w:tcPr>
            <w:tcW w:w="1656" w:type="dxa"/>
            <w:tcMar>
              <w:top w:w="80" w:type="dxa"/>
              <w:left w:w="90" w:type="dxa"/>
              <w:bottom w:w="80" w:type="dxa"/>
              <w:right w:w="90" w:type="dxa"/>
            </w:tcMar>
            <w:vAlign w:val="center"/>
          </w:tcPr>
          <w:p w14:paraId="1B71BCDB" w14:textId="77777777" w:rsidR="005129EA" w:rsidRDefault="00000000">
            <w:pPr>
              <w:spacing w:after="0" w:line="240" w:lineRule="auto"/>
              <w:ind w:firstLine="0"/>
              <w:jc w:val="center"/>
            </w:pPr>
            <w:r>
              <w:rPr>
                <w:sz w:val="15"/>
              </w:rPr>
              <w:t>3</w:t>
            </w:r>
          </w:p>
        </w:tc>
        <w:tc>
          <w:tcPr>
            <w:tcW w:w="2232" w:type="dxa"/>
            <w:tcMar>
              <w:top w:w="80" w:type="dxa"/>
              <w:left w:w="90" w:type="dxa"/>
              <w:bottom w:w="80" w:type="dxa"/>
              <w:right w:w="90" w:type="dxa"/>
            </w:tcMar>
            <w:vAlign w:val="center"/>
          </w:tcPr>
          <w:p w14:paraId="7566D201" w14:textId="77777777" w:rsidR="005129EA" w:rsidRDefault="00000000">
            <w:pPr>
              <w:spacing w:after="0" w:line="240" w:lineRule="auto"/>
              <w:ind w:firstLine="0"/>
              <w:jc w:val="center"/>
            </w:pPr>
            <w:r>
              <w:rPr>
                <w:sz w:val="15"/>
              </w:rPr>
              <w:t>1</w:t>
            </w:r>
          </w:p>
        </w:tc>
      </w:tr>
      <w:tr w:rsidR="005129EA" w14:paraId="7F013E9B" w14:textId="77777777" w:rsidTr="0097217A">
        <w:trPr>
          <w:cantSplit/>
          <w:jc w:val="center"/>
        </w:trPr>
        <w:tc>
          <w:tcPr>
            <w:tcW w:w="1584" w:type="dxa"/>
            <w:tcMar>
              <w:top w:w="80" w:type="dxa"/>
              <w:left w:w="90" w:type="dxa"/>
              <w:bottom w:w="80" w:type="dxa"/>
              <w:right w:w="90" w:type="dxa"/>
            </w:tcMar>
            <w:vAlign w:val="center"/>
          </w:tcPr>
          <w:p w14:paraId="282CB298" w14:textId="77777777" w:rsidR="005129EA" w:rsidRDefault="00000000">
            <w:pPr>
              <w:spacing w:after="0" w:line="240" w:lineRule="auto"/>
              <w:ind w:firstLine="0"/>
              <w:jc w:val="left"/>
            </w:pPr>
            <w:r>
              <w:rPr>
                <w:sz w:val="15"/>
              </w:rPr>
              <w:t>Post-treatment</w:t>
            </w:r>
          </w:p>
        </w:tc>
        <w:tc>
          <w:tcPr>
            <w:tcW w:w="792" w:type="dxa"/>
            <w:tcMar>
              <w:top w:w="80" w:type="dxa"/>
              <w:left w:w="90" w:type="dxa"/>
              <w:bottom w:w="80" w:type="dxa"/>
              <w:right w:w="90" w:type="dxa"/>
            </w:tcMar>
            <w:vAlign w:val="center"/>
          </w:tcPr>
          <w:p w14:paraId="55CC4B48" w14:textId="77777777" w:rsidR="005129EA" w:rsidRDefault="00000000">
            <w:pPr>
              <w:spacing w:after="0" w:line="240" w:lineRule="auto"/>
              <w:ind w:firstLine="0"/>
              <w:jc w:val="center"/>
            </w:pPr>
            <w:r>
              <w:rPr>
                <w:sz w:val="15"/>
              </w:rPr>
              <w:t>D-21</w:t>
            </w:r>
          </w:p>
        </w:tc>
        <w:tc>
          <w:tcPr>
            <w:tcW w:w="1728" w:type="dxa"/>
            <w:tcMar>
              <w:top w:w="80" w:type="dxa"/>
              <w:left w:w="90" w:type="dxa"/>
              <w:bottom w:w="80" w:type="dxa"/>
              <w:right w:w="90" w:type="dxa"/>
            </w:tcMar>
            <w:vAlign w:val="center"/>
          </w:tcPr>
          <w:p w14:paraId="1970EFBC" w14:textId="77777777" w:rsidR="005129EA" w:rsidRDefault="00000000">
            <w:pPr>
              <w:spacing w:after="0" w:line="240" w:lineRule="auto"/>
              <w:ind w:firstLine="0"/>
              <w:jc w:val="center"/>
            </w:pPr>
            <w:r>
              <w:rPr>
                <w:sz w:val="15"/>
              </w:rPr>
              <w:t>6</w:t>
            </w:r>
          </w:p>
        </w:tc>
        <w:tc>
          <w:tcPr>
            <w:tcW w:w="1656" w:type="dxa"/>
            <w:tcMar>
              <w:top w:w="80" w:type="dxa"/>
              <w:left w:w="90" w:type="dxa"/>
              <w:bottom w:w="80" w:type="dxa"/>
              <w:right w:w="90" w:type="dxa"/>
            </w:tcMar>
            <w:vAlign w:val="center"/>
          </w:tcPr>
          <w:p w14:paraId="1CA9CC53" w14:textId="77777777" w:rsidR="005129EA" w:rsidRDefault="00000000">
            <w:pPr>
              <w:spacing w:after="0" w:line="240" w:lineRule="auto"/>
              <w:ind w:firstLine="0"/>
              <w:jc w:val="center"/>
            </w:pPr>
            <w:r>
              <w:rPr>
                <w:sz w:val="15"/>
              </w:rPr>
              <w:t>3</w:t>
            </w:r>
          </w:p>
        </w:tc>
        <w:tc>
          <w:tcPr>
            <w:tcW w:w="1656" w:type="dxa"/>
            <w:tcMar>
              <w:top w:w="80" w:type="dxa"/>
              <w:left w:w="90" w:type="dxa"/>
              <w:bottom w:w="80" w:type="dxa"/>
              <w:right w:w="90" w:type="dxa"/>
            </w:tcMar>
            <w:vAlign w:val="center"/>
          </w:tcPr>
          <w:p w14:paraId="39105B81" w14:textId="77777777" w:rsidR="005129EA" w:rsidRDefault="00000000">
            <w:pPr>
              <w:spacing w:after="0" w:line="240" w:lineRule="auto"/>
              <w:ind w:firstLine="0"/>
              <w:jc w:val="center"/>
            </w:pPr>
            <w:r>
              <w:rPr>
                <w:sz w:val="15"/>
              </w:rPr>
              <w:t>3</w:t>
            </w:r>
          </w:p>
        </w:tc>
        <w:tc>
          <w:tcPr>
            <w:tcW w:w="2232" w:type="dxa"/>
            <w:tcMar>
              <w:top w:w="80" w:type="dxa"/>
              <w:left w:w="90" w:type="dxa"/>
              <w:bottom w:w="80" w:type="dxa"/>
              <w:right w:w="90" w:type="dxa"/>
            </w:tcMar>
            <w:vAlign w:val="center"/>
          </w:tcPr>
          <w:p w14:paraId="4393250D" w14:textId="77777777" w:rsidR="005129EA" w:rsidRDefault="00000000">
            <w:pPr>
              <w:spacing w:after="0" w:line="240" w:lineRule="auto"/>
              <w:ind w:firstLine="0"/>
              <w:jc w:val="center"/>
            </w:pPr>
            <w:r>
              <w:rPr>
                <w:sz w:val="15"/>
              </w:rPr>
              <w:t>1</w:t>
            </w:r>
          </w:p>
        </w:tc>
      </w:tr>
    </w:tbl>
    <w:p w14:paraId="6DCBCD2C" w14:textId="77777777" w:rsidR="005129EA" w:rsidRDefault="00000000">
      <w:r>
        <w:t xml:space="preserve">The difference between microscopy and PCR results is biologically and analytically plausible because PCR can detect parasite DNA at lower apparent </w:t>
      </w:r>
      <w:proofErr w:type="spellStart"/>
      <w:r>
        <w:t>parasitaemia</w:t>
      </w:r>
      <w:proofErr w:type="spellEnd"/>
      <w:r>
        <w:t xml:space="preserve"> than direct microscopy. ISG-based PCR has been developed for sensitive detection of </w:t>
      </w:r>
      <w:r>
        <w:rPr>
          <w:i/>
        </w:rPr>
        <w:t xml:space="preserve">T. </w:t>
      </w:r>
      <w:proofErr w:type="spellStart"/>
      <w:r>
        <w:rPr>
          <w:i/>
        </w:rPr>
        <w:t>evansi</w:t>
      </w:r>
      <w:proofErr w:type="spellEnd"/>
      <w:r>
        <w:t xml:space="preserve">, and quantitative molecular methods can further </w:t>
      </w:r>
      <w:proofErr w:type="spellStart"/>
      <w:r>
        <w:t>characterise</w:t>
      </w:r>
      <w:proofErr w:type="spellEnd"/>
      <w:r>
        <w:t xml:space="preserve"> changes in parasite load (</w:t>
      </w:r>
      <w:proofErr w:type="spellStart"/>
      <w:r>
        <w:t>Kankar</w:t>
      </w:r>
      <w:proofErr w:type="spellEnd"/>
      <w:r>
        <w:t xml:space="preserve"> et al., 2016; Kumar et al., 2016). However, endpoint PCR detects DNA rather than parasite viability. Persistent or re-detected PCR positivity may therefore reflect continuing low-level infection, intermittent circulation of parasite DNA, sampling variation, or reinfection under field exposure. The present design cannot distinguish among these explanations.</w:t>
      </w:r>
    </w:p>
    <w:p w14:paraId="3E8AFD68" w14:textId="2DD62DA3" w:rsidR="005129EA" w:rsidRDefault="00000000">
      <w:r>
        <w:t xml:space="preserve">Post-treatment recurrence or reinfection has been reported in equine </w:t>
      </w:r>
      <w:proofErr w:type="spellStart"/>
      <w:r>
        <w:t>trypanosomosis</w:t>
      </w:r>
      <w:proofErr w:type="spellEnd"/>
      <w:r>
        <w:t xml:space="preserve">. Reinfection after treatment with a </w:t>
      </w:r>
      <w:proofErr w:type="spellStart"/>
      <w:r>
        <w:t>quinapyramine</w:t>
      </w:r>
      <w:proofErr w:type="spellEnd"/>
      <w:r>
        <w:t xml:space="preserve"> sulphate-chloride preparation was documented under endemic field conditions in eastern India, and neurological disease has also been observed after apparent clinical recovery in </w:t>
      </w:r>
      <w:proofErr w:type="spellStart"/>
      <w:r>
        <w:t>quinapyramine</w:t>
      </w:r>
      <w:proofErr w:type="spellEnd"/>
      <w:r>
        <w:t xml:space="preserve">-treated horses (Laha &amp; </w:t>
      </w:r>
      <w:proofErr w:type="spellStart"/>
      <w:r>
        <w:t>Sasmal</w:t>
      </w:r>
      <w:proofErr w:type="spellEnd"/>
      <w:r>
        <w:t xml:space="preserve">, 2008; Ranjithkumar et al., 2014). More broadly, available equine treatment studies are heterogeneous, and a recent systematic review found that </w:t>
      </w:r>
      <w:proofErr w:type="spellStart"/>
      <w:r>
        <w:t>favourable</w:t>
      </w:r>
      <w:proofErr w:type="spellEnd"/>
      <w:r>
        <w:t xml:space="preserve"> short-term blood-</w:t>
      </w:r>
      <w:proofErr w:type="spellStart"/>
      <w:r>
        <w:t>parasitaemia</w:t>
      </w:r>
      <w:proofErr w:type="spellEnd"/>
      <w:r>
        <w:t xml:space="preserve"> responses do not exclude later clinical recurrence (Raftery et al., 2026</w:t>
      </w:r>
      <w:r w:rsidR="008A19DF">
        <w:t>b</w:t>
      </w:r>
      <w:r>
        <w:t xml:space="preserve">). Field trials likewise demonstrate the value of molecular follow-up when </w:t>
      </w:r>
      <w:proofErr w:type="spellStart"/>
      <w:r>
        <w:t>trypanocidal</w:t>
      </w:r>
      <w:proofErr w:type="spellEnd"/>
      <w:r>
        <w:t xml:space="preserve"> regimens are evaluated (Raftery et al., 2019). Accordingly, the present results support post-treatment monitoring but do not establish the anatomical source, viability, or drug susceptibility of the detected parasite material. Concerns regarding limited therapeutic options and possible resistance further justify carefully designed comparative studies (Giordani et al., 2016).</w:t>
      </w:r>
    </w:p>
    <w:p w14:paraId="75285253" w14:textId="77777777" w:rsidR="005129EA" w:rsidRDefault="00000000">
      <w:pPr>
        <w:keepNext/>
        <w:ind w:firstLine="0"/>
        <w:jc w:val="center"/>
      </w:pPr>
      <w:r>
        <w:rPr>
          <w:noProof/>
        </w:rPr>
        <w:lastRenderedPageBreak/>
        <w:drawing>
          <wp:inline distT="0" distB="0" distL="0" distR="0" wp14:anchorId="4CF2BEB6" wp14:editId="178B3386">
            <wp:extent cx="5577840" cy="2665600"/>
            <wp:effectExtent l="0" t="0" r="0" b="0"/>
            <wp:docPr id="9" name="Picture 9" descr="Figure 5. Agarose gel electrophoresis showing ISG-PCR amplification of the 196 bp [i]T. evansi[/i]-specific fragment in two naturally infected horses (TI-303 and TI-305) before and after quinapyramine treatment. Lanes 1-5 represent horse TI-303: lane 1, Day 0; lane 2, Day 3; lane 3, Day 7; lane 4, Day 14; and lane 5, Day 21. Lanes 6-10 represent horse TI-305: lane 6, Day 0; lane 7, Day 3; lane 8, Day 7; lane 9, Day 14; and lane 10, Day 21. The 196 bp fragment was observed in lanes 1, 2, and 4 for TI-303 and lanes 6, 7, and 10 for TI-305, showing persistent or intermittently re-detected [i]T. evansi[/i] DNA at the indicated sampling times. Lane 11, positive control; lane 12, 100 bp DNA ladder." title="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8_img1.png"/>
                    <pic:cNvPicPr/>
                  </pic:nvPicPr>
                  <pic:blipFill>
                    <a:blip r:embed="rId16"/>
                    <a:stretch>
                      <a:fillRect/>
                    </a:stretch>
                  </pic:blipFill>
                  <pic:spPr>
                    <a:xfrm>
                      <a:off x="0" y="0"/>
                      <a:ext cx="5577840" cy="2665600"/>
                    </a:xfrm>
                    <a:prstGeom prst="rect">
                      <a:avLst/>
                    </a:prstGeom>
                  </pic:spPr>
                </pic:pic>
              </a:graphicData>
            </a:graphic>
          </wp:inline>
        </w:drawing>
      </w:r>
    </w:p>
    <w:p w14:paraId="26EB284C" w14:textId="77777777" w:rsidR="005129EA" w:rsidRDefault="00000000">
      <w:pPr>
        <w:pStyle w:val="CaptionClean"/>
      </w:pPr>
      <w:r>
        <w:t xml:space="preserve">Figure 5. Agarose gel electrophoresis showing ISG-PCR amplification of the 196 bp </w:t>
      </w:r>
      <w:r>
        <w:rPr>
          <w:i/>
        </w:rPr>
        <w:t xml:space="preserve">T. </w:t>
      </w:r>
      <w:proofErr w:type="spellStart"/>
      <w:r>
        <w:rPr>
          <w:i/>
        </w:rPr>
        <w:t>evansi</w:t>
      </w:r>
      <w:proofErr w:type="spellEnd"/>
      <w:r>
        <w:t xml:space="preserve">-specific fragment in two naturally infected horses (TI-303 and TI-305) before and after </w:t>
      </w:r>
      <w:proofErr w:type="spellStart"/>
      <w:r>
        <w:t>quinapyramine</w:t>
      </w:r>
      <w:proofErr w:type="spellEnd"/>
      <w:r>
        <w:t xml:space="preserve"> treatment. Lanes 1-5 represent horse TI-303: lane 1, Day 0; lane 2, Day 3; lane 3, Day 7; lane 4, Day 14; and lane 5, Day 21. Lanes 6-10 represent horse TI-305: lane 6, Day 0; lane 7, Day 3; lane 8, Day 7; lane 9, Day 14; and lane 10, Day 21. The 196 bp fragment was observed in lanes 1, 2, and 4 for TI-303 and lanes 6, 7, and 10 for TI-305, showing persistent or intermittently re-detected </w:t>
      </w:r>
      <w:r>
        <w:rPr>
          <w:i/>
        </w:rPr>
        <w:t xml:space="preserve">T. </w:t>
      </w:r>
      <w:proofErr w:type="spellStart"/>
      <w:r>
        <w:rPr>
          <w:i/>
        </w:rPr>
        <w:t>evansi</w:t>
      </w:r>
      <w:proofErr w:type="spellEnd"/>
      <w:r>
        <w:t xml:space="preserve"> DNA at the indicated sampling times. Lane 11, positive control; lane 12, 100 bp DNA ladder.</w:t>
      </w:r>
    </w:p>
    <w:p w14:paraId="2675C60D" w14:textId="77777777" w:rsidR="005129EA" w:rsidRDefault="00000000">
      <w:pPr>
        <w:pStyle w:val="Heading2"/>
      </w:pPr>
      <w:r>
        <w:t>3.3 Indirect Antibody-ELISA Findings</w:t>
      </w:r>
    </w:p>
    <w:p w14:paraId="0F3B9D6B" w14:textId="77777777" w:rsidR="005129EA" w:rsidRDefault="00000000">
      <w:r>
        <w:t>Before treatment, the recorded group-level RPP value was 75 in group T-1 and 3 in the comparison group. In treated horses, RPP increased to 90 on Day 3 and 91 on Day 7, then declined to 50 on Day 14 and 51 on Day 21. Comparison-group RPP values remained low throughout follow-up, with recorded values of 3, 5, 8, 11, and 7 on Days 0, 3, 7, 14, and 21, respectively (Table 6; Figure 6). All recorded treatment-group values remained above the 15% seropositivity threshold.</w:t>
      </w:r>
    </w:p>
    <w:p w14:paraId="7D12CA4A" w14:textId="77777777" w:rsidR="005129EA" w:rsidRDefault="00000000">
      <w:r>
        <w:t xml:space="preserve">The early increase and subsequent decline in RPP are compatible with an evolving humoral response after treatment, but group-level ELISA data do not demonstrate immediate parasitological cure. Antibody responses may remain detectable for prolonged periods after treatment. </w:t>
      </w:r>
      <w:r w:rsidR="00F56EC2" w:rsidRPr="00F56EC2">
        <w:t xml:space="preserve">Recent Indian work in equids has also demonstrated broad antibody recognition of immunodominant </w:t>
      </w:r>
      <w:r w:rsidR="00F56EC2" w:rsidRPr="00F56EC2">
        <w:rPr>
          <w:i/>
          <w:iCs/>
        </w:rPr>
        <w:t xml:space="preserve">T. </w:t>
      </w:r>
      <w:proofErr w:type="spellStart"/>
      <w:r w:rsidR="00F56EC2" w:rsidRPr="00F56EC2">
        <w:rPr>
          <w:i/>
          <w:iCs/>
        </w:rPr>
        <w:t>evansi</w:t>
      </w:r>
      <w:proofErr w:type="spellEnd"/>
      <w:r w:rsidR="00F56EC2" w:rsidRPr="00F56EC2">
        <w:t xml:space="preserve"> whole-cell lysate components, supporting the use of ELISA for exposure assessment while confirming that antibody reactivity does not directly demonstrate viable circulating </w:t>
      </w:r>
      <w:proofErr w:type="spellStart"/>
      <w:r w:rsidR="00F56EC2" w:rsidRPr="00F56EC2">
        <w:t>parasitaemia</w:t>
      </w:r>
      <w:proofErr w:type="spellEnd"/>
      <w:r w:rsidR="00F56EC2" w:rsidRPr="00F56EC2">
        <w:t xml:space="preserve"> (Sharma et al., 2022).</w:t>
      </w:r>
      <w:r w:rsidR="00F56EC2">
        <w:t xml:space="preserve"> </w:t>
      </w:r>
      <w:r>
        <w:t>Monzon et al. (2003) observed a progressive decline in antibody levels in treated horses, although seropositivity persisted for months in some animals and increased again in horses with post-treatment recurrence. Similarly, Yadav et al. (2014) documented antibody persistence for several months after treatment in equids. The present 21-day follow-up is therefore too short to expect seronegative conversion or to use ELISA alone as a treatment endpoint.</w:t>
      </w:r>
    </w:p>
    <w:p w14:paraId="54E77078" w14:textId="77777777" w:rsidR="005129EA" w:rsidRDefault="00000000">
      <w:pPr>
        <w:keepNext/>
        <w:spacing w:before="100" w:after="60"/>
        <w:ind w:firstLine="0"/>
      </w:pPr>
      <w:r>
        <w:rPr>
          <w:b/>
          <w:sz w:val="19"/>
        </w:rPr>
        <w:t>Table 6. Recorded group-level relative percentage positivity values obtained by antibody ELISA before and after treatment.</w:t>
      </w:r>
    </w:p>
    <w:tbl>
      <w:tblPr>
        <w:tblW w:w="0" w:type="auto"/>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firstRow="1" w:lastRow="0" w:firstColumn="1" w:lastColumn="0" w:noHBand="0" w:noVBand="1"/>
      </w:tblPr>
      <w:tblGrid>
        <w:gridCol w:w="2232"/>
        <w:gridCol w:w="1152"/>
        <w:gridCol w:w="2880"/>
        <w:gridCol w:w="2880"/>
      </w:tblGrid>
      <w:tr w:rsidR="005129EA" w14:paraId="51972821" w14:textId="77777777" w:rsidTr="0097217A">
        <w:trPr>
          <w:cantSplit/>
          <w:tblHeader/>
          <w:jc w:val="center"/>
        </w:trPr>
        <w:tc>
          <w:tcPr>
            <w:tcW w:w="2232" w:type="dxa"/>
            <w:tcMar>
              <w:top w:w="80" w:type="dxa"/>
              <w:left w:w="90" w:type="dxa"/>
              <w:bottom w:w="80" w:type="dxa"/>
              <w:right w:w="90" w:type="dxa"/>
            </w:tcMar>
            <w:vAlign w:val="center"/>
          </w:tcPr>
          <w:p w14:paraId="4DD28189" w14:textId="77777777" w:rsidR="005129EA" w:rsidRDefault="00000000">
            <w:pPr>
              <w:spacing w:after="0" w:line="240" w:lineRule="auto"/>
              <w:ind w:firstLine="0"/>
              <w:jc w:val="left"/>
            </w:pPr>
            <w:r>
              <w:rPr>
                <w:b/>
                <w:sz w:val="17"/>
              </w:rPr>
              <w:t>Treatment phase</w:t>
            </w:r>
          </w:p>
        </w:tc>
        <w:tc>
          <w:tcPr>
            <w:tcW w:w="1152" w:type="dxa"/>
            <w:tcMar>
              <w:top w:w="80" w:type="dxa"/>
              <w:left w:w="90" w:type="dxa"/>
              <w:bottom w:w="80" w:type="dxa"/>
              <w:right w:w="90" w:type="dxa"/>
            </w:tcMar>
            <w:vAlign w:val="center"/>
          </w:tcPr>
          <w:p w14:paraId="1FC04BB9" w14:textId="77777777" w:rsidR="005129EA" w:rsidRDefault="00000000">
            <w:pPr>
              <w:spacing w:after="0" w:line="240" w:lineRule="auto"/>
              <w:ind w:firstLine="0"/>
              <w:jc w:val="center"/>
            </w:pPr>
            <w:r>
              <w:rPr>
                <w:b/>
                <w:sz w:val="17"/>
              </w:rPr>
              <w:t>Day</w:t>
            </w:r>
          </w:p>
        </w:tc>
        <w:tc>
          <w:tcPr>
            <w:tcW w:w="2880" w:type="dxa"/>
            <w:tcMar>
              <w:top w:w="80" w:type="dxa"/>
              <w:left w:w="90" w:type="dxa"/>
              <w:bottom w:w="80" w:type="dxa"/>
              <w:right w:w="90" w:type="dxa"/>
            </w:tcMar>
            <w:vAlign w:val="center"/>
          </w:tcPr>
          <w:p w14:paraId="2F25C1B7" w14:textId="77777777" w:rsidR="005129EA" w:rsidRDefault="00000000">
            <w:pPr>
              <w:spacing w:after="0" w:line="240" w:lineRule="auto"/>
              <w:ind w:firstLine="0"/>
              <w:jc w:val="center"/>
            </w:pPr>
            <w:r>
              <w:rPr>
                <w:b/>
                <w:sz w:val="17"/>
              </w:rPr>
              <w:t>C (n = 6), recorded RPP</w:t>
            </w:r>
          </w:p>
        </w:tc>
        <w:tc>
          <w:tcPr>
            <w:tcW w:w="2880" w:type="dxa"/>
            <w:tcMar>
              <w:top w:w="80" w:type="dxa"/>
              <w:left w:w="90" w:type="dxa"/>
              <w:bottom w:w="80" w:type="dxa"/>
              <w:right w:w="90" w:type="dxa"/>
            </w:tcMar>
            <w:vAlign w:val="center"/>
          </w:tcPr>
          <w:p w14:paraId="56854439" w14:textId="77777777" w:rsidR="005129EA" w:rsidRDefault="00000000">
            <w:pPr>
              <w:spacing w:after="0" w:line="240" w:lineRule="auto"/>
              <w:ind w:firstLine="0"/>
              <w:jc w:val="center"/>
            </w:pPr>
            <w:r>
              <w:rPr>
                <w:b/>
                <w:sz w:val="17"/>
              </w:rPr>
              <w:t>T-1 (n = 6), recorded RPP</w:t>
            </w:r>
          </w:p>
        </w:tc>
      </w:tr>
      <w:tr w:rsidR="005129EA" w14:paraId="6A82DB3A" w14:textId="77777777" w:rsidTr="0097217A">
        <w:trPr>
          <w:cantSplit/>
          <w:jc w:val="center"/>
        </w:trPr>
        <w:tc>
          <w:tcPr>
            <w:tcW w:w="2232" w:type="dxa"/>
            <w:tcMar>
              <w:top w:w="80" w:type="dxa"/>
              <w:left w:w="90" w:type="dxa"/>
              <w:bottom w:w="80" w:type="dxa"/>
              <w:right w:w="90" w:type="dxa"/>
            </w:tcMar>
            <w:vAlign w:val="center"/>
          </w:tcPr>
          <w:p w14:paraId="2EEB69A2" w14:textId="77777777" w:rsidR="005129EA" w:rsidRDefault="00000000">
            <w:pPr>
              <w:spacing w:after="0" w:line="240" w:lineRule="auto"/>
              <w:ind w:firstLine="0"/>
              <w:jc w:val="left"/>
            </w:pPr>
            <w:r>
              <w:rPr>
                <w:sz w:val="17"/>
              </w:rPr>
              <w:t>Pre-treatment</w:t>
            </w:r>
          </w:p>
        </w:tc>
        <w:tc>
          <w:tcPr>
            <w:tcW w:w="1152" w:type="dxa"/>
            <w:tcMar>
              <w:top w:w="80" w:type="dxa"/>
              <w:left w:w="90" w:type="dxa"/>
              <w:bottom w:w="80" w:type="dxa"/>
              <w:right w:w="90" w:type="dxa"/>
            </w:tcMar>
            <w:vAlign w:val="center"/>
          </w:tcPr>
          <w:p w14:paraId="1840380E" w14:textId="77777777" w:rsidR="005129EA" w:rsidRDefault="00000000">
            <w:pPr>
              <w:spacing w:after="0" w:line="240" w:lineRule="auto"/>
              <w:ind w:firstLine="0"/>
              <w:jc w:val="center"/>
            </w:pPr>
            <w:r>
              <w:rPr>
                <w:sz w:val="17"/>
              </w:rPr>
              <w:t>D-0</w:t>
            </w:r>
          </w:p>
        </w:tc>
        <w:tc>
          <w:tcPr>
            <w:tcW w:w="2880" w:type="dxa"/>
            <w:tcMar>
              <w:top w:w="80" w:type="dxa"/>
              <w:left w:w="90" w:type="dxa"/>
              <w:bottom w:w="80" w:type="dxa"/>
              <w:right w:w="90" w:type="dxa"/>
            </w:tcMar>
            <w:vAlign w:val="center"/>
          </w:tcPr>
          <w:p w14:paraId="72B34082" w14:textId="77777777" w:rsidR="005129EA" w:rsidRDefault="00000000">
            <w:pPr>
              <w:spacing w:after="0" w:line="240" w:lineRule="auto"/>
              <w:ind w:firstLine="0"/>
              <w:jc w:val="center"/>
            </w:pPr>
            <w:r>
              <w:rPr>
                <w:sz w:val="17"/>
              </w:rPr>
              <w:t>3</w:t>
            </w:r>
          </w:p>
        </w:tc>
        <w:tc>
          <w:tcPr>
            <w:tcW w:w="2880" w:type="dxa"/>
            <w:tcMar>
              <w:top w:w="80" w:type="dxa"/>
              <w:left w:w="90" w:type="dxa"/>
              <w:bottom w:w="80" w:type="dxa"/>
              <w:right w:w="90" w:type="dxa"/>
            </w:tcMar>
            <w:vAlign w:val="center"/>
          </w:tcPr>
          <w:p w14:paraId="61BEA9BE" w14:textId="77777777" w:rsidR="005129EA" w:rsidRDefault="00000000">
            <w:pPr>
              <w:spacing w:after="0" w:line="240" w:lineRule="auto"/>
              <w:ind w:firstLine="0"/>
              <w:jc w:val="center"/>
            </w:pPr>
            <w:r>
              <w:rPr>
                <w:sz w:val="17"/>
              </w:rPr>
              <w:t>75</w:t>
            </w:r>
          </w:p>
        </w:tc>
      </w:tr>
      <w:tr w:rsidR="005129EA" w14:paraId="0927D472" w14:textId="77777777" w:rsidTr="0097217A">
        <w:trPr>
          <w:cantSplit/>
          <w:jc w:val="center"/>
        </w:trPr>
        <w:tc>
          <w:tcPr>
            <w:tcW w:w="2232" w:type="dxa"/>
            <w:tcMar>
              <w:top w:w="80" w:type="dxa"/>
              <w:left w:w="90" w:type="dxa"/>
              <w:bottom w:w="80" w:type="dxa"/>
              <w:right w:w="90" w:type="dxa"/>
            </w:tcMar>
            <w:vAlign w:val="center"/>
          </w:tcPr>
          <w:p w14:paraId="39212DEA" w14:textId="77777777" w:rsidR="005129EA" w:rsidRDefault="00000000">
            <w:pPr>
              <w:spacing w:after="0" w:line="240" w:lineRule="auto"/>
              <w:ind w:firstLine="0"/>
              <w:jc w:val="left"/>
            </w:pPr>
            <w:r>
              <w:rPr>
                <w:sz w:val="17"/>
              </w:rPr>
              <w:t>Post-treatment</w:t>
            </w:r>
          </w:p>
        </w:tc>
        <w:tc>
          <w:tcPr>
            <w:tcW w:w="1152" w:type="dxa"/>
            <w:tcMar>
              <w:top w:w="80" w:type="dxa"/>
              <w:left w:w="90" w:type="dxa"/>
              <w:bottom w:w="80" w:type="dxa"/>
              <w:right w:w="90" w:type="dxa"/>
            </w:tcMar>
            <w:vAlign w:val="center"/>
          </w:tcPr>
          <w:p w14:paraId="48EB4EC9" w14:textId="77777777" w:rsidR="005129EA" w:rsidRDefault="00000000">
            <w:pPr>
              <w:spacing w:after="0" w:line="240" w:lineRule="auto"/>
              <w:ind w:firstLine="0"/>
              <w:jc w:val="center"/>
            </w:pPr>
            <w:r>
              <w:rPr>
                <w:sz w:val="17"/>
              </w:rPr>
              <w:t>D-3</w:t>
            </w:r>
          </w:p>
        </w:tc>
        <w:tc>
          <w:tcPr>
            <w:tcW w:w="2880" w:type="dxa"/>
            <w:tcMar>
              <w:top w:w="80" w:type="dxa"/>
              <w:left w:w="90" w:type="dxa"/>
              <w:bottom w:w="80" w:type="dxa"/>
              <w:right w:w="90" w:type="dxa"/>
            </w:tcMar>
            <w:vAlign w:val="center"/>
          </w:tcPr>
          <w:p w14:paraId="063A5AA0" w14:textId="77777777" w:rsidR="005129EA" w:rsidRDefault="00000000">
            <w:pPr>
              <w:spacing w:after="0" w:line="240" w:lineRule="auto"/>
              <w:ind w:firstLine="0"/>
              <w:jc w:val="center"/>
            </w:pPr>
            <w:r>
              <w:rPr>
                <w:sz w:val="17"/>
              </w:rPr>
              <w:t>5</w:t>
            </w:r>
          </w:p>
        </w:tc>
        <w:tc>
          <w:tcPr>
            <w:tcW w:w="2880" w:type="dxa"/>
            <w:tcMar>
              <w:top w:w="80" w:type="dxa"/>
              <w:left w:w="90" w:type="dxa"/>
              <w:bottom w:w="80" w:type="dxa"/>
              <w:right w:w="90" w:type="dxa"/>
            </w:tcMar>
            <w:vAlign w:val="center"/>
          </w:tcPr>
          <w:p w14:paraId="07B36B4B" w14:textId="77777777" w:rsidR="005129EA" w:rsidRDefault="00000000">
            <w:pPr>
              <w:spacing w:after="0" w:line="240" w:lineRule="auto"/>
              <w:ind w:firstLine="0"/>
              <w:jc w:val="center"/>
            </w:pPr>
            <w:r>
              <w:rPr>
                <w:sz w:val="17"/>
              </w:rPr>
              <w:t>90</w:t>
            </w:r>
          </w:p>
        </w:tc>
      </w:tr>
      <w:tr w:rsidR="005129EA" w14:paraId="0DAB9662" w14:textId="77777777" w:rsidTr="0097217A">
        <w:trPr>
          <w:cantSplit/>
          <w:jc w:val="center"/>
        </w:trPr>
        <w:tc>
          <w:tcPr>
            <w:tcW w:w="2232" w:type="dxa"/>
            <w:tcMar>
              <w:top w:w="80" w:type="dxa"/>
              <w:left w:w="90" w:type="dxa"/>
              <w:bottom w:w="80" w:type="dxa"/>
              <w:right w:w="90" w:type="dxa"/>
            </w:tcMar>
            <w:vAlign w:val="center"/>
          </w:tcPr>
          <w:p w14:paraId="580DD5BB" w14:textId="77777777" w:rsidR="005129EA" w:rsidRDefault="00000000">
            <w:pPr>
              <w:spacing w:after="0" w:line="240" w:lineRule="auto"/>
              <w:ind w:firstLine="0"/>
              <w:jc w:val="left"/>
            </w:pPr>
            <w:r>
              <w:rPr>
                <w:sz w:val="17"/>
              </w:rPr>
              <w:t>Post-treatment</w:t>
            </w:r>
          </w:p>
        </w:tc>
        <w:tc>
          <w:tcPr>
            <w:tcW w:w="1152" w:type="dxa"/>
            <w:tcMar>
              <w:top w:w="80" w:type="dxa"/>
              <w:left w:w="90" w:type="dxa"/>
              <w:bottom w:w="80" w:type="dxa"/>
              <w:right w:w="90" w:type="dxa"/>
            </w:tcMar>
            <w:vAlign w:val="center"/>
          </w:tcPr>
          <w:p w14:paraId="25CD493E" w14:textId="77777777" w:rsidR="005129EA" w:rsidRDefault="00000000">
            <w:pPr>
              <w:spacing w:after="0" w:line="240" w:lineRule="auto"/>
              <w:ind w:firstLine="0"/>
              <w:jc w:val="center"/>
            </w:pPr>
            <w:r>
              <w:rPr>
                <w:sz w:val="17"/>
              </w:rPr>
              <w:t>D-7</w:t>
            </w:r>
          </w:p>
        </w:tc>
        <w:tc>
          <w:tcPr>
            <w:tcW w:w="2880" w:type="dxa"/>
            <w:tcMar>
              <w:top w:w="80" w:type="dxa"/>
              <w:left w:w="90" w:type="dxa"/>
              <w:bottom w:w="80" w:type="dxa"/>
              <w:right w:w="90" w:type="dxa"/>
            </w:tcMar>
            <w:vAlign w:val="center"/>
          </w:tcPr>
          <w:p w14:paraId="4F7F8EFD" w14:textId="77777777" w:rsidR="005129EA" w:rsidRDefault="00000000">
            <w:pPr>
              <w:spacing w:after="0" w:line="240" w:lineRule="auto"/>
              <w:ind w:firstLine="0"/>
              <w:jc w:val="center"/>
            </w:pPr>
            <w:r>
              <w:rPr>
                <w:sz w:val="17"/>
              </w:rPr>
              <w:t>8</w:t>
            </w:r>
          </w:p>
        </w:tc>
        <w:tc>
          <w:tcPr>
            <w:tcW w:w="2880" w:type="dxa"/>
            <w:tcMar>
              <w:top w:w="80" w:type="dxa"/>
              <w:left w:w="90" w:type="dxa"/>
              <w:bottom w:w="80" w:type="dxa"/>
              <w:right w:w="90" w:type="dxa"/>
            </w:tcMar>
            <w:vAlign w:val="center"/>
          </w:tcPr>
          <w:p w14:paraId="6B9D53FA" w14:textId="77777777" w:rsidR="005129EA" w:rsidRDefault="00000000">
            <w:pPr>
              <w:spacing w:after="0" w:line="240" w:lineRule="auto"/>
              <w:ind w:firstLine="0"/>
              <w:jc w:val="center"/>
            </w:pPr>
            <w:r>
              <w:rPr>
                <w:sz w:val="17"/>
              </w:rPr>
              <w:t>91</w:t>
            </w:r>
          </w:p>
        </w:tc>
      </w:tr>
      <w:tr w:rsidR="005129EA" w14:paraId="293FD779" w14:textId="77777777" w:rsidTr="0097217A">
        <w:trPr>
          <w:cantSplit/>
          <w:jc w:val="center"/>
        </w:trPr>
        <w:tc>
          <w:tcPr>
            <w:tcW w:w="2232" w:type="dxa"/>
            <w:tcMar>
              <w:top w:w="80" w:type="dxa"/>
              <w:left w:w="90" w:type="dxa"/>
              <w:bottom w:w="80" w:type="dxa"/>
              <w:right w:w="90" w:type="dxa"/>
            </w:tcMar>
            <w:vAlign w:val="center"/>
          </w:tcPr>
          <w:p w14:paraId="0AB4EB1F" w14:textId="77777777" w:rsidR="005129EA" w:rsidRDefault="00000000">
            <w:pPr>
              <w:spacing w:after="0" w:line="240" w:lineRule="auto"/>
              <w:ind w:firstLine="0"/>
              <w:jc w:val="left"/>
            </w:pPr>
            <w:r>
              <w:rPr>
                <w:sz w:val="17"/>
              </w:rPr>
              <w:t>Post-treatment</w:t>
            </w:r>
          </w:p>
        </w:tc>
        <w:tc>
          <w:tcPr>
            <w:tcW w:w="1152" w:type="dxa"/>
            <w:tcMar>
              <w:top w:w="80" w:type="dxa"/>
              <w:left w:w="90" w:type="dxa"/>
              <w:bottom w:w="80" w:type="dxa"/>
              <w:right w:w="90" w:type="dxa"/>
            </w:tcMar>
            <w:vAlign w:val="center"/>
          </w:tcPr>
          <w:p w14:paraId="59ACBC9B" w14:textId="77777777" w:rsidR="005129EA" w:rsidRDefault="00000000">
            <w:pPr>
              <w:spacing w:after="0" w:line="240" w:lineRule="auto"/>
              <w:ind w:firstLine="0"/>
              <w:jc w:val="center"/>
            </w:pPr>
            <w:r>
              <w:rPr>
                <w:sz w:val="17"/>
              </w:rPr>
              <w:t>D-14</w:t>
            </w:r>
          </w:p>
        </w:tc>
        <w:tc>
          <w:tcPr>
            <w:tcW w:w="2880" w:type="dxa"/>
            <w:tcMar>
              <w:top w:w="80" w:type="dxa"/>
              <w:left w:w="90" w:type="dxa"/>
              <w:bottom w:w="80" w:type="dxa"/>
              <w:right w:w="90" w:type="dxa"/>
            </w:tcMar>
            <w:vAlign w:val="center"/>
          </w:tcPr>
          <w:p w14:paraId="52CC76ED" w14:textId="77777777" w:rsidR="005129EA" w:rsidRDefault="00000000">
            <w:pPr>
              <w:spacing w:after="0" w:line="240" w:lineRule="auto"/>
              <w:ind w:firstLine="0"/>
              <w:jc w:val="center"/>
            </w:pPr>
            <w:r>
              <w:rPr>
                <w:sz w:val="17"/>
              </w:rPr>
              <w:t>11</w:t>
            </w:r>
          </w:p>
        </w:tc>
        <w:tc>
          <w:tcPr>
            <w:tcW w:w="2880" w:type="dxa"/>
            <w:tcMar>
              <w:top w:w="80" w:type="dxa"/>
              <w:left w:w="90" w:type="dxa"/>
              <w:bottom w:w="80" w:type="dxa"/>
              <w:right w:w="90" w:type="dxa"/>
            </w:tcMar>
            <w:vAlign w:val="center"/>
          </w:tcPr>
          <w:p w14:paraId="08FB3C2A" w14:textId="77777777" w:rsidR="005129EA" w:rsidRDefault="00000000">
            <w:pPr>
              <w:spacing w:after="0" w:line="240" w:lineRule="auto"/>
              <w:ind w:firstLine="0"/>
              <w:jc w:val="center"/>
            </w:pPr>
            <w:r>
              <w:rPr>
                <w:sz w:val="17"/>
              </w:rPr>
              <w:t>50</w:t>
            </w:r>
          </w:p>
        </w:tc>
      </w:tr>
      <w:tr w:rsidR="005129EA" w14:paraId="0202E2E4" w14:textId="77777777" w:rsidTr="0097217A">
        <w:trPr>
          <w:cantSplit/>
          <w:jc w:val="center"/>
        </w:trPr>
        <w:tc>
          <w:tcPr>
            <w:tcW w:w="2232" w:type="dxa"/>
            <w:tcMar>
              <w:top w:w="80" w:type="dxa"/>
              <w:left w:w="90" w:type="dxa"/>
              <w:bottom w:w="80" w:type="dxa"/>
              <w:right w:w="90" w:type="dxa"/>
            </w:tcMar>
            <w:vAlign w:val="center"/>
          </w:tcPr>
          <w:p w14:paraId="113A09FD" w14:textId="77777777" w:rsidR="005129EA" w:rsidRDefault="00000000">
            <w:pPr>
              <w:spacing w:after="0" w:line="240" w:lineRule="auto"/>
              <w:ind w:firstLine="0"/>
              <w:jc w:val="left"/>
            </w:pPr>
            <w:r>
              <w:rPr>
                <w:sz w:val="17"/>
              </w:rPr>
              <w:t>Post-treatment</w:t>
            </w:r>
          </w:p>
        </w:tc>
        <w:tc>
          <w:tcPr>
            <w:tcW w:w="1152" w:type="dxa"/>
            <w:tcMar>
              <w:top w:w="80" w:type="dxa"/>
              <w:left w:w="90" w:type="dxa"/>
              <w:bottom w:w="80" w:type="dxa"/>
              <w:right w:w="90" w:type="dxa"/>
            </w:tcMar>
            <w:vAlign w:val="center"/>
          </w:tcPr>
          <w:p w14:paraId="7A9DD7E5" w14:textId="77777777" w:rsidR="005129EA" w:rsidRDefault="00000000">
            <w:pPr>
              <w:spacing w:after="0" w:line="240" w:lineRule="auto"/>
              <w:ind w:firstLine="0"/>
              <w:jc w:val="center"/>
            </w:pPr>
            <w:r>
              <w:rPr>
                <w:sz w:val="17"/>
              </w:rPr>
              <w:t>D-21</w:t>
            </w:r>
          </w:p>
        </w:tc>
        <w:tc>
          <w:tcPr>
            <w:tcW w:w="2880" w:type="dxa"/>
            <w:tcMar>
              <w:top w:w="80" w:type="dxa"/>
              <w:left w:w="90" w:type="dxa"/>
              <w:bottom w:w="80" w:type="dxa"/>
              <w:right w:w="90" w:type="dxa"/>
            </w:tcMar>
            <w:vAlign w:val="center"/>
          </w:tcPr>
          <w:p w14:paraId="147053BF" w14:textId="77777777" w:rsidR="005129EA" w:rsidRDefault="00000000">
            <w:pPr>
              <w:spacing w:after="0" w:line="240" w:lineRule="auto"/>
              <w:ind w:firstLine="0"/>
              <w:jc w:val="center"/>
            </w:pPr>
            <w:r>
              <w:rPr>
                <w:sz w:val="17"/>
              </w:rPr>
              <w:t>7</w:t>
            </w:r>
          </w:p>
        </w:tc>
        <w:tc>
          <w:tcPr>
            <w:tcW w:w="2880" w:type="dxa"/>
            <w:tcMar>
              <w:top w:w="80" w:type="dxa"/>
              <w:left w:w="90" w:type="dxa"/>
              <w:bottom w:w="80" w:type="dxa"/>
              <w:right w:w="90" w:type="dxa"/>
            </w:tcMar>
            <w:vAlign w:val="center"/>
          </w:tcPr>
          <w:p w14:paraId="34497B10" w14:textId="77777777" w:rsidR="005129EA" w:rsidRDefault="00000000">
            <w:pPr>
              <w:spacing w:after="0" w:line="240" w:lineRule="auto"/>
              <w:ind w:firstLine="0"/>
              <w:jc w:val="center"/>
            </w:pPr>
            <w:r>
              <w:rPr>
                <w:sz w:val="17"/>
              </w:rPr>
              <w:t>51</w:t>
            </w:r>
          </w:p>
        </w:tc>
      </w:tr>
    </w:tbl>
    <w:p w14:paraId="43C702A5" w14:textId="77777777" w:rsidR="005129EA" w:rsidRDefault="00000000">
      <w:pPr>
        <w:spacing w:before="40" w:after="80"/>
        <w:ind w:firstLine="0"/>
      </w:pPr>
      <w:r>
        <w:rPr>
          <w:i/>
          <w:sz w:val="17"/>
        </w:rPr>
        <w:t>Note.</w:t>
      </w:r>
      <w:r>
        <w:rPr>
          <w:sz w:val="17"/>
        </w:rPr>
        <w:t xml:space="preserve"> Values are the group-level RPP records available for the study; individual-animal dispersion measures were not available.</w:t>
      </w:r>
    </w:p>
    <w:p w14:paraId="44BD482A" w14:textId="77777777" w:rsidR="005129EA" w:rsidRDefault="00000000">
      <w:r>
        <w:lastRenderedPageBreak/>
        <w:t>Taken together, microscopy, PCR, and ELISA provided complementary information. Microscopy indicated suppression below the direct-detection threshold, PCR showed that sustained PCR-negative status was not achieved in all horses, and ELISA documented continuing antibody reactivity. The findings therefore support multimodal post-treatment assessment rather than reliance on a single diagnostic method.</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896"/>
        <w:gridCol w:w="4896"/>
      </w:tblGrid>
      <w:tr w:rsidR="005129EA" w14:paraId="55917DBB" w14:textId="77777777">
        <w:trPr>
          <w:cantSplit/>
          <w:jc w:val="center"/>
        </w:trPr>
        <w:tc>
          <w:tcPr>
            <w:tcW w:w="4896" w:type="dxa"/>
            <w:tcMar>
              <w:top w:w="0" w:type="dxa"/>
              <w:left w:w="50" w:type="dxa"/>
              <w:bottom w:w="0" w:type="dxa"/>
              <w:right w:w="50" w:type="dxa"/>
            </w:tcMar>
            <w:vAlign w:val="center"/>
          </w:tcPr>
          <w:p w14:paraId="2C864408" w14:textId="77777777" w:rsidR="005129EA" w:rsidRDefault="00000000">
            <w:pPr>
              <w:ind w:firstLine="0"/>
              <w:jc w:val="center"/>
            </w:pPr>
            <w:r>
              <w:rPr>
                <w:noProof/>
              </w:rPr>
              <w:drawing>
                <wp:inline distT="0" distB="0" distL="0" distR="0" wp14:anchorId="52445945" wp14:editId="232191BF">
                  <wp:extent cx="2148840" cy="3198601"/>
                  <wp:effectExtent l="0" t="0" r="0" b="0"/>
                  <wp:docPr id="10" name="Picture 10" descr="Figure 6. Representative antibody-ELISA plates for pre-treatment and post-treatment serum samples from the T-1 and C groups. Left panel." title="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9_img1.png"/>
                          <pic:cNvPicPr/>
                        </pic:nvPicPr>
                        <pic:blipFill>
                          <a:blip r:embed="rId17"/>
                          <a:stretch>
                            <a:fillRect/>
                          </a:stretch>
                        </pic:blipFill>
                        <pic:spPr>
                          <a:xfrm>
                            <a:off x="0" y="0"/>
                            <a:ext cx="2148840" cy="3198601"/>
                          </a:xfrm>
                          <a:prstGeom prst="rect">
                            <a:avLst/>
                          </a:prstGeom>
                        </pic:spPr>
                      </pic:pic>
                    </a:graphicData>
                  </a:graphic>
                </wp:inline>
              </w:drawing>
            </w:r>
          </w:p>
        </w:tc>
        <w:tc>
          <w:tcPr>
            <w:tcW w:w="4896" w:type="dxa"/>
            <w:tcMar>
              <w:top w:w="0" w:type="dxa"/>
              <w:left w:w="50" w:type="dxa"/>
              <w:bottom w:w="0" w:type="dxa"/>
              <w:right w:w="50" w:type="dxa"/>
            </w:tcMar>
            <w:vAlign w:val="center"/>
          </w:tcPr>
          <w:p w14:paraId="35ECB967" w14:textId="77777777" w:rsidR="005129EA" w:rsidRDefault="00000000">
            <w:pPr>
              <w:ind w:firstLine="0"/>
              <w:jc w:val="center"/>
            </w:pPr>
            <w:r>
              <w:rPr>
                <w:noProof/>
              </w:rPr>
              <w:drawing>
                <wp:inline distT="0" distB="0" distL="0" distR="0" wp14:anchorId="59E11285" wp14:editId="2A9052C2">
                  <wp:extent cx="2148840" cy="3269401"/>
                  <wp:effectExtent l="0" t="0" r="0" b="0"/>
                  <wp:docPr id="11" name="Picture 11" descr="Figure 6. Representative antibody-ELISA plates for pre-treatment and post-treatment serum samples from the T-1 and C groups. Right panel." title="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9_img2.png"/>
                          <pic:cNvPicPr/>
                        </pic:nvPicPr>
                        <pic:blipFill>
                          <a:blip r:embed="rId18"/>
                          <a:stretch>
                            <a:fillRect/>
                          </a:stretch>
                        </pic:blipFill>
                        <pic:spPr>
                          <a:xfrm>
                            <a:off x="0" y="0"/>
                            <a:ext cx="2148840" cy="3269401"/>
                          </a:xfrm>
                          <a:prstGeom prst="rect">
                            <a:avLst/>
                          </a:prstGeom>
                        </pic:spPr>
                      </pic:pic>
                    </a:graphicData>
                  </a:graphic>
                </wp:inline>
              </w:drawing>
            </w:r>
          </w:p>
        </w:tc>
      </w:tr>
    </w:tbl>
    <w:p w14:paraId="49915C8E" w14:textId="77777777" w:rsidR="005129EA" w:rsidRDefault="00000000">
      <w:pPr>
        <w:pStyle w:val="CaptionClean"/>
      </w:pPr>
      <w:r>
        <w:t>Figure 6. Representative antibody-ELISA plates for pre-treatment and post-treatment serum samples from the T-1 and C groups.</w:t>
      </w:r>
    </w:p>
    <w:p w14:paraId="68988375" w14:textId="77777777" w:rsidR="005129EA" w:rsidRDefault="00000000">
      <w:pPr>
        <w:pStyle w:val="Heading1"/>
      </w:pPr>
      <w:r>
        <w:t>4. Conclusion</w:t>
      </w:r>
    </w:p>
    <w:p w14:paraId="3DF81178" w14:textId="77777777" w:rsidR="005129EA" w:rsidRDefault="00000000">
      <w:proofErr w:type="spellStart"/>
      <w:r>
        <w:t>Quinapyramine</w:t>
      </w:r>
      <w:proofErr w:type="spellEnd"/>
      <w:r>
        <w:t xml:space="preserve"> treatment was </w:t>
      </w:r>
      <w:r>
        <w:rPr>
          <w:highlight w:val="yellow"/>
        </w:rPr>
        <w:t>followed by the disappearance</w:t>
      </w:r>
      <w:r>
        <w:t xml:space="preserve"> of microscopically detectable </w:t>
      </w:r>
      <w:proofErr w:type="spellStart"/>
      <w:r>
        <w:t>parasitaemia</w:t>
      </w:r>
      <w:proofErr w:type="spellEnd"/>
      <w:r>
        <w:t xml:space="preserve"> from Day 3 onward in the six naturally infected horses. </w:t>
      </w:r>
      <w:r>
        <w:rPr>
          <w:highlight w:val="yellow"/>
        </w:rPr>
        <w:t>The number of PCR-negative horses increased to 4/6 on Day 7 but decreased to 3/6 on Days 14 and 21</w:t>
      </w:r>
      <w:r>
        <w:t>. Antibody RPP values remained positive throughout the 21-day period despite declining after Day 7. These findings indicate a rapid short-term reduction below the microscopic detection threshold but incomplete and non-sustained PCR-negative conversion in some animals. ISG-PCR added useful post-treatment information beyond microscopy, while antibody ELISA was most appropriately interpreted as a marker of exposure and humoral response. Longer molecular follow-up and adequately powered comparative studies are required before firm conclusions can be drawn regarding cure rates or optimal treatment regimens.</w:t>
      </w:r>
    </w:p>
    <w:p w14:paraId="70C30CFF" w14:textId="77777777" w:rsidR="005129EA" w:rsidRDefault="00000000">
      <w:pPr>
        <w:pStyle w:val="Heading1"/>
      </w:pPr>
      <w:r>
        <w:t>5. Limitations</w:t>
      </w:r>
    </w:p>
    <w:p w14:paraId="05D67BC4" w14:textId="77777777" w:rsidR="005129EA" w:rsidRDefault="00000000">
      <w:r>
        <w:t xml:space="preserve">This pilot study included only six treated PCR-positive horses, which limits precision and </w:t>
      </w:r>
      <w:proofErr w:type="spellStart"/>
      <w:r>
        <w:t>generalisability</w:t>
      </w:r>
      <w:proofErr w:type="spellEnd"/>
      <w:r>
        <w:t xml:space="preserve">. Follow-up ended at Day 21 and may not have captured delayed recurrence. The study did not include an untreated infected group or an alternative-treatment comparator, and </w:t>
      </w:r>
      <w:proofErr w:type="spellStart"/>
      <w:r>
        <w:t>randomisation</w:t>
      </w:r>
      <w:proofErr w:type="spellEnd"/>
      <w:r>
        <w:t xml:space="preserve"> and blinding were not described. The exact chemical formulation of the commercial preparation could not be independently evaluated beyond the designation documented in the treatment record. Supportive management, when required, may have influenced clinical recovery. Conventional endpoint PCR provided qualitative detection but did not quantify parasite burden or establish parasite viability. Possible tissue persistence, including central nervous system involvement, was not investigated directly. ELISA findings were available as group-level RPP values without individual dispersion, and antibodies may persist after successful treatment. Reinfection could not be excluded under field conditions. Future studies should include larger cohorts, individual longitudinal </w:t>
      </w:r>
      <w:r>
        <w:lastRenderedPageBreak/>
        <w:t xml:space="preserve">datasets, longer follow-up, quantitative molecular assays, clinical and </w:t>
      </w:r>
      <w:proofErr w:type="spellStart"/>
      <w:r>
        <w:t>haematological</w:t>
      </w:r>
      <w:proofErr w:type="spellEnd"/>
      <w:r>
        <w:t xml:space="preserve"> outcomes, and comparative treatment protocols.</w:t>
      </w:r>
    </w:p>
    <w:p w14:paraId="1056BBB0" w14:textId="77777777" w:rsidR="005129EA" w:rsidRDefault="00000000">
      <w:pPr>
        <w:pStyle w:val="Heading1"/>
      </w:pPr>
      <w:r>
        <w:t>Declaration of AI Use</w:t>
      </w:r>
    </w:p>
    <w:p w14:paraId="6A6B0C3A" w14:textId="77777777" w:rsidR="005129EA" w:rsidRDefault="00000000">
      <w:pPr>
        <w:ind w:firstLine="0"/>
      </w:pPr>
      <w:r>
        <w:t>The authors used Grammarly and ChatGPT for grammar checking, language refinement, and reference formatting. These tools were not used as authors and did not replace the intellectual contributions or scholarly judgement of the authors. All AI-assisted outputs were reviewed, revised, and verified by the authors, who accept full responsibility for the accuracy, integrity, and final content of the manuscript.</w:t>
      </w:r>
    </w:p>
    <w:p w14:paraId="23337C62" w14:textId="77777777" w:rsidR="00906FAA" w:rsidRDefault="00906FAA">
      <w:pPr>
        <w:ind w:firstLine="0"/>
      </w:pPr>
    </w:p>
    <w:p w14:paraId="54679C5D" w14:textId="71246B9C" w:rsidR="00906FAA" w:rsidRDefault="00906FAA" w:rsidP="00906FAA">
      <w:pPr>
        <w:ind w:firstLine="0"/>
      </w:pPr>
      <w:r>
        <w:t xml:space="preserve"> Ethical Approval</w:t>
      </w:r>
      <w:r w:rsidR="004E5D1F">
        <w:t xml:space="preserve"> and Consent</w:t>
      </w:r>
    </w:p>
    <w:p w14:paraId="317603DE" w14:textId="25E67AF2" w:rsidR="00906FAA" w:rsidRDefault="00906FAA" w:rsidP="00906FAA">
      <w:pPr>
        <w:ind w:firstLine="0"/>
      </w:pPr>
      <w:r>
        <w:t xml:space="preserve">Prior to commencement of the study, ethical approval was obtained from the Institutional Animal Ethics Committee of Acharya Narendra Deva University of Agriculture and Technology, </w:t>
      </w:r>
      <w:proofErr w:type="spellStart"/>
      <w:r>
        <w:t>Kumarganj</w:t>
      </w:r>
      <w:proofErr w:type="spellEnd"/>
      <w:r>
        <w:t>, Ayodhya, Uttar Pradesh, India (Approval No. IAEC/</w:t>
      </w:r>
      <w:proofErr w:type="spellStart"/>
      <w:r>
        <w:t>CVSc</w:t>
      </w:r>
      <w:proofErr w:type="spellEnd"/>
      <w:r>
        <w:t>/2/P-32/2020/26). The horses were examined and sampled with the informed consent of their owners, and all procedures were undertaken with due consideration for animal welfare.</w:t>
      </w:r>
    </w:p>
    <w:p w14:paraId="27C0FD3D" w14:textId="77777777" w:rsidR="005129EA" w:rsidRDefault="00000000">
      <w:pPr>
        <w:pStyle w:val="Heading1"/>
      </w:pPr>
      <w:r>
        <w:t>Competing Interests</w:t>
      </w:r>
    </w:p>
    <w:p w14:paraId="31BFE3C7" w14:textId="77777777" w:rsidR="005129EA" w:rsidRDefault="00000000">
      <w:pPr>
        <w:ind w:firstLine="0"/>
      </w:pPr>
      <w:r>
        <w:t>The authors declare that they have no known competing financial interests, non-financial interests, or personal relationships that could have appeared to influence the work reported in this paper.</w:t>
      </w:r>
    </w:p>
    <w:p w14:paraId="2992223C" w14:textId="77777777" w:rsidR="005129EA" w:rsidRDefault="00000000">
      <w:pPr>
        <w:pStyle w:val="Heading1"/>
      </w:pPr>
      <w:r>
        <w:t>References</w:t>
      </w:r>
    </w:p>
    <w:p w14:paraId="02AA0DA7" w14:textId="77777777" w:rsidR="008A19DF" w:rsidRPr="008A19DF" w:rsidRDefault="008A19DF" w:rsidP="008A19DF">
      <w:pPr>
        <w:spacing w:before="100" w:beforeAutospacing="1" w:afterAutospacing="1" w:line="240" w:lineRule="auto"/>
        <w:ind w:firstLine="0"/>
        <w:jc w:val="left"/>
        <w:rPr>
          <w:rFonts w:cs="Times New Roman"/>
          <w:sz w:val="24"/>
          <w:szCs w:val="24"/>
        </w:rPr>
      </w:pPr>
      <w:r w:rsidRPr="008A19DF">
        <w:rPr>
          <w:rFonts w:cs="Times New Roman"/>
          <w:sz w:val="24"/>
          <w:szCs w:val="24"/>
        </w:rPr>
        <w:t xml:space="preserve">Aregawi, W. G., Agga, G. E., Abdi, R. D., &amp; Büscher, P. (2019). Systematic review and meta-analysis on the global distribution, host range, and prevalence of </w:t>
      </w:r>
      <w:r w:rsidRPr="008A19DF">
        <w:rPr>
          <w:rFonts w:cs="Times New Roman"/>
          <w:i/>
          <w:iCs/>
          <w:sz w:val="24"/>
          <w:szCs w:val="24"/>
        </w:rPr>
        <w:t xml:space="preserve">Trypanosoma </w:t>
      </w:r>
      <w:proofErr w:type="spellStart"/>
      <w:r w:rsidRPr="008A19DF">
        <w:rPr>
          <w:rFonts w:cs="Times New Roman"/>
          <w:i/>
          <w:iCs/>
          <w:sz w:val="24"/>
          <w:szCs w:val="24"/>
        </w:rPr>
        <w:t>evansi</w:t>
      </w:r>
      <w:proofErr w:type="spellEnd"/>
      <w:r w:rsidRPr="008A19DF">
        <w:rPr>
          <w:rFonts w:cs="Times New Roman"/>
          <w:sz w:val="24"/>
          <w:szCs w:val="24"/>
        </w:rPr>
        <w:t xml:space="preserve">. </w:t>
      </w:r>
      <w:r w:rsidRPr="008A19DF">
        <w:rPr>
          <w:rFonts w:cs="Times New Roman"/>
          <w:i/>
          <w:iCs/>
          <w:sz w:val="24"/>
          <w:szCs w:val="24"/>
        </w:rPr>
        <w:t>Parasites &amp; Vectors, 12</w:t>
      </w:r>
      <w:r w:rsidRPr="008A19DF">
        <w:rPr>
          <w:rFonts w:cs="Times New Roman"/>
          <w:sz w:val="24"/>
          <w:szCs w:val="24"/>
        </w:rPr>
        <w:t xml:space="preserve">(1), Article 67. </w:t>
      </w:r>
      <w:hyperlink r:id="rId19" w:history="1">
        <w:r w:rsidRPr="008A19DF">
          <w:rPr>
            <w:rFonts w:cs="Times New Roman"/>
            <w:color w:val="0000FF"/>
            <w:sz w:val="24"/>
            <w:szCs w:val="24"/>
            <w:u w:val="single"/>
          </w:rPr>
          <w:t>https://doi.org/10.1186/s13071-019-3311-4</w:t>
        </w:r>
      </w:hyperlink>
    </w:p>
    <w:p w14:paraId="50DA82E1" w14:textId="77777777" w:rsidR="008A19DF" w:rsidRPr="008A19DF" w:rsidRDefault="008A19DF" w:rsidP="008A19DF">
      <w:pPr>
        <w:spacing w:before="100" w:beforeAutospacing="1" w:afterAutospacing="1" w:line="240" w:lineRule="auto"/>
        <w:ind w:firstLine="0"/>
        <w:jc w:val="left"/>
        <w:rPr>
          <w:rFonts w:cs="Times New Roman"/>
          <w:sz w:val="24"/>
          <w:szCs w:val="24"/>
        </w:rPr>
      </w:pPr>
      <w:r w:rsidRPr="008A19DF">
        <w:rPr>
          <w:rFonts w:cs="Times New Roman"/>
          <w:sz w:val="24"/>
          <w:szCs w:val="24"/>
        </w:rPr>
        <w:t xml:space="preserve">Bossard, G., &amp; </w:t>
      </w:r>
      <w:proofErr w:type="spellStart"/>
      <w:r w:rsidRPr="008A19DF">
        <w:rPr>
          <w:rFonts w:cs="Times New Roman"/>
          <w:sz w:val="24"/>
          <w:szCs w:val="24"/>
        </w:rPr>
        <w:t>Desquesnes</w:t>
      </w:r>
      <w:proofErr w:type="spellEnd"/>
      <w:r w:rsidRPr="008A19DF">
        <w:rPr>
          <w:rFonts w:cs="Times New Roman"/>
          <w:sz w:val="24"/>
          <w:szCs w:val="24"/>
        </w:rPr>
        <w:t xml:space="preserve">, M. (2023). Validation of in vitro-produced and freeze-dried whole-cell lysate antigens for ELISA </w:t>
      </w:r>
      <w:r w:rsidRPr="008A19DF">
        <w:rPr>
          <w:rFonts w:cs="Times New Roman"/>
          <w:i/>
          <w:iCs/>
          <w:sz w:val="24"/>
          <w:szCs w:val="24"/>
        </w:rPr>
        <w:t xml:space="preserve">Trypanosoma </w:t>
      </w:r>
      <w:proofErr w:type="spellStart"/>
      <w:r w:rsidRPr="008A19DF">
        <w:rPr>
          <w:rFonts w:cs="Times New Roman"/>
          <w:i/>
          <w:iCs/>
          <w:sz w:val="24"/>
          <w:szCs w:val="24"/>
        </w:rPr>
        <w:t>evansi</w:t>
      </w:r>
      <w:proofErr w:type="spellEnd"/>
      <w:r w:rsidRPr="008A19DF">
        <w:rPr>
          <w:rFonts w:cs="Times New Roman"/>
          <w:sz w:val="24"/>
          <w:szCs w:val="24"/>
        </w:rPr>
        <w:t xml:space="preserve"> antibody detection in camels. </w:t>
      </w:r>
      <w:r w:rsidRPr="008A19DF">
        <w:rPr>
          <w:rFonts w:cs="Times New Roman"/>
          <w:i/>
          <w:iCs/>
          <w:sz w:val="24"/>
          <w:szCs w:val="24"/>
        </w:rPr>
        <w:t>Veterinary Parasitology, 320</w:t>
      </w:r>
      <w:r w:rsidRPr="008A19DF">
        <w:rPr>
          <w:rFonts w:cs="Times New Roman"/>
          <w:sz w:val="24"/>
          <w:szCs w:val="24"/>
        </w:rPr>
        <w:t xml:space="preserve">, Article 109980. </w:t>
      </w:r>
      <w:hyperlink r:id="rId20" w:history="1">
        <w:r w:rsidRPr="008A19DF">
          <w:rPr>
            <w:rFonts w:cs="Times New Roman"/>
            <w:color w:val="0000FF"/>
            <w:sz w:val="24"/>
            <w:szCs w:val="24"/>
            <w:u w:val="single"/>
          </w:rPr>
          <w:t>https://doi.org/10.1016/j.vetpar.2023.109980</w:t>
        </w:r>
      </w:hyperlink>
    </w:p>
    <w:p w14:paraId="69DBC8F4" w14:textId="77777777" w:rsidR="008A19DF" w:rsidRPr="008A19DF" w:rsidRDefault="008A19DF" w:rsidP="008A19DF">
      <w:pPr>
        <w:spacing w:before="100" w:beforeAutospacing="1" w:afterAutospacing="1" w:line="240" w:lineRule="auto"/>
        <w:ind w:firstLine="0"/>
        <w:jc w:val="left"/>
        <w:rPr>
          <w:rFonts w:cs="Times New Roman"/>
          <w:sz w:val="24"/>
          <w:szCs w:val="24"/>
        </w:rPr>
      </w:pPr>
      <w:r w:rsidRPr="008A19DF">
        <w:rPr>
          <w:rFonts w:cs="Times New Roman"/>
          <w:sz w:val="24"/>
          <w:szCs w:val="24"/>
        </w:rPr>
        <w:t xml:space="preserve">Büscher, P., Gonzatti, M. I., Hébert, L., Inoue, N., Pascucci, I., Schnaufer, A., Suganuma, K., </w:t>
      </w:r>
      <w:proofErr w:type="spellStart"/>
      <w:r w:rsidRPr="008A19DF">
        <w:rPr>
          <w:rFonts w:cs="Times New Roman"/>
          <w:sz w:val="24"/>
          <w:szCs w:val="24"/>
        </w:rPr>
        <w:t>Touratier</w:t>
      </w:r>
      <w:proofErr w:type="spellEnd"/>
      <w:r w:rsidRPr="008A19DF">
        <w:rPr>
          <w:rFonts w:cs="Times New Roman"/>
          <w:sz w:val="24"/>
          <w:szCs w:val="24"/>
        </w:rPr>
        <w:t xml:space="preserve">, L., &amp; Van Reet, N. (2019). Equine </w:t>
      </w:r>
      <w:proofErr w:type="spellStart"/>
      <w:r w:rsidRPr="008A19DF">
        <w:rPr>
          <w:rFonts w:cs="Times New Roman"/>
          <w:sz w:val="24"/>
          <w:szCs w:val="24"/>
        </w:rPr>
        <w:t>trypanosomosis</w:t>
      </w:r>
      <w:proofErr w:type="spellEnd"/>
      <w:r w:rsidRPr="008A19DF">
        <w:rPr>
          <w:rFonts w:cs="Times New Roman"/>
          <w:sz w:val="24"/>
          <w:szCs w:val="24"/>
        </w:rPr>
        <w:t xml:space="preserve">: Enigmas and diagnostic challenges. </w:t>
      </w:r>
      <w:r w:rsidRPr="008A19DF">
        <w:rPr>
          <w:rFonts w:cs="Times New Roman"/>
          <w:i/>
          <w:iCs/>
          <w:sz w:val="24"/>
          <w:szCs w:val="24"/>
        </w:rPr>
        <w:t>Parasites &amp; Vectors, 12</w:t>
      </w:r>
      <w:r w:rsidRPr="008A19DF">
        <w:rPr>
          <w:rFonts w:cs="Times New Roman"/>
          <w:sz w:val="24"/>
          <w:szCs w:val="24"/>
        </w:rPr>
        <w:t xml:space="preserve">(1), Article 234. </w:t>
      </w:r>
      <w:hyperlink r:id="rId21" w:history="1">
        <w:r w:rsidRPr="008A19DF">
          <w:rPr>
            <w:rFonts w:cs="Times New Roman"/>
            <w:color w:val="0000FF"/>
            <w:sz w:val="24"/>
            <w:szCs w:val="24"/>
            <w:u w:val="single"/>
          </w:rPr>
          <w:t>https://doi.org/10.1186/s13071-019-3484-x</w:t>
        </w:r>
      </w:hyperlink>
    </w:p>
    <w:p w14:paraId="2FB939F8" w14:textId="77777777" w:rsidR="008A19DF" w:rsidRPr="008A19DF" w:rsidRDefault="008A19DF" w:rsidP="008A19DF">
      <w:pPr>
        <w:spacing w:before="100" w:beforeAutospacing="1" w:afterAutospacing="1" w:line="240" w:lineRule="auto"/>
        <w:ind w:firstLine="0"/>
        <w:jc w:val="left"/>
        <w:rPr>
          <w:rFonts w:cs="Times New Roman"/>
          <w:sz w:val="24"/>
          <w:szCs w:val="24"/>
        </w:rPr>
      </w:pPr>
      <w:r w:rsidRPr="008A19DF">
        <w:rPr>
          <w:rFonts w:cs="Times New Roman"/>
          <w:sz w:val="24"/>
          <w:szCs w:val="24"/>
        </w:rPr>
        <w:t xml:space="preserve">Carroll, C. L., &amp; Huntington, P. J. (1988). Body condition scoring and weight estimation of horses. </w:t>
      </w:r>
      <w:r w:rsidRPr="008A19DF">
        <w:rPr>
          <w:rFonts w:cs="Times New Roman"/>
          <w:i/>
          <w:iCs/>
          <w:sz w:val="24"/>
          <w:szCs w:val="24"/>
        </w:rPr>
        <w:t>Equine Veterinary Journal, 20</w:t>
      </w:r>
      <w:r w:rsidRPr="008A19DF">
        <w:rPr>
          <w:rFonts w:cs="Times New Roman"/>
          <w:sz w:val="24"/>
          <w:szCs w:val="24"/>
        </w:rPr>
        <w:t xml:space="preserve">(1), 41–45. </w:t>
      </w:r>
      <w:hyperlink r:id="rId22" w:history="1">
        <w:r w:rsidRPr="008A19DF">
          <w:rPr>
            <w:rFonts w:cs="Times New Roman"/>
            <w:color w:val="0000FF"/>
            <w:sz w:val="24"/>
            <w:szCs w:val="24"/>
            <w:u w:val="single"/>
          </w:rPr>
          <w:t>https://doi.org/10.1111/j.2042-3306.1988.tb01451.x</w:t>
        </w:r>
      </w:hyperlink>
    </w:p>
    <w:p w14:paraId="6FF1A633" w14:textId="16DB671F" w:rsidR="008A19DF" w:rsidRPr="008A19DF" w:rsidRDefault="008A19DF" w:rsidP="008A19DF">
      <w:pPr>
        <w:spacing w:before="100" w:beforeAutospacing="1" w:afterAutospacing="1" w:line="240" w:lineRule="auto"/>
        <w:ind w:firstLine="0"/>
        <w:jc w:val="left"/>
        <w:rPr>
          <w:rFonts w:cs="Times New Roman"/>
          <w:sz w:val="24"/>
          <w:szCs w:val="24"/>
        </w:rPr>
      </w:pPr>
      <w:proofErr w:type="spellStart"/>
      <w:r w:rsidRPr="008A19DF">
        <w:rPr>
          <w:rFonts w:cs="Times New Roman"/>
          <w:sz w:val="24"/>
          <w:szCs w:val="24"/>
        </w:rPr>
        <w:t>Desquesnes</w:t>
      </w:r>
      <w:proofErr w:type="spellEnd"/>
      <w:r w:rsidRPr="008A19DF">
        <w:rPr>
          <w:rFonts w:cs="Times New Roman"/>
          <w:sz w:val="24"/>
          <w:szCs w:val="24"/>
        </w:rPr>
        <w:t xml:space="preserve">, M., </w:t>
      </w:r>
      <w:proofErr w:type="spellStart"/>
      <w:r w:rsidRPr="008A19DF">
        <w:rPr>
          <w:rFonts w:cs="Times New Roman"/>
          <w:sz w:val="24"/>
          <w:szCs w:val="24"/>
        </w:rPr>
        <w:t>Dargantes</w:t>
      </w:r>
      <w:proofErr w:type="spellEnd"/>
      <w:r w:rsidRPr="008A19DF">
        <w:rPr>
          <w:rFonts w:cs="Times New Roman"/>
          <w:sz w:val="24"/>
          <w:szCs w:val="24"/>
        </w:rPr>
        <w:t xml:space="preserve">, A., Lai, D.-H., Lun, Z.-R., </w:t>
      </w:r>
      <w:proofErr w:type="spellStart"/>
      <w:r w:rsidRPr="008A19DF">
        <w:rPr>
          <w:rFonts w:cs="Times New Roman"/>
          <w:sz w:val="24"/>
          <w:szCs w:val="24"/>
        </w:rPr>
        <w:t>Holzmuller</w:t>
      </w:r>
      <w:proofErr w:type="spellEnd"/>
      <w:r w:rsidRPr="008A19DF">
        <w:rPr>
          <w:rFonts w:cs="Times New Roman"/>
          <w:sz w:val="24"/>
          <w:szCs w:val="24"/>
        </w:rPr>
        <w:t xml:space="preserve">, P., &amp; </w:t>
      </w:r>
      <w:proofErr w:type="spellStart"/>
      <w:r w:rsidRPr="008A19DF">
        <w:rPr>
          <w:rFonts w:cs="Times New Roman"/>
          <w:sz w:val="24"/>
          <w:szCs w:val="24"/>
        </w:rPr>
        <w:t>Jittapalapong</w:t>
      </w:r>
      <w:proofErr w:type="spellEnd"/>
      <w:r w:rsidRPr="008A19DF">
        <w:rPr>
          <w:rFonts w:cs="Times New Roman"/>
          <w:sz w:val="24"/>
          <w:szCs w:val="24"/>
        </w:rPr>
        <w:t>, S. (2013</w:t>
      </w:r>
      <w:r>
        <w:rPr>
          <w:rFonts w:cs="Times New Roman"/>
          <w:sz w:val="24"/>
          <w:szCs w:val="24"/>
        </w:rPr>
        <w:t>a</w:t>
      </w:r>
      <w:r w:rsidRPr="008A19DF">
        <w:rPr>
          <w:rFonts w:cs="Times New Roman"/>
          <w:sz w:val="24"/>
          <w:szCs w:val="24"/>
        </w:rPr>
        <w:t xml:space="preserve">). </w:t>
      </w:r>
      <w:r w:rsidRPr="008A19DF">
        <w:rPr>
          <w:rFonts w:cs="Times New Roman"/>
          <w:i/>
          <w:iCs/>
          <w:sz w:val="24"/>
          <w:szCs w:val="24"/>
        </w:rPr>
        <w:t xml:space="preserve">Trypanosoma </w:t>
      </w:r>
      <w:proofErr w:type="spellStart"/>
      <w:r w:rsidRPr="008A19DF">
        <w:rPr>
          <w:rFonts w:cs="Times New Roman"/>
          <w:i/>
          <w:iCs/>
          <w:sz w:val="24"/>
          <w:szCs w:val="24"/>
        </w:rPr>
        <w:t>evansi</w:t>
      </w:r>
      <w:proofErr w:type="spellEnd"/>
      <w:r w:rsidRPr="008A19DF">
        <w:rPr>
          <w:rFonts w:cs="Times New Roman"/>
          <w:sz w:val="24"/>
          <w:szCs w:val="24"/>
        </w:rPr>
        <w:t xml:space="preserve"> and surra: A review and perspectives on transmission, epidemiology and control, impact, and zoonotic aspects. </w:t>
      </w:r>
      <w:r w:rsidRPr="008A19DF">
        <w:rPr>
          <w:rFonts w:cs="Times New Roman"/>
          <w:i/>
          <w:iCs/>
          <w:sz w:val="24"/>
          <w:szCs w:val="24"/>
        </w:rPr>
        <w:t>BioMed Research International, 2013</w:t>
      </w:r>
      <w:r w:rsidRPr="008A19DF">
        <w:rPr>
          <w:rFonts w:cs="Times New Roman"/>
          <w:sz w:val="24"/>
          <w:szCs w:val="24"/>
        </w:rPr>
        <w:t xml:space="preserve">, Article 321237. </w:t>
      </w:r>
      <w:hyperlink r:id="rId23" w:history="1">
        <w:r w:rsidRPr="008A19DF">
          <w:rPr>
            <w:rFonts w:cs="Times New Roman"/>
            <w:color w:val="0000FF"/>
            <w:sz w:val="24"/>
            <w:szCs w:val="24"/>
            <w:u w:val="single"/>
          </w:rPr>
          <w:t>https://doi.org/10.1155/2013/321237</w:t>
        </w:r>
      </w:hyperlink>
      <w:r w:rsidRPr="008A19DF">
        <w:rPr>
          <w:rFonts w:cs="Times New Roman"/>
          <w:sz w:val="24"/>
          <w:szCs w:val="24"/>
        </w:rPr>
        <w:br/>
      </w:r>
    </w:p>
    <w:p w14:paraId="2481DAD4" w14:textId="77777777" w:rsidR="008A19DF" w:rsidRPr="008A19DF" w:rsidRDefault="008A19DF" w:rsidP="008A19DF">
      <w:pPr>
        <w:spacing w:before="100" w:beforeAutospacing="1" w:afterAutospacing="1" w:line="240" w:lineRule="auto"/>
        <w:ind w:firstLine="0"/>
        <w:jc w:val="left"/>
        <w:rPr>
          <w:rFonts w:cs="Times New Roman"/>
          <w:sz w:val="24"/>
          <w:szCs w:val="24"/>
        </w:rPr>
      </w:pPr>
      <w:proofErr w:type="spellStart"/>
      <w:r w:rsidRPr="008A19DF">
        <w:rPr>
          <w:rFonts w:cs="Times New Roman"/>
          <w:sz w:val="24"/>
          <w:szCs w:val="24"/>
        </w:rPr>
        <w:t>Desquesnes</w:t>
      </w:r>
      <w:proofErr w:type="spellEnd"/>
      <w:r w:rsidRPr="008A19DF">
        <w:rPr>
          <w:rFonts w:cs="Times New Roman"/>
          <w:sz w:val="24"/>
          <w:szCs w:val="24"/>
        </w:rPr>
        <w:t xml:space="preserve">, M., Gonzatti, M., </w:t>
      </w:r>
      <w:proofErr w:type="spellStart"/>
      <w:r w:rsidRPr="008A19DF">
        <w:rPr>
          <w:rFonts w:cs="Times New Roman"/>
          <w:sz w:val="24"/>
          <w:szCs w:val="24"/>
        </w:rPr>
        <w:t>Sazmand</w:t>
      </w:r>
      <w:proofErr w:type="spellEnd"/>
      <w:r w:rsidRPr="008A19DF">
        <w:rPr>
          <w:rFonts w:cs="Times New Roman"/>
          <w:sz w:val="24"/>
          <w:szCs w:val="24"/>
        </w:rPr>
        <w:t xml:space="preserve">, A., </w:t>
      </w:r>
      <w:proofErr w:type="spellStart"/>
      <w:r w:rsidRPr="008A19DF">
        <w:rPr>
          <w:rFonts w:cs="Times New Roman"/>
          <w:sz w:val="24"/>
          <w:szCs w:val="24"/>
        </w:rPr>
        <w:t>Thévenon</w:t>
      </w:r>
      <w:proofErr w:type="spellEnd"/>
      <w:r w:rsidRPr="008A19DF">
        <w:rPr>
          <w:rFonts w:cs="Times New Roman"/>
          <w:sz w:val="24"/>
          <w:szCs w:val="24"/>
        </w:rPr>
        <w:t xml:space="preserve">, S., Bossard, G., </w:t>
      </w:r>
      <w:proofErr w:type="spellStart"/>
      <w:r w:rsidRPr="008A19DF">
        <w:rPr>
          <w:rFonts w:cs="Times New Roman"/>
          <w:sz w:val="24"/>
          <w:szCs w:val="24"/>
        </w:rPr>
        <w:t>Boulangé</w:t>
      </w:r>
      <w:proofErr w:type="spellEnd"/>
      <w:r w:rsidRPr="008A19DF">
        <w:rPr>
          <w:rFonts w:cs="Times New Roman"/>
          <w:sz w:val="24"/>
          <w:szCs w:val="24"/>
        </w:rPr>
        <w:t xml:space="preserve">, A., </w:t>
      </w:r>
      <w:proofErr w:type="spellStart"/>
      <w:r w:rsidRPr="008A19DF">
        <w:rPr>
          <w:rFonts w:cs="Times New Roman"/>
          <w:sz w:val="24"/>
          <w:szCs w:val="24"/>
        </w:rPr>
        <w:t>Gimonneau</w:t>
      </w:r>
      <w:proofErr w:type="spellEnd"/>
      <w:r w:rsidRPr="008A19DF">
        <w:rPr>
          <w:rFonts w:cs="Times New Roman"/>
          <w:sz w:val="24"/>
          <w:szCs w:val="24"/>
        </w:rPr>
        <w:t xml:space="preserve">, G., Truc, P., Herder, S., Ravel, S., Sereno, D., </w:t>
      </w:r>
      <w:proofErr w:type="spellStart"/>
      <w:r w:rsidRPr="008A19DF">
        <w:rPr>
          <w:rFonts w:cs="Times New Roman"/>
          <w:sz w:val="24"/>
          <w:szCs w:val="24"/>
        </w:rPr>
        <w:t>Jamonneau</w:t>
      </w:r>
      <w:proofErr w:type="spellEnd"/>
      <w:r w:rsidRPr="008A19DF">
        <w:rPr>
          <w:rFonts w:cs="Times New Roman"/>
          <w:sz w:val="24"/>
          <w:szCs w:val="24"/>
        </w:rPr>
        <w:t xml:space="preserve">, V., </w:t>
      </w:r>
      <w:proofErr w:type="spellStart"/>
      <w:r w:rsidRPr="008A19DF">
        <w:rPr>
          <w:rFonts w:cs="Times New Roman"/>
          <w:sz w:val="24"/>
          <w:szCs w:val="24"/>
        </w:rPr>
        <w:t>Jittapalapong</w:t>
      </w:r>
      <w:proofErr w:type="spellEnd"/>
      <w:r w:rsidRPr="008A19DF">
        <w:rPr>
          <w:rFonts w:cs="Times New Roman"/>
          <w:sz w:val="24"/>
          <w:szCs w:val="24"/>
        </w:rPr>
        <w:t xml:space="preserve">, S., </w:t>
      </w:r>
      <w:proofErr w:type="spellStart"/>
      <w:r w:rsidRPr="008A19DF">
        <w:rPr>
          <w:rFonts w:cs="Times New Roman"/>
          <w:sz w:val="24"/>
          <w:szCs w:val="24"/>
        </w:rPr>
        <w:t>Jacquiet</w:t>
      </w:r>
      <w:proofErr w:type="spellEnd"/>
      <w:r w:rsidRPr="008A19DF">
        <w:rPr>
          <w:rFonts w:cs="Times New Roman"/>
          <w:sz w:val="24"/>
          <w:szCs w:val="24"/>
        </w:rPr>
        <w:t xml:space="preserve">, P., Solano, P., &amp; Berthier, D. (2022). A review on the diagnosis of animal </w:t>
      </w:r>
      <w:proofErr w:type="spellStart"/>
      <w:r w:rsidRPr="008A19DF">
        <w:rPr>
          <w:rFonts w:cs="Times New Roman"/>
          <w:sz w:val="24"/>
          <w:szCs w:val="24"/>
        </w:rPr>
        <w:t>trypanosomoses</w:t>
      </w:r>
      <w:proofErr w:type="spellEnd"/>
      <w:r w:rsidRPr="008A19DF">
        <w:rPr>
          <w:rFonts w:cs="Times New Roman"/>
          <w:sz w:val="24"/>
          <w:szCs w:val="24"/>
        </w:rPr>
        <w:t xml:space="preserve">. </w:t>
      </w:r>
      <w:r w:rsidRPr="008A19DF">
        <w:rPr>
          <w:rFonts w:cs="Times New Roman"/>
          <w:i/>
          <w:iCs/>
          <w:sz w:val="24"/>
          <w:szCs w:val="24"/>
        </w:rPr>
        <w:t>Parasites &amp; Vectors, 15</w:t>
      </w:r>
      <w:r w:rsidRPr="008A19DF">
        <w:rPr>
          <w:rFonts w:cs="Times New Roman"/>
          <w:sz w:val="24"/>
          <w:szCs w:val="24"/>
        </w:rPr>
        <w:t xml:space="preserve">(1), Article 64. </w:t>
      </w:r>
      <w:hyperlink r:id="rId24" w:history="1">
        <w:r w:rsidRPr="008A19DF">
          <w:rPr>
            <w:rFonts w:cs="Times New Roman"/>
            <w:color w:val="0000FF"/>
            <w:sz w:val="24"/>
            <w:szCs w:val="24"/>
            <w:u w:val="single"/>
          </w:rPr>
          <w:t>https://doi.org/10.1186/s13071-022-05190-1</w:t>
        </w:r>
      </w:hyperlink>
    </w:p>
    <w:p w14:paraId="24B4CADD" w14:textId="37FA42A4" w:rsidR="008A19DF" w:rsidRPr="008A19DF" w:rsidRDefault="008A19DF" w:rsidP="008A19DF">
      <w:pPr>
        <w:spacing w:before="100" w:beforeAutospacing="1" w:afterAutospacing="1" w:line="240" w:lineRule="auto"/>
        <w:ind w:firstLine="0"/>
        <w:jc w:val="left"/>
        <w:rPr>
          <w:rFonts w:cs="Times New Roman"/>
          <w:sz w:val="24"/>
          <w:szCs w:val="24"/>
        </w:rPr>
      </w:pPr>
      <w:proofErr w:type="spellStart"/>
      <w:r w:rsidRPr="008A19DF">
        <w:rPr>
          <w:rFonts w:cs="Times New Roman"/>
          <w:sz w:val="24"/>
          <w:szCs w:val="24"/>
        </w:rPr>
        <w:lastRenderedPageBreak/>
        <w:t>Desquesnes</w:t>
      </w:r>
      <w:proofErr w:type="spellEnd"/>
      <w:r w:rsidRPr="008A19DF">
        <w:rPr>
          <w:rFonts w:cs="Times New Roman"/>
          <w:sz w:val="24"/>
          <w:szCs w:val="24"/>
        </w:rPr>
        <w:t xml:space="preserve">, M., </w:t>
      </w:r>
      <w:proofErr w:type="spellStart"/>
      <w:r w:rsidRPr="008A19DF">
        <w:rPr>
          <w:rFonts w:cs="Times New Roman"/>
          <w:sz w:val="24"/>
          <w:szCs w:val="24"/>
        </w:rPr>
        <w:t>Holzmuller</w:t>
      </w:r>
      <w:proofErr w:type="spellEnd"/>
      <w:r w:rsidRPr="008A19DF">
        <w:rPr>
          <w:rFonts w:cs="Times New Roman"/>
          <w:sz w:val="24"/>
          <w:szCs w:val="24"/>
        </w:rPr>
        <w:t xml:space="preserve">, P., Lai, D.-H., </w:t>
      </w:r>
      <w:proofErr w:type="spellStart"/>
      <w:r w:rsidRPr="008A19DF">
        <w:rPr>
          <w:rFonts w:cs="Times New Roman"/>
          <w:sz w:val="24"/>
          <w:szCs w:val="24"/>
        </w:rPr>
        <w:t>Dargantes</w:t>
      </w:r>
      <w:proofErr w:type="spellEnd"/>
      <w:r w:rsidRPr="008A19DF">
        <w:rPr>
          <w:rFonts w:cs="Times New Roman"/>
          <w:sz w:val="24"/>
          <w:szCs w:val="24"/>
        </w:rPr>
        <w:t xml:space="preserve">, A., Lun, Z.-R., &amp; </w:t>
      </w:r>
      <w:proofErr w:type="spellStart"/>
      <w:r w:rsidRPr="008A19DF">
        <w:rPr>
          <w:rFonts w:cs="Times New Roman"/>
          <w:sz w:val="24"/>
          <w:szCs w:val="24"/>
        </w:rPr>
        <w:t>Jittaplapong</w:t>
      </w:r>
      <w:proofErr w:type="spellEnd"/>
      <w:r w:rsidRPr="008A19DF">
        <w:rPr>
          <w:rFonts w:cs="Times New Roman"/>
          <w:sz w:val="24"/>
          <w:szCs w:val="24"/>
        </w:rPr>
        <w:t>, S. (2013</w:t>
      </w:r>
      <w:r>
        <w:rPr>
          <w:rFonts w:cs="Times New Roman"/>
          <w:sz w:val="24"/>
          <w:szCs w:val="24"/>
        </w:rPr>
        <w:t>b</w:t>
      </w:r>
      <w:r w:rsidRPr="008A19DF">
        <w:rPr>
          <w:rFonts w:cs="Times New Roman"/>
          <w:sz w:val="24"/>
          <w:szCs w:val="24"/>
        </w:rPr>
        <w:t xml:space="preserve">). </w:t>
      </w:r>
      <w:r w:rsidRPr="008A19DF">
        <w:rPr>
          <w:rFonts w:cs="Times New Roman"/>
          <w:i/>
          <w:iCs/>
          <w:sz w:val="24"/>
          <w:szCs w:val="24"/>
        </w:rPr>
        <w:t xml:space="preserve">Trypanosoma </w:t>
      </w:r>
      <w:proofErr w:type="spellStart"/>
      <w:r w:rsidRPr="008A19DF">
        <w:rPr>
          <w:rFonts w:cs="Times New Roman"/>
          <w:i/>
          <w:iCs/>
          <w:sz w:val="24"/>
          <w:szCs w:val="24"/>
        </w:rPr>
        <w:t>evansi</w:t>
      </w:r>
      <w:proofErr w:type="spellEnd"/>
      <w:r w:rsidRPr="008A19DF">
        <w:rPr>
          <w:rFonts w:cs="Times New Roman"/>
          <w:sz w:val="24"/>
          <w:szCs w:val="24"/>
        </w:rPr>
        <w:t xml:space="preserve"> and surra: A review and perspectives on origin, history, distribution, taxonomy, morphology, hosts, and pathogenic effects. </w:t>
      </w:r>
      <w:r w:rsidRPr="008A19DF">
        <w:rPr>
          <w:rFonts w:cs="Times New Roman"/>
          <w:i/>
          <w:iCs/>
          <w:sz w:val="24"/>
          <w:szCs w:val="24"/>
        </w:rPr>
        <w:t>BioMed Research International, 2013</w:t>
      </w:r>
      <w:r w:rsidRPr="008A19DF">
        <w:rPr>
          <w:rFonts w:cs="Times New Roman"/>
          <w:sz w:val="24"/>
          <w:szCs w:val="24"/>
        </w:rPr>
        <w:t xml:space="preserve">, Article 194176. </w:t>
      </w:r>
      <w:hyperlink r:id="rId25" w:history="1">
        <w:r w:rsidRPr="008A19DF">
          <w:rPr>
            <w:rFonts w:cs="Times New Roman"/>
            <w:color w:val="0000FF"/>
            <w:sz w:val="24"/>
            <w:szCs w:val="24"/>
            <w:u w:val="single"/>
          </w:rPr>
          <w:t>https://doi.org/10.1155/2013/194176</w:t>
        </w:r>
      </w:hyperlink>
      <w:r w:rsidRPr="008A19DF">
        <w:rPr>
          <w:rFonts w:cs="Times New Roman"/>
          <w:sz w:val="24"/>
          <w:szCs w:val="24"/>
        </w:rPr>
        <w:br/>
      </w:r>
    </w:p>
    <w:p w14:paraId="46D73D94" w14:textId="77777777" w:rsidR="008A19DF" w:rsidRPr="008A19DF" w:rsidRDefault="008A19DF" w:rsidP="008A19DF">
      <w:pPr>
        <w:spacing w:before="100" w:beforeAutospacing="1" w:afterAutospacing="1" w:line="240" w:lineRule="auto"/>
        <w:ind w:firstLine="0"/>
        <w:jc w:val="left"/>
        <w:rPr>
          <w:rFonts w:cs="Times New Roman"/>
          <w:sz w:val="24"/>
          <w:szCs w:val="24"/>
        </w:rPr>
      </w:pPr>
      <w:r w:rsidRPr="008A19DF">
        <w:rPr>
          <w:rFonts w:cs="Times New Roman"/>
          <w:sz w:val="24"/>
          <w:szCs w:val="24"/>
        </w:rPr>
        <w:t xml:space="preserve">Giordani, F., Morrison, L. J., Rowan, T. G., de Koning, H. P., &amp; Barrett, M. P. (2016). The animal trypanosomiases and their chemotherapy: A review. </w:t>
      </w:r>
      <w:r w:rsidRPr="008A19DF">
        <w:rPr>
          <w:rFonts w:cs="Times New Roman"/>
          <w:i/>
          <w:iCs/>
          <w:sz w:val="24"/>
          <w:szCs w:val="24"/>
        </w:rPr>
        <w:t>Parasitology, 143</w:t>
      </w:r>
      <w:r w:rsidRPr="008A19DF">
        <w:rPr>
          <w:rFonts w:cs="Times New Roman"/>
          <w:sz w:val="24"/>
          <w:szCs w:val="24"/>
        </w:rPr>
        <w:t xml:space="preserve">(14), 1862–1889. </w:t>
      </w:r>
      <w:hyperlink r:id="rId26" w:history="1">
        <w:r w:rsidRPr="008A19DF">
          <w:rPr>
            <w:rFonts w:cs="Times New Roman"/>
            <w:color w:val="0000FF"/>
            <w:sz w:val="24"/>
            <w:szCs w:val="24"/>
            <w:u w:val="single"/>
          </w:rPr>
          <w:t>https://doi.org/10.1017/S0031182016001268</w:t>
        </w:r>
      </w:hyperlink>
    </w:p>
    <w:p w14:paraId="4A622092" w14:textId="77777777" w:rsidR="008A19DF" w:rsidRPr="008A19DF" w:rsidRDefault="008A19DF" w:rsidP="008A19DF">
      <w:pPr>
        <w:spacing w:before="100" w:beforeAutospacing="1" w:afterAutospacing="1" w:line="240" w:lineRule="auto"/>
        <w:ind w:firstLine="0"/>
        <w:jc w:val="left"/>
        <w:rPr>
          <w:rFonts w:cs="Times New Roman"/>
          <w:sz w:val="24"/>
          <w:szCs w:val="24"/>
        </w:rPr>
      </w:pPr>
      <w:r w:rsidRPr="008A19DF">
        <w:rPr>
          <w:rFonts w:cs="Times New Roman"/>
          <w:sz w:val="24"/>
          <w:szCs w:val="24"/>
        </w:rPr>
        <w:t>Gupta, S., Vohra, S., Sethi, K., Gupta, S., Kumar, S., &amp; Kumar, R. (2022). Gene expression study to elucidate the anti-</w:t>
      </w:r>
      <w:proofErr w:type="spellStart"/>
      <w:r w:rsidRPr="008A19DF">
        <w:rPr>
          <w:rFonts w:cs="Times New Roman"/>
          <w:sz w:val="24"/>
          <w:szCs w:val="24"/>
        </w:rPr>
        <w:t>trypanosomal</w:t>
      </w:r>
      <w:proofErr w:type="spellEnd"/>
      <w:r w:rsidRPr="008A19DF">
        <w:rPr>
          <w:rFonts w:cs="Times New Roman"/>
          <w:sz w:val="24"/>
          <w:szCs w:val="24"/>
        </w:rPr>
        <w:t xml:space="preserve"> activity of </w:t>
      </w:r>
      <w:proofErr w:type="spellStart"/>
      <w:r w:rsidRPr="008A19DF">
        <w:rPr>
          <w:rFonts w:cs="Times New Roman"/>
          <w:sz w:val="24"/>
          <w:szCs w:val="24"/>
        </w:rPr>
        <w:t>quinapyramine</w:t>
      </w:r>
      <w:proofErr w:type="spellEnd"/>
      <w:r w:rsidRPr="008A19DF">
        <w:rPr>
          <w:rFonts w:cs="Times New Roman"/>
          <w:sz w:val="24"/>
          <w:szCs w:val="24"/>
        </w:rPr>
        <w:t xml:space="preserve"> methyl sulphate (QPS). </w:t>
      </w:r>
      <w:r w:rsidRPr="008A19DF">
        <w:rPr>
          <w:rFonts w:cs="Times New Roman"/>
          <w:i/>
          <w:iCs/>
          <w:sz w:val="24"/>
          <w:szCs w:val="24"/>
        </w:rPr>
        <w:t>Parasitology International, 91</w:t>
      </w:r>
      <w:r w:rsidRPr="008A19DF">
        <w:rPr>
          <w:rFonts w:cs="Times New Roman"/>
          <w:sz w:val="24"/>
          <w:szCs w:val="24"/>
        </w:rPr>
        <w:t xml:space="preserve">, Article 102632. </w:t>
      </w:r>
      <w:hyperlink r:id="rId27" w:history="1">
        <w:r w:rsidRPr="008A19DF">
          <w:rPr>
            <w:rFonts w:cs="Times New Roman"/>
            <w:color w:val="0000FF"/>
            <w:sz w:val="24"/>
            <w:szCs w:val="24"/>
            <w:u w:val="single"/>
          </w:rPr>
          <w:t>https://doi.org/10.1016/j.parint.2022.102632</w:t>
        </w:r>
      </w:hyperlink>
    </w:p>
    <w:p w14:paraId="318857A8" w14:textId="77777777" w:rsidR="008A19DF" w:rsidRPr="008A19DF" w:rsidRDefault="008A19DF" w:rsidP="008A19DF">
      <w:pPr>
        <w:spacing w:before="100" w:beforeAutospacing="1" w:afterAutospacing="1" w:line="240" w:lineRule="auto"/>
        <w:ind w:firstLine="0"/>
        <w:jc w:val="left"/>
        <w:rPr>
          <w:rFonts w:cs="Times New Roman"/>
          <w:sz w:val="24"/>
          <w:szCs w:val="24"/>
        </w:rPr>
      </w:pPr>
      <w:r w:rsidRPr="008A19DF">
        <w:rPr>
          <w:rFonts w:cs="Times New Roman"/>
          <w:sz w:val="24"/>
          <w:szCs w:val="24"/>
        </w:rPr>
        <w:t xml:space="preserve">Javanshir, A., Tavassoli, M., &amp; </w:t>
      </w:r>
      <w:proofErr w:type="spellStart"/>
      <w:r w:rsidRPr="008A19DF">
        <w:rPr>
          <w:rFonts w:cs="Times New Roman"/>
          <w:sz w:val="24"/>
          <w:szCs w:val="24"/>
        </w:rPr>
        <w:t>Esmaeilnejad</w:t>
      </w:r>
      <w:proofErr w:type="spellEnd"/>
      <w:r w:rsidRPr="008A19DF">
        <w:rPr>
          <w:rFonts w:cs="Times New Roman"/>
          <w:sz w:val="24"/>
          <w:szCs w:val="24"/>
        </w:rPr>
        <w:t xml:space="preserve">, B. (2023). Morphological, serological, molecular detection, and phylogenetic analysis of </w:t>
      </w:r>
      <w:r w:rsidRPr="008A19DF">
        <w:rPr>
          <w:rFonts w:cs="Times New Roman"/>
          <w:i/>
          <w:iCs/>
          <w:sz w:val="24"/>
          <w:szCs w:val="24"/>
        </w:rPr>
        <w:t xml:space="preserve">Trypanosoma </w:t>
      </w:r>
      <w:proofErr w:type="spellStart"/>
      <w:r w:rsidRPr="008A19DF">
        <w:rPr>
          <w:rFonts w:cs="Times New Roman"/>
          <w:i/>
          <w:iCs/>
          <w:sz w:val="24"/>
          <w:szCs w:val="24"/>
        </w:rPr>
        <w:t>evansi</w:t>
      </w:r>
      <w:proofErr w:type="spellEnd"/>
      <w:r w:rsidRPr="008A19DF">
        <w:rPr>
          <w:rFonts w:cs="Times New Roman"/>
          <w:sz w:val="24"/>
          <w:szCs w:val="24"/>
        </w:rPr>
        <w:t xml:space="preserve"> in horses of different regions in Iran. </w:t>
      </w:r>
      <w:r w:rsidRPr="008A19DF">
        <w:rPr>
          <w:rFonts w:cs="Times New Roman"/>
          <w:i/>
          <w:iCs/>
          <w:sz w:val="24"/>
          <w:szCs w:val="24"/>
        </w:rPr>
        <w:t>Parasitology Research, 122</w:t>
      </w:r>
      <w:r w:rsidRPr="008A19DF">
        <w:rPr>
          <w:rFonts w:cs="Times New Roman"/>
          <w:sz w:val="24"/>
          <w:szCs w:val="24"/>
        </w:rPr>
        <w:t xml:space="preserve">(8), 1873–1881. </w:t>
      </w:r>
      <w:hyperlink r:id="rId28" w:history="1">
        <w:r w:rsidRPr="008A19DF">
          <w:rPr>
            <w:rFonts w:cs="Times New Roman"/>
            <w:color w:val="0000FF"/>
            <w:sz w:val="24"/>
            <w:szCs w:val="24"/>
            <w:u w:val="single"/>
          </w:rPr>
          <w:t>https://doi.org/10.1007/s00436-023-07888-2</w:t>
        </w:r>
      </w:hyperlink>
    </w:p>
    <w:p w14:paraId="5697A0F8" w14:textId="77777777" w:rsidR="008A19DF" w:rsidRPr="008A19DF" w:rsidRDefault="008A19DF" w:rsidP="008A19DF">
      <w:pPr>
        <w:spacing w:before="100" w:beforeAutospacing="1" w:afterAutospacing="1" w:line="240" w:lineRule="auto"/>
        <w:ind w:firstLine="0"/>
        <w:jc w:val="left"/>
        <w:rPr>
          <w:rFonts w:cs="Times New Roman"/>
          <w:sz w:val="24"/>
          <w:szCs w:val="24"/>
        </w:rPr>
      </w:pPr>
      <w:proofErr w:type="spellStart"/>
      <w:r w:rsidRPr="008A19DF">
        <w:rPr>
          <w:rFonts w:cs="Times New Roman"/>
          <w:sz w:val="24"/>
          <w:szCs w:val="24"/>
        </w:rPr>
        <w:t>Kankar</w:t>
      </w:r>
      <w:proofErr w:type="spellEnd"/>
      <w:r w:rsidRPr="008A19DF">
        <w:rPr>
          <w:rFonts w:cs="Times New Roman"/>
          <w:sz w:val="24"/>
          <w:szCs w:val="24"/>
        </w:rPr>
        <w:t xml:space="preserve">, S. K., Kumar, R., Goyal, S. K., Gaur, D. K., Sharma, P., Bera, B. C., Garg, R., Kumar, S., &amp; Yadav, S. C. (2016). Quantification of </w:t>
      </w:r>
      <w:r w:rsidRPr="008A19DF">
        <w:rPr>
          <w:rFonts w:cs="Times New Roman"/>
          <w:i/>
          <w:iCs/>
          <w:sz w:val="24"/>
          <w:szCs w:val="24"/>
        </w:rPr>
        <w:t xml:space="preserve">Trypanosoma </w:t>
      </w:r>
      <w:proofErr w:type="spellStart"/>
      <w:r w:rsidRPr="008A19DF">
        <w:rPr>
          <w:rFonts w:cs="Times New Roman"/>
          <w:i/>
          <w:iCs/>
          <w:sz w:val="24"/>
          <w:szCs w:val="24"/>
        </w:rPr>
        <w:t>evansi</w:t>
      </w:r>
      <w:proofErr w:type="spellEnd"/>
      <w:r w:rsidRPr="008A19DF">
        <w:rPr>
          <w:rFonts w:cs="Times New Roman"/>
          <w:sz w:val="24"/>
          <w:szCs w:val="24"/>
        </w:rPr>
        <w:t xml:space="preserve"> parasitic load in experimentally infected mice using real-time PCR assay and its comparative evaluation with conventional parasitological techniques. </w:t>
      </w:r>
      <w:r w:rsidRPr="008A19DF">
        <w:rPr>
          <w:rFonts w:cs="Times New Roman"/>
          <w:i/>
          <w:iCs/>
          <w:sz w:val="24"/>
          <w:szCs w:val="24"/>
        </w:rPr>
        <w:t>The Indian Journal of Animal Sciences, 86</w:t>
      </w:r>
      <w:r w:rsidRPr="008A19DF">
        <w:rPr>
          <w:rFonts w:cs="Times New Roman"/>
          <w:sz w:val="24"/>
          <w:szCs w:val="24"/>
        </w:rPr>
        <w:t xml:space="preserve">(12), 1378–1384. </w:t>
      </w:r>
      <w:hyperlink r:id="rId29" w:history="1">
        <w:r w:rsidRPr="008A19DF">
          <w:rPr>
            <w:rFonts w:cs="Times New Roman"/>
            <w:color w:val="0000FF"/>
            <w:sz w:val="24"/>
            <w:szCs w:val="24"/>
            <w:u w:val="single"/>
          </w:rPr>
          <w:t>https://doi.org/10.56093/ijans.v86i12.65949</w:t>
        </w:r>
      </w:hyperlink>
    </w:p>
    <w:p w14:paraId="12073B3D" w14:textId="77777777" w:rsidR="008A19DF" w:rsidRPr="008A19DF" w:rsidRDefault="008A19DF" w:rsidP="008A19DF">
      <w:pPr>
        <w:spacing w:before="100" w:beforeAutospacing="1" w:afterAutospacing="1" w:line="240" w:lineRule="auto"/>
        <w:ind w:firstLine="0"/>
        <w:jc w:val="left"/>
        <w:rPr>
          <w:rFonts w:cs="Times New Roman"/>
          <w:sz w:val="24"/>
          <w:szCs w:val="24"/>
        </w:rPr>
      </w:pPr>
      <w:r w:rsidRPr="008A19DF">
        <w:rPr>
          <w:rFonts w:cs="Times New Roman"/>
          <w:sz w:val="24"/>
          <w:szCs w:val="24"/>
        </w:rPr>
        <w:t xml:space="preserve">Kim, J., Álvarez-Rodríguez, A., Li, Z., Radwanska, M., &amp; </w:t>
      </w:r>
      <w:proofErr w:type="spellStart"/>
      <w:r w:rsidRPr="008A19DF">
        <w:rPr>
          <w:rFonts w:cs="Times New Roman"/>
          <w:sz w:val="24"/>
          <w:szCs w:val="24"/>
        </w:rPr>
        <w:t>Magez</w:t>
      </w:r>
      <w:proofErr w:type="spellEnd"/>
      <w:r w:rsidRPr="008A19DF">
        <w:rPr>
          <w:rFonts w:cs="Times New Roman"/>
          <w:sz w:val="24"/>
          <w:szCs w:val="24"/>
        </w:rPr>
        <w:t xml:space="preserve">, S. (2024). Recent progress in the detection of surra, a neglected disease caused by </w:t>
      </w:r>
      <w:r w:rsidRPr="008A19DF">
        <w:rPr>
          <w:rFonts w:cs="Times New Roman"/>
          <w:i/>
          <w:iCs/>
          <w:sz w:val="24"/>
          <w:szCs w:val="24"/>
        </w:rPr>
        <w:t xml:space="preserve">Trypanosoma </w:t>
      </w:r>
      <w:proofErr w:type="spellStart"/>
      <w:r w:rsidRPr="008A19DF">
        <w:rPr>
          <w:rFonts w:cs="Times New Roman"/>
          <w:i/>
          <w:iCs/>
          <w:sz w:val="24"/>
          <w:szCs w:val="24"/>
        </w:rPr>
        <w:t>evansi</w:t>
      </w:r>
      <w:proofErr w:type="spellEnd"/>
      <w:r w:rsidRPr="008A19DF">
        <w:rPr>
          <w:rFonts w:cs="Times New Roman"/>
          <w:sz w:val="24"/>
          <w:szCs w:val="24"/>
        </w:rPr>
        <w:t xml:space="preserve"> with a One Health impact in large parts of the tropic and sub-tropic world. </w:t>
      </w:r>
      <w:r w:rsidRPr="008A19DF">
        <w:rPr>
          <w:rFonts w:cs="Times New Roman"/>
          <w:i/>
          <w:iCs/>
          <w:sz w:val="24"/>
          <w:szCs w:val="24"/>
        </w:rPr>
        <w:t>Microorganisms, 12</w:t>
      </w:r>
      <w:r w:rsidRPr="008A19DF">
        <w:rPr>
          <w:rFonts w:cs="Times New Roman"/>
          <w:sz w:val="24"/>
          <w:szCs w:val="24"/>
        </w:rPr>
        <w:t xml:space="preserve">(1), Article 44. </w:t>
      </w:r>
      <w:hyperlink r:id="rId30" w:history="1">
        <w:r w:rsidRPr="008A19DF">
          <w:rPr>
            <w:rFonts w:cs="Times New Roman"/>
            <w:color w:val="0000FF"/>
            <w:sz w:val="24"/>
            <w:szCs w:val="24"/>
            <w:u w:val="single"/>
          </w:rPr>
          <w:t>https://doi.org/10.3390/microorganisms12010044</w:t>
        </w:r>
      </w:hyperlink>
    </w:p>
    <w:p w14:paraId="3A785147" w14:textId="77777777" w:rsidR="008A19DF" w:rsidRPr="008A19DF" w:rsidRDefault="008A19DF" w:rsidP="008A19DF">
      <w:pPr>
        <w:spacing w:before="100" w:beforeAutospacing="1" w:afterAutospacing="1" w:line="240" w:lineRule="auto"/>
        <w:ind w:firstLine="0"/>
        <w:jc w:val="left"/>
        <w:rPr>
          <w:rFonts w:cs="Times New Roman"/>
          <w:sz w:val="24"/>
          <w:szCs w:val="24"/>
        </w:rPr>
      </w:pPr>
      <w:r w:rsidRPr="008A19DF">
        <w:rPr>
          <w:rFonts w:cs="Times New Roman"/>
          <w:sz w:val="24"/>
          <w:szCs w:val="24"/>
        </w:rPr>
        <w:t xml:space="preserve">Kumar, R., Gaur, D. K., Goyal, S. K., Sharma, P., Kankar, S. K., Jain, S., &amp; Kumar, S. (2016). Sensitive detection of </w:t>
      </w:r>
      <w:r w:rsidRPr="008A19DF">
        <w:rPr>
          <w:rFonts w:cs="Times New Roman"/>
          <w:i/>
          <w:iCs/>
          <w:sz w:val="24"/>
          <w:szCs w:val="24"/>
        </w:rPr>
        <w:t xml:space="preserve">Trypanosoma </w:t>
      </w:r>
      <w:proofErr w:type="spellStart"/>
      <w:r w:rsidRPr="008A19DF">
        <w:rPr>
          <w:rFonts w:cs="Times New Roman"/>
          <w:i/>
          <w:iCs/>
          <w:sz w:val="24"/>
          <w:szCs w:val="24"/>
        </w:rPr>
        <w:t>evansi</w:t>
      </w:r>
      <w:proofErr w:type="spellEnd"/>
      <w:r w:rsidRPr="008A19DF">
        <w:rPr>
          <w:rFonts w:cs="Times New Roman"/>
          <w:sz w:val="24"/>
          <w:szCs w:val="24"/>
        </w:rPr>
        <w:t xml:space="preserve"> infection by polymerase chain reaction targeting invariable surface glycoprotein gene. </w:t>
      </w:r>
      <w:r w:rsidRPr="008A19DF">
        <w:rPr>
          <w:rFonts w:cs="Times New Roman"/>
          <w:i/>
          <w:iCs/>
          <w:sz w:val="24"/>
          <w:szCs w:val="24"/>
        </w:rPr>
        <w:t>The Indian Journal of Animal Sciences, 86</w:t>
      </w:r>
      <w:r w:rsidRPr="008A19DF">
        <w:rPr>
          <w:rFonts w:cs="Times New Roman"/>
          <w:sz w:val="24"/>
          <w:szCs w:val="24"/>
        </w:rPr>
        <w:t xml:space="preserve">(6), 639–642. </w:t>
      </w:r>
      <w:hyperlink r:id="rId31" w:history="1">
        <w:r w:rsidRPr="008A19DF">
          <w:rPr>
            <w:rFonts w:cs="Times New Roman"/>
            <w:color w:val="0000FF"/>
            <w:sz w:val="24"/>
            <w:szCs w:val="24"/>
            <w:u w:val="single"/>
          </w:rPr>
          <w:t>https://doi.org/10.56093/ijans.v86i6.59148</w:t>
        </w:r>
      </w:hyperlink>
    </w:p>
    <w:p w14:paraId="34D2DA86" w14:textId="77777777" w:rsidR="008A19DF" w:rsidRPr="008A19DF" w:rsidRDefault="008A19DF" w:rsidP="008A19DF">
      <w:pPr>
        <w:spacing w:before="100" w:beforeAutospacing="1" w:afterAutospacing="1" w:line="240" w:lineRule="auto"/>
        <w:ind w:firstLine="0"/>
        <w:jc w:val="left"/>
        <w:rPr>
          <w:rFonts w:cs="Times New Roman"/>
          <w:sz w:val="24"/>
          <w:szCs w:val="24"/>
        </w:rPr>
      </w:pPr>
      <w:r w:rsidRPr="008A19DF">
        <w:rPr>
          <w:rFonts w:cs="Times New Roman"/>
          <w:sz w:val="24"/>
          <w:szCs w:val="24"/>
        </w:rPr>
        <w:t xml:space="preserve">Kumar, R., Kumar, S., Khurana, S. K., &amp; Yadav, S. C. (2013). Development of an antibody-ELISA for seroprevalence of </w:t>
      </w:r>
      <w:r w:rsidRPr="008A19DF">
        <w:rPr>
          <w:rFonts w:cs="Times New Roman"/>
          <w:i/>
          <w:iCs/>
          <w:sz w:val="24"/>
          <w:szCs w:val="24"/>
        </w:rPr>
        <w:t xml:space="preserve">Trypanosoma </w:t>
      </w:r>
      <w:proofErr w:type="spellStart"/>
      <w:r w:rsidRPr="008A19DF">
        <w:rPr>
          <w:rFonts w:cs="Times New Roman"/>
          <w:i/>
          <w:iCs/>
          <w:sz w:val="24"/>
          <w:szCs w:val="24"/>
        </w:rPr>
        <w:t>evansi</w:t>
      </w:r>
      <w:proofErr w:type="spellEnd"/>
      <w:r w:rsidRPr="008A19DF">
        <w:rPr>
          <w:rFonts w:cs="Times New Roman"/>
          <w:sz w:val="24"/>
          <w:szCs w:val="24"/>
        </w:rPr>
        <w:t xml:space="preserve"> in equids of North and North-western regions of India. </w:t>
      </w:r>
      <w:r w:rsidRPr="008A19DF">
        <w:rPr>
          <w:rFonts w:cs="Times New Roman"/>
          <w:i/>
          <w:iCs/>
          <w:sz w:val="24"/>
          <w:szCs w:val="24"/>
        </w:rPr>
        <w:t>Veterinary Parasitology, 196</w:t>
      </w:r>
      <w:r w:rsidRPr="008A19DF">
        <w:rPr>
          <w:rFonts w:cs="Times New Roman"/>
          <w:sz w:val="24"/>
          <w:szCs w:val="24"/>
        </w:rPr>
        <w:t xml:space="preserve">(3–4), 251–257. </w:t>
      </w:r>
      <w:hyperlink r:id="rId32" w:history="1">
        <w:r w:rsidRPr="008A19DF">
          <w:rPr>
            <w:rFonts w:cs="Times New Roman"/>
            <w:color w:val="0000FF"/>
            <w:sz w:val="24"/>
            <w:szCs w:val="24"/>
            <w:u w:val="single"/>
          </w:rPr>
          <w:t>https://doi.org/10.1016/j.vetpar.2013.04.018</w:t>
        </w:r>
      </w:hyperlink>
    </w:p>
    <w:p w14:paraId="18161655" w14:textId="77777777" w:rsidR="008A19DF" w:rsidRPr="008A19DF" w:rsidRDefault="008A19DF" w:rsidP="008A19DF">
      <w:pPr>
        <w:spacing w:before="100" w:beforeAutospacing="1" w:afterAutospacing="1" w:line="240" w:lineRule="auto"/>
        <w:ind w:firstLine="0"/>
        <w:jc w:val="left"/>
        <w:rPr>
          <w:rFonts w:cs="Times New Roman"/>
          <w:sz w:val="24"/>
          <w:szCs w:val="24"/>
        </w:rPr>
      </w:pPr>
      <w:r w:rsidRPr="008A19DF">
        <w:rPr>
          <w:rFonts w:cs="Times New Roman"/>
          <w:sz w:val="24"/>
          <w:szCs w:val="24"/>
        </w:rPr>
        <w:t xml:space="preserve">Laha, R., &amp; </w:t>
      </w:r>
      <w:proofErr w:type="spellStart"/>
      <w:r w:rsidRPr="008A19DF">
        <w:rPr>
          <w:rFonts w:cs="Times New Roman"/>
          <w:sz w:val="24"/>
          <w:szCs w:val="24"/>
        </w:rPr>
        <w:t>Sasmal</w:t>
      </w:r>
      <w:proofErr w:type="spellEnd"/>
      <w:r w:rsidRPr="008A19DF">
        <w:rPr>
          <w:rFonts w:cs="Times New Roman"/>
          <w:sz w:val="24"/>
          <w:szCs w:val="24"/>
        </w:rPr>
        <w:t xml:space="preserve">, N. K. (2008). Endemic status of </w:t>
      </w:r>
      <w:r w:rsidRPr="008A19DF">
        <w:rPr>
          <w:rFonts w:cs="Times New Roman"/>
          <w:i/>
          <w:iCs/>
          <w:sz w:val="24"/>
          <w:szCs w:val="24"/>
        </w:rPr>
        <w:t xml:space="preserve">Trypanosoma </w:t>
      </w:r>
      <w:proofErr w:type="spellStart"/>
      <w:r w:rsidRPr="008A19DF">
        <w:rPr>
          <w:rFonts w:cs="Times New Roman"/>
          <w:i/>
          <w:iCs/>
          <w:sz w:val="24"/>
          <w:szCs w:val="24"/>
        </w:rPr>
        <w:t>evansi</w:t>
      </w:r>
      <w:proofErr w:type="spellEnd"/>
      <w:r w:rsidRPr="008A19DF">
        <w:rPr>
          <w:rFonts w:cs="Times New Roman"/>
          <w:sz w:val="24"/>
          <w:szCs w:val="24"/>
        </w:rPr>
        <w:t xml:space="preserve"> infection in a horse stable of eastern region of India: A field investigation. </w:t>
      </w:r>
      <w:r w:rsidRPr="008A19DF">
        <w:rPr>
          <w:rFonts w:cs="Times New Roman"/>
          <w:i/>
          <w:iCs/>
          <w:sz w:val="24"/>
          <w:szCs w:val="24"/>
        </w:rPr>
        <w:t>Tropical Animal Health and Production, 40</w:t>
      </w:r>
      <w:r w:rsidRPr="008A19DF">
        <w:rPr>
          <w:rFonts w:cs="Times New Roman"/>
          <w:sz w:val="24"/>
          <w:szCs w:val="24"/>
        </w:rPr>
        <w:t xml:space="preserve">(5), 357–361. </w:t>
      </w:r>
      <w:hyperlink r:id="rId33" w:history="1">
        <w:r w:rsidRPr="008A19DF">
          <w:rPr>
            <w:rFonts w:cs="Times New Roman"/>
            <w:color w:val="0000FF"/>
            <w:sz w:val="24"/>
            <w:szCs w:val="24"/>
            <w:u w:val="single"/>
          </w:rPr>
          <w:t>https://doi.org/10.1007/s11250-007-9107-0</w:t>
        </w:r>
      </w:hyperlink>
    </w:p>
    <w:p w14:paraId="22637194" w14:textId="77777777" w:rsidR="008A19DF" w:rsidRPr="008A19DF" w:rsidRDefault="008A19DF" w:rsidP="008A19DF">
      <w:pPr>
        <w:spacing w:before="100" w:beforeAutospacing="1" w:afterAutospacing="1" w:line="240" w:lineRule="auto"/>
        <w:ind w:firstLine="0"/>
        <w:jc w:val="left"/>
        <w:rPr>
          <w:rFonts w:cs="Times New Roman"/>
          <w:sz w:val="24"/>
          <w:szCs w:val="24"/>
        </w:rPr>
      </w:pPr>
      <w:r w:rsidRPr="008A19DF">
        <w:rPr>
          <w:rFonts w:cs="Times New Roman"/>
          <w:sz w:val="24"/>
          <w:szCs w:val="24"/>
        </w:rPr>
        <w:t xml:space="preserve">Monzon, C. M., Mancebo, O. A., &amp; Russo, A. M. (2003). Antibody levels by indirect ELISA test in </w:t>
      </w:r>
      <w:r w:rsidRPr="008A19DF">
        <w:rPr>
          <w:rFonts w:cs="Times New Roman"/>
          <w:i/>
          <w:iCs/>
          <w:sz w:val="24"/>
          <w:szCs w:val="24"/>
        </w:rPr>
        <w:t xml:space="preserve">Trypanosoma </w:t>
      </w:r>
      <w:proofErr w:type="spellStart"/>
      <w:r w:rsidRPr="008A19DF">
        <w:rPr>
          <w:rFonts w:cs="Times New Roman"/>
          <w:i/>
          <w:iCs/>
          <w:sz w:val="24"/>
          <w:szCs w:val="24"/>
        </w:rPr>
        <w:t>evansi</w:t>
      </w:r>
      <w:proofErr w:type="spellEnd"/>
      <w:r w:rsidRPr="008A19DF">
        <w:rPr>
          <w:rFonts w:cs="Times New Roman"/>
          <w:sz w:val="24"/>
          <w:szCs w:val="24"/>
        </w:rPr>
        <w:t xml:space="preserve">-infected horses following treatment with </w:t>
      </w:r>
      <w:proofErr w:type="spellStart"/>
      <w:r w:rsidRPr="008A19DF">
        <w:rPr>
          <w:rFonts w:cs="Times New Roman"/>
          <w:sz w:val="24"/>
          <w:szCs w:val="24"/>
        </w:rPr>
        <w:t>quinapyramine</w:t>
      </w:r>
      <w:proofErr w:type="spellEnd"/>
      <w:r w:rsidRPr="008A19DF">
        <w:rPr>
          <w:rFonts w:cs="Times New Roman"/>
          <w:sz w:val="24"/>
          <w:szCs w:val="24"/>
        </w:rPr>
        <w:t xml:space="preserve"> sulphate. </w:t>
      </w:r>
      <w:r w:rsidRPr="008A19DF">
        <w:rPr>
          <w:rFonts w:cs="Times New Roman"/>
          <w:i/>
          <w:iCs/>
          <w:sz w:val="24"/>
          <w:szCs w:val="24"/>
        </w:rPr>
        <w:t>Veterinary Parasitology, 111</w:t>
      </w:r>
      <w:r w:rsidRPr="008A19DF">
        <w:rPr>
          <w:rFonts w:cs="Times New Roman"/>
          <w:sz w:val="24"/>
          <w:szCs w:val="24"/>
        </w:rPr>
        <w:t xml:space="preserve">(1), 59–63. </w:t>
      </w:r>
      <w:hyperlink r:id="rId34" w:history="1">
        <w:r w:rsidRPr="008A19DF">
          <w:rPr>
            <w:rFonts w:cs="Times New Roman"/>
            <w:color w:val="0000FF"/>
            <w:sz w:val="24"/>
            <w:szCs w:val="24"/>
            <w:u w:val="single"/>
          </w:rPr>
          <w:t>https://doi.org/10.1016/S0304-4017(02)00331-X</w:t>
        </w:r>
      </w:hyperlink>
    </w:p>
    <w:p w14:paraId="5C09052B" w14:textId="0CA19E55" w:rsidR="008A19DF" w:rsidRPr="008A19DF" w:rsidRDefault="008A19DF" w:rsidP="008A19DF">
      <w:pPr>
        <w:spacing w:before="100" w:beforeAutospacing="1" w:afterAutospacing="1" w:line="240" w:lineRule="auto"/>
        <w:ind w:firstLine="0"/>
        <w:jc w:val="left"/>
        <w:rPr>
          <w:rFonts w:cs="Times New Roman"/>
          <w:sz w:val="24"/>
          <w:szCs w:val="24"/>
        </w:rPr>
      </w:pPr>
      <w:r w:rsidRPr="008A19DF">
        <w:rPr>
          <w:rFonts w:cs="Times New Roman"/>
          <w:sz w:val="24"/>
          <w:szCs w:val="24"/>
        </w:rPr>
        <w:t xml:space="preserve">Raftery, A. G., </w:t>
      </w:r>
      <w:proofErr w:type="spellStart"/>
      <w:r w:rsidRPr="008A19DF">
        <w:rPr>
          <w:rFonts w:cs="Times New Roman"/>
          <w:sz w:val="24"/>
          <w:szCs w:val="24"/>
        </w:rPr>
        <w:t>Gummery</w:t>
      </w:r>
      <w:proofErr w:type="spellEnd"/>
      <w:r w:rsidRPr="008A19DF">
        <w:rPr>
          <w:rFonts w:cs="Times New Roman"/>
          <w:sz w:val="24"/>
          <w:szCs w:val="24"/>
        </w:rPr>
        <w:t xml:space="preserve">, L., Garcia, K., Mohite, D., Capewell, P., &amp; Sutton, D. G. M. (2026a). Equine trypanosomiasis, a systematic review and meta-analyses: Prevalence, morbidity and mortality. </w:t>
      </w:r>
      <w:r w:rsidRPr="008A19DF">
        <w:rPr>
          <w:rFonts w:cs="Times New Roman"/>
          <w:i/>
          <w:iCs/>
          <w:sz w:val="24"/>
          <w:szCs w:val="24"/>
        </w:rPr>
        <w:lastRenderedPageBreak/>
        <w:t>Equine Veterinary Journal, 58</w:t>
      </w:r>
      <w:r w:rsidRPr="008A19DF">
        <w:rPr>
          <w:rFonts w:cs="Times New Roman"/>
          <w:sz w:val="24"/>
          <w:szCs w:val="24"/>
        </w:rPr>
        <w:t xml:space="preserve">(2), 291–319. </w:t>
      </w:r>
      <w:hyperlink r:id="rId35" w:history="1">
        <w:r w:rsidRPr="008A19DF">
          <w:rPr>
            <w:rFonts w:cs="Times New Roman"/>
            <w:color w:val="0000FF"/>
            <w:sz w:val="24"/>
            <w:szCs w:val="24"/>
            <w:u w:val="single"/>
          </w:rPr>
          <w:t>https://doi.org/10.1111/evj.70101</w:t>
        </w:r>
      </w:hyperlink>
      <w:r w:rsidRPr="008A19DF">
        <w:rPr>
          <w:rFonts w:cs="Times New Roman"/>
          <w:sz w:val="24"/>
          <w:szCs w:val="24"/>
        </w:rPr>
        <w:br/>
      </w:r>
    </w:p>
    <w:p w14:paraId="61182A9F" w14:textId="2F43EDBC" w:rsidR="008A19DF" w:rsidRPr="008A19DF" w:rsidRDefault="008A19DF" w:rsidP="008A19DF">
      <w:pPr>
        <w:spacing w:before="100" w:beforeAutospacing="1" w:afterAutospacing="1" w:line="240" w:lineRule="auto"/>
        <w:ind w:firstLine="0"/>
        <w:jc w:val="left"/>
        <w:rPr>
          <w:rFonts w:cs="Times New Roman"/>
          <w:sz w:val="24"/>
          <w:szCs w:val="24"/>
        </w:rPr>
      </w:pPr>
      <w:r w:rsidRPr="008A19DF">
        <w:rPr>
          <w:rFonts w:cs="Times New Roman"/>
          <w:sz w:val="24"/>
          <w:szCs w:val="24"/>
        </w:rPr>
        <w:t xml:space="preserve">Raftery, A. G., </w:t>
      </w:r>
      <w:proofErr w:type="spellStart"/>
      <w:r w:rsidRPr="008A19DF">
        <w:rPr>
          <w:rFonts w:cs="Times New Roman"/>
          <w:sz w:val="24"/>
          <w:szCs w:val="24"/>
        </w:rPr>
        <w:t>Gummery</w:t>
      </w:r>
      <w:proofErr w:type="spellEnd"/>
      <w:r w:rsidRPr="008A19DF">
        <w:rPr>
          <w:rFonts w:cs="Times New Roman"/>
          <w:sz w:val="24"/>
          <w:szCs w:val="24"/>
        </w:rPr>
        <w:t xml:space="preserve">, L., Garcia, K., Mohite, D., Capewell, P., &amp; Sutton, D. G. M. (2026b). Equine trypanosomiasis, a systematic review: Disease management. </w:t>
      </w:r>
      <w:r w:rsidRPr="008A19DF">
        <w:rPr>
          <w:rFonts w:cs="Times New Roman"/>
          <w:i/>
          <w:iCs/>
          <w:sz w:val="24"/>
          <w:szCs w:val="24"/>
        </w:rPr>
        <w:t>Equine Veterinary Journal, 58</w:t>
      </w:r>
      <w:r w:rsidRPr="008A19DF">
        <w:rPr>
          <w:rFonts w:cs="Times New Roman"/>
          <w:sz w:val="24"/>
          <w:szCs w:val="24"/>
        </w:rPr>
        <w:t xml:space="preserve">(2), 320–332. </w:t>
      </w:r>
      <w:hyperlink r:id="rId36" w:history="1">
        <w:r w:rsidRPr="008A19DF">
          <w:rPr>
            <w:rFonts w:cs="Times New Roman"/>
            <w:color w:val="0000FF"/>
            <w:sz w:val="24"/>
            <w:szCs w:val="24"/>
            <w:u w:val="single"/>
          </w:rPr>
          <w:t>https://doi.org/10.1002/evj.70136</w:t>
        </w:r>
      </w:hyperlink>
      <w:r w:rsidRPr="008A19DF">
        <w:rPr>
          <w:rFonts w:cs="Times New Roman"/>
          <w:sz w:val="24"/>
          <w:szCs w:val="24"/>
        </w:rPr>
        <w:br/>
      </w:r>
    </w:p>
    <w:p w14:paraId="7727F418" w14:textId="77777777" w:rsidR="008A19DF" w:rsidRPr="008A19DF" w:rsidRDefault="008A19DF" w:rsidP="008A19DF">
      <w:pPr>
        <w:spacing w:before="100" w:beforeAutospacing="1" w:afterAutospacing="1" w:line="240" w:lineRule="auto"/>
        <w:ind w:firstLine="0"/>
        <w:jc w:val="left"/>
        <w:rPr>
          <w:rFonts w:cs="Times New Roman"/>
          <w:sz w:val="24"/>
          <w:szCs w:val="24"/>
        </w:rPr>
      </w:pPr>
      <w:r w:rsidRPr="008A19DF">
        <w:rPr>
          <w:rFonts w:cs="Times New Roman"/>
          <w:sz w:val="24"/>
          <w:szCs w:val="24"/>
        </w:rPr>
        <w:t xml:space="preserve">Raftery, A. G., Jallow, S., Rodgers, J., &amp; Sutton, D. G. M. (2019). Safety and efficacy of three trypanocides in confirmed field cases of trypanosomiasis in working equines in The Gambia: A prospective, </w:t>
      </w:r>
      <w:proofErr w:type="spellStart"/>
      <w:r w:rsidRPr="008A19DF">
        <w:rPr>
          <w:rFonts w:cs="Times New Roman"/>
          <w:sz w:val="24"/>
          <w:szCs w:val="24"/>
        </w:rPr>
        <w:t>randomised</w:t>
      </w:r>
      <w:proofErr w:type="spellEnd"/>
      <w:r w:rsidRPr="008A19DF">
        <w:rPr>
          <w:rFonts w:cs="Times New Roman"/>
          <w:sz w:val="24"/>
          <w:szCs w:val="24"/>
        </w:rPr>
        <w:t xml:space="preserve">, non-inferiority trial. </w:t>
      </w:r>
      <w:r w:rsidRPr="008A19DF">
        <w:rPr>
          <w:rFonts w:cs="Times New Roman"/>
          <w:i/>
          <w:iCs/>
          <w:sz w:val="24"/>
          <w:szCs w:val="24"/>
        </w:rPr>
        <w:t>PLOS Neglected Tropical Diseases, 13</w:t>
      </w:r>
      <w:r w:rsidRPr="008A19DF">
        <w:rPr>
          <w:rFonts w:cs="Times New Roman"/>
          <w:sz w:val="24"/>
          <w:szCs w:val="24"/>
        </w:rPr>
        <w:t xml:space="preserve">(3), Article e0007175. </w:t>
      </w:r>
      <w:hyperlink r:id="rId37" w:history="1">
        <w:r w:rsidRPr="008A19DF">
          <w:rPr>
            <w:rFonts w:cs="Times New Roman"/>
            <w:color w:val="0000FF"/>
            <w:sz w:val="24"/>
            <w:szCs w:val="24"/>
            <w:u w:val="single"/>
          </w:rPr>
          <w:t>https://doi.org/10.1371/journal.pntd.0007175</w:t>
        </w:r>
      </w:hyperlink>
    </w:p>
    <w:p w14:paraId="52CC30DB" w14:textId="77777777" w:rsidR="008A19DF" w:rsidRPr="008A19DF" w:rsidRDefault="008A19DF" w:rsidP="008A19DF">
      <w:pPr>
        <w:spacing w:before="100" w:beforeAutospacing="1" w:afterAutospacing="1" w:line="240" w:lineRule="auto"/>
        <w:ind w:firstLine="0"/>
        <w:jc w:val="left"/>
        <w:rPr>
          <w:rFonts w:cs="Times New Roman"/>
          <w:sz w:val="24"/>
          <w:szCs w:val="24"/>
        </w:rPr>
      </w:pPr>
      <w:r w:rsidRPr="008A19DF">
        <w:rPr>
          <w:rFonts w:cs="Times New Roman"/>
          <w:sz w:val="24"/>
          <w:szCs w:val="24"/>
        </w:rPr>
        <w:t xml:space="preserve">Ranjithkumar, M., Saravanan, B. C., Yadav, S. C., Kumar, R., Singh, R., &amp; Dey, S. (2014). Neurological trypanosomiasis in </w:t>
      </w:r>
      <w:proofErr w:type="spellStart"/>
      <w:r w:rsidRPr="008A19DF">
        <w:rPr>
          <w:rFonts w:cs="Times New Roman"/>
          <w:sz w:val="24"/>
          <w:szCs w:val="24"/>
        </w:rPr>
        <w:t>quinapyramine</w:t>
      </w:r>
      <w:proofErr w:type="spellEnd"/>
      <w:r w:rsidRPr="008A19DF">
        <w:rPr>
          <w:rFonts w:cs="Times New Roman"/>
          <w:sz w:val="24"/>
          <w:szCs w:val="24"/>
        </w:rPr>
        <w:t xml:space="preserve"> sulfate-treated horses: A breach of the blood–brain barrier? </w:t>
      </w:r>
      <w:r w:rsidRPr="008A19DF">
        <w:rPr>
          <w:rFonts w:cs="Times New Roman"/>
          <w:i/>
          <w:iCs/>
          <w:sz w:val="24"/>
          <w:szCs w:val="24"/>
        </w:rPr>
        <w:t>Tropical Animal Health and Production, 46</w:t>
      </w:r>
      <w:r w:rsidRPr="008A19DF">
        <w:rPr>
          <w:rFonts w:cs="Times New Roman"/>
          <w:sz w:val="24"/>
          <w:szCs w:val="24"/>
        </w:rPr>
        <w:t xml:space="preserve">(2), 371–377. </w:t>
      </w:r>
      <w:hyperlink r:id="rId38" w:history="1">
        <w:r w:rsidRPr="008A19DF">
          <w:rPr>
            <w:rFonts w:cs="Times New Roman"/>
            <w:color w:val="0000FF"/>
            <w:sz w:val="24"/>
            <w:szCs w:val="24"/>
            <w:u w:val="single"/>
          </w:rPr>
          <w:t>https://doi.org/10.1007/s11250-013-0498-9</w:t>
        </w:r>
      </w:hyperlink>
    </w:p>
    <w:p w14:paraId="7E7B3060" w14:textId="77777777" w:rsidR="008A19DF" w:rsidRPr="008A19DF" w:rsidRDefault="008A19DF" w:rsidP="008A19DF">
      <w:pPr>
        <w:spacing w:before="100" w:beforeAutospacing="1" w:afterAutospacing="1" w:line="240" w:lineRule="auto"/>
        <w:ind w:firstLine="0"/>
        <w:jc w:val="left"/>
        <w:rPr>
          <w:rFonts w:cs="Times New Roman"/>
          <w:sz w:val="24"/>
          <w:szCs w:val="24"/>
        </w:rPr>
      </w:pPr>
      <w:r w:rsidRPr="008A19DF">
        <w:rPr>
          <w:rFonts w:cs="Times New Roman"/>
          <w:sz w:val="24"/>
          <w:szCs w:val="24"/>
        </w:rPr>
        <w:t xml:space="preserve">Sharma, D., Gupta, S., Sethi, K., Kumar, S., &amp; Kumar, R. (2022). Seroprevalence and immunological characterization of </w:t>
      </w:r>
      <w:r w:rsidRPr="008A19DF">
        <w:rPr>
          <w:rFonts w:cs="Times New Roman"/>
          <w:i/>
          <w:iCs/>
          <w:sz w:val="24"/>
          <w:szCs w:val="24"/>
        </w:rPr>
        <w:t xml:space="preserve">Trypanosoma </w:t>
      </w:r>
      <w:proofErr w:type="spellStart"/>
      <w:r w:rsidRPr="008A19DF">
        <w:rPr>
          <w:rFonts w:cs="Times New Roman"/>
          <w:i/>
          <w:iCs/>
          <w:sz w:val="24"/>
          <w:szCs w:val="24"/>
        </w:rPr>
        <w:t>evansi</w:t>
      </w:r>
      <w:proofErr w:type="spellEnd"/>
      <w:r w:rsidRPr="008A19DF">
        <w:rPr>
          <w:rFonts w:cs="Times New Roman"/>
          <w:sz w:val="24"/>
          <w:szCs w:val="24"/>
        </w:rPr>
        <w:t xml:space="preserve"> infection in livestock of four </w:t>
      </w:r>
      <w:proofErr w:type="spellStart"/>
      <w:r w:rsidRPr="008A19DF">
        <w:rPr>
          <w:rFonts w:cs="Times New Roman"/>
          <w:sz w:val="24"/>
          <w:szCs w:val="24"/>
        </w:rPr>
        <w:t>agro</w:t>
      </w:r>
      <w:proofErr w:type="spellEnd"/>
      <w:r w:rsidRPr="008A19DF">
        <w:rPr>
          <w:rFonts w:cs="Times New Roman"/>
          <w:sz w:val="24"/>
          <w:szCs w:val="24"/>
        </w:rPr>
        <w:t xml:space="preserve">-climatic zones of Himachal Pradesh, India. </w:t>
      </w:r>
      <w:r w:rsidRPr="008A19DF">
        <w:rPr>
          <w:rFonts w:cs="Times New Roman"/>
          <w:i/>
          <w:iCs/>
          <w:sz w:val="24"/>
          <w:szCs w:val="24"/>
        </w:rPr>
        <w:t>Tropical Animal Health and Production, 54</w:t>
      </w:r>
      <w:r w:rsidRPr="008A19DF">
        <w:rPr>
          <w:rFonts w:cs="Times New Roman"/>
          <w:sz w:val="24"/>
          <w:szCs w:val="24"/>
        </w:rPr>
        <w:t xml:space="preserve">, Article 60. </w:t>
      </w:r>
      <w:hyperlink r:id="rId39" w:history="1">
        <w:r w:rsidRPr="008A19DF">
          <w:rPr>
            <w:rFonts w:cs="Times New Roman"/>
            <w:color w:val="0000FF"/>
            <w:sz w:val="24"/>
            <w:szCs w:val="24"/>
            <w:u w:val="single"/>
          </w:rPr>
          <w:t>https://doi.org/10.1007/s11250-022-03069-y</w:t>
        </w:r>
      </w:hyperlink>
    </w:p>
    <w:p w14:paraId="56FBC584" w14:textId="77777777" w:rsidR="008A19DF" w:rsidRPr="008A19DF" w:rsidRDefault="008A19DF" w:rsidP="008A19DF">
      <w:pPr>
        <w:spacing w:before="100" w:beforeAutospacing="1" w:afterAutospacing="1" w:line="240" w:lineRule="auto"/>
        <w:ind w:firstLine="0"/>
        <w:jc w:val="left"/>
        <w:rPr>
          <w:rFonts w:cs="Times New Roman"/>
          <w:sz w:val="24"/>
          <w:szCs w:val="24"/>
        </w:rPr>
      </w:pPr>
      <w:proofErr w:type="spellStart"/>
      <w:r w:rsidRPr="008A19DF">
        <w:rPr>
          <w:rFonts w:cs="Times New Roman"/>
          <w:sz w:val="24"/>
          <w:szCs w:val="24"/>
        </w:rPr>
        <w:t>Shoraba</w:t>
      </w:r>
      <w:proofErr w:type="spellEnd"/>
      <w:r w:rsidRPr="008A19DF">
        <w:rPr>
          <w:rFonts w:cs="Times New Roman"/>
          <w:sz w:val="24"/>
          <w:szCs w:val="24"/>
        </w:rPr>
        <w:t xml:space="preserve">, M., </w:t>
      </w:r>
      <w:proofErr w:type="spellStart"/>
      <w:r w:rsidRPr="008A19DF">
        <w:rPr>
          <w:rFonts w:cs="Times New Roman"/>
          <w:sz w:val="24"/>
          <w:szCs w:val="24"/>
        </w:rPr>
        <w:t>Shoulah</w:t>
      </w:r>
      <w:proofErr w:type="spellEnd"/>
      <w:r w:rsidRPr="008A19DF">
        <w:rPr>
          <w:rFonts w:cs="Times New Roman"/>
          <w:sz w:val="24"/>
          <w:szCs w:val="24"/>
        </w:rPr>
        <w:t xml:space="preserve">, S. A., Arnaout, F., &amp; Selim, A. (2024). Equine trypanosomiasis: Molecular detection, hematological, and oxidative stress profiling. </w:t>
      </w:r>
      <w:r w:rsidRPr="008A19DF">
        <w:rPr>
          <w:rFonts w:cs="Times New Roman"/>
          <w:i/>
          <w:iCs/>
          <w:sz w:val="24"/>
          <w:szCs w:val="24"/>
        </w:rPr>
        <w:t>Veterinary Medicine International, 2024</w:t>
      </w:r>
      <w:r w:rsidRPr="008A19DF">
        <w:rPr>
          <w:rFonts w:cs="Times New Roman"/>
          <w:sz w:val="24"/>
          <w:szCs w:val="24"/>
        </w:rPr>
        <w:t xml:space="preserve">, Article 6550276. </w:t>
      </w:r>
      <w:hyperlink r:id="rId40" w:history="1">
        <w:r w:rsidRPr="008A19DF">
          <w:rPr>
            <w:rFonts w:cs="Times New Roman"/>
            <w:color w:val="0000FF"/>
            <w:sz w:val="24"/>
            <w:szCs w:val="24"/>
            <w:u w:val="single"/>
          </w:rPr>
          <w:t>https://doi.org/10.1155/2024/6550276</w:t>
        </w:r>
      </w:hyperlink>
    </w:p>
    <w:p w14:paraId="13D52F80" w14:textId="77777777" w:rsidR="008A19DF" w:rsidRPr="008A19DF" w:rsidRDefault="008A19DF" w:rsidP="008A19DF">
      <w:pPr>
        <w:spacing w:before="100" w:beforeAutospacing="1" w:afterAutospacing="1" w:line="240" w:lineRule="auto"/>
        <w:ind w:firstLine="0"/>
        <w:jc w:val="left"/>
        <w:rPr>
          <w:rFonts w:cs="Times New Roman"/>
          <w:sz w:val="24"/>
          <w:szCs w:val="24"/>
        </w:rPr>
      </w:pPr>
      <w:r w:rsidRPr="008A19DF">
        <w:rPr>
          <w:rFonts w:cs="Times New Roman"/>
          <w:sz w:val="24"/>
          <w:szCs w:val="24"/>
        </w:rPr>
        <w:t xml:space="preserve">Woo, P. T. K. (1970). The </w:t>
      </w:r>
      <w:proofErr w:type="spellStart"/>
      <w:r w:rsidRPr="008A19DF">
        <w:rPr>
          <w:rFonts w:cs="Times New Roman"/>
          <w:sz w:val="24"/>
          <w:szCs w:val="24"/>
        </w:rPr>
        <w:t>haematocrit</w:t>
      </w:r>
      <w:proofErr w:type="spellEnd"/>
      <w:r w:rsidRPr="008A19DF">
        <w:rPr>
          <w:rFonts w:cs="Times New Roman"/>
          <w:sz w:val="24"/>
          <w:szCs w:val="24"/>
        </w:rPr>
        <w:t xml:space="preserve"> centrifuge technique for the diagnosis of African trypanosomiasis. </w:t>
      </w:r>
      <w:r w:rsidRPr="008A19DF">
        <w:rPr>
          <w:rFonts w:cs="Times New Roman"/>
          <w:i/>
          <w:iCs/>
          <w:sz w:val="24"/>
          <w:szCs w:val="24"/>
        </w:rPr>
        <w:t>Acta Tropica, 27</w:t>
      </w:r>
      <w:r w:rsidRPr="008A19DF">
        <w:rPr>
          <w:rFonts w:cs="Times New Roman"/>
          <w:sz w:val="24"/>
          <w:szCs w:val="24"/>
        </w:rPr>
        <w:t xml:space="preserve">(4), 384–386. </w:t>
      </w:r>
      <w:hyperlink r:id="rId41" w:history="1">
        <w:r w:rsidRPr="008A19DF">
          <w:rPr>
            <w:rFonts w:cs="Times New Roman"/>
            <w:color w:val="0000FF"/>
            <w:sz w:val="24"/>
            <w:szCs w:val="24"/>
            <w:u w:val="single"/>
          </w:rPr>
          <w:t>https://pubmed.ncbi.nlm.nih.gov/4396363/</w:t>
        </w:r>
      </w:hyperlink>
    </w:p>
    <w:p w14:paraId="748BED1B" w14:textId="77777777" w:rsidR="008A19DF" w:rsidRPr="008A19DF" w:rsidRDefault="008A19DF" w:rsidP="008A19DF">
      <w:pPr>
        <w:spacing w:before="100" w:beforeAutospacing="1" w:afterAutospacing="1" w:line="240" w:lineRule="auto"/>
        <w:ind w:firstLine="0"/>
        <w:jc w:val="left"/>
        <w:rPr>
          <w:rFonts w:cs="Times New Roman"/>
          <w:sz w:val="24"/>
          <w:szCs w:val="24"/>
        </w:rPr>
      </w:pPr>
      <w:r w:rsidRPr="008A19DF">
        <w:rPr>
          <w:rFonts w:cs="Times New Roman"/>
          <w:sz w:val="24"/>
          <w:szCs w:val="24"/>
        </w:rPr>
        <w:t xml:space="preserve">Yadav, S. C., Kumar, R., Manuja, A., Goyal, L., &amp; Gupta, A. K. (2014). Early detection of </w:t>
      </w:r>
      <w:r w:rsidRPr="008A19DF">
        <w:rPr>
          <w:rFonts w:cs="Times New Roman"/>
          <w:i/>
          <w:iCs/>
          <w:sz w:val="24"/>
          <w:szCs w:val="24"/>
        </w:rPr>
        <w:t xml:space="preserve">Trypanosoma </w:t>
      </w:r>
      <w:proofErr w:type="spellStart"/>
      <w:r w:rsidRPr="008A19DF">
        <w:rPr>
          <w:rFonts w:cs="Times New Roman"/>
          <w:i/>
          <w:iCs/>
          <w:sz w:val="24"/>
          <w:szCs w:val="24"/>
        </w:rPr>
        <w:t>evansi</w:t>
      </w:r>
      <w:proofErr w:type="spellEnd"/>
      <w:r w:rsidRPr="008A19DF">
        <w:rPr>
          <w:rFonts w:cs="Times New Roman"/>
          <w:sz w:val="24"/>
          <w:szCs w:val="24"/>
        </w:rPr>
        <w:t xml:space="preserve"> infection and monitoring of antibody levels by ELISA following treatment. </w:t>
      </w:r>
      <w:r w:rsidRPr="008A19DF">
        <w:rPr>
          <w:rFonts w:cs="Times New Roman"/>
          <w:i/>
          <w:iCs/>
          <w:sz w:val="24"/>
          <w:szCs w:val="24"/>
        </w:rPr>
        <w:t>Journal of Parasitic Diseases, 38</w:t>
      </w:r>
      <w:r w:rsidRPr="008A19DF">
        <w:rPr>
          <w:rFonts w:cs="Times New Roman"/>
          <w:sz w:val="24"/>
          <w:szCs w:val="24"/>
        </w:rPr>
        <w:t xml:space="preserve">(1), 124–127. </w:t>
      </w:r>
      <w:hyperlink r:id="rId42" w:history="1">
        <w:r w:rsidRPr="008A19DF">
          <w:rPr>
            <w:rFonts w:cs="Times New Roman"/>
            <w:color w:val="0000FF"/>
            <w:sz w:val="24"/>
            <w:szCs w:val="24"/>
            <w:u w:val="single"/>
          </w:rPr>
          <w:t>https://doi.org/10.1007/s12639-012-0204-2</w:t>
        </w:r>
      </w:hyperlink>
    </w:p>
    <w:p w14:paraId="03E50108" w14:textId="77777777" w:rsidR="008A19DF" w:rsidRPr="008A19DF" w:rsidRDefault="008A19DF" w:rsidP="008A19DF"/>
    <w:sectPr w:rsidR="008A19DF" w:rsidRPr="008A19DF" w:rsidSect="00034616">
      <w:footerReference w:type="default" r:id="rId43"/>
      <w:pgSz w:w="12240" w:h="15840"/>
      <w:pgMar w:top="1080" w:right="1224" w:bottom="1080" w:left="1224" w:header="432"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F62AC" w14:textId="77777777" w:rsidR="00053273" w:rsidRDefault="00053273">
      <w:pPr>
        <w:spacing w:after="0" w:line="240" w:lineRule="auto"/>
      </w:pPr>
      <w:r>
        <w:separator/>
      </w:r>
    </w:p>
  </w:endnote>
  <w:endnote w:type="continuationSeparator" w:id="0">
    <w:p w14:paraId="7058BA88" w14:textId="77777777" w:rsidR="00053273" w:rsidRDefault="00053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3AD53" w14:textId="77777777" w:rsidR="005129EA" w:rsidRDefault="00000000">
    <w:pPr>
      <w:pStyle w:val="Footer"/>
      <w:jc w:val="center"/>
    </w:pPr>
    <w:r>
      <w:rPr>
        <w:sz w:val="18"/>
      </w:rPr>
      <w:fldChar w:fldCharType="begin"/>
    </w:r>
    <w:r>
      <w:rPr>
        <w:sz w:val="18"/>
      </w:rPr>
      <w:instrText>PAGE</w:instrText>
    </w:r>
    <w:r>
      <w:rPr>
        <w:sz w:val="18"/>
      </w:rPr>
      <w:fldChar w:fldCharType="separate"/>
    </w:r>
    <w:r w:rsidR="0097217A">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9AD3F" w14:textId="77777777" w:rsidR="00053273" w:rsidRDefault="00053273">
      <w:pPr>
        <w:spacing w:after="0" w:line="240" w:lineRule="auto"/>
      </w:pPr>
      <w:r>
        <w:separator/>
      </w:r>
    </w:p>
  </w:footnote>
  <w:footnote w:type="continuationSeparator" w:id="0">
    <w:p w14:paraId="1B3B8F9E" w14:textId="77777777" w:rsidR="00053273" w:rsidRDefault="000532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13484337">
    <w:abstractNumId w:val="8"/>
  </w:num>
  <w:num w:numId="2" w16cid:durableId="1371959952">
    <w:abstractNumId w:val="6"/>
  </w:num>
  <w:num w:numId="3" w16cid:durableId="968898216">
    <w:abstractNumId w:val="5"/>
  </w:num>
  <w:num w:numId="4" w16cid:durableId="1943874041">
    <w:abstractNumId w:val="4"/>
  </w:num>
  <w:num w:numId="5" w16cid:durableId="1508669745">
    <w:abstractNumId w:val="7"/>
  </w:num>
  <w:num w:numId="6" w16cid:durableId="1476722996">
    <w:abstractNumId w:val="3"/>
  </w:num>
  <w:num w:numId="7" w16cid:durableId="1138885728">
    <w:abstractNumId w:val="2"/>
  </w:num>
  <w:num w:numId="8" w16cid:durableId="451020207">
    <w:abstractNumId w:val="1"/>
  </w:num>
  <w:num w:numId="9" w16cid:durableId="888151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3273"/>
    <w:rsid w:val="0006063C"/>
    <w:rsid w:val="000616AC"/>
    <w:rsid w:val="0007538C"/>
    <w:rsid w:val="000D3FE9"/>
    <w:rsid w:val="0015074B"/>
    <w:rsid w:val="001B5402"/>
    <w:rsid w:val="0025445C"/>
    <w:rsid w:val="002712AE"/>
    <w:rsid w:val="0029639D"/>
    <w:rsid w:val="00326F90"/>
    <w:rsid w:val="004E5D1F"/>
    <w:rsid w:val="005129EA"/>
    <w:rsid w:val="00810A1B"/>
    <w:rsid w:val="008A19DF"/>
    <w:rsid w:val="00906FAA"/>
    <w:rsid w:val="0097217A"/>
    <w:rsid w:val="00A6614C"/>
    <w:rsid w:val="00AA1D8D"/>
    <w:rsid w:val="00B47730"/>
    <w:rsid w:val="00C13F0F"/>
    <w:rsid w:val="00CB0664"/>
    <w:rsid w:val="00F56EC2"/>
    <w:rsid w:val="00FC588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61BCF9"/>
  <w14:defaultImageDpi w14:val="300"/>
  <w15:docId w15:val="{037A7D86-F295-4D06-9440-382D18D40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ind w:firstLine="360"/>
      <w:jc w:val="both"/>
    </w:pPr>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200"/>
      <w:ind w:firstLine="0"/>
      <w:jc w:val="left"/>
      <w:outlineLvl w:val="0"/>
    </w:pPr>
    <w:rPr>
      <w:rFonts w:asciiTheme="majorHAnsi" w:eastAsiaTheme="majorEastAsia" w:hAnsiTheme="majorHAnsi" w:cstheme="majorBidi"/>
      <w:b/>
      <w:bCs/>
      <w:color w:val="000000"/>
      <w:sz w:val="26"/>
      <w:szCs w:val="28"/>
    </w:rPr>
  </w:style>
  <w:style w:type="paragraph" w:styleId="Heading2">
    <w:name w:val="heading 2"/>
    <w:basedOn w:val="Normal"/>
    <w:next w:val="Normal"/>
    <w:link w:val="Heading2Char"/>
    <w:uiPriority w:val="9"/>
    <w:unhideWhenUsed/>
    <w:qFormat/>
    <w:rsid w:val="00FC693F"/>
    <w:pPr>
      <w:keepNext/>
      <w:keepLines/>
      <w:spacing w:before="160" w:after="80"/>
      <w:ind w:firstLine="0"/>
      <w:jc w:val="left"/>
      <w:outlineLvl w:val="1"/>
    </w:pPr>
    <w:rPr>
      <w:rFonts w:asciiTheme="majorHAnsi" w:eastAsiaTheme="majorEastAsia" w:hAnsiTheme="majorHAnsi" w:cstheme="majorBidi"/>
      <w:b/>
      <w:bCs/>
      <w:color w:val="000000"/>
      <w:sz w:val="23"/>
      <w:szCs w:val="26"/>
    </w:rPr>
  </w:style>
  <w:style w:type="paragraph" w:styleId="Heading3">
    <w:name w:val="heading 3"/>
    <w:basedOn w:val="Normal"/>
    <w:next w:val="Normal"/>
    <w:link w:val="Heading3Char"/>
    <w:uiPriority w:val="9"/>
    <w:unhideWhenUsed/>
    <w:qFormat/>
    <w:rsid w:val="00FC693F"/>
    <w:pPr>
      <w:keepNext/>
      <w:keepLines/>
      <w:spacing w:before="120" w:after="60"/>
      <w:ind w:firstLine="0"/>
      <w:jc w:val="left"/>
      <w:outlineLvl w:val="2"/>
    </w:pPr>
    <w:rPr>
      <w:rFonts w:asciiTheme="majorHAnsi" w:eastAsiaTheme="majorEastAsia" w:hAnsiTheme="majorHAnsi" w:cstheme="majorBidi"/>
      <w:b/>
      <w:bCs/>
      <w:color w:val="0000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ind w:firstLine="0"/>
      <w:contextualSpacing/>
      <w:jc w:val="center"/>
    </w:pPr>
    <w:rPr>
      <w:rFonts w:asciiTheme="majorHAnsi" w:eastAsiaTheme="majorEastAsia" w:hAnsiTheme="majorHAnsi" w:cstheme="majorBidi"/>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ind w:firstLine="36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bstractText">
    <w:name w:val="Abstract Text"/>
    <w:pPr>
      <w:spacing w:after="100" w:line="247" w:lineRule="auto"/>
      <w:jc w:val="both"/>
    </w:pPr>
    <w:rPr>
      <w:rFonts w:ascii="Times New Roman" w:eastAsia="Times New Roman" w:hAnsi="Times New Roman"/>
      <w:sz w:val="21"/>
    </w:rPr>
  </w:style>
  <w:style w:type="paragraph" w:customStyle="1" w:styleId="CaptionClean">
    <w:name w:val="Caption Clean"/>
    <w:pPr>
      <w:keepNext/>
      <w:spacing w:before="60" w:after="140" w:line="240" w:lineRule="auto"/>
      <w:jc w:val="center"/>
    </w:pPr>
    <w:rPr>
      <w:rFonts w:ascii="Times New Roman" w:eastAsia="Times New Roman" w:hAnsi="Times New Roman"/>
      <w:sz w:val="18"/>
    </w:rPr>
  </w:style>
  <w:style w:type="paragraph" w:customStyle="1" w:styleId="Reference">
    <w:name w:val="Reference"/>
    <w:pPr>
      <w:spacing w:after="80" w:line="240" w:lineRule="auto"/>
      <w:ind w:left="432" w:hanging="432"/>
    </w:pPr>
    <w:rPr>
      <w:rFonts w:ascii="Times New Roman" w:eastAsia="Times New Roman" w:hAnsi="Times New Roman"/>
      <w:sz w:val="19"/>
    </w:rPr>
  </w:style>
  <w:style w:type="character" w:styleId="Hyperlink">
    <w:name w:val="Hyperlink"/>
    <w:basedOn w:val="DefaultParagraphFont"/>
    <w:uiPriority w:val="99"/>
    <w:unhideWhenUsed/>
    <w:rsid w:val="00F56EC2"/>
    <w:rPr>
      <w:color w:val="0000FF" w:themeColor="hyperlink"/>
      <w:u w:val="single"/>
    </w:rPr>
  </w:style>
  <w:style w:type="character" w:styleId="UnresolvedMention">
    <w:name w:val="Unresolved Mention"/>
    <w:basedOn w:val="DefaultParagraphFont"/>
    <w:uiPriority w:val="99"/>
    <w:semiHidden/>
    <w:unhideWhenUsed/>
    <w:rsid w:val="00F56E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doi.org/10.1017/S0031182016001268" TargetMode="External"/><Relationship Id="rId39" Type="http://schemas.openxmlformats.org/officeDocument/2006/relationships/hyperlink" Target="https://doi.org/10.1007/s11250-022-03069-y" TargetMode="External"/><Relationship Id="rId21" Type="http://schemas.openxmlformats.org/officeDocument/2006/relationships/hyperlink" Target="https://doi.org/10.1186/s13071-019-3484-x" TargetMode="External"/><Relationship Id="rId34" Type="http://schemas.openxmlformats.org/officeDocument/2006/relationships/hyperlink" Target="https://doi.org/10.1016/S0304-4017(02)00331-X" TargetMode="External"/><Relationship Id="rId42" Type="http://schemas.openxmlformats.org/officeDocument/2006/relationships/hyperlink" Target="https://doi.org/10.1007/s12639-012-0204-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doi.org/10.56093/ijans.v86i12.659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doi.org/10.1186/s13071-022-05190-1" TargetMode="External"/><Relationship Id="rId32" Type="http://schemas.openxmlformats.org/officeDocument/2006/relationships/hyperlink" Target="https://doi.org/10.1016/j.vetpar.2013.04.018" TargetMode="External"/><Relationship Id="rId37" Type="http://schemas.openxmlformats.org/officeDocument/2006/relationships/hyperlink" Target="https://doi.org/10.1371/journal.pntd.0007175" TargetMode="External"/><Relationship Id="rId40" Type="http://schemas.openxmlformats.org/officeDocument/2006/relationships/hyperlink" Target="https://doi.org/10.1155/2024/6550276"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doi.org/10.1155/2013/321237" TargetMode="External"/><Relationship Id="rId28" Type="http://schemas.openxmlformats.org/officeDocument/2006/relationships/hyperlink" Target="https://doi.org/10.1007/s00436-023-07888-2" TargetMode="External"/><Relationship Id="rId36" Type="http://schemas.openxmlformats.org/officeDocument/2006/relationships/hyperlink" Target="https://doi.org/10.1002/evj.70136" TargetMode="External"/><Relationship Id="rId10" Type="http://schemas.openxmlformats.org/officeDocument/2006/relationships/image" Target="media/image3.png"/><Relationship Id="rId19" Type="http://schemas.openxmlformats.org/officeDocument/2006/relationships/hyperlink" Target="https://doi.org/10.1186/s13071-019-3311-4" TargetMode="External"/><Relationship Id="rId31" Type="http://schemas.openxmlformats.org/officeDocument/2006/relationships/hyperlink" Target="https://doi.org/10.56093/ijans.v86i6.59148"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doi.org/10.1111/j.2042-3306.1988.tb01451.x" TargetMode="External"/><Relationship Id="rId27" Type="http://schemas.openxmlformats.org/officeDocument/2006/relationships/hyperlink" Target="https://doi.org/10.1016/j.parint.2022.102632" TargetMode="External"/><Relationship Id="rId30" Type="http://schemas.openxmlformats.org/officeDocument/2006/relationships/hyperlink" Target="https://doi.org/10.3390/microorganisms12010044" TargetMode="External"/><Relationship Id="rId35" Type="http://schemas.openxmlformats.org/officeDocument/2006/relationships/hyperlink" Target="https://doi.org/10.1111/evj.70101" TargetMode="External"/><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doi.org/10.1155/2013/194176" TargetMode="External"/><Relationship Id="rId33" Type="http://schemas.openxmlformats.org/officeDocument/2006/relationships/hyperlink" Target="https://doi.org/10.1007/s11250-007-9107-0" TargetMode="External"/><Relationship Id="rId38" Type="http://schemas.openxmlformats.org/officeDocument/2006/relationships/hyperlink" Target="https://doi.org/10.1007/s11250-013-0498-9" TargetMode="External"/><Relationship Id="rId20" Type="http://schemas.openxmlformats.org/officeDocument/2006/relationships/hyperlink" Target="https://doi.org/10.1016/j.vetpar.2023.109980" TargetMode="External"/><Relationship Id="rId41" Type="http://schemas.openxmlformats.org/officeDocument/2006/relationships/hyperlink" Target="https://pubmed.ncbi.nlm.nih.gov/43963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13</Pages>
  <Words>5025</Words>
  <Characters>28648</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33606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PCR-Based Monitoring of Short-Term Response to Quinapyramine Treatment in Naturally Occurring Equine Surra in Eastern Uttar Pradesh, India</dc:title>
  <dc:subject>Clean revised manuscript</dc:subject>
  <dc:creator>EDITOR</dc:creator>
  <cp:keywords>Trypanosoma evansi; equine surra; quinapyramine; ISG-PCR; antibody ELISA</cp:keywords>
  <dc:description/>
  <cp:lastModifiedBy>SDI 1087</cp:lastModifiedBy>
  <cp:revision>8</cp:revision>
  <cp:lastPrinted>2026-07-28T09:05:00Z</cp:lastPrinted>
  <dcterms:created xsi:type="dcterms:W3CDTF">2013-12-23T23:15:00Z</dcterms:created>
  <dcterms:modified xsi:type="dcterms:W3CDTF">2026-07-29T10:11:00Z</dcterms:modified>
  <cp:category/>
</cp:coreProperties>
</file>