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E2237C" w14:paraId="65568977" w14:textId="77777777">
        <w:trPr>
          <w:trHeight w:val="20"/>
          <w:jc w:val="center"/>
        </w:trPr>
        <w:tc>
          <w:tcPr>
            <w:tcW w:w="1186" w:type="pct"/>
          </w:tcPr>
          <w:p w14:paraId="4CAED004" w14:textId="77777777" w:rsidR="000F510C" w:rsidRPr="00E2237C" w:rsidRDefault="005E6DB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96F13C6" w14:textId="77777777" w:rsidR="000F510C" w:rsidRPr="00E2237C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2237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E2237C" w14:paraId="2762411C" w14:textId="77777777">
        <w:trPr>
          <w:trHeight w:val="20"/>
          <w:jc w:val="center"/>
        </w:trPr>
        <w:tc>
          <w:tcPr>
            <w:tcW w:w="1186" w:type="pct"/>
          </w:tcPr>
          <w:p w14:paraId="43E481B5" w14:textId="77777777" w:rsidR="000F510C" w:rsidRPr="00E2237C" w:rsidRDefault="005E6DB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050D0AD" w14:textId="77777777" w:rsidR="000F510C" w:rsidRPr="00E2237C" w:rsidRDefault="004F5E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Ms_UPJOZ_6312</w:t>
            </w:r>
          </w:p>
        </w:tc>
      </w:tr>
      <w:tr w:rsidR="000F510C" w:rsidRPr="00E2237C" w14:paraId="6C0832B7" w14:textId="77777777">
        <w:trPr>
          <w:trHeight w:val="20"/>
          <w:jc w:val="center"/>
        </w:trPr>
        <w:tc>
          <w:tcPr>
            <w:tcW w:w="1186" w:type="pct"/>
          </w:tcPr>
          <w:p w14:paraId="7F6894DA" w14:textId="77777777" w:rsidR="000F510C" w:rsidRPr="00E2237C" w:rsidRDefault="005E6DB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A236C8C" w14:textId="77777777" w:rsidR="000F510C" w:rsidRPr="00E2237C" w:rsidRDefault="004F5E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>MOLECULAR DETECTION AND PHYLOGENETIC ANALYSIS OF CPB2 GENE OF CLOSTRIDIUM PERFRINGENS ISOLATED FROM NECROTIC ENTERITIS CASES OF POULTRY</w:t>
            </w:r>
          </w:p>
        </w:tc>
      </w:tr>
      <w:tr w:rsidR="000F510C" w:rsidRPr="00E2237C" w14:paraId="4040A327" w14:textId="77777777">
        <w:trPr>
          <w:trHeight w:val="20"/>
          <w:jc w:val="center"/>
        </w:trPr>
        <w:tc>
          <w:tcPr>
            <w:tcW w:w="1186" w:type="pct"/>
          </w:tcPr>
          <w:p w14:paraId="118E79FD" w14:textId="77777777" w:rsidR="000F510C" w:rsidRPr="00E2237C" w:rsidRDefault="005E6DB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21EA9AC8" w14:textId="77777777" w:rsidR="000F510C" w:rsidRPr="00E2237C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3779A7A" w14:textId="77777777" w:rsidR="000F510C" w:rsidRPr="00E2237C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E6DEC26" w14:textId="77777777" w:rsidR="000F510C" w:rsidRPr="00E2237C" w:rsidRDefault="005E6DB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E2237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A093FA0" w14:textId="77777777" w:rsidR="000F510C" w:rsidRPr="00E2237C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E2237C" w14:paraId="0044CD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DAC473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6AF5C34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070E3FF" w14:textId="77777777" w:rsidR="000F510C" w:rsidRPr="00E2237C" w:rsidRDefault="005E6DB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223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65E794D0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212169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9E9E33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227F513" w14:textId="77777777" w:rsidR="000F510C" w:rsidRPr="00E2237C" w:rsidRDefault="005E6DB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1F1CD5E" w14:textId="77777777" w:rsidR="000F510C" w:rsidRPr="00E2237C" w:rsidRDefault="008253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</w:rPr>
              <w:t xml:space="preserve">Necrotic enteritis (NE) is a common and economically important intestinal disease of poultry cause </w:t>
            </w:r>
            <w:r w:rsidRPr="00E2237C">
              <w:rPr>
                <w:rFonts w:ascii="Arial" w:hAnsi="Arial" w:cs="Arial"/>
                <w:sz w:val="20"/>
                <w:szCs w:val="20"/>
              </w:rPr>
              <w:t>decrease in production performance, disease treatment expenses.</w:t>
            </w:r>
          </w:p>
        </w:tc>
        <w:tc>
          <w:tcPr>
            <w:tcW w:w="1667" w:type="pct"/>
          </w:tcPr>
          <w:p w14:paraId="24606578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7993703" w14:textId="77777777" w:rsidR="000F510C" w:rsidRPr="00E2237C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3BE045E8" w14:textId="77777777" w:rsidR="000F510C" w:rsidRPr="00E2237C" w:rsidRDefault="005E6D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223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5E6AAA0" w14:textId="77777777" w:rsidR="000F510C" w:rsidRPr="00E2237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E2237C" w14:paraId="2FCC45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2C91B2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DE1DC6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129130A" w14:textId="77777777" w:rsidR="000F510C" w:rsidRPr="00E2237C" w:rsidRDefault="005E6DB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A048C" w:rsidRPr="00E2237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E2237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E2237C" w14:paraId="53DAAF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A12A51" w14:textId="77777777" w:rsidR="000F510C" w:rsidRPr="00E2237C" w:rsidRDefault="005E6D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3E14902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BA9491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E2330D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CD524B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7789DC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7F70CD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F1709F7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E629FC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E59FE9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346EC1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0EC6C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D8F950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4E15E2F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E70F1C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3B7D71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480A7A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51A4F3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77A66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EAF8A66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5D41E6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B5DC09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C72A0C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63CFFD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3009E5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DF874C1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A3CC6F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E67A45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ED6888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4C497D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3C0384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25FC2C2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BF6437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7486B8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4611AAE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4C6FE4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56B36D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B2E38C3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44545A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64CD6D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298213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11FBB5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A0B4CA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F449DF8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6D2535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395499" w14:textId="77777777" w:rsidR="000F510C" w:rsidRPr="00E2237C" w:rsidRDefault="008253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6F2C1A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33D4A0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809A61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F1FF4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69ADA2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36E490" w14:textId="77777777" w:rsidR="000F510C" w:rsidRPr="00E2237C" w:rsidRDefault="008253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4</w:t>
            </w:r>
          </w:p>
        </w:tc>
        <w:tc>
          <w:tcPr>
            <w:tcW w:w="1667" w:type="pct"/>
          </w:tcPr>
          <w:p w14:paraId="22EB3172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1A20EE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250AE0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B1F2125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76655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22D6ED8" w14:textId="77777777" w:rsidR="000F510C" w:rsidRPr="00E2237C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4023580" w14:textId="77777777" w:rsidR="000F510C" w:rsidRPr="00E2237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CB51F5" w14:textId="77777777" w:rsidR="000F510C" w:rsidRPr="00E2237C" w:rsidRDefault="008253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6A13F167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175827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6EA99D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C6DEF29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CCCF0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ECEF33F" w14:textId="77777777" w:rsidR="000F510C" w:rsidRPr="00E2237C" w:rsidRDefault="00825338" w:rsidP="00825338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4568C7B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1CB93F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E85591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B27760B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E839B9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FB2ABF" w14:textId="77777777" w:rsidR="000F510C" w:rsidRPr="00E2237C" w:rsidRDefault="00103254" w:rsidP="00825338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4A3D89A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143AF9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B7646D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B946D1B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2A97E5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22C65" w14:textId="77777777" w:rsidR="000F510C" w:rsidRPr="00E2237C" w:rsidRDefault="00103254" w:rsidP="00825338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3DF05C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51B763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760193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273029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6F3A81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B246E1C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FA0FCC3" w14:textId="77777777" w:rsidR="000F510C" w:rsidRPr="00E2237C" w:rsidRDefault="00825338" w:rsidP="00825338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E0DC7D0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0E352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7FAF78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47B4451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F8BA55" w14:textId="77777777" w:rsidR="000F510C" w:rsidRPr="00E2237C" w:rsidRDefault="005E6D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111FBA" w14:textId="77777777" w:rsidR="000F510C" w:rsidRPr="00E2237C" w:rsidRDefault="005E6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7FAFC08" w14:textId="77777777" w:rsidR="000F510C" w:rsidRPr="00E2237C" w:rsidRDefault="00825338" w:rsidP="00825338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A3BA76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9568096" w14:textId="77777777" w:rsidR="000F510C" w:rsidRPr="00E2237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68FB455" w14:textId="77777777" w:rsidR="000F510C" w:rsidRPr="00E2237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20629C7" w14:textId="77777777" w:rsidR="000F510C" w:rsidRPr="00E2237C" w:rsidRDefault="005E6D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223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7D6560" w14:textId="77777777" w:rsidR="000F510C" w:rsidRPr="00E2237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E2237C" w14:paraId="7FAB9C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A6E28E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4E216C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B652325" w14:textId="77777777" w:rsidR="000F510C" w:rsidRPr="00E2237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023D67" w14:textId="77777777" w:rsidR="000F510C" w:rsidRPr="00E2237C" w:rsidRDefault="005E6DB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223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2237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AFA4EBE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2C7BA1C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B0EC84" w14:textId="77777777" w:rsidR="000F510C" w:rsidRPr="00E2237C" w:rsidRDefault="005E6D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6E86DB" w14:textId="77777777" w:rsidR="000F510C" w:rsidRPr="00E2237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383F9F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EED9C36" w14:textId="77777777" w:rsidR="000F510C" w:rsidRPr="00E2237C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C8EC1B8" w14:textId="77777777" w:rsidR="000F510C" w:rsidRPr="00E2237C" w:rsidRDefault="003759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AAA4A9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4500D7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F9A2CA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CE6D6E8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CF4C9D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1BADDB4" w14:textId="77777777" w:rsidR="000F510C" w:rsidRPr="00E2237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D824D9" w14:textId="77777777" w:rsidR="000F510C" w:rsidRPr="00E2237C" w:rsidRDefault="003759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70A663B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6D0488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5CE812" w14:textId="77777777" w:rsidR="000F510C" w:rsidRPr="00E2237C" w:rsidRDefault="005E6D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223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3FD74D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33379DD" w14:textId="77777777" w:rsidR="000F510C" w:rsidRPr="00E2237C" w:rsidRDefault="005E6D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8D70BC5" w14:textId="77777777" w:rsidR="000F510C" w:rsidRPr="00E2237C" w:rsidRDefault="003968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="0037594F"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CEB6166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2D584E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ED004E" w14:textId="77777777" w:rsidR="000F510C" w:rsidRPr="00E2237C" w:rsidRDefault="005E6D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319B8F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6299403" w14:textId="77777777" w:rsidR="000F510C" w:rsidRPr="00E2237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039D7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57C598" w14:textId="77777777" w:rsidR="000F510C" w:rsidRPr="00E2237C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4445E9" w14:textId="77777777" w:rsidR="000F510C" w:rsidRPr="00E2237C" w:rsidRDefault="003968A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</w:t>
            </w:r>
            <w:r w:rsidR="0037594F"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</w:t>
            </w:r>
          </w:p>
          <w:p w14:paraId="7B3AF8D9" w14:textId="77777777" w:rsidR="0037594F" w:rsidRPr="00E2237C" w:rsidRDefault="0037594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2237C">
              <w:rPr>
                <w:rFonts w:ascii="Arial" w:hAnsi="Arial" w:cs="Arial"/>
                <w:sz w:val="20"/>
                <w:szCs w:val="20"/>
              </w:rPr>
              <w:t xml:space="preserve">1 ) From the reference Shimizu </w:t>
            </w:r>
            <w:r w:rsidRPr="00E2237C">
              <w:rPr>
                <w:rFonts w:ascii="Arial" w:hAnsi="Arial" w:cs="Arial"/>
                <w:i/>
                <w:iCs/>
                <w:sz w:val="20"/>
                <w:szCs w:val="20"/>
              </w:rPr>
              <w:t>et al.</w:t>
            </w:r>
            <w:r w:rsidRPr="00E2237C">
              <w:rPr>
                <w:rFonts w:ascii="Arial" w:hAnsi="Arial" w:cs="Arial"/>
                <w:sz w:val="20"/>
                <w:szCs w:val="20"/>
              </w:rPr>
              <w:t xml:space="preserve"> 2002b, The letter ‘b’ should be removed.</w:t>
            </w:r>
          </w:p>
          <w:p w14:paraId="20698AAE" w14:textId="77777777" w:rsidR="0037594F" w:rsidRPr="00E2237C" w:rsidRDefault="0037594F" w:rsidP="0037594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2237C">
              <w:rPr>
                <w:rFonts w:ascii="Arial" w:hAnsi="Arial" w:cs="Arial"/>
                <w:sz w:val="20"/>
                <w:szCs w:val="20"/>
              </w:rPr>
              <w:t xml:space="preserve">2) Instead of Tamura and Kumar 2021, the  reference should be Tamura </w:t>
            </w:r>
            <w:r w:rsidRPr="00E2237C">
              <w:rPr>
                <w:rFonts w:ascii="Arial" w:hAnsi="Arial" w:cs="Arial"/>
                <w:i/>
                <w:sz w:val="20"/>
                <w:szCs w:val="20"/>
              </w:rPr>
              <w:t>et al</w:t>
            </w:r>
            <w:r w:rsidRPr="00E2237C">
              <w:rPr>
                <w:rFonts w:ascii="Arial" w:hAnsi="Arial" w:cs="Arial"/>
                <w:sz w:val="20"/>
                <w:szCs w:val="20"/>
              </w:rPr>
              <w:t>., 2021)</w:t>
            </w:r>
          </w:p>
          <w:p w14:paraId="0BF9F3C8" w14:textId="77777777" w:rsidR="003968AE" w:rsidRPr="00E2237C" w:rsidRDefault="0037594F" w:rsidP="0037594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 w:rsidRPr="00E2237C">
              <w:rPr>
                <w:rFonts w:ascii="Arial" w:hAnsi="Arial" w:cs="Arial"/>
                <w:sz w:val="20"/>
                <w:szCs w:val="20"/>
              </w:rPr>
              <w:t xml:space="preserve">3) </w:t>
            </w:r>
            <w:r w:rsidR="003968AE" w:rsidRPr="00E2237C">
              <w:rPr>
                <w:rFonts w:ascii="Arial" w:hAnsi="Arial" w:cs="Arial"/>
                <w:sz w:val="20"/>
                <w:szCs w:val="20"/>
              </w:rPr>
              <w:t xml:space="preserve">Correct sequence in </w:t>
            </w:r>
            <w:r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 xml:space="preserve">Rana </w:t>
            </w:r>
            <w:r w:rsidRPr="00E2237C">
              <w:rPr>
                <w:rFonts w:ascii="Arial" w:hAnsi="Arial" w:cs="Arial"/>
                <w:i/>
                <w:iCs/>
                <w:color w:val="4472C4" w:themeColor="accent1"/>
                <w:sz w:val="20"/>
                <w:szCs w:val="20"/>
              </w:rPr>
              <w:t>et al</w:t>
            </w:r>
            <w:r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>., (2023)</w:t>
            </w:r>
            <w:r w:rsidR="003968AE"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 xml:space="preserve">- </w:t>
            </w:r>
            <w:r w:rsidR="003968AE" w:rsidRPr="00E2237C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Rana EA, Nizami TA, Islam MS, Barua H, Islam MZ. Phenotypical Identification and Toxinotyping of </w:t>
            </w:r>
            <w:r w:rsidR="003968AE" w:rsidRPr="00E2237C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>Clostridium perfringens</w:t>
            </w:r>
            <w:r w:rsidR="003968AE" w:rsidRPr="00E2237C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 Isolates from Healthy and Enteric Disease-Affected Chickens. Vet Med Int. 2023 Feb 8;2023:2584171. </w:t>
            </w:r>
            <w:proofErr w:type="spellStart"/>
            <w:r w:rsidR="003968AE" w:rsidRPr="00E2237C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="003968AE" w:rsidRPr="00E2237C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: 10.1155/2023/2584171. PMID: 36818644; PMCID: PMC9931463.</w:t>
            </w:r>
          </w:p>
          <w:p w14:paraId="0F09E679" w14:textId="77777777" w:rsidR="0037594F" w:rsidRPr="00E2237C" w:rsidRDefault="0037594F" w:rsidP="0037594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 xml:space="preserve"> </w:t>
            </w:r>
            <w:r w:rsidR="003968AE" w:rsidRPr="00E2237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4) Instead of Wang</w:t>
            </w:r>
            <w:r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 xml:space="preserve"> </w:t>
            </w:r>
            <w:r w:rsidRPr="00E2237C">
              <w:rPr>
                <w:rFonts w:ascii="Arial" w:hAnsi="Arial" w:cs="Arial"/>
                <w:i/>
                <w:iCs/>
                <w:color w:val="4472C4" w:themeColor="accent1"/>
                <w:sz w:val="20"/>
                <w:szCs w:val="20"/>
              </w:rPr>
              <w:t>et al.,</w:t>
            </w:r>
            <w:r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>(2025)</w:t>
            </w:r>
            <w:r w:rsidR="003968AE"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 xml:space="preserve">, the  Wang </w:t>
            </w:r>
            <w:r w:rsidR="003968AE" w:rsidRPr="00E2237C">
              <w:rPr>
                <w:rFonts w:ascii="Arial" w:hAnsi="Arial" w:cs="Arial"/>
                <w:i/>
                <w:iCs/>
                <w:color w:val="4472C4" w:themeColor="accent1"/>
                <w:sz w:val="20"/>
                <w:szCs w:val="20"/>
              </w:rPr>
              <w:t>et al.,</w:t>
            </w:r>
            <w:r w:rsidR="003968AE" w:rsidRPr="00E2237C">
              <w:rPr>
                <w:rFonts w:ascii="Arial" w:hAnsi="Arial" w:cs="Arial"/>
                <w:color w:val="4472C4" w:themeColor="accent1"/>
                <w:sz w:val="20"/>
                <w:szCs w:val="20"/>
              </w:rPr>
              <w:t>(2026) should be mentioned and  the</w:t>
            </w:r>
            <w:r w:rsidRPr="00E223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968AE" w:rsidRPr="00E2237C">
              <w:rPr>
                <w:rFonts w:ascii="Arial" w:hAnsi="Arial" w:cs="Arial"/>
                <w:sz w:val="20"/>
                <w:szCs w:val="20"/>
              </w:rPr>
              <w:t xml:space="preserve">correct sequence -- </w:t>
            </w:r>
            <w:r w:rsidR="003968AE" w:rsidRPr="00E2237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Wang, D., Zeng, J., Liu, C. </w:t>
            </w:r>
            <w:r w:rsidR="003968AE" w:rsidRPr="00E2237C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et al.</w:t>
            </w:r>
            <w:r w:rsidR="003968AE" w:rsidRPr="00E2237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Seroprevalence, isolation, comprehensive characterization, and pathogenicity of </w:t>
            </w:r>
            <w:r w:rsidR="003968AE" w:rsidRPr="00E2237C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Clostridium perfringens</w:t>
            </w:r>
            <w:r w:rsidR="003968AE" w:rsidRPr="00E2237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strain from yak in Xizang, China. </w:t>
            </w:r>
            <w:r w:rsidR="003968AE" w:rsidRPr="00E2237C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Sci Rep</w:t>
            </w:r>
            <w:r w:rsidR="003968AE" w:rsidRPr="00E2237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="003968AE" w:rsidRPr="00E2237C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16</w:t>
            </w:r>
            <w:r w:rsidR="003968AE" w:rsidRPr="00E2237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12312 (2026). https://doi.org/10.1038/s41598-026-42837-w</w:t>
            </w:r>
          </w:p>
          <w:p w14:paraId="09DB66E2" w14:textId="77777777" w:rsidR="0037594F" w:rsidRPr="00E2237C" w:rsidRDefault="0037594F" w:rsidP="0037594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4106A50C" w14:textId="77777777" w:rsidR="0037594F" w:rsidRPr="00E2237C" w:rsidRDefault="0037594F" w:rsidP="0037594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6F698FF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2237C" w14:paraId="0B589B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B8D84B" w14:textId="77777777" w:rsidR="000F510C" w:rsidRPr="00E2237C" w:rsidRDefault="005E6D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14E8C76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D6F7531" w14:textId="77777777" w:rsidR="000F510C" w:rsidRPr="00E2237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EFA8F9" w14:textId="77777777" w:rsidR="000F510C" w:rsidRPr="00E2237C" w:rsidRDefault="005E6D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0323FEF" w14:textId="77777777" w:rsidR="000F510C" w:rsidRPr="00E2237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CB87BE" w14:textId="77777777" w:rsidR="000F510C" w:rsidRPr="00E2237C" w:rsidRDefault="003968A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3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NO</w:t>
            </w:r>
          </w:p>
        </w:tc>
        <w:tc>
          <w:tcPr>
            <w:tcW w:w="1667" w:type="pct"/>
          </w:tcPr>
          <w:p w14:paraId="15236EA6" w14:textId="77777777" w:rsidR="000F510C" w:rsidRPr="00E2237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D52937" w14:textId="77777777" w:rsidR="00E2237C" w:rsidRPr="00E2237C" w:rsidRDefault="00E2237C" w:rsidP="00E2237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79AE358" w14:textId="77777777" w:rsidR="00E2237C" w:rsidRPr="00E2237C" w:rsidRDefault="00E2237C" w:rsidP="00E2237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2237C">
        <w:rPr>
          <w:rFonts w:ascii="Arial" w:hAnsi="Arial" w:cs="Arial"/>
          <w:b/>
          <w:u w:val="single"/>
        </w:rPr>
        <w:t>Reviewer details:</w:t>
      </w:r>
    </w:p>
    <w:p w14:paraId="3C108D6F" w14:textId="77777777" w:rsidR="00E2237C" w:rsidRPr="00E2237C" w:rsidRDefault="00E2237C" w:rsidP="00E2237C">
      <w:pPr>
        <w:rPr>
          <w:rFonts w:ascii="Arial" w:hAnsi="Arial" w:cs="Arial"/>
          <w:sz w:val="20"/>
          <w:szCs w:val="20"/>
        </w:rPr>
      </w:pPr>
      <w:r w:rsidRPr="00E2237C">
        <w:rPr>
          <w:rFonts w:ascii="Arial" w:hAnsi="Arial" w:cs="Arial"/>
          <w:color w:val="000000"/>
          <w:sz w:val="20"/>
          <w:szCs w:val="20"/>
        </w:rPr>
        <w:t xml:space="preserve">Rajesh Sudhakar </w:t>
      </w:r>
      <w:proofErr w:type="spellStart"/>
      <w:r w:rsidRPr="00E2237C">
        <w:rPr>
          <w:rFonts w:ascii="Arial" w:hAnsi="Arial" w:cs="Arial"/>
          <w:color w:val="000000"/>
          <w:sz w:val="20"/>
          <w:szCs w:val="20"/>
        </w:rPr>
        <w:t>Wakchaure</w:t>
      </w:r>
      <w:proofErr w:type="spellEnd"/>
      <w:r w:rsidRPr="00E2237C">
        <w:rPr>
          <w:rFonts w:ascii="Arial" w:hAnsi="Arial" w:cs="Arial"/>
          <w:color w:val="000000"/>
          <w:sz w:val="20"/>
          <w:szCs w:val="20"/>
        </w:rPr>
        <w:t>, College of Veterinary Science &amp; Animal Husbandry</w:t>
      </w:r>
      <w:r w:rsidRPr="00E2237C">
        <w:rPr>
          <w:rFonts w:ascii="Arial" w:hAnsi="Arial" w:cs="Arial"/>
          <w:sz w:val="20"/>
          <w:szCs w:val="20"/>
        </w:rPr>
        <w:t xml:space="preserve">, </w:t>
      </w:r>
      <w:r w:rsidRPr="00E2237C">
        <w:rPr>
          <w:rFonts w:ascii="Arial" w:hAnsi="Arial" w:cs="Arial"/>
          <w:color w:val="000000"/>
          <w:sz w:val="20"/>
          <w:szCs w:val="20"/>
        </w:rPr>
        <w:t>India</w:t>
      </w:r>
    </w:p>
    <w:p w14:paraId="6519893A" w14:textId="77777777" w:rsidR="000F510C" w:rsidRPr="00E2237C" w:rsidRDefault="000F510C" w:rsidP="00E24B9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E2237C" w:rsidSect="00577C8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4B384" w14:textId="77777777" w:rsidR="00066A70" w:rsidRDefault="00066A70">
      <w:r>
        <w:separator/>
      </w:r>
    </w:p>
  </w:endnote>
  <w:endnote w:type="continuationSeparator" w:id="0">
    <w:p w14:paraId="48B13D59" w14:textId="77777777" w:rsidR="00066A70" w:rsidRDefault="0006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469B" w14:textId="77777777" w:rsidR="000F510C" w:rsidRDefault="000F510C">
    <w:pPr>
      <w:pStyle w:val="Footer"/>
      <w:jc w:val="right"/>
    </w:pPr>
  </w:p>
  <w:p w14:paraId="144385E6" w14:textId="77777777" w:rsidR="000F510C" w:rsidRDefault="005E6DB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577C8B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577C8B">
      <w:rPr>
        <w:b/>
        <w:sz w:val="20"/>
      </w:rPr>
      <w:fldChar w:fldCharType="separate"/>
    </w:r>
    <w:r w:rsidR="00103254">
      <w:rPr>
        <w:b/>
        <w:noProof/>
        <w:sz w:val="20"/>
      </w:rPr>
      <w:t>3</w:t>
    </w:r>
    <w:r w:rsidR="00577C8B">
      <w:rPr>
        <w:b/>
        <w:sz w:val="20"/>
      </w:rPr>
      <w:fldChar w:fldCharType="end"/>
    </w:r>
    <w:r>
      <w:rPr>
        <w:sz w:val="20"/>
      </w:rPr>
      <w:t xml:space="preserve"> of </w:t>
    </w:r>
    <w:r w:rsidR="00577C8B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577C8B">
      <w:rPr>
        <w:b/>
        <w:sz w:val="20"/>
      </w:rPr>
      <w:fldChar w:fldCharType="separate"/>
    </w:r>
    <w:r w:rsidR="00103254">
      <w:rPr>
        <w:b/>
        <w:noProof/>
        <w:sz w:val="20"/>
      </w:rPr>
      <w:t>3</w:t>
    </w:r>
    <w:r w:rsidR="00577C8B">
      <w:rPr>
        <w:b/>
        <w:sz w:val="20"/>
      </w:rPr>
      <w:fldChar w:fldCharType="end"/>
    </w:r>
  </w:p>
  <w:p w14:paraId="7D747702" w14:textId="77777777" w:rsidR="000F510C" w:rsidRDefault="005E6DB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806793D" w14:textId="77777777" w:rsidR="000F510C" w:rsidRDefault="000F510C">
    <w:pPr>
      <w:pStyle w:val="Footer"/>
      <w:jc w:val="right"/>
    </w:pPr>
  </w:p>
  <w:p w14:paraId="2B66208F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9BA95" w14:textId="77777777" w:rsidR="00066A70" w:rsidRDefault="00066A70">
      <w:r>
        <w:separator/>
      </w:r>
    </w:p>
  </w:footnote>
  <w:footnote w:type="continuationSeparator" w:id="0">
    <w:p w14:paraId="6B4C140C" w14:textId="77777777" w:rsidR="00066A70" w:rsidRDefault="00066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2648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537512" w14:textId="77777777" w:rsidR="000F510C" w:rsidRDefault="005E6DB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8564506">
    <w:abstractNumId w:val="4"/>
  </w:num>
  <w:num w:numId="2" w16cid:durableId="748502402">
    <w:abstractNumId w:val="8"/>
  </w:num>
  <w:num w:numId="3" w16cid:durableId="1433016402">
    <w:abstractNumId w:val="7"/>
  </w:num>
  <w:num w:numId="4" w16cid:durableId="1274705104">
    <w:abstractNumId w:val="9"/>
  </w:num>
  <w:num w:numId="5" w16cid:durableId="1575747585">
    <w:abstractNumId w:val="6"/>
  </w:num>
  <w:num w:numId="6" w16cid:durableId="1608385922">
    <w:abstractNumId w:val="0"/>
  </w:num>
  <w:num w:numId="7" w16cid:durableId="103502856">
    <w:abstractNumId w:val="3"/>
  </w:num>
  <w:num w:numId="8" w16cid:durableId="1477987202">
    <w:abstractNumId w:val="11"/>
  </w:num>
  <w:num w:numId="9" w16cid:durableId="1343580502">
    <w:abstractNumId w:val="10"/>
  </w:num>
  <w:num w:numId="10" w16cid:durableId="1379477050">
    <w:abstractNumId w:val="2"/>
  </w:num>
  <w:num w:numId="11" w16cid:durableId="1761412948">
    <w:abstractNumId w:val="1"/>
  </w:num>
  <w:num w:numId="12" w16cid:durableId="6788522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66A70"/>
    <w:rsid w:val="000F510C"/>
    <w:rsid w:val="00103254"/>
    <w:rsid w:val="002833CA"/>
    <w:rsid w:val="00351438"/>
    <w:rsid w:val="0037594F"/>
    <w:rsid w:val="003968AE"/>
    <w:rsid w:val="004F5EF7"/>
    <w:rsid w:val="00577C8B"/>
    <w:rsid w:val="005D616B"/>
    <w:rsid w:val="005E6DBF"/>
    <w:rsid w:val="006518EB"/>
    <w:rsid w:val="006B4B7E"/>
    <w:rsid w:val="006D4715"/>
    <w:rsid w:val="00742336"/>
    <w:rsid w:val="007E7121"/>
    <w:rsid w:val="00825338"/>
    <w:rsid w:val="008A048C"/>
    <w:rsid w:val="00AD2A0C"/>
    <w:rsid w:val="00B27293"/>
    <w:rsid w:val="00BE14F8"/>
    <w:rsid w:val="00C07397"/>
    <w:rsid w:val="00C21838"/>
    <w:rsid w:val="00D82AC1"/>
    <w:rsid w:val="00E17A69"/>
    <w:rsid w:val="00E2237C"/>
    <w:rsid w:val="00E24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08240"/>
  <w15:docId w15:val="{AB0E6160-316D-4C74-89FE-F715E963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C8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77C8B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577C8B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77C8B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577C8B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577C8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577C8B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577C8B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577C8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7C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77C8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77C8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577C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77C8B"/>
    <w:pPr>
      <w:ind w:left="720"/>
      <w:contextualSpacing/>
    </w:pPr>
  </w:style>
  <w:style w:type="paragraph" w:styleId="Revision">
    <w:name w:val="Revision"/>
    <w:hidden/>
    <w:uiPriority w:val="99"/>
    <w:semiHidden/>
    <w:rsid w:val="00577C8B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577C8B"/>
    <w:rPr>
      <w:color w:val="800080"/>
      <w:u w:val="single"/>
    </w:rPr>
  </w:style>
  <w:style w:type="table" w:styleId="TableGrid">
    <w:name w:val="Table Grid"/>
    <w:basedOn w:val="TableNormal"/>
    <w:uiPriority w:val="59"/>
    <w:rsid w:val="00577C8B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577C8B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577C8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968AE"/>
    <w:rPr>
      <w:b/>
      <w:bCs/>
    </w:rPr>
  </w:style>
  <w:style w:type="character" w:customStyle="1" w:styleId="vkekvd">
    <w:name w:val="vkekvd"/>
    <w:basedOn w:val="DefaultParagraphFont"/>
    <w:rsid w:val="003968AE"/>
  </w:style>
  <w:style w:type="character" w:styleId="UnresolvedMention">
    <w:name w:val="Unresolved Mention"/>
    <w:basedOn w:val="DefaultParagraphFont"/>
    <w:uiPriority w:val="99"/>
    <w:semiHidden/>
    <w:unhideWhenUsed/>
    <w:rsid w:val="006B4B7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2237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784</Words>
  <Characters>4471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2026-08-21T06:26:00Z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