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D7FFD" w14:textId="7B81DAB9" w:rsidR="003C615A" w:rsidRPr="003C615A" w:rsidRDefault="003C615A" w:rsidP="003C615A">
      <w:pPr>
        <w:pStyle w:val="Author"/>
        <w:spacing w:line="240" w:lineRule="auto"/>
        <w:jc w:val="left"/>
        <w:rPr>
          <w:rFonts w:ascii="Arial" w:eastAsia="Arial" w:hAnsi="Arial" w:cs="Arial"/>
          <w:bCs/>
          <w:sz w:val="36"/>
          <w:szCs w:val="36"/>
          <w:u w:val="single"/>
        </w:rPr>
      </w:pPr>
      <w:r w:rsidRPr="003C615A">
        <w:rPr>
          <w:rFonts w:ascii="Arial" w:eastAsia="Arial" w:hAnsi="Arial" w:cs="Arial"/>
          <w:bCs/>
          <w:sz w:val="36"/>
          <w:szCs w:val="36"/>
          <w:u w:val="single"/>
        </w:rPr>
        <w:t>Original Research Article</w:t>
      </w:r>
    </w:p>
    <w:p w14:paraId="142800D5" w14:textId="77777777" w:rsidR="00F7227A" w:rsidRDefault="00F7227A">
      <w:pPr>
        <w:pStyle w:val="Author"/>
        <w:spacing w:line="240" w:lineRule="auto"/>
        <w:rPr>
          <w:rFonts w:ascii="Arial" w:eastAsia="Arial" w:hAnsi="Arial" w:cs="Arial"/>
          <w:bCs/>
          <w:sz w:val="36"/>
          <w:szCs w:val="36"/>
        </w:rPr>
      </w:pPr>
    </w:p>
    <w:p w14:paraId="682C8974" w14:textId="64B879DD" w:rsidR="00863806" w:rsidRDefault="00000000">
      <w:pPr>
        <w:pStyle w:val="Author"/>
        <w:spacing w:line="240" w:lineRule="auto"/>
        <w:rPr>
          <w:rFonts w:ascii="Arial" w:hAnsi="Arial" w:cs="Arial"/>
          <w:bCs/>
          <w:iCs/>
          <w:kern w:val="1"/>
          <w:sz w:val="36"/>
        </w:rPr>
      </w:pPr>
      <w:r>
        <w:rPr>
          <w:rFonts w:ascii="Arial" w:eastAsia="Arial" w:hAnsi="Arial" w:cs="Arial"/>
          <w:bCs/>
          <w:sz w:val="36"/>
          <w:szCs w:val="36"/>
        </w:rPr>
        <w:t>Nitroblue Tetrazolium (NBT) Assay and Lysozyme Activity of Red Tilapia (</w:t>
      </w:r>
      <w:r>
        <w:rPr>
          <w:rFonts w:ascii="Arial" w:eastAsia="Arial" w:hAnsi="Arial" w:cs="Arial"/>
          <w:bCs/>
          <w:i/>
          <w:iCs/>
          <w:sz w:val="36"/>
          <w:szCs w:val="36"/>
        </w:rPr>
        <w:t>Oreochromis</w:t>
      </w:r>
      <w:r>
        <w:rPr>
          <w:rFonts w:ascii="Arial" w:eastAsia="Arial" w:hAnsi="Arial" w:cs="Arial"/>
          <w:bCs/>
          <w:iCs/>
          <w:sz w:val="36"/>
          <w:szCs w:val="36"/>
        </w:rPr>
        <w:t xml:space="preserve"> spp.) Intraperitoneally Infected with </w:t>
      </w:r>
      <w:r>
        <w:rPr>
          <w:rFonts w:ascii="Arial" w:eastAsia="Arial" w:hAnsi="Arial" w:cs="Arial"/>
          <w:bCs/>
          <w:i/>
          <w:iCs/>
          <w:sz w:val="36"/>
          <w:szCs w:val="36"/>
        </w:rPr>
        <w:t>Streptococcus agalactiae</w:t>
      </w:r>
      <w:r>
        <w:rPr>
          <w:rFonts w:ascii="Arial" w:hAnsi="Arial" w:cs="Arial"/>
          <w:bCs/>
          <w:iCs/>
          <w:kern w:val="1"/>
          <w:sz w:val="36"/>
        </w:rPr>
        <w:t xml:space="preserve"> </w:t>
      </w:r>
    </w:p>
    <w:p w14:paraId="0FA21FEE" w14:textId="77777777" w:rsidR="00863806" w:rsidRDefault="00863806">
      <w:pPr>
        <w:pStyle w:val="Author"/>
        <w:spacing w:line="240" w:lineRule="auto"/>
        <w:rPr>
          <w:rFonts w:ascii="Arial" w:hAnsi="Arial" w:cs="Arial"/>
          <w:bCs/>
          <w:iCs/>
          <w:kern w:val="1"/>
          <w:sz w:val="36"/>
        </w:rPr>
      </w:pPr>
    </w:p>
    <w:p w14:paraId="68578C02" w14:textId="77777777" w:rsidR="00863806" w:rsidRDefault="00863806">
      <w:pPr>
        <w:pStyle w:val="Affiliation"/>
        <w:spacing w:after="0" w:line="240" w:lineRule="auto"/>
        <w:jc w:val="both"/>
        <w:rPr>
          <w:rFonts w:ascii="Arial" w:hAnsi="Arial" w:cs="Arial"/>
        </w:rPr>
      </w:pPr>
    </w:p>
    <w:p w14:paraId="279DC57E" w14:textId="49A6C520" w:rsidR="00F7227A" w:rsidRDefault="00A40442">
      <w:pPr>
        <w:pStyle w:val="Copyright"/>
        <w:spacing w:after="0" w:line="240" w:lineRule="auto"/>
        <w:jc w:val="both"/>
      </w:pPr>
      <w:r>
        <w:rPr>
          <w:noProof/>
        </w:rPr>
        <mc:AlternateContent>
          <mc:Choice Requires="wps">
            <w:drawing>
              <wp:inline distT="0" distB="0" distL="0" distR="0" wp14:anchorId="2F732024" wp14:editId="2D524ED3">
                <wp:extent cx="5303520" cy="635"/>
                <wp:effectExtent l="13335" t="17145" r="17145" b="11430"/>
                <wp:docPr id="9" name="Connecto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520A13" id="_x0000_t32" coordsize="21600,21600" o:spt="32" o:oned="t" path="m,l21600,21600e" filled="f">
                <v:path arrowok="t" fillok="f" o:connecttype="none"/>
                <o:lock v:ext="edit" shapetype="t"/>
              </v:shapetype>
              <v:shape id="Connector1"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38EC752B" w14:textId="77777777" w:rsidR="00F7227A" w:rsidRDefault="00F7227A">
      <w:pPr>
        <w:pStyle w:val="Copyright"/>
        <w:spacing w:after="0" w:line="240" w:lineRule="auto"/>
        <w:jc w:val="both"/>
      </w:pPr>
    </w:p>
    <w:p w14:paraId="5D03BFC5" w14:textId="77777777" w:rsidR="00F7227A" w:rsidRDefault="00F7227A">
      <w:pPr>
        <w:pStyle w:val="Copyright"/>
        <w:spacing w:after="0" w:line="240" w:lineRule="auto"/>
        <w:jc w:val="both"/>
      </w:pPr>
    </w:p>
    <w:p w14:paraId="146E94D7" w14:textId="77777777" w:rsidR="00F7227A" w:rsidRDefault="00F7227A">
      <w:pPr>
        <w:pStyle w:val="Copyright"/>
        <w:spacing w:after="0" w:line="240" w:lineRule="auto"/>
        <w:jc w:val="both"/>
      </w:pPr>
    </w:p>
    <w:p w14:paraId="3F053D75" w14:textId="77777777" w:rsidR="00F7227A" w:rsidRDefault="00F7227A">
      <w:pPr>
        <w:pStyle w:val="Copyright"/>
        <w:spacing w:after="0" w:line="240" w:lineRule="auto"/>
        <w:jc w:val="both"/>
      </w:pPr>
    </w:p>
    <w:p w14:paraId="530689F4" w14:textId="77777777" w:rsidR="00F7227A" w:rsidRDefault="00F7227A">
      <w:pPr>
        <w:pStyle w:val="Copyright"/>
        <w:spacing w:after="0" w:line="240" w:lineRule="auto"/>
        <w:jc w:val="both"/>
      </w:pPr>
    </w:p>
    <w:p w14:paraId="6951B03C" w14:textId="77777777" w:rsidR="00863806" w:rsidRDefault="00000000">
      <w:pPr>
        <w:pStyle w:val="AbstHead"/>
        <w:spacing w:after="0"/>
        <w:jc w:val="both"/>
        <w:rPr>
          <w:rFonts w:ascii="Arial" w:hAnsi="Arial" w:cs="Arial"/>
        </w:rPr>
      </w:pPr>
      <w:r>
        <w:rPr>
          <w:rFonts w:ascii="Arial" w:hAnsi="Arial" w:cs="Arial"/>
        </w:rPr>
        <w:t xml:space="preserve">ABSTRACT </w:t>
      </w:r>
    </w:p>
    <w:p w14:paraId="7DE2F03E" w14:textId="77777777" w:rsidR="00863806" w:rsidRDefault="00863806">
      <w:pPr>
        <w:pStyle w:val="AbstHead"/>
        <w:spacing w:after="0"/>
        <w:jc w:val="both"/>
        <w:rPr>
          <w:rFonts w:ascii="Arial" w:hAnsi="Arial" w:cs="Arial"/>
        </w:rPr>
      </w:pPr>
    </w:p>
    <w:tbl>
      <w:tblPr>
        <w:tblW w:w="8424" w:type="dxa"/>
        <w:tblLook w:val="04A0" w:firstRow="1" w:lastRow="0" w:firstColumn="1" w:lastColumn="0" w:noHBand="0" w:noVBand="1"/>
      </w:tblPr>
      <w:tblGrid>
        <w:gridCol w:w="8424"/>
      </w:tblGrid>
      <w:tr w:rsidR="00863806" w14:paraId="34F7D398" w14:textId="77777777">
        <w:trPr>
          <w:trHeight w:val="3336"/>
        </w:trPr>
        <w:tc>
          <w:tcPr>
            <w:tcW w:w="8424" w:type="dxa"/>
            <w:tcBorders>
              <w:top w:val="single" w:sz="4" w:space="0" w:color="000000"/>
              <w:left w:val="single" w:sz="4" w:space="0" w:color="000000"/>
              <w:bottom w:val="single" w:sz="4" w:space="0" w:color="000000"/>
              <w:right w:val="single" w:sz="4" w:space="0" w:color="000000"/>
            </w:tcBorders>
            <w:shd w:val="solid" w:color="F2F2F2" w:fill="auto"/>
          </w:tcPr>
          <w:p w14:paraId="062783CC" w14:textId="77777777" w:rsidR="00863806" w:rsidRDefault="00000000">
            <w:pPr>
              <w:tabs>
                <w:tab w:val="left" w:pos="2041"/>
              </w:tabs>
              <w:rPr>
                <w:rFonts w:ascii="Arial" w:eastAsia="Arial" w:hAnsi="Arial" w:cs="Arial"/>
              </w:rPr>
            </w:pPr>
            <w:r>
              <w:rPr>
                <w:rFonts w:ascii="Arial" w:eastAsia="Arial" w:hAnsi="Arial" w:cs="Arial"/>
                <w:lang w:eastAsia="en-PH"/>
              </w:rPr>
              <w:t>This study aimed to document the nitroblue tetrazolium (NBT) assay and lysozyme activity in red tilapia (</w:t>
            </w:r>
            <w:r>
              <w:rPr>
                <w:rFonts w:ascii="Arial" w:eastAsia="Arial" w:hAnsi="Arial" w:cs="Arial"/>
                <w:i/>
                <w:iCs/>
                <w:lang w:eastAsia="en-PH"/>
              </w:rPr>
              <w:t>Oreochromis</w:t>
            </w:r>
            <w:r>
              <w:rPr>
                <w:rFonts w:ascii="Arial" w:eastAsia="Arial" w:hAnsi="Arial" w:cs="Arial"/>
                <w:lang w:eastAsia="en-PH"/>
              </w:rPr>
              <w:t> spp.) intraperitoneally infected with </w:t>
            </w:r>
            <w:r>
              <w:rPr>
                <w:rFonts w:ascii="Arial" w:eastAsia="Arial" w:hAnsi="Arial" w:cs="Arial"/>
                <w:i/>
                <w:iCs/>
                <w:lang w:eastAsia="en-PH"/>
              </w:rPr>
              <w:t>Streptococcus agalactiae</w:t>
            </w:r>
            <w:r>
              <w:rPr>
                <w:rFonts w:ascii="Arial" w:eastAsia="Arial" w:hAnsi="Arial" w:cs="Arial"/>
                <w:lang w:eastAsia="en-PH"/>
              </w:rPr>
              <w:t> at 10</w:t>
            </w:r>
            <w:r>
              <w:rPr>
                <w:rFonts w:ascii="Arial" w:eastAsia="Arial" w:hAnsi="Arial" w:cs="Arial"/>
                <w:vertAlign w:val="superscript"/>
                <w:lang w:eastAsia="en-PH"/>
              </w:rPr>
              <w:t xml:space="preserve">6 </w:t>
            </w:r>
            <w:r>
              <w:rPr>
                <w:rFonts w:ascii="Arial" w:eastAsia="Arial" w:hAnsi="Arial" w:cs="Arial"/>
                <w:lang w:eastAsia="en-PH"/>
              </w:rPr>
              <w:t>(T2), 10</w:t>
            </w:r>
            <w:r>
              <w:rPr>
                <w:rFonts w:ascii="Arial" w:eastAsia="Arial" w:hAnsi="Arial" w:cs="Arial"/>
                <w:vertAlign w:val="superscript"/>
                <w:lang w:eastAsia="en-PH"/>
              </w:rPr>
              <w:t xml:space="preserve">7 </w:t>
            </w:r>
            <w:r>
              <w:rPr>
                <w:rFonts w:ascii="Arial" w:eastAsia="Arial" w:hAnsi="Arial" w:cs="Arial"/>
                <w:lang w:eastAsia="en-PH"/>
              </w:rPr>
              <w:t>(T3), and 10</w:t>
            </w:r>
            <w:r>
              <w:rPr>
                <w:rFonts w:ascii="Arial" w:eastAsia="Arial" w:hAnsi="Arial" w:cs="Arial"/>
                <w:vertAlign w:val="superscript"/>
                <w:lang w:eastAsia="en-PH"/>
              </w:rPr>
              <w:t xml:space="preserve">8 </w:t>
            </w:r>
            <w:r>
              <w:rPr>
                <w:rFonts w:ascii="Arial" w:eastAsia="Arial" w:hAnsi="Arial" w:cs="Arial"/>
                <w:lang w:eastAsia="en-PH"/>
              </w:rPr>
              <w:t xml:space="preserve">(T4) CFU/mL concentrations. </w:t>
            </w:r>
            <w:r>
              <w:rPr>
                <w:rFonts w:ascii="Arial" w:eastAsia="Arial" w:hAnsi="Arial" w:cs="Arial"/>
              </w:rPr>
              <w:t xml:space="preserve">The </w:t>
            </w:r>
            <w:r>
              <w:rPr>
                <w:rFonts w:ascii="Arial" w:eastAsia="Arial" w:hAnsi="Arial" w:cs="Arial"/>
                <w:i/>
                <w:iCs/>
              </w:rPr>
              <w:t>S. agalactiae</w:t>
            </w:r>
            <w:r>
              <w:rPr>
                <w:rFonts w:ascii="Arial" w:eastAsia="Arial" w:hAnsi="Arial" w:cs="Arial"/>
              </w:rPr>
              <w:t xml:space="preserve"> infected groups showed no visible signs of infection after 10 days observation although a number of literatures have proven its pathogenicity and virulence to tilapia. The NBT assay showed higher absorbance unit (wavelength 655 nm) in tilapia groups challenged with the bacterium (T2 = 0.048±0.001; T3 = 0.050±0.001; T4 = T4 0.053±0.001) as compared to control (T1 = 0.045±0.001), although statistical comparison showed no significant difference. Meanwhile, the lysozyme activity (units per minute) showed higher results in fish injected with </w:t>
            </w:r>
            <w:r>
              <w:rPr>
                <w:rFonts w:ascii="Arial" w:eastAsia="Arial" w:hAnsi="Arial" w:cs="Arial"/>
                <w:i/>
                <w:iCs/>
              </w:rPr>
              <w:t xml:space="preserve">S. agalactiae </w:t>
            </w:r>
            <w:r>
              <w:rPr>
                <w:rFonts w:ascii="Arial" w:eastAsia="Arial" w:hAnsi="Arial" w:cs="Arial"/>
              </w:rPr>
              <w:t>(T2 = 10.333±0.654; T3 = 13.235±0.742; T4 = 13.259±0.986) as compared to control (T1 = 9.765±0.402) with significant difference when T3 and T4 were compared to T1. Results indicate that the cells of infected fish had an increased capacity for generating respiratory burst and lysozymes as protection against the introduced bacterium.</w:t>
            </w:r>
          </w:p>
        </w:tc>
      </w:tr>
    </w:tbl>
    <w:p w14:paraId="227D47AF" w14:textId="77777777" w:rsidR="00863806" w:rsidRDefault="00863806">
      <w:pPr>
        <w:pStyle w:val="Body"/>
        <w:spacing w:after="0"/>
        <w:rPr>
          <w:rFonts w:ascii="Arial" w:hAnsi="Arial" w:cs="Arial"/>
          <w:i/>
        </w:rPr>
      </w:pPr>
    </w:p>
    <w:p w14:paraId="3B33D9C5" w14:textId="77777777" w:rsidR="00863806" w:rsidRDefault="00000000">
      <w:pPr>
        <w:pStyle w:val="Body"/>
        <w:spacing w:after="0"/>
        <w:rPr>
          <w:rFonts w:ascii="Times New Roman" w:hAnsi="Times New Roman"/>
          <w:sz w:val="24"/>
          <w:szCs w:val="24"/>
        </w:rPr>
      </w:pPr>
      <w:r>
        <w:rPr>
          <w:rFonts w:ascii="Arial" w:hAnsi="Arial" w:cs="Arial"/>
          <w:i/>
        </w:rPr>
        <w:t xml:space="preserve">Keywords: </w:t>
      </w:r>
      <w:r>
        <w:rPr>
          <w:rFonts w:ascii="Arial" w:eastAsia="Arial" w:hAnsi="Arial" w:cs="Arial"/>
        </w:rPr>
        <w:t xml:space="preserve">Lysozyme; nitroblue tetrazolium; reactive oxygen species; respiratory burst; tilapia. </w:t>
      </w:r>
    </w:p>
    <w:p w14:paraId="4F362232" w14:textId="77777777" w:rsidR="00863806" w:rsidRDefault="00863806">
      <w:pPr>
        <w:pStyle w:val="Body"/>
        <w:spacing w:after="0"/>
        <w:rPr>
          <w:rFonts w:ascii="Arial" w:hAnsi="Arial" w:cs="Arial"/>
          <w:i/>
        </w:rPr>
      </w:pPr>
    </w:p>
    <w:p w14:paraId="6ACACAE1" w14:textId="77777777" w:rsidR="00863806" w:rsidRDefault="00000000">
      <w:pPr>
        <w:pStyle w:val="AbstHead"/>
        <w:spacing w:after="0"/>
        <w:jc w:val="both"/>
        <w:rPr>
          <w:rFonts w:ascii="Arial" w:hAnsi="Arial" w:cs="Arial"/>
        </w:rPr>
      </w:pPr>
      <w:r>
        <w:rPr>
          <w:rFonts w:ascii="Arial" w:hAnsi="Arial" w:cs="Arial"/>
        </w:rPr>
        <w:t xml:space="preserve">1. INTRODUCTION </w:t>
      </w:r>
    </w:p>
    <w:p w14:paraId="00D5F71A"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The aquaculture industry has experienced yearly losses amounted to US$ 1.05 to US$ 9.58 billion due to morality </w:t>
      </w:r>
      <w:commentRangeStart w:id="0"/>
      <w:r>
        <w:rPr>
          <w:rFonts w:ascii="Arial" w:eastAsia="Arial" w:hAnsi="Arial" w:cs="Arial"/>
          <w:lang w:eastAsia="en-PH"/>
        </w:rPr>
        <w:t>often</w:t>
      </w:r>
      <w:commentRangeEnd w:id="0"/>
      <w:r w:rsidR="003E3C6A">
        <w:rPr>
          <w:rStyle w:val="Odwoaniedokomentarza"/>
        </w:rPr>
        <w:commentReference w:id="0"/>
      </w:r>
      <w:r>
        <w:rPr>
          <w:rFonts w:ascii="Arial" w:eastAsia="Arial" w:hAnsi="Arial" w:cs="Arial"/>
          <w:lang w:eastAsia="en-PH"/>
        </w:rPr>
        <w:t xml:space="preserve"> linked to different diseases (Shinn </w:t>
      </w:r>
      <w:r>
        <w:rPr>
          <w:rFonts w:ascii="Arial" w:eastAsia="Arial" w:hAnsi="Arial" w:cs="Arial"/>
          <w:i/>
          <w:lang w:eastAsia="en-PH"/>
        </w:rPr>
        <w:t>et al</w:t>
      </w:r>
      <w:r>
        <w:rPr>
          <w:rFonts w:ascii="Arial" w:eastAsia="Arial" w:hAnsi="Arial" w:cs="Arial"/>
          <w:lang w:eastAsia="en-PH"/>
        </w:rPr>
        <w:t>., 2015). These diseases can be caused by pathogenic organisms such as bacteria,</w:t>
      </w:r>
      <w:commentRangeStart w:id="1"/>
      <w:r>
        <w:rPr>
          <w:rFonts w:ascii="Arial" w:eastAsia="Arial" w:hAnsi="Arial" w:cs="Arial"/>
          <w:lang w:eastAsia="en-PH"/>
        </w:rPr>
        <w:t xml:space="preserve"> viruses</w:t>
      </w:r>
      <w:commentRangeEnd w:id="1"/>
      <w:r w:rsidR="003E3C6A">
        <w:rPr>
          <w:rStyle w:val="Odwoaniedokomentarza"/>
        </w:rPr>
        <w:commentReference w:id="1"/>
      </w:r>
      <w:r>
        <w:rPr>
          <w:rFonts w:ascii="Arial" w:eastAsia="Arial" w:hAnsi="Arial" w:cs="Arial"/>
          <w:lang w:eastAsia="en-PH"/>
        </w:rPr>
        <w:t xml:space="preserve">, parasites and fungi, </w:t>
      </w:r>
      <w:commentRangeStart w:id="2"/>
      <w:r>
        <w:rPr>
          <w:rFonts w:ascii="Arial" w:eastAsia="Arial" w:hAnsi="Arial" w:cs="Arial"/>
          <w:lang w:eastAsia="en-PH"/>
        </w:rPr>
        <w:t>or</w:t>
      </w:r>
      <w:commentRangeEnd w:id="2"/>
      <w:r w:rsidR="003E3C6A">
        <w:rPr>
          <w:rStyle w:val="Odwoaniedokomentarza"/>
        </w:rPr>
        <w:commentReference w:id="2"/>
      </w:r>
      <w:r>
        <w:rPr>
          <w:rFonts w:ascii="Arial" w:eastAsia="Arial" w:hAnsi="Arial" w:cs="Arial"/>
          <w:lang w:eastAsia="en-PH"/>
        </w:rPr>
        <w:t xml:space="preserve"> because of inadequate nutrition and poor environmental (Talpur &amp; Ikhwanuddin, 2012; Dias </w:t>
      </w:r>
      <w:r>
        <w:rPr>
          <w:rFonts w:ascii="Arial" w:eastAsia="Arial" w:hAnsi="Arial" w:cs="Arial"/>
          <w:i/>
          <w:lang w:eastAsia="en-PH"/>
        </w:rPr>
        <w:t>et al</w:t>
      </w:r>
      <w:r>
        <w:rPr>
          <w:rFonts w:ascii="Arial" w:eastAsia="Arial" w:hAnsi="Arial" w:cs="Arial"/>
          <w:lang w:eastAsia="en-PH"/>
        </w:rPr>
        <w:t xml:space="preserve">., 2016).  Diseases in aquaculture are usually managed by chemotherapeutic means, but their effectiveness and ease of application can be limited </w:t>
      </w:r>
      <w:commentRangeStart w:id="3"/>
      <w:r>
        <w:rPr>
          <w:rFonts w:ascii="Arial" w:eastAsia="Arial" w:hAnsi="Arial" w:cs="Arial"/>
          <w:lang w:eastAsia="en-PH"/>
        </w:rPr>
        <w:t xml:space="preserve">and complicated </w:t>
      </w:r>
      <w:commentRangeEnd w:id="3"/>
      <w:r w:rsidR="003E3C6A">
        <w:rPr>
          <w:rStyle w:val="Odwoaniedokomentarza"/>
        </w:rPr>
        <w:commentReference w:id="3"/>
      </w:r>
      <w:r>
        <w:rPr>
          <w:rFonts w:ascii="Arial" w:eastAsia="Arial" w:hAnsi="Arial" w:cs="Arial"/>
          <w:lang w:eastAsia="en-PH"/>
        </w:rPr>
        <w:t xml:space="preserve">(Malheiros </w:t>
      </w:r>
      <w:r>
        <w:rPr>
          <w:rFonts w:ascii="Arial" w:eastAsia="Arial" w:hAnsi="Arial" w:cs="Arial"/>
          <w:i/>
          <w:lang w:eastAsia="en-PH"/>
        </w:rPr>
        <w:t>et al</w:t>
      </w:r>
      <w:r>
        <w:rPr>
          <w:rFonts w:ascii="Arial" w:eastAsia="Arial" w:hAnsi="Arial" w:cs="Arial"/>
          <w:lang w:eastAsia="en-PH"/>
        </w:rPr>
        <w:t>., 2016).</w:t>
      </w:r>
    </w:p>
    <w:p w14:paraId="2B756083"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510440AE" w14:textId="6FAE9E83"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iCs/>
          <w:lang w:eastAsia="en-PH"/>
        </w:rPr>
        <w:t xml:space="preserve">The group B </w:t>
      </w:r>
      <w:r>
        <w:rPr>
          <w:rFonts w:ascii="Arial" w:eastAsia="Arial" w:hAnsi="Arial" w:cs="Arial"/>
          <w:i/>
          <w:iCs/>
          <w:lang w:eastAsia="en-PH"/>
        </w:rPr>
        <w:t>Streptococcus agalactiae</w:t>
      </w:r>
      <w:r>
        <w:rPr>
          <w:rFonts w:ascii="Arial" w:eastAsia="Arial" w:hAnsi="Arial" w:cs="Arial"/>
          <w:lang w:eastAsia="en-PH"/>
        </w:rPr>
        <w:t xml:space="preserve"> is a Gram-positive pathogenic bacterium isolated in both tropical and temperate regions of the world, significantly impacting the health of both humans and animals (Brudeseth </w:t>
      </w:r>
      <w:r>
        <w:rPr>
          <w:rFonts w:ascii="Arial" w:eastAsia="Arial" w:hAnsi="Arial" w:cs="Arial"/>
          <w:i/>
          <w:lang w:eastAsia="en-PH"/>
        </w:rPr>
        <w:t>et al</w:t>
      </w:r>
      <w:r>
        <w:rPr>
          <w:rFonts w:ascii="Arial" w:eastAsia="Arial" w:hAnsi="Arial" w:cs="Arial"/>
          <w:lang w:eastAsia="en-PH"/>
        </w:rPr>
        <w:t xml:space="preserve">., 2013; Yao </w:t>
      </w:r>
      <w:r>
        <w:rPr>
          <w:rFonts w:ascii="Arial" w:eastAsia="Arial" w:hAnsi="Arial" w:cs="Arial"/>
          <w:i/>
          <w:lang w:eastAsia="en-PH"/>
        </w:rPr>
        <w:t>et al</w:t>
      </w:r>
      <w:r>
        <w:rPr>
          <w:rFonts w:ascii="Arial" w:eastAsia="Arial" w:hAnsi="Arial" w:cs="Arial"/>
          <w:lang w:eastAsia="en-PH"/>
        </w:rPr>
        <w:t xml:space="preserve">., 2019). In fish and other aquatic animals, the disease caused by </w:t>
      </w:r>
      <w:r>
        <w:rPr>
          <w:rFonts w:ascii="Arial" w:eastAsia="Arial" w:hAnsi="Arial" w:cs="Arial"/>
          <w:i/>
          <w:iCs/>
          <w:lang w:eastAsia="en-PH"/>
        </w:rPr>
        <w:t>S. agalactiae</w:t>
      </w:r>
      <w:r>
        <w:rPr>
          <w:rFonts w:ascii="Arial" w:eastAsia="Arial" w:hAnsi="Arial" w:cs="Arial"/>
          <w:lang w:eastAsia="en-PH"/>
        </w:rPr>
        <w:t xml:space="preserve">, known as streptococcosis, is transmitted via </w:t>
      </w:r>
      <w:r>
        <w:rPr>
          <w:rFonts w:ascii="Arial" w:eastAsia="Arial" w:hAnsi="Arial" w:cs="Arial"/>
          <w:lang w:eastAsia="en-PH"/>
        </w:rPr>
        <w:lastRenderedPageBreak/>
        <w:t xml:space="preserve">the horizontal route such as direct contact with infected animals or indirectly via infected water and surfaces. The bacterium penetrates the intestine, and eventually overcomes the innate and adaptive immunity of the host (Iregui </w:t>
      </w:r>
      <w:r>
        <w:rPr>
          <w:rFonts w:ascii="Arial" w:eastAsia="Arial" w:hAnsi="Arial" w:cs="Arial"/>
          <w:i/>
          <w:lang w:eastAsia="en-PH"/>
        </w:rPr>
        <w:t>et al</w:t>
      </w:r>
      <w:r>
        <w:rPr>
          <w:rFonts w:ascii="Arial" w:eastAsia="Arial" w:hAnsi="Arial" w:cs="Arial"/>
          <w:lang w:eastAsia="en-PH"/>
        </w:rPr>
        <w:t>., 2016). There are a number of factors that might increase the risk of </w:t>
      </w:r>
      <w:r>
        <w:rPr>
          <w:rFonts w:ascii="Arial" w:eastAsia="Arial" w:hAnsi="Arial" w:cs="Arial"/>
          <w:i/>
          <w:iCs/>
          <w:lang w:eastAsia="en-PH"/>
        </w:rPr>
        <w:t>S. agalactiae</w:t>
      </w:r>
      <w:r>
        <w:rPr>
          <w:rFonts w:ascii="Arial" w:eastAsia="Arial" w:hAnsi="Arial" w:cs="Arial"/>
          <w:lang w:eastAsia="en-PH"/>
        </w:rPr>
        <w:t xml:space="preserve"> occurrence in aquaculture, including high stocking density, large-scale operation, elevated water temperature, high pH level, very low dissolved oxygen, and poor bottom soil condition (Reyes </w:t>
      </w:r>
      <w:r>
        <w:rPr>
          <w:rFonts w:ascii="Arial" w:eastAsia="Arial" w:hAnsi="Arial" w:cs="Arial"/>
          <w:i/>
          <w:lang w:eastAsia="en-PH"/>
        </w:rPr>
        <w:t>et al</w:t>
      </w:r>
      <w:r>
        <w:rPr>
          <w:rFonts w:ascii="Arial" w:eastAsia="Arial" w:hAnsi="Arial" w:cs="Arial"/>
          <w:lang w:eastAsia="en-PH"/>
        </w:rPr>
        <w:t xml:space="preserve">., 2021). </w:t>
      </w:r>
      <w:commentRangeStart w:id="4"/>
      <w:r>
        <w:rPr>
          <w:rFonts w:ascii="Arial" w:eastAsia="Arial" w:hAnsi="Arial" w:cs="Arial"/>
          <w:lang w:eastAsia="en-PH"/>
        </w:rPr>
        <w:t>Systemic infection caused by</w:t>
      </w:r>
      <w:r>
        <w:rPr>
          <w:rFonts w:ascii="Arial" w:eastAsia="Arial" w:hAnsi="Arial" w:cs="Arial"/>
          <w:i/>
          <w:lang w:eastAsia="en-PH"/>
        </w:rPr>
        <w:t xml:space="preserve"> S. agalactiae</w:t>
      </w:r>
      <w:r>
        <w:rPr>
          <w:rFonts w:ascii="Arial" w:eastAsia="Arial" w:hAnsi="Arial" w:cs="Arial"/>
          <w:lang w:eastAsia="en-PH"/>
        </w:rPr>
        <w:t xml:space="preserve"> primarily targets the brain, kidney and intestine of the fish that leads to cell death </w:t>
      </w:r>
      <w:commentRangeEnd w:id="4"/>
      <w:r w:rsidR="003E3C6A">
        <w:rPr>
          <w:rStyle w:val="Odwoaniedokomentarza"/>
        </w:rPr>
        <w:commentReference w:id="4"/>
      </w:r>
      <w:r>
        <w:rPr>
          <w:rFonts w:ascii="Arial" w:eastAsia="Arial" w:hAnsi="Arial" w:cs="Arial"/>
          <w:lang w:eastAsia="en-PH"/>
        </w:rPr>
        <w:t xml:space="preserve">(Iregui </w:t>
      </w:r>
      <w:r>
        <w:rPr>
          <w:rFonts w:ascii="Arial" w:eastAsia="Arial" w:hAnsi="Arial" w:cs="Arial"/>
          <w:i/>
          <w:lang w:eastAsia="en-PH"/>
        </w:rPr>
        <w:t>et al</w:t>
      </w:r>
      <w:r>
        <w:rPr>
          <w:rFonts w:ascii="Arial" w:eastAsia="Arial" w:hAnsi="Arial" w:cs="Arial"/>
          <w:lang w:eastAsia="en-PH"/>
        </w:rPr>
        <w:t xml:space="preserve">., 2016; Caruso, 2016; Liu </w:t>
      </w:r>
      <w:r>
        <w:rPr>
          <w:rFonts w:ascii="Arial" w:eastAsia="Arial" w:hAnsi="Arial" w:cs="Arial"/>
          <w:i/>
          <w:lang w:eastAsia="en-PH"/>
        </w:rPr>
        <w:t>et al</w:t>
      </w:r>
      <w:r>
        <w:rPr>
          <w:rFonts w:ascii="Arial" w:eastAsia="Arial" w:hAnsi="Arial" w:cs="Arial"/>
          <w:lang w:eastAsia="en-PH"/>
        </w:rPr>
        <w:t xml:space="preserve">., 2016). Clinical signs of streptococcosis include pronounced weakness, dorsal rigidity, and erratic swimming, arising from damage to the central nervous system and systemic inflammatory response (Iregui </w:t>
      </w:r>
      <w:r>
        <w:rPr>
          <w:rFonts w:ascii="Arial" w:eastAsia="Arial" w:hAnsi="Arial" w:cs="Arial"/>
          <w:i/>
          <w:lang w:eastAsia="en-PH"/>
        </w:rPr>
        <w:t>et al</w:t>
      </w:r>
      <w:r>
        <w:rPr>
          <w:rFonts w:ascii="Arial" w:eastAsia="Arial" w:hAnsi="Arial" w:cs="Arial"/>
          <w:lang w:eastAsia="en-PH"/>
        </w:rPr>
        <w:t xml:space="preserve">., 2016). </w:t>
      </w:r>
      <w:commentRangeStart w:id="5"/>
      <w:r>
        <w:rPr>
          <w:rFonts w:ascii="Arial" w:eastAsia="Arial" w:hAnsi="Arial" w:cs="Arial"/>
          <w:i/>
          <w:lang w:eastAsia="en-PH"/>
        </w:rPr>
        <w:t>S. agalactia</w:t>
      </w:r>
      <w:r>
        <w:rPr>
          <w:rFonts w:ascii="Arial" w:eastAsia="Arial" w:hAnsi="Arial" w:cs="Arial"/>
          <w:lang w:eastAsia="en-PH"/>
        </w:rPr>
        <w:t xml:space="preserve"> </w:t>
      </w:r>
      <w:commentRangeEnd w:id="5"/>
      <w:r w:rsidR="00187A8D">
        <w:rPr>
          <w:rStyle w:val="Odwoaniedokomentarza"/>
        </w:rPr>
        <w:commentReference w:id="5"/>
      </w:r>
      <w:r>
        <w:rPr>
          <w:rFonts w:ascii="Arial" w:eastAsia="Arial" w:hAnsi="Arial" w:cs="Arial"/>
          <w:lang w:eastAsia="en-PH"/>
        </w:rPr>
        <w:t xml:space="preserve">has been found resistant to </w:t>
      </w:r>
      <w:commentRangeStart w:id="6"/>
      <w:r>
        <w:rPr>
          <w:rFonts w:ascii="Arial" w:eastAsia="Arial" w:hAnsi="Arial" w:cs="Arial"/>
          <w:lang w:eastAsia="en-PH"/>
        </w:rPr>
        <w:t>vancomycin, penicillin, amoxicillin, and ampicillin,</w:t>
      </w:r>
      <w:commentRangeEnd w:id="6"/>
      <w:r w:rsidR="00187A8D">
        <w:rPr>
          <w:rStyle w:val="Odwoaniedokomentarza"/>
        </w:rPr>
        <w:commentReference w:id="6"/>
      </w:r>
      <w:r>
        <w:rPr>
          <w:rFonts w:ascii="Arial" w:eastAsia="Arial" w:hAnsi="Arial" w:cs="Arial"/>
          <w:lang w:eastAsia="en-PH"/>
        </w:rPr>
        <w:t xml:space="preserve"> however it is sensitive to nalidixic acid, gentamicin, tetracycline, chloramphenicol, and oxolinic acid (Reyes </w:t>
      </w:r>
      <w:r>
        <w:rPr>
          <w:rFonts w:ascii="Arial" w:eastAsia="Arial" w:hAnsi="Arial" w:cs="Arial"/>
          <w:i/>
          <w:lang w:eastAsia="en-PH"/>
        </w:rPr>
        <w:t>et al</w:t>
      </w:r>
      <w:r>
        <w:rPr>
          <w:rFonts w:ascii="Arial" w:eastAsia="Arial" w:hAnsi="Arial" w:cs="Arial"/>
          <w:lang w:eastAsia="en-PH"/>
        </w:rPr>
        <w:t>., 2022).</w:t>
      </w:r>
    </w:p>
    <w:p w14:paraId="2B32364E"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405A1D76"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Non-specific immune indicators are essential for evaluating fish health and assessing immunomodulatory agents. Important markers include superoxide production by neutrophils (as measured by the nitroblue tetrazolium [NBT] assay), hemagglutination, hemolysin activity, bacterial agglutination titers, myeloperoxidase activity, and lysozyme activity (Sahoo </w:t>
      </w:r>
      <w:r>
        <w:rPr>
          <w:rFonts w:ascii="Arial" w:eastAsia="Arial" w:hAnsi="Arial" w:cs="Arial"/>
          <w:i/>
          <w:lang w:eastAsia="en-PH"/>
        </w:rPr>
        <w:t>et al</w:t>
      </w:r>
      <w:r>
        <w:rPr>
          <w:rFonts w:ascii="Arial" w:eastAsia="Arial" w:hAnsi="Arial" w:cs="Arial"/>
          <w:lang w:eastAsia="en-PH"/>
        </w:rPr>
        <w:t>., 2005).</w:t>
      </w:r>
    </w:p>
    <w:p w14:paraId="5C290A83"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2D852AD8"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The NBT assay, as pioneered in 1968 (Baehner &amp; Nathan, 1968), is a diagnostic tool originally applied for patients with chronic granulomatous disease. The tool at present is widely used in cell biology for studying mammalian metabolic activity and even microbial cells (Berridge </w:t>
      </w:r>
      <w:r>
        <w:rPr>
          <w:rFonts w:ascii="Arial" w:eastAsia="Arial" w:hAnsi="Arial" w:cs="Arial"/>
          <w:i/>
          <w:lang w:eastAsia="en-PH"/>
        </w:rPr>
        <w:t>et al</w:t>
      </w:r>
      <w:r>
        <w:rPr>
          <w:rFonts w:ascii="Arial" w:eastAsia="Arial" w:hAnsi="Arial" w:cs="Arial"/>
          <w:lang w:eastAsia="en-PH"/>
        </w:rPr>
        <w:t>., 2005). This test measures the conversion of colorless, soluble NBT into insoluble, blue-grey formazan through the activation of NADPH oxidase in neutrophils. This conversion is equivalent to the production of reactive oxygen species (ROS) during the oxidative burst (Muniz-Junqueira &amp; de PaulaCoelho, 2008). The NBT assay is commonly used because of its simplicity, cost-effectiveness, and ability to efficiently process several samples using microplate-based spectrophotometric analysis (Secombes, 1990).</w:t>
      </w:r>
    </w:p>
    <w:p w14:paraId="68C95F7B"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rPr>
      </w:pPr>
    </w:p>
    <w:p w14:paraId="1060E8AC"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rPr>
      </w:pPr>
      <w:r>
        <w:rPr>
          <w:rFonts w:ascii="Arial" w:eastAsia="Arial" w:hAnsi="Arial" w:cs="Arial"/>
          <w:lang w:eastAsia="en-PH"/>
        </w:rPr>
        <w:t xml:space="preserve">Lysozyme has significant role in the innate immunity of fish by assisting in the elimination of pathogens through the complement system, </w:t>
      </w:r>
      <w:r>
        <w:rPr>
          <w:rFonts w:ascii="Arial" w:eastAsia="Arial" w:hAnsi="Arial" w:cs="Arial"/>
        </w:rPr>
        <w:t xml:space="preserve">a series of proteins and pathways, which has </w:t>
      </w:r>
      <w:r>
        <w:rPr>
          <w:rFonts w:ascii="Arial" w:eastAsia="Arial" w:hAnsi="Arial" w:cs="Arial"/>
          <w:lang w:eastAsia="en-PH"/>
        </w:rPr>
        <w:t>greater activity in fishes compared to mammals (Yano, 1992; Holland &amp; Lambris, 2002). The levels of lysozyme production in fishes can vary considerably depending on species (Anderson &amp; Siwicki (1995).</w:t>
      </w:r>
    </w:p>
    <w:p w14:paraId="70CAD30B" w14:textId="77777777" w:rsidR="00863806" w:rsidRDefault="00863806">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p>
    <w:p w14:paraId="300F2E8E" w14:textId="77777777" w:rsidR="00863806" w:rsidRDefault="00000000">
      <w:pPr>
        <w:pBdr>
          <w:top w:val="nil"/>
          <w:left w:val="nil"/>
          <w:bottom w:val="nil"/>
          <w:right w:val="nil"/>
          <w:between w:val="nil"/>
        </w:pBdr>
        <w:shd w:val="solid" w:color="FFFFFF" w:fill="auto"/>
        <w:spacing w:before="240" w:after="240"/>
        <w:contextualSpacing/>
        <w:jc w:val="both"/>
        <w:rPr>
          <w:rFonts w:ascii="Arial" w:eastAsia="Arial" w:hAnsi="Arial" w:cs="Arial"/>
          <w:lang w:eastAsia="en-PH"/>
        </w:rPr>
      </w:pPr>
      <w:r>
        <w:rPr>
          <w:rFonts w:ascii="Arial" w:eastAsia="Arial" w:hAnsi="Arial" w:cs="Arial"/>
          <w:lang w:eastAsia="en-PH"/>
        </w:rPr>
        <w:t xml:space="preserve">The purpose of this study was </w:t>
      </w:r>
      <w:commentRangeStart w:id="7"/>
      <w:r>
        <w:rPr>
          <w:rFonts w:ascii="Arial" w:eastAsia="Arial" w:hAnsi="Arial" w:cs="Arial"/>
          <w:lang w:eastAsia="en-PH"/>
        </w:rPr>
        <w:t xml:space="preserve">to document </w:t>
      </w:r>
      <w:commentRangeEnd w:id="7"/>
      <w:r w:rsidR="000B3C89">
        <w:rPr>
          <w:rStyle w:val="Odwoaniedokomentarza"/>
        </w:rPr>
        <w:commentReference w:id="7"/>
      </w:r>
      <w:r>
        <w:rPr>
          <w:rFonts w:ascii="Arial" w:eastAsia="Arial" w:hAnsi="Arial" w:cs="Arial"/>
          <w:lang w:eastAsia="en-PH"/>
        </w:rPr>
        <w:t>the NBT assay and lysozyme activity of red tilapia (</w:t>
      </w:r>
      <w:r>
        <w:rPr>
          <w:rFonts w:ascii="Arial" w:eastAsia="Arial" w:hAnsi="Arial" w:cs="Arial"/>
          <w:i/>
          <w:iCs/>
          <w:lang w:eastAsia="en-PH"/>
        </w:rPr>
        <w:t>Oreochromis</w:t>
      </w:r>
      <w:r>
        <w:rPr>
          <w:rFonts w:ascii="Arial" w:eastAsia="Arial" w:hAnsi="Arial" w:cs="Arial"/>
          <w:lang w:eastAsia="en-PH"/>
        </w:rPr>
        <w:t> spp.) intraperitoneally infected with </w:t>
      </w:r>
      <w:r>
        <w:rPr>
          <w:rFonts w:ascii="Arial" w:eastAsia="Arial" w:hAnsi="Arial" w:cs="Arial"/>
          <w:i/>
          <w:iCs/>
          <w:lang w:eastAsia="en-PH"/>
        </w:rPr>
        <w:t>S. agalactiae</w:t>
      </w:r>
      <w:r>
        <w:rPr>
          <w:rFonts w:ascii="Arial" w:eastAsia="Arial" w:hAnsi="Arial" w:cs="Arial"/>
          <w:lang w:eastAsia="en-PH"/>
        </w:rPr>
        <w:t> at varying concentrations.</w:t>
      </w:r>
    </w:p>
    <w:p w14:paraId="5179C43E" w14:textId="77777777" w:rsidR="00863806" w:rsidRDefault="00000000">
      <w:pPr>
        <w:pStyle w:val="AbstHead"/>
        <w:spacing w:after="0"/>
        <w:jc w:val="both"/>
        <w:rPr>
          <w:rFonts w:ascii="Arial" w:hAnsi="Arial" w:cs="Arial"/>
        </w:rPr>
      </w:pPr>
      <w:r>
        <w:rPr>
          <w:rFonts w:ascii="Arial" w:hAnsi="Arial" w:cs="Arial"/>
        </w:rPr>
        <w:t xml:space="preserve">2. material and methods </w:t>
      </w:r>
    </w:p>
    <w:p w14:paraId="476A6360" w14:textId="77777777" w:rsidR="00863806" w:rsidRDefault="00863806">
      <w:pPr>
        <w:pStyle w:val="Body"/>
        <w:spacing w:after="0"/>
        <w:rPr>
          <w:rFonts w:ascii="Arial" w:eastAsia="Arial" w:hAnsi="Arial" w:cs="Arial"/>
        </w:rPr>
      </w:pPr>
    </w:p>
    <w:p w14:paraId="57734672" w14:textId="77777777" w:rsidR="00863806" w:rsidRDefault="00000000">
      <w:pPr>
        <w:pStyle w:val="Bezodstpw"/>
        <w:jc w:val="both"/>
        <w:rPr>
          <w:rFonts w:ascii="Arial" w:eastAsia="Arial" w:hAnsi="Arial" w:cs="Arial"/>
          <w:b/>
          <w:bCs/>
        </w:rPr>
      </w:pPr>
      <w:r>
        <w:rPr>
          <w:rFonts w:ascii="Arial" w:eastAsia="Arial" w:hAnsi="Arial" w:cs="Arial"/>
          <w:b/>
          <w:bCs/>
        </w:rPr>
        <w:t>2.1 Stocking of Red Tilapia in Aquaria</w:t>
      </w:r>
    </w:p>
    <w:p w14:paraId="7C6264D1" w14:textId="77777777" w:rsidR="00863806" w:rsidRDefault="00863806">
      <w:pPr>
        <w:pStyle w:val="Bezodstpw"/>
        <w:jc w:val="both"/>
        <w:rPr>
          <w:rFonts w:ascii="Arial" w:eastAsia="Arial" w:hAnsi="Arial" w:cs="Arial"/>
          <w:b/>
          <w:bCs/>
        </w:rPr>
      </w:pPr>
    </w:p>
    <w:p w14:paraId="65C2AB39" w14:textId="77777777" w:rsidR="00863806" w:rsidRDefault="00000000">
      <w:pPr>
        <w:pStyle w:val="Bezodstpw"/>
        <w:jc w:val="both"/>
        <w:rPr>
          <w:rFonts w:ascii="Arial" w:eastAsia="Arial" w:hAnsi="Arial" w:cs="Arial"/>
        </w:rPr>
      </w:pPr>
      <w:r>
        <w:rPr>
          <w:rFonts w:ascii="Arial" w:eastAsia="Arial" w:hAnsi="Arial" w:cs="Arial"/>
        </w:rPr>
        <w:t xml:space="preserve">Red tilapia (15 g body weight, 12 cm total length) were conditioned for several weeks in concrete tanks before transferred in four glass aquaria (60 x 30 x 38 cm) filled with tap water. Each aquarium was stocked with 20 pieces of red tilapia. </w:t>
      </w:r>
    </w:p>
    <w:p w14:paraId="782F88F0" w14:textId="77777777" w:rsidR="00863806" w:rsidRDefault="00863806">
      <w:pPr>
        <w:pStyle w:val="Bezodstpw"/>
        <w:jc w:val="both"/>
        <w:rPr>
          <w:rFonts w:ascii="Arial" w:eastAsia="Arial" w:hAnsi="Arial" w:cs="Arial"/>
          <w:b/>
          <w:bCs/>
        </w:rPr>
      </w:pPr>
    </w:p>
    <w:p w14:paraId="52A55A38" w14:textId="77777777" w:rsidR="00863806" w:rsidRDefault="00000000">
      <w:pPr>
        <w:pStyle w:val="Bezodstpw"/>
        <w:jc w:val="both"/>
        <w:rPr>
          <w:rFonts w:ascii="Arial" w:eastAsia="Arial" w:hAnsi="Arial" w:cs="Arial"/>
          <w:b/>
          <w:bCs/>
        </w:rPr>
      </w:pPr>
      <w:r>
        <w:rPr>
          <w:rFonts w:ascii="Arial" w:eastAsia="Arial" w:hAnsi="Arial" w:cs="Arial"/>
          <w:b/>
          <w:bCs/>
        </w:rPr>
        <w:t xml:space="preserve">2.2 Preparation of </w:t>
      </w:r>
      <w:r>
        <w:rPr>
          <w:rFonts w:ascii="Arial" w:eastAsia="Arial" w:hAnsi="Arial" w:cs="Arial"/>
          <w:b/>
          <w:bCs/>
          <w:i/>
          <w:iCs/>
        </w:rPr>
        <w:t>Streptococcus agalactiae</w:t>
      </w:r>
    </w:p>
    <w:p w14:paraId="2C82FA13" w14:textId="77777777" w:rsidR="00863806" w:rsidRDefault="00863806">
      <w:pPr>
        <w:pStyle w:val="Bezodstpw"/>
        <w:ind w:firstLine="720"/>
        <w:jc w:val="both"/>
        <w:rPr>
          <w:rFonts w:ascii="Arial" w:eastAsia="Arial" w:hAnsi="Arial" w:cs="Arial"/>
        </w:rPr>
      </w:pPr>
    </w:p>
    <w:p w14:paraId="37C07BAD" w14:textId="77777777" w:rsidR="00863806" w:rsidRDefault="00000000">
      <w:pPr>
        <w:pStyle w:val="Bezodstpw"/>
        <w:jc w:val="both"/>
        <w:rPr>
          <w:rFonts w:ascii="Arial" w:eastAsia="Arial" w:hAnsi="Arial" w:cs="Arial"/>
        </w:rPr>
      </w:pPr>
      <w:commentRangeStart w:id="8"/>
      <w:r>
        <w:rPr>
          <w:rFonts w:ascii="Arial" w:eastAsia="Arial" w:hAnsi="Arial" w:cs="Arial"/>
        </w:rPr>
        <w:t xml:space="preserve">Pure culture of </w:t>
      </w:r>
      <w:r>
        <w:rPr>
          <w:rFonts w:ascii="Arial" w:eastAsia="Arial" w:hAnsi="Arial" w:cs="Arial"/>
          <w:i/>
          <w:iCs/>
        </w:rPr>
        <w:t xml:space="preserve">S. agalactiae </w:t>
      </w:r>
      <w:commentRangeEnd w:id="8"/>
      <w:r w:rsidR="000B3C89">
        <w:rPr>
          <w:rStyle w:val="Odwoaniedokomentarza"/>
        </w:rPr>
        <w:commentReference w:id="8"/>
      </w:r>
      <w:r>
        <w:rPr>
          <w:rFonts w:ascii="Arial" w:eastAsia="Arial" w:hAnsi="Arial" w:cs="Arial"/>
        </w:rPr>
        <w:t xml:space="preserve">was inoculated in Trypticase Soy Broth (TSB) and then placed in a shaker for 12 hours to obtain log phase growth. The inoculum was streaked in Trypticase Soy Agar (TSA) plate and was incubated for 18 to 24 hours. To confirm the </w:t>
      </w:r>
      <w:r>
        <w:rPr>
          <w:rFonts w:ascii="Arial" w:eastAsia="Arial" w:hAnsi="Arial" w:cs="Arial"/>
        </w:rPr>
        <w:lastRenderedPageBreak/>
        <w:t>identity of the bacterium, it was subjected to Gram-staining following the standard procedures. The bacterium in TSB was adjusted to 10</w:t>
      </w:r>
      <w:r>
        <w:rPr>
          <w:rFonts w:ascii="Arial" w:eastAsia="Arial" w:hAnsi="Arial" w:cs="Arial"/>
          <w:vertAlign w:val="superscript"/>
        </w:rPr>
        <w:t>6</w:t>
      </w:r>
      <w:r>
        <w:rPr>
          <w:rFonts w:ascii="Arial" w:eastAsia="Arial" w:hAnsi="Arial" w:cs="Arial"/>
        </w:rPr>
        <w:t>, 10</w:t>
      </w:r>
      <w:r>
        <w:rPr>
          <w:rFonts w:ascii="Arial" w:eastAsia="Arial" w:hAnsi="Arial" w:cs="Arial"/>
          <w:vertAlign w:val="superscript"/>
        </w:rPr>
        <w:t>7</w:t>
      </w:r>
      <w:r>
        <w:rPr>
          <w:rFonts w:ascii="Arial" w:eastAsia="Arial" w:hAnsi="Arial" w:cs="Arial"/>
        </w:rPr>
        <w:t xml:space="preserve"> and 10</w:t>
      </w:r>
      <w:r>
        <w:rPr>
          <w:rFonts w:ascii="Arial" w:eastAsia="Arial" w:hAnsi="Arial" w:cs="Arial"/>
          <w:vertAlign w:val="superscript"/>
        </w:rPr>
        <w:t>8</w:t>
      </w:r>
      <w:r>
        <w:rPr>
          <w:rFonts w:ascii="Arial" w:eastAsia="Arial" w:hAnsi="Arial" w:cs="Arial"/>
        </w:rPr>
        <w:t xml:space="preserve"> CFU/mL concentrations using spectrophotometry.</w:t>
      </w:r>
    </w:p>
    <w:p w14:paraId="6E556E57" w14:textId="77777777" w:rsidR="00863806" w:rsidRDefault="00863806">
      <w:pPr>
        <w:pStyle w:val="Bezodstpw"/>
        <w:jc w:val="both"/>
        <w:rPr>
          <w:rFonts w:ascii="Arial" w:eastAsia="Arial" w:hAnsi="Arial" w:cs="Arial"/>
          <w:b/>
          <w:bCs/>
        </w:rPr>
      </w:pPr>
    </w:p>
    <w:p w14:paraId="5E76FF48" w14:textId="77777777" w:rsidR="00863806" w:rsidRDefault="00000000">
      <w:pPr>
        <w:pStyle w:val="Bezodstpw"/>
        <w:jc w:val="both"/>
        <w:rPr>
          <w:rFonts w:ascii="Arial" w:eastAsia="Arial" w:hAnsi="Arial" w:cs="Arial"/>
          <w:b/>
          <w:bCs/>
        </w:rPr>
      </w:pPr>
      <w:r>
        <w:rPr>
          <w:rFonts w:ascii="Arial" w:eastAsia="Arial" w:hAnsi="Arial" w:cs="Arial"/>
          <w:b/>
          <w:bCs/>
        </w:rPr>
        <w:t xml:space="preserve">2.3 Experimental Injection of </w:t>
      </w:r>
      <w:r>
        <w:rPr>
          <w:rFonts w:ascii="Arial" w:eastAsia="Arial" w:hAnsi="Arial" w:cs="Arial"/>
          <w:b/>
          <w:bCs/>
          <w:i/>
          <w:iCs/>
        </w:rPr>
        <w:t xml:space="preserve">Streptococcus agalactiae </w:t>
      </w:r>
      <w:r>
        <w:rPr>
          <w:rFonts w:ascii="Arial" w:eastAsia="Arial" w:hAnsi="Arial" w:cs="Arial"/>
          <w:b/>
          <w:bCs/>
        </w:rPr>
        <w:t>to Red Tilapia</w:t>
      </w:r>
    </w:p>
    <w:p w14:paraId="162C5AC7" w14:textId="77777777" w:rsidR="00863806" w:rsidRDefault="00863806">
      <w:pPr>
        <w:pStyle w:val="Bezodstpw"/>
        <w:ind w:firstLine="720"/>
        <w:jc w:val="both"/>
        <w:rPr>
          <w:rFonts w:ascii="Arial" w:eastAsia="Arial" w:hAnsi="Arial" w:cs="Arial"/>
        </w:rPr>
      </w:pPr>
    </w:p>
    <w:p w14:paraId="3EA3542B" w14:textId="77777777" w:rsidR="00863806" w:rsidRDefault="00000000">
      <w:pPr>
        <w:pStyle w:val="Bezodstpw"/>
        <w:jc w:val="both"/>
        <w:rPr>
          <w:rFonts w:ascii="Arial" w:eastAsia="Arial" w:hAnsi="Arial" w:cs="Arial"/>
        </w:rPr>
      </w:pPr>
      <w:r>
        <w:rPr>
          <w:rFonts w:ascii="Arial" w:eastAsia="Arial" w:hAnsi="Arial" w:cs="Arial"/>
        </w:rPr>
        <w:t>The red tilapia were intraperitoneally injected with 0.5 mL of 0.85% NaCl solution (T1), and 0.5 mL of 10</w:t>
      </w:r>
      <w:r>
        <w:rPr>
          <w:rFonts w:ascii="Arial" w:eastAsia="Arial" w:hAnsi="Arial" w:cs="Arial"/>
          <w:vertAlign w:val="superscript"/>
        </w:rPr>
        <w:t>6</w:t>
      </w:r>
      <w:r>
        <w:rPr>
          <w:rFonts w:ascii="Arial" w:eastAsia="Arial" w:hAnsi="Arial" w:cs="Arial"/>
        </w:rPr>
        <w:t xml:space="preserve"> (T2), 10</w:t>
      </w:r>
      <w:r>
        <w:rPr>
          <w:rFonts w:ascii="Arial" w:eastAsia="Arial" w:hAnsi="Arial" w:cs="Arial"/>
          <w:vertAlign w:val="superscript"/>
        </w:rPr>
        <w:t>7</w:t>
      </w:r>
      <w:r>
        <w:rPr>
          <w:rFonts w:ascii="Arial" w:eastAsia="Arial" w:hAnsi="Arial" w:cs="Arial"/>
        </w:rPr>
        <w:t xml:space="preserve"> (T3), and T8 (T4) CFU/mL of </w:t>
      </w:r>
      <w:r>
        <w:rPr>
          <w:rFonts w:ascii="Arial" w:eastAsia="Arial" w:hAnsi="Arial" w:cs="Arial"/>
          <w:i/>
          <w:iCs/>
        </w:rPr>
        <w:t>S. agalactiae</w:t>
      </w:r>
      <w:r>
        <w:rPr>
          <w:rFonts w:ascii="Arial" w:eastAsia="Arial" w:hAnsi="Arial" w:cs="Arial"/>
        </w:rPr>
        <w:t xml:space="preserve"> suspension. The water level of aquaria was reduced in halves after 4 days of the set-up. Moreover, clinical signs of infection, mortality, and morbidity were noted for the past 10 days. </w:t>
      </w:r>
    </w:p>
    <w:p w14:paraId="1AE0C13A" w14:textId="77777777" w:rsidR="00863806" w:rsidRDefault="00863806">
      <w:pPr>
        <w:pStyle w:val="Bezodstpw"/>
        <w:jc w:val="both"/>
        <w:rPr>
          <w:rFonts w:ascii="Arial" w:eastAsia="Arial" w:hAnsi="Arial" w:cs="Arial"/>
          <w:b/>
          <w:bCs/>
        </w:rPr>
      </w:pPr>
    </w:p>
    <w:p w14:paraId="3B618C1D" w14:textId="77777777" w:rsidR="00863806" w:rsidRDefault="00000000">
      <w:pPr>
        <w:pStyle w:val="Bezodstpw"/>
        <w:jc w:val="both"/>
        <w:rPr>
          <w:rFonts w:ascii="Arial" w:eastAsia="Arial" w:hAnsi="Arial" w:cs="Arial"/>
          <w:b/>
          <w:bCs/>
        </w:rPr>
      </w:pPr>
      <w:r>
        <w:rPr>
          <w:rFonts w:ascii="Arial" w:eastAsia="Arial" w:hAnsi="Arial" w:cs="Arial"/>
          <w:b/>
          <w:bCs/>
        </w:rPr>
        <w:t>2.4 Nitroblue Tetrazolium (NBT) Assay</w:t>
      </w:r>
    </w:p>
    <w:p w14:paraId="2848F74C" w14:textId="77777777" w:rsidR="00863806" w:rsidRDefault="00863806">
      <w:pPr>
        <w:pStyle w:val="Bezodstpw"/>
        <w:ind w:firstLine="720"/>
        <w:jc w:val="both"/>
        <w:rPr>
          <w:rFonts w:ascii="Arial" w:eastAsia="Arial" w:hAnsi="Arial" w:cs="Arial"/>
        </w:rPr>
      </w:pPr>
    </w:p>
    <w:p w14:paraId="1243F262" w14:textId="77777777" w:rsidR="00863806" w:rsidRDefault="00000000">
      <w:pPr>
        <w:pStyle w:val="Bezodstpw"/>
        <w:jc w:val="both"/>
        <w:rPr>
          <w:rFonts w:ascii="Arial" w:eastAsia="Arial" w:hAnsi="Arial" w:cs="Arial"/>
          <w:b/>
          <w:bCs/>
        </w:rPr>
      </w:pPr>
      <w:commentRangeStart w:id="9"/>
      <w:r>
        <w:rPr>
          <w:rFonts w:ascii="Arial" w:eastAsia="Arial" w:hAnsi="Arial" w:cs="Arial"/>
        </w:rPr>
        <w:t>Blood was collected from representative fish after 10 days prior to experimental injection of the bacterium</w:t>
      </w:r>
      <w:commentRangeEnd w:id="9"/>
      <w:r w:rsidR="00000CA3">
        <w:rPr>
          <w:rStyle w:val="Odwoaniedokomentarza"/>
        </w:rPr>
        <w:commentReference w:id="9"/>
      </w:r>
      <w:r>
        <w:rPr>
          <w:rFonts w:ascii="Arial" w:eastAsia="Arial" w:hAnsi="Arial" w:cs="Arial"/>
        </w:rPr>
        <w:t>. The leukocytes of the fish (up to 6 x10</w:t>
      </w:r>
      <w:r>
        <w:rPr>
          <w:rFonts w:ascii="Arial" w:eastAsia="Arial" w:hAnsi="Arial" w:cs="Arial"/>
          <w:vertAlign w:val="superscript"/>
        </w:rPr>
        <w:t>6</w:t>
      </w:r>
      <w:r>
        <w:rPr>
          <w:rFonts w:ascii="Arial" w:eastAsia="Arial" w:hAnsi="Arial" w:cs="Arial"/>
        </w:rPr>
        <w:t xml:space="preserve"> cells/mL) were prepared and placed into 96-well plate (175 µl/well); one leukocyte sample was divided in 3 replicates. The NBT (25 µl/well) was added and was incubated at 25 °C for 2 hours. All supernatant was carefully removed before adding 100% methanol (125 µl/well). After 5 minutes, each well was washed twice with 70% methanol (125 µl/well) then afterwards, all solution was removed carefully. The microtiter plate was allowed to dry in room temperature before 2N KOH (125 µl/well) and DMSO (150 µL/well) were added. The supernatant was removed in each well. Quantitative analysis of absorbance of each sample was made at 655 nm. </w:t>
      </w:r>
    </w:p>
    <w:p w14:paraId="53B64FEC" w14:textId="77777777" w:rsidR="00863806" w:rsidRDefault="00863806">
      <w:pPr>
        <w:pStyle w:val="Bezodstpw"/>
        <w:jc w:val="both"/>
        <w:rPr>
          <w:rFonts w:ascii="Arial" w:eastAsia="Arial" w:hAnsi="Arial" w:cs="Arial"/>
          <w:b/>
          <w:bCs/>
        </w:rPr>
      </w:pPr>
    </w:p>
    <w:p w14:paraId="14250507" w14:textId="77777777" w:rsidR="00863806" w:rsidRDefault="00000000">
      <w:pPr>
        <w:pStyle w:val="Bezodstpw"/>
        <w:jc w:val="both"/>
        <w:rPr>
          <w:rFonts w:ascii="Arial" w:eastAsia="Arial" w:hAnsi="Arial" w:cs="Arial"/>
          <w:b/>
          <w:bCs/>
        </w:rPr>
      </w:pPr>
      <w:r>
        <w:rPr>
          <w:rFonts w:ascii="Arial" w:eastAsia="Arial" w:hAnsi="Arial" w:cs="Arial"/>
          <w:b/>
          <w:bCs/>
        </w:rPr>
        <w:t>2.5 Lysozyme Activity</w:t>
      </w:r>
    </w:p>
    <w:p w14:paraId="6B3E8D6B" w14:textId="77777777" w:rsidR="00863806" w:rsidRDefault="00863806">
      <w:pPr>
        <w:pStyle w:val="Bezodstpw"/>
        <w:jc w:val="both"/>
        <w:rPr>
          <w:rFonts w:ascii="Arial" w:eastAsia="Arial" w:hAnsi="Arial" w:cs="Arial"/>
        </w:rPr>
      </w:pPr>
    </w:p>
    <w:p w14:paraId="59C444B2" w14:textId="77777777" w:rsidR="00863806" w:rsidRDefault="00000000">
      <w:pPr>
        <w:pStyle w:val="Bezodstpw"/>
        <w:jc w:val="both"/>
        <w:rPr>
          <w:rFonts w:ascii="Arial" w:eastAsia="Arial" w:hAnsi="Arial" w:cs="Arial"/>
        </w:rPr>
      </w:pPr>
      <w:r>
        <w:rPr>
          <w:rFonts w:ascii="Arial" w:eastAsia="Arial" w:hAnsi="Arial" w:cs="Arial"/>
        </w:rPr>
        <w:t xml:space="preserve">Fish blood sample (0.5 mL) was placed in microtube and was permitted to clot under room temperature for about 4 hours. The blood sample was centrifuged at around 10,000 rpm for 5 minutes. The clear serum was aspirated from the top and stored at -20 °C.  For the analysis of lysozyme activity, serum (25 µL) was added to a 96-well microtiter plate, with 2 samples each, then a bacterial solution of </w:t>
      </w:r>
      <w:r>
        <w:rPr>
          <w:rFonts w:ascii="Arial" w:eastAsia="Arial" w:hAnsi="Arial" w:cs="Arial"/>
          <w:i/>
          <w:iCs/>
        </w:rPr>
        <w:t>Micrococcus lysodeikticus</w:t>
      </w:r>
      <w:r>
        <w:rPr>
          <w:rFonts w:ascii="Arial" w:eastAsia="Arial" w:hAnsi="Arial" w:cs="Arial"/>
        </w:rPr>
        <w:t xml:space="preserve"> (100 µL) at a concentration of 3 mg/mL was added. The suspension was mixed well. The lysozyme's activity (units per minute) was measured by the reduced bacterial cells in every minute at a wavelength of 450 nm using a microplate reader. One unit of lysozyme activity is defined as a reduction of 0.001 in the solution's turbidity within 1 minute.</w:t>
      </w:r>
    </w:p>
    <w:p w14:paraId="598C4032" w14:textId="77777777" w:rsidR="00863806" w:rsidRDefault="00863806">
      <w:pPr>
        <w:pStyle w:val="Body"/>
        <w:spacing w:after="0"/>
        <w:rPr>
          <w:rFonts w:ascii="Arial" w:hAnsi="Arial" w:cs="Arial"/>
        </w:rPr>
      </w:pPr>
    </w:p>
    <w:p w14:paraId="7487AEB4" w14:textId="77777777" w:rsidR="00863806" w:rsidRDefault="00000000">
      <w:pPr>
        <w:pStyle w:val="Head1"/>
        <w:spacing w:after="0"/>
        <w:jc w:val="both"/>
        <w:rPr>
          <w:rFonts w:ascii="Arial" w:hAnsi="Arial" w:cs="Arial"/>
        </w:rPr>
      </w:pPr>
      <w:r>
        <w:rPr>
          <w:rFonts w:ascii="Arial" w:hAnsi="Arial" w:cs="Arial"/>
        </w:rPr>
        <w:t>3. results and discussion</w:t>
      </w:r>
    </w:p>
    <w:p w14:paraId="144628DA" w14:textId="77777777" w:rsidR="00863806" w:rsidRDefault="00863806">
      <w:pPr>
        <w:pStyle w:val="Head1"/>
        <w:spacing w:after="0"/>
        <w:jc w:val="both"/>
        <w:rPr>
          <w:rFonts w:ascii="Arial" w:hAnsi="Arial" w:cs="Arial"/>
        </w:rPr>
      </w:pPr>
    </w:p>
    <w:p w14:paraId="6299F79A" w14:textId="77777777" w:rsidR="00863806" w:rsidRDefault="00000000">
      <w:pPr>
        <w:pStyle w:val="Bezodstpw"/>
        <w:jc w:val="both"/>
        <w:rPr>
          <w:rFonts w:ascii="Arial" w:eastAsia="Arial" w:hAnsi="Arial" w:cs="Arial"/>
          <w:b/>
          <w:bCs/>
        </w:rPr>
      </w:pPr>
      <w:r>
        <w:rPr>
          <w:rFonts w:ascii="Arial" w:eastAsia="Arial" w:hAnsi="Arial" w:cs="Arial"/>
          <w:b/>
          <w:bCs/>
        </w:rPr>
        <w:t>3.1 Clinical Signs of Infection</w:t>
      </w:r>
    </w:p>
    <w:p w14:paraId="47BCC8EE" w14:textId="77777777" w:rsidR="00863806" w:rsidRDefault="00863806">
      <w:pPr>
        <w:pStyle w:val="Bezodstpw"/>
        <w:jc w:val="both"/>
        <w:rPr>
          <w:rFonts w:ascii="Arial" w:eastAsia="Arial" w:hAnsi="Arial" w:cs="Arial"/>
          <w:b/>
          <w:bCs/>
        </w:rPr>
      </w:pPr>
    </w:p>
    <w:p w14:paraId="30752136" w14:textId="77777777" w:rsidR="00863806" w:rsidRDefault="00000000">
      <w:pPr>
        <w:pStyle w:val="Bezodstpw"/>
        <w:jc w:val="both"/>
        <w:rPr>
          <w:rFonts w:ascii="Arial" w:eastAsia="Arial" w:hAnsi="Arial" w:cs="Arial"/>
          <w:lang w:eastAsia="en-PH"/>
        </w:rPr>
      </w:pPr>
      <w:r>
        <w:rPr>
          <w:rFonts w:ascii="Arial" w:eastAsia="Arial" w:hAnsi="Arial" w:cs="Arial"/>
          <w:shd w:val="clear" w:color="auto" w:fill="FFFFFF"/>
        </w:rPr>
        <w:t xml:space="preserve">In this current research, </w:t>
      </w:r>
      <w:commentRangeStart w:id="10"/>
      <w:r>
        <w:rPr>
          <w:rFonts w:ascii="Arial" w:eastAsia="Arial" w:hAnsi="Arial" w:cs="Arial"/>
          <w:shd w:val="clear" w:color="auto" w:fill="FFFFFF"/>
        </w:rPr>
        <w:t xml:space="preserve">no evident signs of infection </w:t>
      </w:r>
      <w:commentRangeEnd w:id="10"/>
      <w:r w:rsidR="00000CA3">
        <w:rPr>
          <w:rStyle w:val="Odwoaniedokomentarza"/>
        </w:rPr>
        <w:commentReference w:id="10"/>
      </w:r>
      <w:r>
        <w:rPr>
          <w:rFonts w:ascii="Arial" w:eastAsia="Arial" w:hAnsi="Arial" w:cs="Arial"/>
          <w:shd w:val="clear" w:color="auto" w:fill="FFFFFF"/>
        </w:rPr>
        <w:t>were found in red tilapia groups that received injections of 10</w:t>
      </w:r>
      <w:r>
        <w:rPr>
          <w:rFonts w:ascii="Arial" w:eastAsia="Arial" w:hAnsi="Arial" w:cs="Arial"/>
          <w:shd w:val="clear" w:color="auto" w:fill="FFFFFF"/>
          <w:vertAlign w:val="superscript"/>
        </w:rPr>
        <w:t>6</w:t>
      </w:r>
      <w:r>
        <w:rPr>
          <w:rFonts w:ascii="Arial" w:eastAsia="Arial" w:hAnsi="Arial" w:cs="Arial"/>
          <w:shd w:val="clear" w:color="auto" w:fill="FFFFFF"/>
        </w:rPr>
        <w:t>, 10</w:t>
      </w:r>
      <w:r>
        <w:rPr>
          <w:rFonts w:ascii="Arial" w:eastAsia="Arial" w:hAnsi="Arial" w:cs="Arial"/>
          <w:shd w:val="clear" w:color="auto" w:fill="FFFFFF"/>
          <w:vertAlign w:val="superscript"/>
        </w:rPr>
        <w:t>7</w:t>
      </w:r>
      <w:r>
        <w:rPr>
          <w:rFonts w:ascii="Arial" w:eastAsia="Arial" w:hAnsi="Arial" w:cs="Arial"/>
          <w:shd w:val="clear" w:color="auto" w:fill="FFFFFF"/>
        </w:rPr>
        <w:t>, and 10</w:t>
      </w:r>
      <w:r>
        <w:rPr>
          <w:rFonts w:ascii="Arial" w:eastAsia="Arial" w:hAnsi="Arial" w:cs="Arial"/>
          <w:shd w:val="clear" w:color="auto" w:fill="FFFFFF"/>
          <w:vertAlign w:val="superscript"/>
        </w:rPr>
        <w:t>8</w:t>
      </w:r>
      <w:r>
        <w:rPr>
          <w:rFonts w:ascii="Arial" w:eastAsia="Arial" w:hAnsi="Arial" w:cs="Arial"/>
          <w:shd w:val="clear" w:color="auto" w:fill="FFFFFF"/>
        </w:rPr>
        <w:t> </w:t>
      </w:r>
      <w:r>
        <w:rPr>
          <w:rFonts w:ascii="Arial" w:eastAsia="Arial" w:hAnsi="Arial" w:cs="Arial"/>
        </w:rPr>
        <w:t>CFU/mL</w:t>
      </w:r>
      <w:r>
        <w:rPr>
          <w:rFonts w:ascii="Arial" w:eastAsia="Arial" w:hAnsi="Arial" w:cs="Arial"/>
          <w:shd w:val="clear" w:color="auto" w:fill="FFFFFF"/>
        </w:rPr>
        <w:t xml:space="preserve"> of </w:t>
      </w:r>
      <w:r>
        <w:rPr>
          <w:rStyle w:val="Uwydatnienie"/>
          <w:rFonts w:ascii="Arial" w:eastAsia="Arial" w:hAnsi="Arial" w:cs="Arial"/>
          <w:shd w:val="clear" w:color="auto" w:fill="FFFFFF"/>
        </w:rPr>
        <w:t>S. agalactiae</w:t>
      </w:r>
      <w:r>
        <w:rPr>
          <w:rFonts w:ascii="Arial" w:eastAsia="Arial" w:hAnsi="Arial" w:cs="Arial"/>
          <w:shd w:val="clear" w:color="auto" w:fill="FFFFFF"/>
        </w:rPr>
        <w:t xml:space="preserve">. This may be due to the loss of virulence of the isolate or the lower temperature during the experiment. According to Evans </w:t>
      </w:r>
      <w:r>
        <w:rPr>
          <w:rFonts w:ascii="Arial" w:eastAsia="Arial" w:hAnsi="Arial" w:cs="Arial"/>
          <w:i/>
          <w:shd w:val="clear" w:color="auto" w:fill="FFFFFF"/>
        </w:rPr>
        <w:t>et al</w:t>
      </w:r>
      <w:r>
        <w:rPr>
          <w:rFonts w:ascii="Arial" w:eastAsia="Arial" w:hAnsi="Arial" w:cs="Arial"/>
          <w:shd w:val="clear" w:color="auto" w:fill="FFFFFF"/>
        </w:rPr>
        <w:t>. (2002),</w:t>
      </w:r>
      <w:r>
        <w:rPr>
          <w:rFonts w:ascii="Arial" w:eastAsia="Arial" w:hAnsi="Arial" w:cs="Arial"/>
          <w:i/>
          <w:shd w:val="clear" w:color="auto" w:fill="FFFFFF"/>
        </w:rPr>
        <w:t xml:space="preserve"> S. agalactiae</w:t>
      </w:r>
      <w:r>
        <w:rPr>
          <w:rFonts w:ascii="Arial" w:eastAsia="Arial" w:hAnsi="Arial" w:cs="Arial"/>
          <w:shd w:val="clear" w:color="auto" w:fill="FFFFFF"/>
        </w:rPr>
        <w:t xml:space="preserve"> possesses genes responsible for hemolysis and adhesion, and formation of capsule, which are responsible for its pathogenicity and virulence. The loss of virulence in pathogenic bacteria is often linked to genetic mutations, horizontal gene transfer, evolutionary trade-offs, immune pressure, environmental changes, metabolic costs, and disruption of quorum sensing. Reyes </w:t>
      </w:r>
      <w:r>
        <w:rPr>
          <w:rFonts w:ascii="Arial" w:eastAsia="Arial" w:hAnsi="Arial" w:cs="Arial"/>
          <w:i/>
          <w:shd w:val="clear" w:color="auto" w:fill="FFFFFF"/>
        </w:rPr>
        <w:t>et al</w:t>
      </w:r>
      <w:r>
        <w:rPr>
          <w:rFonts w:ascii="Arial" w:eastAsia="Arial" w:hAnsi="Arial" w:cs="Arial"/>
          <w:shd w:val="clear" w:color="auto" w:fill="FFFFFF"/>
        </w:rPr>
        <w:t>. (2021) indicate that temperatures exceeding 33°C are considered a risk factor for the occurrence of streptococcosis in farmed Nile tilapia. Numerous studies have already demonstrated the ability of </w:t>
      </w:r>
      <w:r>
        <w:rPr>
          <w:rStyle w:val="Uwydatnienie"/>
          <w:rFonts w:ascii="Arial" w:eastAsia="Arial" w:hAnsi="Arial" w:cs="Arial"/>
          <w:shd w:val="clear" w:color="auto" w:fill="FFFFFF"/>
        </w:rPr>
        <w:t>S. agalactiae</w:t>
      </w:r>
      <w:r>
        <w:rPr>
          <w:rFonts w:ascii="Arial" w:eastAsia="Arial" w:hAnsi="Arial" w:cs="Arial"/>
          <w:shd w:val="clear" w:color="auto" w:fill="FFFFFF"/>
        </w:rPr>
        <w:t xml:space="preserve"> to induce disease in aquatic organisms. Reyes </w:t>
      </w:r>
      <w:r>
        <w:rPr>
          <w:rFonts w:ascii="Arial" w:eastAsia="Arial" w:hAnsi="Arial" w:cs="Arial"/>
          <w:i/>
          <w:iCs/>
          <w:shd w:val="clear" w:color="auto" w:fill="FFFFFF"/>
        </w:rPr>
        <w:t>et al</w:t>
      </w:r>
      <w:r>
        <w:rPr>
          <w:rFonts w:ascii="Arial" w:eastAsia="Arial" w:hAnsi="Arial" w:cs="Arial"/>
          <w:shd w:val="clear" w:color="auto" w:fill="FFFFFF"/>
        </w:rPr>
        <w:t xml:space="preserve">. (2021) reported that Nile tilapia experimentally injected with </w:t>
      </w:r>
      <w:r>
        <w:rPr>
          <w:rFonts w:ascii="Arial" w:eastAsia="Arial" w:hAnsi="Arial" w:cs="Arial"/>
          <w:i/>
          <w:shd w:val="clear" w:color="auto" w:fill="FFFFFF"/>
        </w:rPr>
        <w:t>S. agalactiae</w:t>
      </w:r>
      <w:r>
        <w:rPr>
          <w:rFonts w:ascii="Arial" w:eastAsia="Arial" w:hAnsi="Arial" w:cs="Arial"/>
          <w:shd w:val="clear" w:color="auto" w:fill="FFFFFF"/>
        </w:rPr>
        <w:t xml:space="preserve"> after 1-day post-inoculation (PI) showed clinical signs of infection such as scales’ removal, exophthalmia, and body discoloration. These findings align with those of Evans </w:t>
      </w:r>
      <w:r>
        <w:rPr>
          <w:rFonts w:ascii="Arial" w:eastAsia="Arial" w:hAnsi="Arial" w:cs="Arial"/>
          <w:i/>
          <w:iCs/>
          <w:shd w:val="clear" w:color="auto" w:fill="FFFFFF"/>
        </w:rPr>
        <w:t>et al</w:t>
      </w:r>
      <w:r>
        <w:rPr>
          <w:rFonts w:ascii="Arial" w:eastAsia="Arial" w:hAnsi="Arial" w:cs="Arial"/>
          <w:shd w:val="clear" w:color="auto" w:fill="FFFFFF"/>
        </w:rPr>
        <w:t>. (2002), who observed the onset of clinical signs within 24 hours PI.</w:t>
      </w:r>
      <w:r>
        <w:rPr>
          <w:rFonts w:ascii="Arial" w:eastAsia="Arial" w:hAnsi="Arial" w:cs="Arial"/>
          <w:lang w:eastAsia="en-PH"/>
        </w:rPr>
        <w:t xml:space="preserve"> Postmortem </w:t>
      </w:r>
      <w:r>
        <w:rPr>
          <w:rFonts w:ascii="Arial" w:eastAsia="Arial" w:hAnsi="Arial" w:cs="Arial"/>
          <w:lang w:eastAsia="en-PH"/>
        </w:rPr>
        <w:lastRenderedPageBreak/>
        <w:t xml:space="preserve">examination of dead fish revealed liquified internal organs, increased size of spleen and liver, and hemorrhages in the liver and brain tissues (Reyes </w:t>
      </w:r>
      <w:r>
        <w:rPr>
          <w:rFonts w:ascii="Arial" w:eastAsia="Arial" w:hAnsi="Arial" w:cs="Arial"/>
          <w:i/>
          <w:iCs/>
          <w:lang w:eastAsia="en-PH"/>
        </w:rPr>
        <w:t>et al</w:t>
      </w:r>
      <w:r>
        <w:rPr>
          <w:rFonts w:ascii="Arial" w:eastAsia="Arial" w:hAnsi="Arial" w:cs="Arial"/>
          <w:lang w:eastAsia="en-PH"/>
        </w:rPr>
        <w:t xml:space="preserve">., 2021), which were similarly documented in a study of Rodkhum </w:t>
      </w:r>
      <w:r>
        <w:rPr>
          <w:rFonts w:ascii="Arial" w:eastAsia="Arial" w:hAnsi="Arial" w:cs="Arial"/>
          <w:i/>
          <w:iCs/>
          <w:lang w:eastAsia="en-PH"/>
        </w:rPr>
        <w:t>et al</w:t>
      </w:r>
      <w:r>
        <w:rPr>
          <w:rFonts w:ascii="Arial" w:eastAsia="Arial" w:hAnsi="Arial" w:cs="Arial"/>
          <w:lang w:eastAsia="en-PH"/>
        </w:rPr>
        <w:t xml:space="preserve">. (2011). In the same study of Rodkhum </w:t>
      </w:r>
      <w:r>
        <w:rPr>
          <w:rFonts w:ascii="Arial" w:eastAsia="Arial" w:hAnsi="Arial" w:cs="Arial"/>
          <w:i/>
          <w:iCs/>
          <w:lang w:eastAsia="en-PH"/>
        </w:rPr>
        <w:t>et al</w:t>
      </w:r>
      <w:r>
        <w:rPr>
          <w:rFonts w:ascii="Arial" w:eastAsia="Arial" w:hAnsi="Arial" w:cs="Arial"/>
          <w:lang w:eastAsia="en-PH"/>
        </w:rPr>
        <w:t xml:space="preserve">. (2011), they further observed a 100% mortality rate in </w:t>
      </w:r>
      <w:r>
        <w:rPr>
          <w:rFonts w:ascii="Arial" w:eastAsia="Arial" w:hAnsi="Arial" w:cs="Arial"/>
          <w:i/>
          <w:lang w:eastAsia="en-PH"/>
        </w:rPr>
        <w:t>S. agalactiae</w:t>
      </w:r>
      <w:r>
        <w:rPr>
          <w:rFonts w:ascii="Arial" w:eastAsia="Arial" w:hAnsi="Arial" w:cs="Arial"/>
          <w:lang w:eastAsia="en-PH"/>
        </w:rPr>
        <w:t>-infected tilapia 2-day P1 at a dose of 10</w:t>
      </w:r>
      <w:r>
        <w:rPr>
          <w:rFonts w:ascii="Arial" w:eastAsia="Arial" w:hAnsi="Arial" w:cs="Arial"/>
          <w:vertAlign w:val="superscript"/>
          <w:lang w:eastAsia="en-PH"/>
        </w:rPr>
        <w:t>8</w:t>
      </w:r>
      <w:r>
        <w:rPr>
          <w:rFonts w:ascii="Arial" w:eastAsia="Arial" w:hAnsi="Arial" w:cs="Arial"/>
          <w:lang w:eastAsia="en-PH"/>
        </w:rPr>
        <w:t xml:space="preserve"> CFU/mL, increasing to 40% by the 7-day PI. Comparatively, Evans </w:t>
      </w:r>
      <w:r>
        <w:rPr>
          <w:rFonts w:ascii="Arial" w:eastAsia="Arial" w:hAnsi="Arial" w:cs="Arial"/>
          <w:i/>
          <w:iCs/>
          <w:lang w:eastAsia="en-PH"/>
        </w:rPr>
        <w:t>et al</w:t>
      </w:r>
      <w:r>
        <w:rPr>
          <w:rFonts w:ascii="Arial" w:eastAsia="Arial" w:hAnsi="Arial" w:cs="Arial"/>
          <w:lang w:eastAsia="en-PH"/>
        </w:rPr>
        <w:t>. (2002) reported a 30% mortality rate within 24 hours PI using a dose of 1.1 x 10</w:t>
      </w:r>
      <w:r>
        <w:rPr>
          <w:rFonts w:ascii="Arial" w:eastAsia="Arial" w:hAnsi="Arial" w:cs="Arial"/>
          <w:vertAlign w:val="superscript"/>
          <w:lang w:eastAsia="en-PH"/>
        </w:rPr>
        <w:t>5</w:t>
      </w:r>
      <w:r>
        <w:rPr>
          <w:rFonts w:ascii="Arial" w:eastAsia="Arial" w:hAnsi="Arial" w:cs="Arial"/>
          <w:lang w:eastAsia="en-PH"/>
        </w:rPr>
        <w:t xml:space="preserve"> CFU/mL. Other studies have documented mortality rates of 48% (9 x 10</w:t>
      </w:r>
      <w:r>
        <w:rPr>
          <w:rFonts w:ascii="Arial" w:eastAsia="Arial" w:hAnsi="Arial" w:cs="Arial"/>
          <w:vertAlign w:val="superscript"/>
          <w:lang w:eastAsia="en-PH"/>
        </w:rPr>
        <w:t>8</w:t>
      </w:r>
      <w:r>
        <w:rPr>
          <w:rFonts w:ascii="Arial" w:eastAsia="Arial" w:hAnsi="Arial" w:cs="Arial"/>
          <w:lang w:eastAsia="en-PH"/>
        </w:rPr>
        <w:t xml:space="preserve"> CFU/mL) and 90% (1.5 x 108 CFU/mL) after 7-day PI (Pretto-Giordano </w:t>
      </w:r>
      <w:r>
        <w:rPr>
          <w:rFonts w:ascii="Arial" w:eastAsia="Arial" w:hAnsi="Arial" w:cs="Arial"/>
          <w:i/>
          <w:iCs/>
          <w:lang w:eastAsia="en-PH"/>
        </w:rPr>
        <w:t>et al</w:t>
      </w:r>
      <w:r>
        <w:rPr>
          <w:rFonts w:ascii="Arial" w:eastAsia="Arial" w:hAnsi="Arial" w:cs="Arial"/>
          <w:lang w:eastAsia="en-PH"/>
        </w:rPr>
        <w:t>., 2010).</w:t>
      </w:r>
    </w:p>
    <w:p w14:paraId="1887EACA" w14:textId="77777777" w:rsidR="00863806" w:rsidRDefault="00863806">
      <w:pPr>
        <w:pStyle w:val="Bezodstpw"/>
        <w:jc w:val="both"/>
        <w:rPr>
          <w:rFonts w:ascii="Arial" w:eastAsia="Arial" w:hAnsi="Arial" w:cs="Arial"/>
          <w:shd w:val="clear" w:color="auto" w:fill="FFFFFF"/>
        </w:rPr>
      </w:pPr>
    </w:p>
    <w:p w14:paraId="3146F684" w14:textId="77777777" w:rsidR="00863806" w:rsidRDefault="00000000">
      <w:pPr>
        <w:pStyle w:val="Bezodstpw"/>
        <w:jc w:val="both"/>
        <w:rPr>
          <w:rFonts w:ascii="Arial" w:eastAsia="Arial" w:hAnsi="Arial" w:cs="Arial"/>
          <w:b/>
          <w:bCs/>
        </w:rPr>
      </w:pPr>
      <w:r>
        <w:rPr>
          <w:rFonts w:ascii="Arial" w:eastAsia="Arial" w:hAnsi="Arial" w:cs="Arial"/>
          <w:b/>
          <w:bCs/>
        </w:rPr>
        <w:t>3.2 Nitroblue Tetrazolium (NBT) Assay</w:t>
      </w:r>
    </w:p>
    <w:p w14:paraId="0A6BE319" w14:textId="77777777" w:rsidR="00863806" w:rsidRDefault="00863806">
      <w:pPr>
        <w:pStyle w:val="Bezodstpw"/>
        <w:jc w:val="both"/>
        <w:rPr>
          <w:rFonts w:ascii="Arial" w:eastAsia="Arial" w:hAnsi="Arial" w:cs="Arial"/>
        </w:rPr>
      </w:pPr>
    </w:p>
    <w:p w14:paraId="67F3F1F3"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The experimentally infected red tilapia (T2, T3, T4) showed higher NBT values compared to control (T1). This indicates that the cells of infected fish had an increased capacity for generating a respiratory burst and subsequently ROS. The respiratory burst, also known as an oxidative burst, is a rapid and transient increase in the production of ROS by immune cells, such as neutrophils and macrophages, in response to microbial infection or other stimuli (Dalmo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1997; (Neumann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2001; Rieger &amp; Barreda, 2011). This process enhances the cells’ ability to kill and degrade invading microbes during phagocytosis (Johnston, 1978). During respiratory burst, the enzyme NADPH oxidase becomes activated and transfers electrons to oxygen molecules, producing superoxide anions. These anions are further converted into other ROS, such as hydrogen peroxide and hydroxyl radicals which are toxic to invading microbes, aiding to their destruction. The products of NBT reduction reactions serve as a reliable indicator of fish health status or the efficacy of immunization (Anderson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1992).  In comparison to other techniques like chemiluminescence, NBT assay is considered less sensitive because it only detects intracellular oxygen activity (DeChatelet </w:t>
      </w:r>
      <w:r>
        <w:rPr>
          <w:rFonts w:ascii="Arial" w:eastAsia="Arial" w:hAnsi="Arial" w:cs="Arial"/>
          <w:i/>
          <w:color w:val="000000"/>
          <w:sz w:val="20"/>
          <w:szCs w:val="20"/>
          <w:lang w:val="en-US"/>
        </w:rPr>
        <w:t>et al</w:t>
      </w:r>
      <w:r>
        <w:rPr>
          <w:rFonts w:ascii="Arial" w:eastAsia="Arial" w:hAnsi="Arial" w:cs="Arial"/>
          <w:color w:val="000000"/>
          <w:sz w:val="20"/>
          <w:szCs w:val="20"/>
          <w:lang w:val="en-US"/>
        </w:rPr>
        <w:t>., 1982). Nevertheless, the NBT reduction assay has its advantages. It can be conducted in microplates, enabling the analysis of up to 96 samples simultaneously while providing both qualitative and quantitative results. Additionally, the quantification of superoxide anion production can be performed through spectrophotometric analysis of solubilized formazan deposits. This method is fast, simple, and cost-effective, as it does not require a luminometer or scintillation counter. Furthermore, there is no need to separate cells from plasma, which reduces handling steps that could potentially affect hemocyte functionality (Secombes, 1990).</w:t>
      </w:r>
    </w:p>
    <w:p w14:paraId="1495D624"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5344D4E8"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In polymorphonuclear leukocytes, the NBT reduction happens at the cell membrane, as assisted by membrane-bound oxidase (Baehner, 1975; Briggs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1975). In bacteria, the enzymes responsible for electron transport and oxidative phosphorylation are also membrane-associated. Since NBT competes with oxygen for hydrogen ions from NADPH or NADH, the reaction may require membrane disruption by NBT, as bacterial membranes are generally considered impermeable to this compound (Baehner, 1975; Briggs</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xml:space="preserve"> 1975).</w:t>
      </w:r>
    </w:p>
    <w:p w14:paraId="12A89A1B"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692CBEC5"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Sahoo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(2005) demonstrated that phagocytic cells in Indian major carp (</w:t>
      </w:r>
      <w:r>
        <w:rPr>
          <w:rFonts w:ascii="Arial" w:eastAsia="Arial" w:hAnsi="Arial" w:cs="Arial"/>
          <w:i/>
          <w:color w:val="000000"/>
          <w:sz w:val="20"/>
          <w:szCs w:val="20"/>
          <w:lang w:val="en-US"/>
        </w:rPr>
        <w:t>Catla catla</w:t>
      </w:r>
      <w:r>
        <w:rPr>
          <w:rFonts w:ascii="Arial" w:eastAsia="Arial" w:hAnsi="Arial" w:cs="Arial"/>
          <w:color w:val="000000"/>
          <w:sz w:val="20"/>
          <w:szCs w:val="20"/>
          <w:lang w:val="en-US"/>
        </w:rPr>
        <w:t>) and rohu (</w:t>
      </w:r>
      <w:r>
        <w:rPr>
          <w:rFonts w:ascii="Arial" w:eastAsia="Arial" w:hAnsi="Arial" w:cs="Arial"/>
          <w:i/>
          <w:color w:val="000000"/>
          <w:sz w:val="20"/>
          <w:szCs w:val="20"/>
          <w:lang w:val="en-US"/>
        </w:rPr>
        <w:t>Labeo rohita</w:t>
      </w:r>
      <w:r>
        <w:rPr>
          <w:rFonts w:ascii="Arial" w:eastAsia="Arial" w:hAnsi="Arial" w:cs="Arial"/>
          <w:color w:val="000000"/>
          <w:sz w:val="20"/>
          <w:szCs w:val="20"/>
          <w:lang w:val="en-US"/>
        </w:rPr>
        <w:t>)</w:t>
      </w:r>
      <w:r>
        <w:rPr>
          <w:rFonts w:ascii="Arial" w:eastAsia="Arial" w:hAnsi="Arial" w:cs="Arial"/>
          <w:i/>
          <w:color w:val="000000"/>
          <w:sz w:val="20"/>
          <w:szCs w:val="20"/>
          <w:lang w:val="en-US"/>
        </w:rPr>
        <w:t xml:space="preserve"> </w:t>
      </w:r>
      <w:r>
        <w:rPr>
          <w:rFonts w:ascii="Arial" w:eastAsia="Arial" w:hAnsi="Arial" w:cs="Arial"/>
          <w:color w:val="000000"/>
          <w:sz w:val="20"/>
          <w:szCs w:val="20"/>
          <w:lang w:val="en-US"/>
        </w:rPr>
        <w:t>produced significant higher levels of ROS, as measured by the NBT assay, compared to white carp (</w:t>
      </w:r>
      <w:r>
        <w:rPr>
          <w:rFonts w:ascii="Arial" w:eastAsia="Arial" w:hAnsi="Arial" w:cs="Arial"/>
          <w:i/>
          <w:color w:val="000000"/>
          <w:sz w:val="20"/>
          <w:szCs w:val="20"/>
          <w:lang w:val="en-US"/>
        </w:rPr>
        <w:t>Cirrhinus mrigala</w:t>
      </w:r>
      <w:r>
        <w:rPr>
          <w:rFonts w:ascii="Arial" w:eastAsia="Arial" w:hAnsi="Arial" w:cs="Arial"/>
          <w:color w:val="000000"/>
          <w:sz w:val="20"/>
          <w:szCs w:val="20"/>
          <w:lang w:val="en-US"/>
        </w:rPr>
        <w:t>). In Japanese carp (</w:t>
      </w:r>
      <w:r>
        <w:rPr>
          <w:rFonts w:ascii="Arial" w:eastAsia="Arial" w:hAnsi="Arial" w:cs="Arial"/>
          <w:i/>
          <w:color w:val="000000"/>
          <w:sz w:val="20"/>
          <w:szCs w:val="20"/>
          <w:lang w:val="en-US"/>
        </w:rPr>
        <w:t>Puntius gonionotus</w:t>
      </w:r>
      <w:r>
        <w:rPr>
          <w:rFonts w:ascii="Arial" w:eastAsia="Arial" w:hAnsi="Arial" w:cs="Arial"/>
          <w:color w:val="000000"/>
          <w:sz w:val="20"/>
          <w:szCs w:val="20"/>
          <w:lang w:val="en-US"/>
        </w:rPr>
        <w:t xml:space="preserve">), Shariff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(2001) observed elevated NBT activity, reaching 0.746, following an injection of </w:t>
      </w:r>
      <w:r>
        <w:rPr>
          <w:rFonts w:ascii="Arial" w:eastAsia="Arial" w:hAnsi="Arial" w:cs="Arial"/>
          <w:i/>
          <w:color w:val="000000"/>
          <w:sz w:val="20"/>
          <w:szCs w:val="20"/>
          <w:lang w:val="en-US"/>
        </w:rPr>
        <w:t>Aeromonas hydrophila</w:t>
      </w:r>
      <w:r>
        <w:rPr>
          <w:rFonts w:ascii="Arial" w:eastAsia="Arial" w:hAnsi="Arial" w:cs="Arial"/>
          <w:color w:val="000000"/>
          <w:sz w:val="20"/>
          <w:szCs w:val="20"/>
          <w:lang w:val="en-US"/>
        </w:rPr>
        <w:t>. Similarly, small-scaled pacu (</w:t>
      </w:r>
      <w:r>
        <w:rPr>
          <w:rFonts w:ascii="Arial" w:eastAsia="Arial" w:hAnsi="Arial" w:cs="Arial"/>
          <w:i/>
          <w:color w:val="000000"/>
          <w:sz w:val="20"/>
          <w:szCs w:val="20"/>
          <w:lang w:val="en-US"/>
        </w:rPr>
        <w:t>Piaractus mesopotamicus</w:t>
      </w:r>
      <w:r>
        <w:rPr>
          <w:rFonts w:ascii="Arial" w:eastAsia="Arial" w:hAnsi="Arial" w:cs="Arial"/>
          <w:color w:val="000000"/>
          <w:sz w:val="20"/>
          <w:szCs w:val="20"/>
          <w:lang w:val="en-US"/>
        </w:rPr>
        <w:t xml:space="preserve">) infected with </w:t>
      </w:r>
      <w:r>
        <w:rPr>
          <w:rFonts w:ascii="Arial" w:eastAsia="Arial" w:hAnsi="Arial" w:cs="Arial"/>
          <w:i/>
          <w:color w:val="000000"/>
          <w:sz w:val="20"/>
          <w:szCs w:val="20"/>
          <w:lang w:val="en-US"/>
        </w:rPr>
        <w:t>A. hydrophila</w:t>
      </w:r>
      <w:r>
        <w:rPr>
          <w:rFonts w:ascii="Arial" w:eastAsia="Arial" w:hAnsi="Arial" w:cs="Arial"/>
          <w:color w:val="000000"/>
          <w:sz w:val="20"/>
          <w:szCs w:val="20"/>
          <w:lang w:val="en-US"/>
        </w:rPr>
        <w:t xml:space="preserve"> showed an increased respiratory burst activity (Garcia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2007; Biller-Takahashi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2013). Meanwhile, Nile tilapia dietary-supplemented with </w:t>
      </w:r>
      <w:r>
        <w:rPr>
          <w:rFonts w:ascii="Arial" w:eastAsia="Arial" w:hAnsi="Arial" w:cs="Arial"/>
          <w:i/>
          <w:color w:val="000000"/>
          <w:sz w:val="20"/>
          <w:szCs w:val="20"/>
          <w:lang w:val="en-US"/>
        </w:rPr>
        <w:t>Spirulina</w:t>
      </w:r>
      <w:r>
        <w:rPr>
          <w:rFonts w:ascii="Arial" w:eastAsia="Arial" w:hAnsi="Arial" w:cs="Arial"/>
          <w:color w:val="000000"/>
          <w:sz w:val="20"/>
          <w:szCs w:val="20"/>
          <w:lang w:val="en-US"/>
        </w:rPr>
        <w:t xml:space="preserve"> and challenged with </w:t>
      </w:r>
      <w:r>
        <w:rPr>
          <w:rFonts w:ascii="Arial" w:eastAsia="Arial" w:hAnsi="Arial" w:cs="Arial"/>
          <w:i/>
          <w:color w:val="000000"/>
          <w:sz w:val="20"/>
          <w:szCs w:val="20"/>
          <w:lang w:val="en-US"/>
        </w:rPr>
        <w:t>A. hydrohila</w:t>
      </w:r>
      <w:r>
        <w:rPr>
          <w:rFonts w:ascii="Arial" w:eastAsia="Arial" w:hAnsi="Arial" w:cs="Arial"/>
          <w:color w:val="000000"/>
          <w:sz w:val="20"/>
          <w:szCs w:val="20"/>
          <w:lang w:val="en-US"/>
        </w:rPr>
        <w:t xml:space="preserve"> showed an enhanced superoxide anion production as compared to control diet (Abdel-Tawwab, 2008). In another study, NBT values showed a significant increase in vaccinated tilapia compared to the unvaccinated group during all periods, except for one-week post-vaccination (Aly</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2015). The reduction of NBT in the kidney phagocytes of red sea bream (</w:t>
      </w:r>
      <w:r>
        <w:rPr>
          <w:rFonts w:ascii="Arial" w:eastAsia="Arial" w:hAnsi="Arial" w:cs="Arial"/>
          <w:i/>
          <w:color w:val="000000"/>
          <w:sz w:val="20"/>
          <w:szCs w:val="20"/>
          <w:lang w:val="en-US"/>
        </w:rPr>
        <w:t>Pagrus major</w:t>
      </w:r>
      <w:r>
        <w:rPr>
          <w:rFonts w:ascii="Arial" w:eastAsia="Arial" w:hAnsi="Arial" w:cs="Arial"/>
          <w:color w:val="000000"/>
          <w:sz w:val="20"/>
          <w:szCs w:val="20"/>
          <w:lang w:val="en-US"/>
        </w:rPr>
        <w:t xml:space="preserve">) was significantly higher than that of the </w:t>
      </w:r>
      <w:r>
        <w:rPr>
          <w:rFonts w:ascii="Arial" w:eastAsia="Arial" w:hAnsi="Arial" w:cs="Arial"/>
          <w:color w:val="000000"/>
          <w:sz w:val="20"/>
          <w:szCs w:val="20"/>
          <w:lang w:val="en-US"/>
        </w:rPr>
        <w:lastRenderedPageBreak/>
        <w:t>control group at 60 and 90 minutes after introducing live </w:t>
      </w:r>
      <w:r>
        <w:rPr>
          <w:rStyle w:val="Uwydatnienie"/>
          <w:rFonts w:ascii="Arial" w:eastAsia="Arial" w:hAnsi="Arial" w:cs="Arial"/>
          <w:color w:val="000000"/>
          <w:sz w:val="20"/>
          <w:szCs w:val="20"/>
          <w:lang w:val="en-US"/>
        </w:rPr>
        <w:t>Nocardia seriolae</w:t>
      </w:r>
      <w:r>
        <w:rPr>
          <w:rFonts w:ascii="Arial" w:eastAsia="Arial" w:hAnsi="Arial" w:cs="Arial"/>
          <w:color w:val="000000"/>
          <w:sz w:val="20"/>
          <w:szCs w:val="20"/>
          <w:lang w:val="en-US"/>
        </w:rPr>
        <w:t>. This indicates that the kidney phagocytes of red sea bream produced superoxide in response to </w:t>
      </w:r>
      <w:r>
        <w:rPr>
          <w:rStyle w:val="Uwydatnienie"/>
          <w:rFonts w:ascii="Arial" w:eastAsia="Arial" w:hAnsi="Arial" w:cs="Arial"/>
          <w:color w:val="000000"/>
          <w:sz w:val="20"/>
          <w:szCs w:val="20"/>
          <w:lang w:val="en-US"/>
        </w:rPr>
        <w:t>N.</w:t>
      </w:r>
      <w:r>
        <w:rPr>
          <w:rFonts w:ascii="Arial" w:eastAsia="Arial" w:hAnsi="Arial" w:cs="Arial"/>
          <w:color w:val="000000"/>
          <w:sz w:val="20"/>
          <w:szCs w:val="20"/>
          <w:lang w:val="en-US"/>
        </w:rPr>
        <w:t> </w:t>
      </w:r>
      <w:r>
        <w:rPr>
          <w:rStyle w:val="Uwydatnienie"/>
          <w:rFonts w:ascii="Arial" w:eastAsia="Arial" w:hAnsi="Arial" w:cs="Arial"/>
          <w:color w:val="000000"/>
          <w:sz w:val="20"/>
          <w:szCs w:val="20"/>
          <w:lang w:val="en-US"/>
        </w:rPr>
        <w:t>seriolae</w:t>
      </w:r>
      <w:r>
        <w:rPr>
          <w:rFonts w:ascii="Arial" w:eastAsia="Arial" w:hAnsi="Arial" w:cs="Arial"/>
          <w:color w:val="000000"/>
          <w:sz w:val="20"/>
          <w:szCs w:val="20"/>
          <w:lang w:val="en-US"/>
        </w:rPr>
        <w:t xml:space="preserve"> (Itano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2006). Roy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(2019) reported a significantly higher number of NBT-positive cells in the blood cytoplasm of </w:t>
      </w:r>
      <w:r>
        <w:rPr>
          <w:rFonts w:ascii="Arial" w:eastAsia="Arial" w:hAnsi="Arial" w:cs="Arial"/>
          <w:i/>
          <w:iCs/>
          <w:color w:val="000000"/>
          <w:sz w:val="20"/>
          <w:szCs w:val="20"/>
          <w:lang w:val="en-US"/>
        </w:rPr>
        <w:t>L. rohita</w:t>
      </w:r>
      <w:r>
        <w:rPr>
          <w:rFonts w:ascii="Arial" w:eastAsia="Arial" w:hAnsi="Arial" w:cs="Arial"/>
          <w:color w:val="000000"/>
          <w:sz w:val="20"/>
          <w:szCs w:val="20"/>
          <w:lang w:val="en-US"/>
        </w:rPr>
        <w:t xml:space="preserve"> following infection, compared to sham-operated control fish. This finding suggests that pathogenic bacterial infection greatly enhances both phagocytic activity and respiratory burst in neutrophils as part of the innate immune response (MacArthur &amp; Fletcher, 1985). The release of ROS from the phagocytic cells of infected </w:t>
      </w:r>
      <w:r>
        <w:rPr>
          <w:rFonts w:ascii="Arial" w:eastAsia="Arial" w:hAnsi="Arial" w:cs="Arial"/>
          <w:i/>
          <w:iCs/>
          <w:color w:val="000000"/>
          <w:sz w:val="20"/>
          <w:szCs w:val="20"/>
          <w:lang w:val="en-US"/>
        </w:rPr>
        <w:t>L. rohita</w:t>
      </w:r>
      <w:r>
        <w:rPr>
          <w:rFonts w:ascii="Arial" w:eastAsia="Arial" w:hAnsi="Arial" w:cs="Arial"/>
          <w:color w:val="000000"/>
          <w:sz w:val="20"/>
          <w:szCs w:val="20"/>
          <w:lang w:val="en-US"/>
        </w:rPr>
        <w:t xml:space="preserve"> also increased the activity of antioxidative stress enzymes (Roy</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 xml:space="preserve">2019). The bacterial challenge significantly enhanced phagocytosis in the blood, a critical process for combating infectious diseases. Phagocytosis involves the internalization, killing, and digestion of invading microorganisms by immune cells. During this process, phagocytes generate free radicals through respiratory burst, which are toxic to pathogens. Moreover, several studies have shown that oral administration of probiotics can enhance phagocytosis (Rengpipat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2000; Li &amp; Gatlin, 2004; Panigrahi</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2005).</w:t>
      </w:r>
    </w:p>
    <w:p w14:paraId="749F77E9"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24C81883"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Abu-Zahra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(2024) showed that ascorbic acid (AA) alone or combined with oxytetracycline (OTC) enhanced the immunity of Nile tilapia (</w:t>
      </w:r>
      <w:r>
        <w:rPr>
          <w:rFonts w:ascii="Arial" w:eastAsia="Arial" w:hAnsi="Arial" w:cs="Arial"/>
          <w:i/>
          <w:color w:val="000000"/>
          <w:sz w:val="20"/>
          <w:szCs w:val="20"/>
          <w:lang w:val="en-US"/>
        </w:rPr>
        <w:t>O. niloticus</w:t>
      </w:r>
      <w:r>
        <w:rPr>
          <w:rFonts w:ascii="Arial" w:eastAsia="Arial" w:hAnsi="Arial" w:cs="Arial"/>
          <w:color w:val="000000"/>
          <w:sz w:val="20"/>
          <w:szCs w:val="20"/>
          <w:lang w:val="en-US"/>
        </w:rPr>
        <w:t xml:space="preserve">) through increasing the levels of total protein, globulin, beta 1%, gamma %, IgM, and NBT. This result was in agreement with the earlier studies showing that dietary AA enhances fish immunity (Hardie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1991; Moradi et al., 2022). Other works revealed that OTC suppresses immune responses, including antibody production, total leucocyte count, and phagocytic activities in common carp (</w:t>
      </w:r>
      <w:r>
        <w:rPr>
          <w:rFonts w:ascii="Arial" w:eastAsia="Arial" w:hAnsi="Arial" w:cs="Arial"/>
          <w:i/>
          <w:color w:val="000000"/>
          <w:sz w:val="20"/>
          <w:szCs w:val="20"/>
          <w:lang w:val="en-US"/>
        </w:rPr>
        <w:t>Cyprinus carpio</w:t>
      </w:r>
      <w:r>
        <w:rPr>
          <w:rFonts w:ascii="Arial" w:eastAsia="Arial" w:hAnsi="Arial" w:cs="Arial"/>
          <w:color w:val="000000"/>
          <w:sz w:val="20"/>
          <w:szCs w:val="20"/>
          <w:lang w:val="en-US"/>
        </w:rPr>
        <w:t>) and Nile tilapia (</w:t>
      </w:r>
      <w:r>
        <w:rPr>
          <w:rFonts w:ascii="Arial" w:eastAsia="Arial" w:hAnsi="Arial" w:cs="Arial"/>
          <w:i/>
          <w:color w:val="000000"/>
          <w:sz w:val="20"/>
          <w:szCs w:val="20"/>
          <w:lang w:val="en-US"/>
        </w:rPr>
        <w:t>O. niloticus</w:t>
      </w:r>
      <w:r>
        <w:rPr>
          <w:rFonts w:ascii="Arial" w:eastAsia="Arial" w:hAnsi="Arial" w:cs="Arial"/>
          <w:color w:val="000000"/>
          <w:sz w:val="20"/>
          <w:szCs w:val="20"/>
          <w:lang w:val="en-US"/>
        </w:rPr>
        <w:t xml:space="preserve">) (Kasagala &amp; Pathiratne, 2008; Reda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2013, 2016). Similarly, Siwicki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(1989) observed a reduced NBT activity and phagocytosis in rainbow trout (</w:t>
      </w:r>
      <w:r>
        <w:rPr>
          <w:rFonts w:ascii="Arial" w:eastAsia="Arial" w:hAnsi="Arial" w:cs="Arial"/>
          <w:i/>
          <w:iCs/>
          <w:color w:val="000000"/>
          <w:sz w:val="20"/>
          <w:szCs w:val="20"/>
          <w:lang w:val="en-US"/>
        </w:rPr>
        <w:t>Oncorhynchus mykiss</w:t>
      </w:r>
      <w:r>
        <w:rPr>
          <w:rFonts w:ascii="Arial" w:eastAsia="Arial" w:hAnsi="Arial" w:cs="Arial"/>
          <w:iCs/>
          <w:color w:val="000000"/>
          <w:sz w:val="20"/>
          <w:szCs w:val="20"/>
          <w:lang w:val="en-US"/>
        </w:rPr>
        <w:t>)</w:t>
      </w:r>
      <w:r>
        <w:rPr>
          <w:rFonts w:ascii="Arial" w:eastAsia="Arial" w:hAnsi="Arial" w:cs="Arial"/>
          <w:color w:val="000000"/>
          <w:sz w:val="20"/>
          <w:szCs w:val="20"/>
          <w:lang w:val="en-US"/>
        </w:rPr>
        <w:t xml:space="preserve"> spleen phagocytes following an intraperitoneal injection of OTC (10 mg/kg). Nutritional intervention also enhanced NBT activity and innate immune responsiveness among fish. For instance, cinnamon nanoparticle supplementation enhanced NBT activity in Nile tilapia (Abdel-Tawwab</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2018). The same species fed with 1% thyme (</w:t>
      </w:r>
      <w:r>
        <w:rPr>
          <w:rFonts w:ascii="Arial" w:eastAsia="Arial" w:hAnsi="Arial" w:cs="Arial"/>
          <w:i/>
          <w:color w:val="000000"/>
          <w:sz w:val="20"/>
          <w:szCs w:val="20"/>
          <w:lang w:val="en-US"/>
        </w:rPr>
        <w:t>Thymus vulgaris</w:t>
      </w:r>
      <w:r>
        <w:rPr>
          <w:rFonts w:ascii="Arial" w:eastAsia="Arial" w:hAnsi="Arial" w:cs="Arial"/>
          <w:color w:val="000000"/>
          <w:sz w:val="20"/>
          <w:szCs w:val="20"/>
          <w:lang w:val="en-US"/>
        </w:rPr>
        <w:t xml:space="preserve">) showed an elevated white blood cell counts and a higher percentage of NBT-positive cells (Hassan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2018). Increased NBT activity was also observed in fish treated with peppermint (</w:t>
      </w:r>
      <w:r>
        <w:rPr>
          <w:rFonts w:ascii="Arial" w:eastAsia="Arial" w:hAnsi="Arial" w:cs="Arial"/>
          <w:i/>
          <w:color w:val="000000"/>
          <w:sz w:val="20"/>
          <w:szCs w:val="20"/>
          <w:lang w:val="en-US"/>
        </w:rPr>
        <w:t>Mentha piperita</w:t>
      </w:r>
      <w:r>
        <w:rPr>
          <w:rFonts w:ascii="Arial" w:eastAsia="Arial" w:hAnsi="Arial" w:cs="Arial"/>
          <w:color w:val="000000"/>
          <w:sz w:val="20"/>
          <w:szCs w:val="20"/>
          <w:lang w:val="en-US"/>
        </w:rPr>
        <w:t xml:space="preserve">) (Harikrishnan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2010a; Harikrishnan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2010b). Dietary treatments containing 1%, 2%, and 3% </w:t>
      </w:r>
      <w:r>
        <w:rPr>
          <w:rFonts w:ascii="Arial" w:eastAsia="Arial" w:hAnsi="Arial" w:cs="Arial"/>
          <w:i/>
          <w:color w:val="000000"/>
          <w:sz w:val="20"/>
          <w:szCs w:val="20"/>
          <w:lang w:val="en-US"/>
        </w:rPr>
        <w:t>M. piperita</w:t>
      </w:r>
      <w:r>
        <w:rPr>
          <w:rFonts w:ascii="Arial" w:eastAsia="Arial" w:hAnsi="Arial" w:cs="Arial"/>
          <w:color w:val="000000"/>
          <w:sz w:val="20"/>
          <w:szCs w:val="20"/>
          <w:lang w:val="en-US"/>
        </w:rPr>
        <w:t xml:space="preserve"> enhanced the respiratory burst of black sea roach (</w:t>
      </w:r>
      <w:r>
        <w:rPr>
          <w:rFonts w:ascii="Arial" w:eastAsia="Arial" w:hAnsi="Arial" w:cs="Arial"/>
          <w:i/>
          <w:color w:val="000000"/>
          <w:sz w:val="20"/>
          <w:szCs w:val="20"/>
          <w:lang w:val="en-US"/>
        </w:rPr>
        <w:t>Rutilus frisii kutum</w:t>
      </w:r>
      <w:r>
        <w:rPr>
          <w:rFonts w:ascii="Arial" w:eastAsia="Arial" w:hAnsi="Arial" w:cs="Arial"/>
          <w:color w:val="000000"/>
          <w:sz w:val="20"/>
          <w:szCs w:val="20"/>
          <w:lang w:val="en-US"/>
        </w:rPr>
        <w:t>) (Adel</w:t>
      </w:r>
      <w:r>
        <w:rPr>
          <w:rFonts w:ascii="Arial" w:eastAsia="Arial" w:hAnsi="Arial" w:cs="Arial"/>
          <w:i/>
          <w:color w:val="000000"/>
          <w:sz w:val="20"/>
          <w:szCs w:val="20"/>
          <w:lang w:val="en-US"/>
        </w:rPr>
        <w:t xml:space="preserve"> et al.,</w:t>
      </w:r>
      <w:r>
        <w:rPr>
          <w:rFonts w:ascii="Arial" w:eastAsia="Arial" w:hAnsi="Arial" w:cs="Arial"/>
          <w:color w:val="000000"/>
          <w:sz w:val="20"/>
          <w:szCs w:val="20"/>
          <w:lang w:val="en-US"/>
        </w:rPr>
        <w:t xml:space="preserve"> 2015). In Nile tilapia, feeding on a diet containing 1% pink mempat (</w:t>
      </w:r>
      <w:r>
        <w:rPr>
          <w:rFonts w:ascii="Arial" w:eastAsia="Arial" w:hAnsi="Arial" w:cs="Arial"/>
          <w:i/>
          <w:iCs/>
          <w:color w:val="000000"/>
          <w:sz w:val="20"/>
          <w:szCs w:val="20"/>
          <w:lang w:val="en-US"/>
        </w:rPr>
        <w:t>Cratoxylum formosum</w:t>
      </w:r>
      <w:r>
        <w:rPr>
          <w:rFonts w:ascii="Arial" w:eastAsia="Arial" w:hAnsi="Arial" w:cs="Arial"/>
          <w:iCs/>
          <w:color w:val="000000"/>
          <w:sz w:val="20"/>
          <w:szCs w:val="20"/>
          <w:lang w:val="en-US"/>
        </w:rPr>
        <w:t>)</w:t>
      </w:r>
      <w:r>
        <w:rPr>
          <w:rFonts w:ascii="Arial" w:eastAsia="Arial" w:hAnsi="Arial" w:cs="Arial"/>
          <w:color w:val="000000"/>
          <w:sz w:val="20"/>
          <w:szCs w:val="20"/>
          <w:lang w:val="en-US"/>
        </w:rPr>
        <w:t xml:space="preserve"> improved respiratory burst and phagocytic activity following </w:t>
      </w:r>
      <w:r>
        <w:rPr>
          <w:rFonts w:ascii="Arial" w:eastAsia="Arial" w:hAnsi="Arial" w:cs="Arial"/>
          <w:i/>
          <w:iCs/>
          <w:color w:val="000000"/>
          <w:sz w:val="20"/>
          <w:szCs w:val="20"/>
          <w:lang w:val="en-US"/>
        </w:rPr>
        <w:t>S. agalactiae</w:t>
      </w:r>
      <w:r>
        <w:rPr>
          <w:rFonts w:ascii="Arial" w:eastAsia="Arial" w:hAnsi="Arial" w:cs="Arial"/>
          <w:color w:val="000000"/>
          <w:sz w:val="20"/>
          <w:szCs w:val="20"/>
          <w:lang w:val="en-US"/>
        </w:rPr>
        <w:t xml:space="preserve"> infection, demonstrating its potential for preventing such infections (Rattanachaikunsopon &amp; Phumkhachorn, 2010). Billen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(2013) observed that the methanolic extract of tetra (</w:t>
      </w:r>
      <w:r>
        <w:rPr>
          <w:rFonts w:ascii="Arial" w:eastAsia="Arial" w:hAnsi="Arial" w:cs="Arial"/>
          <w:i/>
          <w:color w:val="000000"/>
          <w:sz w:val="20"/>
          <w:szCs w:val="20"/>
          <w:lang w:val="en-US"/>
        </w:rPr>
        <w:t>Cotinus coggygria</w:t>
      </w:r>
      <w:r>
        <w:rPr>
          <w:rFonts w:ascii="Arial" w:eastAsia="Arial" w:hAnsi="Arial" w:cs="Arial"/>
          <w:color w:val="000000"/>
          <w:sz w:val="20"/>
          <w:szCs w:val="20"/>
          <w:lang w:val="en-US"/>
        </w:rPr>
        <w:t>) significantly increased NBT activity in koi carp (</w:t>
      </w:r>
      <w:r>
        <w:rPr>
          <w:rFonts w:ascii="Arial" w:eastAsia="Arial" w:hAnsi="Arial" w:cs="Arial"/>
          <w:i/>
          <w:color w:val="000000"/>
          <w:sz w:val="20"/>
          <w:szCs w:val="20"/>
          <w:lang w:val="en-US"/>
        </w:rPr>
        <w:t>C. carpio</w:t>
      </w:r>
      <w:r>
        <w:rPr>
          <w:rFonts w:ascii="Arial" w:eastAsia="Arial" w:hAnsi="Arial" w:cs="Arial"/>
          <w:color w:val="000000"/>
          <w:sz w:val="20"/>
          <w:szCs w:val="20"/>
          <w:lang w:val="en-US"/>
        </w:rPr>
        <w:t xml:space="preserve">) infected with </w:t>
      </w:r>
      <w:r>
        <w:rPr>
          <w:rFonts w:ascii="Arial" w:eastAsia="Arial" w:hAnsi="Arial" w:cs="Arial"/>
          <w:i/>
          <w:color w:val="000000"/>
          <w:sz w:val="20"/>
          <w:szCs w:val="20"/>
          <w:lang w:val="en-US"/>
        </w:rPr>
        <w:t>Vibrio anguillarum</w:t>
      </w:r>
      <w:r>
        <w:rPr>
          <w:rFonts w:ascii="Arial" w:eastAsia="Arial" w:hAnsi="Arial" w:cs="Arial"/>
          <w:color w:val="000000"/>
          <w:sz w:val="20"/>
          <w:szCs w:val="20"/>
          <w:lang w:val="en-US"/>
        </w:rPr>
        <w:t>. An increase in the NBT activity was also recorded in rainbow trout fed with EF203 by Sakai</w:t>
      </w:r>
      <w:r>
        <w:rPr>
          <w:rFonts w:ascii="Arial" w:eastAsia="Arial" w:hAnsi="Arial" w:cs="Arial"/>
          <w:i/>
          <w:color w:val="000000"/>
          <w:sz w:val="20"/>
          <w:szCs w:val="20"/>
          <w:lang w:val="en-US"/>
        </w:rPr>
        <w:t xml:space="preserve"> et al. </w:t>
      </w:r>
      <w:r>
        <w:rPr>
          <w:rFonts w:ascii="Arial" w:eastAsia="Arial" w:hAnsi="Arial" w:cs="Arial"/>
          <w:color w:val="000000"/>
          <w:sz w:val="20"/>
          <w:szCs w:val="20"/>
          <w:lang w:val="en-US"/>
        </w:rPr>
        <w:t>(1995), and in Indian prawn (</w:t>
      </w:r>
      <w:r>
        <w:rPr>
          <w:rFonts w:ascii="Arial" w:eastAsia="Arial" w:hAnsi="Arial" w:cs="Arial"/>
          <w:i/>
          <w:color w:val="000000"/>
          <w:sz w:val="20"/>
          <w:szCs w:val="20"/>
          <w:lang w:val="en-US"/>
        </w:rPr>
        <w:t>Fenneropenaeus indicus</w:t>
      </w:r>
      <w:r>
        <w:rPr>
          <w:rFonts w:ascii="Arial" w:eastAsia="Arial" w:hAnsi="Arial" w:cs="Arial"/>
          <w:color w:val="000000"/>
          <w:sz w:val="20"/>
          <w:szCs w:val="20"/>
          <w:lang w:val="en-US"/>
        </w:rPr>
        <w:t>) fed with marine yeasts (</w:t>
      </w:r>
      <w:r>
        <w:rPr>
          <w:rFonts w:ascii="Arial" w:eastAsia="Arial" w:hAnsi="Arial" w:cs="Arial"/>
          <w:i/>
          <w:color w:val="000000"/>
          <w:sz w:val="20"/>
          <w:szCs w:val="20"/>
          <w:lang w:val="en-US"/>
        </w:rPr>
        <w:t>Debaryomyces hansenii</w:t>
      </w:r>
      <w:r>
        <w:rPr>
          <w:rFonts w:ascii="Arial" w:eastAsia="Arial" w:hAnsi="Arial" w:cs="Arial"/>
          <w:color w:val="000000"/>
          <w:sz w:val="20"/>
          <w:szCs w:val="20"/>
          <w:lang w:val="en-US"/>
        </w:rPr>
        <w:t xml:space="preserve">) and </w:t>
      </w:r>
      <w:r>
        <w:rPr>
          <w:rFonts w:ascii="Arial" w:eastAsia="Arial" w:hAnsi="Arial" w:cs="Arial"/>
          <w:i/>
          <w:color w:val="000000"/>
          <w:sz w:val="20"/>
          <w:szCs w:val="20"/>
          <w:lang w:val="en-US"/>
        </w:rPr>
        <w:t>Candida tropicalis</w:t>
      </w:r>
      <w:r>
        <w:rPr>
          <w:rFonts w:ascii="Arial" w:eastAsia="Arial" w:hAnsi="Arial" w:cs="Arial"/>
          <w:color w:val="000000"/>
          <w:sz w:val="20"/>
          <w:szCs w:val="20"/>
          <w:lang w:val="en-US"/>
        </w:rPr>
        <w:t xml:space="preserve"> (Sarlin &amp; Philip, 2011). Further support was given by the following studies representing the immunostimulatory effects of dietary supplements on NBT values. For example, Dina Rairakhwada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 xml:space="preserve">(2007) reported higher NBT values for fish fed with levan compared to control. Sakai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(2001) demonstrated an increased NBT values for common carp (</w:t>
      </w:r>
      <w:r>
        <w:rPr>
          <w:rFonts w:ascii="Arial" w:eastAsia="Arial" w:hAnsi="Arial" w:cs="Arial"/>
          <w:i/>
          <w:color w:val="000000"/>
          <w:sz w:val="20"/>
          <w:szCs w:val="20"/>
          <w:lang w:val="en-US"/>
        </w:rPr>
        <w:t>C. carpio</w:t>
      </w:r>
      <w:r>
        <w:rPr>
          <w:rFonts w:ascii="Arial" w:eastAsia="Arial" w:hAnsi="Arial" w:cs="Arial"/>
          <w:color w:val="000000"/>
          <w:sz w:val="20"/>
          <w:szCs w:val="20"/>
          <w:lang w:val="en-US"/>
        </w:rPr>
        <w:t>) fed with dietary nucleotides derived from yeast RNA. Finally, the highest recorded NBT optical density was 0.08 at 630 nm for giant tiger prawn (</w:t>
      </w:r>
      <w:r>
        <w:rPr>
          <w:rFonts w:ascii="Arial" w:eastAsia="Arial" w:hAnsi="Arial" w:cs="Arial"/>
          <w:i/>
          <w:color w:val="000000"/>
          <w:sz w:val="20"/>
          <w:szCs w:val="20"/>
          <w:lang w:val="en-US"/>
        </w:rPr>
        <w:t>Penaeus monodon</w:t>
      </w:r>
      <w:r>
        <w:rPr>
          <w:rFonts w:ascii="Arial" w:eastAsia="Arial" w:hAnsi="Arial" w:cs="Arial"/>
          <w:color w:val="000000"/>
          <w:sz w:val="20"/>
          <w:szCs w:val="20"/>
          <w:lang w:val="en-US"/>
        </w:rPr>
        <w:t>)</w:t>
      </w:r>
      <w:r>
        <w:rPr>
          <w:rFonts w:ascii="Arial" w:eastAsia="Arial" w:hAnsi="Arial" w:cs="Arial"/>
          <w:i/>
          <w:color w:val="000000"/>
          <w:sz w:val="20"/>
          <w:szCs w:val="20"/>
          <w:lang w:val="en-US"/>
        </w:rPr>
        <w:t xml:space="preserve"> </w:t>
      </w:r>
      <w:r>
        <w:rPr>
          <w:rFonts w:ascii="Arial" w:eastAsia="Arial" w:hAnsi="Arial" w:cs="Arial"/>
          <w:color w:val="000000"/>
          <w:sz w:val="20"/>
          <w:szCs w:val="20"/>
          <w:lang w:val="en-US"/>
        </w:rPr>
        <w:t xml:space="preserve">fed with 0.2% β-glucan (Chang-Fang </w:t>
      </w:r>
      <w:r>
        <w:rPr>
          <w:rFonts w:ascii="Arial" w:eastAsia="Arial" w:hAnsi="Arial" w:cs="Arial"/>
          <w:i/>
          <w:color w:val="000000"/>
          <w:sz w:val="20"/>
          <w:szCs w:val="20"/>
          <w:lang w:val="en-US"/>
        </w:rPr>
        <w:t>et al.,</w:t>
      </w:r>
      <w:r>
        <w:rPr>
          <w:rFonts w:ascii="Arial" w:eastAsia="Arial" w:hAnsi="Arial" w:cs="Arial"/>
          <w:color w:val="000000"/>
          <w:sz w:val="20"/>
          <w:szCs w:val="20"/>
          <w:lang w:val="en-US"/>
        </w:rPr>
        <w:t xml:space="preserve"> 2003).</w:t>
      </w:r>
    </w:p>
    <w:p w14:paraId="2B611E9A" w14:textId="77777777" w:rsidR="00863806" w:rsidRDefault="00863806">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47DFB896" w14:textId="77777777" w:rsidR="00863806" w:rsidRDefault="00000000">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The NBT reduction activity in animals can be affected by several factors such as their physiological and immune states among others. According to several authors, the reasons for variability in NBT reduction rates between bacterial species and strains may be related to differences in cell wall structures that influence the accessibility or penetration of NBT to the cell membrane, rather than to differences in the oxidative metabolism of the strains </w:t>
      </w:r>
      <w:r>
        <w:rPr>
          <w:rFonts w:ascii="Arial" w:eastAsia="Arial" w:hAnsi="Arial" w:cs="Arial"/>
          <w:color w:val="000000"/>
          <w:sz w:val="20"/>
          <w:szCs w:val="20"/>
          <w:lang w:val="en-US"/>
        </w:rPr>
        <w:lastRenderedPageBreak/>
        <w:t xml:space="preserve">(Fromtling &amp; Abruzzo, 1985; Morvan </w:t>
      </w:r>
      <w:r>
        <w:rPr>
          <w:rFonts w:ascii="Arial" w:eastAsia="Arial" w:hAnsi="Arial" w:cs="Arial"/>
          <w:i/>
          <w:color w:val="000000"/>
          <w:sz w:val="20"/>
          <w:szCs w:val="20"/>
          <w:lang w:val="en-US"/>
        </w:rPr>
        <w:t xml:space="preserve">et al., </w:t>
      </w:r>
      <w:r>
        <w:rPr>
          <w:rFonts w:ascii="Arial" w:eastAsia="Arial" w:hAnsi="Arial" w:cs="Arial"/>
          <w:color w:val="000000"/>
          <w:sz w:val="20"/>
          <w:szCs w:val="20"/>
          <w:lang w:val="en-US"/>
        </w:rPr>
        <w:t>1994). The reduction of NBT happens in all phases but was highest during the early logarithmic phase of bacteria (Urban &amp; Jarstrand, 1979).</w:t>
      </w:r>
    </w:p>
    <w:p w14:paraId="6CB926A2" w14:textId="692689A3" w:rsidR="00863806" w:rsidRDefault="00A40442">
      <w:pPr>
        <w:pStyle w:val="Bezodstpw"/>
        <w:jc w:val="center"/>
        <w:rPr>
          <w:rFonts w:ascii="Arial" w:eastAsia="Arial" w:hAnsi="Arial" w:cs="Arial"/>
          <w:b/>
          <w:bCs/>
        </w:rPr>
      </w:pPr>
      <w:commentRangeStart w:id="11"/>
      <w:r>
        <w:rPr>
          <w:noProof/>
        </w:rPr>
        <mc:AlternateContent>
          <mc:Choice Requires="wps">
            <w:drawing>
              <wp:anchor distT="0" distB="0" distL="114300" distR="114300" simplePos="0" relativeHeight="251658248" behindDoc="0" locked="0" layoutInCell="0" allowOverlap="1" wp14:anchorId="49EBDDA9" wp14:editId="43E5FCF8">
                <wp:simplePos x="0" y="0"/>
                <wp:positionH relativeFrom="column">
                  <wp:posOffset>1345565</wp:posOffset>
                </wp:positionH>
                <wp:positionV relativeFrom="paragraph">
                  <wp:posOffset>2587625</wp:posOffset>
                </wp:positionV>
                <wp:extent cx="3364230" cy="25717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AAAAAAgAAAAAAAAAAAAAAAAAAAAgAAAEcIAAABAAAAAgAAAOsPAACyFAAAlQEAAAYAAQAnEAAAixUAACgAAAAIAAAAAQAAAAEAAAA="/>
                          </a:ext>
                        </a:extLst>
                      </wps:cNvSpPr>
                      <wps:spPr>
                        <a:xfrm>
                          <a:off x="0" y="0"/>
                          <a:ext cx="3364230" cy="257175"/>
                        </a:xfrm>
                        <a:prstGeom prst="rect">
                          <a:avLst/>
                        </a:prstGeom>
                        <a:noFill/>
                        <a:ln w="12700">
                          <a:noFill/>
                        </a:ln>
                      </wps:spPr>
                      <wps:txbx>
                        <w:txbxContent>
                          <w:p w14:paraId="7DD97B84"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EBDDA9" id="_x0000_t202" coordsize="21600,21600" o:spt="202" path="m,l,21600r21600,l21600,xe">
                <v:stroke joinstyle="miter"/>
                <v:path gradientshapeok="t" o:connecttype="rect"/>
              </v:shapetype>
              <v:shape id="Pole tekstowe 8" o:spid="_x0000_s1026" type="#_x0000_t202" style="position:absolute;left:0;text-align:left;margin-left:105.95pt;margin-top:203.75pt;width:264.9pt;height:20.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" o:allowincell="f" filled="f" stroked="f" strokeweight="1pt">
                <v:textbox>
                  <w:txbxContent>
                    <w:p w14:paraId="7DD97B84"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mc:Fallback>
        </mc:AlternateContent>
      </w:r>
      <w:r w:rsidR="003C615A">
        <w:rPr>
          <w:noProof/>
        </w:rPr>
        <w:drawing>
          <wp:inline distT="0" distB="0" distL="0" distR="0" wp14:anchorId="2A565C49" wp14:editId="4E1F2EA4">
            <wp:extent cx="4587240" cy="2758440"/>
            <wp:effectExtent l="0" t="0" r="0" b="0"/>
            <wp:docPr id="2" name="Picture1"/>
            <wp:cNvGraphicFramePr/>
            <a:graphic xmlns:a="http://schemas.openxmlformats.org/drawingml/2006/main">
              <a:graphicData uri="http://schemas.openxmlformats.org/drawingml/2006/picture">
                <pic:pic xmlns:pic="http://schemas.openxmlformats.org/drawingml/2006/picture">
                  <pic:nvPicPr>
                    <pic:cNvPr id="2" name="Picture1"/>
                    <pic:cNvPicPr>
                      <a:extLst>
                        <a:ext uri="sm">
                          <sm:smNativeData xmlns:sm="sm" xmlns:w="http://schemas.openxmlformats.org/wordprocessingml/2006/main" xmlns:w10="urn:schemas-microsoft-com:office:word" xmlns:v="urn:schemas-microsoft-com:vml" xmlns:o="urn:schemas-microsoft-com:office:office" xmlns="" xmlns:w16sdtfl="http://schemas.microsoft.com/office/word/2024/wordml/sdtformatlock" xmlns:w16cei="http://schemas.microsoft.com/office/word/2026/wordml/cei" val="SMDATA_16_b/1l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OBwAAPgQAAAAAAAAAAAAAAAAAAAoAAAACAAAAAEAAAABAAAA"/>
                        </a:ext>
                      </a:extLst>
                    </pic:cNvPicPr>
                  </pic:nvPicPr>
                  <pic:blipFill>
                    <a:blip r:embed="rId11"/>
                    <a:stretch>
                      <a:fillRect/>
                    </a:stretch>
                  </pic:blipFill>
                  <pic:spPr>
                    <a:xfrm>
                      <a:off x="0" y="0"/>
                      <a:ext cx="4587240" cy="2758440"/>
                    </a:xfrm>
                    <a:prstGeom prst="rect">
                      <a:avLst/>
                    </a:prstGeom>
                    <a:noFill/>
                    <a:ln w="9525">
                      <a:noFill/>
                    </a:ln>
                  </pic:spPr>
                </pic:pic>
              </a:graphicData>
            </a:graphic>
          </wp:inline>
        </w:drawing>
      </w:r>
      <w:r w:rsidR="003C615A">
        <w:rPr>
          <w:rFonts w:ascii="Arial" w:eastAsia="Arial" w:hAnsi="Arial" w:cs="Arial"/>
        </w:rPr>
        <w:t xml:space="preserve"> </w:t>
      </w:r>
    </w:p>
    <w:p w14:paraId="160C1462" w14:textId="77777777" w:rsidR="00863806" w:rsidRDefault="00863806">
      <w:pPr>
        <w:pStyle w:val="Bezodstpw"/>
        <w:jc w:val="center"/>
        <w:rPr>
          <w:rFonts w:ascii="Arial" w:eastAsia="Arial" w:hAnsi="Arial" w:cs="Arial"/>
          <w:b/>
          <w:bCs/>
        </w:rPr>
      </w:pPr>
    </w:p>
    <w:p w14:paraId="6876AD12" w14:textId="77777777" w:rsidR="00863806" w:rsidRDefault="00000000">
      <w:pPr>
        <w:pStyle w:val="Bezodstpw"/>
        <w:ind w:left="414" w:right="441"/>
        <w:jc w:val="center"/>
        <w:rPr>
          <w:rFonts w:ascii="Arial" w:eastAsia="Arial" w:hAnsi="Arial" w:cs="Arial"/>
          <w:b/>
          <w:bCs/>
        </w:rPr>
      </w:pPr>
      <w:r>
        <w:rPr>
          <w:rFonts w:ascii="Arial" w:eastAsia="Arial" w:hAnsi="Arial" w:cs="Arial"/>
          <w:b/>
          <w:bCs/>
        </w:rPr>
        <w:t xml:space="preserve">Fig. 1. The result of NBT assay of red tilapia intraperitoneally injected with </w:t>
      </w:r>
      <w:r>
        <w:rPr>
          <w:rFonts w:ascii="Arial" w:eastAsia="Arial" w:hAnsi="Arial" w:cs="Arial"/>
          <w:b/>
          <w:bCs/>
          <w:i/>
          <w:iCs/>
        </w:rPr>
        <w:t>Streptococcus agalactiae</w:t>
      </w:r>
      <w:r>
        <w:rPr>
          <w:rFonts w:ascii="Arial" w:eastAsia="Arial" w:hAnsi="Arial" w:cs="Arial"/>
          <w:b/>
          <w:bCs/>
        </w:rPr>
        <w:t xml:space="preserve"> (T1 = control; 0.85% NaCl solution); T2 = 10</w:t>
      </w:r>
      <w:r>
        <w:rPr>
          <w:rFonts w:ascii="Arial" w:eastAsia="Arial" w:hAnsi="Arial" w:cs="Arial"/>
          <w:b/>
          <w:bCs/>
          <w:vertAlign w:val="superscript"/>
        </w:rPr>
        <w:t>6</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T3 = 10</w:t>
      </w:r>
      <w:r>
        <w:rPr>
          <w:rFonts w:ascii="Arial" w:eastAsia="Arial" w:hAnsi="Arial" w:cs="Arial"/>
          <w:b/>
          <w:bCs/>
          <w:vertAlign w:val="superscript"/>
        </w:rPr>
        <w:t>7</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T4 = 10</w:t>
      </w:r>
      <w:r>
        <w:rPr>
          <w:rFonts w:ascii="Arial" w:eastAsia="Arial" w:hAnsi="Arial" w:cs="Arial"/>
          <w:b/>
          <w:bCs/>
          <w:vertAlign w:val="superscript"/>
        </w:rPr>
        <w:t>8</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xml:space="preserve">); different superscript statistically significant at </w:t>
      </w:r>
      <w:r>
        <w:rPr>
          <w:rFonts w:ascii="Arial" w:eastAsia="Arial" w:hAnsi="Arial" w:cs="Arial"/>
          <w:b/>
          <w:bCs/>
          <w:i/>
          <w:iCs/>
        </w:rPr>
        <w:t>P</w:t>
      </w:r>
      <w:r>
        <w:rPr>
          <w:rFonts w:ascii="Arial" w:eastAsia="Arial" w:hAnsi="Arial" w:cs="Arial"/>
          <w:b/>
          <w:bCs/>
        </w:rPr>
        <w:t xml:space="preserve"> &lt; 0.05).</w:t>
      </w:r>
      <w:commentRangeEnd w:id="11"/>
      <w:r w:rsidR="006A13DD">
        <w:rPr>
          <w:rStyle w:val="Odwoaniedokomentarza"/>
        </w:rPr>
        <w:commentReference w:id="11"/>
      </w:r>
    </w:p>
    <w:p w14:paraId="2BDA7198" w14:textId="77777777" w:rsidR="00863806" w:rsidRDefault="00863806">
      <w:pPr>
        <w:pStyle w:val="Bezodstpw"/>
        <w:jc w:val="both"/>
        <w:rPr>
          <w:rFonts w:ascii="Arial" w:eastAsia="Arial" w:hAnsi="Arial" w:cs="Arial"/>
          <w:b/>
          <w:bCs/>
        </w:rPr>
      </w:pPr>
    </w:p>
    <w:p w14:paraId="764496D4" w14:textId="77777777" w:rsidR="00863806" w:rsidRDefault="00000000">
      <w:pPr>
        <w:pStyle w:val="Bezodstpw"/>
        <w:jc w:val="both"/>
        <w:rPr>
          <w:rFonts w:ascii="Arial" w:eastAsia="Arial" w:hAnsi="Arial" w:cs="Arial"/>
          <w:b/>
          <w:bCs/>
        </w:rPr>
      </w:pPr>
      <w:r>
        <w:rPr>
          <w:rFonts w:ascii="Arial" w:eastAsia="Arial" w:hAnsi="Arial" w:cs="Arial"/>
          <w:b/>
          <w:bCs/>
        </w:rPr>
        <w:t>Lysozyme Activity</w:t>
      </w:r>
    </w:p>
    <w:p w14:paraId="405B2F36"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The first line of defense in fish against infectious diseases is represented by peptides like lysozymes, antibodies, complement proteins, and other lipid factors that inhibit adhesion and colonization of microorganisms (Jha </w:t>
      </w:r>
      <w:r>
        <w:rPr>
          <w:rFonts w:ascii="Arial" w:eastAsia="Arial" w:hAnsi="Arial" w:cs="Arial"/>
          <w:i/>
          <w:lang w:eastAsia="en-PH"/>
        </w:rPr>
        <w:t>et al.,</w:t>
      </w:r>
      <w:r>
        <w:rPr>
          <w:rFonts w:ascii="Arial" w:eastAsia="Arial" w:hAnsi="Arial" w:cs="Arial"/>
          <w:lang w:eastAsia="en-PH"/>
        </w:rPr>
        <w:t xml:space="preserve"> 2007). Lysozyme secretions, similar to neutrophils, monocytes and macrophages present in marine and freshwater fish species have been shown to lyse cells by acting on the peptidoglycan layer of bacterial cell walls (Lie </w:t>
      </w:r>
      <w:r>
        <w:rPr>
          <w:rFonts w:ascii="Arial" w:eastAsia="Arial" w:hAnsi="Arial" w:cs="Arial"/>
          <w:i/>
          <w:lang w:eastAsia="en-PH"/>
        </w:rPr>
        <w:t xml:space="preserve">et al., </w:t>
      </w:r>
      <w:r>
        <w:rPr>
          <w:rFonts w:ascii="Arial" w:eastAsia="Arial" w:hAnsi="Arial" w:cs="Arial"/>
          <w:lang w:eastAsia="en-PH"/>
        </w:rPr>
        <w:t xml:space="preserve">1989; Saurabh &amp; Sahoo, 2008; Abreu </w:t>
      </w:r>
      <w:r>
        <w:rPr>
          <w:rFonts w:ascii="Arial" w:eastAsia="Arial" w:hAnsi="Arial" w:cs="Arial"/>
          <w:i/>
          <w:lang w:eastAsia="en-PH"/>
        </w:rPr>
        <w:t>et al.,</w:t>
      </w:r>
      <w:r>
        <w:rPr>
          <w:rFonts w:ascii="Arial" w:eastAsia="Arial" w:hAnsi="Arial" w:cs="Arial"/>
          <w:lang w:eastAsia="en-PH"/>
        </w:rPr>
        <w:t xml:space="preserve"> 2009). The levels of lysozyme vary depending on the tissue type analyzed in fish (Tort </w:t>
      </w:r>
      <w:r>
        <w:rPr>
          <w:rFonts w:ascii="Arial" w:eastAsia="Arial" w:hAnsi="Arial" w:cs="Arial"/>
          <w:i/>
          <w:lang w:eastAsia="en-PH"/>
        </w:rPr>
        <w:t xml:space="preserve">et al., </w:t>
      </w:r>
      <w:r>
        <w:rPr>
          <w:rFonts w:ascii="Arial" w:eastAsia="Arial" w:hAnsi="Arial" w:cs="Arial"/>
          <w:lang w:eastAsia="en-PH"/>
        </w:rPr>
        <w:t xml:space="preserve">2003), with renal tissue showing higher concentrations of the enzyme due to its abundance of leukocytes (Lie </w:t>
      </w:r>
      <w:r>
        <w:rPr>
          <w:rFonts w:ascii="Arial" w:eastAsia="Arial" w:hAnsi="Arial" w:cs="Arial"/>
          <w:i/>
          <w:lang w:eastAsia="en-PH"/>
        </w:rPr>
        <w:t>et al.,</w:t>
      </w:r>
      <w:r>
        <w:rPr>
          <w:rFonts w:ascii="Arial" w:eastAsia="Arial" w:hAnsi="Arial" w:cs="Arial"/>
          <w:lang w:eastAsia="en-PH"/>
        </w:rPr>
        <w:t xml:space="preserve"> 1989; Balfry &amp; Iwama, 2004).</w:t>
      </w:r>
    </w:p>
    <w:p w14:paraId="052F0F8D" w14:textId="77777777" w:rsidR="00863806" w:rsidRDefault="00863806">
      <w:pPr>
        <w:spacing w:before="100" w:beforeAutospacing="1" w:after="100" w:afterAutospacing="1"/>
        <w:contextualSpacing/>
        <w:jc w:val="both"/>
        <w:rPr>
          <w:rFonts w:ascii="Arial" w:eastAsia="Arial" w:hAnsi="Arial" w:cs="Arial"/>
          <w:lang w:eastAsia="en-PH"/>
        </w:rPr>
      </w:pPr>
    </w:p>
    <w:p w14:paraId="79743B08"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In the current study, red tilapia exposed to </w:t>
      </w:r>
      <w:r>
        <w:rPr>
          <w:rFonts w:ascii="Arial" w:eastAsia="Arial" w:hAnsi="Arial" w:cs="Arial"/>
          <w:i/>
          <w:iCs/>
          <w:lang w:eastAsia="en-PH"/>
        </w:rPr>
        <w:t>S. agalactiae</w:t>
      </w:r>
      <w:r>
        <w:rPr>
          <w:rFonts w:ascii="Arial" w:eastAsia="Arial" w:hAnsi="Arial" w:cs="Arial"/>
          <w:lang w:eastAsia="en-PH"/>
        </w:rPr>
        <w:t xml:space="preserve"> (particularly groups T3 and T4) exhibited an increased blood lysozyme production, a natural response aimed at defending against the introduced bacterium. Tort </w:t>
      </w:r>
      <w:r>
        <w:rPr>
          <w:rFonts w:ascii="Arial" w:eastAsia="Arial" w:hAnsi="Arial" w:cs="Arial"/>
          <w:i/>
          <w:lang w:eastAsia="en-PH"/>
        </w:rPr>
        <w:t xml:space="preserve">et al. </w:t>
      </w:r>
      <w:r>
        <w:rPr>
          <w:rFonts w:ascii="Arial" w:eastAsia="Arial" w:hAnsi="Arial" w:cs="Arial"/>
          <w:lang w:eastAsia="en-PH"/>
        </w:rPr>
        <w:t>(2003) found that high lysozyme concentrations are involved in the natural defenses of fish. The serum lysozyme of fish is believed to be derived from leukocytes (Lie</w:t>
      </w:r>
      <w:r>
        <w:rPr>
          <w:rFonts w:ascii="Arial" w:eastAsia="Arial" w:hAnsi="Arial" w:cs="Arial"/>
          <w:i/>
          <w:lang w:eastAsia="en-PH"/>
        </w:rPr>
        <w:t xml:space="preserve"> et a1, </w:t>
      </w:r>
      <w:r>
        <w:rPr>
          <w:rFonts w:ascii="Arial" w:eastAsia="Arial" w:hAnsi="Arial" w:cs="Arial"/>
          <w:lang w:eastAsia="en-PH"/>
        </w:rPr>
        <w:t xml:space="preserve">1989) and has been demonstrated to increase with both the leukocyte count (Fletcher, 1973) and the antibody titer (Valdimrov, 1968). The increased lysozyme activity in infected fish was consistent with Xie </w:t>
      </w:r>
      <w:r>
        <w:rPr>
          <w:rFonts w:ascii="Arial" w:eastAsia="Arial" w:hAnsi="Arial" w:cs="Arial"/>
          <w:i/>
          <w:lang w:eastAsia="en-PH"/>
        </w:rPr>
        <w:t xml:space="preserve">et al. </w:t>
      </w:r>
      <w:r>
        <w:rPr>
          <w:rFonts w:ascii="Arial" w:eastAsia="Arial" w:hAnsi="Arial" w:cs="Arial"/>
          <w:lang w:eastAsia="en-PH"/>
        </w:rPr>
        <w:t xml:space="preserve">(2008), Jiang and Wu (2002), and Bilen </w:t>
      </w:r>
      <w:r>
        <w:rPr>
          <w:rFonts w:ascii="Arial" w:eastAsia="Arial" w:hAnsi="Arial" w:cs="Arial"/>
          <w:i/>
          <w:lang w:eastAsia="en-PH"/>
        </w:rPr>
        <w:t>et al.</w:t>
      </w:r>
      <w:r>
        <w:rPr>
          <w:rFonts w:ascii="Arial" w:eastAsia="Arial" w:hAnsi="Arial" w:cs="Arial"/>
          <w:lang w:eastAsia="en-PH"/>
        </w:rPr>
        <w:t xml:space="preserve"> (2011).</w:t>
      </w:r>
    </w:p>
    <w:p w14:paraId="7B09A58D" w14:textId="77777777" w:rsidR="00863806" w:rsidRDefault="00863806">
      <w:pPr>
        <w:spacing w:before="100" w:beforeAutospacing="1" w:after="100" w:afterAutospacing="1"/>
        <w:contextualSpacing/>
        <w:jc w:val="both"/>
        <w:rPr>
          <w:rFonts w:ascii="Arial" w:eastAsia="Arial" w:hAnsi="Arial" w:cs="Arial"/>
          <w:lang w:eastAsia="en-PH"/>
        </w:rPr>
      </w:pPr>
    </w:p>
    <w:p w14:paraId="3C2117F8" w14:textId="77777777" w:rsidR="00863806" w:rsidRDefault="00000000">
      <w:pPr>
        <w:spacing w:before="100" w:beforeAutospacing="1" w:after="100" w:afterAutospacing="1"/>
        <w:contextualSpacing/>
        <w:jc w:val="both"/>
        <w:rPr>
          <w:rFonts w:ascii="Arial" w:eastAsia="Arial" w:hAnsi="Arial" w:cs="Arial"/>
          <w:lang w:eastAsia="en-PH"/>
        </w:rPr>
      </w:pPr>
      <w:r>
        <w:rPr>
          <w:rFonts w:ascii="Arial" w:eastAsia="Arial" w:hAnsi="Arial" w:cs="Arial"/>
          <w:lang w:eastAsia="en-PH"/>
        </w:rPr>
        <w:t xml:space="preserve">The study by Van Doan </w:t>
      </w:r>
      <w:r>
        <w:rPr>
          <w:rFonts w:ascii="Arial" w:eastAsia="Arial" w:hAnsi="Arial" w:cs="Arial"/>
          <w:i/>
          <w:lang w:eastAsia="en-PH"/>
        </w:rPr>
        <w:t>et al.</w:t>
      </w:r>
      <w:r>
        <w:rPr>
          <w:rFonts w:ascii="Arial" w:eastAsia="Arial" w:hAnsi="Arial" w:cs="Arial"/>
          <w:lang w:eastAsia="en-PH"/>
        </w:rPr>
        <w:t xml:space="preserve"> (2020) found that berberine-supplemented diets significantly increased Nile tilapia skin mucus lysozyme activity, possibly mediated by the immunomodulatory effects of berberine. As for the mucosal immune system in aquatic animals, it has been established that herbal plants can exert positive effects on gut as well </w:t>
      </w:r>
      <w:r>
        <w:rPr>
          <w:rFonts w:ascii="Arial" w:eastAsia="Arial" w:hAnsi="Arial" w:cs="Arial"/>
          <w:lang w:eastAsia="en-PH"/>
        </w:rPr>
        <w:lastRenderedPageBreak/>
        <w:t xml:space="preserve">as skin and gill-associated lymphoid tissue (Caipang, 2015; Martin &amp; Krol, 2017; Vallejos-Vidal </w:t>
      </w:r>
      <w:r>
        <w:rPr>
          <w:rFonts w:ascii="Arial" w:eastAsia="Arial" w:hAnsi="Arial" w:cs="Arial"/>
          <w:i/>
          <w:lang w:eastAsia="en-PH"/>
        </w:rPr>
        <w:t xml:space="preserve">et al., </w:t>
      </w:r>
      <w:r>
        <w:rPr>
          <w:rFonts w:ascii="Arial" w:eastAsia="Arial" w:hAnsi="Arial" w:cs="Arial"/>
          <w:lang w:eastAsia="en-PH"/>
        </w:rPr>
        <w:t xml:space="preserve">2016). Aly </w:t>
      </w:r>
      <w:r>
        <w:rPr>
          <w:rFonts w:ascii="Arial" w:eastAsia="Arial" w:hAnsi="Arial" w:cs="Arial"/>
          <w:i/>
          <w:lang w:eastAsia="en-PH"/>
        </w:rPr>
        <w:t xml:space="preserve">et al. </w:t>
      </w:r>
      <w:r>
        <w:rPr>
          <w:rFonts w:ascii="Arial" w:eastAsia="Arial" w:hAnsi="Arial" w:cs="Arial"/>
          <w:lang w:eastAsia="en-PH"/>
        </w:rPr>
        <w:t xml:space="preserve">(2024) and Dorucu </w:t>
      </w:r>
      <w:r>
        <w:rPr>
          <w:rFonts w:ascii="Arial" w:eastAsia="Arial" w:hAnsi="Arial" w:cs="Arial"/>
          <w:i/>
          <w:lang w:eastAsia="en-PH"/>
        </w:rPr>
        <w:t xml:space="preserve">et al. </w:t>
      </w:r>
      <w:r>
        <w:rPr>
          <w:rFonts w:ascii="Arial" w:eastAsia="Arial" w:hAnsi="Arial" w:cs="Arial"/>
          <w:lang w:eastAsia="en-PH"/>
        </w:rPr>
        <w:t>(2009) also observed that black cumin (</w:t>
      </w:r>
      <w:r>
        <w:rPr>
          <w:rFonts w:ascii="Arial" w:eastAsia="Arial" w:hAnsi="Arial" w:cs="Arial"/>
          <w:i/>
          <w:lang w:eastAsia="en-PH"/>
        </w:rPr>
        <w:t>Nigella sativa</w:t>
      </w:r>
      <w:r>
        <w:rPr>
          <w:rFonts w:ascii="Arial" w:eastAsia="Arial" w:hAnsi="Arial" w:cs="Arial"/>
          <w:lang w:eastAsia="en-PH"/>
        </w:rPr>
        <w:t xml:space="preserve">), an herbal immunostimulant, boosts fish immunity by increasing lysozyme activity and serum bactericidal activity. Maqsood </w:t>
      </w:r>
      <w:r>
        <w:rPr>
          <w:rFonts w:ascii="Arial" w:eastAsia="Arial" w:hAnsi="Arial" w:cs="Arial"/>
          <w:i/>
          <w:lang w:eastAsia="en-PH"/>
        </w:rPr>
        <w:t xml:space="preserve">et al. </w:t>
      </w:r>
      <w:r>
        <w:rPr>
          <w:rFonts w:ascii="Arial" w:eastAsia="Arial" w:hAnsi="Arial" w:cs="Arial"/>
          <w:lang w:eastAsia="en-PH"/>
        </w:rPr>
        <w:t>(2009) showed that dietary supplementation of levamisole to fingerlings of common carp (</w:t>
      </w:r>
      <w:r>
        <w:rPr>
          <w:rFonts w:ascii="Arial" w:eastAsia="Arial" w:hAnsi="Arial" w:cs="Arial"/>
          <w:i/>
          <w:lang w:eastAsia="en-PH"/>
        </w:rPr>
        <w:t>C. carpio</w:t>
      </w:r>
      <w:r>
        <w:rPr>
          <w:rFonts w:ascii="Arial" w:eastAsia="Arial" w:hAnsi="Arial" w:cs="Arial"/>
          <w:lang w:eastAsia="en-PH"/>
        </w:rPr>
        <w:t>) significantly increases lysozyme activity, and it was also confirmed by Gopalakannan and Venkatesan (2006) that the levels of lysozyme were higher in fish fed with levamisole compared to control. Similarly, ß-glucans administration has been shown to increase the lysozyme activity in Atlantic salmon (</w:t>
      </w:r>
      <w:r>
        <w:rPr>
          <w:rFonts w:ascii="Arial" w:eastAsia="Arial" w:hAnsi="Arial" w:cs="Arial"/>
          <w:i/>
          <w:lang w:eastAsia="en-PH"/>
        </w:rPr>
        <w:t>Salmo salar</w:t>
      </w:r>
      <w:r>
        <w:rPr>
          <w:rFonts w:ascii="Arial" w:eastAsia="Arial" w:hAnsi="Arial" w:cs="Arial"/>
          <w:lang w:eastAsia="en-PH"/>
        </w:rPr>
        <w:t>) and turbot (</w:t>
      </w:r>
      <w:r>
        <w:rPr>
          <w:rFonts w:ascii="Arial" w:eastAsia="Arial" w:hAnsi="Arial" w:cs="Arial"/>
          <w:i/>
          <w:lang w:eastAsia="en-PH"/>
        </w:rPr>
        <w:t>Scophthalmus maximus</w:t>
      </w:r>
      <w:r>
        <w:rPr>
          <w:rFonts w:ascii="Arial" w:eastAsia="Arial" w:hAnsi="Arial" w:cs="Arial"/>
          <w:lang w:eastAsia="en-PH"/>
        </w:rPr>
        <w:t xml:space="preserve">) (Engstad </w:t>
      </w:r>
      <w:r>
        <w:rPr>
          <w:rFonts w:ascii="Arial" w:eastAsia="Arial" w:hAnsi="Arial" w:cs="Arial"/>
          <w:i/>
          <w:lang w:eastAsia="en-PH"/>
        </w:rPr>
        <w:t>et al.,</w:t>
      </w:r>
      <w:r>
        <w:rPr>
          <w:rFonts w:ascii="Arial" w:eastAsia="Arial" w:hAnsi="Arial" w:cs="Arial"/>
          <w:lang w:eastAsia="en-PH"/>
        </w:rPr>
        <w:t xml:space="preserve"> 1997; Jorgensen </w:t>
      </w:r>
      <w:r>
        <w:rPr>
          <w:rFonts w:ascii="Arial" w:eastAsia="Arial" w:hAnsi="Arial" w:cs="Arial"/>
          <w:i/>
          <w:lang w:eastAsia="en-PH"/>
        </w:rPr>
        <w:t>et al.,</w:t>
      </w:r>
      <w:r>
        <w:rPr>
          <w:rFonts w:ascii="Arial" w:eastAsia="Arial" w:hAnsi="Arial" w:cs="Arial"/>
          <w:lang w:eastAsia="en-PH"/>
        </w:rPr>
        <w:t xml:space="preserve"> 1993). The association of bacterial resistance in fish with an increase in serum lysozyme level along with an improvement in the phagocytic and bactericidal activities of head kidney leukocytes was reported by Robertsen </w:t>
      </w:r>
      <w:r>
        <w:rPr>
          <w:rFonts w:ascii="Arial" w:eastAsia="Arial" w:hAnsi="Arial" w:cs="Arial"/>
          <w:i/>
          <w:lang w:eastAsia="en-PH"/>
        </w:rPr>
        <w:t xml:space="preserve">et al. </w:t>
      </w:r>
      <w:r>
        <w:rPr>
          <w:rFonts w:ascii="Arial" w:eastAsia="Arial" w:hAnsi="Arial" w:cs="Arial"/>
          <w:lang w:eastAsia="en-PH"/>
        </w:rPr>
        <w:t>(1994). A higher activity of lysozyme was recorded among goldfish (</w:t>
      </w:r>
      <w:r>
        <w:rPr>
          <w:rFonts w:ascii="Arial" w:eastAsia="Arial" w:hAnsi="Arial" w:cs="Arial"/>
          <w:i/>
          <w:lang w:eastAsia="en-PH"/>
        </w:rPr>
        <w:t>Carassius auratus</w:t>
      </w:r>
      <w:r>
        <w:rPr>
          <w:rFonts w:ascii="Arial" w:eastAsia="Arial" w:hAnsi="Arial" w:cs="Arial"/>
          <w:lang w:eastAsia="en-PH"/>
        </w:rPr>
        <w:t xml:space="preserve">), infested with </w:t>
      </w:r>
      <w:r>
        <w:rPr>
          <w:rFonts w:ascii="Arial" w:eastAsia="Arial" w:hAnsi="Arial" w:cs="Arial"/>
          <w:i/>
          <w:lang w:eastAsia="en-PH"/>
        </w:rPr>
        <w:t>Argulus</w:t>
      </w:r>
      <w:r>
        <w:rPr>
          <w:rFonts w:ascii="Arial" w:eastAsia="Arial" w:hAnsi="Arial" w:cs="Arial"/>
          <w:lang w:eastAsia="en-PH"/>
        </w:rPr>
        <w:t xml:space="preserve"> parasites than among healthy, uninfected fish. Similar trends have been reported among fish infected with the parasites </w:t>
      </w:r>
      <w:r>
        <w:rPr>
          <w:rFonts w:ascii="Arial" w:eastAsia="Arial" w:hAnsi="Arial" w:cs="Arial"/>
          <w:i/>
          <w:lang w:eastAsia="en-PH"/>
        </w:rPr>
        <w:t>Ceratomyxa shasta</w:t>
      </w:r>
      <w:r>
        <w:rPr>
          <w:rFonts w:ascii="Arial" w:eastAsia="Arial" w:hAnsi="Arial" w:cs="Arial"/>
          <w:lang w:eastAsia="en-PH"/>
        </w:rPr>
        <w:t xml:space="preserve"> (Foott </w:t>
      </w:r>
      <w:r>
        <w:rPr>
          <w:rFonts w:ascii="Arial" w:eastAsia="Arial" w:hAnsi="Arial" w:cs="Arial"/>
          <w:i/>
          <w:lang w:eastAsia="en-PH"/>
        </w:rPr>
        <w:t xml:space="preserve">et al., </w:t>
      </w:r>
      <w:r>
        <w:rPr>
          <w:rFonts w:ascii="Arial" w:eastAsia="Arial" w:hAnsi="Arial" w:cs="Arial"/>
          <w:lang w:eastAsia="en-PH"/>
        </w:rPr>
        <w:t xml:space="preserve">2004) and </w:t>
      </w:r>
      <w:r>
        <w:rPr>
          <w:rFonts w:ascii="Arial" w:eastAsia="Arial" w:hAnsi="Arial" w:cs="Arial"/>
          <w:i/>
          <w:lang w:eastAsia="en-PH"/>
        </w:rPr>
        <w:t xml:space="preserve">Sphaerospora dicentrarchi </w:t>
      </w:r>
      <w:r>
        <w:rPr>
          <w:rFonts w:ascii="Arial" w:eastAsia="Arial" w:hAnsi="Arial" w:cs="Arial"/>
          <w:lang w:eastAsia="en-PH"/>
        </w:rPr>
        <w:t xml:space="preserve">(Munoz </w:t>
      </w:r>
      <w:r>
        <w:rPr>
          <w:rFonts w:ascii="Arial" w:eastAsia="Arial" w:hAnsi="Arial" w:cs="Arial"/>
          <w:i/>
          <w:lang w:eastAsia="en-PH"/>
        </w:rPr>
        <w:t xml:space="preserve">et al., </w:t>
      </w:r>
      <w:r>
        <w:rPr>
          <w:rFonts w:ascii="Arial" w:eastAsia="Arial" w:hAnsi="Arial" w:cs="Arial"/>
          <w:lang w:eastAsia="en-PH"/>
        </w:rPr>
        <w:t>2000). In Nile tilapia, feeding a diet containing 1% aqueous extract of pink mempat (</w:t>
      </w:r>
      <w:r>
        <w:rPr>
          <w:rFonts w:ascii="Arial" w:eastAsia="Arial" w:hAnsi="Arial" w:cs="Arial"/>
          <w:i/>
          <w:lang w:eastAsia="en-PH"/>
        </w:rPr>
        <w:t>C. formosum</w:t>
      </w:r>
      <w:r>
        <w:rPr>
          <w:rFonts w:ascii="Arial" w:eastAsia="Arial" w:hAnsi="Arial" w:cs="Arial"/>
          <w:lang w:eastAsia="en-PH"/>
        </w:rPr>
        <w:t xml:space="preserve">) enhanced lysozyme activity, especially after infection with </w:t>
      </w:r>
      <w:r>
        <w:rPr>
          <w:rFonts w:ascii="Arial" w:eastAsia="Arial" w:hAnsi="Arial" w:cs="Arial"/>
          <w:i/>
          <w:lang w:eastAsia="en-PH"/>
        </w:rPr>
        <w:t xml:space="preserve">S. agalactiae </w:t>
      </w:r>
      <w:r>
        <w:rPr>
          <w:rFonts w:ascii="Arial" w:eastAsia="Arial" w:hAnsi="Arial" w:cs="Arial"/>
          <w:lang w:eastAsia="en-PH"/>
        </w:rPr>
        <w:t>(Rattanachaikunsopon &amp; Phumkhachorn, 2010). In rainbow trout (</w:t>
      </w:r>
      <w:r>
        <w:rPr>
          <w:rFonts w:ascii="Arial" w:eastAsia="Arial" w:hAnsi="Arial" w:cs="Arial"/>
          <w:i/>
          <w:lang w:eastAsia="en-PH"/>
        </w:rPr>
        <w:t>O. mykiss</w:t>
      </w:r>
      <w:r>
        <w:rPr>
          <w:rFonts w:ascii="Arial" w:eastAsia="Arial" w:hAnsi="Arial" w:cs="Arial"/>
          <w:lang w:eastAsia="en-PH"/>
        </w:rPr>
        <w:t xml:space="preserve">), infected fish had significantly higher mucus lysozyme activities than the control at all post-infection intervals (Fast </w:t>
      </w:r>
      <w:r>
        <w:rPr>
          <w:rFonts w:ascii="Arial" w:eastAsia="Arial" w:hAnsi="Arial" w:cs="Arial"/>
          <w:i/>
          <w:lang w:eastAsia="en-PH"/>
        </w:rPr>
        <w:t xml:space="preserve">et al., </w:t>
      </w:r>
      <w:r>
        <w:rPr>
          <w:rFonts w:ascii="Arial" w:eastAsia="Arial" w:hAnsi="Arial" w:cs="Arial"/>
          <w:lang w:eastAsia="en-PH"/>
        </w:rPr>
        <w:t xml:space="preserve">2002). Mucus enzymes and proteins such as lysozyme possess bactericidal properties, thus underscoring its role in immune defense in fish (Dalmo </w:t>
      </w:r>
      <w:r>
        <w:rPr>
          <w:rFonts w:ascii="Arial" w:eastAsia="Arial" w:hAnsi="Arial" w:cs="Arial"/>
          <w:i/>
          <w:lang w:eastAsia="en-PH"/>
        </w:rPr>
        <w:t xml:space="preserve">et al., </w:t>
      </w:r>
      <w:r>
        <w:rPr>
          <w:rFonts w:ascii="Arial" w:eastAsia="Arial" w:hAnsi="Arial" w:cs="Arial"/>
          <w:lang w:eastAsia="en-PH"/>
        </w:rPr>
        <w:t>1997).</w:t>
      </w:r>
    </w:p>
    <w:p w14:paraId="5CA167C6" w14:textId="058857BA" w:rsidR="00863806" w:rsidRDefault="00A40442">
      <w:pPr>
        <w:pStyle w:val="Bezodstpw"/>
        <w:jc w:val="center"/>
        <w:rPr>
          <w:rFonts w:ascii="Arial" w:eastAsia="Arial" w:hAnsi="Arial" w:cs="Arial"/>
          <w:b/>
          <w:bCs/>
        </w:rPr>
      </w:pPr>
      <w:r>
        <w:rPr>
          <w:noProof/>
        </w:rPr>
        <mc:AlternateContent>
          <mc:Choice Requires="wps">
            <w:drawing>
              <wp:anchor distT="0" distB="0" distL="114300" distR="114300" simplePos="0" relativeHeight="251658244" behindDoc="0" locked="0" layoutInCell="0" allowOverlap="1" wp14:anchorId="4C2B349C" wp14:editId="7740A1B3">
                <wp:simplePos x="0" y="0"/>
                <wp:positionH relativeFrom="column">
                  <wp:posOffset>4086860</wp:posOffset>
                </wp:positionH>
                <wp:positionV relativeFrom="paragraph">
                  <wp:posOffset>161290</wp:posOffset>
                </wp:positionV>
                <wp:extent cx="390525" cy="326390"/>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oAAAAAgAAAAAAAAAAAAAAAAAAAAgAAACQZAAABAAAAAgAAAP4AAABnAgAAAgIAAAcAAQAEIQAAyBgAACgAAAAIAAAAAQAAAAEAAAA="/>
                          </a:ext>
                        </a:extLst>
                      </wps:cNvSpPr>
                      <wps:spPr>
                        <a:xfrm>
                          <a:off x="0" y="0"/>
                          <a:ext cx="390525" cy="326390"/>
                        </a:xfrm>
                        <a:prstGeom prst="rect">
                          <a:avLst/>
                        </a:prstGeom>
                        <a:noFill/>
                        <a:ln w="12700">
                          <a:noFill/>
                        </a:ln>
                      </wps:spPr>
                      <wps:txbx>
                        <w:txbxContent>
                          <w:p w14:paraId="7664A07C"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2B349C" id="Pole tekstowe 7" o:spid="_x0000_s1027" type="#_x0000_t202" style="position:absolute;left:0;text-align:left;margin-left:321.8pt;margin-top:12.7pt;width:30.75pt;height:25.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" o:allowincell="f" filled="f" stroked="f" strokeweight="1pt">
                <v:textbox>
                  <w:txbxContent>
                    <w:p w14:paraId="7664A07C"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mc:Fallback>
        </mc:AlternateContent>
      </w:r>
      <w:r>
        <w:rPr>
          <w:noProof/>
        </w:rPr>
        <mc:AlternateContent>
          <mc:Choice Requires="wps">
            <w:drawing>
              <wp:anchor distT="0" distB="0" distL="114300" distR="114300" simplePos="0" relativeHeight="251658245" behindDoc="0" locked="0" layoutInCell="0" allowOverlap="1" wp14:anchorId="77C89863" wp14:editId="6D108A32">
                <wp:simplePos x="0" y="0"/>
                <wp:positionH relativeFrom="column">
                  <wp:posOffset>3096260</wp:posOffset>
                </wp:positionH>
                <wp:positionV relativeFrom="paragraph">
                  <wp:posOffset>104775</wp:posOffset>
                </wp:positionV>
                <wp:extent cx="389890" cy="327660"/>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oAAAAAgAAAAAAAAAAAAAAAAAAAAgAAAAwTAAABAAAAAgAAAKUAAABmAgAABAIAAAcAAQDsGgAAbxgAACgAAAAIAAAAAQAAAAEAAAA="/>
                          </a:ext>
                        </a:extLst>
                      </wps:cNvSpPr>
                      <wps:spPr>
                        <a:xfrm>
                          <a:off x="0" y="0"/>
                          <a:ext cx="389890" cy="327660"/>
                        </a:xfrm>
                        <a:prstGeom prst="rect">
                          <a:avLst/>
                        </a:prstGeom>
                        <a:noFill/>
                        <a:ln w="12700">
                          <a:noFill/>
                        </a:ln>
                      </wps:spPr>
                      <wps:txbx>
                        <w:txbxContent>
                          <w:p w14:paraId="4395D82B"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C89863" id="Pole tekstowe 6" o:spid="_x0000_s1028" type="#_x0000_t202" style="position:absolute;left:0;text-align:left;margin-left:243.8pt;margin-top:8.25pt;width:30.7pt;height:25.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" o:allowincell="f" filled="f" stroked="f" strokeweight="1pt">
                <v:textbox>
                  <w:txbxContent>
                    <w:p w14:paraId="4395D82B"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mc:Fallback>
        </mc:AlternateContent>
      </w:r>
      <w:r>
        <w:rPr>
          <w:noProof/>
        </w:rPr>
        <mc:AlternateContent>
          <mc:Choice Requires="wps">
            <w:drawing>
              <wp:anchor distT="0" distB="0" distL="114300" distR="114300" simplePos="0" relativeHeight="251658246" behindDoc="0" locked="0" layoutInCell="0" allowOverlap="1" wp14:anchorId="0E033D1F" wp14:editId="6BEABF2C">
                <wp:simplePos x="0" y="0"/>
                <wp:positionH relativeFrom="column">
                  <wp:posOffset>2127250</wp:posOffset>
                </wp:positionH>
                <wp:positionV relativeFrom="paragraph">
                  <wp:posOffset>536575</wp:posOffset>
                </wp:positionV>
                <wp:extent cx="390525" cy="326390"/>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oAAAAAgAAAAAAAAAAAAAAAAAAAAgAAABYNAAABAAAAAgAAAE0DAABnAgAAAgIAAAcAAQD2FAAAFxsAACgAAAAIAAAAAQAAAAEAAAA="/>
                          </a:ext>
                        </a:extLst>
                      </wps:cNvSpPr>
                      <wps:spPr>
                        <a:xfrm>
                          <a:off x="0" y="0"/>
                          <a:ext cx="390525" cy="326390"/>
                        </a:xfrm>
                        <a:prstGeom prst="rect">
                          <a:avLst/>
                        </a:prstGeom>
                        <a:noFill/>
                        <a:ln w="12700">
                          <a:noFill/>
                        </a:ln>
                      </wps:spPr>
                      <wps:txbx>
                        <w:txbxContent>
                          <w:p w14:paraId="27BA7388"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033D1F" id="Pole tekstowe 5" o:spid="_x0000_s1029" type="#_x0000_t202" style="position:absolute;left:0;text-align:left;margin-left:167.5pt;margin-top:42.25pt;width:30.75pt;height:25.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" o:allowincell="f" filled="f" stroked="f" strokeweight="1pt">
                <v:textbox>
                  <w:txbxContent>
                    <w:p w14:paraId="27BA7388"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mc:Fallback>
        </mc:AlternateContent>
      </w:r>
      <w:r>
        <w:rPr>
          <w:noProof/>
        </w:rPr>
        <mc:AlternateContent>
          <mc:Choice Requires="wps">
            <w:drawing>
              <wp:anchor distT="0" distB="0" distL="114300" distR="114300" simplePos="0" relativeHeight="251658247" behindDoc="0" locked="0" layoutInCell="0" allowOverlap="1" wp14:anchorId="25E94694" wp14:editId="62F6BFB9">
                <wp:simplePos x="0" y="0"/>
                <wp:positionH relativeFrom="column">
                  <wp:posOffset>1183640</wp:posOffset>
                </wp:positionH>
                <wp:positionV relativeFrom="paragraph">
                  <wp:posOffset>2518410</wp:posOffset>
                </wp:positionV>
                <wp:extent cx="3364230" cy="25717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oAAAAAgAAAAAAAAAAAAAAAAAAAAgAAAEgHAAABAAAAAgAAAH4PAACyFAAAlQEAAAcAAQAoDwAASCcAACgAAAAIAAAAAQAAAAEAAAA="/>
                          </a:ext>
                        </a:extLst>
                      </wps:cNvSpPr>
                      <wps:spPr>
                        <a:xfrm>
                          <a:off x="0" y="0"/>
                          <a:ext cx="3364230" cy="257175"/>
                        </a:xfrm>
                        <a:prstGeom prst="rect">
                          <a:avLst/>
                        </a:prstGeom>
                        <a:noFill/>
                        <a:ln w="12700">
                          <a:noFill/>
                        </a:ln>
                      </wps:spPr>
                      <wps:txbx>
                        <w:txbxContent>
                          <w:p w14:paraId="083EF332"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E94694" id="Pole tekstowe 4" o:spid="_x0000_s1030" type="#_x0000_t202" style="position:absolute;left:0;text-align:left;margin-left:93.2pt;margin-top:198.3pt;width:264.9pt;height:20.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" o:allowincell="f" filled="f" stroked="f" strokeweight="1pt">
                <v:textbox>
                  <w:txbxContent>
                    <w:p w14:paraId="083EF332" w14:textId="77777777" w:rsidR="00863806" w:rsidRDefault="00000000">
                      <w:pPr>
                        <w:pBdr>
                          <w:top w:val="nil"/>
                          <w:left w:val="nil"/>
                          <w:bottom w:val="nil"/>
                          <w:right w:val="nil"/>
                          <w:between w:val="nil"/>
                        </w:pBd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mc:Fallback>
        </mc:AlternateContent>
      </w:r>
      <w:r>
        <w:rPr>
          <w:noProof/>
        </w:rPr>
        <mc:AlternateContent>
          <mc:Choice Requires="wps">
            <w:drawing>
              <wp:anchor distT="0" distB="0" distL="114300" distR="114300" simplePos="0" relativeHeight="251658249" behindDoc="0" locked="0" layoutInCell="0" allowOverlap="1" wp14:anchorId="1DA617B9" wp14:editId="09612BCB">
                <wp:simplePos x="0" y="0"/>
                <wp:positionH relativeFrom="column">
                  <wp:posOffset>1163955</wp:posOffset>
                </wp:positionH>
                <wp:positionV relativeFrom="paragraph">
                  <wp:posOffset>551180</wp:posOffset>
                </wp:positionV>
                <wp:extent cx="390525" cy="35369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a:extLst>
                          <a:ext uri="sm">
                            <sm:smNativeData xmlns="" xmlns:o="urn:schemas-microsoft-com:office:office" xmlns:v="urn:schemas-microsoft-com:vml" xmlns:w10="urn:schemas-microsoft-com:office:word" xmlns:w="http://schemas.openxmlformats.org/wordprocessingml/2006/main" xmlns:sm="sm" val="SMDATA_14_b/1lahMAAAAlAAAAEg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QLwAA4D0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oAAAAAgAAAAAAAAAAAAAABAAAAAgAAACkHAAABAAAAAgAAAGQDAABnAgAALQIAAAcAAQAJDwAALhsAACgAAAAIAAAAAQAAAAEAAAA="/>
                          </a:ext>
                        </a:extLst>
                      </wps:cNvSpPr>
                      <wps:spPr>
                        <a:xfrm>
                          <a:off x="0" y="0"/>
                          <a:ext cx="390525" cy="353695"/>
                        </a:xfrm>
                        <a:prstGeom prst="rect">
                          <a:avLst/>
                        </a:prstGeom>
                        <a:noFill/>
                        <a:ln w="12700">
                          <a:noFill/>
                        </a:ln>
                      </wps:spPr>
                      <wps:txbx>
                        <w:txbxContent>
                          <w:p w14:paraId="2F5BAB59"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wps:txbx>
                      <wps:bodyPr spcFirstLastPara="1" vertOverflow="clip" horzOverflow="clip" lIns="91440" tIns="45720" rIns="91440" bIns="4572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A617B9" id="Pole tekstowe 1" o:spid="_x0000_s1031" type="#_x0000_t202" style="position:absolute;left:0;text-align:left;margin-left:91.65pt;margin-top:43.4pt;width:30.75pt;height:27.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" o:allowincell="f" filled="f" stroked="f" strokeweight="1pt">
                <v:textbox>
                  <w:txbxContent>
                    <w:p w14:paraId="2F5BAB59" w14:textId="77777777" w:rsidR="00863806" w:rsidRDefault="00000000">
                      <w:pPr>
                        <w:pBdr>
                          <w:top w:val="nil"/>
                          <w:left w:val="nil"/>
                          <w:bottom w:val="nil"/>
                          <w:right w:val="nil"/>
                          <w:between w:val="nil"/>
                        </w:pBd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mc:Fallback>
        </mc:AlternateContent>
      </w:r>
      <w:r w:rsidR="003C615A">
        <w:rPr>
          <w:noProof/>
        </w:rPr>
        <w:drawing>
          <wp:inline distT="0" distB="0" distL="0" distR="0" wp14:anchorId="3E734AF8" wp14:editId="680FE781">
            <wp:extent cx="4602480" cy="2712720"/>
            <wp:effectExtent l="0" t="0" r="0" b="0"/>
            <wp:docPr id="3" name="Picture2"/>
            <wp:cNvGraphicFramePr/>
            <a:graphic xmlns:a="http://schemas.openxmlformats.org/drawingml/2006/main">
              <a:graphicData uri="http://schemas.openxmlformats.org/drawingml/2006/picture">
                <pic:pic xmlns:pic="http://schemas.openxmlformats.org/drawingml/2006/picture">
                  <pic:nvPicPr>
                    <pic:cNvPr id="3" name="Picture2"/>
                    <pic:cNvPicPr>
                      <a:extLst>
                        <a:ext uri="sm">
                          <sm:smNativeData xmlns:sm="sm" xmlns:w="http://schemas.openxmlformats.org/wordprocessingml/2006/main" xmlns:w10="urn:schemas-microsoft-com:office:word" xmlns:v="urn:schemas-microsoft-com:vml" xmlns:o="urn:schemas-microsoft-com:office:office" xmlns="" xmlns:w16sdtfl="http://schemas.microsoft.com/office/word/2024/wordml/sdtformatlock" xmlns:w16cei="http://schemas.microsoft.com/office/word/2026/wordml/cei" val="SMDATA_16_b/1l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AAAAAAAQAAAAAAAAAAAAAAUBwAALAQAAAAAAAAAAAAAAAAAAAoAAAACAAAAAEAAAABAAAA"/>
                        </a:ext>
                      </a:extLst>
                    </pic:cNvPicPr>
                  </pic:nvPicPr>
                  <pic:blipFill>
                    <a:blip r:embed="rId12">
                      <a:clrChange>
                        <a:clrFrom>
                          <a:srgbClr val="FFFFFF"/>
                        </a:clrFrom>
                        <a:clrTo>
                          <a:srgbClr val="FFFFFF">
                            <a:alpha val="0"/>
                          </a:srgbClr>
                        </a:clrTo>
                      </a:clrChange>
                    </a:blip>
                    <a:stretch>
                      <a:fillRect/>
                    </a:stretch>
                  </pic:blipFill>
                  <pic:spPr>
                    <a:xfrm>
                      <a:off x="0" y="0"/>
                      <a:ext cx="4602480" cy="2712720"/>
                    </a:xfrm>
                    <a:prstGeom prst="rect">
                      <a:avLst/>
                    </a:prstGeom>
                    <a:noFill/>
                    <a:ln w="9525">
                      <a:noFill/>
                    </a:ln>
                  </pic:spPr>
                </pic:pic>
              </a:graphicData>
            </a:graphic>
          </wp:inline>
        </w:drawing>
      </w:r>
    </w:p>
    <w:p w14:paraId="3716F93D" w14:textId="77777777" w:rsidR="00863806" w:rsidRDefault="00863806">
      <w:pPr>
        <w:pStyle w:val="Bezodstpw"/>
        <w:rPr>
          <w:rFonts w:ascii="Arial" w:eastAsia="Arial" w:hAnsi="Arial" w:cs="Arial"/>
          <w:b/>
          <w:bCs/>
        </w:rPr>
      </w:pPr>
    </w:p>
    <w:p w14:paraId="076458A1" w14:textId="77777777" w:rsidR="00863806" w:rsidRDefault="00000000">
      <w:pPr>
        <w:pStyle w:val="Bezodstpw"/>
        <w:ind w:left="414" w:right="441"/>
        <w:jc w:val="center"/>
        <w:rPr>
          <w:rFonts w:ascii="Arial" w:eastAsia="Arial" w:hAnsi="Arial" w:cs="Arial"/>
          <w:b/>
          <w:bCs/>
        </w:rPr>
      </w:pPr>
      <w:r>
        <w:rPr>
          <w:rFonts w:ascii="Arial" w:eastAsia="Arial" w:hAnsi="Arial" w:cs="Arial"/>
          <w:b/>
          <w:bCs/>
        </w:rPr>
        <w:t xml:space="preserve">Fig. 2. The result of lysozyme activity of red tilapia intraperitoneally injected with </w:t>
      </w:r>
      <w:r>
        <w:rPr>
          <w:rFonts w:ascii="Arial" w:eastAsia="Arial" w:hAnsi="Arial" w:cs="Arial"/>
          <w:b/>
          <w:bCs/>
          <w:i/>
          <w:iCs/>
        </w:rPr>
        <w:t>Streptococcus agalactiae</w:t>
      </w:r>
      <w:r>
        <w:rPr>
          <w:rFonts w:ascii="Arial" w:eastAsia="Arial" w:hAnsi="Arial" w:cs="Arial"/>
          <w:b/>
          <w:bCs/>
        </w:rPr>
        <w:t xml:space="preserve"> (T1 = control; 0.85% NaCl solution); T2 = 10</w:t>
      </w:r>
      <w:r>
        <w:rPr>
          <w:rFonts w:ascii="Arial" w:eastAsia="Arial" w:hAnsi="Arial" w:cs="Arial"/>
          <w:b/>
          <w:bCs/>
          <w:vertAlign w:val="superscript"/>
        </w:rPr>
        <w:t>6</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T3 = 10</w:t>
      </w:r>
      <w:r>
        <w:rPr>
          <w:rFonts w:ascii="Arial" w:eastAsia="Arial" w:hAnsi="Arial" w:cs="Arial"/>
          <w:b/>
          <w:bCs/>
          <w:vertAlign w:val="superscript"/>
        </w:rPr>
        <w:t>7</w:t>
      </w:r>
      <w:r>
        <w:rPr>
          <w:rFonts w:ascii="Arial" w:eastAsia="Arial" w:hAnsi="Arial" w:cs="Arial"/>
          <w:b/>
          <w:bCs/>
        </w:rPr>
        <w:t xml:space="preserve"> CFU/mL</w:t>
      </w:r>
      <w:r>
        <w:rPr>
          <w:rFonts w:ascii="Arial" w:eastAsia="Arial" w:hAnsi="Arial" w:cs="Arial"/>
          <w:b/>
          <w:bCs/>
          <w:i/>
          <w:iCs/>
        </w:rPr>
        <w:t xml:space="preserve"> S. agalactiae</w:t>
      </w:r>
      <w:r>
        <w:rPr>
          <w:rFonts w:ascii="Arial" w:eastAsia="Arial" w:hAnsi="Arial" w:cs="Arial"/>
          <w:b/>
          <w:bCs/>
        </w:rPr>
        <w:t>; T4 = CFU/mL 10</w:t>
      </w:r>
      <w:r>
        <w:rPr>
          <w:rFonts w:ascii="Arial" w:eastAsia="Arial" w:hAnsi="Arial" w:cs="Arial"/>
          <w:b/>
          <w:bCs/>
          <w:vertAlign w:val="superscript"/>
        </w:rPr>
        <w:t>8</w:t>
      </w:r>
      <w:r>
        <w:rPr>
          <w:rFonts w:ascii="Arial" w:eastAsia="Arial" w:hAnsi="Arial" w:cs="Arial"/>
          <w:b/>
          <w:bCs/>
        </w:rPr>
        <w:t xml:space="preserve"> </w:t>
      </w:r>
      <w:r>
        <w:rPr>
          <w:rFonts w:ascii="Arial" w:eastAsia="Arial" w:hAnsi="Arial" w:cs="Arial"/>
          <w:b/>
          <w:bCs/>
          <w:i/>
          <w:iCs/>
        </w:rPr>
        <w:t>S. agalactiae</w:t>
      </w:r>
      <w:r>
        <w:rPr>
          <w:rFonts w:ascii="Arial" w:eastAsia="Arial" w:hAnsi="Arial" w:cs="Arial"/>
          <w:b/>
          <w:bCs/>
        </w:rPr>
        <w:t xml:space="preserve">); different superscript statistically significant at </w:t>
      </w:r>
      <w:r>
        <w:rPr>
          <w:rFonts w:ascii="Arial" w:eastAsia="Arial" w:hAnsi="Arial" w:cs="Arial"/>
          <w:b/>
          <w:bCs/>
          <w:i/>
          <w:iCs/>
        </w:rPr>
        <w:t>P</w:t>
      </w:r>
      <w:r>
        <w:rPr>
          <w:rFonts w:ascii="Arial" w:eastAsia="Arial" w:hAnsi="Arial" w:cs="Arial"/>
          <w:b/>
          <w:bCs/>
        </w:rPr>
        <w:t xml:space="preserve"> &lt; 0.05).</w:t>
      </w:r>
    </w:p>
    <w:p w14:paraId="2FA8C632" w14:textId="77777777" w:rsidR="00863806" w:rsidRDefault="00863806">
      <w:pPr>
        <w:pStyle w:val="Bezodstpw"/>
        <w:ind w:left="414" w:right="1138"/>
        <w:jc w:val="both"/>
        <w:rPr>
          <w:rFonts w:ascii="Arial" w:eastAsia="Arial" w:hAnsi="Arial" w:cs="Arial"/>
        </w:rPr>
      </w:pPr>
    </w:p>
    <w:p w14:paraId="78C83E5B" w14:textId="77777777" w:rsidR="00863806" w:rsidRDefault="00000000">
      <w:pPr>
        <w:pStyle w:val="ConcHead"/>
        <w:spacing w:after="0"/>
        <w:jc w:val="both"/>
        <w:rPr>
          <w:rFonts w:ascii="Arial" w:hAnsi="Arial" w:cs="Arial"/>
        </w:rPr>
      </w:pPr>
      <w:r>
        <w:rPr>
          <w:rFonts w:ascii="Arial" w:hAnsi="Arial" w:cs="Arial"/>
        </w:rPr>
        <w:t>4. Conclusion</w:t>
      </w:r>
    </w:p>
    <w:p w14:paraId="350D333A" w14:textId="77777777" w:rsidR="00863806" w:rsidRDefault="00863806">
      <w:pPr>
        <w:pStyle w:val="ConcHead"/>
        <w:spacing w:after="0"/>
        <w:jc w:val="both"/>
        <w:rPr>
          <w:rFonts w:ascii="Arial" w:hAnsi="Arial" w:cs="Arial"/>
        </w:rPr>
      </w:pPr>
    </w:p>
    <w:p w14:paraId="56730FCF" w14:textId="77777777" w:rsidR="00863806" w:rsidRDefault="00000000">
      <w:pPr>
        <w:pStyle w:val="Bezodstpw"/>
        <w:jc w:val="both"/>
        <w:rPr>
          <w:rFonts w:ascii="Arial" w:eastAsia="Arial" w:hAnsi="Arial" w:cs="Arial"/>
          <w:lang w:eastAsia="en-PH"/>
        </w:rPr>
      </w:pPr>
      <w:r>
        <w:rPr>
          <w:rFonts w:ascii="Arial" w:eastAsia="Arial" w:hAnsi="Arial" w:cs="Arial"/>
        </w:rPr>
        <w:t xml:space="preserve">The </w:t>
      </w:r>
      <w:r>
        <w:rPr>
          <w:rFonts w:ascii="Arial" w:eastAsia="Arial" w:hAnsi="Arial" w:cs="Arial"/>
          <w:lang w:eastAsia="en-PH"/>
        </w:rPr>
        <w:t xml:space="preserve">experimental results suggest that </w:t>
      </w:r>
      <w:r>
        <w:rPr>
          <w:rFonts w:ascii="Arial" w:eastAsia="Arial" w:hAnsi="Arial" w:cs="Arial"/>
          <w:i/>
          <w:iCs/>
          <w:lang w:eastAsia="en-PH"/>
        </w:rPr>
        <w:t>S. agalactiae</w:t>
      </w:r>
      <w:r>
        <w:rPr>
          <w:rFonts w:ascii="Arial" w:eastAsia="Arial" w:hAnsi="Arial" w:cs="Arial"/>
          <w:lang w:eastAsia="en-PH"/>
        </w:rPr>
        <w:t xml:space="preserve"> infection in red tilapia elicited a detectable immune response without causing visible clinical signs, morbidity, or mortality over a 10-day observation period. The NBT assay showed an increase in oxidative burst </w:t>
      </w:r>
      <w:r>
        <w:rPr>
          <w:rFonts w:ascii="Arial" w:eastAsia="Arial" w:hAnsi="Arial" w:cs="Arial"/>
          <w:lang w:eastAsia="en-PH"/>
        </w:rPr>
        <w:lastRenderedPageBreak/>
        <w:t xml:space="preserve">activity with higher bacterial concentrations, although the differences were not statistically significant among treatments. Meanwhile, lysozyme activity was significantly elevated in fish exposed to higher concentrations of </w:t>
      </w:r>
      <w:r>
        <w:rPr>
          <w:rFonts w:ascii="Arial" w:eastAsia="Arial" w:hAnsi="Arial" w:cs="Arial"/>
          <w:i/>
          <w:iCs/>
          <w:lang w:eastAsia="en-PH"/>
        </w:rPr>
        <w:t>S. agalactiae</w:t>
      </w:r>
      <w:r>
        <w:rPr>
          <w:rFonts w:ascii="Arial" w:eastAsia="Arial" w:hAnsi="Arial" w:cs="Arial"/>
          <w:lang w:eastAsia="en-PH"/>
        </w:rPr>
        <w:t xml:space="preserve"> (T3 and T4) compared to the control (T1) and lower exposure group (T2), indicating an enhanced innate immune response. These findings demonstrate that red tilapia can mount an immune defense against </w:t>
      </w:r>
      <w:r>
        <w:rPr>
          <w:rFonts w:ascii="Arial" w:eastAsia="Arial" w:hAnsi="Arial" w:cs="Arial"/>
          <w:i/>
          <w:iCs/>
          <w:lang w:eastAsia="en-PH"/>
        </w:rPr>
        <w:t>S. agalactiae</w:t>
      </w:r>
      <w:r>
        <w:rPr>
          <w:rFonts w:ascii="Arial" w:eastAsia="Arial" w:hAnsi="Arial" w:cs="Arial"/>
          <w:lang w:eastAsia="en-PH"/>
        </w:rPr>
        <w:t xml:space="preserve"> without succumbing to severe infection under the conditions of the study.</w:t>
      </w:r>
    </w:p>
    <w:p w14:paraId="17326CF1" w14:textId="77777777" w:rsidR="00863806" w:rsidRDefault="00863806">
      <w:pPr>
        <w:pStyle w:val="AcknHead"/>
        <w:spacing w:after="0"/>
        <w:jc w:val="both"/>
        <w:rPr>
          <w:rFonts w:ascii="Arial" w:hAnsi="Arial" w:cs="Arial"/>
        </w:rPr>
      </w:pPr>
    </w:p>
    <w:p w14:paraId="64B8A7CD" w14:textId="77777777" w:rsidR="00863806" w:rsidRDefault="00863806">
      <w:pPr>
        <w:pStyle w:val="ReferHead"/>
        <w:spacing w:after="0"/>
        <w:jc w:val="both"/>
        <w:rPr>
          <w:rFonts w:ascii="Arial" w:hAnsi="Arial" w:cs="Arial"/>
        </w:rPr>
      </w:pPr>
    </w:p>
    <w:p w14:paraId="5D13484D" w14:textId="77777777" w:rsidR="003C615A" w:rsidRDefault="003C615A">
      <w:pPr>
        <w:pStyle w:val="ReferHead"/>
        <w:spacing w:after="0"/>
        <w:jc w:val="both"/>
        <w:rPr>
          <w:rFonts w:ascii="Arial" w:hAnsi="Arial" w:cs="Arial"/>
        </w:rPr>
      </w:pPr>
    </w:p>
    <w:p w14:paraId="43FB719D" w14:textId="77777777" w:rsidR="003C615A" w:rsidRDefault="003C615A">
      <w:pPr>
        <w:pStyle w:val="ReferHead"/>
        <w:spacing w:after="0"/>
        <w:jc w:val="both"/>
        <w:rPr>
          <w:rFonts w:ascii="Arial" w:hAnsi="Arial" w:cs="Arial"/>
        </w:rPr>
      </w:pPr>
    </w:p>
    <w:p w14:paraId="7D9F0778" w14:textId="77777777" w:rsidR="003C615A" w:rsidRPr="003C615A" w:rsidRDefault="003C615A" w:rsidP="003C615A">
      <w:pPr>
        <w:rPr>
          <w:rFonts w:ascii="Times New Roman" w:eastAsia="Calibri" w:hAnsi="Times New Roman"/>
          <w:b/>
          <w:sz w:val="22"/>
          <w:szCs w:val="22"/>
        </w:rPr>
      </w:pPr>
      <w:r w:rsidRPr="003C615A">
        <w:rPr>
          <w:rFonts w:ascii="Times New Roman" w:eastAsia="Calibri" w:hAnsi="Times New Roman"/>
          <w:b/>
          <w:sz w:val="22"/>
          <w:szCs w:val="22"/>
        </w:rPr>
        <w:t>Declaration of AI Use</w:t>
      </w:r>
    </w:p>
    <w:p w14:paraId="58EE8BBD" w14:textId="77777777" w:rsidR="003C615A" w:rsidRPr="003C615A" w:rsidRDefault="003C615A" w:rsidP="003C615A">
      <w:pPr>
        <w:rPr>
          <w:rFonts w:ascii="Times New Roman" w:eastAsia="Calibri" w:hAnsi="Times New Roman"/>
          <w:sz w:val="22"/>
          <w:szCs w:val="22"/>
        </w:rPr>
      </w:pPr>
    </w:p>
    <w:p w14:paraId="5273C952" w14:textId="77777777" w:rsidR="003C615A" w:rsidRPr="003C615A" w:rsidRDefault="003C615A" w:rsidP="003C615A">
      <w:pPr>
        <w:jc w:val="both"/>
        <w:rPr>
          <w:rFonts w:ascii="Times New Roman" w:eastAsia="Calibri" w:hAnsi="Times New Roman"/>
          <w:sz w:val="22"/>
          <w:szCs w:val="22"/>
        </w:rPr>
      </w:pPr>
      <w:r w:rsidRPr="003C615A">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FF2BB3" w14:textId="77777777" w:rsidR="003C615A" w:rsidRPr="003C615A" w:rsidRDefault="003C615A" w:rsidP="003C615A">
      <w:pPr>
        <w:jc w:val="both"/>
        <w:rPr>
          <w:rFonts w:ascii="Times New Roman" w:eastAsia="Calibri" w:hAnsi="Times New Roman"/>
          <w:sz w:val="22"/>
          <w:szCs w:val="22"/>
        </w:rPr>
      </w:pPr>
    </w:p>
    <w:p w14:paraId="5E3C54DB" w14:textId="77777777" w:rsidR="003C615A" w:rsidRPr="003C615A" w:rsidRDefault="003C615A" w:rsidP="003C615A">
      <w:pPr>
        <w:jc w:val="both"/>
        <w:rPr>
          <w:rFonts w:ascii="Times New Roman" w:eastAsia="Calibri" w:hAnsi="Times New Roman"/>
          <w:sz w:val="22"/>
          <w:szCs w:val="22"/>
        </w:rPr>
      </w:pPr>
    </w:p>
    <w:p w14:paraId="4B9045CD" w14:textId="77777777" w:rsidR="003C615A" w:rsidRPr="003C615A" w:rsidRDefault="003C615A" w:rsidP="003C615A">
      <w:pPr>
        <w:spacing w:after="200" w:line="276" w:lineRule="auto"/>
        <w:rPr>
          <w:rFonts w:ascii="Cambria" w:hAnsi="Cambria" w:cs="Arial"/>
          <w:b/>
          <w:bCs/>
          <w:sz w:val="22"/>
          <w:szCs w:val="22"/>
          <w:lang w:val="en-GB" w:eastAsia="en-GB"/>
        </w:rPr>
      </w:pPr>
      <w:r w:rsidRPr="003C615A">
        <w:rPr>
          <w:rFonts w:ascii="Cambria" w:hAnsi="Cambria" w:cs="Arial"/>
          <w:b/>
          <w:bCs/>
          <w:sz w:val="22"/>
          <w:szCs w:val="22"/>
          <w:lang w:val="en-GB" w:eastAsia="en-GB"/>
        </w:rPr>
        <w:t>COMPETING INTERESTS DISCLAIMER:</w:t>
      </w:r>
    </w:p>
    <w:p w14:paraId="78D2A70E" w14:textId="77777777" w:rsidR="003C615A" w:rsidRPr="003C615A" w:rsidRDefault="003C615A" w:rsidP="003C615A">
      <w:pPr>
        <w:spacing w:after="200" w:line="276" w:lineRule="auto"/>
        <w:rPr>
          <w:rFonts w:ascii="Cambria" w:hAnsi="Cambria"/>
          <w:sz w:val="22"/>
          <w:szCs w:val="22"/>
          <w:lang w:val="en-GB" w:eastAsia="en-GB"/>
        </w:rPr>
      </w:pPr>
      <w:r w:rsidRPr="003C615A">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7C0188DE" w14:textId="77777777" w:rsidR="003C615A" w:rsidRDefault="003C615A">
      <w:pPr>
        <w:pStyle w:val="ReferHead"/>
        <w:spacing w:after="0"/>
        <w:jc w:val="both"/>
        <w:rPr>
          <w:rFonts w:ascii="Arial" w:hAnsi="Arial" w:cs="Arial"/>
        </w:rPr>
      </w:pPr>
    </w:p>
    <w:p w14:paraId="1B0A5105" w14:textId="77777777" w:rsidR="00863806" w:rsidRDefault="00000000">
      <w:pPr>
        <w:pStyle w:val="ReferHead"/>
        <w:spacing w:after="0"/>
        <w:jc w:val="both"/>
        <w:rPr>
          <w:rFonts w:ascii="Arial" w:hAnsi="Arial" w:cs="Arial"/>
        </w:rPr>
      </w:pPr>
      <w:r>
        <w:rPr>
          <w:rFonts w:ascii="Arial" w:hAnsi="Arial" w:cs="Arial"/>
        </w:rPr>
        <w:t>References</w:t>
      </w:r>
    </w:p>
    <w:p w14:paraId="75D2F5B8" w14:textId="77777777" w:rsidR="00863806" w:rsidRDefault="00863806">
      <w:pPr>
        <w:pBdr>
          <w:top w:val="nil"/>
          <w:left w:val="nil"/>
          <w:bottom w:val="nil"/>
          <w:right w:val="nil"/>
          <w:between w:val="nil"/>
        </w:pBdr>
        <w:rPr>
          <w:b/>
        </w:rPr>
      </w:pPr>
    </w:p>
    <w:p w14:paraId="392989EE"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Abdel-Tawwab, M., Ahmad, M. H., Abdel-Hadi, Y. M., &amp; Seden, M. E. A. (2008). Use of </w:t>
      </w:r>
      <w:r>
        <w:rPr>
          <w:rFonts w:ascii="Arial" w:eastAsia="Arial" w:hAnsi="Arial" w:cs="Arial"/>
          <w:i/>
        </w:rPr>
        <w:t>Spirulina</w:t>
      </w:r>
      <w:r>
        <w:rPr>
          <w:rFonts w:ascii="Arial" w:eastAsia="Arial" w:hAnsi="Arial" w:cs="Arial"/>
        </w:rPr>
        <w:t xml:space="preserve"> (</w:t>
      </w:r>
      <w:r>
        <w:rPr>
          <w:rFonts w:ascii="Arial" w:eastAsia="Arial" w:hAnsi="Arial" w:cs="Arial"/>
          <w:i/>
        </w:rPr>
        <w:t>Arthrospira platensis</w:t>
      </w:r>
      <w:r>
        <w:rPr>
          <w:rFonts w:ascii="Arial" w:eastAsia="Arial" w:hAnsi="Arial" w:cs="Arial"/>
        </w:rPr>
        <w:t>) as a growth and immunity promoter for Nile tilapia (</w:t>
      </w:r>
      <w:r>
        <w:rPr>
          <w:rFonts w:ascii="Arial" w:eastAsia="Arial" w:hAnsi="Arial" w:cs="Arial"/>
          <w:i/>
        </w:rPr>
        <w:t>Oreochromis niloticus</w:t>
      </w:r>
      <w:r>
        <w:rPr>
          <w:rFonts w:ascii="Arial" w:eastAsia="Arial" w:hAnsi="Arial" w:cs="Arial"/>
        </w:rPr>
        <w:t xml:space="preserve">) fry challenged with pathogenic </w:t>
      </w:r>
      <w:r>
        <w:rPr>
          <w:rFonts w:ascii="Arial" w:eastAsia="Arial" w:hAnsi="Arial" w:cs="Arial"/>
          <w:i/>
        </w:rPr>
        <w:t>Aeromonas hydrophila</w:t>
      </w:r>
      <w:r>
        <w:rPr>
          <w:rFonts w:ascii="Arial" w:eastAsia="Arial" w:hAnsi="Arial" w:cs="Arial"/>
        </w:rPr>
        <w:t xml:space="preserve">. </w:t>
      </w:r>
      <w:r>
        <w:rPr>
          <w:rFonts w:ascii="Arial" w:eastAsia="Arial" w:hAnsi="Arial" w:cs="Arial"/>
          <w:i/>
        </w:rPr>
        <w:t>Proceedings of the 8th International Symposium on Tilapia in Aquaculture</w:t>
      </w:r>
      <w:r>
        <w:rPr>
          <w:rFonts w:ascii="Arial" w:eastAsia="Arial" w:hAnsi="Arial" w:cs="Arial"/>
        </w:rPr>
        <w:t>.</w:t>
      </w:r>
    </w:p>
    <w:p w14:paraId="099D537E" w14:textId="77777777" w:rsidR="00863806" w:rsidRDefault="00000000">
      <w:pPr>
        <w:pBdr>
          <w:top w:val="nil"/>
          <w:left w:val="nil"/>
          <w:bottom w:val="nil"/>
          <w:right w:val="nil"/>
          <w:between w:val="nil"/>
        </w:pBdr>
        <w:ind w:left="567" w:hanging="567"/>
        <w:jc w:val="both"/>
        <w:rPr>
          <w:rFonts w:ascii="Arial" w:eastAsia="Arial" w:hAnsi="Arial" w:cs="Arial"/>
        </w:rPr>
      </w:pPr>
      <w:r w:rsidRPr="003E3C6A">
        <w:rPr>
          <w:rFonts w:ascii="Arial" w:eastAsia="Arial" w:hAnsi="Arial" w:cs="Arial"/>
          <w:lang w:val="pl-PL"/>
        </w:rPr>
        <w:t xml:space="preserve">Abdel-Tawwab, M., Samir, F., Abd El-Naby, A. S., &amp; Monier, M. N. (2018). </w:t>
      </w:r>
      <w:r>
        <w:rPr>
          <w:rFonts w:ascii="Arial" w:eastAsia="Arial" w:hAnsi="Arial" w:cs="Arial"/>
        </w:rPr>
        <w:t>Antioxidative and immunostimulatory effects of dietary cinnamon nanoparticles on the performance of Nile tilapia (</w:t>
      </w:r>
      <w:r>
        <w:rPr>
          <w:rFonts w:ascii="Arial" w:eastAsia="Arial" w:hAnsi="Arial" w:cs="Arial"/>
          <w:i/>
        </w:rPr>
        <w:t>Oreochromis niloticus</w:t>
      </w:r>
      <w:r>
        <w:rPr>
          <w:rFonts w:ascii="Arial" w:eastAsia="Arial" w:hAnsi="Arial" w:cs="Arial"/>
        </w:rPr>
        <w:t xml:space="preserve">) and its susceptibility to hypoxia stress and </w:t>
      </w:r>
      <w:r>
        <w:rPr>
          <w:rFonts w:ascii="Arial" w:eastAsia="Arial" w:hAnsi="Arial" w:cs="Arial"/>
          <w:i/>
        </w:rPr>
        <w:t>Aeromonas hydrophila</w:t>
      </w:r>
      <w:r>
        <w:rPr>
          <w:rFonts w:ascii="Arial" w:eastAsia="Arial" w:hAnsi="Arial" w:cs="Arial"/>
        </w:rPr>
        <w:t xml:space="preserve"> infection. </w:t>
      </w:r>
      <w:r>
        <w:rPr>
          <w:rFonts w:ascii="Arial" w:eastAsia="Arial" w:hAnsi="Arial" w:cs="Arial"/>
          <w:i/>
        </w:rPr>
        <w:t>Fish &amp; Shellfish Immunology, 74</w:t>
      </w:r>
      <w:r>
        <w:rPr>
          <w:rFonts w:ascii="Arial" w:eastAsia="Arial" w:hAnsi="Arial" w:cs="Arial"/>
        </w:rPr>
        <w:t>, 19–25.</w:t>
      </w:r>
    </w:p>
    <w:p w14:paraId="7398CF0E"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Abreu, J. S., Marzocchi-Machado, C. M., Urbaczek, A. C., Fonseca, L. M., &amp; Urbinati, E. C. (2009). Leukocyte respiratory burst and lysozyme levels in pacu (</w:t>
      </w:r>
      <w:r>
        <w:rPr>
          <w:rFonts w:ascii="Arial" w:eastAsia="Arial" w:hAnsi="Arial" w:cs="Arial"/>
          <w:i/>
        </w:rPr>
        <w:t>Piaractus mesopotamicus</w:t>
      </w:r>
      <w:r>
        <w:rPr>
          <w:rFonts w:ascii="Arial" w:eastAsia="Arial" w:hAnsi="Arial" w:cs="Arial"/>
        </w:rPr>
        <w:t xml:space="preserve">). </w:t>
      </w:r>
      <w:r>
        <w:rPr>
          <w:rFonts w:ascii="Arial" w:eastAsia="Arial" w:hAnsi="Arial" w:cs="Arial"/>
          <w:i/>
        </w:rPr>
        <w:t>Brazilian Journal of Biology, 69</w:t>
      </w:r>
      <w:r>
        <w:rPr>
          <w:rFonts w:ascii="Arial" w:eastAsia="Arial" w:hAnsi="Arial" w:cs="Arial"/>
        </w:rPr>
        <w:t>(4), 1133–1139.</w:t>
      </w:r>
    </w:p>
    <w:p w14:paraId="484C347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Adel, M., Amiri, A. A., Zorriehzahra, J., Nematolahi, A., &amp; Esteban, M. Á. (2015). Effects of dietary peppermint (</w:t>
      </w:r>
      <w:r>
        <w:rPr>
          <w:rFonts w:ascii="Arial" w:eastAsia="Arial" w:hAnsi="Arial" w:cs="Arial"/>
          <w:i/>
        </w:rPr>
        <w:t>Mentha piperita</w:t>
      </w:r>
      <w:r>
        <w:rPr>
          <w:rFonts w:ascii="Arial" w:eastAsia="Arial" w:hAnsi="Arial" w:cs="Arial"/>
        </w:rPr>
        <w:t>) on growth performance, body composition, hematological, and immune parameters of Caspian white fish (</w:t>
      </w:r>
      <w:r>
        <w:rPr>
          <w:rFonts w:ascii="Arial" w:eastAsia="Arial" w:hAnsi="Arial" w:cs="Arial"/>
          <w:i/>
        </w:rPr>
        <w:t>Rutilus frisii kutum</w:t>
      </w:r>
      <w:r>
        <w:rPr>
          <w:rFonts w:ascii="Arial" w:eastAsia="Arial" w:hAnsi="Arial" w:cs="Arial"/>
        </w:rPr>
        <w:t xml:space="preserve">) fry. </w:t>
      </w:r>
      <w:r>
        <w:rPr>
          <w:rFonts w:ascii="Arial" w:eastAsia="Arial" w:hAnsi="Arial" w:cs="Arial"/>
          <w:i/>
        </w:rPr>
        <w:t>Fish &amp; Shellfish Immunology, 45</w:t>
      </w:r>
      <w:r>
        <w:rPr>
          <w:rFonts w:ascii="Arial" w:eastAsia="Arial" w:hAnsi="Arial" w:cs="Arial"/>
        </w:rPr>
        <w:t>(2), 841–847.</w:t>
      </w:r>
    </w:p>
    <w:p w14:paraId="2E856DC2"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Aly, S. M., Albutti, A. S., Rahmani, A. H., &amp; Abdel, N. M. (2015). The response of new-season Nile tilapia to </w:t>
      </w:r>
      <w:r>
        <w:rPr>
          <w:rFonts w:ascii="Arial" w:eastAsia="Arial" w:hAnsi="Arial" w:cs="Arial"/>
          <w:i/>
        </w:rPr>
        <w:t>Aeromonas hydrophila</w:t>
      </w:r>
      <w:r>
        <w:rPr>
          <w:rFonts w:ascii="Arial" w:eastAsia="Arial" w:hAnsi="Arial" w:cs="Arial"/>
        </w:rPr>
        <w:t xml:space="preserve"> vaccine. </w:t>
      </w:r>
      <w:r>
        <w:rPr>
          <w:rFonts w:ascii="Arial" w:eastAsia="Arial" w:hAnsi="Arial" w:cs="Arial"/>
          <w:i/>
        </w:rPr>
        <w:t>International Journal of Clinical and Experimental Medicine, 8</w:t>
      </w:r>
      <w:r>
        <w:rPr>
          <w:rFonts w:ascii="Arial" w:eastAsia="Arial" w:hAnsi="Arial" w:cs="Arial"/>
        </w:rPr>
        <w:t>(3), 4508–4514.</w:t>
      </w:r>
    </w:p>
    <w:p w14:paraId="4FD06B9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lastRenderedPageBreak/>
        <w:t>Aly, S. M., ElBanna, N. I., Elatta, M. A., Hegazy, M., &amp; Fathi, M. (2024). Effects of natural and synthetic immunostimulants on growth, feed utilization, immune status, and disease resistance against vibriosis in sea bream (</w:t>
      </w:r>
      <w:r>
        <w:rPr>
          <w:rFonts w:ascii="Arial" w:eastAsia="Arial" w:hAnsi="Arial" w:cs="Arial"/>
          <w:i/>
        </w:rPr>
        <w:t>Sparus aurata</w:t>
      </w:r>
      <w:r>
        <w:rPr>
          <w:rFonts w:ascii="Arial" w:eastAsia="Arial" w:hAnsi="Arial" w:cs="Arial"/>
        </w:rPr>
        <w:t xml:space="preserve">). </w:t>
      </w:r>
      <w:r>
        <w:rPr>
          <w:rFonts w:ascii="Arial" w:eastAsia="Arial" w:hAnsi="Arial" w:cs="Arial"/>
          <w:i/>
        </w:rPr>
        <w:t>Aquaculture International, 32</w:t>
      </w:r>
      <w:r>
        <w:rPr>
          <w:rFonts w:ascii="Arial" w:eastAsia="Arial" w:hAnsi="Arial" w:cs="Arial"/>
        </w:rPr>
        <w:t>, 2739–2756.</w:t>
      </w:r>
    </w:p>
    <w:p w14:paraId="09BD527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Anderson, D. P., &amp; Siwicki, A. K. (1995). Basic haematology and serology for fish health programs. In M. Shariff, J. R. Arthur, &amp; R. P. Subasinghe (Eds.), </w:t>
      </w:r>
      <w:r>
        <w:rPr>
          <w:rFonts w:ascii="Arial" w:eastAsia="Arial" w:hAnsi="Arial" w:cs="Arial"/>
          <w:i/>
        </w:rPr>
        <w:t>Diseases in Asian Aquaculture II</w:t>
      </w:r>
      <w:r>
        <w:rPr>
          <w:rFonts w:ascii="Arial" w:eastAsia="Arial" w:hAnsi="Arial" w:cs="Arial"/>
        </w:rPr>
        <w:t xml:space="preserve"> (pp. 185–202). Asian Fisheries Society.</w:t>
      </w:r>
    </w:p>
    <w:p w14:paraId="3F1125F9"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Anderson, D. P., Moritomo, T., &amp; de Grooth, R. (1992). Neutrophil glass-adherent nitroblue tetrazolium assay gives an early indication of immunization effectiveness in rainbow trout. </w:t>
      </w:r>
      <w:r>
        <w:rPr>
          <w:rFonts w:ascii="Arial" w:eastAsia="Arial" w:hAnsi="Arial" w:cs="Arial"/>
          <w:i/>
        </w:rPr>
        <w:t>Veterinary Immunology and Immunopathology, 30</w:t>
      </w:r>
      <w:r>
        <w:rPr>
          <w:rFonts w:ascii="Arial" w:eastAsia="Arial" w:hAnsi="Arial" w:cs="Arial"/>
        </w:rPr>
        <w:t>(4), 419–429.</w:t>
      </w:r>
    </w:p>
    <w:p w14:paraId="0FEAA8A3"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Baehner, R. L. (1975). Subcellular distribution of nitroblue tetrazolium reductase (NBT-R) in human polymorphonuclear leukocytes. </w:t>
      </w:r>
      <w:r>
        <w:rPr>
          <w:rFonts w:ascii="Arial" w:eastAsia="Arial" w:hAnsi="Arial" w:cs="Arial"/>
          <w:i/>
        </w:rPr>
        <w:t>Journal of Laboratory and Clinical Medicine, 86</w:t>
      </w:r>
      <w:r>
        <w:rPr>
          <w:rFonts w:ascii="Arial" w:eastAsia="Arial" w:hAnsi="Arial" w:cs="Arial"/>
        </w:rPr>
        <w:t>(5), 785–792.</w:t>
      </w:r>
    </w:p>
    <w:p w14:paraId="38542D43"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Balfry, S. K., &amp; Iwama, G. K. (2004). Observations on the inherent variability of measuring lysozyme activity in coho salmon (</w:t>
      </w:r>
      <w:r>
        <w:rPr>
          <w:rFonts w:ascii="Arial" w:eastAsia="Arial" w:hAnsi="Arial" w:cs="Arial"/>
          <w:i/>
        </w:rPr>
        <w:t>Oncorhynchus kisutch</w:t>
      </w:r>
      <w:r>
        <w:rPr>
          <w:rFonts w:ascii="Arial" w:eastAsia="Arial" w:hAnsi="Arial" w:cs="Arial"/>
        </w:rPr>
        <w:t xml:space="preserve">). </w:t>
      </w:r>
      <w:r>
        <w:rPr>
          <w:rFonts w:ascii="Arial" w:eastAsia="Arial" w:hAnsi="Arial" w:cs="Arial"/>
          <w:i/>
        </w:rPr>
        <w:t>Comparative Biochemistry and Physiology Part B: Biochemistry and Molecular Biology, 138</w:t>
      </w:r>
      <w:r>
        <w:rPr>
          <w:rFonts w:ascii="Arial" w:eastAsia="Arial" w:hAnsi="Arial" w:cs="Arial"/>
        </w:rPr>
        <w:t>(2), 207–211.</w:t>
      </w:r>
    </w:p>
    <w:p w14:paraId="10593816"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Berridge, M. V., Herst, P. M., &amp; Tan, A. S. (2005). Tetrazolium dyes as tools in cell biology: New insights into their cellular reduction. </w:t>
      </w:r>
      <w:r>
        <w:rPr>
          <w:rFonts w:ascii="Arial" w:eastAsia="Arial" w:hAnsi="Arial" w:cs="Arial"/>
          <w:i/>
        </w:rPr>
        <w:t>Biotechnology Annual Review, 11</w:t>
      </w:r>
      <w:r>
        <w:rPr>
          <w:rFonts w:ascii="Arial" w:eastAsia="Arial" w:hAnsi="Arial" w:cs="Arial"/>
        </w:rPr>
        <w:t>, 127–152.</w:t>
      </w:r>
    </w:p>
    <w:p w14:paraId="49C9682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Bilen, S., Bulut, M., &amp; Bilen, A. M. (2011). Immunostimulant effects of </w:t>
      </w:r>
      <w:r>
        <w:rPr>
          <w:rFonts w:ascii="Arial" w:eastAsia="Arial" w:hAnsi="Arial" w:cs="Arial"/>
          <w:i/>
        </w:rPr>
        <w:t>Cotinus coggygria</w:t>
      </w:r>
      <w:r>
        <w:rPr>
          <w:rFonts w:ascii="Arial" w:eastAsia="Arial" w:hAnsi="Arial" w:cs="Arial"/>
        </w:rPr>
        <w:t xml:space="preserve"> on rainbow trout (</w:t>
      </w:r>
      <w:r>
        <w:rPr>
          <w:rFonts w:ascii="Arial" w:eastAsia="Arial" w:hAnsi="Arial" w:cs="Arial"/>
          <w:i/>
        </w:rPr>
        <w:t>Oncorhynchus mykiss</w:t>
      </w:r>
      <w:r>
        <w:rPr>
          <w:rFonts w:ascii="Arial" w:eastAsia="Arial" w:hAnsi="Arial" w:cs="Arial"/>
        </w:rPr>
        <w:t xml:space="preserve">). </w:t>
      </w:r>
      <w:r>
        <w:rPr>
          <w:rFonts w:ascii="Arial" w:eastAsia="Arial" w:hAnsi="Arial" w:cs="Arial"/>
          <w:i/>
        </w:rPr>
        <w:t>Fish &amp; Shellfish Immunology, 30</w:t>
      </w:r>
      <w:r>
        <w:rPr>
          <w:rFonts w:ascii="Arial" w:eastAsia="Arial" w:hAnsi="Arial" w:cs="Arial"/>
        </w:rPr>
        <w:t>(2), 451–455.</w:t>
      </w:r>
    </w:p>
    <w:p w14:paraId="4EAE6B6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Bilen, S., Yılmaz, S., &amp; Bilen, A. M. (2013). Influence of </w:t>
      </w:r>
      <w:r>
        <w:rPr>
          <w:rFonts w:ascii="Arial" w:eastAsia="Arial" w:hAnsi="Arial" w:cs="Arial"/>
          <w:i/>
        </w:rPr>
        <w:t>Cotinus coggygria</w:t>
      </w:r>
      <w:r>
        <w:rPr>
          <w:rFonts w:ascii="Arial" w:eastAsia="Arial" w:hAnsi="Arial" w:cs="Arial"/>
        </w:rPr>
        <w:t xml:space="preserve"> extract against </w:t>
      </w:r>
      <w:r>
        <w:rPr>
          <w:rFonts w:ascii="Arial" w:eastAsia="Arial" w:hAnsi="Arial" w:cs="Arial"/>
          <w:i/>
        </w:rPr>
        <w:t>Vibrio anguillarum</w:t>
      </w:r>
      <w:r>
        <w:rPr>
          <w:rFonts w:ascii="Arial" w:eastAsia="Arial" w:hAnsi="Arial" w:cs="Arial"/>
        </w:rPr>
        <w:t xml:space="preserve"> infection in koi carp (</w:t>
      </w:r>
      <w:r>
        <w:rPr>
          <w:rFonts w:ascii="Arial" w:eastAsia="Arial" w:hAnsi="Arial" w:cs="Arial"/>
          <w:i/>
        </w:rPr>
        <w:t>Cyprinus carpio</w:t>
      </w:r>
      <w:r>
        <w:rPr>
          <w:rFonts w:ascii="Arial" w:eastAsia="Arial" w:hAnsi="Arial" w:cs="Arial"/>
        </w:rPr>
        <w:t xml:space="preserve">) with reference to hematological and immunological changes. </w:t>
      </w:r>
      <w:r>
        <w:rPr>
          <w:rFonts w:ascii="Arial" w:eastAsia="Arial" w:hAnsi="Arial" w:cs="Arial"/>
          <w:i/>
        </w:rPr>
        <w:t>Turkish Journal of Fisheries and Aquatic Sciences, 13</w:t>
      </w:r>
      <w:r>
        <w:rPr>
          <w:rFonts w:ascii="Arial" w:eastAsia="Arial" w:hAnsi="Arial" w:cs="Arial"/>
        </w:rPr>
        <w:t>, 517–522.</w:t>
      </w:r>
    </w:p>
    <w:p w14:paraId="145C0FB7"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Biller-Takahashi, J. D., Takahashi, L. S., Saita, M. V., Gimbo, R. Y., &amp; Urbinati, E. C. (2013). Leukocyte respiratory burst activity as an indicator of innate immunity in pacu (</w:t>
      </w:r>
      <w:r>
        <w:rPr>
          <w:rFonts w:ascii="Arial" w:eastAsia="Arial" w:hAnsi="Arial" w:cs="Arial"/>
          <w:i/>
        </w:rPr>
        <w:t>Piaractus mesopotamicus</w:t>
      </w:r>
      <w:r>
        <w:rPr>
          <w:rFonts w:ascii="Arial" w:eastAsia="Arial" w:hAnsi="Arial" w:cs="Arial"/>
        </w:rPr>
        <w:t xml:space="preserve">). </w:t>
      </w:r>
      <w:r>
        <w:rPr>
          <w:rFonts w:ascii="Arial" w:eastAsia="Arial" w:hAnsi="Arial" w:cs="Arial"/>
          <w:i/>
        </w:rPr>
        <w:t>Brazilian Journal of Biology, 73</w:t>
      </w:r>
      <w:r>
        <w:rPr>
          <w:rFonts w:ascii="Arial" w:eastAsia="Arial" w:hAnsi="Arial" w:cs="Arial"/>
        </w:rPr>
        <w:t>(2), 425–429.</w:t>
      </w:r>
    </w:p>
    <w:p w14:paraId="2AD38E2A"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Briggs, R. T., Drath, D. B., Karnovsky, M. L., &amp; Karnovsky, M. J. (1975). Localization of NADH oxidase on the surface of human polymorphonuclear leukocytes by a new cytochemical method. </w:t>
      </w:r>
      <w:r>
        <w:rPr>
          <w:rFonts w:ascii="Arial" w:eastAsia="Arial" w:hAnsi="Arial" w:cs="Arial"/>
          <w:i/>
        </w:rPr>
        <w:t>Journal of Cell Biology, 67</w:t>
      </w:r>
      <w:r>
        <w:rPr>
          <w:rFonts w:ascii="Arial" w:eastAsia="Arial" w:hAnsi="Arial" w:cs="Arial"/>
        </w:rPr>
        <w:t>(3), 566–586.</w:t>
      </w:r>
    </w:p>
    <w:p w14:paraId="11019AF5"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Brudeseth, B. E., Wiulsrød, R., Fredriksen, B. N., Lindmo, K., Løkling, K. E., Bordevik, M., Steine, N., Klevan, A., &amp; Gravningen, K. (2013). Status and future perspectives of vaccines for industrialized finfish farming. </w:t>
      </w:r>
      <w:r>
        <w:rPr>
          <w:rFonts w:ascii="Arial" w:eastAsia="Arial" w:hAnsi="Arial" w:cs="Arial"/>
          <w:i/>
        </w:rPr>
        <w:t>Fish &amp; Shellfish Immunology, 35</w:t>
      </w:r>
      <w:r>
        <w:rPr>
          <w:rFonts w:ascii="Arial" w:eastAsia="Arial" w:hAnsi="Arial" w:cs="Arial"/>
        </w:rPr>
        <w:t>(6), 1759–1768.</w:t>
      </w:r>
    </w:p>
    <w:p w14:paraId="05A2573D"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Caipang, C. M. A. (2015). Nutritional impacts on fish mucosa: Immunostimulants, prebiotics, and probiotics. In B. H. Beck &amp; E. Peatman (Eds.), </w:t>
      </w:r>
      <w:r>
        <w:rPr>
          <w:rFonts w:ascii="Arial" w:eastAsia="Arial" w:hAnsi="Arial" w:cs="Arial"/>
          <w:i/>
        </w:rPr>
        <w:t>Mucosal Health in Aquaculture</w:t>
      </w:r>
      <w:r>
        <w:rPr>
          <w:rFonts w:ascii="Arial" w:eastAsia="Arial" w:hAnsi="Arial" w:cs="Arial"/>
        </w:rPr>
        <w:t>. Academic Press.</w:t>
      </w:r>
    </w:p>
    <w:p w14:paraId="3FF97569"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Caruso, G. (2016). Antibiotic resistance in fish farming environments: A global concern. </w:t>
      </w:r>
      <w:r>
        <w:rPr>
          <w:rFonts w:ascii="Arial" w:eastAsia="Arial" w:hAnsi="Arial" w:cs="Arial"/>
          <w:i/>
        </w:rPr>
        <w:t>Journal of FisheriesSciences.com, 10</w:t>
      </w:r>
      <w:r>
        <w:rPr>
          <w:rFonts w:ascii="Arial" w:eastAsia="Arial" w:hAnsi="Arial" w:cs="Arial"/>
        </w:rPr>
        <w:t>(4), 9–13.</w:t>
      </w:r>
    </w:p>
    <w:p w14:paraId="601A041A" w14:textId="77777777" w:rsidR="00863806" w:rsidRDefault="00000000">
      <w:pPr>
        <w:pBdr>
          <w:top w:val="nil"/>
          <w:left w:val="nil"/>
          <w:bottom w:val="nil"/>
          <w:right w:val="nil"/>
          <w:between w:val="nil"/>
        </w:pBdr>
        <w:ind w:left="567" w:hanging="567"/>
        <w:jc w:val="both"/>
        <w:rPr>
          <w:rFonts w:ascii="Arial" w:eastAsia="Arial" w:hAnsi="Arial" w:cs="Arial"/>
        </w:rPr>
      </w:pPr>
      <w:r>
        <w:rPr>
          <w:rFonts w:ascii="Arial" w:eastAsia="Arial" w:hAnsi="Arial" w:cs="Arial"/>
        </w:rPr>
        <w:t xml:space="preserve">Chang-Fang, C., Mao-Sen, S., Houng-Young, C., &amp; Ichiu, L. (2003). Dietary β-glucan effectively improves immunity and survival of </w:t>
      </w:r>
      <w:r>
        <w:rPr>
          <w:rFonts w:ascii="Arial" w:eastAsia="Arial" w:hAnsi="Arial" w:cs="Arial"/>
          <w:i/>
        </w:rPr>
        <w:t>Penaeus monodon</w:t>
      </w:r>
      <w:r>
        <w:rPr>
          <w:rFonts w:ascii="Arial" w:eastAsia="Arial" w:hAnsi="Arial" w:cs="Arial"/>
        </w:rPr>
        <w:t xml:space="preserve"> challenged with white spot syndrome virus. </w:t>
      </w:r>
      <w:r>
        <w:rPr>
          <w:rFonts w:ascii="Arial" w:eastAsia="Arial" w:hAnsi="Arial" w:cs="Arial"/>
          <w:i/>
        </w:rPr>
        <w:t>Fish &amp; Shellfish Immunology, 15</w:t>
      </w:r>
      <w:r>
        <w:rPr>
          <w:rFonts w:ascii="Arial" w:eastAsia="Arial" w:hAnsi="Arial" w:cs="Arial"/>
        </w:rPr>
        <w:t>(4), 297–310.</w:t>
      </w:r>
    </w:p>
    <w:p w14:paraId="611C33CF"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Dalmo, R. A., Ingebrigtsen, K., &amp; Bøgwald, J. (1997). Nonspecific defence mechanisms in fish, with particular reference to the reticuloendothelial system (RES). </w:t>
      </w:r>
      <w:r>
        <w:rPr>
          <w:rFonts w:ascii="Arial" w:eastAsia="Arial" w:hAnsi="Arial" w:cs="Arial"/>
          <w:bCs/>
          <w:i/>
          <w:szCs w:val="28"/>
        </w:rPr>
        <w:t>Journal of Fish Diseases, 20</w:t>
      </w:r>
      <w:r>
        <w:rPr>
          <w:rFonts w:ascii="Arial" w:eastAsia="Arial" w:hAnsi="Arial" w:cs="Arial"/>
          <w:bCs/>
          <w:szCs w:val="28"/>
        </w:rPr>
        <w:t>(4), 241–273.</w:t>
      </w:r>
    </w:p>
    <w:p w14:paraId="11FC684A"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DeChatelet, L. R., Long, G. D., Shirley, P. S., Bass, D. A., Thomas, M. J., Henderson, F. W., &amp; Cohen, M. S. (1982). Mechanism of the luminol-dependent chemiluminescence of human neutrophils. </w:t>
      </w:r>
      <w:r>
        <w:rPr>
          <w:rFonts w:ascii="Arial" w:eastAsia="Arial" w:hAnsi="Arial" w:cs="Arial"/>
          <w:bCs/>
          <w:i/>
          <w:szCs w:val="28"/>
        </w:rPr>
        <w:t>Journal of Immunology, 129</w:t>
      </w:r>
      <w:r>
        <w:rPr>
          <w:rFonts w:ascii="Arial" w:eastAsia="Arial" w:hAnsi="Arial" w:cs="Arial"/>
          <w:bCs/>
          <w:szCs w:val="28"/>
        </w:rPr>
        <w:t>(4), 1589–1593.</w:t>
      </w:r>
    </w:p>
    <w:p w14:paraId="1B399B6D"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Dina Rairakhwada, A. K., Pal, A. K., Sahu, N. P., Jha, A., &amp; Mukherjee, S. C. (2007). Dietary microbial levan enhances cellular nonspecific immunity and survival of common carp (</w:t>
      </w:r>
      <w:r>
        <w:rPr>
          <w:rFonts w:ascii="Arial" w:eastAsia="Arial" w:hAnsi="Arial" w:cs="Arial"/>
          <w:bCs/>
          <w:i/>
          <w:szCs w:val="28"/>
        </w:rPr>
        <w:t>Cyprinus carpio</w:t>
      </w:r>
      <w:r>
        <w:rPr>
          <w:rFonts w:ascii="Arial" w:eastAsia="Arial" w:hAnsi="Arial" w:cs="Arial"/>
          <w:bCs/>
          <w:szCs w:val="28"/>
        </w:rPr>
        <w:t xml:space="preserve">) juveniles. </w:t>
      </w:r>
      <w:r>
        <w:rPr>
          <w:rFonts w:ascii="Arial" w:eastAsia="Arial" w:hAnsi="Arial" w:cs="Arial"/>
          <w:bCs/>
          <w:i/>
          <w:szCs w:val="28"/>
        </w:rPr>
        <w:t>Fish &amp; Shellfish Immunology, 22</w:t>
      </w:r>
      <w:r>
        <w:rPr>
          <w:rFonts w:ascii="Arial" w:eastAsia="Arial" w:hAnsi="Arial" w:cs="Arial"/>
          <w:bCs/>
          <w:szCs w:val="28"/>
        </w:rPr>
        <w:t>(5), 477–486.</w:t>
      </w:r>
    </w:p>
    <w:p w14:paraId="0C0C7573"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Doan, H. V., Hoseinifar, S. H., Jaturasitha, S., Dawood, M. A. O., &amp; Harikrishnan, R. (2020). The effects of berberine powder supplementation on growth performance, skin mucus </w:t>
      </w:r>
      <w:r>
        <w:rPr>
          <w:rFonts w:ascii="Arial" w:eastAsia="Arial" w:hAnsi="Arial" w:cs="Arial"/>
          <w:bCs/>
          <w:szCs w:val="28"/>
        </w:rPr>
        <w:lastRenderedPageBreak/>
        <w:t>immune response, serum immunity, and disease resistance of Nile tilapia (</w:t>
      </w:r>
      <w:r>
        <w:rPr>
          <w:rFonts w:ascii="Arial" w:eastAsia="Arial" w:hAnsi="Arial" w:cs="Arial"/>
          <w:bCs/>
          <w:i/>
          <w:szCs w:val="28"/>
        </w:rPr>
        <w:t>Oreochromis niloticus</w:t>
      </w:r>
      <w:r>
        <w:rPr>
          <w:rFonts w:ascii="Arial" w:eastAsia="Arial" w:hAnsi="Arial" w:cs="Arial"/>
          <w:bCs/>
          <w:szCs w:val="28"/>
        </w:rPr>
        <w:t xml:space="preserve">) fingerlings. </w:t>
      </w:r>
      <w:r>
        <w:rPr>
          <w:rFonts w:ascii="Arial" w:eastAsia="Arial" w:hAnsi="Arial" w:cs="Arial"/>
          <w:bCs/>
          <w:i/>
          <w:szCs w:val="28"/>
        </w:rPr>
        <w:t>Aquaculture, 520</w:t>
      </w:r>
      <w:r>
        <w:rPr>
          <w:rFonts w:ascii="Arial" w:eastAsia="Arial" w:hAnsi="Arial" w:cs="Arial"/>
          <w:bCs/>
          <w:szCs w:val="28"/>
        </w:rPr>
        <w:t>, Article 734927.</w:t>
      </w:r>
    </w:p>
    <w:p w14:paraId="55026FE1"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Dorucu, M., Ispir, U., Colak, S., Altinterim, B., &amp; Celayir, Y. (2009). The effect of black cumin seeds (</w:t>
      </w:r>
      <w:r>
        <w:rPr>
          <w:rFonts w:ascii="Arial" w:eastAsia="Arial" w:hAnsi="Arial" w:cs="Arial"/>
          <w:bCs/>
          <w:i/>
          <w:szCs w:val="28"/>
        </w:rPr>
        <w:t>Nigella sativa</w:t>
      </w:r>
      <w:r>
        <w:rPr>
          <w:rFonts w:ascii="Arial" w:eastAsia="Arial" w:hAnsi="Arial" w:cs="Arial"/>
          <w:bCs/>
          <w:szCs w:val="28"/>
        </w:rPr>
        <w:t>) on the immune response of rainbow trout (</w:t>
      </w:r>
      <w:r>
        <w:rPr>
          <w:rFonts w:ascii="Arial" w:eastAsia="Arial" w:hAnsi="Arial" w:cs="Arial"/>
          <w:bCs/>
          <w:i/>
          <w:szCs w:val="28"/>
        </w:rPr>
        <w:t>Oncorhynchus mykiss</w:t>
      </w:r>
      <w:r>
        <w:rPr>
          <w:rFonts w:ascii="Arial" w:eastAsia="Arial" w:hAnsi="Arial" w:cs="Arial"/>
          <w:bCs/>
          <w:szCs w:val="28"/>
        </w:rPr>
        <w:t xml:space="preserve">). </w:t>
      </w:r>
      <w:r>
        <w:rPr>
          <w:rFonts w:ascii="Arial" w:eastAsia="Arial" w:hAnsi="Arial" w:cs="Arial"/>
          <w:bCs/>
          <w:i/>
          <w:szCs w:val="28"/>
        </w:rPr>
        <w:t>Mediterranean Aquaculture Journal, 2</w:t>
      </w:r>
      <w:r>
        <w:rPr>
          <w:rFonts w:ascii="Arial" w:eastAsia="Arial" w:hAnsi="Arial" w:cs="Arial"/>
          <w:bCs/>
          <w:szCs w:val="28"/>
        </w:rPr>
        <w:t>, 27–33.</w:t>
      </w:r>
    </w:p>
    <w:p w14:paraId="598ADFEE"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Engstad, R. E., Robertsen, B., &amp; Frivold, E. (1992). Yeast glucan induces increases in lysozyme and complement-mediated haemolytic activity in Atlantic salmon blood. </w:t>
      </w:r>
      <w:r>
        <w:rPr>
          <w:rFonts w:ascii="Arial" w:eastAsia="Arial" w:hAnsi="Arial" w:cs="Arial"/>
          <w:bCs/>
          <w:i/>
          <w:szCs w:val="28"/>
        </w:rPr>
        <w:t>Fish &amp; Shellfish Immunology, 2</w:t>
      </w:r>
      <w:r>
        <w:rPr>
          <w:rFonts w:ascii="Arial" w:eastAsia="Arial" w:hAnsi="Arial" w:cs="Arial"/>
          <w:bCs/>
          <w:szCs w:val="28"/>
        </w:rPr>
        <w:t>(4), 287–297.</w:t>
      </w:r>
    </w:p>
    <w:p w14:paraId="3FBD9B75"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Evans, J. J., Klesius, P. H., Gilbert, P. M., Shoemaker, C. A., Al-Sarawi, M. A., Lansberg, J., Duremdez, R., Al-Marzouk, A., &amp; Al-Zenki, S. (2002). Characterization of β-hemolytic group B </w:t>
      </w:r>
      <w:r>
        <w:rPr>
          <w:rFonts w:ascii="Arial" w:eastAsia="Arial" w:hAnsi="Arial" w:cs="Arial"/>
          <w:bCs/>
          <w:i/>
          <w:szCs w:val="28"/>
        </w:rPr>
        <w:t>Streptococcus agalactiae</w:t>
      </w:r>
      <w:r>
        <w:rPr>
          <w:rFonts w:ascii="Arial" w:eastAsia="Arial" w:hAnsi="Arial" w:cs="Arial"/>
          <w:bCs/>
          <w:szCs w:val="28"/>
        </w:rPr>
        <w:t xml:space="preserve"> in cultured seabream (</w:t>
      </w:r>
      <w:r>
        <w:rPr>
          <w:rFonts w:ascii="Arial" w:eastAsia="Arial" w:hAnsi="Arial" w:cs="Arial"/>
          <w:bCs/>
          <w:i/>
          <w:szCs w:val="28"/>
        </w:rPr>
        <w:t>Sparus aurata</w:t>
      </w:r>
      <w:r>
        <w:rPr>
          <w:rFonts w:ascii="Arial" w:eastAsia="Arial" w:hAnsi="Arial" w:cs="Arial"/>
          <w:bCs/>
          <w:szCs w:val="28"/>
        </w:rPr>
        <w:t>) and mullet (</w:t>
      </w:r>
      <w:r>
        <w:rPr>
          <w:rFonts w:ascii="Arial" w:eastAsia="Arial" w:hAnsi="Arial" w:cs="Arial"/>
          <w:bCs/>
          <w:i/>
          <w:szCs w:val="28"/>
        </w:rPr>
        <w:t>Liza klunzingeri</w:t>
      </w:r>
      <w:r>
        <w:rPr>
          <w:rFonts w:ascii="Arial" w:eastAsia="Arial" w:hAnsi="Arial" w:cs="Arial"/>
          <w:bCs/>
          <w:szCs w:val="28"/>
        </w:rPr>
        <w:t xml:space="preserve">) in Kuwait. </w:t>
      </w:r>
      <w:r>
        <w:rPr>
          <w:rFonts w:ascii="Arial" w:eastAsia="Arial" w:hAnsi="Arial" w:cs="Arial"/>
          <w:bCs/>
          <w:i/>
          <w:szCs w:val="28"/>
        </w:rPr>
        <w:t>Journal of Fish Diseases, 25</w:t>
      </w:r>
      <w:r>
        <w:rPr>
          <w:rFonts w:ascii="Arial" w:eastAsia="Arial" w:hAnsi="Arial" w:cs="Arial"/>
          <w:bCs/>
          <w:szCs w:val="28"/>
        </w:rPr>
        <w:t>(9), 505–513.</w:t>
      </w:r>
    </w:p>
    <w:p w14:paraId="6801A3DB"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Fletcher, T. C. (1973). Defence mechanisms in fish. In D. C. Malins &amp; J. R. Sargent (Eds.), </w:t>
      </w:r>
      <w:r>
        <w:rPr>
          <w:rFonts w:ascii="Arial" w:eastAsia="Arial" w:hAnsi="Arial" w:cs="Arial"/>
          <w:bCs/>
          <w:i/>
          <w:szCs w:val="28"/>
        </w:rPr>
        <w:t>Biochemical and biophysical perspectives in marine biology</w:t>
      </w:r>
      <w:r>
        <w:rPr>
          <w:rFonts w:ascii="Arial" w:eastAsia="Arial" w:hAnsi="Arial" w:cs="Arial"/>
          <w:bCs/>
          <w:szCs w:val="28"/>
        </w:rPr>
        <w:t xml:space="preserve"> (pp. 189–222). Academic Press.</w:t>
      </w:r>
    </w:p>
    <w:p w14:paraId="21F7E5EC"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Foott, J. S., Harmon, R., &amp; Stone, R. (2004). Effect of water temperature on nonspecific immune function and ceratomyxosis in juvenile Chinook salmon and steelhead from the Klamath River. </w:t>
      </w:r>
      <w:r>
        <w:rPr>
          <w:rFonts w:ascii="Arial" w:eastAsia="Arial" w:hAnsi="Arial" w:cs="Arial"/>
          <w:bCs/>
          <w:i/>
          <w:szCs w:val="28"/>
        </w:rPr>
        <w:t>California Fish and Game, 90</w:t>
      </w:r>
      <w:r>
        <w:rPr>
          <w:rFonts w:ascii="Arial" w:eastAsia="Arial" w:hAnsi="Arial" w:cs="Arial"/>
          <w:bCs/>
          <w:szCs w:val="28"/>
        </w:rPr>
        <w:t>, 71–84.</w:t>
      </w:r>
    </w:p>
    <w:p w14:paraId="3E3C4EA6"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Fromtling, R. A., &amp; Abruzzo, G. K. (1985). Chemiluminescence as a tool for the evaluation of antimicrobial agents: A review. </w:t>
      </w:r>
      <w:r>
        <w:rPr>
          <w:rFonts w:ascii="Arial" w:eastAsia="Arial" w:hAnsi="Arial" w:cs="Arial"/>
          <w:bCs/>
          <w:i/>
          <w:szCs w:val="28"/>
        </w:rPr>
        <w:t>Methods and Findings in Experimental and Clinical Pharmacology, 7</w:t>
      </w:r>
      <w:r>
        <w:rPr>
          <w:rFonts w:ascii="Arial" w:eastAsia="Arial" w:hAnsi="Arial" w:cs="Arial"/>
          <w:bCs/>
          <w:szCs w:val="28"/>
        </w:rPr>
        <w:t>(8), 493–500.</w:t>
      </w:r>
    </w:p>
    <w:p w14:paraId="2AA20DD3"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Garcia, F., Pilarski, F., Onaka, E. M., Moraes, F. R., &amp; Martins, M. L. (2007). Hematology of </w:t>
      </w:r>
      <w:r>
        <w:rPr>
          <w:rFonts w:ascii="Arial" w:eastAsia="Arial" w:hAnsi="Arial" w:cs="Arial"/>
          <w:bCs/>
          <w:i/>
          <w:szCs w:val="28"/>
        </w:rPr>
        <w:t>Piaractus mesopotamicus</w:t>
      </w:r>
      <w:r>
        <w:rPr>
          <w:rFonts w:ascii="Arial" w:eastAsia="Arial" w:hAnsi="Arial" w:cs="Arial"/>
          <w:bCs/>
          <w:szCs w:val="28"/>
        </w:rPr>
        <w:t xml:space="preserve"> fed diets supplemented with vitamins C and E and challenged with </w:t>
      </w:r>
      <w:r>
        <w:rPr>
          <w:rFonts w:ascii="Arial" w:eastAsia="Arial" w:hAnsi="Arial" w:cs="Arial"/>
          <w:bCs/>
          <w:i/>
          <w:szCs w:val="28"/>
        </w:rPr>
        <w:t>Aeromonas hydrophila</w:t>
      </w:r>
      <w:r>
        <w:rPr>
          <w:rFonts w:ascii="Arial" w:eastAsia="Arial" w:hAnsi="Arial" w:cs="Arial"/>
          <w:bCs/>
          <w:szCs w:val="28"/>
        </w:rPr>
        <w:t xml:space="preserve">. </w:t>
      </w:r>
      <w:r>
        <w:rPr>
          <w:rFonts w:ascii="Arial" w:eastAsia="Arial" w:hAnsi="Arial" w:cs="Arial"/>
          <w:bCs/>
          <w:i/>
          <w:szCs w:val="28"/>
        </w:rPr>
        <w:t>Aquaculture, 271</w:t>
      </w:r>
      <w:r>
        <w:rPr>
          <w:rFonts w:ascii="Arial" w:eastAsia="Arial" w:hAnsi="Arial" w:cs="Arial"/>
          <w:bCs/>
          <w:szCs w:val="28"/>
        </w:rPr>
        <w:t>(1–4), 39–46.</w:t>
      </w:r>
    </w:p>
    <w:p w14:paraId="25F91120"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Gopalakannan, A., &amp; Venkatesan, A. (2006). Immunomodulatory effect of dietary intake of chitin, chitosan, and levamisole on the immune system of </w:t>
      </w:r>
      <w:r>
        <w:rPr>
          <w:rFonts w:ascii="Arial" w:eastAsia="Arial" w:hAnsi="Arial" w:cs="Arial"/>
          <w:bCs/>
          <w:i/>
          <w:szCs w:val="28"/>
        </w:rPr>
        <w:t>Cyprinus carpio</w:t>
      </w:r>
      <w:r>
        <w:rPr>
          <w:rFonts w:ascii="Arial" w:eastAsia="Arial" w:hAnsi="Arial" w:cs="Arial"/>
          <w:bCs/>
          <w:szCs w:val="28"/>
        </w:rPr>
        <w:t xml:space="preserve"> and control of </w:t>
      </w:r>
      <w:r>
        <w:rPr>
          <w:rFonts w:ascii="Arial" w:eastAsia="Arial" w:hAnsi="Arial" w:cs="Arial"/>
          <w:bCs/>
          <w:i/>
          <w:szCs w:val="28"/>
        </w:rPr>
        <w:t>Aeromonas hydrophila</w:t>
      </w:r>
      <w:r>
        <w:rPr>
          <w:rFonts w:ascii="Arial" w:eastAsia="Arial" w:hAnsi="Arial" w:cs="Arial"/>
          <w:bCs/>
          <w:szCs w:val="28"/>
        </w:rPr>
        <w:t xml:space="preserve"> infection. </w:t>
      </w:r>
      <w:r>
        <w:rPr>
          <w:rFonts w:ascii="Arial" w:eastAsia="Arial" w:hAnsi="Arial" w:cs="Arial"/>
          <w:bCs/>
          <w:i/>
          <w:szCs w:val="28"/>
        </w:rPr>
        <w:t>Aquaculture, 255</w:t>
      </w:r>
      <w:r>
        <w:rPr>
          <w:rFonts w:ascii="Arial" w:eastAsia="Arial" w:hAnsi="Arial" w:cs="Arial"/>
          <w:bCs/>
          <w:szCs w:val="28"/>
        </w:rPr>
        <w:t>(1–4), 179–187.</w:t>
      </w:r>
    </w:p>
    <w:p w14:paraId="5F12B850"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Hardie, L. J., Ellis, A. E., &amp; Secombes, C. J. (1996). </w:t>
      </w:r>
      <w:r>
        <w:rPr>
          <w:rFonts w:ascii="Arial" w:eastAsia="Arial" w:hAnsi="Arial" w:cs="Arial"/>
          <w:bCs/>
          <w:i/>
          <w:szCs w:val="28"/>
        </w:rPr>
        <w:t>In vitro</w:t>
      </w:r>
      <w:r>
        <w:rPr>
          <w:rFonts w:ascii="Arial" w:eastAsia="Arial" w:hAnsi="Arial" w:cs="Arial"/>
          <w:bCs/>
          <w:szCs w:val="28"/>
        </w:rPr>
        <w:t xml:space="preserve"> activation of rainbow trout macrophages stimulates inhibition of </w:t>
      </w:r>
      <w:r>
        <w:rPr>
          <w:rFonts w:ascii="Arial" w:eastAsia="Arial" w:hAnsi="Arial" w:cs="Arial"/>
          <w:bCs/>
          <w:i/>
          <w:szCs w:val="28"/>
        </w:rPr>
        <w:t>Renibacterium salmoninarum</w:t>
      </w:r>
      <w:r>
        <w:rPr>
          <w:rFonts w:ascii="Arial" w:eastAsia="Arial" w:hAnsi="Arial" w:cs="Arial"/>
          <w:bCs/>
          <w:szCs w:val="28"/>
        </w:rPr>
        <w:t xml:space="preserve"> growth concomitant with augmented generation of respiratory burst products. </w:t>
      </w:r>
      <w:r>
        <w:rPr>
          <w:rFonts w:ascii="Arial" w:eastAsia="Arial" w:hAnsi="Arial" w:cs="Arial"/>
          <w:bCs/>
          <w:i/>
          <w:szCs w:val="28"/>
        </w:rPr>
        <w:t>Diseases of Aquatic Organisms, 25</w:t>
      </w:r>
      <w:r>
        <w:rPr>
          <w:rFonts w:ascii="Arial" w:eastAsia="Arial" w:hAnsi="Arial" w:cs="Arial"/>
          <w:bCs/>
          <w:szCs w:val="28"/>
        </w:rPr>
        <w:t>, 175–183.</w:t>
      </w:r>
    </w:p>
    <w:p w14:paraId="6C35BE09"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Harikrishnan, R., Balasundaram, C., &amp; Heo, M. S. (2010a). Herbal supplementation diets enhance hematology and innate immunity in goldfish against </w:t>
      </w:r>
      <w:r>
        <w:rPr>
          <w:rFonts w:ascii="Arial" w:eastAsia="Arial" w:hAnsi="Arial" w:cs="Arial"/>
          <w:bCs/>
          <w:i/>
          <w:szCs w:val="28"/>
        </w:rPr>
        <w:t>Aeromonas hydrophila</w:t>
      </w:r>
      <w:r>
        <w:rPr>
          <w:rFonts w:ascii="Arial" w:eastAsia="Arial" w:hAnsi="Arial" w:cs="Arial"/>
          <w:bCs/>
          <w:szCs w:val="28"/>
        </w:rPr>
        <w:t xml:space="preserve">. </w:t>
      </w:r>
      <w:r>
        <w:rPr>
          <w:rFonts w:ascii="Arial" w:eastAsia="Arial" w:hAnsi="Arial" w:cs="Arial"/>
          <w:bCs/>
          <w:i/>
          <w:szCs w:val="28"/>
        </w:rPr>
        <w:t>Fish &amp; Shellfish Immunology, 28</w:t>
      </w:r>
      <w:r>
        <w:rPr>
          <w:rFonts w:ascii="Arial" w:eastAsia="Arial" w:hAnsi="Arial" w:cs="Arial"/>
          <w:bCs/>
          <w:szCs w:val="28"/>
        </w:rPr>
        <w:t>(2), 354–361.</w:t>
      </w:r>
    </w:p>
    <w:p w14:paraId="64C84B77"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Harikrishnan, R., Heo, J., Balasundaram, C., Kim, M. C., Kim, J. S., Han, Y. J., &amp; Heo, M. S. (2010b). Effect of traditional Korean medicinal triherbal extracts on the innate immune system and disease resistance of olive flounder (</w:t>
      </w:r>
      <w:r>
        <w:rPr>
          <w:rFonts w:ascii="Arial" w:eastAsia="Arial" w:hAnsi="Arial" w:cs="Arial"/>
          <w:bCs/>
          <w:i/>
          <w:szCs w:val="28"/>
        </w:rPr>
        <w:t>Paralichthys olivaceus</w:t>
      </w:r>
      <w:r>
        <w:rPr>
          <w:rFonts w:ascii="Arial" w:eastAsia="Arial" w:hAnsi="Arial" w:cs="Arial"/>
          <w:bCs/>
          <w:szCs w:val="28"/>
        </w:rPr>
        <w:t xml:space="preserve">) against </w:t>
      </w:r>
      <w:r>
        <w:rPr>
          <w:rFonts w:ascii="Arial" w:eastAsia="Arial" w:hAnsi="Arial" w:cs="Arial"/>
          <w:bCs/>
          <w:i/>
          <w:szCs w:val="28"/>
        </w:rPr>
        <w:t>Uronema marinum</w:t>
      </w:r>
      <w:r>
        <w:rPr>
          <w:rFonts w:ascii="Arial" w:eastAsia="Arial" w:hAnsi="Arial" w:cs="Arial"/>
          <w:bCs/>
          <w:szCs w:val="28"/>
        </w:rPr>
        <w:t xml:space="preserve">. </w:t>
      </w:r>
      <w:r>
        <w:rPr>
          <w:rFonts w:ascii="Arial" w:eastAsia="Arial" w:hAnsi="Arial" w:cs="Arial"/>
          <w:bCs/>
          <w:i/>
          <w:szCs w:val="28"/>
        </w:rPr>
        <w:t>Veterinary Parasitology, 170</w:t>
      </w:r>
      <w:r>
        <w:rPr>
          <w:rFonts w:ascii="Arial" w:eastAsia="Arial" w:hAnsi="Arial" w:cs="Arial"/>
          <w:bCs/>
          <w:szCs w:val="28"/>
        </w:rPr>
        <w:t>(1–2), 1–7.</w:t>
      </w:r>
    </w:p>
    <w:p w14:paraId="7303F928"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Hassan, A. A. M., Yacout, M. H., Khalel, M. S., Hafsa, S. H. A., Ibrahim, M. A. R., Mocuta, D. N., et al. (2018). Effects of some herbal plant supplements on growth performance and immune response in Nile tilapia (</w:t>
      </w:r>
      <w:r>
        <w:rPr>
          <w:rFonts w:ascii="Arial" w:eastAsia="Arial" w:hAnsi="Arial" w:cs="Arial"/>
          <w:bCs/>
          <w:i/>
          <w:szCs w:val="28"/>
        </w:rPr>
        <w:t>Oreochromis niloticus</w:t>
      </w:r>
      <w:r>
        <w:rPr>
          <w:rFonts w:ascii="Arial" w:eastAsia="Arial" w:hAnsi="Arial" w:cs="Arial"/>
          <w:bCs/>
          <w:szCs w:val="28"/>
        </w:rPr>
        <w:t xml:space="preserve">). </w:t>
      </w:r>
      <w:r>
        <w:rPr>
          <w:rFonts w:ascii="Arial" w:eastAsia="Arial" w:hAnsi="Arial" w:cs="Arial"/>
          <w:bCs/>
          <w:i/>
          <w:szCs w:val="28"/>
        </w:rPr>
        <w:t>Scientific Papers: Animal Science and Biotechnologies, 51</w:t>
      </w:r>
      <w:r>
        <w:rPr>
          <w:rFonts w:ascii="Arial" w:eastAsia="Arial" w:hAnsi="Arial" w:cs="Arial"/>
          <w:bCs/>
          <w:szCs w:val="28"/>
        </w:rPr>
        <w:t>(1), 134–141.</w:t>
      </w:r>
    </w:p>
    <w:p w14:paraId="7A7A6711" w14:textId="77777777" w:rsidR="00863806" w:rsidRDefault="00000000">
      <w:pPr>
        <w:pBdr>
          <w:top w:val="nil"/>
          <w:left w:val="nil"/>
          <w:bottom w:val="nil"/>
          <w:right w:val="nil"/>
          <w:between w:val="nil"/>
        </w:pBdr>
        <w:ind w:left="567" w:hanging="567"/>
        <w:jc w:val="both"/>
        <w:rPr>
          <w:rFonts w:ascii="Arial" w:eastAsia="Arial" w:hAnsi="Arial" w:cs="Arial"/>
          <w:bCs/>
          <w:szCs w:val="28"/>
        </w:rPr>
      </w:pPr>
      <w:r>
        <w:rPr>
          <w:rFonts w:ascii="Arial" w:eastAsia="Arial" w:hAnsi="Arial" w:cs="Arial"/>
          <w:bCs/>
          <w:szCs w:val="28"/>
        </w:rPr>
        <w:t xml:space="preserve">Holland, M. C. H., &amp; Lambris, J. D. (2002). The complement system in teleosts. </w:t>
      </w:r>
      <w:r>
        <w:rPr>
          <w:rFonts w:ascii="Arial" w:eastAsia="Arial" w:hAnsi="Arial" w:cs="Arial"/>
          <w:bCs/>
          <w:i/>
          <w:szCs w:val="28"/>
        </w:rPr>
        <w:t>Fish &amp; Shellfish Immunology, 12</w:t>
      </w:r>
      <w:r>
        <w:rPr>
          <w:rFonts w:ascii="Arial" w:eastAsia="Arial" w:hAnsi="Arial" w:cs="Arial"/>
          <w:bCs/>
          <w:szCs w:val="28"/>
        </w:rPr>
        <w:t>(5), 399–420.</w:t>
      </w:r>
    </w:p>
    <w:p w14:paraId="44D0FAFA"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Iregui, C. A., Comas, J., Vásquez, G. M., &amp; Verján, N. (2016). Experimental early pathogenesis of </w:t>
      </w:r>
      <w:r>
        <w:rPr>
          <w:rFonts w:ascii="Arial" w:eastAsia="Arial" w:hAnsi="Arial" w:cs="Arial"/>
          <w:bCs/>
          <w:i/>
          <w:szCs w:val="32"/>
        </w:rPr>
        <w:t>Streptococcus agalactiae</w:t>
      </w:r>
      <w:r>
        <w:rPr>
          <w:rFonts w:ascii="Arial" w:eastAsia="Arial" w:hAnsi="Arial" w:cs="Arial"/>
          <w:bCs/>
          <w:szCs w:val="32"/>
        </w:rPr>
        <w:t xml:space="preserve"> infection in red tilapia (</w:t>
      </w:r>
      <w:r>
        <w:rPr>
          <w:rFonts w:ascii="Arial" w:eastAsia="Arial" w:hAnsi="Arial" w:cs="Arial"/>
          <w:bCs/>
          <w:i/>
          <w:szCs w:val="32"/>
        </w:rPr>
        <w:t>Oreochromis</w:t>
      </w:r>
      <w:r>
        <w:rPr>
          <w:rFonts w:ascii="Arial" w:eastAsia="Arial" w:hAnsi="Arial" w:cs="Arial"/>
          <w:bCs/>
          <w:szCs w:val="32"/>
        </w:rPr>
        <w:t xml:space="preserve"> spp.). </w:t>
      </w:r>
      <w:r>
        <w:rPr>
          <w:rFonts w:ascii="Arial" w:eastAsia="Arial" w:hAnsi="Arial" w:cs="Arial"/>
          <w:bCs/>
          <w:i/>
          <w:szCs w:val="32"/>
        </w:rPr>
        <w:t>Journal of Fish Diseases, 39</w:t>
      </w:r>
      <w:r>
        <w:rPr>
          <w:rFonts w:ascii="Arial" w:eastAsia="Arial" w:hAnsi="Arial" w:cs="Arial"/>
          <w:bCs/>
          <w:szCs w:val="32"/>
        </w:rPr>
        <w:t>(2), 205–215.</w:t>
      </w:r>
    </w:p>
    <w:p w14:paraId="20390FC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Jha, A. K., Pal, A. K., Sahu, N. P., Kumar, S., &amp; Mukherjee, S. C. (2007). Haemato-immunological responses to dietary yeast RNA, ω-3 fatty acid, and β-carotene in </w:t>
      </w:r>
      <w:r>
        <w:rPr>
          <w:rFonts w:ascii="Arial" w:eastAsia="Arial" w:hAnsi="Arial" w:cs="Arial"/>
          <w:bCs/>
          <w:i/>
          <w:szCs w:val="32"/>
        </w:rPr>
        <w:t>Catla catla</w:t>
      </w:r>
      <w:r>
        <w:rPr>
          <w:rFonts w:ascii="Arial" w:eastAsia="Arial" w:hAnsi="Arial" w:cs="Arial"/>
          <w:bCs/>
          <w:szCs w:val="32"/>
        </w:rPr>
        <w:t xml:space="preserve"> juveniles. </w:t>
      </w:r>
      <w:r>
        <w:rPr>
          <w:rFonts w:ascii="Arial" w:eastAsia="Arial" w:hAnsi="Arial" w:cs="Arial"/>
          <w:bCs/>
          <w:i/>
          <w:szCs w:val="32"/>
        </w:rPr>
        <w:t>Fish &amp; Shellfish Immunology, 23</w:t>
      </w:r>
      <w:r>
        <w:rPr>
          <w:rFonts w:ascii="Arial" w:eastAsia="Arial" w:hAnsi="Arial" w:cs="Arial"/>
          <w:bCs/>
          <w:szCs w:val="32"/>
        </w:rPr>
        <w:t>(5), 917–927.</w:t>
      </w:r>
    </w:p>
    <w:p w14:paraId="481F1FA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Jian, J., &amp; Wu, Z. (2002). Effect of Chinese herbal medicine on nonspecific immunity of Jian common carp (</w:t>
      </w:r>
      <w:r>
        <w:rPr>
          <w:rFonts w:ascii="Arial" w:eastAsia="Arial" w:hAnsi="Arial" w:cs="Arial"/>
          <w:bCs/>
          <w:i/>
          <w:szCs w:val="32"/>
        </w:rPr>
        <w:t>Cyprinus carpio</w:t>
      </w:r>
      <w:r>
        <w:rPr>
          <w:rFonts w:ascii="Arial" w:eastAsia="Arial" w:hAnsi="Arial" w:cs="Arial"/>
          <w:bCs/>
          <w:szCs w:val="32"/>
        </w:rPr>
        <w:t xml:space="preserve"> var. Jian). </w:t>
      </w:r>
      <w:r>
        <w:rPr>
          <w:rFonts w:ascii="Arial" w:eastAsia="Arial" w:hAnsi="Arial" w:cs="Arial"/>
          <w:bCs/>
          <w:i/>
          <w:szCs w:val="32"/>
        </w:rPr>
        <w:t>Journal of Dalian Fisheries University, 17</w:t>
      </w:r>
      <w:r>
        <w:rPr>
          <w:rFonts w:ascii="Arial" w:eastAsia="Arial" w:hAnsi="Arial" w:cs="Arial"/>
          <w:bCs/>
          <w:szCs w:val="32"/>
        </w:rPr>
        <w:t>(2), 114–119.</w:t>
      </w:r>
    </w:p>
    <w:p w14:paraId="6D0E4C1E"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lastRenderedPageBreak/>
        <w:t xml:space="preserve">Jørgensen, J. B., Lunde, H., &amp; Robertsen, B. (1993). Peritoneal and head kidney cell responses to intraperitoneally injected yeast glucan in Atlantic salmon. </w:t>
      </w:r>
      <w:r>
        <w:rPr>
          <w:rFonts w:ascii="Arial" w:eastAsia="Arial" w:hAnsi="Arial" w:cs="Arial"/>
          <w:bCs/>
          <w:i/>
          <w:szCs w:val="32"/>
        </w:rPr>
        <w:t>Journal of Fish Diseases, 16</w:t>
      </w:r>
      <w:r>
        <w:rPr>
          <w:rFonts w:ascii="Arial" w:eastAsia="Arial" w:hAnsi="Arial" w:cs="Arial"/>
          <w:bCs/>
          <w:szCs w:val="32"/>
        </w:rPr>
        <w:t>(4), 313–325.</w:t>
      </w:r>
    </w:p>
    <w:p w14:paraId="588AFDCD"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Kasagala, D., &amp; Pathiratne, A. (2008). Effects of waterborne chloramphenicol and oxytetracycline exposure on hematological parameters and phagocytic activity in the blood of koi carp (</w:t>
      </w:r>
      <w:r>
        <w:rPr>
          <w:rFonts w:ascii="Arial" w:eastAsia="Arial" w:hAnsi="Arial" w:cs="Arial"/>
          <w:bCs/>
          <w:i/>
          <w:szCs w:val="32"/>
        </w:rPr>
        <w:t>Cyprinus carpio</w:t>
      </w:r>
      <w:r>
        <w:rPr>
          <w:rFonts w:ascii="Arial" w:eastAsia="Arial" w:hAnsi="Arial" w:cs="Arial"/>
          <w:bCs/>
          <w:szCs w:val="32"/>
        </w:rPr>
        <w:t xml:space="preserve">). In </w:t>
      </w:r>
      <w:r>
        <w:rPr>
          <w:rFonts w:ascii="Arial" w:eastAsia="Arial" w:hAnsi="Arial" w:cs="Arial"/>
          <w:bCs/>
          <w:i/>
          <w:szCs w:val="32"/>
        </w:rPr>
        <w:t>Diseases in Asian Aquaculture VI</w:t>
      </w:r>
      <w:r>
        <w:rPr>
          <w:rFonts w:ascii="Arial" w:eastAsia="Arial" w:hAnsi="Arial" w:cs="Arial"/>
          <w:bCs/>
          <w:szCs w:val="32"/>
        </w:rPr>
        <w:t xml:space="preserve"> (pp. 283–296). Asian Fisheries Society.</w:t>
      </w:r>
    </w:p>
    <w:p w14:paraId="673798AE"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Li, P., &amp; Gatlin, D. M., III. (2004). Dietary brewer's yeast and the prebiotic GroBiotic®-A influence growth performance, immune responses, and resistance of hybrid striped bass (</w:t>
      </w:r>
      <w:r>
        <w:rPr>
          <w:rFonts w:ascii="Arial" w:eastAsia="Arial" w:hAnsi="Arial" w:cs="Arial"/>
          <w:bCs/>
          <w:i/>
          <w:szCs w:val="32"/>
        </w:rPr>
        <w:t>Morone chrysops</w:t>
      </w:r>
      <w:r>
        <w:rPr>
          <w:rFonts w:ascii="Arial" w:eastAsia="Arial" w:hAnsi="Arial" w:cs="Arial"/>
          <w:bCs/>
          <w:szCs w:val="32"/>
        </w:rPr>
        <w:t xml:space="preserve"> × </w:t>
      </w:r>
      <w:r>
        <w:rPr>
          <w:rFonts w:ascii="Arial" w:eastAsia="Arial" w:hAnsi="Arial" w:cs="Arial"/>
          <w:bCs/>
          <w:i/>
          <w:szCs w:val="32"/>
        </w:rPr>
        <w:t>Morone saxatilis</w:t>
      </w:r>
      <w:r>
        <w:rPr>
          <w:rFonts w:ascii="Arial" w:eastAsia="Arial" w:hAnsi="Arial" w:cs="Arial"/>
          <w:bCs/>
          <w:szCs w:val="32"/>
        </w:rPr>
        <w:t xml:space="preserve">) to </w:t>
      </w:r>
      <w:r>
        <w:rPr>
          <w:rFonts w:ascii="Arial" w:eastAsia="Arial" w:hAnsi="Arial" w:cs="Arial"/>
          <w:bCs/>
          <w:i/>
          <w:szCs w:val="32"/>
        </w:rPr>
        <w:t>Streptococcus iniae</w:t>
      </w:r>
      <w:r>
        <w:rPr>
          <w:rFonts w:ascii="Arial" w:eastAsia="Arial" w:hAnsi="Arial" w:cs="Arial"/>
          <w:bCs/>
          <w:szCs w:val="32"/>
        </w:rPr>
        <w:t xml:space="preserve"> infection. </w:t>
      </w:r>
      <w:r>
        <w:rPr>
          <w:rFonts w:ascii="Arial" w:eastAsia="Arial" w:hAnsi="Arial" w:cs="Arial"/>
          <w:bCs/>
          <w:i/>
          <w:szCs w:val="32"/>
        </w:rPr>
        <w:t>Aquaculture, 231</w:t>
      </w:r>
      <w:r>
        <w:rPr>
          <w:rFonts w:ascii="Arial" w:eastAsia="Arial" w:hAnsi="Arial" w:cs="Arial"/>
          <w:bCs/>
          <w:szCs w:val="32"/>
        </w:rPr>
        <w:t>(1–4), 445–456.</w:t>
      </w:r>
    </w:p>
    <w:p w14:paraId="5AE94B0A"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Lie, Ø., Evensen, O., Sørensen, A., &amp; Frøysadal, E. (1989). Study on lysozyme activity in some fish species. </w:t>
      </w:r>
      <w:r>
        <w:rPr>
          <w:rFonts w:ascii="Arial" w:eastAsia="Arial" w:hAnsi="Arial" w:cs="Arial"/>
          <w:bCs/>
          <w:i/>
          <w:szCs w:val="32"/>
        </w:rPr>
        <w:t>Diseases of Aquatic Organisms, 6</w:t>
      </w:r>
      <w:r>
        <w:rPr>
          <w:rFonts w:ascii="Arial" w:eastAsia="Arial" w:hAnsi="Arial" w:cs="Arial"/>
          <w:bCs/>
          <w:szCs w:val="32"/>
        </w:rPr>
        <w:t>, 1–5.</w:t>
      </w:r>
    </w:p>
    <w:p w14:paraId="42F093D4"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Liu, G., Zhu, J., Chen, K., Gao, T., Yao, H., Liu, Y., Zhang, W., &amp; Lu, C. (2016). Development of </w:t>
      </w:r>
      <w:r>
        <w:rPr>
          <w:rFonts w:ascii="Arial" w:eastAsia="Arial" w:hAnsi="Arial" w:cs="Arial"/>
          <w:bCs/>
          <w:i/>
          <w:szCs w:val="32"/>
        </w:rPr>
        <w:t>Streptococcus agalactiae</w:t>
      </w:r>
      <w:r>
        <w:rPr>
          <w:rFonts w:ascii="Arial" w:eastAsia="Arial" w:hAnsi="Arial" w:cs="Arial"/>
          <w:bCs/>
          <w:szCs w:val="32"/>
        </w:rPr>
        <w:t xml:space="preserve"> vaccines for tilapia. </w:t>
      </w:r>
      <w:r>
        <w:rPr>
          <w:rFonts w:ascii="Arial" w:eastAsia="Arial" w:hAnsi="Arial" w:cs="Arial"/>
          <w:bCs/>
          <w:i/>
          <w:szCs w:val="32"/>
        </w:rPr>
        <w:t>Diseases of Aquatic Organisms, 122</w:t>
      </w:r>
      <w:r>
        <w:rPr>
          <w:rFonts w:ascii="Arial" w:eastAsia="Arial" w:hAnsi="Arial" w:cs="Arial"/>
          <w:bCs/>
          <w:szCs w:val="32"/>
        </w:rPr>
        <w:t>(3), 163–170.</w:t>
      </w:r>
    </w:p>
    <w:p w14:paraId="2263F3A6"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MacArthur, J. I., &amp; Fletcher, T. C. (1985). Phagocytosis in fish. In M. J. Manning &amp; M. F. Tatner (Eds.), </w:t>
      </w:r>
      <w:r>
        <w:rPr>
          <w:rFonts w:ascii="Arial" w:eastAsia="Arial" w:hAnsi="Arial" w:cs="Arial"/>
          <w:bCs/>
          <w:i/>
          <w:szCs w:val="32"/>
        </w:rPr>
        <w:t>Fish Immunology</w:t>
      </w:r>
      <w:r>
        <w:rPr>
          <w:rFonts w:ascii="Arial" w:eastAsia="Arial" w:hAnsi="Arial" w:cs="Arial"/>
          <w:bCs/>
          <w:szCs w:val="32"/>
        </w:rPr>
        <w:t xml:space="preserve"> (pp. 29–46). Academic Press.</w:t>
      </w:r>
    </w:p>
    <w:p w14:paraId="6F86F3A7"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Malheiros, D. F., Maciel, P. O., Videira, M. N., &amp; Tavares-Dias, M. (2016). Toxicity of the essential oil of </w:t>
      </w:r>
      <w:r>
        <w:rPr>
          <w:rFonts w:ascii="Arial" w:eastAsia="Arial" w:hAnsi="Arial" w:cs="Arial"/>
          <w:bCs/>
          <w:i/>
          <w:szCs w:val="32"/>
        </w:rPr>
        <w:t>Mentha piperita</w:t>
      </w:r>
      <w:r>
        <w:rPr>
          <w:rFonts w:ascii="Arial" w:eastAsia="Arial" w:hAnsi="Arial" w:cs="Arial"/>
          <w:bCs/>
          <w:szCs w:val="32"/>
        </w:rPr>
        <w:t xml:space="preserve"> in </w:t>
      </w:r>
      <w:r>
        <w:rPr>
          <w:rFonts w:ascii="Arial" w:eastAsia="Arial" w:hAnsi="Arial" w:cs="Arial"/>
          <w:bCs/>
          <w:i/>
          <w:szCs w:val="32"/>
        </w:rPr>
        <w:t>Arapaima gigas</w:t>
      </w:r>
      <w:r>
        <w:rPr>
          <w:rFonts w:ascii="Arial" w:eastAsia="Arial" w:hAnsi="Arial" w:cs="Arial"/>
          <w:bCs/>
          <w:szCs w:val="32"/>
        </w:rPr>
        <w:t xml:space="preserve"> (pirarucu) and antiparasitic effects on </w:t>
      </w:r>
      <w:r>
        <w:rPr>
          <w:rFonts w:ascii="Arial" w:eastAsia="Arial" w:hAnsi="Arial" w:cs="Arial"/>
          <w:bCs/>
          <w:i/>
          <w:szCs w:val="32"/>
        </w:rPr>
        <w:t>Dawestrema</w:t>
      </w:r>
      <w:r>
        <w:rPr>
          <w:rFonts w:ascii="Arial" w:eastAsia="Arial" w:hAnsi="Arial" w:cs="Arial"/>
          <w:bCs/>
          <w:szCs w:val="32"/>
        </w:rPr>
        <w:t xml:space="preserve"> spp. (Monogenea). </w:t>
      </w:r>
      <w:r>
        <w:rPr>
          <w:rFonts w:ascii="Arial" w:eastAsia="Arial" w:hAnsi="Arial" w:cs="Arial"/>
          <w:bCs/>
          <w:i/>
          <w:szCs w:val="32"/>
        </w:rPr>
        <w:t>Aquaculture, 455</w:t>
      </w:r>
      <w:r>
        <w:rPr>
          <w:rFonts w:ascii="Arial" w:eastAsia="Arial" w:hAnsi="Arial" w:cs="Arial"/>
          <w:bCs/>
          <w:szCs w:val="32"/>
        </w:rPr>
        <w:t>, 81–86.</w:t>
      </w:r>
    </w:p>
    <w:p w14:paraId="273E5165"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Maqsood, M., Samoon, M. H., &amp; Singh, P. (2009). Immunomodulatory and growth-promoting effects of dietary levamisole in common carp (</w:t>
      </w:r>
      <w:r>
        <w:rPr>
          <w:rFonts w:ascii="Arial" w:eastAsia="Arial" w:hAnsi="Arial" w:cs="Arial"/>
          <w:bCs/>
          <w:i/>
          <w:szCs w:val="32"/>
        </w:rPr>
        <w:t>Cyprinus carpio</w:t>
      </w:r>
      <w:r>
        <w:rPr>
          <w:rFonts w:ascii="Arial" w:eastAsia="Arial" w:hAnsi="Arial" w:cs="Arial"/>
          <w:bCs/>
          <w:szCs w:val="32"/>
        </w:rPr>
        <w:t xml:space="preserve">) fingerlings challenged with </w:t>
      </w:r>
      <w:r>
        <w:rPr>
          <w:rFonts w:ascii="Arial" w:eastAsia="Arial" w:hAnsi="Arial" w:cs="Arial"/>
          <w:bCs/>
          <w:i/>
          <w:szCs w:val="32"/>
        </w:rPr>
        <w:t>Aeromonas hydrophila</w:t>
      </w:r>
      <w:r>
        <w:rPr>
          <w:rFonts w:ascii="Arial" w:eastAsia="Arial" w:hAnsi="Arial" w:cs="Arial"/>
          <w:bCs/>
          <w:szCs w:val="32"/>
        </w:rPr>
        <w:t xml:space="preserve">. </w:t>
      </w:r>
      <w:r>
        <w:rPr>
          <w:rFonts w:ascii="Arial" w:eastAsia="Arial" w:hAnsi="Arial" w:cs="Arial"/>
          <w:bCs/>
          <w:i/>
          <w:szCs w:val="32"/>
        </w:rPr>
        <w:t>Turkish Journal of Fisheries and Aquatic Sciences, 9</w:t>
      </w:r>
      <w:r>
        <w:rPr>
          <w:rFonts w:ascii="Arial" w:eastAsia="Arial" w:hAnsi="Arial" w:cs="Arial"/>
          <w:bCs/>
          <w:szCs w:val="32"/>
        </w:rPr>
        <w:t>, 111–120.</w:t>
      </w:r>
    </w:p>
    <w:p w14:paraId="1CC54FC2"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Mark, D., Fast, N. W., Ross, M. A., Sim, D. E., Johnson, S. C., Conboy, G. A., Speare, D. J., Johnson, G., &amp; Burka, J. F. (2002). Susceptibility of rainbow trout (</w:t>
      </w:r>
      <w:r>
        <w:rPr>
          <w:rFonts w:ascii="Arial" w:eastAsia="Arial" w:hAnsi="Arial" w:cs="Arial"/>
          <w:bCs/>
          <w:i/>
          <w:szCs w:val="32"/>
        </w:rPr>
        <w:t>Oncorhynchus mykiss</w:t>
      </w:r>
      <w:r>
        <w:rPr>
          <w:rFonts w:ascii="Arial" w:eastAsia="Arial" w:hAnsi="Arial" w:cs="Arial"/>
          <w:bCs/>
          <w:szCs w:val="32"/>
        </w:rPr>
        <w:t>), Atlantic salmon (</w:t>
      </w:r>
      <w:r>
        <w:rPr>
          <w:rFonts w:ascii="Arial" w:eastAsia="Arial" w:hAnsi="Arial" w:cs="Arial"/>
          <w:bCs/>
          <w:i/>
          <w:szCs w:val="32"/>
        </w:rPr>
        <w:t>Salmo salar</w:t>
      </w:r>
      <w:r>
        <w:rPr>
          <w:rFonts w:ascii="Arial" w:eastAsia="Arial" w:hAnsi="Arial" w:cs="Arial"/>
          <w:bCs/>
          <w:szCs w:val="32"/>
        </w:rPr>
        <w:t>), and coho salmon (</w:t>
      </w:r>
      <w:r>
        <w:rPr>
          <w:rFonts w:ascii="Arial" w:eastAsia="Arial" w:hAnsi="Arial" w:cs="Arial"/>
          <w:bCs/>
          <w:i/>
          <w:szCs w:val="32"/>
        </w:rPr>
        <w:t>Oncorhynchus kisutch</w:t>
      </w:r>
      <w:r>
        <w:rPr>
          <w:rFonts w:ascii="Arial" w:eastAsia="Arial" w:hAnsi="Arial" w:cs="Arial"/>
          <w:bCs/>
          <w:szCs w:val="32"/>
        </w:rPr>
        <w:t>) to experimental infection with sea lice (</w:t>
      </w:r>
      <w:r>
        <w:rPr>
          <w:rFonts w:ascii="Arial" w:eastAsia="Arial" w:hAnsi="Arial" w:cs="Arial"/>
          <w:bCs/>
          <w:i/>
          <w:szCs w:val="32"/>
        </w:rPr>
        <w:t>Lepeophtheirus salmonis</w:t>
      </w:r>
      <w:r>
        <w:rPr>
          <w:rFonts w:ascii="Arial" w:eastAsia="Arial" w:hAnsi="Arial" w:cs="Arial"/>
          <w:bCs/>
          <w:szCs w:val="32"/>
        </w:rPr>
        <w:t xml:space="preserve">). </w:t>
      </w:r>
      <w:r>
        <w:rPr>
          <w:rFonts w:ascii="Arial" w:eastAsia="Arial" w:hAnsi="Arial" w:cs="Arial"/>
          <w:bCs/>
          <w:i/>
          <w:szCs w:val="32"/>
        </w:rPr>
        <w:t>Diseases of Aquatic Organisms, 52</w:t>
      </w:r>
      <w:r>
        <w:rPr>
          <w:rFonts w:ascii="Arial" w:eastAsia="Arial" w:hAnsi="Arial" w:cs="Arial"/>
          <w:bCs/>
          <w:szCs w:val="32"/>
        </w:rPr>
        <w:t>, 57–68.</w:t>
      </w:r>
    </w:p>
    <w:p w14:paraId="58918491"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Martin, S. A. M., &amp; Krol, E. (2017). Nutrigenomics and immune function in fish: New insights from omics technologies. </w:t>
      </w:r>
      <w:r>
        <w:rPr>
          <w:rFonts w:ascii="Arial" w:eastAsia="Arial" w:hAnsi="Arial" w:cs="Arial"/>
          <w:bCs/>
          <w:i/>
          <w:szCs w:val="32"/>
        </w:rPr>
        <w:t>Developmental &amp; Comparative Immunology, 75</w:t>
      </w:r>
      <w:r>
        <w:rPr>
          <w:rFonts w:ascii="Arial" w:eastAsia="Arial" w:hAnsi="Arial" w:cs="Arial"/>
          <w:bCs/>
          <w:szCs w:val="32"/>
        </w:rPr>
        <w:t>, 86–98.</w:t>
      </w:r>
    </w:p>
    <w:p w14:paraId="61978644"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Moradi, S., Javanmardi, S., Gholamzadeh, P., &amp; Tavabe, K. R. (2022). The ameliorative role of ascorbic acid against blood disorder, immunosuppression, and oxidative damage induced by oxytetracycline in rainbow trout (</w:t>
      </w:r>
      <w:r>
        <w:rPr>
          <w:rFonts w:ascii="Arial" w:eastAsia="Arial" w:hAnsi="Arial" w:cs="Arial"/>
          <w:bCs/>
          <w:i/>
          <w:szCs w:val="32"/>
        </w:rPr>
        <w:t>Oncorhynchus mykiss</w:t>
      </w:r>
      <w:r>
        <w:rPr>
          <w:rFonts w:ascii="Arial" w:eastAsia="Arial" w:hAnsi="Arial" w:cs="Arial"/>
          <w:bCs/>
          <w:szCs w:val="32"/>
        </w:rPr>
        <w:t xml:space="preserve">). </w:t>
      </w:r>
      <w:r>
        <w:rPr>
          <w:rFonts w:ascii="Arial" w:eastAsia="Arial" w:hAnsi="Arial" w:cs="Arial"/>
          <w:bCs/>
          <w:i/>
          <w:szCs w:val="32"/>
        </w:rPr>
        <w:t>Fish Physiology and Biochemistry, 48</w:t>
      </w:r>
      <w:r>
        <w:rPr>
          <w:rFonts w:ascii="Arial" w:eastAsia="Arial" w:hAnsi="Arial" w:cs="Arial"/>
          <w:bCs/>
          <w:szCs w:val="32"/>
        </w:rPr>
        <w:t>(1), 201–213.</w:t>
      </w:r>
    </w:p>
    <w:p w14:paraId="0D06C582"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Morvan, A., Bachère, E., Pinto da Silva, P., Pimenta, P., &amp; Mialhe, E. (1994). </w:t>
      </w:r>
      <w:r>
        <w:rPr>
          <w:rFonts w:ascii="Arial" w:eastAsia="Arial" w:hAnsi="Arial" w:cs="Arial"/>
          <w:bCs/>
          <w:i/>
          <w:szCs w:val="32"/>
        </w:rPr>
        <w:t>In vitro</w:t>
      </w:r>
      <w:r>
        <w:rPr>
          <w:rFonts w:ascii="Arial" w:eastAsia="Arial" w:hAnsi="Arial" w:cs="Arial"/>
          <w:bCs/>
          <w:szCs w:val="32"/>
        </w:rPr>
        <w:t xml:space="preserve"> activity of the antimicrobial peptide magainin 1 against </w:t>
      </w:r>
      <w:r>
        <w:rPr>
          <w:rFonts w:ascii="Arial" w:eastAsia="Arial" w:hAnsi="Arial" w:cs="Arial"/>
          <w:bCs/>
          <w:i/>
          <w:szCs w:val="32"/>
        </w:rPr>
        <w:t>Bonamia ostreae</w:t>
      </w:r>
      <w:r>
        <w:rPr>
          <w:rFonts w:ascii="Arial" w:eastAsia="Arial" w:hAnsi="Arial" w:cs="Arial"/>
          <w:bCs/>
          <w:szCs w:val="32"/>
        </w:rPr>
        <w:t>, the intrahemocytic parasite of the flat oyster (</w:t>
      </w:r>
      <w:r>
        <w:rPr>
          <w:rFonts w:ascii="Arial" w:eastAsia="Arial" w:hAnsi="Arial" w:cs="Arial"/>
          <w:bCs/>
          <w:i/>
          <w:szCs w:val="32"/>
        </w:rPr>
        <w:t>Ostrea edulis</w:t>
      </w:r>
      <w:r>
        <w:rPr>
          <w:rFonts w:ascii="Arial" w:eastAsia="Arial" w:hAnsi="Arial" w:cs="Arial"/>
          <w:bCs/>
          <w:szCs w:val="32"/>
        </w:rPr>
        <w:t xml:space="preserve">). </w:t>
      </w:r>
      <w:r>
        <w:rPr>
          <w:rFonts w:ascii="Arial" w:eastAsia="Arial" w:hAnsi="Arial" w:cs="Arial"/>
          <w:bCs/>
          <w:i/>
          <w:szCs w:val="32"/>
        </w:rPr>
        <w:t>Molecular Marine Biology and Biotechnology, 3</w:t>
      </w:r>
      <w:r>
        <w:rPr>
          <w:rFonts w:ascii="Arial" w:eastAsia="Arial" w:hAnsi="Arial" w:cs="Arial"/>
          <w:bCs/>
          <w:szCs w:val="32"/>
        </w:rPr>
        <w:t>(6), 327–333.</w:t>
      </w:r>
    </w:p>
    <w:p w14:paraId="57D3C7CB"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Muñiz-Junqueira, M. I., &amp; de Paula-Coelho, V. N. (2008). Meglumine antimoniate directly increases phagocytosis, superoxide anion, and TNF-α production and indirectly increases nitric oxide production by phagocytes of healthy individuals </w:t>
      </w:r>
      <w:r>
        <w:rPr>
          <w:rFonts w:ascii="Arial" w:eastAsia="Arial" w:hAnsi="Arial" w:cs="Arial"/>
          <w:bCs/>
          <w:i/>
          <w:szCs w:val="32"/>
        </w:rPr>
        <w:t>in vitro</w:t>
      </w:r>
      <w:r>
        <w:rPr>
          <w:rFonts w:ascii="Arial" w:eastAsia="Arial" w:hAnsi="Arial" w:cs="Arial"/>
          <w:bCs/>
          <w:szCs w:val="32"/>
        </w:rPr>
        <w:t xml:space="preserve">. </w:t>
      </w:r>
      <w:r>
        <w:rPr>
          <w:rFonts w:ascii="Arial" w:eastAsia="Arial" w:hAnsi="Arial" w:cs="Arial"/>
          <w:bCs/>
          <w:i/>
          <w:szCs w:val="32"/>
        </w:rPr>
        <w:t>International Immunopharmacology, 8</w:t>
      </w:r>
      <w:r>
        <w:rPr>
          <w:rFonts w:ascii="Arial" w:eastAsia="Arial" w:hAnsi="Arial" w:cs="Arial"/>
          <w:bCs/>
          <w:szCs w:val="32"/>
        </w:rPr>
        <w:t>(12), 1633–1638.</w:t>
      </w:r>
    </w:p>
    <w:p w14:paraId="72A4A018"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Muñoz, P., Sitjà-Bobadilla, A., &amp; Álvarez-Pellitero, P. (2000). Cellular and humoral immune response of European sea bass (</w:t>
      </w:r>
      <w:r>
        <w:rPr>
          <w:rFonts w:ascii="Arial" w:eastAsia="Arial" w:hAnsi="Arial" w:cs="Arial"/>
          <w:bCs/>
          <w:i/>
          <w:szCs w:val="32"/>
        </w:rPr>
        <w:t>Dicentrarchus labrax</w:t>
      </w:r>
      <w:r>
        <w:rPr>
          <w:rFonts w:ascii="Arial" w:eastAsia="Arial" w:hAnsi="Arial" w:cs="Arial"/>
          <w:bCs/>
          <w:szCs w:val="32"/>
        </w:rPr>
        <w:t xml:space="preserve">) immunized with </w:t>
      </w:r>
      <w:r>
        <w:rPr>
          <w:rFonts w:ascii="Arial" w:eastAsia="Arial" w:hAnsi="Arial" w:cs="Arial"/>
          <w:bCs/>
          <w:i/>
          <w:szCs w:val="32"/>
        </w:rPr>
        <w:t>Sphaerospora dicentrarchi</w:t>
      </w:r>
      <w:r>
        <w:rPr>
          <w:rFonts w:ascii="Arial" w:eastAsia="Arial" w:hAnsi="Arial" w:cs="Arial"/>
          <w:bCs/>
          <w:szCs w:val="32"/>
        </w:rPr>
        <w:t xml:space="preserve"> (Myxosporea: Bivalvulida). </w:t>
      </w:r>
      <w:r>
        <w:rPr>
          <w:rFonts w:ascii="Arial" w:eastAsia="Arial" w:hAnsi="Arial" w:cs="Arial"/>
          <w:bCs/>
          <w:i/>
          <w:szCs w:val="32"/>
        </w:rPr>
        <w:t>Parasitology, 120</w:t>
      </w:r>
      <w:r>
        <w:rPr>
          <w:rFonts w:ascii="Arial" w:eastAsia="Arial" w:hAnsi="Arial" w:cs="Arial"/>
          <w:bCs/>
          <w:szCs w:val="32"/>
        </w:rPr>
        <w:t>(5), 465–477.</w:t>
      </w:r>
    </w:p>
    <w:p w14:paraId="309EA165"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t xml:space="preserve">Nagwa, I., Abu-Zahra, S., Atia, A. A., Elseify, M. M., &amp; Soliman, S. (2024). Biological and histological changes and DNA damage in </w:t>
      </w:r>
      <w:r>
        <w:rPr>
          <w:rFonts w:ascii="Arial" w:eastAsia="Arial" w:hAnsi="Arial" w:cs="Arial"/>
          <w:bCs/>
          <w:i/>
          <w:szCs w:val="32"/>
        </w:rPr>
        <w:t>Oreochromis niloticus</w:t>
      </w:r>
      <w:r>
        <w:rPr>
          <w:rFonts w:ascii="Arial" w:eastAsia="Arial" w:hAnsi="Arial" w:cs="Arial"/>
          <w:bCs/>
          <w:szCs w:val="32"/>
        </w:rPr>
        <w:t xml:space="preserve"> exposed to oxytetracycline: A potential ameliorative role of ascorbic acid. </w:t>
      </w:r>
      <w:r>
        <w:rPr>
          <w:rFonts w:ascii="Arial" w:eastAsia="Arial" w:hAnsi="Arial" w:cs="Arial"/>
          <w:bCs/>
          <w:i/>
          <w:szCs w:val="32"/>
        </w:rPr>
        <w:t>Aquaculture International, 32</w:t>
      </w:r>
      <w:r>
        <w:rPr>
          <w:rFonts w:ascii="Arial" w:eastAsia="Arial" w:hAnsi="Arial" w:cs="Arial"/>
          <w:bCs/>
          <w:szCs w:val="32"/>
        </w:rPr>
        <w:t>, 3889–3916.</w:t>
      </w:r>
    </w:p>
    <w:p w14:paraId="50A27017" w14:textId="77777777" w:rsidR="00863806" w:rsidRDefault="00000000">
      <w:pPr>
        <w:pBdr>
          <w:top w:val="nil"/>
          <w:left w:val="nil"/>
          <w:bottom w:val="nil"/>
          <w:right w:val="nil"/>
          <w:between w:val="nil"/>
        </w:pBdr>
        <w:ind w:left="567" w:hanging="567"/>
        <w:jc w:val="both"/>
        <w:rPr>
          <w:rFonts w:ascii="Arial" w:eastAsia="Arial" w:hAnsi="Arial" w:cs="Arial"/>
          <w:bCs/>
          <w:szCs w:val="32"/>
        </w:rPr>
      </w:pPr>
      <w:r>
        <w:rPr>
          <w:rFonts w:ascii="Arial" w:eastAsia="Arial" w:hAnsi="Arial" w:cs="Arial"/>
          <w:bCs/>
          <w:szCs w:val="32"/>
        </w:rPr>
        <w:lastRenderedPageBreak/>
        <w:t xml:space="preserve">Neumann, N. F., Stafford, J. L., Barreda, D., Ainsworth, A. J., &amp; Belosevic, M. (2001). Antimicrobial mechanisms of fish phagocytes and their role in host defense. </w:t>
      </w:r>
      <w:r>
        <w:rPr>
          <w:rFonts w:ascii="Arial" w:eastAsia="Arial" w:hAnsi="Arial" w:cs="Arial"/>
          <w:bCs/>
          <w:i/>
          <w:szCs w:val="32"/>
        </w:rPr>
        <w:t>Developmental &amp; Comparative Immunology, 25</w:t>
      </w:r>
      <w:r>
        <w:rPr>
          <w:rFonts w:ascii="Arial" w:eastAsia="Arial" w:hAnsi="Arial" w:cs="Arial"/>
          <w:bCs/>
          <w:szCs w:val="32"/>
        </w:rPr>
        <w:t>(8–9), 807–825.</w:t>
      </w:r>
    </w:p>
    <w:p w14:paraId="02B2F861"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Panigrahi, A., Kiron, V., Puangkaew, J., Kobayashi, T., Satoh, S., &amp; Sugita, H. (2005). The viability of probiotic bacteria in rainbow trout (</w:t>
      </w:r>
      <w:r>
        <w:rPr>
          <w:rFonts w:ascii="Arial" w:eastAsia="Arial" w:hAnsi="Arial" w:cs="Arial"/>
          <w:bCs/>
          <w:i/>
          <w:szCs w:val="36"/>
        </w:rPr>
        <w:t>Oncorhynchus mykiss</w:t>
      </w:r>
      <w:r>
        <w:rPr>
          <w:rFonts w:ascii="Arial" w:eastAsia="Arial" w:hAnsi="Arial" w:cs="Arial"/>
          <w:bCs/>
          <w:szCs w:val="36"/>
        </w:rPr>
        <w:t xml:space="preserve">). </w:t>
      </w:r>
      <w:r>
        <w:rPr>
          <w:rFonts w:ascii="Arial" w:eastAsia="Arial" w:hAnsi="Arial" w:cs="Arial"/>
          <w:bCs/>
          <w:i/>
          <w:szCs w:val="36"/>
        </w:rPr>
        <w:t>Aquaculture, 243</w:t>
      </w:r>
      <w:r>
        <w:rPr>
          <w:rFonts w:ascii="Arial" w:eastAsia="Arial" w:hAnsi="Arial" w:cs="Arial"/>
          <w:bCs/>
          <w:szCs w:val="36"/>
        </w:rPr>
        <w:t>(1–4), 241–254.</w:t>
      </w:r>
    </w:p>
    <w:p w14:paraId="26EF426F"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Pergam, R. G. (1969). The microbiological uses of 2,3,5-triphenyltetrazolium chloride. </w:t>
      </w:r>
      <w:r>
        <w:rPr>
          <w:rFonts w:ascii="Arial" w:eastAsia="Arial" w:hAnsi="Arial" w:cs="Arial"/>
          <w:bCs/>
          <w:i/>
          <w:szCs w:val="36"/>
        </w:rPr>
        <w:t>Journal of Medical Laboratory Technology, 26</w:t>
      </w:r>
      <w:r>
        <w:rPr>
          <w:rFonts w:ascii="Arial" w:eastAsia="Arial" w:hAnsi="Arial" w:cs="Arial"/>
          <w:bCs/>
          <w:szCs w:val="36"/>
        </w:rPr>
        <w:t>, 175–198.</w:t>
      </w:r>
    </w:p>
    <w:p w14:paraId="43D461B6"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Pretto-Giordano, L. G., Eckehard-Müller, E., De Freitas, J. C., Gomes, D. A., &amp; Da Silva, V. F. (2010). Evaluation of the pathogenesis of </w:t>
      </w:r>
      <w:r>
        <w:rPr>
          <w:rFonts w:ascii="Arial" w:eastAsia="Arial" w:hAnsi="Arial" w:cs="Arial"/>
          <w:bCs/>
          <w:i/>
          <w:szCs w:val="36"/>
        </w:rPr>
        <w:t>Streptococcus agalactiae</w:t>
      </w:r>
      <w:r>
        <w:rPr>
          <w:rFonts w:ascii="Arial" w:eastAsia="Arial" w:hAnsi="Arial" w:cs="Arial"/>
          <w:bCs/>
          <w:szCs w:val="36"/>
        </w:rPr>
        <w:t xml:space="preserve">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Brazilian Archives of Biology and Technology, 53</w:t>
      </w:r>
      <w:r>
        <w:rPr>
          <w:rFonts w:ascii="Arial" w:eastAsia="Arial" w:hAnsi="Arial" w:cs="Arial"/>
          <w:bCs/>
          <w:szCs w:val="36"/>
        </w:rPr>
        <w:t>(1), 87–92.</w:t>
      </w:r>
    </w:p>
    <w:p w14:paraId="45B5553D"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Rattanachaikunsopon, P., &amp; Phumkhachorn, P. (2010). Effect of </w:t>
      </w:r>
      <w:r>
        <w:rPr>
          <w:rFonts w:ascii="Arial" w:eastAsia="Arial" w:hAnsi="Arial" w:cs="Arial"/>
          <w:bCs/>
          <w:i/>
          <w:szCs w:val="36"/>
        </w:rPr>
        <w:t>Cratoxylum formosum</w:t>
      </w:r>
      <w:r>
        <w:rPr>
          <w:rFonts w:ascii="Arial" w:eastAsia="Arial" w:hAnsi="Arial" w:cs="Arial"/>
          <w:bCs/>
          <w:szCs w:val="36"/>
        </w:rPr>
        <w:t xml:space="preserve"> on innate immune response and disease resistance against </w:t>
      </w:r>
      <w:r>
        <w:rPr>
          <w:rFonts w:ascii="Arial" w:eastAsia="Arial" w:hAnsi="Arial" w:cs="Arial"/>
          <w:bCs/>
          <w:i/>
          <w:szCs w:val="36"/>
        </w:rPr>
        <w:t>Streptococcus agalactiae</w:t>
      </w:r>
      <w:r>
        <w:rPr>
          <w:rFonts w:ascii="Arial" w:eastAsia="Arial" w:hAnsi="Arial" w:cs="Arial"/>
          <w:bCs/>
          <w:szCs w:val="36"/>
        </w:rPr>
        <w:t xml:space="preserve">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Fisheries Science, 76</w:t>
      </w:r>
      <w:r>
        <w:rPr>
          <w:rFonts w:ascii="Arial" w:eastAsia="Arial" w:hAnsi="Arial" w:cs="Arial"/>
          <w:bCs/>
          <w:szCs w:val="36"/>
        </w:rPr>
        <w:t>(4), 653–659.</w:t>
      </w:r>
    </w:p>
    <w:p w14:paraId="5893E1FF"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Reda, R. M., Ibrahim, R. E., Ahmed, E. N. G., &amp; El-Bouhy, Z. M. (2013). Effect of oxytetracycline and florfenicol as growth promoters on the health status of cultured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Egyptian Journal of Aquatic Research, 39</w:t>
      </w:r>
      <w:r>
        <w:rPr>
          <w:rFonts w:ascii="Arial" w:eastAsia="Arial" w:hAnsi="Arial" w:cs="Arial"/>
          <w:bCs/>
          <w:szCs w:val="36"/>
        </w:rPr>
        <w:t>(4), 241–248.</w:t>
      </w:r>
    </w:p>
    <w:p w14:paraId="3C51CF8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Reda, R. M., Mahmoud, R., Selim, K. M., &amp; El-Araby, I. E. (2016). Effects of dietary acidifiers on growth, hematology, immune response, and disease resistance of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Fish &amp; Shellfish Immunology, 50</w:t>
      </w:r>
      <w:r>
        <w:rPr>
          <w:rFonts w:ascii="Arial" w:eastAsia="Arial" w:hAnsi="Arial" w:cs="Arial"/>
          <w:bCs/>
          <w:szCs w:val="36"/>
        </w:rPr>
        <w:t>, 255–262.</w:t>
      </w:r>
    </w:p>
    <w:p w14:paraId="29922F81"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Rengpipat, S., Rukpratanporn, S., Piyatiratitivorakul, S., &amp; Menasveta, P. (2000). Immunity enhancement in black tiger shrimp (</w:t>
      </w:r>
      <w:r>
        <w:rPr>
          <w:rFonts w:ascii="Arial" w:eastAsia="Arial" w:hAnsi="Arial" w:cs="Arial"/>
          <w:bCs/>
          <w:i/>
          <w:szCs w:val="36"/>
        </w:rPr>
        <w:t>Penaeus monodon</w:t>
      </w:r>
      <w:r>
        <w:rPr>
          <w:rFonts w:ascii="Arial" w:eastAsia="Arial" w:hAnsi="Arial" w:cs="Arial"/>
          <w:bCs/>
          <w:szCs w:val="36"/>
        </w:rPr>
        <w:t>) by a probiotic bacterium (</w:t>
      </w:r>
      <w:r>
        <w:rPr>
          <w:rFonts w:ascii="Arial" w:eastAsia="Arial" w:hAnsi="Arial" w:cs="Arial"/>
          <w:bCs/>
          <w:i/>
          <w:szCs w:val="36"/>
        </w:rPr>
        <w:t>Bacillus</w:t>
      </w:r>
      <w:r>
        <w:rPr>
          <w:rFonts w:ascii="Arial" w:eastAsia="Arial" w:hAnsi="Arial" w:cs="Arial"/>
          <w:bCs/>
          <w:szCs w:val="36"/>
        </w:rPr>
        <w:t xml:space="preserve"> S11). </w:t>
      </w:r>
      <w:r>
        <w:rPr>
          <w:rFonts w:ascii="Arial" w:eastAsia="Arial" w:hAnsi="Arial" w:cs="Arial"/>
          <w:bCs/>
          <w:i/>
          <w:szCs w:val="36"/>
        </w:rPr>
        <w:t>Aquaculture, 191</w:t>
      </w:r>
      <w:r>
        <w:rPr>
          <w:rFonts w:ascii="Arial" w:eastAsia="Arial" w:hAnsi="Arial" w:cs="Arial"/>
          <w:bCs/>
          <w:szCs w:val="36"/>
        </w:rPr>
        <w:t>(4), 271–288.</w:t>
      </w:r>
    </w:p>
    <w:p w14:paraId="68351EB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Reyes, A. T., Raymundo, A. K., Baldrias, L. R., Paller, V. G., &amp; Dalmacio, I. F. (2021). Occurrence of </w:t>
      </w:r>
      <w:r>
        <w:rPr>
          <w:rFonts w:ascii="Arial" w:eastAsia="Arial" w:hAnsi="Arial" w:cs="Arial"/>
          <w:bCs/>
          <w:i/>
          <w:szCs w:val="36"/>
        </w:rPr>
        <w:t>Streptococcus</w:t>
      </w:r>
      <w:r>
        <w:rPr>
          <w:rFonts w:ascii="Arial" w:eastAsia="Arial" w:hAnsi="Arial" w:cs="Arial"/>
          <w:bCs/>
          <w:szCs w:val="36"/>
        </w:rPr>
        <w:t xml:space="preserve"> spp. in farmed Nile tilapia (</w:t>
      </w:r>
      <w:r>
        <w:rPr>
          <w:rFonts w:ascii="Arial" w:eastAsia="Arial" w:hAnsi="Arial" w:cs="Arial"/>
          <w:bCs/>
          <w:i/>
          <w:szCs w:val="36"/>
        </w:rPr>
        <w:t>Oreochromis niloticus</w:t>
      </w:r>
      <w:r>
        <w:rPr>
          <w:rFonts w:ascii="Arial" w:eastAsia="Arial" w:hAnsi="Arial" w:cs="Arial"/>
          <w:bCs/>
          <w:szCs w:val="36"/>
        </w:rPr>
        <w:t xml:space="preserve">) in Lubao, Pampanga, Philippines. </w:t>
      </w:r>
      <w:r>
        <w:rPr>
          <w:rFonts w:ascii="Arial" w:eastAsia="Arial" w:hAnsi="Arial" w:cs="Arial"/>
          <w:bCs/>
          <w:i/>
          <w:szCs w:val="36"/>
        </w:rPr>
        <w:t>International Journal of Agricultural Technology, 17</w:t>
      </w:r>
      <w:r>
        <w:rPr>
          <w:rFonts w:ascii="Arial" w:eastAsia="Arial" w:hAnsi="Arial" w:cs="Arial"/>
          <w:bCs/>
          <w:szCs w:val="36"/>
        </w:rPr>
        <w:t>(3), 1041–1060.</w:t>
      </w:r>
    </w:p>
    <w:p w14:paraId="58E8047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Reyes, A. T., Raymundo, A. K., Baldrias, L. R., Paller, V. G., &amp; Dalmacio, I. F. (2022). Antibiotic susceptibility and pathogenicity of </w:t>
      </w:r>
      <w:r>
        <w:rPr>
          <w:rFonts w:ascii="Arial" w:eastAsia="Arial" w:hAnsi="Arial" w:cs="Arial"/>
          <w:bCs/>
          <w:i/>
          <w:szCs w:val="36"/>
        </w:rPr>
        <w:t>Streptococcus</w:t>
      </w:r>
      <w:r>
        <w:rPr>
          <w:rFonts w:ascii="Arial" w:eastAsia="Arial" w:hAnsi="Arial" w:cs="Arial"/>
          <w:bCs/>
          <w:szCs w:val="36"/>
        </w:rPr>
        <w:t xml:space="preserve"> spp. isolated from tilapia grow-out farms in Lubao, Pampanga, Philippines. </w:t>
      </w:r>
      <w:r>
        <w:rPr>
          <w:rFonts w:ascii="Arial" w:eastAsia="Arial" w:hAnsi="Arial" w:cs="Arial"/>
          <w:bCs/>
          <w:i/>
          <w:szCs w:val="36"/>
        </w:rPr>
        <w:t>AACL Bioflux, 15</w:t>
      </w:r>
      <w:r>
        <w:rPr>
          <w:rFonts w:ascii="Arial" w:eastAsia="Arial" w:hAnsi="Arial" w:cs="Arial"/>
          <w:bCs/>
          <w:szCs w:val="36"/>
        </w:rPr>
        <w:t>(3), 1389–1402.</w:t>
      </w:r>
    </w:p>
    <w:p w14:paraId="57FFDC43"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Rieger, A. M., &amp; Barreda, D. R. (2011). Antimicrobial mechanisms of fish leukocytes. </w:t>
      </w:r>
      <w:r>
        <w:rPr>
          <w:rFonts w:ascii="Arial" w:eastAsia="Arial" w:hAnsi="Arial" w:cs="Arial"/>
          <w:bCs/>
          <w:i/>
          <w:szCs w:val="36"/>
        </w:rPr>
        <w:t>Developmental &amp; Comparative Immunology, 35</w:t>
      </w:r>
      <w:r>
        <w:rPr>
          <w:rFonts w:ascii="Arial" w:eastAsia="Arial" w:hAnsi="Arial" w:cs="Arial"/>
          <w:bCs/>
          <w:szCs w:val="36"/>
        </w:rPr>
        <w:t>(12), 1238–1245.</w:t>
      </w:r>
    </w:p>
    <w:p w14:paraId="0DB1D56D"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Robertsen, B., Engstad, R. E., &amp; Jørgensen, J. B. (1994). Beta-glucan as an immunostimulant in fish. In J. S. Stolen &amp; T. C. Fletcher (Eds.), </w:t>
      </w:r>
      <w:r>
        <w:rPr>
          <w:rFonts w:ascii="Arial" w:eastAsia="Arial" w:hAnsi="Arial" w:cs="Arial"/>
          <w:bCs/>
          <w:i/>
          <w:szCs w:val="36"/>
        </w:rPr>
        <w:t>Modulators of fish immune responses: Models for environmental toxicology, biomarkers, and immunostimulators</w:t>
      </w:r>
      <w:r>
        <w:rPr>
          <w:rFonts w:ascii="Arial" w:eastAsia="Arial" w:hAnsi="Arial" w:cs="Arial"/>
          <w:bCs/>
          <w:szCs w:val="36"/>
        </w:rPr>
        <w:t xml:space="preserve"> (pp. 83–99). SOS Publications.</w:t>
      </w:r>
    </w:p>
    <w:p w14:paraId="7A557D54"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Rodkhum, C., Kayansamruaj, P., &amp; Pirarat, N. (2011). Effect of water temperature on susceptibility to </w:t>
      </w:r>
      <w:r>
        <w:rPr>
          <w:rFonts w:ascii="Arial" w:eastAsia="Arial" w:hAnsi="Arial" w:cs="Arial"/>
          <w:bCs/>
          <w:i/>
          <w:szCs w:val="36"/>
        </w:rPr>
        <w:t>Streptococcus agalactiae</w:t>
      </w:r>
      <w:r>
        <w:rPr>
          <w:rFonts w:ascii="Arial" w:eastAsia="Arial" w:hAnsi="Arial" w:cs="Arial"/>
          <w:bCs/>
          <w:szCs w:val="36"/>
        </w:rPr>
        <w:t xml:space="preserve"> serotype Ia infection in Nile tilapia (</w:t>
      </w:r>
      <w:r>
        <w:rPr>
          <w:rFonts w:ascii="Arial" w:eastAsia="Arial" w:hAnsi="Arial" w:cs="Arial"/>
          <w:bCs/>
          <w:i/>
          <w:szCs w:val="36"/>
        </w:rPr>
        <w:t>Oreochromis niloticus</w:t>
      </w:r>
      <w:r>
        <w:rPr>
          <w:rFonts w:ascii="Arial" w:eastAsia="Arial" w:hAnsi="Arial" w:cs="Arial"/>
          <w:bCs/>
          <w:szCs w:val="36"/>
        </w:rPr>
        <w:t xml:space="preserve">). </w:t>
      </w:r>
      <w:r>
        <w:rPr>
          <w:rFonts w:ascii="Arial" w:eastAsia="Arial" w:hAnsi="Arial" w:cs="Arial"/>
          <w:bCs/>
          <w:i/>
          <w:szCs w:val="36"/>
        </w:rPr>
        <w:t>Thai Journal of Veterinary Medicine, 41</w:t>
      </w:r>
      <w:r>
        <w:rPr>
          <w:rFonts w:ascii="Arial" w:eastAsia="Arial" w:hAnsi="Arial" w:cs="Arial"/>
          <w:bCs/>
          <w:szCs w:val="36"/>
        </w:rPr>
        <w:t>(3), 309–314.</w:t>
      </w:r>
    </w:p>
    <w:p w14:paraId="3CB5EB5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Roy, D., Pal, S., Ray, S. D., &amp; Chaudhari, S. M. (2019). Experimental analysis of selected fish biomarkers following concomitant infection with indigenous and exotic </w:t>
      </w:r>
      <w:r>
        <w:rPr>
          <w:rFonts w:ascii="Arial" w:eastAsia="Arial" w:hAnsi="Arial" w:cs="Arial"/>
          <w:bCs/>
          <w:i/>
          <w:szCs w:val="36"/>
        </w:rPr>
        <w:t>Aeromonas</w:t>
      </w:r>
      <w:r>
        <w:rPr>
          <w:rFonts w:ascii="Arial" w:eastAsia="Arial" w:hAnsi="Arial" w:cs="Arial"/>
          <w:bCs/>
          <w:szCs w:val="36"/>
        </w:rPr>
        <w:t xml:space="preserve"> species in </w:t>
      </w:r>
      <w:r>
        <w:rPr>
          <w:rFonts w:ascii="Arial" w:eastAsia="Arial" w:hAnsi="Arial" w:cs="Arial"/>
          <w:bCs/>
          <w:i/>
          <w:szCs w:val="36"/>
        </w:rPr>
        <w:t>Labeo rohita</w:t>
      </w:r>
      <w:r>
        <w:rPr>
          <w:rFonts w:ascii="Arial" w:eastAsia="Arial" w:hAnsi="Arial" w:cs="Arial"/>
          <w:bCs/>
          <w:szCs w:val="36"/>
        </w:rPr>
        <w:t xml:space="preserve">. </w:t>
      </w:r>
      <w:r>
        <w:rPr>
          <w:rFonts w:ascii="Arial" w:eastAsia="Arial" w:hAnsi="Arial" w:cs="Arial"/>
          <w:bCs/>
          <w:i/>
          <w:szCs w:val="36"/>
        </w:rPr>
        <w:t>International Journal of Fisheries and Aquatic Studies, 7</w:t>
      </w:r>
      <w:r>
        <w:rPr>
          <w:rFonts w:ascii="Arial" w:eastAsia="Arial" w:hAnsi="Arial" w:cs="Arial"/>
          <w:bCs/>
          <w:szCs w:val="36"/>
        </w:rPr>
        <w:t>(6), 322–329.</w:t>
      </w:r>
    </w:p>
    <w:p w14:paraId="2A122AC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Sahoo, P. K., Kumari, J., &amp; Mishra, B. K. (2005). Nonspecific immune responses in juveniles of Indian major carps. </w:t>
      </w:r>
      <w:r>
        <w:rPr>
          <w:rFonts w:ascii="Arial" w:eastAsia="Arial" w:hAnsi="Arial" w:cs="Arial"/>
          <w:bCs/>
          <w:i/>
          <w:szCs w:val="36"/>
        </w:rPr>
        <w:t>Journal of Applied Ichthyology, 21</w:t>
      </w:r>
      <w:r>
        <w:rPr>
          <w:rFonts w:ascii="Arial" w:eastAsia="Arial" w:hAnsi="Arial" w:cs="Arial"/>
          <w:bCs/>
          <w:szCs w:val="36"/>
        </w:rPr>
        <w:t>(2), 151–155.</w:t>
      </w:r>
    </w:p>
    <w:p w14:paraId="15FF89F5"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Sakai, M., Yoshida, T., &amp; Kobayashi, M. (1995). Influence of the immunostimulant EF203 on the immune responses of rainbow trout (</w:t>
      </w:r>
      <w:r>
        <w:rPr>
          <w:rFonts w:ascii="Arial" w:eastAsia="Arial" w:hAnsi="Arial" w:cs="Arial"/>
          <w:bCs/>
          <w:i/>
          <w:szCs w:val="36"/>
        </w:rPr>
        <w:t>Oncorhynchus mykiss</w:t>
      </w:r>
      <w:r>
        <w:rPr>
          <w:rFonts w:ascii="Arial" w:eastAsia="Arial" w:hAnsi="Arial" w:cs="Arial"/>
          <w:bCs/>
          <w:szCs w:val="36"/>
        </w:rPr>
        <w:t xml:space="preserve">) to </w:t>
      </w:r>
      <w:r>
        <w:rPr>
          <w:rFonts w:ascii="Arial" w:eastAsia="Arial" w:hAnsi="Arial" w:cs="Arial"/>
          <w:bCs/>
          <w:i/>
          <w:szCs w:val="36"/>
        </w:rPr>
        <w:t>Renibacterium salmoninarum</w:t>
      </w:r>
      <w:r>
        <w:rPr>
          <w:rFonts w:ascii="Arial" w:eastAsia="Arial" w:hAnsi="Arial" w:cs="Arial"/>
          <w:bCs/>
          <w:szCs w:val="36"/>
        </w:rPr>
        <w:t xml:space="preserve">. </w:t>
      </w:r>
      <w:r>
        <w:rPr>
          <w:rFonts w:ascii="Arial" w:eastAsia="Arial" w:hAnsi="Arial" w:cs="Arial"/>
          <w:bCs/>
          <w:i/>
          <w:szCs w:val="36"/>
        </w:rPr>
        <w:t>Aquaculture, 138</w:t>
      </w:r>
      <w:r>
        <w:rPr>
          <w:rFonts w:ascii="Arial" w:eastAsia="Arial" w:hAnsi="Arial" w:cs="Arial"/>
          <w:bCs/>
          <w:szCs w:val="36"/>
        </w:rPr>
        <w:t>(1–4), 61–67.</w:t>
      </w:r>
    </w:p>
    <w:p w14:paraId="075C2CF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Sarlin, P. J., &amp; Philip, R. (2011). Efficacy of marine yeasts and baker's yeast as immunostimulants in Indian white shrimp (</w:t>
      </w:r>
      <w:r>
        <w:rPr>
          <w:rFonts w:ascii="Arial" w:eastAsia="Arial" w:hAnsi="Arial" w:cs="Arial"/>
          <w:bCs/>
          <w:i/>
          <w:szCs w:val="36"/>
        </w:rPr>
        <w:t>Fenneropenaeus indicus</w:t>
      </w:r>
      <w:r>
        <w:rPr>
          <w:rFonts w:ascii="Arial" w:eastAsia="Arial" w:hAnsi="Arial" w:cs="Arial"/>
          <w:bCs/>
          <w:szCs w:val="36"/>
        </w:rPr>
        <w:t xml:space="preserve">): A comparative study. </w:t>
      </w:r>
      <w:r>
        <w:rPr>
          <w:rFonts w:ascii="Arial" w:eastAsia="Arial" w:hAnsi="Arial" w:cs="Arial"/>
          <w:bCs/>
          <w:i/>
          <w:szCs w:val="36"/>
        </w:rPr>
        <w:t>Aquaculture, 321</w:t>
      </w:r>
      <w:r>
        <w:rPr>
          <w:rFonts w:ascii="Arial" w:eastAsia="Arial" w:hAnsi="Arial" w:cs="Arial"/>
          <w:bCs/>
          <w:szCs w:val="36"/>
        </w:rPr>
        <w:t>(1–2), 173–178.</w:t>
      </w:r>
    </w:p>
    <w:p w14:paraId="763497C0"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lastRenderedPageBreak/>
        <w:t xml:space="preserve">Saurabh, S., &amp; Sahoo, P. K. (2008). Lysozyme: An important defence molecule of fish innate immune system. </w:t>
      </w:r>
      <w:r>
        <w:rPr>
          <w:rFonts w:ascii="Arial" w:eastAsia="Arial" w:hAnsi="Arial" w:cs="Arial"/>
          <w:bCs/>
          <w:i/>
          <w:szCs w:val="36"/>
        </w:rPr>
        <w:t>Aquaculture Research, 39</w:t>
      </w:r>
      <w:r>
        <w:rPr>
          <w:rFonts w:ascii="Arial" w:eastAsia="Arial" w:hAnsi="Arial" w:cs="Arial"/>
          <w:bCs/>
          <w:szCs w:val="36"/>
        </w:rPr>
        <w:t>(3), 223–239.</w:t>
      </w:r>
    </w:p>
    <w:p w14:paraId="5AAE932A"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Secombes, C. J. (1990). Isolation of salmonid macrophages and analysis of their killing activity. </w:t>
      </w:r>
      <w:r>
        <w:rPr>
          <w:rFonts w:ascii="Arial" w:eastAsia="Arial" w:hAnsi="Arial" w:cs="Arial"/>
          <w:bCs/>
          <w:i/>
          <w:szCs w:val="36"/>
        </w:rPr>
        <w:t>Techniques in Fish Immunology, 1</w:t>
      </w:r>
      <w:r>
        <w:rPr>
          <w:rFonts w:ascii="Arial" w:eastAsia="Arial" w:hAnsi="Arial" w:cs="Arial"/>
          <w:bCs/>
          <w:szCs w:val="36"/>
        </w:rPr>
        <w:t>, 137–154.</w:t>
      </w:r>
    </w:p>
    <w:p w14:paraId="76509A2E"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Shariff, M., Jayawardena, P. A., Yusoff, F. M., &amp; Subasinghe, R. P. (2001). Immunological parameters of Javanese carp (</w:t>
      </w:r>
      <w:r>
        <w:rPr>
          <w:rFonts w:ascii="Arial" w:eastAsia="Arial" w:hAnsi="Arial" w:cs="Arial"/>
          <w:bCs/>
          <w:i/>
          <w:szCs w:val="36"/>
        </w:rPr>
        <w:t>Puntius gonionotus</w:t>
      </w:r>
      <w:r>
        <w:rPr>
          <w:rFonts w:ascii="Arial" w:eastAsia="Arial" w:hAnsi="Arial" w:cs="Arial"/>
          <w:bCs/>
          <w:szCs w:val="36"/>
        </w:rPr>
        <w:t xml:space="preserve">) exposed to copper and challenged with </w:t>
      </w:r>
      <w:r>
        <w:rPr>
          <w:rFonts w:ascii="Arial" w:eastAsia="Arial" w:hAnsi="Arial" w:cs="Arial"/>
          <w:bCs/>
          <w:i/>
          <w:szCs w:val="36"/>
        </w:rPr>
        <w:t>Aeromonas hydrophila</w:t>
      </w:r>
      <w:r>
        <w:rPr>
          <w:rFonts w:ascii="Arial" w:eastAsia="Arial" w:hAnsi="Arial" w:cs="Arial"/>
          <w:bCs/>
          <w:szCs w:val="36"/>
        </w:rPr>
        <w:t xml:space="preserve">. </w:t>
      </w:r>
      <w:r>
        <w:rPr>
          <w:rFonts w:ascii="Arial" w:eastAsia="Arial" w:hAnsi="Arial" w:cs="Arial"/>
          <w:bCs/>
          <w:i/>
          <w:szCs w:val="36"/>
        </w:rPr>
        <w:t>Fish &amp; Shellfish Immunology, 11</w:t>
      </w:r>
      <w:r>
        <w:rPr>
          <w:rFonts w:ascii="Arial" w:eastAsia="Arial" w:hAnsi="Arial" w:cs="Arial"/>
          <w:bCs/>
          <w:szCs w:val="36"/>
        </w:rPr>
        <w:t>(4), 281–291.</w:t>
      </w:r>
    </w:p>
    <w:p w14:paraId="0D37D472"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Shinn, A. P., Pratoomyot, J., Bron, J. E., Paladini, G., Brooker, E. E., &amp; Brooker, A. J. (2015). Economic impacts of aquatic parasites on global finfish production. </w:t>
      </w:r>
      <w:r>
        <w:rPr>
          <w:rFonts w:ascii="Arial" w:eastAsia="Arial" w:hAnsi="Arial" w:cs="Arial"/>
          <w:bCs/>
          <w:i/>
          <w:szCs w:val="36"/>
        </w:rPr>
        <w:t>Global Aquaculture Advocate</w:t>
      </w:r>
      <w:r>
        <w:rPr>
          <w:rFonts w:ascii="Arial" w:eastAsia="Arial" w:hAnsi="Arial" w:cs="Arial"/>
          <w:bCs/>
          <w:szCs w:val="36"/>
        </w:rPr>
        <w:t>, 58–61.</w:t>
      </w:r>
    </w:p>
    <w:p w14:paraId="31DDC519"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Siwicki, A. K., Anderson, D. P., &amp; Dixon, O. W. (1989). Comparison of nonspecific and specific immunomodulation by oxolinic acid, oxytetracycline, and levamisole in salmonids. </w:t>
      </w:r>
      <w:r>
        <w:rPr>
          <w:rFonts w:ascii="Arial" w:eastAsia="Arial" w:hAnsi="Arial" w:cs="Arial"/>
          <w:bCs/>
          <w:i/>
          <w:szCs w:val="36"/>
        </w:rPr>
        <w:t>Veterinary Immunology and Immunopathology, 23</w:t>
      </w:r>
      <w:r>
        <w:rPr>
          <w:rFonts w:ascii="Arial" w:eastAsia="Arial" w:hAnsi="Arial" w:cs="Arial"/>
          <w:bCs/>
          <w:szCs w:val="36"/>
        </w:rPr>
        <w:t>(3–4), 195–200.</w:t>
      </w:r>
    </w:p>
    <w:p w14:paraId="23DF25F4"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Talpur, A. D., &amp; Ikhwanuddin, M. (2012). Dietary effects of garlic (</w:t>
      </w:r>
      <w:r>
        <w:rPr>
          <w:rFonts w:ascii="Arial" w:eastAsia="Arial" w:hAnsi="Arial" w:cs="Arial"/>
          <w:bCs/>
          <w:i/>
          <w:szCs w:val="36"/>
        </w:rPr>
        <w:t>Allium sativum</w:t>
      </w:r>
      <w:r>
        <w:rPr>
          <w:rFonts w:ascii="Arial" w:eastAsia="Arial" w:hAnsi="Arial" w:cs="Arial"/>
          <w:bCs/>
          <w:szCs w:val="36"/>
        </w:rPr>
        <w:t xml:space="preserve">) on haemato-immunological parameters, survival, growth, and disease resistance against </w:t>
      </w:r>
      <w:r>
        <w:rPr>
          <w:rFonts w:ascii="Arial" w:eastAsia="Arial" w:hAnsi="Arial" w:cs="Arial"/>
          <w:bCs/>
          <w:i/>
          <w:szCs w:val="36"/>
        </w:rPr>
        <w:t>Vibrio harveyi</w:t>
      </w:r>
      <w:r>
        <w:rPr>
          <w:rFonts w:ascii="Arial" w:eastAsia="Arial" w:hAnsi="Arial" w:cs="Arial"/>
          <w:bCs/>
          <w:szCs w:val="36"/>
        </w:rPr>
        <w:t xml:space="preserve"> infection in Asian sea bass (</w:t>
      </w:r>
      <w:r>
        <w:rPr>
          <w:rFonts w:ascii="Arial" w:eastAsia="Arial" w:hAnsi="Arial" w:cs="Arial"/>
          <w:bCs/>
          <w:i/>
          <w:szCs w:val="36"/>
        </w:rPr>
        <w:t>Lates calcarifer</w:t>
      </w:r>
      <w:r>
        <w:rPr>
          <w:rFonts w:ascii="Arial" w:eastAsia="Arial" w:hAnsi="Arial" w:cs="Arial"/>
          <w:bCs/>
          <w:szCs w:val="36"/>
        </w:rPr>
        <w:t xml:space="preserve">). </w:t>
      </w:r>
      <w:r>
        <w:rPr>
          <w:rFonts w:ascii="Arial" w:eastAsia="Arial" w:hAnsi="Arial" w:cs="Arial"/>
          <w:bCs/>
          <w:i/>
          <w:szCs w:val="36"/>
        </w:rPr>
        <w:t>Aquaculture, 364–365</w:t>
      </w:r>
      <w:r>
        <w:rPr>
          <w:rFonts w:ascii="Arial" w:eastAsia="Arial" w:hAnsi="Arial" w:cs="Arial"/>
          <w:bCs/>
          <w:szCs w:val="36"/>
        </w:rPr>
        <w:t>, 6–12.</w:t>
      </w:r>
    </w:p>
    <w:p w14:paraId="42BFBB43"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Tort, L., Balasch, J. C., &amp; Mackenzie, S. (2003). Fish immune system: A crossroads between innate and adaptive responses. </w:t>
      </w:r>
      <w:r>
        <w:rPr>
          <w:rFonts w:ascii="Arial" w:eastAsia="Arial" w:hAnsi="Arial" w:cs="Arial"/>
          <w:bCs/>
          <w:i/>
          <w:szCs w:val="36"/>
        </w:rPr>
        <w:t>Immunología, 22</w:t>
      </w:r>
      <w:r>
        <w:rPr>
          <w:rFonts w:ascii="Arial" w:eastAsia="Arial" w:hAnsi="Arial" w:cs="Arial"/>
          <w:bCs/>
          <w:szCs w:val="36"/>
        </w:rPr>
        <w:t>(3), 277–286.</w:t>
      </w:r>
    </w:p>
    <w:p w14:paraId="507FC6F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Urban, T., &amp; Järstrand, C. (1979). Nitroblue tetrazolium (NBT) reduction by bacteria: Some properties of the reaction and its possible use. </w:t>
      </w:r>
      <w:r>
        <w:rPr>
          <w:rFonts w:ascii="Arial" w:eastAsia="Arial" w:hAnsi="Arial" w:cs="Arial"/>
          <w:bCs/>
          <w:i/>
          <w:szCs w:val="36"/>
        </w:rPr>
        <w:t>Acta Pathologica et Microbiologica Scandinavica Section B, 87</w:t>
      </w:r>
      <w:r>
        <w:rPr>
          <w:rFonts w:ascii="Arial" w:eastAsia="Arial" w:hAnsi="Arial" w:cs="Arial"/>
          <w:bCs/>
          <w:szCs w:val="36"/>
        </w:rPr>
        <w:t>(4), 227–233.</w:t>
      </w:r>
    </w:p>
    <w:p w14:paraId="5100D276"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Vladimirov, V. L. (1968). Immunity of fish. </w:t>
      </w:r>
      <w:r>
        <w:rPr>
          <w:rFonts w:ascii="Arial" w:eastAsia="Arial" w:hAnsi="Arial" w:cs="Arial"/>
          <w:bCs/>
          <w:i/>
          <w:szCs w:val="36"/>
        </w:rPr>
        <w:t>Bulletin de l'Office International des Épizooties, 69</w:t>
      </w:r>
      <w:r>
        <w:rPr>
          <w:rFonts w:ascii="Arial" w:eastAsia="Arial" w:hAnsi="Arial" w:cs="Arial"/>
          <w:bCs/>
          <w:szCs w:val="36"/>
        </w:rPr>
        <w:t>, 1365–1372.</w:t>
      </w:r>
    </w:p>
    <w:p w14:paraId="2796E5D1"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Vallejos-Vidal, E., Reyes-López, F., Teles, M., &amp; MacKenzie, S. (2016). The response of fish to immunostimulant diets. </w:t>
      </w:r>
      <w:r>
        <w:rPr>
          <w:rFonts w:ascii="Arial" w:eastAsia="Arial" w:hAnsi="Arial" w:cs="Arial"/>
          <w:bCs/>
          <w:i/>
          <w:szCs w:val="36"/>
        </w:rPr>
        <w:t>Fish &amp; Shellfish Immunology, 56</w:t>
      </w:r>
      <w:r>
        <w:rPr>
          <w:rFonts w:ascii="Arial" w:eastAsia="Arial" w:hAnsi="Arial" w:cs="Arial"/>
          <w:bCs/>
          <w:szCs w:val="36"/>
        </w:rPr>
        <w:t>, 34–69.</w:t>
      </w:r>
    </w:p>
    <w:p w14:paraId="62FB3A72"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Xie, J., Liu, B., Zhou, Q. L., Su, Y. T., He, Y. J., &amp; Pan, L. K. (2008). Effects of anthraquinone extract from rhubarb (</w:t>
      </w:r>
      <w:r>
        <w:rPr>
          <w:rFonts w:ascii="Arial" w:eastAsia="Arial" w:hAnsi="Arial" w:cs="Arial"/>
          <w:bCs/>
          <w:i/>
          <w:szCs w:val="36"/>
        </w:rPr>
        <w:t>Rheum officinale</w:t>
      </w:r>
      <w:r>
        <w:rPr>
          <w:rFonts w:ascii="Arial" w:eastAsia="Arial" w:hAnsi="Arial" w:cs="Arial"/>
          <w:bCs/>
          <w:szCs w:val="36"/>
        </w:rPr>
        <w:t>) on the crowding stress response and growth of common carp (</w:t>
      </w:r>
      <w:r>
        <w:rPr>
          <w:rFonts w:ascii="Arial" w:eastAsia="Arial" w:hAnsi="Arial" w:cs="Arial"/>
          <w:bCs/>
          <w:i/>
          <w:szCs w:val="36"/>
        </w:rPr>
        <w:t>Cyprinus carpio</w:t>
      </w:r>
      <w:r>
        <w:rPr>
          <w:rFonts w:ascii="Arial" w:eastAsia="Arial" w:hAnsi="Arial" w:cs="Arial"/>
          <w:bCs/>
          <w:szCs w:val="36"/>
        </w:rPr>
        <w:t xml:space="preserve"> var. </w:t>
      </w:r>
      <w:r>
        <w:rPr>
          <w:rFonts w:ascii="Arial" w:eastAsia="Arial" w:hAnsi="Arial" w:cs="Arial"/>
          <w:bCs/>
          <w:i/>
          <w:szCs w:val="36"/>
        </w:rPr>
        <w:t>Jian</w:t>
      </w:r>
      <w:r>
        <w:rPr>
          <w:rFonts w:ascii="Arial" w:eastAsia="Arial" w:hAnsi="Arial" w:cs="Arial"/>
          <w:bCs/>
          <w:szCs w:val="36"/>
        </w:rPr>
        <w:t xml:space="preserve">). </w:t>
      </w:r>
      <w:r>
        <w:rPr>
          <w:rFonts w:ascii="Arial" w:eastAsia="Arial" w:hAnsi="Arial" w:cs="Arial"/>
          <w:bCs/>
          <w:i/>
          <w:szCs w:val="36"/>
        </w:rPr>
        <w:t>Aquaculture, 281</w:t>
      </w:r>
      <w:r>
        <w:rPr>
          <w:rFonts w:ascii="Arial" w:eastAsia="Arial" w:hAnsi="Arial" w:cs="Arial"/>
          <w:bCs/>
          <w:szCs w:val="36"/>
        </w:rPr>
        <w:t>(1–4), 5–11.</w:t>
      </w:r>
    </w:p>
    <w:p w14:paraId="5AFE181B"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Yano, T. (1992). Assays of haemolytic complement activity. In J. S. Stolen, T. C. Fletcher, D. P. Anderson, S. L. Kaattari, &amp; A. F. Rowley (Eds.), </w:t>
      </w:r>
      <w:r>
        <w:rPr>
          <w:rFonts w:ascii="Arial" w:eastAsia="Arial" w:hAnsi="Arial" w:cs="Arial"/>
          <w:bCs/>
          <w:i/>
          <w:szCs w:val="36"/>
        </w:rPr>
        <w:t>Techniques in fish immunology</w:t>
      </w:r>
      <w:r>
        <w:rPr>
          <w:rFonts w:ascii="Arial" w:eastAsia="Arial" w:hAnsi="Arial" w:cs="Arial"/>
          <w:bCs/>
          <w:szCs w:val="36"/>
        </w:rPr>
        <w:t xml:space="preserve"> (pp. 131–139). SOS Publications.</w:t>
      </w:r>
    </w:p>
    <w:p w14:paraId="60EFA4D7" w14:textId="77777777" w:rsidR="00863806" w:rsidRDefault="00000000">
      <w:pPr>
        <w:pBdr>
          <w:top w:val="nil"/>
          <w:left w:val="nil"/>
          <w:bottom w:val="nil"/>
          <w:right w:val="nil"/>
          <w:between w:val="nil"/>
        </w:pBdr>
        <w:ind w:left="567" w:hanging="567"/>
        <w:jc w:val="both"/>
        <w:rPr>
          <w:rFonts w:ascii="Arial" w:eastAsia="Arial" w:hAnsi="Arial" w:cs="Arial"/>
          <w:bCs/>
          <w:szCs w:val="36"/>
        </w:rPr>
      </w:pPr>
      <w:r>
        <w:rPr>
          <w:rFonts w:ascii="Arial" w:eastAsia="Arial" w:hAnsi="Arial" w:cs="Arial"/>
          <w:bCs/>
          <w:szCs w:val="36"/>
        </w:rPr>
        <w:t xml:space="preserve">Yao, Y. Y., Chen, D. D., Cui, Z. W., Zhang, X. Y., Zhou, Y. Y., Guo, X., Li, A. H., &amp; Zhang, Y. A. (2019). Oral vaccination of tilapia against </w:t>
      </w:r>
      <w:r>
        <w:rPr>
          <w:rFonts w:ascii="Arial" w:eastAsia="Arial" w:hAnsi="Arial" w:cs="Arial"/>
          <w:bCs/>
          <w:i/>
          <w:szCs w:val="36"/>
        </w:rPr>
        <w:t>Streptococcus agalactiae</w:t>
      </w:r>
      <w:r>
        <w:rPr>
          <w:rFonts w:ascii="Arial" w:eastAsia="Arial" w:hAnsi="Arial" w:cs="Arial"/>
          <w:bCs/>
          <w:szCs w:val="36"/>
        </w:rPr>
        <w:t xml:space="preserve"> using </w:t>
      </w:r>
      <w:r>
        <w:rPr>
          <w:rFonts w:ascii="Arial" w:eastAsia="Arial" w:hAnsi="Arial" w:cs="Arial"/>
          <w:bCs/>
          <w:i/>
          <w:szCs w:val="36"/>
        </w:rPr>
        <w:t>Bacillus subtilis</w:t>
      </w:r>
      <w:r>
        <w:rPr>
          <w:rFonts w:ascii="Arial" w:eastAsia="Arial" w:hAnsi="Arial" w:cs="Arial"/>
          <w:bCs/>
          <w:szCs w:val="36"/>
        </w:rPr>
        <w:t xml:space="preserve"> spores expressing Sip. </w:t>
      </w:r>
      <w:r>
        <w:rPr>
          <w:rFonts w:ascii="Arial" w:eastAsia="Arial" w:hAnsi="Arial" w:cs="Arial"/>
          <w:bCs/>
          <w:i/>
          <w:szCs w:val="36"/>
        </w:rPr>
        <w:t>Fish &amp; Shellfish Immunology, 86</w:t>
      </w:r>
      <w:r>
        <w:rPr>
          <w:rFonts w:ascii="Arial" w:eastAsia="Arial" w:hAnsi="Arial" w:cs="Arial"/>
          <w:bCs/>
          <w:szCs w:val="36"/>
        </w:rPr>
        <w:t>, 999–1008.</w:t>
      </w:r>
    </w:p>
    <w:p w14:paraId="6493AE8F" w14:textId="77777777" w:rsidR="00863806" w:rsidRDefault="00863806">
      <w:pPr>
        <w:keepNext/>
        <w:keepLines/>
        <w:pBdr>
          <w:top w:val="nil"/>
          <w:left w:val="nil"/>
          <w:bottom w:val="nil"/>
          <w:right w:val="nil"/>
          <w:between w:val="nil"/>
        </w:pBdr>
        <w:rPr>
          <w:rFonts w:cs="Arial"/>
          <w:bCs/>
          <w:szCs w:val="28"/>
        </w:rPr>
      </w:pPr>
    </w:p>
    <w:sectPr w:rsidR="00863806" w:rsidSect="00F7227A">
      <w:headerReference w:type="even" r:id="rId13"/>
      <w:headerReference w:type="default" r:id="rId14"/>
      <w:footerReference w:type="even" r:id="rId15"/>
      <w:footerReference w:type="default" r:id="rId16"/>
      <w:headerReference w:type="first" r:id="rId17"/>
      <w:footerReference w:type="first" r:id="rId18"/>
      <w:pgSz w:w="12240" w:h="15840"/>
      <w:pgMar w:top="1440" w:right="2016" w:bottom="2016" w:left="2016" w:header="720" w:footer="1123"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na Tomańska" w:date="2026-07-28T18:08:00Z" w:initials="AT">
    <w:p w14:paraId="5DA2A1AF" w14:textId="15517E26" w:rsidR="003E3C6A" w:rsidRDefault="003E3C6A">
      <w:pPr>
        <w:pStyle w:val="Tekstkomentarza"/>
      </w:pPr>
      <w:r>
        <w:rPr>
          <w:rStyle w:val="Odwoaniedokomentarza"/>
        </w:rPr>
        <w:annotationRef/>
      </w:r>
      <w:r>
        <w:rPr>
          <w:rStyle w:val="Odwoaniedokomentarza"/>
        </w:rPr>
        <w:t xml:space="preserve">If that was linked often there should be more literature showing that. Shinn et al. linked it… </w:t>
      </w:r>
    </w:p>
  </w:comment>
  <w:comment w:id="1" w:author="Anna Tomańska" w:date="2026-07-28T18:10:00Z" w:initials="AT">
    <w:p w14:paraId="72614667" w14:textId="5E6803F0" w:rsidR="003E3C6A" w:rsidRDefault="003E3C6A">
      <w:pPr>
        <w:pStyle w:val="Tekstkomentarza"/>
      </w:pPr>
      <w:r>
        <w:rPr>
          <w:rStyle w:val="Odwoaniedokomentarza"/>
        </w:rPr>
        <w:annotationRef/>
      </w:r>
      <w:r>
        <w:t xml:space="preserve">Are viruses pathogenic organisms? </w:t>
      </w:r>
      <w:r>
        <w:br/>
        <w:t xml:space="preserve">I can suggest to change it as viruses can be pathogens but not organisms. </w:t>
      </w:r>
    </w:p>
  </w:comment>
  <w:comment w:id="2" w:author="Anna Tomańska" w:date="2026-07-28T18:14:00Z" w:initials="AT">
    <w:p w14:paraId="576C0061" w14:textId="3CD68433" w:rsidR="003E3C6A" w:rsidRDefault="003E3C6A">
      <w:pPr>
        <w:pStyle w:val="Tekstkomentarza"/>
      </w:pPr>
      <w:r>
        <w:rPr>
          <w:rStyle w:val="Odwoaniedokomentarza"/>
        </w:rPr>
        <w:annotationRef/>
      </w:r>
      <w:r>
        <w:t>As well as</w:t>
      </w:r>
    </w:p>
  </w:comment>
  <w:comment w:id="3" w:author="Anna Tomańska" w:date="2026-07-28T18:14:00Z" w:initials="AT">
    <w:p w14:paraId="0C9A7C43" w14:textId="2CAF79BA" w:rsidR="003E3C6A" w:rsidRDefault="003E3C6A">
      <w:pPr>
        <w:pStyle w:val="Tekstkomentarza"/>
      </w:pPr>
      <w:r>
        <w:rPr>
          <w:rStyle w:val="Odwoaniedokomentarza"/>
        </w:rPr>
        <w:annotationRef/>
      </w:r>
      <w:r>
        <w:t>Delete complicated</w:t>
      </w:r>
    </w:p>
  </w:comment>
  <w:comment w:id="4" w:author="Anna Tomańska" w:date="2026-07-28T18:17:00Z" w:initials="AT">
    <w:p w14:paraId="4B32E27D" w14:textId="11B0B320" w:rsidR="003E3C6A" w:rsidRDefault="003E3C6A">
      <w:pPr>
        <w:pStyle w:val="Tekstkomentarza"/>
      </w:pPr>
      <w:r>
        <w:rPr>
          <w:rStyle w:val="Odwoaniedokomentarza"/>
        </w:rPr>
        <w:annotationRef/>
      </w:r>
      <w:r>
        <w:t>That sentence is too general not showing differential diagnosis based on organ pathological lesions</w:t>
      </w:r>
    </w:p>
  </w:comment>
  <w:comment w:id="5" w:author="Anna Tomańska" w:date="2026-07-28T18:19:00Z" w:initials="AT">
    <w:p w14:paraId="33E8861A" w14:textId="010E494A" w:rsidR="00187A8D" w:rsidRDefault="00187A8D">
      <w:pPr>
        <w:pStyle w:val="Tekstkomentarza"/>
      </w:pPr>
      <w:r>
        <w:rPr>
          <w:rStyle w:val="Odwoaniedokomentarza"/>
        </w:rPr>
        <w:annotationRef/>
      </w:r>
      <w:r>
        <w:t xml:space="preserve">S, agalactiae, there is missing letter e. </w:t>
      </w:r>
    </w:p>
  </w:comment>
  <w:comment w:id="6" w:author="Anna Tomańska" w:date="2026-07-28T18:20:00Z" w:initials="AT">
    <w:p w14:paraId="1C1E57C1" w14:textId="72C24650" w:rsidR="00187A8D" w:rsidRDefault="00187A8D">
      <w:pPr>
        <w:pStyle w:val="Tekstkomentarza"/>
      </w:pPr>
      <w:r>
        <w:rPr>
          <w:rStyle w:val="Odwoaniedokomentarza"/>
        </w:rPr>
        <w:annotationRef/>
      </w:r>
      <w:r>
        <w:t xml:space="preserve">Does this sentence correspond to both animal and humans, please check it. Because maybe we only see one species perspective. I am not sure to what it corresponds – tilapia, all aquaculture, S. agalactiae in general… </w:t>
      </w:r>
    </w:p>
  </w:comment>
  <w:comment w:id="7" w:author="Anna Tomańska" w:date="2026-07-28T21:02:00Z" w:initials="AT">
    <w:p w14:paraId="75F1F6E3" w14:textId="77777777" w:rsidR="000B3C89" w:rsidRDefault="000B3C89">
      <w:pPr>
        <w:pStyle w:val="Tekstkomentarza"/>
      </w:pPr>
      <w:r>
        <w:rPr>
          <w:rStyle w:val="Odwoaniedokomentarza"/>
        </w:rPr>
        <w:annotationRef/>
      </w:r>
      <w:r>
        <w:t xml:space="preserve">To evaluate, to analyze or other </w:t>
      </w:r>
    </w:p>
    <w:p w14:paraId="02BE1573" w14:textId="1B5F861D" w:rsidR="000B3C89" w:rsidRDefault="000B3C89">
      <w:pPr>
        <w:pStyle w:val="Tekstkomentarza"/>
      </w:pPr>
    </w:p>
  </w:comment>
  <w:comment w:id="8" w:author="Anna Tomańska" w:date="2026-07-28T21:03:00Z" w:initials="AT">
    <w:p w14:paraId="3DF7E575" w14:textId="5596B6B5" w:rsidR="000B3C89" w:rsidRDefault="000B3C89">
      <w:pPr>
        <w:pStyle w:val="Tekstkomentarza"/>
      </w:pPr>
      <w:r>
        <w:rPr>
          <w:rStyle w:val="Odwoaniedokomentarza"/>
        </w:rPr>
        <w:annotationRef/>
      </w:r>
      <w:r>
        <w:t xml:space="preserve">Have you used a published protocol? If yes, you should provide citation. </w:t>
      </w:r>
    </w:p>
  </w:comment>
  <w:comment w:id="9" w:author="Anna Tomańska" w:date="2026-07-28T21:16:00Z" w:initials="AT">
    <w:p w14:paraId="6BA81497" w14:textId="3FCCCDB4" w:rsidR="00000CA3" w:rsidRDefault="00000CA3">
      <w:pPr>
        <w:pStyle w:val="Tekstkomentarza"/>
      </w:pPr>
      <w:r>
        <w:rPr>
          <w:rStyle w:val="Odwoaniedokomentarza"/>
        </w:rPr>
        <w:annotationRef/>
      </w:r>
      <w:r>
        <w:t xml:space="preserve">Please provide if ethical commission approval was obligatory. </w:t>
      </w:r>
    </w:p>
  </w:comment>
  <w:comment w:id="10" w:author="Anna Tomańska" w:date="2026-07-28T21:17:00Z" w:initials="AT">
    <w:p w14:paraId="2EFC41D1" w14:textId="14679FA7" w:rsidR="00000CA3" w:rsidRDefault="00000CA3">
      <w:pPr>
        <w:pStyle w:val="Tekstkomentarza"/>
      </w:pPr>
      <w:r>
        <w:rPr>
          <w:rStyle w:val="Odwoaniedokomentarza"/>
        </w:rPr>
        <w:annotationRef/>
      </w:r>
      <w:r>
        <w:t xml:space="preserve">You could provide what method did you use to conduct these evidences. Was it postmortem dissection study? You should also provide how it was conducted. </w:t>
      </w:r>
    </w:p>
  </w:comment>
  <w:comment w:id="11" w:author="Anna Tomańska" w:date="2026-07-28T21:27:00Z" w:initials="AT">
    <w:p w14:paraId="3AC3EEAA" w14:textId="5B9949CC" w:rsidR="006A13DD" w:rsidRDefault="006A13DD">
      <w:pPr>
        <w:pStyle w:val="Tekstkomentarza"/>
      </w:pPr>
      <w:r>
        <w:rPr>
          <w:rStyle w:val="Odwoaniedokomentarza"/>
        </w:rPr>
        <w:annotationRef/>
      </w:r>
      <w:r>
        <w:t xml:space="preserve">If there are differences maybe T1 should be a, T2 – b, T3 – c etc. </w:t>
      </w:r>
      <w:r>
        <w:br/>
        <w:t xml:space="preserve">The result should be – results. </w:t>
      </w:r>
      <w:r>
        <w:br/>
        <w:t xml:space="preserve">I would recommend to check if the narrow range of the data is not changing perspective on it when the differences between groups could be smaller. </w:t>
      </w:r>
      <w:r>
        <w:br/>
        <w:t xml:space="preserve">In the same time on the axis Y label should be ,,NBT reduction (OD at 655 nm).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A2A1AF" w15:done="0"/>
  <w15:commentEx w15:paraId="72614667" w15:done="0"/>
  <w15:commentEx w15:paraId="576C0061" w15:done="0"/>
  <w15:commentEx w15:paraId="0C9A7C43" w15:done="0"/>
  <w15:commentEx w15:paraId="4B32E27D" w15:done="0"/>
  <w15:commentEx w15:paraId="33E8861A" w15:done="0"/>
  <w15:commentEx w15:paraId="1C1E57C1" w15:done="0"/>
  <w15:commentEx w15:paraId="02BE1573" w15:done="0"/>
  <w15:commentEx w15:paraId="3DF7E575" w15:done="0"/>
  <w15:commentEx w15:paraId="6BA81497" w15:done="0"/>
  <w15:commentEx w15:paraId="2EFC41D1" w15:done="0"/>
  <w15:commentEx w15:paraId="3AC3EE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EB8D21B" w16cex:dateUtc="2026-07-28T16:08:00Z"/>
  <w16cex:commentExtensible w16cex:durableId="17A813A0" w16cex:dateUtc="2026-07-28T16:10:00Z"/>
  <w16cex:commentExtensible w16cex:durableId="07E573AF" w16cex:dateUtc="2026-07-28T16:14:00Z"/>
  <w16cex:commentExtensible w16cex:durableId="7DB58714" w16cex:dateUtc="2026-07-28T16:14:00Z"/>
  <w16cex:commentExtensible w16cex:durableId="6E6F7455" w16cex:dateUtc="2026-07-28T16:17:00Z"/>
  <w16cex:commentExtensible w16cex:durableId="56854CBF" w16cex:dateUtc="2026-07-28T16:19:00Z"/>
  <w16cex:commentExtensible w16cex:durableId="70F05EBC" w16cex:dateUtc="2026-07-28T16:20:00Z"/>
  <w16cex:commentExtensible w16cex:durableId="0718AD0D" w16cex:dateUtc="2026-07-28T19:02:00Z"/>
  <w16cex:commentExtensible w16cex:durableId="0E098CC5" w16cex:dateUtc="2026-07-28T19:03:00Z"/>
  <w16cex:commentExtensible w16cex:durableId="49E6B036" w16cex:dateUtc="2026-07-28T19:16:00Z"/>
  <w16cex:commentExtensible w16cex:durableId="7AAE6834" w16cex:dateUtc="2026-07-28T19:17:00Z"/>
  <w16cex:commentExtensible w16cex:durableId="7E36D61B" w16cex:dateUtc="2026-07-28T1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A2A1AF" w16cid:durableId="7EB8D21B"/>
  <w16cid:commentId w16cid:paraId="72614667" w16cid:durableId="17A813A0"/>
  <w16cid:commentId w16cid:paraId="576C0061" w16cid:durableId="07E573AF"/>
  <w16cid:commentId w16cid:paraId="0C9A7C43" w16cid:durableId="7DB58714"/>
  <w16cid:commentId w16cid:paraId="4B32E27D" w16cid:durableId="6E6F7455"/>
  <w16cid:commentId w16cid:paraId="33E8861A" w16cid:durableId="56854CBF"/>
  <w16cid:commentId w16cid:paraId="1C1E57C1" w16cid:durableId="70F05EBC"/>
  <w16cid:commentId w16cid:paraId="02BE1573" w16cid:durableId="0718AD0D"/>
  <w16cid:commentId w16cid:paraId="3DF7E575" w16cid:durableId="0E098CC5"/>
  <w16cid:commentId w16cid:paraId="6BA81497" w16cid:durableId="49E6B036"/>
  <w16cid:commentId w16cid:paraId="2EFC41D1" w16cid:durableId="7AAE6834"/>
  <w16cid:commentId w16cid:paraId="3AC3EEAA" w16cid:durableId="7E36D6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625ED" w14:textId="77777777" w:rsidR="001E0E52" w:rsidRDefault="001E0E52">
      <w:r>
        <w:separator/>
      </w:r>
    </w:p>
  </w:endnote>
  <w:endnote w:type="continuationSeparator" w:id="0">
    <w:p w14:paraId="5F3E8218" w14:textId="77777777" w:rsidR="001E0E52" w:rsidRDefault="001E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4AD2" w14:textId="77777777" w:rsidR="00F7227A" w:rsidRDefault="00F7227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3069" w14:textId="77777777" w:rsidR="00863806" w:rsidRDefault="0086380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7F74" w14:textId="77777777" w:rsidR="00F7227A" w:rsidRDefault="00F722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CC22" w14:textId="77777777" w:rsidR="001E0E52" w:rsidRDefault="001E0E52">
      <w:r>
        <w:separator/>
      </w:r>
    </w:p>
  </w:footnote>
  <w:footnote w:type="continuationSeparator" w:id="0">
    <w:p w14:paraId="178B3E45" w14:textId="77777777" w:rsidR="001E0E52" w:rsidRDefault="001E0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D91F" w14:textId="0E2A67C5" w:rsidR="00F7227A" w:rsidRDefault="00000000">
    <w:pPr>
      <w:pStyle w:val="Nagwek"/>
    </w:pPr>
    <w:r>
      <w:rPr>
        <w:noProof/>
      </w:rPr>
      <w:pict w14:anchorId="2985D4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7EA0" w14:textId="5B0AEAE2" w:rsidR="00863806" w:rsidRDefault="00000000">
    <w:pPr>
      <w:pStyle w:val="Nagwek"/>
    </w:pPr>
    <w:r>
      <w:rPr>
        <w:noProof/>
      </w:rPr>
      <w:pict w14:anchorId="187852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C5D5" w14:textId="53731E71" w:rsidR="00F7227A" w:rsidRDefault="00000000">
    <w:pPr>
      <w:pStyle w:val="Nagwek"/>
    </w:pPr>
    <w:r>
      <w:rPr>
        <w:noProof/>
      </w:rPr>
      <w:pict w14:anchorId="564C9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97203" o:spid="_x0000_s1025" type="#_x0000_t136" style="position:absolute;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F9E"/>
    <w:multiLevelType w:val="singleLevel"/>
    <w:tmpl w:val="68760750"/>
    <w:name w:val="Numbered list 12"/>
    <w:lvl w:ilvl="0">
      <w:start w:val="1"/>
      <w:numFmt w:val="decimal"/>
      <w:lvlText w:val="%1. "/>
      <w:lvlJc w:val="left"/>
      <w:pPr>
        <w:ind w:left="0" w:firstLine="0"/>
      </w:pPr>
      <w:rPr>
        <w:rFonts w:ascii="Helvetica" w:hAnsi="Helvetica"/>
        <w:b w:val="0"/>
        <w:sz w:val="20"/>
        <w:u w:val="none"/>
      </w:rPr>
    </w:lvl>
  </w:abstractNum>
  <w:abstractNum w:abstractNumId="1" w15:restartNumberingAfterBreak="0">
    <w:nsid w:val="07BA2A07"/>
    <w:multiLevelType w:val="singleLevel"/>
    <w:tmpl w:val="F03E3B50"/>
    <w:name w:val="Numbered list 16"/>
    <w:lvl w:ilvl="0">
      <w:start w:val="1"/>
      <w:numFmt w:val="decimal"/>
      <w:lvlText w:val="%1."/>
      <w:lvlJc w:val="left"/>
      <w:pPr>
        <w:ind w:left="0" w:firstLine="0"/>
      </w:pPr>
    </w:lvl>
  </w:abstractNum>
  <w:abstractNum w:abstractNumId="2" w15:restartNumberingAfterBreak="0">
    <w:nsid w:val="097F6DA3"/>
    <w:multiLevelType w:val="hybridMultilevel"/>
    <w:tmpl w:val="A7C475C6"/>
    <w:name w:val="Numbered list 17"/>
    <w:lvl w:ilvl="0" w:tplc="C0146CDE">
      <w:numFmt w:val="bullet"/>
      <w:lvlText w:val="·"/>
      <w:lvlJc w:val="left"/>
      <w:pPr>
        <w:ind w:left="360" w:firstLine="0"/>
      </w:pPr>
      <w:rPr>
        <w:rFonts w:ascii="Arial" w:eastAsia="Times New Roman" w:hAnsi="Arial" w:cs="Arial"/>
      </w:rPr>
    </w:lvl>
    <w:lvl w:ilvl="1" w:tplc="EC18DE50">
      <w:numFmt w:val="bullet"/>
      <w:lvlText w:val="o"/>
      <w:lvlJc w:val="left"/>
      <w:pPr>
        <w:ind w:left="1080" w:firstLine="0"/>
      </w:pPr>
      <w:rPr>
        <w:rFonts w:ascii="Courier New" w:hAnsi="Courier New" w:cs="Courier New"/>
      </w:rPr>
    </w:lvl>
    <w:lvl w:ilvl="2" w:tplc="6074CD38">
      <w:numFmt w:val="bullet"/>
      <w:lvlText w:val=""/>
      <w:lvlJc w:val="left"/>
      <w:pPr>
        <w:ind w:left="1800" w:firstLine="0"/>
      </w:pPr>
      <w:rPr>
        <w:rFonts w:ascii="Wingdings" w:eastAsia="Wingdings" w:hAnsi="Wingdings" w:cs="Wingdings"/>
      </w:rPr>
    </w:lvl>
    <w:lvl w:ilvl="3" w:tplc="7E200604">
      <w:numFmt w:val="bullet"/>
      <w:lvlText w:val=""/>
      <w:lvlJc w:val="left"/>
      <w:pPr>
        <w:ind w:left="2520" w:firstLine="0"/>
      </w:pPr>
      <w:rPr>
        <w:rFonts w:ascii="Symbol" w:hAnsi="Symbol"/>
      </w:rPr>
    </w:lvl>
    <w:lvl w:ilvl="4" w:tplc="2D2AE840">
      <w:numFmt w:val="bullet"/>
      <w:lvlText w:val="o"/>
      <w:lvlJc w:val="left"/>
      <w:pPr>
        <w:ind w:left="3240" w:firstLine="0"/>
      </w:pPr>
      <w:rPr>
        <w:rFonts w:ascii="Courier New" w:hAnsi="Courier New" w:cs="Courier New"/>
      </w:rPr>
    </w:lvl>
    <w:lvl w:ilvl="5" w:tplc="9886B71E">
      <w:numFmt w:val="bullet"/>
      <w:lvlText w:val=""/>
      <w:lvlJc w:val="left"/>
      <w:pPr>
        <w:ind w:left="3960" w:firstLine="0"/>
      </w:pPr>
      <w:rPr>
        <w:rFonts w:ascii="Wingdings" w:eastAsia="Wingdings" w:hAnsi="Wingdings" w:cs="Wingdings"/>
      </w:rPr>
    </w:lvl>
    <w:lvl w:ilvl="6" w:tplc="7AC099B2">
      <w:numFmt w:val="bullet"/>
      <w:lvlText w:val=""/>
      <w:lvlJc w:val="left"/>
      <w:pPr>
        <w:ind w:left="4680" w:firstLine="0"/>
      </w:pPr>
      <w:rPr>
        <w:rFonts w:ascii="Symbol" w:hAnsi="Symbol"/>
      </w:rPr>
    </w:lvl>
    <w:lvl w:ilvl="7" w:tplc="AE1C1EFC">
      <w:numFmt w:val="bullet"/>
      <w:lvlText w:val="o"/>
      <w:lvlJc w:val="left"/>
      <w:pPr>
        <w:ind w:left="5400" w:firstLine="0"/>
      </w:pPr>
      <w:rPr>
        <w:rFonts w:ascii="Courier New" w:hAnsi="Courier New" w:cs="Courier New"/>
      </w:rPr>
    </w:lvl>
    <w:lvl w:ilvl="8" w:tplc="0B4CDA88">
      <w:numFmt w:val="bullet"/>
      <w:lvlText w:val=""/>
      <w:lvlJc w:val="left"/>
      <w:pPr>
        <w:ind w:left="6120" w:firstLine="0"/>
      </w:pPr>
      <w:rPr>
        <w:rFonts w:ascii="Wingdings" w:eastAsia="Wingdings" w:hAnsi="Wingdings" w:cs="Wingdings"/>
      </w:rPr>
    </w:lvl>
  </w:abstractNum>
  <w:abstractNum w:abstractNumId="3" w15:restartNumberingAfterBreak="0">
    <w:nsid w:val="0DAA5A02"/>
    <w:multiLevelType w:val="hybridMultilevel"/>
    <w:tmpl w:val="9C26CBA4"/>
    <w:name w:val="Numbered list 28"/>
    <w:lvl w:ilvl="0" w:tplc="DDBCF430">
      <w:numFmt w:val="bullet"/>
      <w:lvlText w:val=""/>
      <w:lvlJc w:val="left"/>
      <w:pPr>
        <w:ind w:left="360" w:firstLine="0"/>
      </w:pPr>
      <w:rPr>
        <w:rFonts w:ascii="Symbol" w:hAnsi="Symbol"/>
        <w:sz w:val="20"/>
      </w:rPr>
    </w:lvl>
    <w:lvl w:ilvl="1" w:tplc="66C87364">
      <w:numFmt w:val="bullet"/>
      <w:lvlText w:val="o"/>
      <w:lvlJc w:val="left"/>
      <w:pPr>
        <w:ind w:left="1080" w:firstLine="0"/>
      </w:pPr>
      <w:rPr>
        <w:rFonts w:ascii="Courier New" w:hAnsi="Courier New"/>
        <w:sz w:val="20"/>
      </w:rPr>
    </w:lvl>
    <w:lvl w:ilvl="2" w:tplc="58286D94">
      <w:numFmt w:val="bullet"/>
      <w:lvlText w:val=""/>
      <w:lvlJc w:val="left"/>
      <w:pPr>
        <w:ind w:left="1800" w:firstLine="0"/>
      </w:pPr>
      <w:rPr>
        <w:rFonts w:ascii="Wingdings" w:eastAsia="Wingdings" w:hAnsi="Wingdings" w:cs="Wingdings"/>
        <w:sz w:val="20"/>
      </w:rPr>
    </w:lvl>
    <w:lvl w:ilvl="3" w:tplc="632C1A6C">
      <w:numFmt w:val="bullet"/>
      <w:lvlText w:val=""/>
      <w:lvlJc w:val="left"/>
      <w:pPr>
        <w:ind w:left="2520" w:firstLine="0"/>
      </w:pPr>
      <w:rPr>
        <w:rFonts w:ascii="Wingdings" w:eastAsia="Wingdings" w:hAnsi="Wingdings" w:cs="Wingdings"/>
        <w:sz w:val="20"/>
      </w:rPr>
    </w:lvl>
    <w:lvl w:ilvl="4" w:tplc="F6BE8898">
      <w:numFmt w:val="bullet"/>
      <w:lvlText w:val=""/>
      <w:lvlJc w:val="left"/>
      <w:pPr>
        <w:ind w:left="3240" w:firstLine="0"/>
      </w:pPr>
      <w:rPr>
        <w:rFonts w:ascii="Wingdings" w:eastAsia="Wingdings" w:hAnsi="Wingdings" w:cs="Wingdings"/>
        <w:sz w:val="20"/>
      </w:rPr>
    </w:lvl>
    <w:lvl w:ilvl="5" w:tplc="9BB8788E">
      <w:numFmt w:val="bullet"/>
      <w:lvlText w:val=""/>
      <w:lvlJc w:val="left"/>
      <w:pPr>
        <w:ind w:left="3960" w:firstLine="0"/>
      </w:pPr>
      <w:rPr>
        <w:rFonts w:ascii="Wingdings" w:eastAsia="Wingdings" w:hAnsi="Wingdings" w:cs="Wingdings"/>
        <w:sz w:val="20"/>
      </w:rPr>
    </w:lvl>
    <w:lvl w:ilvl="6" w:tplc="7C08D700">
      <w:numFmt w:val="bullet"/>
      <w:lvlText w:val=""/>
      <w:lvlJc w:val="left"/>
      <w:pPr>
        <w:ind w:left="4680" w:firstLine="0"/>
      </w:pPr>
      <w:rPr>
        <w:rFonts w:ascii="Wingdings" w:eastAsia="Wingdings" w:hAnsi="Wingdings" w:cs="Wingdings"/>
        <w:sz w:val="20"/>
      </w:rPr>
    </w:lvl>
    <w:lvl w:ilvl="7" w:tplc="CD5CC7CA">
      <w:numFmt w:val="bullet"/>
      <w:lvlText w:val=""/>
      <w:lvlJc w:val="left"/>
      <w:pPr>
        <w:ind w:left="5400" w:firstLine="0"/>
      </w:pPr>
      <w:rPr>
        <w:rFonts w:ascii="Wingdings" w:eastAsia="Wingdings" w:hAnsi="Wingdings" w:cs="Wingdings"/>
        <w:sz w:val="20"/>
      </w:rPr>
    </w:lvl>
    <w:lvl w:ilvl="8" w:tplc="2FEE09FC">
      <w:numFmt w:val="bullet"/>
      <w:lvlText w:val=""/>
      <w:lvlJc w:val="left"/>
      <w:pPr>
        <w:ind w:left="6120" w:firstLine="0"/>
      </w:pPr>
      <w:rPr>
        <w:rFonts w:ascii="Wingdings" w:eastAsia="Wingdings" w:hAnsi="Wingdings" w:cs="Wingdings"/>
        <w:sz w:val="20"/>
      </w:rPr>
    </w:lvl>
  </w:abstractNum>
  <w:abstractNum w:abstractNumId="4" w15:restartNumberingAfterBreak="0">
    <w:nsid w:val="11FE00F7"/>
    <w:multiLevelType w:val="singleLevel"/>
    <w:tmpl w:val="53B6F850"/>
    <w:name w:val="Numbered list 24"/>
    <w:lvl w:ilvl="0">
      <w:start w:val="1"/>
      <w:numFmt w:val="decimal"/>
      <w:lvlText w:val="%1"/>
      <w:lvlJc w:val="left"/>
      <w:pPr>
        <w:ind w:left="0" w:firstLine="0"/>
      </w:pPr>
      <w:rPr>
        <w:rFonts w:ascii="Symbol" w:hAnsi="Symbol"/>
        <w:b w:val="0"/>
        <w:sz w:val="20"/>
      </w:rPr>
    </w:lvl>
  </w:abstractNum>
  <w:abstractNum w:abstractNumId="5" w15:restartNumberingAfterBreak="0">
    <w:nsid w:val="134A3257"/>
    <w:multiLevelType w:val="hybridMultilevel"/>
    <w:tmpl w:val="048CA82E"/>
    <w:name w:val="Numbered list 27"/>
    <w:lvl w:ilvl="0" w:tplc="6EA08028">
      <w:start w:val="1"/>
      <w:numFmt w:val="decimal"/>
      <w:lvlText w:val="%1."/>
      <w:lvlJc w:val="left"/>
      <w:pPr>
        <w:ind w:left="360" w:firstLine="0"/>
      </w:pPr>
    </w:lvl>
    <w:lvl w:ilvl="1" w:tplc="0AA491BA">
      <w:start w:val="1"/>
      <w:numFmt w:val="lowerLetter"/>
      <w:lvlText w:val="%2."/>
      <w:lvlJc w:val="left"/>
      <w:pPr>
        <w:ind w:left="1080" w:firstLine="0"/>
      </w:pPr>
    </w:lvl>
    <w:lvl w:ilvl="2" w:tplc="F47E26E2">
      <w:start w:val="1"/>
      <w:numFmt w:val="lowerRoman"/>
      <w:lvlText w:val="%3."/>
      <w:lvlJc w:val="right"/>
      <w:pPr>
        <w:ind w:left="1980" w:firstLine="0"/>
      </w:pPr>
    </w:lvl>
    <w:lvl w:ilvl="3" w:tplc="14B847EE">
      <w:start w:val="1"/>
      <w:numFmt w:val="decimal"/>
      <w:lvlText w:val="%4."/>
      <w:lvlJc w:val="left"/>
      <w:pPr>
        <w:ind w:left="2520" w:firstLine="0"/>
      </w:pPr>
    </w:lvl>
    <w:lvl w:ilvl="4" w:tplc="E51C06DE">
      <w:start w:val="1"/>
      <w:numFmt w:val="lowerLetter"/>
      <w:lvlText w:val="%5."/>
      <w:lvlJc w:val="left"/>
      <w:pPr>
        <w:ind w:left="3240" w:firstLine="0"/>
      </w:pPr>
    </w:lvl>
    <w:lvl w:ilvl="5" w:tplc="F2D80960">
      <w:start w:val="1"/>
      <w:numFmt w:val="lowerRoman"/>
      <w:lvlText w:val="%6."/>
      <w:lvlJc w:val="right"/>
      <w:pPr>
        <w:ind w:left="4140" w:firstLine="0"/>
      </w:pPr>
    </w:lvl>
    <w:lvl w:ilvl="6" w:tplc="E98AE6C8">
      <w:start w:val="1"/>
      <w:numFmt w:val="decimal"/>
      <w:lvlText w:val="%7."/>
      <w:lvlJc w:val="left"/>
      <w:pPr>
        <w:ind w:left="4680" w:firstLine="0"/>
      </w:pPr>
    </w:lvl>
    <w:lvl w:ilvl="7" w:tplc="328A5C8E">
      <w:start w:val="1"/>
      <w:numFmt w:val="lowerLetter"/>
      <w:lvlText w:val="%8."/>
      <w:lvlJc w:val="left"/>
      <w:pPr>
        <w:ind w:left="5400" w:firstLine="0"/>
      </w:pPr>
    </w:lvl>
    <w:lvl w:ilvl="8" w:tplc="22E88BD0">
      <w:start w:val="1"/>
      <w:numFmt w:val="lowerRoman"/>
      <w:lvlText w:val="%9."/>
      <w:lvlJc w:val="right"/>
      <w:pPr>
        <w:ind w:left="6300" w:firstLine="0"/>
      </w:pPr>
    </w:lvl>
  </w:abstractNum>
  <w:abstractNum w:abstractNumId="6" w15:restartNumberingAfterBreak="0">
    <w:nsid w:val="151D1BAA"/>
    <w:multiLevelType w:val="singleLevel"/>
    <w:tmpl w:val="FFD06BDA"/>
    <w:name w:val="Numbered list 15"/>
    <w:lvl w:ilvl="0">
      <w:start w:val="1"/>
      <w:numFmt w:val="decimal"/>
      <w:lvlText w:val="%1. "/>
      <w:lvlJc w:val="left"/>
      <w:pPr>
        <w:ind w:left="0" w:firstLine="0"/>
      </w:pPr>
      <w:rPr>
        <w:rFonts w:ascii="Helvetica" w:hAnsi="Helvetica"/>
        <w:b w:val="0"/>
        <w:sz w:val="20"/>
        <w:u w:val="none"/>
      </w:rPr>
    </w:lvl>
  </w:abstractNum>
  <w:abstractNum w:abstractNumId="7" w15:restartNumberingAfterBreak="0">
    <w:nsid w:val="16630A52"/>
    <w:multiLevelType w:val="singleLevel"/>
    <w:tmpl w:val="3EF84016"/>
    <w:name w:val="Bullet 32"/>
    <w:lvl w:ilvl="0">
      <w:numFmt w:val="bullet"/>
      <w:lvlText w:val=""/>
      <w:lvlJc w:val="left"/>
      <w:pPr>
        <w:tabs>
          <w:tab w:val="num" w:pos="283"/>
        </w:tabs>
        <w:ind w:left="283" w:hanging="283"/>
      </w:pPr>
      <w:rPr>
        <w:rFonts w:ascii="Wingdings" w:eastAsia="Wingdings" w:hAnsi="Wingdings" w:cs="Wingdings"/>
      </w:rPr>
    </w:lvl>
  </w:abstractNum>
  <w:abstractNum w:abstractNumId="8" w15:restartNumberingAfterBreak="0">
    <w:nsid w:val="17EA30F5"/>
    <w:multiLevelType w:val="singleLevel"/>
    <w:tmpl w:val="C730053E"/>
    <w:name w:val="Numbered list 2"/>
    <w:lvl w:ilvl="0">
      <w:start w:val="1"/>
      <w:numFmt w:val="decimal"/>
      <w:lvlText w:val="%1. "/>
      <w:lvlJc w:val="left"/>
      <w:pPr>
        <w:ind w:left="0" w:firstLine="0"/>
      </w:pPr>
      <w:rPr>
        <w:rFonts w:ascii="Helvetica" w:hAnsi="Helvetica"/>
        <w:b w:val="0"/>
        <w:sz w:val="20"/>
        <w:u w:val="none"/>
      </w:rPr>
    </w:lvl>
  </w:abstractNum>
  <w:abstractNum w:abstractNumId="9" w15:restartNumberingAfterBreak="0">
    <w:nsid w:val="1F3606A6"/>
    <w:multiLevelType w:val="hybridMultilevel"/>
    <w:tmpl w:val="5EF2C174"/>
    <w:name w:val="Numbered list 21"/>
    <w:lvl w:ilvl="0" w:tplc="2E386DB4">
      <w:numFmt w:val="bullet"/>
      <w:lvlText w:val=""/>
      <w:lvlJc w:val="left"/>
      <w:pPr>
        <w:ind w:left="360" w:firstLine="0"/>
      </w:pPr>
      <w:rPr>
        <w:rFonts w:ascii="Symbol" w:hAnsi="Symbol"/>
      </w:rPr>
    </w:lvl>
    <w:lvl w:ilvl="1" w:tplc="2B9ED18C">
      <w:numFmt w:val="bullet"/>
      <w:lvlText w:val="o"/>
      <w:lvlJc w:val="left"/>
      <w:pPr>
        <w:ind w:left="1080" w:firstLine="0"/>
      </w:pPr>
      <w:rPr>
        <w:rFonts w:ascii="Courier New" w:hAnsi="Courier New" w:cs="Courier New"/>
      </w:rPr>
    </w:lvl>
    <w:lvl w:ilvl="2" w:tplc="936AADA4">
      <w:numFmt w:val="bullet"/>
      <w:lvlText w:val=""/>
      <w:lvlJc w:val="left"/>
      <w:pPr>
        <w:ind w:left="1800" w:firstLine="0"/>
      </w:pPr>
      <w:rPr>
        <w:rFonts w:ascii="Wingdings" w:eastAsia="Wingdings" w:hAnsi="Wingdings" w:cs="Wingdings"/>
      </w:rPr>
    </w:lvl>
    <w:lvl w:ilvl="3" w:tplc="E304C162">
      <w:numFmt w:val="bullet"/>
      <w:lvlText w:val=""/>
      <w:lvlJc w:val="left"/>
      <w:pPr>
        <w:ind w:left="2520" w:firstLine="0"/>
      </w:pPr>
      <w:rPr>
        <w:rFonts w:ascii="Symbol" w:hAnsi="Symbol"/>
      </w:rPr>
    </w:lvl>
    <w:lvl w:ilvl="4" w:tplc="48009440">
      <w:numFmt w:val="bullet"/>
      <w:lvlText w:val="o"/>
      <w:lvlJc w:val="left"/>
      <w:pPr>
        <w:ind w:left="3240" w:firstLine="0"/>
      </w:pPr>
      <w:rPr>
        <w:rFonts w:ascii="Courier New" w:hAnsi="Courier New" w:cs="Courier New"/>
      </w:rPr>
    </w:lvl>
    <w:lvl w:ilvl="5" w:tplc="E3249A4C">
      <w:numFmt w:val="bullet"/>
      <w:lvlText w:val=""/>
      <w:lvlJc w:val="left"/>
      <w:pPr>
        <w:ind w:left="3960" w:firstLine="0"/>
      </w:pPr>
      <w:rPr>
        <w:rFonts w:ascii="Wingdings" w:eastAsia="Wingdings" w:hAnsi="Wingdings" w:cs="Wingdings"/>
      </w:rPr>
    </w:lvl>
    <w:lvl w:ilvl="6" w:tplc="E08AA904">
      <w:numFmt w:val="bullet"/>
      <w:lvlText w:val=""/>
      <w:lvlJc w:val="left"/>
      <w:pPr>
        <w:ind w:left="4680" w:firstLine="0"/>
      </w:pPr>
      <w:rPr>
        <w:rFonts w:ascii="Symbol" w:hAnsi="Symbol"/>
      </w:rPr>
    </w:lvl>
    <w:lvl w:ilvl="7" w:tplc="8064E794">
      <w:numFmt w:val="bullet"/>
      <w:lvlText w:val="o"/>
      <w:lvlJc w:val="left"/>
      <w:pPr>
        <w:ind w:left="5400" w:firstLine="0"/>
      </w:pPr>
      <w:rPr>
        <w:rFonts w:ascii="Courier New" w:hAnsi="Courier New" w:cs="Courier New"/>
      </w:rPr>
    </w:lvl>
    <w:lvl w:ilvl="8" w:tplc="A970C400">
      <w:numFmt w:val="bullet"/>
      <w:lvlText w:val=""/>
      <w:lvlJc w:val="left"/>
      <w:pPr>
        <w:ind w:left="6120" w:firstLine="0"/>
      </w:pPr>
      <w:rPr>
        <w:rFonts w:ascii="Wingdings" w:eastAsia="Wingdings" w:hAnsi="Wingdings" w:cs="Wingdings"/>
      </w:rPr>
    </w:lvl>
  </w:abstractNum>
  <w:abstractNum w:abstractNumId="10" w15:restartNumberingAfterBreak="0">
    <w:nsid w:val="20E70879"/>
    <w:multiLevelType w:val="singleLevel"/>
    <w:tmpl w:val="63843EB6"/>
    <w:name w:val="Numbered list 20"/>
    <w:lvl w:ilvl="0">
      <w:start w:val="1"/>
      <w:numFmt w:val="decimal"/>
      <w:pStyle w:val="Reference"/>
      <w:lvlText w:val="%1."/>
      <w:lvlJc w:val="left"/>
      <w:pPr>
        <w:ind w:left="0" w:firstLine="0"/>
      </w:pPr>
    </w:lvl>
  </w:abstractNum>
  <w:abstractNum w:abstractNumId="11" w15:restartNumberingAfterBreak="0">
    <w:nsid w:val="24AB5CE5"/>
    <w:multiLevelType w:val="singleLevel"/>
    <w:tmpl w:val="F4BC7240"/>
    <w:name w:val="Numbered list 31"/>
    <w:lvl w:ilvl="0">
      <w:numFmt w:val="bullet"/>
      <w:lvlText w:val=""/>
      <w:lvlJc w:val="left"/>
      <w:pPr>
        <w:ind w:left="0" w:firstLine="0"/>
      </w:pPr>
      <w:rPr>
        <w:rFonts w:ascii="Wingdings" w:hAnsi="Wingdings"/>
        <w:sz w:val="16"/>
      </w:rPr>
    </w:lvl>
  </w:abstractNum>
  <w:abstractNum w:abstractNumId="12" w15:restartNumberingAfterBreak="0">
    <w:nsid w:val="28B60F49"/>
    <w:multiLevelType w:val="singleLevel"/>
    <w:tmpl w:val="2C60B4A8"/>
    <w:name w:val="Numbered list 7"/>
    <w:lvl w:ilvl="0">
      <w:start w:val="1"/>
      <w:numFmt w:val="decimal"/>
      <w:lvlText w:val="%1. "/>
      <w:lvlJc w:val="left"/>
      <w:pPr>
        <w:ind w:left="0" w:firstLine="0"/>
      </w:pPr>
      <w:rPr>
        <w:rFonts w:ascii="Helvetica" w:hAnsi="Helvetica"/>
        <w:b w:val="0"/>
        <w:sz w:val="20"/>
        <w:u w:val="none"/>
      </w:rPr>
    </w:lvl>
  </w:abstractNum>
  <w:abstractNum w:abstractNumId="13" w15:restartNumberingAfterBreak="0">
    <w:nsid w:val="2F33636B"/>
    <w:multiLevelType w:val="singleLevel"/>
    <w:tmpl w:val="96C0C9CA"/>
    <w:name w:val="Numbered list 26"/>
    <w:lvl w:ilvl="0">
      <w:start w:val="1"/>
      <w:numFmt w:val="decimal"/>
      <w:lvlText w:val="%1. "/>
      <w:lvlJc w:val="left"/>
      <w:pPr>
        <w:ind w:left="0" w:firstLine="0"/>
      </w:pPr>
      <w:rPr>
        <w:rFonts w:ascii="Helvetica" w:hAnsi="Helvetica"/>
        <w:b w:val="0"/>
        <w:sz w:val="20"/>
        <w:u w:val="none"/>
      </w:rPr>
    </w:lvl>
  </w:abstractNum>
  <w:abstractNum w:abstractNumId="14" w15:restartNumberingAfterBreak="0">
    <w:nsid w:val="31AF3F9C"/>
    <w:multiLevelType w:val="singleLevel"/>
    <w:tmpl w:val="FCD0830C"/>
    <w:name w:val="Numbered list 6"/>
    <w:lvl w:ilvl="0">
      <w:start w:val="1"/>
      <w:numFmt w:val="decimal"/>
      <w:lvlText w:val="%1. "/>
      <w:lvlJc w:val="left"/>
      <w:pPr>
        <w:ind w:left="0" w:firstLine="0"/>
      </w:pPr>
      <w:rPr>
        <w:rFonts w:ascii="Helvetica" w:hAnsi="Helvetica"/>
        <w:b w:val="0"/>
        <w:sz w:val="20"/>
        <w:u w:val="none"/>
      </w:rPr>
    </w:lvl>
  </w:abstractNum>
  <w:abstractNum w:abstractNumId="15" w15:restartNumberingAfterBreak="0">
    <w:nsid w:val="36854BF7"/>
    <w:multiLevelType w:val="singleLevel"/>
    <w:tmpl w:val="2BC0E6B8"/>
    <w:name w:val="Numbered list 30"/>
    <w:lvl w:ilvl="0">
      <w:numFmt w:val="bullet"/>
      <w:lvlText w:val=""/>
      <w:lvlJc w:val="left"/>
      <w:pPr>
        <w:ind w:left="0" w:firstLine="0"/>
      </w:pPr>
      <w:rPr>
        <w:rFonts w:ascii="Symbol" w:hAnsi="Symbol"/>
      </w:rPr>
    </w:lvl>
  </w:abstractNum>
  <w:abstractNum w:abstractNumId="16" w15:restartNumberingAfterBreak="0">
    <w:nsid w:val="3BFC7079"/>
    <w:multiLevelType w:val="singleLevel"/>
    <w:tmpl w:val="343C664E"/>
    <w:name w:val="Numbered list 4"/>
    <w:lvl w:ilvl="0">
      <w:start w:val="1"/>
      <w:numFmt w:val="decimal"/>
      <w:lvlText w:val="%1. "/>
      <w:lvlJc w:val="left"/>
      <w:pPr>
        <w:ind w:left="0" w:firstLine="0"/>
      </w:pPr>
      <w:rPr>
        <w:rFonts w:ascii="Helvetica" w:hAnsi="Helvetica"/>
        <w:b w:val="0"/>
        <w:sz w:val="20"/>
        <w:u w:val="none"/>
      </w:rPr>
    </w:lvl>
  </w:abstractNum>
  <w:abstractNum w:abstractNumId="17" w15:restartNumberingAfterBreak="0">
    <w:nsid w:val="3F8E6C40"/>
    <w:multiLevelType w:val="singleLevel"/>
    <w:tmpl w:val="48F4421C"/>
    <w:name w:val="Numbered list 14"/>
    <w:lvl w:ilvl="0">
      <w:start w:val="1"/>
      <w:numFmt w:val="decimal"/>
      <w:lvlText w:val="%1. "/>
      <w:lvlJc w:val="left"/>
      <w:pPr>
        <w:ind w:left="0" w:firstLine="0"/>
      </w:pPr>
      <w:rPr>
        <w:rFonts w:ascii="Helvetica" w:hAnsi="Helvetica"/>
        <w:b w:val="0"/>
        <w:sz w:val="20"/>
        <w:u w:val="none"/>
      </w:rPr>
    </w:lvl>
  </w:abstractNum>
  <w:abstractNum w:abstractNumId="18" w15:restartNumberingAfterBreak="0">
    <w:nsid w:val="47CC1840"/>
    <w:multiLevelType w:val="singleLevel"/>
    <w:tmpl w:val="E57423F0"/>
    <w:name w:val="Numbered list 10"/>
    <w:lvl w:ilvl="0">
      <w:start w:val="1"/>
      <w:numFmt w:val="decimal"/>
      <w:lvlText w:val="%1. "/>
      <w:lvlJc w:val="left"/>
      <w:pPr>
        <w:ind w:left="0" w:firstLine="0"/>
      </w:pPr>
      <w:rPr>
        <w:rFonts w:ascii="Helvetica" w:hAnsi="Helvetica"/>
        <w:b w:val="0"/>
        <w:sz w:val="20"/>
        <w:u w:val="none"/>
      </w:rPr>
    </w:lvl>
  </w:abstractNum>
  <w:abstractNum w:abstractNumId="19" w15:restartNumberingAfterBreak="0">
    <w:nsid w:val="4BB47D26"/>
    <w:multiLevelType w:val="hybridMultilevel"/>
    <w:tmpl w:val="DBB66C5C"/>
    <w:name w:val="Numbered list 11"/>
    <w:lvl w:ilvl="0" w:tplc="9FF06962">
      <w:numFmt w:val="bullet"/>
      <w:lvlText w:val=""/>
      <w:lvlJc w:val="left"/>
      <w:pPr>
        <w:ind w:left="360" w:firstLine="0"/>
      </w:pPr>
      <w:rPr>
        <w:rFonts w:ascii="Symbol" w:hAnsi="Symbol"/>
        <w:sz w:val="20"/>
      </w:rPr>
    </w:lvl>
    <w:lvl w:ilvl="1" w:tplc="2B00EEB6">
      <w:numFmt w:val="bullet"/>
      <w:lvlText w:val="o"/>
      <w:lvlJc w:val="left"/>
      <w:pPr>
        <w:ind w:left="1080" w:firstLine="0"/>
      </w:pPr>
      <w:rPr>
        <w:rFonts w:ascii="Courier New" w:hAnsi="Courier New"/>
        <w:sz w:val="20"/>
      </w:rPr>
    </w:lvl>
    <w:lvl w:ilvl="2" w:tplc="53CE73EE">
      <w:numFmt w:val="bullet"/>
      <w:lvlText w:val=""/>
      <w:lvlJc w:val="left"/>
      <w:pPr>
        <w:ind w:left="1800" w:firstLine="0"/>
      </w:pPr>
      <w:rPr>
        <w:rFonts w:ascii="Wingdings" w:eastAsia="Wingdings" w:hAnsi="Wingdings" w:cs="Wingdings"/>
        <w:sz w:val="20"/>
      </w:rPr>
    </w:lvl>
    <w:lvl w:ilvl="3" w:tplc="03529DD0">
      <w:numFmt w:val="bullet"/>
      <w:lvlText w:val=""/>
      <w:lvlJc w:val="left"/>
      <w:pPr>
        <w:ind w:left="2520" w:firstLine="0"/>
      </w:pPr>
      <w:rPr>
        <w:rFonts w:ascii="Wingdings" w:eastAsia="Wingdings" w:hAnsi="Wingdings" w:cs="Wingdings"/>
        <w:sz w:val="20"/>
      </w:rPr>
    </w:lvl>
    <w:lvl w:ilvl="4" w:tplc="B8B0C466">
      <w:numFmt w:val="bullet"/>
      <w:lvlText w:val=""/>
      <w:lvlJc w:val="left"/>
      <w:pPr>
        <w:ind w:left="3240" w:firstLine="0"/>
      </w:pPr>
      <w:rPr>
        <w:rFonts w:ascii="Wingdings" w:eastAsia="Wingdings" w:hAnsi="Wingdings" w:cs="Wingdings"/>
        <w:sz w:val="20"/>
      </w:rPr>
    </w:lvl>
    <w:lvl w:ilvl="5" w:tplc="18C8FDBA">
      <w:numFmt w:val="bullet"/>
      <w:lvlText w:val=""/>
      <w:lvlJc w:val="left"/>
      <w:pPr>
        <w:ind w:left="3960" w:firstLine="0"/>
      </w:pPr>
      <w:rPr>
        <w:rFonts w:ascii="Wingdings" w:eastAsia="Wingdings" w:hAnsi="Wingdings" w:cs="Wingdings"/>
        <w:sz w:val="20"/>
      </w:rPr>
    </w:lvl>
    <w:lvl w:ilvl="6" w:tplc="7956723E">
      <w:numFmt w:val="bullet"/>
      <w:lvlText w:val=""/>
      <w:lvlJc w:val="left"/>
      <w:pPr>
        <w:ind w:left="4680" w:firstLine="0"/>
      </w:pPr>
      <w:rPr>
        <w:rFonts w:ascii="Wingdings" w:eastAsia="Wingdings" w:hAnsi="Wingdings" w:cs="Wingdings"/>
        <w:sz w:val="20"/>
      </w:rPr>
    </w:lvl>
    <w:lvl w:ilvl="7" w:tplc="120253C6">
      <w:numFmt w:val="bullet"/>
      <w:lvlText w:val=""/>
      <w:lvlJc w:val="left"/>
      <w:pPr>
        <w:ind w:left="5400" w:firstLine="0"/>
      </w:pPr>
      <w:rPr>
        <w:rFonts w:ascii="Wingdings" w:eastAsia="Wingdings" w:hAnsi="Wingdings" w:cs="Wingdings"/>
        <w:sz w:val="20"/>
      </w:rPr>
    </w:lvl>
    <w:lvl w:ilvl="8" w:tplc="27AE93C2">
      <w:numFmt w:val="bullet"/>
      <w:lvlText w:val=""/>
      <w:lvlJc w:val="left"/>
      <w:pPr>
        <w:ind w:left="6120" w:firstLine="0"/>
      </w:pPr>
      <w:rPr>
        <w:rFonts w:ascii="Wingdings" w:eastAsia="Wingdings" w:hAnsi="Wingdings" w:cs="Wingdings"/>
        <w:sz w:val="20"/>
      </w:rPr>
    </w:lvl>
  </w:abstractNum>
  <w:abstractNum w:abstractNumId="20" w15:restartNumberingAfterBreak="0">
    <w:nsid w:val="4EDD3755"/>
    <w:multiLevelType w:val="singleLevel"/>
    <w:tmpl w:val="1114A454"/>
    <w:name w:val="Numbered list 22"/>
    <w:lvl w:ilvl="0">
      <w:start w:val="1"/>
      <w:numFmt w:val="decimal"/>
      <w:lvlText w:val="%1."/>
      <w:lvlJc w:val="left"/>
      <w:pPr>
        <w:ind w:left="0" w:firstLine="0"/>
      </w:pPr>
    </w:lvl>
  </w:abstractNum>
  <w:abstractNum w:abstractNumId="21" w15:restartNumberingAfterBreak="0">
    <w:nsid w:val="53E67724"/>
    <w:multiLevelType w:val="hybridMultilevel"/>
    <w:tmpl w:val="E040B38A"/>
    <w:lvl w:ilvl="0" w:tplc="4C5CC08C">
      <w:numFmt w:val="none"/>
      <w:lvlText w:val=""/>
      <w:lvlJc w:val="left"/>
      <w:pPr>
        <w:tabs>
          <w:tab w:val="num" w:pos="360"/>
        </w:tabs>
        <w:ind w:left="360" w:hanging="360"/>
      </w:pPr>
    </w:lvl>
    <w:lvl w:ilvl="1" w:tplc="60AC01A4">
      <w:numFmt w:val="none"/>
      <w:lvlText w:val=""/>
      <w:lvlJc w:val="left"/>
      <w:pPr>
        <w:tabs>
          <w:tab w:val="num" w:pos="360"/>
        </w:tabs>
        <w:ind w:left="360" w:hanging="360"/>
      </w:pPr>
    </w:lvl>
    <w:lvl w:ilvl="2" w:tplc="61ECF7E8">
      <w:numFmt w:val="none"/>
      <w:lvlText w:val=""/>
      <w:lvlJc w:val="left"/>
      <w:pPr>
        <w:tabs>
          <w:tab w:val="num" w:pos="360"/>
        </w:tabs>
        <w:ind w:left="360" w:hanging="360"/>
      </w:pPr>
    </w:lvl>
    <w:lvl w:ilvl="3" w:tplc="16283E64">
      <w:numFmt w:val="none"/>
      <w:lvlText w:val=""/>
      <w:lvlJc w:val="left"/>
      <w:pPr>
        <w:tabs>
          <w:tab w:val="num" w:pos="360"/>
        </w:tabs>
        <w:ind w:left="360" w:hanging="360"/>
      </w:pPr>
    </w:lvl>
    <w:lvl w:ilvl="4" w:tplc="CC2AED98">
      <w:numFmt w:val="none"/>
      <w:lvlText w:val=""/>
      <w:lvlJc w:val="left"/>
      <w:pPr>
        <w:tabs>
          <w:tab w:val="num" w:pos="360"/>
        </w:tabs>
        <w:ind w:left="360" w:hanging="360"/>
      </w:pPr>
    </w:lvl>
    <w:lvl w:ilvl="5" w:tplc="684EFEBA">
      <w:numFmt w:val="none"/>
      <w:lvlText w:val=""/>
      <w:lvlJc w:val="left"/>
      <w:pPr>
        <w:tabs>
          <w:tab w:val="num" w:pos="360"/>
        </w:tabs>
        <w:ind w:left="360" w:hanging="360"/>
      </w:pPr>
    </w:lvl>
    <w:lvl w:ilvl="6" w:tplc="AF0AC9E2">
      <w:numFmt w:val="none"/>
      <w:lvlText w:val=""/>
      <w:lvlJc w:val="left"/>
      <w:pPr>
        <w:tabs>
          <w:tab w:val="num" w:pos="360"/>
        </w:tabs>
        <w:ind w:left="360" w:hanging="360"/>
      </w:pPr>
    </w:lvl>
    <w:lvl w:ilvl="7" w:tplc="781C2A6A">
      <w:numFmt w:val="none"/>
      <w:lvlText w:val=""/>
      <w:lvlJc w:val="left"/>
      <w:pPr>
        <w:tabs>
          <w:tab w:val="num" w:pos="360"/>
        </w:tabs>
        <w:ind w:left="360" w:hanging="360"/>
      </w:pPr>
    </w:lvl>
    <w:lvl w:ilvl="8" w:tplc="793201F4">
      <w:numFmt w:val="none"/>
      <w:lvlText w:val=""/>
      <w:lvlJc w:val="left"/>
      <w:pPr>
        <w:tabs>
          <w:tab w:val="num" w:pos="360"/>
        </w:tabs>
        <w:ind w:left="360" w:hanging="360"/>
      </w:pPr>
    </w:lvl>
  </w:abstractNum>
  <w:abstractNum w:abstractNumId="22" w15:restartNumberingAfterBreak="0">
    <w:nsid w:val="57313B61"/>
    <w:multiLevelType w:val="singleLevel"/>
    <w:tmpl w:val="73027D14"/>
    <w:name w:val="Numbered list 8"/>
    <w:lvl w:ilvl="0">
      <w:start w:val="1"/>
      <w:numFmt w:val="decimal"/>
      <w:lvlText w:val="%1. "/>
      <w:lvlJc w:val="left"/>
      <w:pPr>
        <w:ind w:left="0" w:firstLine="0"/>
      </w:pPr>
      <w:rPr>
        <w:rFonts w:ascii="Helvetica" w:hAnsi="Helvetica"/>
        <w:b w:val="0"/>
        <w:sz w:val="20"/>
        <w:u w:val="none"/>
      </w:rPr>
    </w:lvl>
  </w:abstractNum>
  <w:abstractNum w:abstractNumId="23" w15:restartNumberingAfterBreak="0">
    <w:nsid w:val="5EB47925"/>
    <w:multiLevelType w:val="singleLevel"/>
    <w:tmpl w:val="9D5A2F80"/>
    <w:name w:val="Numbered list 9"/>
    <w:lvl w:ilvl="0">
      <w:start w:val="1"/>
      <w:numFmt w:val="decimal"/>
      <w:lvlText w:val="%1. "/>
      <w:lvlJc w:val="left"/>
      <w:pPr>
        <w:ind w:left="0" w:firstLine="0"/>
      </w:pPr>
      <w:rPr>
        <w:rFonts w:ascii="Helvetica" w:hAnsi="Helvetica"/>
        <w:b w:val="0"/>
        <w:sz w:val="20"/>
        <w:u w:val="none"/>
      </w:rPr>
    </w:lvl>
  </w:abstractNum>
  <w:abstractNum w:abstractNumId="24" w15:restartNumberingAfterBreak="0">
    <w:nsid w:val="62C91176"/>
    <w:multiLevelType w:val="singleLevel"/>
    <w:tmpl w:val="3C4A3444"/>
    <w:name w:val="Numbered list 18"/>
    <w:lvl w:ilvl="0">
      <w:start w:val="1"/>
      <w:numFmt w:val="decimal"/>
      <w:lvlText w:val="%1. "/>
      <w:lvlJc w:val="left"/>
      <w:pPr>
        <w:ind w:left="0" w:firstLine="0"/>
      </w:pPr>
      <w:rPr>
        <w:rFonts w:ascii="Helvetica" w:hAnsi="Helvetica"/>
        <w:b w:val="0"/>
        <w:sz w:val="20"/>
        <w:u w:val="none"/>
      </w:rPr>
    </w:lvl>
  </w:abstractNum>
  <w:abstractNum w:abstractNumId="25" w15:restartNumberingAfterBreak="0">
    <w:nsid w:val="644C1029"/>
    <w:multiLevelType w:val="singleLevel"/>
    <w:tmpl w:val="6FF81738"/>
    <w:name w:val="Numbered list 1"/>
    <w:lvl w:ilvl="0">
      <w:numFmt w:val="decimal"/>
      <w:lvlText w:val="*"/>
      <w:lvlJc w:val="left"/>
      <w:pPr>
        <w:ind w:left="0" w:firstLine="0"/>
      </w:pPr>
    </w:lvl>
  </w:abstractNum>
  <w:abstractNum w:abstractNumId="26" w15:restartNumberingAfterBreak="0">
    <w:nsid w:val="64FC5D3E"/>
    <w:multiLevelType w:val="singleLevel"/>
    <w:tmpl w:val="97865E12"/>
    <w:name w:val="Numbered list 13"/>
    <w:lvl w:ilvl="0">
      <w:start w:val="1"/>
      <w:numFmt w:val="decimal"/>
      <w:lvlText w:val="%1. "/>
      <w:lvlJc w:val="left"/>
      <w:pPr>
        <w:ind w:left="0" w:firstLine="0"/>
      </w:pPr>
      <w:rPr>
        <w:rFonts w:ascii="Helvetica" w:hAnsi="Helvetica"/>
        <w:b w:val="0"/>
        <w:sz w:val="20"/>
        <w:u w:val="none"/>
      </w:rPr>
    </w:lvl>
  </w:abstractNum>
  <w:abstractNum w:abstractNumId="27" w15:restartNumberingAfterBreak="0">
    <w:nsid w:val="67B96666"/>
    <w:multiLevelType w:val="singleLevel"/>
    <w:tmpl w:val="5B74FA44"/>
    <w:name w:val="Bullet 33"/>
    <w:lvl w:ilvl="0">
      <w:start w:val="1"/>
      <w:numFmt w:val="ordinal"/>
      <w:lvlText w:val="%1"/>
      <w:lvlJc w:val="left"/>
      <w:pPr>
        <w:tabs>
          <w:tab w:val="num" w:pos="283"/>
        </w:tabs>
        <w:ind w:left="283" w:hanging="283"/>
      </w:pPr>
    </w:lvl>
  </w:abstractNum>
  <w:abstractNum w:abstractNumId="28" w15:restartNumberingAfterBreak="0">
    <w:nsid w:val="6E807116"/>
    <w:multiLevelType w:val="hybridMultilevel"/>
    <w:tmpl w:val="5A4A347E"/>
    <w:name w:val="Numbered list 25"/>
    <w:lvl w:ilvl="0" w:tplc="13A635E0">
      <w:numFmt w:val="bullet"/>
      <w:lvlText w:val=""/>
      <w:lvlJc w:val="left"/>
      <w:pPr>
        <w:ind w:left="360" w:firstLine="0"/>
      </w:pPr>
      <w:rPr>
        <w:rFonts w:ascii="Symbol" w:hAnsi="Symbol"/>
        <w:sz w:val="20"/>
      </w:rPr>
    </w:lvl>
    <w:lvl w:ilvl="1" w:tplc="431269E0">
      <w:numFmt w:val="bullet"/>
      <w:lvlText w:val="o"/>
      <w:lvlJc w:val="left"/>
      <w:pPr>
        <w:ind w:left="1080" w:firstLine="0"/>
      </w:pPr>
      <w:rPr>
        <w:rFonts w:ascii="Courier New" w:hAnsi="Courier New"/>
        <w:sz w:val="20"/>
      </w:rPr>
    </w:lvl>
    <w:lvl w:ilvl="2" w:tplc="3EC8DD76">
      <w:numFmt w:val="bullet"/>
      <w:lvlText w:val=""/>
      <w:lvlJc w:val="left"/>
      <w:pPr>
        <w:ind w:left="1800" w:firstLine="0"/>
      </w:pPr>
      <w:rPr>
        <w:rFonts w:ascii="Wingdings" w:eastAsia="Wingdings" w:hAnsi="Wingdings" w:cs="Wingdings"/>
        <w:sz w:val="20"/>
      </w:rPr>
    </w:lvl>
    <w:lvl w:ilvl="3" w:tplc="9E162D86">
      <w:numFmt w:val="bullet"/>
      <w:lvlText w:val=""/>
      <w:lvlJc w:val="left"/>
      <w:pPr>
        <w:ind w:left="2520" w:firstLine="0"/>
      </w:pPr>
      <w:rPr>
        <w:rFonts w:ascii="Wingdings" w:eastAsia="Wingdings" w:hAnsi="Wingdings" w:cs="Wingdings"/>
        <w:sz w:val="20"/>
      </w:rPr>
    </w:lvl>
    <w:lvl w:ilvl="4" w:tplc="FD509CEA">
      <w:numFmt w:val="bullet"/>
      <w:lvlText w:val=""/>
      <w:lvlJc w:val="left"/>
      <w:pPr>
        <w:ind w:left="3240" w:firstLine="0"/>
      </w:pPr>
      <w:rPr>
        <w:rFonts w:ascii="Wingdings" w:eastAsia="Wingdings" w:hAnsi="Wingdings" w:cs="Wingdings"/>
        <w:sz w:val="20"/>
      </w:rPr>
    </w:lvl>
    <w:lvl w:ilvl="5" w:tplc="6136AFCE">
      <w:numFmt w:val="bullet"/>
      <w:lvlText w:val=""/>
      <w:lvlJc w:val="left"/>
      <w:pPr>
        <w:ind w:left="3960" w:firstLine="0"/>
      </w:pPr>
      <w:rPr>
        <w:rFonts w:ascii="Wingdings" w:eastAsia="Wingdings" w:hAnsi="Wingdings" w:cs="Wingdings"/>
        <w:sz w:val="20"/>
      </w:rPr>
    </w:lvl>
    <w:lvl w:ilvl="6" w:tplc="20E2D80C">
      <w:numFmt w:val="bullet"/>
      <w:lvlText w:val=""/>
      <w:lvlJc w:val="left"/>
      <w:pPr>
        <w:ind w:left="4680" w:firstLine="0"/>
      </w:pPr>
      <w:rPr>
        <w:rFonts w:ascii="Wingdings" w:eastAsia="Wingdings" w:hAnsi="Wingdings" w:cs="Wingdings"/>
        <w:sz w:val="20"/>
      </w:rPr>
    </w:lvl>
    <w:lvl w:ilvl="7" w:tplc="FACC0C14">
      <w:numFmt w:val="bullet"/>
      <w:lvlText w:val=""/>
      <w:lvlJc w:val="left"/>
      <w:pPr>
        <w:ind w:left="5400" w:firstLine="0"/>
      </w:pPr>
      <w:rPr>
        <w:rFonts w:ascii="Wingdings" w:eastAsia="Wingdings" w:hAnsi="Wingdings" w:cs="Wingdings"/>
        <w:sz w:val="20"/>
      </w:rPr>
    </w:lvl>
    <w:lvl w:ilvl="8" w:tplc="D49CE516">
      <w:numFmt w:val="bullet"/>
      <w:lvlText w:val=""/>
      <w:lvlJc w:val="left"/>
      <w:pPr>
        <w:ind w:left="6120" w:firstLine="0"/>
      </w:pPr>
      <w:rPr>
        <w:rFonts w:ascii="Wingdings" w:eastAsia="Wingdings" w:hAnsi="Wingdings" w:cs="Wingdings"/>
        <w:sz w:val="20"/>
      </w:rPr>
    </w:lvl>
  </w:abstractNum>
  <w:abstractNum w:abstractNumId="29" w15:restartNumberingAfterBreak="0">
    <w:nsid w:val="6FA84F50"/>
    <w:multiLevelType w:val="singleLevel"/>
    <w:tmpl w:val="D7DEFD8C"/>
    <w:name w:val="Numbered list 19"/>
    <w:lvl w:ilvl="0">
      <w:start w:val="1"/>
      <w:numFmt w:val="decimal"/>
      <w:lvlText w:val="%1. "/>
      <w:lvlJc w:val="left"/>
      <w:pPr>
        <w:ind w:left="0" w:firstLine="0"/>
      </w:pPr>
      <w:rPr>
        <w:rFonts w:ascii="Helvetica" w:hAnsi="Helvetica"/>
        <w:b w:val="0"/>
        <w:sz w:val="20"/>
        <w:u w:val="none"/>
      </w:rPr>
    </w:lvl>
  </w:abstractNum>
  <w:abstractNum w:abstractNumId="30" w15:restartNumberingAfterBreak="0">
    <w:nsid w:val="7183101C"/>
    <w:multiLevelType w:val="hybridMultilevel"/>
    <w:tmpl w:val="86200C2E"/>
    <w:name w:val="Numbered list 5"/>
    <w:lvl w:ilvl="0" w:tplc="A2426D6E">
      <w:numFmt w:val="bullet"/>
      <w:lvlText w:val=""/>
      <w:lvlJc w:val="left"/>
      <w:pPr>
        <w:ind w:left="360" w:firstLine="0"/>
      </w:pPr>
      <w:rPr>
        <w:rFonts w:ascii="Wingdings" w:hAnsi="Wingdings"/>
      </w:rPr>
    </w:lvl>
    <w:lvl w:ilvl="1" w:tplc="A13610E2">
      <w:numFmt w:val="bullet"/>
      <w:lvlText w:val="o"/>
      <w:lvlJc w:val="left"/>
      <w:pPr>
        <w:ind w:left="1080" w:firstLine="0"/>
      </w:pPr>
      <w:rPr>
        <w:rFonts w:ascii="Courier New" w:hAnsi="Courier New" w:cs="Courier New"/>
      </w:rPr>
    </w:lvl>
    <w:lvl w:ilvl="2" w:tplc="1C847B26">
      <w:numFmt w:val="bullet"/>
      <w:lvlText w:val=""/>
      <w:lvlJc w:val="left"/>
      <w:pPr>
        <w:ind w:left="1800" w:firstLine="0"/>
      </w:pPr>
      <w:rPr>
        <w:rFonts w:ascii="Wingdings" w:eastAsia="Wingdings" w:hAnsi="Wingdings" w:cs="Wingdings"/>
      </w:rPr>
    </w:lvl>
    <w:lvl w:ilvl="3" w:tplc="D56046C8">
      <w:numFmt w:val="bullet"/>
      <w:lvlText w:val=""/>
      <w:lvlJc w:val="left"/>
      <w:pPr>
        <w:ind w:left="2520" w:firstLine="0"/>
      </w:pPr>
      <w:rPr>
        <w:rFonts w:ascii="Symbol" w:hAnsi="Symbol"/>
      </w:rPr>
    </w:lvl>
    <w:lvl w:ilvl="4" w:tplc="C8FAD9E0">
      <w:numFmt w:val="bullet"/>
      <w:lvlText w:val="o"/>
      <w:lvlJc w:val="left"/>
      <w:pPr>
        <w:ind w:left="3240" w:firstLine="0"/>
      </w:pPr>
      <w:rPr>
        <w:rFonts w:ascii="Courier New" w:hAnsi="Courier New" w:cs="Courier New"/>
      </w:rPr>
    </w:lvl>
    <w:lvl w:ilvl="5" w:tplc="E84E7E82">
      <w:numFmt w:val="bullet"/>
      <w:lvlText w:val=""/>
      <w:lvlJc w:val="left"/>
      <w:pPr>
        <w:ind w:left="3960" w:firstLine="0"/>
      </w:pPr>
      <w:rPr>
        <w:rFonts w:ascii="Wingdings" w:eastAsia="Wingdings" w:hAnsi="Wingdings" w:cs="Wingdings"/>
      </w:rPr>
    </w:lvl>
    <w:lvl w:ilvl="6" w:tplc="A1A0E1D2">
      <w:numFmt w:val="bullet"/>
      <w:lvlText w:val=""/>
      <w:lvlJc w:val="left"/>
      <w:pPr>
        <w:ind w:left="4680" w:firstLine="0"/>
      </w:pPr>
      <w:rPr>
        <w:rFonts w:ascii="Symbol" w:hAnsi="Symbol"/>
      </w:rPr>
    </w:lvl>
    <w:lvl w:ilvl="7" w:tplc="C2EC63A0">
      <w:numFmt w:val="bullet"/>
      <w:lvlText w:val="o"/>
      <w:lvlJc w:val="left"/>
      <w:pPr>
        <w:ind w:left="5400" w:firstLine="0"/>
      </w:pPr>
      <w:rPr>
        <w:rFonts w:ascii="Courier New" w:hAnsi="Courier New" w:cs="Courier New"/>
      </w:rPr>
    </w:lvl>
    <w:lvl w:ilvl="8" w:tplc="57B073A2">
      <w:numFmt w:val="bullet"/>
      <w:lvlText w:val=""/>
      <w:lvlJc w:val="left"/>
      <w:pPr>
        <w:ind w:left="6120" w:firstLine="0"/>
      </w:pPr>
      <w:rPr>
        <w:rFonts w:ascii="Wingdings" w:eastAsia="Wingdings" w:hAnsi="Wingdings" w:cs="Wingdings"/>
      </w:rPr>
    </w:lvl>
  </w:abstractNum>
  <w:abstractNum w:abstractNumId="31" w15:restartNumberingAfterBreak="0">
    <w:nsid w:val="78CF0233"/>
    <w:multiLevelType w:val="singleLevel"/>
    <w:tmpl w:val="FDCC455A"/>
    <w:name w:val="Numbered list 3"/>
    <w:lvl w:ilvl="0">
      <w:start w:val="1"/>
      <w:numFmt w:val="decimal"/>
      <w:lvlText w:val="%1. "/>
      <w:lvlJc w:val="left"/>
      <w:pPr>
        <w:ind w:left="0" w:firstLine="0"/>
      </w:pPr>
      <w:rPr>
        <w:rFonts w:ascii="Helvetica" w:hAnsi="Helvetica"/>
        <w:b w:val="0"/>
        <w:sz w:val="20"/>
        <w:u w:val="none"/>
      </w:rPr>
    </w:lvl>
  </w:abstractNum>
  <w:abstractNum w:abstractNumId="32" w15:restartNumberingAfterBreak="0">
    <w:nsid w:val="7A415A5D"/>
    <w:multiLevelType w:val="singleLevel"/>
    <w:tmpl w:val="CD28EF50"/>
    <w:name w:val="Numbered list 29"/>
    <w:lvl w:ilvl="0">
      <w:start w:val="1"/>
      <w:numFmt w:val="decimal"/>
      <w:lvlText w:val="%1. "/>
      <w:lvlJc w:val="left"/>
      <w:pPr>
        <w:ind w:left="0" w:firstLine="0"/>
      </w:pPr>
      <w:rPr>
        <w:rFonts w:ascii="Helvetica" w:hAnsi="Helvetica"/>
        <w:b w:val="0"/>
        <w:sz w:val="20"/>
        <w:u w:val="none"/>
      </w:rPr>
    </w:lvl>
  </w:abstractNum>
  <w:abstractNum w:abstractNumId="33" w15:restartNumberingAfterBreak="0">
    <w:nsid w:val="7BEA0E03"/>
    <w:multiLevelType w:val="singleLevel"/>
    <w:tmpl w:val="9C5E5554"/>
    <w:name w:val="Numbered list 23"/>
    <w:lvl w:ilvl="0">
      <w:start w:val="1"/>
      <w:numFmt w:val="decimal"/>
      <w:lvlText w:val="%1. "/>
      <w:lvlJc w:val="left"/>
      <w:pPr>
        <w:ind w:left="0" w:firstLine="0"/>
      </w:pPr>
      <w:rPr>
        <w:rFonts w:ascii="Helvetica" w:hAnsi="Helvetica"/>
        <w:b w:val="0"/>
        <w:sz w:val="20"/>
        <w:u w:val="none"/>
      </w:rPr>
    </w:lvl>
  </w:abstractNum>
  <w:num w:numId="1" w16cid:durableId="1448816636">
    <w:abstractNumId w:val="25"/>
  </w:num>
  <w:num w:numId="2" w16cid:durableId="100612219">
    <w:abstractNumId w:val="8"/>
  </w:num>
  <w:num w:numId="3" w16cid:durableId="660042462">
    <w:abstractNumId w:val="31"/>
  </w:num>
  <w:num w:numId="4" w16cid:durableId="531578001">
    <w:abstractNumId w:val="16"/>
  </w:num>
  <w:num w:numId="5" w16cid:durableId="200482011">
    <w:abstractNumId w:val="30"/>
  </w:num>
  <w:num w:numId="6" w16cid:durableId="1882284383">
    <w:abstractNumId w:val="14"/>
  </w:num>
  <w:num w:numId="7" w16cid:durableId="1287078156">
    <w:abstractNumId w:val="12"/>
  </w:num>
  <w:num w:numId="8" w16cid:durableId="1496796010">
    <w:abstractNumId w:val="22"/>
  </w:num>
  <w:num w:numId="9" w16cid:durableId="1324624011">
    <w:abstractNumId w:val="23"/>
  </w:num>
  <w:num w:numId="10" w16cid:durableId="831336833">
    <w:abstractNumId w:val="18"/>
  </w:num>
  <w:num w:numId="11" w16cid:durableId="1798598482">
    <w:abstractNumId w:val="19"/>
  </w:num>
  <w:num w:numId="12" w16cid:durableId="1156991449">
    <w:abstractNumId w:val="0"/>
  </w:num>
  <w:num w:numId="13" w16cid:durableId="1689142931">
    <w:abstractNumId w:val="26"/>
  </w:num>
  <w:num w:numId="14" w16cid:durableId="370687543">
    <w:abstractNumId w:val="17"/>
  </w:num>
  <w:num w:numId="15" w16cid:durableId="990789762">
    <w:abstractNumId w:val="6"/>
  </w:num>
  <w:num w:numId="16" w16cid:durableId="590355640">
    <w:abstractNumId w:val="1"/>
  </w:num>
  <w:num w:numId="17" w16cid:durableId="1845127731">
    <w:abstractNumId w:val="2"/>
  </w:num>
  <w:num w:numId="18" w16cid:durableId="1499416511">
    <w:abstractNumId w:val="24"/>
  </w:num>
  <w:num w:numId="19" w16cid:durableId="1001127988">
    <w:abstractNumId w:val="29"/>
  </w:num>
  <w:num w:numId="20" w16cid:durableId="1710644757">
    <w:abstractNumId w:val="10"/>
  </w:num>
  <w:num w:numId="21" w16cid:durableId="866603235">
    <w:abstractNumId w:val="9"/>
  </w:num>
  <w:num w:numId="22" w16cid:durableId="490872174">
    <w:abstractNumId w:val="20"/>
  </w:num>
  <w:num w:numId="23" w16cid:durableId="2007634331">
    <w:abstractNumId w:val="33"/>
  </w:num>
  <w:num w:numId="24" w16cid:durableId="1430082893">
    <w:abstractNumId w:val="4"/>
  </w:num>
  <w:num w:numId="25" w16cid:durableId="865871826">
    <w:abstractNumId w:val="28"/>
  </w:num>
  <w:num w:numId="26" w16cid:durableId="1189103238">
    <w:abstractNumId w:val="13"/>
  </w:num>
  <w:num w:numId="27" w16cid:durableId="1475634891">
    <w:abstractNumId w:val="5"/>
  </w:num>
  <w:num w:numId="28" w16cid:durableId="367681538">
    <w:abstractNumId w:val="3"/>
  </w:num>
  <w:num w:numId="29" w16cid:durableId="551890461">
    <w:abstractNumId w:val="32"/>
  </w:num>
  <w:num w:numId="30" w16cid:durableId="718168774">
    <w:abstractNumId w:val="15"/>
  </w:num>
  <w:num w:numId="31" w16cid:durableId="543064020">
    <w:abstractNumId w:val="11"/>
  </w:num>
  <w:num w:numId="32" w16cid:durableId="900216678">
    <w:abstractNumId w:val="7"/>
  </w:num>
  <w:num w:numId="33" w16cid:durableId="106239440">
    <w:abstractNumId w:val="27"/>
  </w:num>
  <w:num w:numId="34" w16cid:durableId="170197066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Tomańska">
    <w15:presenceInfo w15:providerId="Windows Live" w15:userId="7aa5c3e29602b8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00"/>
  <w:drawingGridVerticalSpacing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806"/>
    <w:rsid w:val="00000CA3"/>
    <w:rsid w:val="000B3C89"/>
    <w:rsid w:val="00187A8D"/>
    <w:rsid w:val="001E0E52"/>
    <w:rsid w:val="002A2D07"/>
    <w:rsid w:val="003C615A"/>
    <w:rsid w:val="003E3C6A"/>
    <w:rsid w:val="006A13DD"/>
    <w:rsid w:val="007D338A"/>
    <w:rsid w:val="00863806"/>
    <w:rsid w:val="009C0417"/>
    <w:rsid w:val="00A40442"/>
    <w:rsid w:val="00BB52CE"/>
    <w:rsid w:val="00CE043E"/>
    <w:rsid w:val="00EB0BB1"/>
    <w:rsid w:val="00F7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1E83D"/>
  <w15:docId w15:val="{DA4DF7D7-230E-4103-B0E8-FD8CCB51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Helvetica" w:hAnsi="Helvetica"/>
    </w:rPr>
  </w:style>
  <w:style w:type="paragraph" w:styleId="Nagwek1">
    <w:name w:val="heading 1"/>
    <w:basedOn w:val="Normalny"/>
    <w:next w:val="Normalny"/>
    <w:qFormat/>
    <w:pPr>
      <w:keepNext/>
      <w:spacing w:before="240" w:after="60"/>
      <w:outlineLvl w:val="0"/>
    </w:pPr>
    <w:rPr>
      <w:rFonts w:ascii="Arial" w:hAnsi="Arial"/>
      <w:b/>
      <w:kern w:val="1"/>
      <w:sz w:val="28"/>
    </w:rPr>
  </w:style>
  <w:style w:type="paragraph" w:styleId="Nagwek2">
    <w:name w:val="heading 2"/>
    <w:basedOn w:val="Nagwek1"/>
    <w:next w:val="Normalny"/>
    <w:qFormat/>
    <w:pPr>
      <w:keepLines/>
      <w:outlineLvl w:val="1"/>
    </w:pPr>
    <w:rPr>
      <w:rFonts w:eastAsia="SimSun" w:cs="Arial"/>
      <w:bCs/>
      <w:sz w:val="32"/>
      <w:szCs w:val="32"/>
    </w:rPr>
  </w:style>
  <w:style w:type="paragraph" w:styleId="Nagwek3">
    <w:name w:val="heading 3"/>
    <w:basedOn w:val="Nagwek2"/>
    <w:next w:val="Normalny"/>
    <w:qFormat/>
    <w:pPr>
      <w:outlineLvl w:val="2"/>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uthor">
    <w:name w:val="Author"/>
    <w:basedOn w:val="Normalny"/>
    <w:qFormat/>
    <w:pPr>
      <w:spacing w:line="280" w:lineRule="exact"/>
      <w:jc w:val="right"/>
    </w:pPr>
    <w:rPr>
      <w:b/>
      <w:sz w:val="24"/>
    </w:rPr>
  </w:style>
  <w:style w:type="paragraph" w:customStyle="1" w:styleId="Affiliation">
    <w:name w:val="Affiliation"/>
    <w:basedOn w:val="Normalny"/>
    <w:qFormat/>
    <w:pPr>
      <w:spacing w:after="240" w:line="240" w:lineRule="exact"/>
      <w:jc w:val="right"/>
    </w:pPr>
  </w:style>
  <w:style w:type="paragraph" w:customStyle="1" w:styleId="Body">
    <w:name w:val="Body"/>
    <w:basedOn w:val="Normalny"/>
    <w:qFormat/>
    <w:pPr>
      <w:spacing w:after="240"/>
      <w:jc w:val="both"/>
    </w:pPr>
  </w:style>
  <w:style w:type="paragraph" w:customStyle="1" w:styleId="MainHead">
    <w:name w:val="Main Head"/>
    <w:basedOn w:val="Normalny"/>
    <w:qFormat/>
    <w:pPr>
      <w:keepNext/>
      <w:spacing w:after="240"/>
    </w:pPr>
    <w:rPr>
      <w:b/>
      <w:caps/>
    </w:rPr>
  </w:style>
  <w:style w:type="paragraph" w:customStyle="1" w:styleId="AbstHead">
    <w:name w:val="Abst Head"/>
    <w:basedOn w:val="MainHead"/>
    <w:qFormat/>
    <w:rPr>
      <w:sz w:val="22"/>
    </w:rPr>
  </w:style>
  <w:style w:type="paragraph" w:customStyle="1" w:styleId="IntroHead">
    <w:name w:val="Intro Head"/>
    <w:basedOn w:val="MainHead"/>
    <w:qFormat/>
    <w:rPr>
      <w:sz w:val="22"/>
    </w:rPr>
  </w:style>
  <w:style w:type="paragraph" w:customStyle="1" w:styleId="PaperNumber">
    <w:name w:val="Paper Number"/>
    <w:basedOn w:val="Normalny"/>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ny"/>
    <w:qFormat/>
    <w:pPr>
      <w:spacing w:after="960" w:line="200" w:lineRule="exact"/>
    </w:pPr>
    <w:rPr>
      <w:sz w:val="16"/>
    </w:rPr>
  </w:style>
  <w:style w:type="paragraph" w:styleId="Tytu">
    <w:name w:val="Title"/>
    <w:basedOn w:val="Normalny"/>
    <w:qFormat/>
    <w:pPr>
      <w:spacing w:after="360"/>
      <w:jc w:val="right"/>
    </w:pPr>
    <w:rPr>
      <w:b/>
      <w:kern w:val="1"/>
      <w:sz w:val="36"/>
    </w:rPr>
  </w:style>
  <w:style w:type="paragraph" w:customStyle="1" w:styleId="Reference">
    <w:name w:val="Reference"/>
    <w:basedOn w:val="Body"/>
    <w:qFormat/>
    <w:pPr>
      <w:numPr>
        <w:numId w:val="20"/>
      </w:numPr>
      <w:spacing w:after="0" w:line="240" w:lineRule="exact"/>
      <w:ind w:left="360" w:hanging="360"/>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2">
    <w:name w:val="Head2"/>
    <w:basedOn w:val="Normalny"/>
    <w:next w:val="Body"/>
    <w:qFormat/>
    <w:pPr>
      <w:keepNext/>
      <w:spacing w:after="240"/>
    </w:pPr>
    <w:rPr>
      <w:caps/>
    </w:rPr>
  </w:style>
  <w:style w:type="paragraph" w:customStyle="1" w:styleId="Head3">
    <w:name w:val="Head3"/>
    <w:basedOn w:val="Head2"/>
    <w:qFormat/>
    <w:rPr>
      <w:caps w:val="0"/>
      <w:u w:val="single"/>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styleId="Stopka">
    <w:name w:val="footer"/>
    <w:basedOn w:val="Normalny"/>
    <w:qFormat/>
    <w:pPr>
      <w:tabs>
        <w:tab w:val="center" w:pos="4320"/>
        <w:tab w:val="right" w:pos="8640"/>
      </w:tabs>
    </w:pPr>
  </w:style>
  <w:style w:type="paragraph" w:customStyle="1" w:styleId="Head40">
    <w:name w:val="Head 4"/>
    <w:basedOn w:val="Head3"/>
    <w:qFormat/>
    <w:rPr>
      <w:u w:val="none"/>
    </w:rPr>
  </w:style>
  <w:style w:type="paragraph" w:styleId="Nagwek">
    <w:name w:val="header"/>
    <w:basedOn w:val="Normalny"/>
    <w:qFormat/>
    <w:pPr>
      <w:tabs>
        <w:tab w:val="center" w:pos="4320"/>
        <w:tab w:val="right" w:pos="8640"/>
      </w:tabs>
    </w:pPr>
  </w:style>
  <w:style w:type="paragraph" w:customStyle="1" w:styleId="Paper">
    <w:name w:val="Paper"/>
    <w:basedOn w:val="Normalny"/>
    <w:qFormat/>
    <w:pPr>
      <w:spacing w:after="360" w:line="440" w:lineRule="exact"/>
      <w:jc w:val="right"/>
    </w:pPr>
    <w:rPr>
      <w:b/>
      <w:sz w:val="36"/>
    </w:rPr>
  </w:style>
  <w:style w:type="paragraph" w:styleId="Podpis">
    <w:name w:val="Signature"/>
    <w:basedOn w:val="Normalny"/>
    <w:qFormat/>
    <w:pPr>
      <w:ind w:left="4320"/>
    </w:pPr>
  </w:style>
  <w:style w:type="paragraph" w:customStyle="1" w:styleId="SymbolP">
    <w:name w:val="Symbol P"/>
    <w:basedOn w:val="Body"/>
    <w:qFormat/>
    <w:pPr>
      <w:tabs>
        <w:tab w:val="left" w:pos="720"/>
        <w:tab w:val="left" w:pos="3780"/>
      </w:tabs>
      <w:spacing w:after="0"/>
    </w:pPr>
    <w:rPr>
      <w:sz w:val="24"/>
    </w:rPr>
  </w:style>
  <w:style w:type="paragraph" w:styleId="Tekstpodstawowy2">
    <w:name w:val="Body Text 2"/>
    <w:basedOn w:val="Normalny"/>
    <w:qFormat/>
    <w:pPr>
      <w:spacing w:after="120" w:line="480" w:lineRule="auto"/>
    </w:pPr>
  </w:style>
  <w:style w:type="paragraph" w:customStyle="1" w:styleId="CommentText1">
    <w:name w:val="Comment Text1"/>
    <w:basedOn w:val="Normalny"/>
    <w:qFormat/>
    <w:rPr>
      <w:rFonts w:ascii="Times New Roman" w:hAnsi="Times New Roman"/>
      <w:lang w:val="nb-NO" w:eastAsia="nb-NO"/>
    </w:rPr>
  </w:style>
  <w:style w:type="paragraph" w:styleId="Tekstdymka">
    <w:name w:val="Balloon Text"/>
    <w:basedOn w:val="Normalny"/>
    <w:qFormat/>
    <w:rPr>
      <w:rFonts w:ascii="Tahoma" w:hAnsi="Tahoma" w:cs="Tahoma"/>
      <w:sz w:val="16"/>
      <w:szCs w:val="16"/>
    </w:rPr>
  </w:style>
  <w:style w:type="paragraph" w:styleId="Tekstpodstawowy3">
    <w:name w:val="Body Text 3"/>
    <w:basedOn w:val="Normalny"/>
    <w:qFormat/>
    <w:pPr>
      <w:spacing w:after="120"/>
    </w:pPr>
    <w:rPr>
      <w:sz w:val="16"/>
      <w:szCs w:val="16"/>
    </w:rPr>
  </w:style>
  <w:style w:type="paragraph" w:styleId="Bezodstpw">
    <w:name w:val="No Spacing"/>
    <w:basedOn w:val="Normalny"/>
    <w:qFormat/>
  </w:style>
  <w:style w:type="paragraph" w:customStyle="1" w:styleId="ql-align-justify">
    <w:name w:val="ql-align-justify"/>
    <w:basedOn w:val="Normalny"/>
    <w:qFormat/>
    <w:pPr>
      <w:spacing w:before="100" w:beforeAutospacing="1" w:after="100" w:afterAutospacing="1"/>
    </w:pPr>
    <w:rPr>
      <w:rFonts w:ascii="Times New Roman" w:hAnsi="Times New Roman"/>
      <w:sz w:val="24"/>
      <w:szCs w:val="24"/>
      <w:lang w:val="en-PH" w:eastAsia="en-PH"/>
    </w:rPr>
  </w:style>
  <w:style w:type="paragraph" w:customStyle="1" w:styleId="Default">
    <w:name w:val="Default"/>
    <w:qFormat/>
    <w:pPr>
      <w:pBdr>
        <w:top w:val="nil"/>
        <w:left w:val="nil"/>
        <w:bottom w:val="nil"/>
        <w:right w:val="nil"/>
        <w:between w:val="nil"/>
      </w:pBdr>
    </w:pPr>
    <w:rPr>
      <w:rFonts w:eastAsia="Calibri"/>
      <w:color w:val="000000"/>
      <w:kern w:val="1"/>
      <w:sz w:val="24"/>
      <w:szCs w:val="24"/>
      <w:lang w:val="en-PH"/>
    </w:rPr>
  </w:style>
  <w:style w:type="character" w:customStyle="1" w:styleId="Bold">
    <w:name w:val="Bold"/>
    <w:rPr>
      <w:b/>
    </w:rPr>
  </w:style>
  <w:style w:type="character" w:customStyle="1" w:styleId="Italic">
    <w:name w:val="Italic"/>
    <w:rPr>
      <w:i/>
    </w:rPr>
  </w:style>
  <w:style w:type="character" w:customStyle="1" w:styleId="Underline">
    <w:name w:val="Underline"/>
    <w:rPr>
      <w:u w:val="single"/>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character" w:customStyle="1" w:styleId="BoldItal">
    <w:name w:val="BoldItal"/>
    <w:basedOn w:val="Domylnaczcionkaakapitu"/>
    <w:rPr>
      <w:b/>
      <w:i/>
    </w:rPr>
  </w:style>
  <w:style w:type="character" w:customStyle="1" w:styleId="SubItal">
    <w:name w:val="SubItal"/>
    <w:rPr>
      <w:i/>
      <w:vertAlign w:val="subscript"/>
    </w:rPr>
  </w:style>
  <w:style w:type="character" w:customStyle="1" w:styleId="SuperItal">
    <w:name w:val="SuperItal"/>
    <w:rPr>
      <w:i/>
      <w:vertAlign w:val="superscript"/>
    </w:rPr>
  </w:style>
  <w:style w:type="character" w:customStyle="1" w:styleId="SymItal">
    <w:name w:val="SymItal"/>
    <w:rPr>
      <w:rFonts w:ascii="Symbol" w:hAnsi="Symbol"/>
      <w:i/>
    </w:rPr>
  </w:style>
  <w:style w:type="character" w:styleId="Hipercze">
    <w:name w:val="Hyperlink"/>
    <w:basedOn w:val="Domylnaczcionkaakapitu"/>
    <w:rPr>
      <w:color w:val="FF0080"/>
      <w:u w:val="single"/>
    </w:rPr>
  </w:style>
  <w:style w:type="character" w:styleId="UyteHipercze">
    <w:name w:val="FollowedHyperlink"/>
    <w:basedOn w:val="Domylnaczcionkaakapitu"/>
    <w:rPr>
      <w:color w:val="800080"/>
      <w:u w:val="single"/>
    </w:rPr>
  </w:style>
  <w:style w:type="character" w:customStyle="1" w:styleId="BodyText2Char">
    <w:name w:val="Body Text 2 Char"/>
    <w:basedOn w:val="Domylnaczcionkaakapitu"/>
    <w:rPr>
      <w:rFonts w:ascii="Helvetica" w:hAnsi="Helvetica"/>
    </w:rPr>
  </w:style>
  <w:style w:type="character" w:customStyle="1" w:styleId="CommentReference1">
    <w:name w:val="Comment Reference1"/>
    <w:basedOn w:val="Domylnaczcionkaakapitu"/>
    <w:rPr>
      <w:sz w:val="16"/>
      <w:szCs w:val="16"/>
    </w:rPr>
  </w:style>
  <w:style w:type="character" w:customStyle="1" w:styleId="CommentTextChar">
    <w:name w:val="Comment Text Char"/>
    <w:basedOn w:val="Domylnaczcionkaakapitu"/>
    <w:rPr>
      <w:lang w:val="nb-NO" w:eastAsia="nb-NO"/>
    </w:rPr>
  </w:style>
  <w:style w:type="character" w:customStyle="1" w:styleId="BalloonTextChar">
    <w:name w:val="Balloon Text Char"/>
    <w:basedOn w:val="Domylnaczcionkaakapitu"/>
    <w:rPr>
      <w:rFonts w:ascii="Tahoma" w:hAnsi="Tahoma" w:cs="Tahoma"/>
      <w:sz w:val="16"/>
      <w:szCs w:val="16"/>
    </w:rPr>
  </w:style>
  <w:style w:type="character" w:customStyle="1" w:styleId="BodyText3Char">
    <w:name w:val="Body Text 3 Char"/>
    <w:basedOn w:val="Domylnaczcionkaakapitu"/>
    <w:rPr>
      <w:rFonts w:ascii="Helvetica" w:hAnsi="Helvetica"/>
      <w:sz w:val="16"/>
      <w:szCs w:val="16"/>
    </w:rPr>
  </w:style>
  <w:style w:type="character" w:styleId="Numerwiersza">
    <w:name w:val="line number"/>
    <w:basedOn w:val="Domylnaczcionkaakapitu"/>
  </w:style>
  <w:style w:type="character" w:styleId="Uwydatnienie">
    <w:name w:val="Emphasis"/>
    <w:basedOn w:val="Domylnaczcionkaakapitu"/>
    <w:rPr>
      <w:i/>
      <w:iCs/>
    </w:rPr>
  </w:style>
  <w:style w:type="character" w:customStyle="1" w:styleId="UnresolvedMention1">
    <w:name w:val="Unresolved Mention1"/>
    <w:basedOn w:val="Domylnaczcionkaakapitu"/>
    <w:rPr>
      <w:color w:val="605E5C"/>
      <w:shd w:val="clear" w:color="auto" w:fill="E1DFDD"/>
    </w:rPr>
  </w:style>
  <w:style w:type="table" w:styleId="Tabela-Siatka">
    <w:name w:val="Table Grid"/>
    <w:basedOn w:val="Standardowy"/>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erozpoznanawzmianka">
    <w:name w:val="Unresolved Mention"/>
    <w:basedOn w:val="Domylnaczcionkaakapitu"/>
    <w:uiPriority w:val="99"/>
    <w:semiHidden/>
    <w:unhideWhenUsed/>
    <w:rsid w:val="003C615A"/>
    <w:rPr>
      <w:color w:val="605E5C"/>
      <w:shd w:val="clear" w:color="auto" w:fill="E1DFDD"/>
    </w:rPr>
  </w:style>
  <w:style w:type="character" w:styleId="Odwoaniedokomentarza">
    <w:name w:val="annotation reference"/>
    <w:basedOn w:val="Domylnaczcionkaakapitu"/>
    <w:uiPriority w:val="99"/>
    <w:rsid w:val="003E3C6A"/>
    <w:rPr>
      <w:sz w:val="16"/>
      <w:szCs w:val="16"/>
    </w:rPr>
  </w:style>
  <w:style w:type="paragraph" w:styleId="Tekstkomentarza">
    <w:name w:val="annotation text"/>
    <w:basedOn w:val="Normalny"/>
    <w:link w:val="TekstkomentarzaZnak"/>
    <w:uiPriority w:val="99"/>
    <w:rsid w:val="003E3C6A"/>
  </w:style>
  <w:style w:type="character" w:customStyle="1" w:styleId="TekstkomentarzaZnak">
    <w:name w:val="Tekst komentarza Znak"/>
    <w:basedOn w:val="Domylnaczcionkaakapitu"/>
    <w:link w:val="Tekstkomentarza"/>
    <w:uiPriority w:val="99"/>
    <w:rsid w:val="003E3C6A"/>
    <w:rPr>
      <w:rFonts w:ascii="Helvetica" w:hAnsi="Helvetica"/>
    </w:rPr>
  </w:style>
  <w:style w:type="paragraph" w:styleId="Tematkomentarza">
    <w:name w:val="annotation subject"/>
    <w:basedOn w:val="Tekstkomentarza"/>
    <w:next w:val="Tekstkomentarza"/>
    <w:link w:val="TematkomentarzaZnak"/>
    <w:uiPriority w:val="99"/>
    <w:rsid w:val="003E3C6A"/>
    <w:rPr>
      <w:b/>
      <w:bCs/>
    </w:rPr>
  </w:style>
  <w:style w:type="character" w:customStyle="1" w:styleId="TematkomentarzaZnak">
    <w:name w:val="Temat komentarza Znak"/>
    <w:basedOn w:val="TekstkomentarzaZnak"/>
    <w:link w:val="Tematkomentarza"/>
    <w:uiPriority w:val="99"/>
    <w:rsid w:val="003E3C6A"/>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Helvetica"/>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6259</Words>
  <Characters>37560</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Paper Template</vt:lpstr>
    </vt:vector>
  </TitlesOfParts>
  <Company/>
  <LinksUpToDate>false</LinksUpToDate>
  <CharactersWithSpaces>43732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Anna Tomańska</cp:lastModifiedBy>
  <cp:revision>2</cp:revision>
  <cp:lastPrinted>1999-07-06T11:00:00Z</cp:lastPrinted>
  <dcterms:created xsi:type="dcterms:W3CDTF">2026-07-28T19:33:00Z</dcterms:created>
  <dcterms:modified xsi:type="dcterms:W3CDTF">2026-07-28T19:33:00Z</dcterms:modified>
</cp:coreProperties>
</file>