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26E76F" w14:textId="562C5503" w:rsidR="00754C9A" w:rsidRPr="008B591F" w:rsidRDefault="008B591F" w:rsidP="008B591F">
      <w:pPr>
        <w:pStyle w:val="Title"/>
        <w:spacing w:after="0"/>
        <w:jc w:val="left"/>
        <w:rPr>
          <w:rFonts w:ascii="Arial" w:hAnsi="Arial" w:cs="Arial"/>
          <w:szCs w:val="36"/>
          <w:u w:val="single"/>
        </w:rPr>
      </w:pPr>
      <w:r w:rsidRPr="008B591F">
        <w:rPr>
          <w:rFonts w:ascii="Arial" w:hAnsi="Arial" w:cs="Arial"/>
          <w:szCs w:val="36"/>
          <w:u w:val="single"/>
        </w:rPr>
        <w:t>Original Research Article</w:t>
      </w:r>
    </w:p>
    <w:p w14:paraId="0E39892A" w14:textId="77777777" w:rsidR="008B591F" w:rsidRDefault="008B591F" w:rsidP="003A2738">
      <w:pPr>
        <w:pStyle w:val="Author"/>
        <w:spacing w:line="240" w:lineRule="auto"/>
        <w:rPr>
          <w:rFonts w:ascii="Arial" w:hAnsi="Arial" w:cs="Arial"/>
          <w:bCs/>
          <w:iCs/>
          <w:kern w:val="28"/>
          <w:sz w:val="36"/>
          <w:szCs w:val="36"/>
        </w:rPr>
      </w:pPr>
    </w:p>
    <w:p w14:paraId="7C89946B" w14:textId="02519122" w:rsidR="00163BC4" w:rsidRPr="003A2738" w:rsidRDefault="008037DD" w:rsidP="003A2738">
      <w:pPr>
        <w:pStyle w:val="Author"/>
        <w:spacing w:line="240" w:lineRule="auto"/>
        <w:rPr>
          <w:rFonts w:ascii="Arial" w:hAnsi="Arial" w:cs="Arial"/>
          <w:bCs/>
          <w:iCs/>
          <w:kern w:val="28"/>
          <w:sz w:val="36"/>
          <w:szCs w:val="36"/>
        </w:rPr>
      </w:pPr>
      <w:r w:rsidRPr="003A2738">
        <w:rPr>
          <w:rFonts w:ascii="Arial" w:hAnsi="Arial" w:cs="Arial"/>
          <w:bCs/>
          <w:iCs/>
          <w:kern w:val="28"/>
          <w:sz w:val="36"/>
          <w:szCs w:val="36"/>
        </w:rPr>
        <w:t>Community Structure and Spatial Distribution of Sea Urchins in the North-Eastern Coastal Areas of Tablas Island, Romblon, Philippines</w:t>
      </w:r>
      <w:r w:rsidR="00231920" w:rsidRPr="003A2738">
        <w:rPr>
          <w:rFonts w:ascii="Arial" w:hAnsi="Arial" w:cs="Arial"/>
          <w:bCs/>
          <w:iCs/>
          <w:kern w:val="28"/>
          <w:sz w:val="36"/>
          <w:szCs w:val="36"/>
        </w:rPr>
        <w:t xml:space="preserve"> </w:t>
      </w:r>
    </w:p>
    <w:p w14:paraId="450FB9E4" w14:textId="77777777" w:rsidR="00A258C3" w:rsidRPr="009A721A" w:rsidRDefault="00A258C3" w:rsidP="009A721A">
      <w:pPr>
        <w:pStyle w:val="Author"/>
        <w:spacing w:line="240" w:lineRule="auto"/>
        <w:jc w:val="both"/>
        <w:rPr>
          <w:rFonts w:ascii="Arial" w:hAnsi="Arial" w:cs="Arial"/>
          <w:sz w:val="20"/>
        </w:rPr>
      </w:pPr>
    </w:p>
    <w:p w14:paraId="02C74FE0" w14:textId="77777777" w:rsidR="008B591F" w:rsidRPr="009A721A" w:rsidRDefault="008B591F" w:rsidP="009A721A">
      <w:pPr>
        <w:pStyle w:val="Affiliation"/>
        <w:spacing w:after="0" w:line="240" w:lineRule="auto"/>
        <w:jc w:val="both"/>
        <w:rPr>
          <w:rFonts w:ascii="Arial" w:hAnsi="Arial" w:cs="Arial"/>
          <w:i/>
        </w:rPr>
      </w:pPr>
    </w:p>
    <w:p w14:paraId="23829A78" w14:textId="77777777" w:rsidR="00790ADA" w:rsidRPr="009A721A" w:rsidRDefault="00790ADA" w:rsidP="009A721A">
      <w:pPr>
        <w:pStyle w:val="Affiliation"/>
        <w:spacing w:after="0" w:line="240" w:lineRule="auto"/>
        <w:jc w:val="both"/>
        <w:rPr>
          <w:rFonts w:ascii="Arial" w:hAnsi="Arial" w:cs="Arial"/>
        </w:rPr>
      </w:pPr>
    </w:p>
    <w:p w14:paraId="646CB0CD" w14:textId="77777777" w:rsidR="002C57D2" w:rsidRPr="009A721A" w:rsidRDefault="002C57D2" w:rsidP="009A721A">
      <w:pPr>
        <w:pStyle w:val="Affiliation"/>
        <w:spacing w:after="0" w:line="240" w:lineRule="auto"/>
        <w:jc w:val="both"/>
        <w:rPr>
          <w:rFonts w:ascii="Arial" w:hAnsi="Arial" w:cs="Arial"/>
        </w:rPr>
      </w:pPr>
    </w:p>
    <w:p w14:paraId="38C7A60E" w14:textId="77777777" w:rsidR="00B01FCD" w:rsidRPr="009A721A" w:rsidRDefault="00B45C2E" w:rsidP="009A721A">
      <w:pPr>
        <w:pStyle w:val="Copyright"/>
        <w:spacing w:after="0" w:line="240" w:lineRule="auto"/>
        <w:jc w:val="both"/>
        <w:rPr>
          <w:rFonts w:ascii="Arial" w:hAnsi="Arial" w:cs="Arial"/>
          <w:sz w:val="20"/>
        </w:rPr>
        <w:sectPr w:rsidR="00B01FCD" w:rsidRPr="009A721A" w:rsidSect="007825CE">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noProof/>
        </w:rPr>
        <mc:AlternateContent>
          <mc:Choice Requires="wps">
            <w:drawing>
              <wp:inline distT="0" distB="0" distL="0" distR="0" wp14:anchorId="0C3A2E03" wp14:editId="2F03DC44">
                <wp:extent cx="5303520" cy="635"/>
                <wp:effectExtent l="0" t="12700" r="5080" b="12065"/>
                <wp:docPr id="141752790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0352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A396336" id="_x0000_t32" coordsize="21600,21600" o:spt="32" o:oned="t" path="m,l21600,21600e" filled="f">
                <v:path arrowok="t" fillok="f" o:connecttype="none"/>
                <o:lock v:ext="edit" shapetype="t"/>
              </v:shapetype>
              <v:shape id="AutoShape 10"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" strokeweight="1.5pt">
                <o:lock v:ext="edit" shapetype="f"/>
                <w10:anchorlock/>
              </v:shape>
            </w:pict>
          </mc:Fallback>
        </mc:AlternateContent>
      </w:r>
      <w:r w:rsidR="00FB3A86" w:rsidRPr="009A721A">
        <w:rPr>
          <w:rFonts w:ascii="Arial" w:hAnsi="Arial" w:cs="Arial"/>
          <w:sz w:val="20"/>
        </w:rPr>
        <w:t>.</w:t>
      </w:r>
    </w:p>
    <w:p w14:paraId="5E3A2B0B" w14:textId="77777777" w:rsidR="00790ADA" w:rsidRPr="009A721A" w:rsidRDefault="00B01FCD" w:rsidP="009A721A">
      <w:pPr>
        <w:pStyle w:val="AbstHead"/>
        <w:spacing w:after="0"/>
        <w:jc w:val="both"/>
        <w:rPr>
          <w:rFonts w:ascii="Arial" w:hAnsi="Arial" w:cs="Arial"/>
          <w:sz w:val="20"/>
        </w:rPr>
      </w:pPr>
      <w:commentRangeStart w:id="0"/>
      <w:r w:rsidRPr="009A721A">
        <w:rPr>
          <w:rFonts w:ascii="Arial" w:hAnsi="Arial" w:cs="Arial"/>
          <w:sz w:val="20"/>
        </w:rPr>
        <w:t>ABSTRACT</w:t>
      </w:r>
      <w:commentRangeEnd w:id="0"/>
      <w:r w:rsidR="00CA6BA8" w:rsidRPr="009A721A">
        <w:rPr>
          <w:rStyle w:val="CommentReference"/>
          <w:rFonts w:ascii="Arial" w:hAnsi="Arial" w:cs="Arial"/>
          <w:sz w:val="20"/>
          <w:szCs w:val="20"/>
        </w:rPr>
        <w:commentReference w:id="0"/>
      </w:r>
      <w:r w:rsidR="0066510A" w:rsidRPr="009A721A">
        <w:rPr>
          <w:rFonts w:ascii="Arial" w:hAnsi="Arial" w:cs="Arial"/>
          <w:sz w:val="2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2"/>
      </w:tblGrid>
      <w:tr w:rsidR="00296529" w:rsidRPr="009A721A" w14:paraId="1D02B7E2" w14:textId="77777777" w:rsidTr="001E44FE">
        <w:tc>
          <w:tcPr>
            <w:tcW w:w="9576" w:type="dxa"/>
            <w:shd w:val="clear" w:color="auto" w:fill="F2F2F2"/>
          </w:tcPr>
          <w:p w14:paraId="78923B88" w14:textId="77777777" w:rsidR="00505F06" w:rsidRPr="009A721A" w:rsidRDefault="007F017E" w:rsidP="009A721A">
            <w:pPr>
              <w:pStyle w:val="Body"/>
              <w:spacing w:after="0"/>
              <w:rPr>
                <w:rFonts w:ascii="Arial" w:eastAsia="Calibri" w:hAnsi="Arial" w:cs="Arial"/>
              </w:rPr>
            </w:pPr>
            <w:r w:rsidRPr="007F017E">
              <w:rPr>
                <w:rFonts w:ascii="Arial" w:eastAsia="Calibri" w:hAnsi="Arial" w:cs="Arial"/>
              </w:rPr>
              <w:t xml:space="preserve">This study investigated the community structure and spatial distribution of sea urchins in the north-eastern coastal areas of Tablas Island, Romblon, Philippines. Specifically, it assessed species composition, abundance, diversity, dominance, evenness, size structure, and distribution across 12 coastal sampling sites in San Agustin using the belt-transect method. A total of 442 individuals representing six species from four families were recorded: </w:t>
            </w:r>
            <w:r w:rsidRPr="007F017E">
              <w:rPr>
                <w:rFonts w:ascii="Arial" w:eastAsia="Calibri" w:hAnsi="Arial" w:cs="Arial"/>
                <w:i/>
                <w:iCs/>
              </w:rPr>
              <w:t>Diadema setosum, Echinothrix calamaris, Echinometra mathaei, Toxopneustes pileolus, Tripneustes gratilla,</w:t>
            </w:r>
            <w:r w:rsidRPr="007F017E">
              <w:rPr>
                <w:rFonts w:ascii="Arial" w:eastAsia="Calibri" w:hAnsi="Arial" w:cs="Arial"/>
              </w:rPr>
              <w:t xml:space="preserve"> and </w:t>
            </w:r>
            <w:r w:rsidRPr="007F017E">
              <w:rPr>
                <w:rFonts w:ascii="Arial" w:eastAsia="Calibri" w:hAnsi="Arial" w:cs="Arial"/>
                <w:i/>
                <w:iCs/>
              </w:rPr>
              <w:t>Salmacis belli</w:t>
            </w:r>
            <w:r w:rsidRPr="007F017E">
              <w:rPr>
                <w:rFonts w:ascii="Arial" w:eastAsia="Calibri" w:hAnsi="Arial" w:cs="Arial"/>
              </w:rPr>
              <w:t xml:space="preserve">. </w:t>
            </w:r>
            <w:r w:rsidRPr="007F017E">
              <w:rPr>
                <w:rFonts w:ascii="Arial" w:eastAsia="Calibri" w:hAnsi="Arial" w:cs="Arial"/>
                <w:i/>
                <w:iCs/>
              </w:rPr>
              <w:t>T. gratilla</w:t>
            </w:r>
            <w:r w:rsidRPr="007F017E">
              <w:rPr>
                <w:rFonts w:ascii="Arial" w:eastAsia="Calibri" w:hAnsi="Arial" w:cs="Arial"/>
              </w:rPr>
              <w:t xml:space="preserve"> was the most abundant and widely distributed species, occurring in all sampling sites, while </w:t>
            </w:r>
            <w:r w:rsidRPr="007F017E">
              <w:rPr>
                <w:rFonts w:ascii="Arial" w:eastAsia="Calibri" w:hAnsi="Arial" w:cs="Arial"/>
                <w:i/>
                <w:iCs/>
              </w:rPr>
              <w:t xml:space="preserve">E. calamaris </w:t>
            </w:r>
            <w:r w:rsidRPr="007F017E">
              <w:rPr>
                <w:rFonts w:ascii="Arial" w:eastAsia="Calibri" w:hAnsi="Arial" w:cs="Arial"/>
              </w:rPr>
              <w:t xml:space="preserve">was the least distributed. Long Beach showed the highest species richness and diversity, whereas Poblacion exhibited the highest dominance. Several sites had high evenness, indicating a relatively balanced distribution of individuals among species. Size analysis showed interspecific variation in test diameter, with </w:t>
            </w:r>
            <w:r w:rsidRPr="007F017E">
              <w:rPr>
                <w:rFonts w:ascii="Arial" w:eastAsia="Calibri" w:hAnsi="Arial" w:cs="Arial"/>
                <w:i/>
                <w:iCs/>
              </w:rPr>
              <w:t>E. calamaris</w:t>
            </w:r>
            <w:r w:rsidRPr="007F017E">
              <w:rPr>
                <w:rFonts w:ascii="Arial" w:eastAsia="Calibri" w:hAnsi="Arial" w:cs="Arial"/>
              </w:rPr>
              <w:t xml:space="preserve"> having the largest mean size and </w:t>
            </w:r>
            <w:r w:rsidRPr="007F017E">
              <w:rPr>
                <w:rFonts w:ascii="Arial" w:eastAsia="Calibri" w:hAnsi="Arial" w:cs="Arial"/>
                <w:i/>
                <w:iCs/>
              </w:rPr>
              <w:t>D. setosum</w:t>
            </w:r>
            <w:r w:rsidRPr="007F017E">
              <w:rPr>
                <w:rFonts w:ascii="Arial" w:eastAsia="Calibri" w:hAnsi="Arial" w:cs="Arial"/>
              </w:rPr>
              <w:t xml:space="preserve"> the smallest. The relatively small mean size of </w:t>
            </w:r>
            <w:r w:rsidRPr="007F017E">
              <w:rPr>
                <w:rFonts w:ascii="Arial" w:eastAsia="Calibri" w:hAnsi="Arial" w:cs="Arial"/>
                <w:i/>
                <w:iCs/>
              </w:rPr>
              <w:t>T. gratilla</w:t>
            </w:r>
            <w:r w:rsidRPr="007F017E">
              <w:rPr>
                <w:rFonts w:ascii="Arial" w:eastAsia="Calibri" w:hAnsi="Arial" w:cs="Arial"/>
              </w:rPr>
              <w:t xml:space="preserve"> suggests possible harvesting pressure. These findings provide baseline information for the management and conservation of sea urchin resources in Tablas Island.</w:t>
            </w:r>
          </w:p>
        </w:tc>
      </w:tr>
    </w:tbl>
    <w:p w14:paraId="0C552D1A" w14:textId="77777777" w:rsidR="00636EB2" w:rsidRPr="009A721A" w:rsidRDefault="00636EB2" w:rsidP="009A721A">
      <w:pPr>
        <w:pStyle w:val="Body"/>
        <w:spacing w:after="0"/>
        <w:rPr>
          <w:rFonts w:ascii="Arial" w:hAnsi="Arial" w:cs="Arial"/>
          <w:i/>
        </w:rPr>
      </w:pPr>
    </w:p>
    <w:p w14:paraId="3AAFE350" w14:textId="77777777" w:rsidR="00A24E7E" w:rsidRPr="009A721A" w:rsidRDefault="00A24E7E" w:rsidP="009A721A">
      <w:pPr>
        <w:pStyle w:val="Body"/>
        <w:spacing w:after="0"/>
        <w:rPr>
          <w:rFonts w:ascii="Arial" w:hAnsi="Arial" w:cs="Arial"/>
          <w:i/>
        </w:rPr>
      </w:pPr>
      <w:r w:rsidRPr="009A721A">
        <w:rPr>
          <w:rFonts w:ascii="Arial" w:hAnsi="Arial" w:cs="Arial"/>
          <w:i/>
        </w:rPr>
        <w:t>Keywords</w:t>
      </w:r>
      <w:r w:rsidR="007F017E" w:rsidRPr="009A721A">
        <w:rPr>
          <w:rFonts w:ascii="Arial" w:hAnsi="Arial" w:cs="Arial"/>
          <w:i/>
        </w:rPr>
        <w:t xml:space="preserve">: </w:t>
      </w:r>
      <w:r w:rsidR="007F017E" w:rsidRPr="007F017E">
        <w:rPr>
          <w:rFonts w:ascii="Arial" w:hAnsi="Arial" w:cs="Arial"/>
          <w:i/>
        </w:rPr>
        <w:t>Community Structure</w:t>
      </w:r>
      <w:r w:rsidR="007F017E">
        <w:rPr>
          <w:rFonts w:ascii="Arial" w:hAnsi="Arial" w:cs="Arial"/>
          <w:i/>
        </w:rPr>
        <w:t>,</w:t>
      </w:r>
      <w:r w:rsidR="007F017E" w:rsidRPr="007F017E">
        <w:rPr>
          <w:rFonts w:ascii="Arial" w:hAnsi="Arial" w:cs="Arial"/>
          <w:i/>
        </w:rPr>
        <w:t xml:space="preserve"> Sea Urchins</w:t>
      </w:r>
      <w:r w:rsidR="007F017E">
        <w:rPr>
          <w:rFonts w:ascii="Arial" w:hAnsi="Arial" w:cs="Arial"/>
          <w:i/>
        </w:rPr>
        <w:t xml:space="preserve">, </w:t>
      </w:r>
      <w:r w:rsidR="007F017E" w:rsidRPr="007F017E">
        <w:rPr>
          <w:rFonts w:ascii="Arial" w:hAnsi="Arial" w:cs="Arial"/>
          <w:i/>
        </w:rPr>
        <w:t>Spatial Distribution</w:t>
      </w:r>
      <w:r w:rsidR="007F017E">
        <w:rPr>
          <w:rFonts w:ascii="Arial" w:hAnsi="Arial" w:cs="Arial"/>
          <w:i/>
        </w:rPr>
        <w:t>,</w:t>
      </w:r>
      <w:r w:rsidR="007F017E" w:rsidRPr="007F017E">
        <w:rPr>
          <w:rFonts w:ascii="Arial" w:hAnsi="Arial" w:cs="Arial"/>
          <w:i/>
        </w:rPr>
        <w:t xml:space="preserve"> Tablas Island; Tripneustes </w:t>
      </w:r>
      <w:r w:rsidR="007F017E">
        <w:rPr>
          <w:rFonts w:ascii="Arial" w:hAnsi="Arial" w:cs="Arial"/>
          <w:i/>
        </w:rPr>
        <w:t>g</w:t>
      </w:r>
      <w:r w:rsidR="007F017E" w:rsidRPr="007F017E">
        <w:rPr>
          <w:rFonts w:ascii="Arial" w:hAnsi="Arial" w:cs="Arial"/>
          <w:i/>
        </w:rPr>
        <w:t>ratilla</w:t>
      </w:r>
    </w:p>
    <w:p w14:paraId="08B035A1" w14:textId="77777777" w:rsidR="00790ADA" w:rsidRPr="009A721A" w:rsidRDefault="00790ADA" w:rsidP="009A721A">
      <w:pPr>
        <w:pStyle w:val="Body"/>
        <w:spacing w:after="0"/>
        <w:rPr>
          <w:rFonts w:ascii="Arial" w:hAnsi="Arial" w:cs="Arial"/>
          <w:i/>
        </w:rPr>
      </w:pPr>
    </w:p>
    <w:p w14:paraId="6B06127D" w14:textId="77777777" w:rsidR="0024282C" w:rsidRPr="009A721A" w:rsidRDefault="0024282C" w:rsidP="009A721A">
      <w:pPr>
        <w:pStyle w:val="Body"/>
        <w:spacing w:after="0"/>
        <w:rPr>
          <w:rFonts w:ascii="Arial" w:hAnsi="Arial" w:cs="Arial"/>
          <w:i/>
        </w:rPr>
      </w:pPr>
    </w:p>
    <w:p w14:paraId="63003DAB" w14:textId="77777777" w:rsidR="00505F06" w:rsidRPr="009A721A" w:rsidRDefault="00505F06" w:rsidP="009A721A">
      <w:pPr>
        <w:pStyle w:val="Body"/>
        <w:spacing w:after="0"/>
        <w:rPr>
          <w:rFonts w:ascii="Arial" w:hAnsi="Arial" w:cs="Arial"/>
          <w:i/>
        </w:rPr>
      </w:pPr>
    </w:p>
    <w:p w14:paraId="1B4AB77E" w14:textId="344B17D6" w:rsidR="007F7B32" w:rsidRPr="009A721A" w:rsidRDefault="00902823" w:rsidP="009A721A">
      <w:pPr>
        <w:pStyle w:val="AbstHead"/>
        <w:spacing w:after="0"/>
        <w:jc w:val="both"/>
        <w:rPr>
          <w:rFonts w:ascii="Arial" w:hAnsi="Arial" w:cs="Arial"/>
          <w:sz w:val="20"/>
        </w:rPr>
      </w:pPr>
      <w:r w:rsidRPr="009A721A">
        <w:rPr>
          <w:rFonts w:ascii="Arial" w:hAnsi="Arial" w:cs="Arial"/>
          <w:sz w:val="20"/>
        </w:rPr>
        <w:t xml:space="preserve">1. </w:t>
      </w:r>
      <w:r w:rsidR="00B01FCD" w:rsidRPr="009A721A">
        <w:rPr>
          <w:rFonts w:ascii="Arial" w:hAnsi="Arial" w:cs="Arial"/>
          <w:sz w:val="20"/>
        </w:rPr>
        <w:t>INTRODUCTION</w:t>
      </w:r>
      <w:r w:rsidR="007F7B32" w:rsidRPr="009A721A">
        <w:rPr>
          <w:rFonts w:ascii="Arial" w:hAnsi="Arial" w:cs="Arial"/>
          <w:sz w:val="20"/>
        </w:rPr>
        <w:t xml:space="preserve"> </w:t>
      </w:r>
    </w:p>
    <w:p w14:paraId="1C6E259B" w14:textId="77777777" w:rsidR="00790ADA" w:rsidRPr="009A721A" w:rsidRDefault="00790ADA" w:rsidP="009A721A">
      <w:pPr>
        <w:pStyle w:val="AbstHead"/>
        <w:spacing w:after="0"/>
        <w:jc w:val="both"/>
        <w:rPr>
          <w:rFonts w:ascii="Arial" w:hAnsi="Arial" w:cs="Arial"/>
          <w:sz w:val="20"/>
        </w:rPr>
      </w:pPr>
    </w:p>
    <w:p w14:paraId="48A57410" w14:textId="77777777" w:rsidR="00E6767A" w:rsidRPr="009A721A" w:rsidRDefault="00E6767A" w:rsidP="009A721A">
      <w:pPr>
        <w:pStyle w:val="Body"/>
        <w:rPr>
          <w:rFonts w:ascii="Arial" w:hAnsi="Arial" w:cs="Arial"/>
        </w:rPr>
      </w:pPr>
      <w:r w:rsidRPr="009A721A">
        <w:rPr>
          <w:rFonts w:ascii="Arial" w:hAnsi="Arial" w:cs="Arial"/>
        </w:rPr>
        <w:t>Sea urchins are among the most ecologically important benthic macroinvertebrates in shallow tropical marine ecosystems because they regulate algal growth, influence benthic community structure, and interact closely with both seagrass beds and coral reefs (Andrew et al., 2002; Eklöf et al., 2008). In coral reef systems, their grazing activity can help maintain open substrate for coral settlement, and recent evidence from Taiwan showed that diadematid sea urchin density was a significant positive predictor of juvenile coral density, highlighting the growing importance of sea urchins in reef resilience where other herbivores have declined (Dang et al., 2020). At the same time, sea urchins are economically important fishery resources in many tropical coastal areas, including the Philippines, where some species are harvested for their gonads and for livelihood support in coastal communities (Andrew et al., 2002; Meñez, 2016). Because of this dual ecological and economic role, understanding sea urchin communities is essential for both biodiversity conservation and fisheries management (Andrew et al., 2002; Meñez, 2016).</w:t>
      </w:r>
    </w:p>
    <w:p w14:paraId="0E6271F7" w14:textId="77777777" w:rsidR="00E6767A" w:rsidRPr="009A721A" w:rsidRDefault="00E6767A" w:rsidP="009A721A">
      <w:pPr>
        <w:pStyle w:val="Body"/>
        <w:rPr>
          <w:rFonts w:ascii="Arial" w:hAnsi="Arial" w:cs="Arial"/>
        </w:rPr>
      </w:pPr>
      <w:r w:rsidRPr="009A721A">
        <w:rPr>
          <w:rFonts w:ascii="Arial" w:hAnsi="Arial" w:cs="Arial"/>
        </w:rPr>
        <w:lastRenderedPageBreak/>
        <w:t xml:space="preserve">The structure of sea urchin assemblages is strongly influenced by habitat condition, substrate type, food availability, hydrodynamics, and the presence of associated vegetation such as seagrasses (Eklöf et al., 2008; Tuapattinaja et al., 2014). A review of sea urchin overgrazing in seagrass ecosystems emphasized that sea urchin abundance and post-settlement distribution are shaped by variable recruitment, predation, competition, food availability, and landscape structure, making local density and distribution assessments necessary for site-specific management (Eklöf et al., 2008). Studies in tropical coastal habitats also show that community composition differs between vegetated and non-vegetated areas, with seagrass habitats generally supporting higher species richness, higher evenness, and more stable echinoderm assemblages than bare substrates (Tuapattinaja et al., 2014). In Timor Island, </w:t>
      </w:r>
      <w:r w:rsidRPr="002B4F0F">
        <w:rPr>
          <w:rFonts w:ascii="Arial" w:hAnsi="Arial" w:cs="Arial"/>
          <w:i/>
          <w:iCs/>
        </w:rPr>
        <w:t>Tripneustes gratilla</w:t>
      </w:r>
      <w:r w:rsidRPr="009A721A">
        <w:rPr>
          <w:rFonts w:ascii="Arial" w:hAnsi="Arial" w:cs="Arial"/>
        </w:rPr>
        <w:t xml:space="preserve"> was reported mainly from seagrass beds with sandy–muddy substrates, indicating a strong habitat association of this species with productive shallow-water environments (Valen et al., 2020). Likewise, a Philippine intertidal survey in Agusan del Norte found that echinoderm occurrence and distribution were linked to environmental quality and to the availability of seagrass and coral cover, which provide both food and shelter (Walag et al., 2018).</w:t>
      </w:r>
    </w:p>
    <w:p w14:paraId="71BAD6A3" w14:textId="77777777" w:rsidR="00E6767A" w:rsidRPr="009A721A" w:rsidRDefault="00E6767A" w:rsidP="009A721A">
      <w:pPr>
        <w:pStyle w:val="Body"/>
        <w:rPr>
          <w:rFonts w:ascii="Arial" w:hAnsi="Arial" w:cs="Arial"/>
        </w:rPr>
      </w:pPr>
      <w:r w:rsidRPr="009A721A">
        <w:rPr>
          <w:rFonts w:ascii="Arial" w:hAnsi="Arial" w:cs="Arial"/>
        </w:rPr>
        <w:t>The Philippines is recognized as an important center of sea urchin diversity in the Indo-Pacific region (Mooi &amp; Munguia, 2014). A comprehensive account of Philippine echinoids documented 210 verifiably recorded species from the country and considered this estimate conservative because several species remain undescribed or under taxonomic study (Mooi &amp; Munguia, 2014). Additional biodiversity work from the Hearst Philippine Biodiversity Expedition further demonstrated the richness of the country’s marine echinoid fauna, including the discovery of new sea urchin species from deep-sea sampling (California Academy of Sciences, 2011). This high national diversity, however, does not remove the need for local ecological assessments because sea urchin communities can vary greatly across islands, habitats, and levels of human disturbance (Eklöf et al., 2008; Walag et al., 2018). Local-scale studies are particularly important in archipelagic settings such as the Philippines, where habitat heterogeneity and uneven fishing pressure may create different patterns of dominance, evenness, recruitment, and spatial distribution among sites (Andrew et al., 2002; Casilagan et al., 2013).</w:t>
      </w:r>
    </w:p>
    <w:p w14:paraId="27C9171D" w14:textId="77777777" w:rsidR="00E6767A" w:rsidRPr="009A721A" w:rsidRDefault="00E6767A" w:rsidP="009A721A">
      <w:pPr>
        <w:pStyle w:val="Body"/>
        <w:rPr>
          <w:rFonts w:ascii="Arial" w:hAnsi="Arial" w:cs="Arial"/>
        </w:rPr>
      </w:pPr>
      <w:r w:rsidRPr="009A721A">
        <w:rPr>
          <w:rFonts w:ascii="Arial" w:hAnsi="Arial" w:cs="Arial"/>
        </w:rPr>
        <w:t xml:space="preserve">Several Philippine studies already demonstrate that sea urchin assemblages and populations differ substantially among localities. In Bato-Bato, Sulu, five species of sea urchins were recorded across seagrass beds, coralline reef areas, sandy substrates, and coral rubble zones, with </w:t>
      </w:r>
      <w:r w:rsidRPr="007540C0">
        <w:rPr>
          <w:rFonts w:ascii="Arial" w:hAnsi="Arial" w:cs="Arial"/>
          <w:i/>
          <w:iCs/>
        </w:rPr>
        <w:t>T</w:t>
      </w:r>
      <w:r w:rsidR="002B4F0F">
        <w:rPr>
          <w:rFonts w:ascii="Arial" w:hAnsi="Arial" w:cs="Arial"/>
          <w:i/>
          <w:iCs/>
        </w:rPr>
        <w:t xml:space="preserve">. </w:t>
      </w:r>
      <w:r w:rsidRPr="007540C0">
        <w:rPr>
          <w:rFonts w:ascii="Arial" w:hAnsi="Arial" w:cs="Arial"/>
          <w:i/>
          <w:iCs/>
        </w:rPr>
        <w:t>gratilla</w:t>
      </w:r>
      <w:r w:rsidRPr="009A721A">
        <w:rPr>
          <w:rFonts w:ascii="Arial" w:hAnsi="Arial" w:cs="Arial"/>
        </w:rPr>
        <w:t xml:space="preserve"> comprising the largest proportion of the population (Sailadjan et al., 2026). Studies on </w:t>
      </w:r>
      <w:r w:rsidRPr="002B4F0F">
        <w:rPr>
          <w:rFonts w:ascii="Arial" w:hAnsi="Arial" w:cs="Arial"/>
          <w:i/>
          <w:iCs/>
        </w:rPr>
        <w:t>T. gratilla</w:t>
      </w:r>
      <w:r w:rsidRPr="009A721A">
        <w:rPr>
          <w:rFonts w:ascii="Arial" w:hAnsi="Arial" w:cs="Arial"/>
        </w:rPr>
        <w:t xml:space="preserve"> in the Philippines have also examined its population biology and genetic structure, reflecting the importance of this species both ecologically and as an exploited resource (Regalado et al., 2010; Casilagan et al., 2013). Genetic analysis of exploited Philippine populations showed high genetic diversity and provided evidence relevant to understanding connectivity and historical demography, which are important for interpreting local population patterns and management potential (Casilagan et al., 2013). These findings indicate that sea urchin populations in the country should not be treated as uniform, but instead should be assessed at the scale of particular habitats and coastal areas where ecological and anthropogenic conditions may differ (Casilagan et al., 2013; Sailadjan et al., 2026).</w:t>
      </w:r>
    </w:p>
    <w:p w14:paraId="68887C97" w14:textId="77777777" w:rsidR="00E6767A" w:rsidRPr="009A721A" w:rsidRDefault="00E6767A" w:rsidP="009A721A">
      <w:pPr>
        <w:pStyle w:val="Body"/>
        <w:rPr>
          <w:rFonts w:ascii="Arial" w:hAnsi="Arial" w:cs="Arial"/>
        </w:rPr>
      </w:pPr>
      <w:r w:rsidRPr="009A721A">
        <w:rPr>
          <w:rFonts w:ascii="Arial" w:hAnsi="Arial" w:cs="Arial"/>
        </w:rPr>
        <w:t xml:space="preserve">Environmental degradation further strengthens the need for baseline ecological studies. In eutrophicated seagrass beds affected by fish farming, adult </w:t>
      </w:r>
      <w:r w:rsidRPr="007540C0">
        <w:rPr>
          <w:rFonts w:ascii="Arial" w:hAnsi="Arial" w:cs="Arial"/>
          <w:i/>
          <w:iCs/>
        </w:rPr>
        <w:t>T</w:t>
      </w:r>
      <w:r w:rsidR="002B4F0F">
        <w:rPr>
          <w:rFonts w:ascii="Arial" w:hAnsi="Arial" w:cs="Arial"/>
          <w:i/>
          <w:iCs/>
        </w:rPr>
        <w:t>.</w:t>
      </w:r>
      <w:r w:rsidRPr="007540C0">
        <w:rPr>
          <w:rFonts w:ascii="Arial" w:hAnsi="Arial" w:cs="Arial"/>
          <w:i/>
          <w:iCs/>
        </w:rPr>
        <w:t xml:space="preserve"> gratilla</w:t>
      </w:r>
      <w:r w:rsidRPr="009A721A">
        <w:rPr>
          <w:rFonts w:ascii="Arial" w:hAnsi="Arial" w:cs="Arial"/>
        </w:rPr>
        <w:t xml:space="preserve"> showed reduced feeding structures, lower gut and gonad indices, and poorer gonad quality than individuals from less impacted stations, suggesting that habitat stress can directly reduce reproductive potential and population quality (Bangi &amp; Juinio-Meñez, 2023). Such evidence shows that abundance alone may not fully capture the condition of sea urchin populations, and that population structure and size distribution are also important descriptors of ecological status (Bangi &amp; </w:t>
      </w:r>
      <w:r w:rsidRPr="009A721A">
        <w:rPr>
          <w:rFonts w:ascii="Arial" w:hAnsi="Arial" w:cs="Arial"/>
        </w:rPr>
        <w:lastRenderedPageBreak/>
        <w:t>Juinio-Meñez, 2023). In Tablas Island, Romblon, assessment of marine protected areas in Budiong-Odiongan and Bunsuran-Ferrol found reefs in only fair condition and indicated low fish biomass associated with past fishing pressure, while also emphasizing the lack of baseline data for long-term monitoring and evaluation (Gonzales &amp; Gonzales, 2014). Despite the marine significance of Tablas Island, detailed information on the community structure and spatial distribution of sea urchins in its north-eastern coastal areas remains limited, creating an important gap in local biodiversity knowledge and coastal management planning (Gonzales &amp; Gonzales, 2014).</w:t>
      </w:r>
    </w:p>
    <w:p w14:paraId="57208A84" w14:textId="77777777" w:rsidR="00E6767A" w:rsidRPr="009A721A" w:rsidRDefault="00D9304E" w:rsidP="009A721A">
      <w:pPr>
        <w:pStyle w:val="Body"/>
        <w:rPr>
          <w:rFonts w:ascii="Arial" w:hAnsi="Arial" w:cs="Arial"/>
        </w:rPr>
      </w:pPr>
      <w:r w:rsidRPr="00D9304E">
        <w:rPr>
          <w:rFonts w:ascii="Arial" w:hAnsi="Arial" w:cs="Arial"/>
        </w:rPr>
        <w:t>In the Romblon archipelago, regional baseline information on the nearshore and coastal habitats adjacent to the present study area has only recently begun to accumulate. Gonzalez</w:t>
      </w:r>
      <w:r>
        <w:rPr>
          <w:rFonts w:ascii="Arial" w:hAnsi="Arial" w:cs="Arial"/>
        </w:rPr>
        <w:t xml:space="preserve"> et al. </w:t>
      </w:r>
      <w:r w:rsidRPr="00D9304E">
        <w:rPr>
          <w:rFonts w:ascii="Arial" w:hAnsi="Arial" w:cs="Arial"/>
        </w:rPr>
        <w:t>(2022) characterized the beach-forest communities of San Agustin, the same municipality where the present sea urchin survey was conducted, and recorded 38 species of beach-forest plants together with five major coastal threats – erosion, garbage accumulation, seawall construction, road widening, and infrastructure development for beach resorts and summer houses that operate over the same shoreline stretches used by shallow-water echinoids.</w:t>
      </w:r>
    </w:p>
    <w:p w14:paraId="166EC5BE" w14:textId="77777777" w:rsidR="00E6767A" w:rsidRPr="009A721A" w:rsidRDefault="00E6767A" w:rsidP="009A721A">
      <w:pPr>
        <w:pStyle w:val="Body"/>
        <w:rPr>
          <w:rFonts w:ascii="Arial" w:hAnsi="Arial" w:cs="Arial"/>
        </w:rPr>
      </w:pPr>
      <w:r w:rsidRPr="009A721A">
        <w:rPr>
          <w:rFonts w:ascii="Arial" w:hAnsi="Arial" w:cs="Arial"/>
        </w:rPr>
        <w:t>Given the ecological role of sea urchins, their sensitivity to habitat condition, and the absence of sufficient local baseline information for northeastern Tablas Island, a focused community assessment is both timely and necessary (Eklöf et al., 2008; Gonzales &amp; Gonzales, 2014). Determining species composition, diversity, dominance, evenness, population structure, size structure, and spatial distribution can provide a clearer picture of how sea urchin assemblages are organized across coastal habitats and can serve as a basis for future monitoring and management interventions (Tuapattinaja et al., 2014; Sailadjan et al., 2026). Thus, this study aims to determine the species composition, diversity, dominance and evenness index, population and size structures of sea urchins, and the distribution of sea urchins in the North-Eastern Coastal Areas of Tablas Island, Romblon, Philippines.</w:t>
      </w:r>
    </w:p>
    <w:p w14:paraId="32A4D10E" w14:textId="77777777" w:rsidR="00790ADA" w:rsidRPr="009A721A" w:rsidRDefault="00790ADA" w:rsidP="009A721A">
      <w:pPr>
        <w:pStyle w:val="Body"/>
        <w:spacing w:after="0"/>
        <w:rPr>
          <w:rFonts w:ascii="Arial" w:hAnsi="Arial" w:cs="Arial"/>
        </w:rPr>
      </w:pPr>
    </w:p>
    <w:p w14:paraId="77F4E76A" w14:textId="77777777" w:rsidR="007F7B32" w:rsidRPr="009A721A" w:rsidRDefault="00902823" w:rsidP="009A721A">
      <w:pPr>
        <w:pStyle w:val="AbstHead"/>
        <w:spacing w:after="0"/>
        <w:jc w:val="both"/>
        <w:rPr>
          <w:rFonts w:ascii="Arial" w:hAnsi="Arial" w:cs="Arial"/>
          <w:sz w:val="20"/>
        </w:rPr>
      </w:pPr>
      <w:r w:rsidRPr="009A721A">
        <w:rPr>
          <w:rFonts w:ascii="Arial" w:hAnsi="Arial" w:cs="Arial"/>
          <w:sz w:val="20"/>
        </w:rPr>
        <w:t xml:space="preserve">2. </w:t>
      </w:r>
      <w:r w:rsidR="009A721A" w:rsidRPr="009A721A">
        <w:rPr>
          <w:rFonts w:ascii="Arial" w:hAnsi="Arial" w:cs="Arial"/>
          <w:sz w:val="20"/>
        </w:rPr>
        <w:t>M</w:t>
      </w:r>
      <w:r w:rsidRPr="009A721A">
        <w:rPr>
          <w:rFonts w:ascii="Arial" w:hAnsi="Arial" w:cs="Arial"/>
          <w:sz w:val="20"/>
        </w:rPr>
        <w:t>aterial and method</w:t>
      </w:r>
      <w:r w:rsidR="00000F8F" w:rsidRPr="009A721A">
        <w:rPr>
          <w:rFonts w:ascii="Arial" w:hAnsi="Arial" w:cs="Arial"/>
          <w:sz w:val="20"/>
        </w:rPr>
        <w:t xml:space="preserve">s </w:t>
      </w:r>
    </w:p>
    <w:p w14:paraId="095ECBD7" w14:textId="77777777" w:rsidR="00790ADA" w:rsidRPr="009A721A" w:rsidRDefault="00790ADA" w:rsidP="009A721A">
      <w:pPr>
        <w:pStyle w:val="AbstHead"/>
        <w:spacing w:after="0"/>
        <w:jc w:val="both"/>
        <w:rPr>
          <w:rFonts w:ascii="Arial" w:hAnsi="Arial" w:cs="Arial"/>
          <w:sz w:val="20"/>
        </w:rPr>
      </w:pPr>
    </w:p>
    <w:p w14:paraId="14BEB42D" w14:textId="77777777" w:rsidR="00790ADA" w:rsidRPr="009A721A" w:rsidRDefault="00790ADA" w:rsidP="009A721A">
      <w:pPr>
        <w:pStyle w:val="Body"/>
        <w:spacing w:after="0"/>
        <w:rPr>
          <w:rFonts w:ascii="Arial" w:hAnsi="Arial" w:cs="Arial"/>
        </w:rPr>
      </w:pPr>
    </w:p>
    <w:p w14:paraId="7312D73F" w14:textId="77777777" w:rsidR="009A721A" w:rsidRPr="009A721A" w:rsidRDefault="00AA74E0" w:rsidP="009A721A">
      <w:pPr>
        <w:pStyle w:val="Body"/>
        <w:spacing w:after="0"/>
        <w:rPr>
          <w:rFonts w:ascii="Arial" w:hAnsi="Arial" w:cs="Arial"/>
          <w:b/>
        </w:rPr>
      </w:pPr>
      <w:r w:rsidRPr="009A721A">
        <w:rPr>
          <w:rFonts w:ascii="Arial" w:hAnsi="Arial" w:cs="Arial"/>
          <w:b/>
          <w:caps/>
        </w:rPr>
        <w:t xml:space="preserve">2.1 </w:t>
      </w:r>
      <w:r w:rsidR="00C30A0F" w:rsidRPr="009A721A">
        <w:rPr>
          <w:rFonts w:ascii="Arial" w:hAnsi="Arial" w:cs="Arial"/>
          <w:b/>
        </w:rPr>
        <w:t>S</w:t>
      </w:r>
      <w:r w:rsidR="009A721A" w:rsidRPr="009A721A">
        <w:rPr>
          <w:rFonts w:ascii="Arial" w:hAnsi="Arial" w:cs="Arial"/>
          <w:b/>
        </w:rPr>
        <w:t>tudy Area</w:t>
      </w:r>
    </w:p>
    <w:p w14:paraId="34D86EDE" w14:textId="77777777" w:rsidR="009A721A" w:rsidRPr="009A721A" w:rsidRDefault="009A721A" w:rsidP="009A721A">
      <w:pPr>
        <w:pStyle w:val="Body"/>
        <w:rPr>
          <w:rFonts w:ascii="Arial" w:hAnsi="Arial" w:cs="Arial"/>
        </w:rPr>
      </w:pPr>
      <w:r w:rsidRPr="009A721A">
        <w:rPr>
          <w:rFonts w:ascii="Arial" w:hAnsi="Arial" w:cs="Arial"/>
        </w:rPr>
        <w:t>The study was conducted in the coastal barangays of the Municipality of San Agustin, Romblon, Philippines, in the northeastern portion of Tablas Island. San Agustin has a total land area of approximately 14,048 ha (140.48 km²) and is bounded by the Municipality of Calatrava to the north, the Municipality of Santa Maria to the south, Romblon Pass to the east, and the Municipality of San Andres to the west (Figure 1). The eastern coastline faces the island municipality of Romblon across Romblon Pass, whereas Tablas Island lies between the Sibuyan Sea and the Visayan Sea.</w:t>
      </w:r>
    </w:p>
    <w:p w14:paraId="6E221289" w14:textId="77777777" w:rsidR="009A721A" w:rsidRPr="009A721A" w:rsidRDefault="009A721A" w:rsidP="009A721A">
      <w:pPr>
        <w:pStyle w:val="Body"/>
        <w:spacing w:after="0"/>
        <w:rPr>
          <w:rFonts w:ascii="Arial" w:hAnsi="Arial" w:cs="Arial"/>
        </w:rPr>
      </w:pPr>
      <w:r w:rsidRPr="009A721A">
        <w:rPr>
          <w:rFonts w:ascii="Arial" w:hAnsi="Arial" w:cs="Arial"/>
        </w:rPr>
        <w:t>The municipality comprises 15 barangays: Bachawan, Binongaan, Buli, Cabolutan, Cagboaya, Camantaya, Carmen, Cawayan, Doña Juana, Dubduban, Hinugusan, Long Beach, Lusong, Poblacion, and Sugod. Coastal habitats within these barangays include coral reefs, seagrass beds, rocky shores, and sandy substrates that provide suitable habitats for sea urchins. Sampling was conducted across the coastal barangays to characterize the species composition, diversity, population structure, and spatial distribution of sea urchins throughout the municipality.</w:t>
      </w:r>
    </w:p>
    <w:p w14:paraId="2C2E1472" w14:textId="77777777" w:rsidR="009A721A" w:rsidRDefault="009A721A" w:rsidP="009A721A">
      <w:pPr>
        <w:pStyle w:val="Body"/>
        <w:spacing w:after="0"/>
        <w:rPr>
          <w:rFonts w:ascii="Arial" w:hAnsi="Arial" w:cs="Arial"/>
        </w:rPr>
      </w:pPr>
    </w:p>
    <w:p w14:paraId="7ED32ADC" w14:textId="77777777" w:rsidR="009A721A" w:rsidRDefault="009A721A" w:rsidP="009A721A">
      <w:pPr>
        <w:pStyle w:val="Body"/>
        <w:spacing w:after="0"/>
        <w:rPr>
          <w:rFonts w:ascii="Arial" w:hAnsi="Arial" w:cs="Arial"/>
        </w:rPr>
      </w:pPr>
      <w:r>
        <w:rPr>
          <w:noProof/>
        </w:rPr>
        <w:lastRenderedPageBreak/>
        <w:drawing>
          <wp:inline distT="0" distB="0" distL="0" distR="0" wp14:anchorId="3FDA631A" wp14:editId="3818AA99">
            <wp:extent cx="5146431" cy="35603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rotWithShape="1">
                    <a:blip r:embed="rId18"/>
                    <a:srcRect l="7199" t="5088" r="9570" b="13512"/>
                    <a:stretch/>
                  </pic:blipFill>
                  <pic:spPr bwMode="auto">
                    <a:xfrm>
                      <a:off x="0" y="0"/>
                      <a:ext cx="5163519" cy="3572196"/>
                    </a:xfrm>
                    <a:prstGeom prst="rect">
                      <a:avLst/>
                    </a:prstGeom>
                    <a:ln>
                      <a:noFill/>
                    </a:ln>
                    <a:extLst>
                      <a:ext uri="{53640926-AAD7-44D8-BBD7-CCE9431645EC}">
                        <a14:shadowObscured xmlns:a14="http://schemas.microsoft.com/office/drawing/2010/main"/>
                      </a:ext>
                    </a:extLst>
                  </pic:spPr>
                </pic:pic>
              </a:graphicData>
            </a:graphic>
          </wp:inline>
        </w:drawing>
      </w:r>
    </w:p>
    <w:p w14:paraId="062024C6" w14:textId="77777777" w:rsidR="009A721A" w:rsidRPr="009A721A" w:rsidRDefault="009A721A" w:rsidP="009A721A">
      <w:pPr>
        <w:pStyle w:val="Body"/>
        <w:spacing w:after="0"/>
        <w:rPr>
          <w:rFonts w:ascii="Arial" w:hAnsi="Arial" w:cs="Arial"/>
        </w:rPr>
      </w:pPr>
      <w:r w:rsidRPr="009A721A">
        <w:rPr>
          <w:rFonts w:ascii="Arial" w:hAnsi="Arial" w:cs="Arial"/>
        </w:rPr>
        <w:t>Figure 1. Map of Tablas Island, Romblon, Philippines, indicating the location of the study area along the northeastern coastal barangays of San Agustin</w:t>
      </w:r>
      <w:r>
        <w:rPr>
          <w:rFonts w:ascii="Arial" w:hAnsi="Arial" w:cs="Arial"/>
        </w:rPr>
        <w:t>.</w:t>
      </w:r>
    </w:p>
    <w:p w14:paraId="1A2F744F" w14:textId="77777777" w:rsidR="009A721A" w:rsidRPr="009A721A" w:rsidRDefault="009A721A" w:rsidP="009A721A">
      <w:pPr>
        <w:spacing w:before="120" w:after="60" w:line="276" w:lineRule="auto"/>
        <w:jc w:val="both"/>
        <w:rPr>
          <w:rFonts w:ascii="Arial" w:hAnsi="Arial" w:cs="Arial"/>
        </w:rPr>
      </w:pPr>
      <w:r>
        <w:rPr>
          <w:rFonts w:ascii="Arial" w:hAnsi="Arial" w:cs="Arial"/>
          <w:b/>
        </w:rPr>
        <w:t>2</w:t>
      </w:r>
      <w:r w:rsidRPr="009A721A">
        <w:rPr>
          <w:rFonts w:ascii="Arial" w:hAnsi="Arial" w:cs="Arial"/>
          <w:b/>
        </w:rPr>
        <w:t>.2 Field Survey and Sampling Design</w:t>
      </w:r>
    </w:p>
    <w:p w14:paraId="298DACE7" w14:textId="77777777" w:rsidR="009A721A" w:rsidRDefault="009A721A" w:rsidP="009A721A">
      <w:pPr>
        <w:jc w:val="both"/>
        <w:rPr>
          <w:rFonts w:ascii="Arial" w:hAnsi="Arial" w:cs="Arial"/>
        </w:rPr>
      </w:pPr>
      <w:r w:rsidRPr="009A721A">
        <w:rPr>
          <w:rFonts w:ascii="Arial" w:hAnsi="Arial" w:cs="Arial"/>
        </w:rPr>
        <w:t>A preliminary reconnaissance survey was conducted prior to field sampling to identify and map sea urchin habitats within the study area and to establish the sampling stations. The geographic coordinates of each station were recorded using a Global Positioning System (GPS) receiver, and permanent sampling locations were marked using recognizable natural landmarks to facilitate site relocation during subsequent surveys.</w:t>
      </w:r>
    </w:p>
    <w:p w14:paraId="3B2EE838" w14:textId="77777777" w:rsidR="009A721A" w:rsidRPr="009A721A" w:rsidRDefault="009A721A" w:rsidP="009A721A">
      <w:pPr>
        <w:jc w:val="both"/>
        <w:rPr>
          <w:rFonts w:ascii="Arial" w:hAnsi="Arial" w:cs="Arial"/>
        </w:rPr>
      </w:pPr>
    </w:p>
    <w:p w14:paraId="118F7F11" w14:textId="77777777" w:rsidR="009A721A" w:rsidRDefault="009A721A" w:rsidP="009A721A">
      <w:pPr>
        <w:jc w:val="both"/>
        <w:rPr>
          <w:rFonts w:ascii="Arial" w:hAnsi="Arial" w:cs="Arial"/>
        </w:rPr>
      </w:pPr>
      <w:r w:rsidRPr="009A721A">
        <w:rPr>
          <w:rFonts w:ascii="Arial" w:hAnsi="Arial" w:cs="Arial"/>
        </w:rPr>
        <w:t>Sea urchin sampling followed the belt-transect method of English et al. (1997). At each sampling station, a 100-m transect line was laid parallel to the shoreline within the intertidal or shallow subtidal zone, depending on local habitat characteristics. Two trained observers surveyed both sides of the transect, each covering a belt 2.5 m wide, for a total sampled area of 500 m² (100 m × 5 m) per transect.</w:t>
      </w:r>
    </w:p>
    <w:p w14:paraId="490A7708" w14:textId="77777777" w:rsidR="009A721A" w:rsidRPr="009A721A" w:rsidRDefault="009A721A" w:rsidP="009A721A">
      <w:pPr>
        <w:jc w:val="both"/>
        <w:rPr>
          <w:rFonts w:ascii="Arial" w:hAnsi="Arial" w:cs="Arial"/>
        </w:rPr>
      </w:pPr>
    </w:p>
    <w:p w14:paraId="31854F2A" w14:textId="77777777" w:rsidR="009A721A" w:rsidRPr="009A721A" w:rsidRDefault="009A721A" w:rsidP="009A721A">
      <w:pPr>
        <w:jc w:val="both"/>
        <w:rPr>
          <w:rFonts w:ascii="Arial" w:hAnsi="Arial" w:cs="Arial"/>
        </w:rPr>
      </w:pPr>
      <w:r w:rsidRPr="009A721A">
        <w:rPr>
          <w:rFonts w:ascii="Arial" w:hAnsi="Arial" w:cs="Arial"/>
        </w:rPr>
        <w:t>All sea urchins encountered within the transect were identified to species level and counted to determine species composition, abundance, and spatial distribution among sampling stations. The test diameter of each individual was measured in situ to the nearest 1 mm using a digital caliper to assess population size structure. Measurements were taken with minimal handling, and individuals were returned to their original positions immediately after processing.</w:t>
      </w:r>
    </w:p>
    <w:p w14:paraId="623ACF41" w14:textId="77777777" w:rsidR="009A721A" w:rsidRPr="009A721A" w:rsidRDefault="009A721A" w:rsidP="009A721A">
      <w:pPr>
        <w:spacing w:before="120" w:after="60" w:line="276" w:lineRule="auto"/>
        <w:jc w:val="both"/>
        <w:rPr>
          <w:rFonts w:ascii="Arial" w:hAnsi="Arial" w:cs="Arial"/>
        </w:rPr>
      </w:pPr>
      <w:r>
        <w:rPr>
          <w:rFonts w:ascii="Arial" w:hAnsi="Arial" w:cs="Arial"/>
          <w:b/>
        </w:rPr>
        <w:t>2</w:t>
      </w:r>
      <w:r w:rsidRPr="009A721A">
        <w:rPr>
          <w:rFonts w:ascii="Arial" w:hAnsi="Arial" w:cs="Arial"/>
          <w:b/>
        </w:rPr>
        <w:t>.3 Species Identification and Morphometric Measurements</w:t>
      </w:r>
    </w:p>
    <w:p w14:paraId="052DD805" w14:textId="77777777" w:rsidR="009A721A" w:rsidRDefault="009A721A" w:rsidP="009A721A">
      <w:pPr>
        <w:jc w:val="both"/>
        <w:rPr>
          <w:rFonts w:ascii="Arial" w:hAnsi="Arial" w:cs="Arial"/>
        </w:rPr>
      </w:pPr>
      <w:r w:rsidRPr="009A721A">
        <w:rPr>
          <w:rFonts w:ascii="Arial" w:hAnsi="Arial" w:cs="Arial"/>
        </w:rPr>
        <w:t>Sea urchins were identified to species level on the basis of external morphological characters, including test shape, spine morphology and coloration, arrangement of ambulacral and interambulacral plates, tuberculation, and apical system structure. Additional morphometric measurements, including test diameter, test height, and spine length, were obtained using digital calipers (instrument resolution ±0.01 mm) to support taxonomic identification.</w:t>
      </w:r>
    </w:p>
    <w:p w14:paraId="4AC4DE67" w14:textId="77777777" w:rsidR="009A721A" w:rsidRPr="009A721A" w:rsidRDefault="009A721A" w:rsidP="009A721A">
      <w:pPr>
        <w:jc w:val="both"/>
        <w:rPr>
          <w:rFonts w:ascii="Arial" w:hAnsi="Arial" w:cs="Arial"/>
        </w:rPr>
      </w:pPr>
    </w:p>
    <w:p w14:paraId="7D950429" w14:textId="77777777" w:rsidR="009A721A" w:rsidRPr="009A721A" w:rsidRDefault="009A721A" w:rsidP="009A721A">
      <w:pPr>
        <w:jc w:val="both"/>
        <w:rPr>
          <w:rFonts w:ascii="Arial" w:hAnsi="Arial" w:cs="Arial"/>
        </w:rPr>
      </w:pPr>
      <w:r w:rsidRPr="009A721A">
        <w:rPr>
          <w:rFonts w:ascii="Arial" w:hAnsi="Arial" w:cs="Arial"/>
        </w:rPr>
        <w:lastRenderedPageBreak/>
        <w:t>Species identification followed the taxonomic keys and descriptions of Clark and Rowe (1971), Schultz (2015), and the World Echinoidea Database (Kroh &amp; Mooi). Scientific names and higher taxonomic classifications were verified using the World Register of Marine Species (WoRMS) to ensure nomenclatural consistency. Representative voucher specimens of all identified species were deposited in the RSU–San Agustin Biological Repository for future reference and verification.</w:t>
      </w:r>
    </w:p>
    <w:p w14:paraId="58CD8491" w14:textId="77777777" w:rsidR="009A721A" w:rsidRPr="009A721A" w:rsidRDefault="009A721A" w:rsidP="009A721A">
      <w:pPr>
        <w:spacing w:before="120" w:after="60" w:line="276" w:lineRule="auto"/>
        <w:jc w:val="both"/>
        <w:rPr>
          <w:rFonts w:ascii="Arial" w:hAnsi="Arial" w:cs="Arial"/>
        </w:rPr>
      </w:pPr>
      <w:r>
        <w:rPr>
          <w:rFonts w:ascii="Arial" w:hAnsi="Arial" w:cs="Arial"/>
          <w:b/>
        </w:rPr>
        <w:t>2</w:t>
      </w:r>
      <w:r w:rsidRPr="009A721A">
        <w:rPr>
          <w:rFonts w:ascii="Arial" w:hAnsi="Arial" w:cs="Arial"/>
          <w:b/>
        </w:rPr>
        <w:t>.4 Data Analysis</w:t>
      </w:r>
    </w:p>
    <w:p w14:paraId="5F638943" w14:textId="77777777" w:rsidR="009A721A" w:rsidRPr="009A721A" w:rsidRDefault="009A721A" w:rsidP="009A721A">
      <w:pPr>
        <w:spacing w:before="120" w:after="60" w:line="276" w:lineRule="auto"/>
        <w:jc w:val="both"/>
        <w:rPr>
          <w:rFonts w:ascii="Arial" w:hAnsi="Arial" w:cs="Arial"/>
        </w:rPr>
      </w:pPr>
      <w:r>
        <w:rPr>
          <w:rFonts w:ascii="Arial" w:hAnsi="Arial" w:cs="Arial"/>
          <w:b/>
        </w:rPr>
        <w:t>2</w:t>
      </w:r>
      <w:r w:rsidRPr="009A721A">
        <w:rPr>
          <w:rFonts w:ascii="Arial" w:hAnsi="Arial" w:cs="Arial"/>
          <w:b/>
        </w:rPr>
        <w:t>.4.1 Species composition, abundance, and relative frequency</w:t>
      </w:r>
    </w:p>
    <w:p w14:paraId="0895C056" w14:textId="77777777" w:rsidR="009A721A" w:rsidRPr="009A721A" w:rsidRDefault="009A721A" w:rsidP="009A721A">
      <w:pPr>
        <w:jc w:val="both"/>
        <w:rPr>
          <w:rFonts w:ascii="Arial" w:hAnsi="Arial" w:cs="Arial"/>
        </w:rPr>
      </w:pPr>
      <w:r w:rsidRPr="009A721A">
        <w:rPr>
          <w:rFonts w:ascii="Arial" w:hAnsi="Arial" w:cs="Arial"/>
        </w:rPr>
        <w:t>A species checklist was prepared for each sampling site on the basis of the sea urchin species recorded during the field survey. Species abundance was determined by counting the number of individuals of each species within each transect. These data were used to assess species composition, relative abundance, dominance, and the spatial distribution of sea urchins across all sampling sites.</w:t>
      </w:r>
    </w:p>
    <w:p w14:paraId="7400536B" w14:textId="77777777" w:rsidR="009A721A" w:rsidRDefault="009A721A" w:rsidP="009A721A">
      <w:pPr>
        <w:jc w:val="both"/>
        <w:rPr>
          <w:rFonts w:ascii="Arial" w:hAnsi="Arial" w:cs="Arial"/>
        </w:rPr>
      </w:pPr>
      <w:r w:rsidRPr="009A721A">
        <w:rPr>
          <w:rFonts w:ascii="Arial" w:hAnsi="Arial" w:cs="Arial"/>
        </w:rPr>
        <w:t>The relative frequency (RF) of each sea urchin species was calculated to describe its occurrence relative to all recorded species using the following equation:</w:t>
      </w:r>
    </w:p>
    <w:p w14:paraId="4B8D2835" w14:textId="77777777" w:rsidR="009A721A" w:rsidRPr="009A721A" w:rsidRDefault="009A721A" w:rsidP="009A721A">
      <w:pPr>
        <w:jc w:val="both"/>
        <w:rPr>
          <w:rFonts w:ascii="Arial" w:hAnsi="Arial" w:cs="Arial"/>
        </w:rPr>
      </w:pPr>
    </w:p>
    <w:p w14:paraId="014C484F" w14:textId="77777777" w:rsidR="009A721A" w:rsidRDefault="009A721A" w:rsidP="009A721A">
      <w:pPr>
        <w:spacing w:after="60"/>
        <w:jc w:val="both"/>
        <w:rPr>
          <w:rFonts w:ascii="Arial" w:hAnsi="Arial" w:cs="Arial"/>
        </w:rPr>
      </w:pPr>
      <w:r w:rsidRPr="009A721A">
        <w:rPr>
          <w:rFonts w:ascii="Arial" w:hAnsi="Arial" w:cs="Arial"/>
        </w:rPr>
        <w:t>RF = (F / TF) × 100</w:t>
      </w:r>
    </w:p>
    <w:p w14:paraId="667EA403" w14:textId="77777777" w:rsidR="009A721A" w:rsidRPr="009A721A" w:rsidRDefault="009A721A" w:rsidP="009A721A">
      <w:pPr>
        <w:spacing w:after="60"/>
        <w:jc w:val="both"/>
        <w:rPr>
          <w:rFonts w:ascii="Arial" w:hAnsi="Arial" w:cs="Arial"/>
        </w:rPr>
      </w:pPr>
    </w:p>
    <w:p w14:paraId="2366F277" w14:textId="77777777" w:rsidR="009A721A" w:rsidRPr="009A721A" w:rsidRDefault="009A721A" w:rsidP="009A721A">
      <w:pPr>
        <w:jc w:val="both"/>
        <w:rPr>
          <w:rFonts w:ascii="Arial" w:hAnsi="Arial" w:cs="Arial"/>
        </w:rPr>
      </w:pPr>
      <w:r w:rsidRPr="009A721A">
        <w:rPr>
          <w:rFonts w:ascii="Arial" w:hAnsi="Arial" w:cs="Arial"/>
        </w:rPr>
        <w:t>where F is the frequency of occurrence of a given sea urchin species and TF is the total frequency of occurrence of all recorded sea urchin species.</w:t>
      </w:r>
    </w:p>
    <w:p w14:paraId="3F708956" w14:textId="77777777" w:rsidR="009A721A" w:rsidRPr="009A721A" w:rsidRDefault="009A721A" w:rsidP="009A721A">
      <w:pPr>
        <w:spacing w:before="120" w:after="60" w:line="276" w:lineRule="auto"/>
        <w:jc w:val="both"/>
        <w:rPr>
          <w:rFonts w:ascii="Arial" w:hAnsi="Arial" w:cs="Arial"/>
        </w:rPr>
      </w:pPr>
      <w:r>
        <w:rPr>
          <w:rFonts w:ascii="Arial" w:hAnsi="Arial" w:cs="Arial"/>
          <w:b/>
        </w:rPr>
        <w:t>2</w:t>
      </w:r>
      <w:r w:rsidRPr="009A721A">
        <w:rPr>
          <w:rFonts w:ascii="Arial" w:hAnsi="Arial" w:cs="Arial"/>
          <w:b/>
        </w:rPr>
        <w:t>.4.2 Population size structure</w:t>
      </w:r>
    </w:p>
    <w:p w14:paraId="5B51745E" w14:textId="77777777" w:rsidR="009A721A" w:rsidRPr="009A721A" w:rsidRDefault="009A721A" w:rsidP="009A721A">
      <w:pPr>
        <w:jc w:val="both"/>
        <w:rPr>
          <w:rFonts w:ascii="Arial" w:hAnsi="Arial" w:cs="Arial"/>
        </w:rPr>
      </w:pPr>
      <w:r w:rsidRPr="009A721A">
        <w:rPr>
          <w:rFonts w:ascii="Arial" w:hAnsi="Arial" w:cs="Arial"/>
        </w:rPr>
        <w:t>Population size structure was evaluated using test-diameter measurements. Individuals were categorized into three size classes following Prado and Galvez (2008) and Juinio-Meñez et al. (200</w:t>
      </w:r>
      <w:r w:rsidR="00FF53C7">
        <w:rPr>
          <w:rFonts w:ascii="Arial" w:hAnsi="Arial" w:cs="Arial"/>
        </w:rPr>
        <w:t>8</w:t>
      </w:r>
      <w:r w:rsidRPr="009A721A">
        <w:rPr>
          <w:rFonts w:ascii="Arial" w:hAnsi="Arial" w:cs="Arial"/>
        </w:rPr>
        <w:t>): young (1–3 cm), subadult (4–5 cm), and adult (≥6 cm). For each species and sampling site, the mean, standard deviation, and range of test diameter were calculated to describe variation in body size. Size-frequency distributions were summarized in tables and graphical plots to facilitate comparisons among sites.</w:t>
      </w:r>
    </w:p>
    <w:p w14:paraId="5EEA28F7" w14:textId="77777777" w:rsidR="009A721A" w:rsidRPr="009A721A" w:rsidRDefault="009A721A" w:rsidP="009A721A">
      <w:pPr>
        <w:spacing w:before="120" w:after="60" w:line="276" w:lineRule="auto"/>
        <w:jc w:val="both"/>
        <w:rPr>
          <w:rFonts w:ascii="Arial" w:hAnsi="Arial" w:cs="Arial"/>
        </w:rPr>
      </w:pPr>
      <w:r>
        <w:rPr>
          <w:rFonts w:ascii="Arial" w:hAnsi="Arial" w:cs="Arial"/>
          <w:b/>
        </w:rPr>
        <w:t>2</w:t>
      </w:r>
      <w:r w:rsidRPr="009A721A">
        <w:rPr>
          <w:rFonts w:ascii="Arial" w:hAnsi="Arial" w:cs="Arial"/>
          <w:b/>
        </w:rPr>
        <w:t>.4.3 Diversity, dominance, and evenness indices</w:t>
      </w:r>
    </w:p>
    <w:p w14:paraId="58327E5F" w14:textId="77777777" w:rsidR="009A721A" w:rsidRPr="009A721A" w:rsidRDefault="009A721A" w:rsidP="009A721A">
      <w:pPr>
        <w:jc w:val="both"/>
        <w:rPr>
          <w:rFonts w:ascii="Arial" w:hAnsi="Arial" w:cs="Arial"/>
        </w:rPr>
      </w:pPr>
      <w:r w:rsidRPr="009A721A">
        <w:rPr>
          <w:rFonts w:ascii="Arial" w:hAnsi="Arial" w:cs="Arial"/>
        </w:rPr>
        <w:t>Species diversity was evaluated using standard ecological indices. Simpson’s dominance index (C) was used to estimate species dominance, the Shannon–Wiener diversity index (H′) was used to quantify species diversity, and Pielou’s evenness index (J′) was used to assess the distribution of individuals among species (Odum, 1977). All indices were computed from the abundance of sea urchin species recorded in each transect.</w:t>
      </w:r>
    </w:p>
    <w:p w14:paraId="2426D8E8" w14:textId="77777777" w:rsidR="009A721A" w:rsidRDefault="009A721A" w:rsidP="009A721A">
      <w:pPr>
        <w:jc w:val="both"/>
        <w:rPr>
          <w:rFonts w:ascii="Arial" w:hAnsi="Arial" w:cs="Arial"/>
        </w:rPr>
      </w:pPr>
      <w:r w:rsidRPr="009A721A">
        <w:rPr>
          <w:rFonts w:ascii="Arial" w:hAnsi="Arial" w:cs="Arial"/>
        </w:rPr>
        <w:t>The formulas used were as follows:</w:t>
      </w:r>
    </w:p>
    <w:p w14:paraId="015C0052" w14:textId="77777777" w:rsidR="009A721A" w:rsidRPr="009A721A" w:rsidRDefault="009A721A" w:rsidP="009A721A">
      <w:pPr>
        <w:jc w:val="both"/>
        <w:rPr>
          <w:rFonts w:ascii="Arial" w:hAnsi="Arial" w:cs="Arial"/>
        </w:rPr>
      </w:pPr>
    </w:p>
    <w:p w14:paraId="4184FA91" w14:textId="77777777" w:rsidR="009A721A" w:rsidRDefault="009A721A" w:rsidP="009A721A">
      <w:pPr>
        <w:jc w:val="both"/>
        <w:rPr>
          <w:rFonts w:ascii="Arial" w:hAnsi="Arial" w:cs="Arial"/>
        </w:rPr>
      </w:pPr>
      <w:r w:rsidRPr="009A721A">
        <w:rPr>
          <w:rFonts w:ascii="Arial" w:hAnsi="Arial" w:cs="Arial"/>
        </w:rPr>
        <w:t>Simpson’s Dominance Index (C):</w:t>
      </w:r>
    </w:p>
    <w:p w14:paraId="258D7009" w14:textId="77777777" w:rsidR="009A721A" w:rsidRPr="009A721A" w:rsidRDefault="009A721A" w:rsidP="009A721A">
      <w:pPr>
        <w:jc w:val="both"/>
        <w:rPr>
          <w:rFonts w:ascii="Arial" w:hAnsi="Arial" w:cs="Arial"/>
        </w:rPr>
      </w:pPr>
    </w:p>
    <w:p w14:paraId="3E0FC2AA" w14:textId="77777777" w:rsidR="009A721A" w:rsidRDefault="009A721A" w:rsidP="009A721A">
      <w:pPr>
        <w:spacing w:after="60"/>
        <w:jc w:val="both"/>
        <w:rPr>
          <w:rFonts w:ascii="Arial" w:hAnsi="Arial" w:cs="Arial"/>
        </w:rPr>
      </w:pPr>
      <w:r w:rsidRPr="009A721A">
        <w:rPr>
          <w:rFonts w:ascii="Arial" w:hAnsi="Arial" w:cs="Arial"/>
        </w:rPr>
        <w:t>C = Σ (nᵢ / N)²,  i = 1 to S</w:t>
      </w:r>
    </w:p>
    <w:p w14:paraId="7DABD2D7" w14:textId="77777777" w:rsidR="009A721A" w:rsidRPr="009A721A" w:rsidRDefault="009A721A" w:rsidP="009A721A">
      <w:pPr>
        <w:spacing w:after="60"/>
        <w:jc w:val="both"/>
        <w:rPr>
          <w:rFonts w:ascii="Arial" w:hAnsi="Arial" w:cs="Arial"/>
        </w:rPr>
      </w:pPr>
    </w:p>
    <w:p w14:paraId="43C46F33" w14:textId="77777777" w:rsidR="009A721A" w:rsidRPr="009A721A" w:rsidRDefault="009A721A" w:rsidP="009A721A">
      <w:pPr>
        <w:jc w:val="both"/>
        <w:rPr>
          <w:rFonts w:ascii="Arial" w:hAnsi="Arial" w:cs="Arial"/>
        </w:rPr>
      </w:pPr>
      <w:r w:rsidRPr="009A721A">
        <w:rPr>
          <w:rFonts w:ascii="Arial" w:hAnsi="Arial" w:cs="Arial"/>
        </w:rPr>
        <w:t>where nᵢ is the number of individuals of the i-th species, N is the total number of individuals of all species, and S is the total number of species. Values of C range from 0 to 1, with values approaching 1 indicating high species dominance (low diversity) and values approaching 0 indicating low dominance (high diversity).</w:t>
      </w:r>
    </w:p>
    <w:p w14:paraId="61EAE359" w14:textId="77777777" w:rsidR="009A721A" w:rsidRDefault="009A721A" w:rsidP="009A721A">
      <w:pPr>
        <w:jc w:val="both"/>
        <w:rPr>
          <w:rFonts w:ascii="Arial" w:hAnsi="Arial" w:cs="Arial"/>
        </w:rPr>
      </w:pPr>
    </w:p>
    <w:p w14:paraId="0B20B5C9" w14:textId="77777777" w:rsidR="009A721A" w:rsidRPr="009A721A" w:rsidRDefault="009A721A" w:rsidP="009A721A">
      <w:pPr>
        <w:jc w:val="both"/>
        <w:rPr>
          <w:rFonts w:ascii="Arial" w:hAnsi="Arial" w:cs="Arial"/>
        </w:rPr>
      </w:pPr>
      <w:r w:rsidRPr="009A721A">
        <w:rPr>
          <w:rFonts w:ascii="Arial" w:hAnsi="Arial" w:cs="Arial"/>
        </w:rPr>
        <w:t>Shannon–Wiener Diversity Index (H′):</w:t>
      </w:r>
    </w:p>
    <w:p w14:paraId="00EA9B71" w14:textId="77777777" w:rsidR="009A721A" w:rsidRDefault="009A721A" w:rsidP="009A721A">
      <w:pPr>
        <w:spacing w:after="60"/>
        <w:jc w:val="both"/>
        <w:rPr>
          <w:rFonts w:ascii="Arial" w:hAnsi="Arial" w:cs="Arial"/>
        </w:rPr>
      </w:pPr>
    </w:p>
    <w:p w14:paraId="4359F31A" w14:textId="77777777" w:rsidR="009A721A" w:rsidRDefault="009A721A" w:rsidP="009A721A">
      <w:pPr>
        <w:spacing w:after="60"/>
        <w:jc w:val="both"/>
        <w:rPr>
          <w:rFonts w:ascii="Arial" w:hAnsi="Arial" w:cs="Arial"/>
        </w:rPr>
      </w:pPr>
      <w:r w:rsidRPr="009A721A">
        <w:rPr>
          <w:rFonts w:ascii="Arial" w:hAnsi="Arial" w:cs="Arial"/>
        </w:rPr>
        <w:t>H′ = -Σ pᵢ ln(pᵢ),  i = 1 to S</w:t>
      </w:r>
    </w:p>
    <w:p w14:paraId="6CCFF6FF" w14:textId="77777777" w:rsidR="009A721A" w:rsidRPr="009A721A" w:rsidRDefault="009A721A" w:rsidP="009A721A">
      <w:pPr>
        <w:spacing w:after="60"/>
        <w:jc w:val="both"/>
        <w:rPr>
          <w:rFonts w:ascii="Arial" w:hAnsi="Arial" w:cs="Arial"/>
        </w:rPr>
      </w:pPr>
    </w:p>
    <w:p w14:paraId="0143960B" w14:textId="77777777" w:rsidR="009A721A" w:rsidRPr="009A721A" w:rsidRDefault="009A721A" w:rsidP="009A721A">
      <w:pPr>
        <w:jc w:val="both"/>
        <w:rPr>
          <w:rFonts w:ascii="Arial" w:hAnsi="Arial" w:cs="Arial"/>
        </w:rPr>
      </w:pPr>
      <w:r w:rsidRPr="009A721A">
        <w:rPr>
          <w:rFonts w:ascii="Arial" w:hAnsi="Arial" w:cs="Arial"/>
        </w:rPr>
        <w:lastRenderedPageBreak/>
        <w:t>where pᵢ is the proportion of individuals belonging to the i-th species and is calculated as pᵢ = nᵢ/N; nᵢ is the number of individuals of the i-th species; N is the total number of individuals of all recorded species; S is the total number of species; and ln denotes the natural logarithm.</w:t>
      </w:r>
    </w:p>
    <w:p w14:paraId="18DFCBC9" w14:textId="77777777" w:rsidR="009A721A" w:rsidRDefault="009A721A" w:rsidP="009A721A">
      <w:pPr>
        <w:jc w:val="both"/>
        <w:rPr>
          <w:rFonts w:ascii="Arial" w:hAnsi="Arial" w:cs="Arial"/>
        </w:rPr>
      </w:pPr>
    </w:p>
    <w:p w14:paraId="5C99A2CE" w14:textId="77777777" w:rsidR="009A721A" w:rsidRDefault="009A721A" w:rsidP="009A721A">
      <w:pPr>
        <w:jc w:val="both"/>
        <w:rPr>
          <w:rFonts w:ascii="Arial" w:hAnsi="Arial" w:cs="Arial"/>
        </w:rPr>
      </w:pPr>
      <w:r w:rsidRPr="009A721A">
        <w:rPr>
          <w:rFonts w:ascii="Arial" w:hAnsi="Arial" w:cs="Arial"/>
        </w:rPr>
        <w:t>Pielou’s Evenness Index (J′):</w:t>
      </w:r>
    </w:p>
    <w:p w14:paraId="0D079470" w14:textId="77777777" w:rsidR="009A721A" w:rsidRPr="009A721A" w:rsidRDefault="009A721A" w:rsidP="009A721A">
      <w:pPr>
        <w:jc w:val="both"/>
        <w:rPr>
          <w:rFonts w:ascii="Arial" w:hAnsi="Arial" w:cs="Arial"/>
        </w:rPr>
      </w:pPr>
    </w:p>
    <w:p w14:paraId="76D65584" w14:textId="77777777" w:rsidR="009A721A" w:rsidRDefault="009A721A" w:rsidP="009A721A">
      <w:pPr>
        <w:spacing w:after="60"/>
        <w:jc w:val="both"/>
        <w:rPr>
          <w:rFonts w:ascii="Arial" w:hAnsi="Arial" w:cs="Arial"/>
        </w:rPr>
      </w:pPr>
      <w:r w:rsidRPr="009A721A">
        <w:rPr>
          <w:rFonts w:ascii="Arial" w:hAnsi="Arial" w:cs="Arial"/>
        </w:rPr>
        <w:t>J′ = H′ / ln(S)</w:t>
      </w:r>
    </w:p>
    <w:p w14:paraId="179B9813" w14:textId="77777777" w:rsidR="009A721A" w:rsidRPr="009A721A" w:rsidRDefault="009A721A" w:rsidP="009A721A">
      <w:pPr>
        <w:spacing w:after="60"/>
        <w:jc w:val="both"/>
        <w:rPr>
          <w:rFonts w:ascii="Arial" w:hAnsi="Arial" w:cs="Arial"/>
        </w:rPr>
      </w:pPr>
    </w:p>
    <w:p w14:paraId="4725D2C4" w14:textId="77777777" w:rsidR="009A721A" w:rsidRPr="009A721A" w:rsidRDefault="009A721A" w:rsidP="009A721A">
      <w:pPr>
        <w:jc w:val="both"/>
        <w:rPr>
          <w:rFonts w:ascii="Arial" w:hAnsi="Arial" w:cs="Arial"/>
        </w:rPr>
      </w:pPr>
      <w:r w:rsidRPr="009A721A">
        <w:rPr>
          <w:rFonts w:ascii="Arial" w:hAnsi="Arial" w:cs="Arial"/>
        </w:rPr>
        <w:t>where J′ is Pielou’s evenness index, H′ is the Shannon–Wiener diversity index, and S is the total number of species recorded. The index ranges from 0 to 1, with values approaching 1 indicating that individuals are distributed more evenly among species, whereas values closer to 0 indicate that a few species dominate the community.</w:t>
      </w:r>
    </w:p>
    <w:p w14:paraId="11137615" w14:textId="77777777" w:rsidR="009A721A" w:rsidRPr="009A721A" w:rsidRDefault="009A721A" w:rsidP="009A721A">
      <w:pPr>
        <w:pStyle w:val="Body"/>
        <w:spacing w:after="0"/>
        <w:rPr>
          <w:rFonts w:ascii="Arial" w:hAnsi="Arial" w:cs="Arial"/>
        </w:rPr>
      </w:pPr>
    </w:p>
    <w:p w14:paraId="32A5C50B" w14:textId="77777777" w:rsidR="00790ADA" w:rsidRPr="009A721A" w:rsidRDefault="00790ADA" w:rsidP="009A721A">
      <w:pPr>
        <w:pStyle w:val="Body"/>
        <w:spacing w:after="0"/>
        <w:rPr>
          <w:rFonts w:ascii="Arial" w:hAnsi="Arial" w:cs="Arial"/>
        </w:rPr>
      </w:pPr>
    </w:p>
    <w:p w14:paraId="1C85006E" w14:textId="77777777" w:rsidR="00902823" w:rsidRDefault="00000F8F" w:rsidP="009A721A">
      <w:pPr>
        <w:pStyle w:val="Head1"/>
        <w:spacing w:after="0"/>
        <w:jc w:val="both"/>
        <w:rPr>
          <w:rFonts w:ascii="Arial" w:hAnsi="Arial" w:cs="Arial"/>
          <w:sz w:val="20"/>
        </w:rPr>
      </w:pPr>
      <w:r w:rsidRPr="009A721A">
        <w:rPr>
          <w:rFonts w:ascii="Arial" w:hAnsi="Arial" w:cs="Arial"/>
          <w:sz w:val="20"/>
        </w:rPr>
        <w:t>3</w:t>
      </w:r>
      <w:r w:rsidR="00902823" w:rsidRPr="009A721A">
        <w:rPr>
          <w:rFonts w:ascii="Arial" w:hAnsi="Arial" w:cs="Arial"/>
          <w:sz w:val="20"/>
        </w:rPr>
        <w:t xml:space="preserve">. </w:t>
      </w:r>
      <w:r w:rsidRPr="009A721A">
        <w:rPr>
          <w:rFonts w:ascii="Arial" w:hAnsi="Arial" w:cs="Arial"/>
          <w:sz w:val="20"/>
        </w:rPr>
        <w:t>results and discussion</w:t>
      </w:r>
    </w:p>
    <w:p w14:paraId="356E2FBD" w14:textId="77777777" w:rsidR="00594C1C" w:rsidRDefault="00594C1C" w:rsidP="009A721A">
      <w:pPr>
        <w:pStyle w:val="Head1"/>
        <w:spacing w:after="0"/>
        <w:jc w:val="both"/>
        <w:rPr>
          <w:rFonts w:ascii="Arial" w:hAnsi="Arial" w:cs="Arial"/>
          <w:sz w:val="20"/>
        </w:rPr>
      </w:pPr>
    </w:p>
    <w:p w14:paraId="5F2A2CD7" w14:textId="77777777" w:rsidR="00594C1C" w:rsidRPr="009A721A" w:rsidRDefault="00594C1C" w:rsidP="009A721A">
      <w:pPr>
        <w:pStyle w:val="Head1"/>
        <w:spacing w:after="0"/>
        <w:jc w:val="both"/>
        <w:rPr>
          <w:rFonts w:ascii="Arial" w:hAnsi="Arial" w:cs="Arial"/>
          <w:sz w:val="20"/>
        </w:rPr>
      </w:pPr>
      <w:r>
        <w:rPr>
          <w:rFonts w:ascii="Arial" w:hAnsi="Arial" w:cs="Arial"/>
          <w:sz w:val="20"/>
        </w:rPr>
        <w:t>3.1 R</w:t>
      </w:r>
      <w:r>
        <w:rPr>
          <w:rFonts w:ascii="Arial" w:hAnsi="Arial" w:cs="Arial"/>
          <w:caps w:val="0"/>
          <w:sz w:val="20"/>
        </w:rPr>
        <w:t>esults</w:t>
      </w:r>
    </w:p>
    <w:p w14:paraId="7007235F" w14:textId="77777777" w:rsidR="00790ADA" w:rsidRDefault="00790ADA" w:rsidP="009A721A">
      <w:pPr>
        <w:pStyle w:val="Head1"/>
        <w:spacing w:after="0"/>
        <w:jc w:val="both"/>
        <w:rPr>
          <w:rFonts w:ascii="Arial" w:hAnsi="Arial" w:cs="Arial"/>
          <w:sz w:val="20"/>
        </w:rPr>
      </w:pPr>
    </w:p>
    <w:p w14:paraId="5CE4E999" w14:textId="77777777" w:rsidR="00594C1C" w:rsidRDefault="00594C1C" w:rsidP="009A721A">
      <w:pPr>
        <w:pStyle w:val="Head1"/>
        <w:spacing w:after="0"/>
        <w:jc w:val="both"/>
        <w:rPr>
          <w:rFonts w:ascii="Arial" w:hAnsi="Arial" w:cs="Arial"/>
          <w:caps w:val="0"/>
          <w:sz w:val="20"/>
        </w:rPr>
      </w:pPr>
      <w:r>
        <w:rPr>
          <w:rFonts w:ascii="Arial" w:hAnsi="Arial" w:cs="Arial"/>
          <w:sz w:val="20"/>
        </w:rPr>
        <w:t xml:space="preserve">3.1.1 </w:t>
      </w:r>
      <w:r w:rsidRPr="00594C1C">
        <w:rPr>
          <w:rFonts w:ascii="Arial" w:hAnsi="Arial" w:cs="Arial"/>
          <w:caps w:val="0"/>
          <w:sz w:val="20"/>
        </w:rPr>
        <w:t>Species Composition</w:t>
      </w:r>
    </w:p>
    <w:p w14:paraId="54E2769C" w14:textId="77777777" w:rsidR="00594C1C" w:rsidRDefault="00594C1C" w:rsidP="009A721A">
      <w:pPr>
        <w:pStyle w:val="Head1"/>
        <w:spacing w:after="0"/>
        <w:jc w:val="both"/>
        <w:rPr>
          <w:rFonts w:ascii="Arial" w:hAnsi="Arial" w:cs="Arial"/>
          <w:sz w:val="20"/>
        </w:rPr>
      </w:pPr>
    </w:p>
    <w:p w14:paraId="0EED2B52" w14:textId="77777777" w:rsidR="00594C1C" w:rsidRDefault="00594C1C" w:rsidP="00594C1C">
      <w:pPr>
        <w:jc w:val="both"/>
        <w:rPr>
          <w:rFonts w:ascii="Helvetica Neue" w:hAnsi="Helvetica Neue"/>
          <w:color w:val="1A1A1A"/>
          <w:sz w:val="22"/>
          <w:szCs w:val="22"/>
          <w:shd w:val="clear" w:color="auto" w:fill="FFFFFF"/>
        </w:rPr>
      </w:pPr>
      <w:r>
        <w:rPr>
          <w:rFonts w:ascii="Helvetica Neue" w:hAnsi="Helvetica Neue"/>
          <w:color w:val="1A1A1A"/>
          <w:sz w:val="22"/>
          <w:szCs w:val="22"/>
          <w:shd w:val="clear" w:color="auto" w:fill="FFFFFF"/>
        </w:rPr>
        <w:t>Six species of sea urchins belonging to four families were recorded across the 12 sampling sites in the north-eastern coastal areas of Tablas Island, Romblon, Philippines. The families and their representative species were: Diadematidae (</w:t>
      </w:r>
      <w:r>
        <w:rPr>
          <w:rStyle w:val="Emphasis"/>
          <w:rFonts w:ascii="Helvetica Neue" w:hAnsi="Helvetica Neue"/>
          <w:color w:val="1A1A1A"/>
          <w:sz w:val="22"/>
          <w:szCs w:val="22"/>
          <w:shd w:val="clear" w:color="auto" w:fill="FFFFFF"/>
        </w:rPr>
        <w:t>Diadema setosum</w:t>
      </w:r>
      <w:r>
        <w:rPr>
          <w:rFonts w:ascii="Helvetica Neue" w:hAnsi="Helvetica Neue"/>
          <w:color w:val="1A1A1A"/>
          <w:sz w:val="22"/>
          <w:szCs w:val="22"/>
          <w:shd w:val="clear" w:color="auto" w:fill="FFFFFF"/>
        </w:rPr>
        <w:t> [Leske, 1778] and </w:t>
      </w:r>
      <w:r>
        <w:rPr>
          <w:rStyle w:val="Emphasis"/>
          <w:rFonts w:ascii="Helvetica Neue" w:hAnsi="Helvetica Neue"/>
          <w:color w:val="1A1A1A"/>
          <w:sz w:val="22"/>
          <w:szCs w:val="22"/>
          <w:shd w:val="clear" w:color="auto" w:fill="FFFFFF"/>
        </w:rPr>
        <w:t>Echinothrix calamaris</w:t>
      </w:r>
      <w:r>
        <w:rPr>
          <w:rFonts w:ascii="Helvetica Neue" w:hAnsi="Helvetica Neue"/>
          <w:color w:val="1A1A1A"/>
          <w:sz w:val="22"/>
          <w:szCs w:val="22"/>
          <w:shd w:val="clear" w:color="auto" w:fill="FFFFFF"/>
        </w:rPr>
        <w:t> [Pallas, 1774]), Echinometridae (</w:t>
      </w:r>
      <w:r>
        <w:rPr>
          <w:rStyle w:val="Emphasis"/>
          <w:rFonts w:ascii="Helvetica Neue" w:hAnsi="Helvetica Neue"/>
          <w:color w:val="1A1A1A"/>
          <w:sz w:val="22"/>
          <w:szCs w:val="22"/>
          <w:shd w:val="clear" w:color="auto" w:fill="FFFFFF"/>
        </w:rPr>
        <w:t>Echinometra mathaei</w:t>
      </w:r>
      <w:r>
        <w:rPr>
          <w:rFonts w:ascii="Helvetica Neue" w:hAnsi="Helvetica Neue"/>
          <w:color w:val="1A1A1A"/>
          <w:sz w:val="22"/>
          <w:szCs w:val="22"/>
          <w:shd w:val="clear" w:color="auto" w:fill="FFFFFF"/>
        </w:rPr>
        <w:t> [Blainville, 1825]), Toxopneustidae (</w:t>
      </w:r>
      <w:r>
        <w:rPr>
          <w:rStyle w:val="Emphasis"/>
          <w:rFonts w:ascii="Helvetica Neue" w:hAnsi="Helvetica Neue"/>
          <w:color w:val="1A1A1A"/>
          <w:sz w:val="22"/>
          <w:szCs w:val="22"/>
          <w:shd w:val="clear" w:color="auto" w:fill="FFFFFF"/>
        </w:rPr>
        <w:t>Toxopneustes pileolus</w:t>
      </w:r>
      <w:r>
        <w:rPr>
          <w:rFonts w:ascii="Helvetica Neue" w:hAnsi="Helvetica Neue"/>
          <w:color w:val="1A1A1A"/>
          <w:sz w:val="22"/>
          <w:szCs w:val="22"/>
          <w:shd w:val="clear" w:color="auto" w:fill="FFFFFF"/>
        </w:rPr>
        <w:t> [Lamarck, 1816] and </w:t>
      </w:r>
      <w:r>
        <w:rPr>
          <w:rStyle w:val="Emphasis"/>
          <w:rFonts w:ascii="Helvetica Neue" w:hAnsi="Helvetica Neue"/>
          <w:color w:val="1A1A1A"/>
          <w:sz w:val="22"/>
          <w:szCs w:val="22"/>
          <w:shd w:val="clear" w:color="auto" w:fill="FFFFFF"/>
        </w:rPr>
        <w:t>Tripneustes gratilla</w:t>
      </w:r>
      <w:r>
        <w:rPr>
          <w:rFonts w:ascii="Helvetica Neue" w:hAnsi="Helvetica Neue"/>
          <w:color w:val="1A1A1A"/>
          <w:sz w:val="22"/>
          <w:szCs w:val="22"/>
          <w:shd w:val="clear" w:color="auto" w:fill="FFFFFF"/>
        </w:rPr>
        <w:t> [Linnaeus, 1758]), and Temnopleuridae (</w:t>
      </w:r>
      <w:r>
        <w:rPr>
          <w:rStyle w:val="Emphasis"/>
          <w:rFonts w:ascii="Helvetica Neue" w:hAnsi="Helvetica Neue"/>
          <w:color w:val="1A1A1A"/>
          <w:sz w:val="22"/>
          <w:szCs w:val="22"/>
          <w:shd w:val="clear" w:color="auto" w:fill="FFFFFF"/>
        </w:rPr>
        <w:t>Salmacis belli</w:t>
      </w:r>
      <w:r>
        <w:rPr>
          <w:rFonts w:ascii="Helvetica Neue" w:hAnsi="Helvetica Neue"/>
          <w:color w:val="1A1A1A"/>
          <w:sz w:val="22"/>
          <w:szCs w:val="22"/>
          <w:shd w:val="clear" w:color="auto" w:fill="FFFFFF"/>
        </w:rPr>
        <w:t> [Döderlein, 1884]). Spine coloration in </w:t>
      </w:r>
      <w:r>
        <w:rPr>
          <w:rStyle w:val="Emphasis"/>
          <w:rFonts w:ascii="Helvetica Neue" w:hAnsi="Helvetica Neue"/>
          <w:color w:val="1A1A1A"/>
          <w:sz w:val="22"/>
          <w:szCs w:val="22"/>
          <w:shd w:val="clear" w:color="auto" w:fill="FFFFFF"/>
        </w:rPr>
        <w:t>T. gratilla</w:t>
      </w:r>
      <w:r>
        <w:rPr>
          <w:rFonts w:ascii="Helvetica Neue" w:hAnsi="Helvetica Neue"/>
          <w:color w:val="1A1A1A"/>
          <w:sz w:val="22"/>
          <w:szCs w:val="22"/>
          <w:shd w:val="clear" w:color="auto" w:fill="FFFFFF"/>
        </w:rPr>
        <w:t> was observed to vary among individuals across sites, with both recorded colour forms present during the survey (Plate 1).</w:t>
      </w:r>
    </w:p>
    <w:p w14:paraId="3BA3AACD" w14:textId="77777777" w:rsidR="00594C1C" w:rsidRDefault="00594C1C" w:rsidP="00594C1C">
      <w:pPr>
        <w:jc w:val="both"/>
        <w:rPr>
          <w:rFonts w:ascii="Helvetica Neue" w:hAnsi="Helvetica Neue"/>
          <w:color w:val="1A1A1A"/>
          <w:sz w:val="22"/>
          <w:szCs w:val="22"/>
          <w:shd w:val="clear" w:color="auto" w:fill="FFFFFF"/>
        </w:rPr>
      </w:pPr>
    </w:p>
    <w:tbl>
      <w:tblPr>
        <w:tblStyle w:val="TableGrid"/>
        <w:tblW w:w="8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3"/>
        <w:gridCol w:w="4285"/>
      </w:tblGrid>
      <w:tr w:rsidR="00594C1C" w14:paraId="4E553044" w14:textId="77777777" w:rsidTr="00594C1C">
        <w:trPr>
          <w:trHeight w:val="1878"/>
        </w:trPr>
        <w:tc>
          <w:tcPr>
            <w:tcW w:w="4183" w:type="dxa"/>
          </w:tcPr>
          <w:p w14:paraId="10DC554A" w14:textId="77777777" w:rsidR="00594C1C" w:rsidRDefault="00594C1C" w:rsidP="000543D0">
            <w:pPr>
              <w:pStyle w:val="NoSpacing"/>
              <w:spacing w:line="480" w:lineRule="auto"/>
              <w:jc w:val="both"/>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21376" behindDoc="1" locked="0" layoutInCell="1" allowOverlap="1" wp14:anchorId="0CBE7818" wp14:editId="0211FA14">
                  <wp:simplePos x="0" y="0"/>
                  <wp:positionH relativeFrom="column">
                    <wp:posOffset>377825</wp:posOffset>
                  </wp:positionH>
                  <wp:positionV relativeFrom="paragraph">
                    <wp:posOffset>41910</wp:posOffset>
                  </wp:positionV>
                  <wp:extent cx="1929130" cy="1490980"/>
                  <wp:effectExtent l="19050" t="0" r="0" b="0"/>
                  <wp:wrapThrough wrapText="bothSides">
                    <wp:wrapPolygon edited="0">
                      <wp:start x="-213" y="0"/>
                      <wp:lineTo x="-213" y="21250"/>
                      <wp:lineTo x="21543" y="21250"/>
                      <wp:lineTo x="21543" y="0"/>
                      <wp:lineTo x="-213"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626_171658.jpg"/>
                          <pic:cNvPicPr/>
                        </pic:nvPicPr>
                        <pic:blipFill rotWithShape="1">
                          <a:blip r:embed="rId19" cstate="print">
                            <a:extLst>
                              <a:ext uri="{28A0092B-C50C-407E-A947-70E740481C1C}">
                                <a14:useLocalDpi xmlns:a14="http://schemas.microsoft.com/office/drawing/2010/main" val="0"/>
                              </a:ext>
                            </a:extLst>
                          </a:blip>
                          <a:srcRect l="16255" t="967" r="15240" b="12192"/>
                          <a:stretch/>
                        </pic:blipFill>
                        <pic:spPr bwMode="auto">
                          <a:xfrm>
                            <a:off x="0" y="0"/>
                            <a:ext cx="1929130" cy="149098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b/>
                <w:noProof/>
                <w:sz w:val="24"/>
                <w:szCs w:val="24"/>
                <w:lang w:eastAsia="zh-TW"/>
              </w:rPr>
              <mc:AlternateContent>
                <mc:Choice Requires="wps">
                  <w:drawing>
                    <wp:anchor distT="0" distB="0" distL="114300" distR="114300" simplePos="0" relativeHeight="251662336" behindDoc="0" locked="0" layoutInCell="1" allowOverlap="1" wp14:anchorId="06B37E14" wp14:editId="2EF86A36">
                      <wp:simplePos x="0" y="0"/>
                      <wp:positionH relativeFrom="column">
                        <wp:posOffset>2246630</wp:posOffset>
                      </wp:positionH>
                      <wp:positionV relativeFrom="paragraph">
                        <wp:posOffset>1141095</wp:posOffset>
                      </wp:positionV>
                      <wp:extent cx="471805" cy="266700"/>
                      <wp:effectExtent l="0" t="0" r="0" b="0"/>
                      <wp:wrapNone/>
                      <wp:docPr id="4791121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9E40D" w14:textId="77777777" w:rsidR="00594C1C" w:rsidRPr="003B3618" w:rsidRDefault="00594C1C" w:rsidP="00594C1C">
                                  <w:pPr>
                                    <w:rPr>
                                      <w:rFonts w:ascii="Times New Roman" w:hAnsi="Times New Roman"/>
                                      <w:sz w:val="24"/>
                                    </w:rPr>
                                  </w:pPr>
                                  <w:r w:rsidRPr="003B3618">
                                    <w:rPr>
                                      <w:rFonts w:ascii="Times New Roman" w:hAnsi="Times New Roman"/>
                                      <w:sz w:val="24"/>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6B37E14" id="_x0000_t202" coordsize="21600,21600" o:spt="202" path="m,l,21600r21600,l21600,xe">
                      <v:stroke joinstyle="miter"/>
                      <v:path gradientshapeok="t" o:connecttype="rect"/>
                    </v:shapetype>
                    <v:shape id="Text Box 9" o:spid="_x0000_s1026" type="#_x0000_t202" style="position:absolute;left:0;text-align:left;margin-left:176.9pt;margin-top:89.85pt;width:37.15pt;height:21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" stroked="f">
                      <v:path arrowok="t"/>
                      <v:textbox style="mso-fit-shape-to-text:t">
                        <w:txbxContent>
                          <w:p w14:paraId="43C9E40D" w14:textId="77777777" w:rsidR="00594C1C" w:rsidRPr="003B3618" w:rsidRDefault="00594C1C" w:rsidP="00594C1C">
                            <w:pPr>
                              <w:rPr>
                                <w:rFonts w:ascii="Times New Roman" w:hAnsi="Times New Roman"/>
                                <w:sz w:val="24"/>
                              </w:rPr>
                            </w:pPr>
                            <w:r w:rsidRPr="003B3618">
                              <w:rPr>
                                <w:rFonts w:ascii="Times New Roman" w:hAnsi="Times New Roman"/>
                                <w:sz w:val="24"/>
                              </w:rPr>
                              <w:t>1</w:t>
                            </w:r>
                          </w:p>
                        </w:txbxContent>
                      </v:textbox>
                    </v:shape>
                  </w:pict>
                </mc:Fallback>
              </mc:AlternateContent>
            </w:r>
          </w:p>
        </w:tc>
        <w:tc>
          <w:tcPr>
            <w:tcW w:w="4285" w:type="dxa"/>
          </w:tcPr>
          <w:p w14:paraId="6FC0B10D" w14:textId="77777777" w:rsidR="00594C1C" w:rsidRDefault="00594C1C" w:rsidP="000543D0">
            <w:pPr>
              <w:pStyle w:val="NoSpacing"/>
              <w:spacing w:line="48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0B0F52C8" wp14:editId="65E77D96">
                      <wp:simplePos x="0" y="0"/>
                      <wp:positionH relativeFrom="column">
                        <wp:posOffset>2244090</wp:posOffset>
                      </wp:positionH>
                      <wp:positionV relativeFrom="paragraph">
                        <wp:posOffset>1141095</wp:posOffset>
                      </wp:positionV>
                      <wp:extent cx="471805" cy="266700"/>
                      <wp:effectExtent l="0" t="0" r="0" b="0"/>
                      <wp:wrapNone/>
                      <wp:docPr id="10815316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1B6C11" w14:textId="77777777" w:rsidR="00594C1C" w:rsidRPr="003B3618" w:rsidRDefault="00594C1C" w:rsidP="00594C1C">
                                  <w:pPr>
                                    <w:jc w:val="center"/>
                                    <w:rPr>
                                      <w:rFonts w:ascii="Times New Roman" w:hAnsi="Times New Roman"/>
                                      <w:sz w:val="24"/>
                                    </w:rPr>
                                  </w:pPr>
                                  <w:r>
                                    <w:rPr>
                                      <w:rFonts w:ascii="Times New Roman" w:hAnsi="Times New Roman"/>
                                      <w:sz w:val="24"/>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B0F52C8" id="Text Box 8" o:spid="_x0000_s1027" type="#_x0000_t202" style="position:absolute;left:0;text-align:left;margin-left:176.7pt;margin-top:89.85pt;width:37.15pt;height:21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" stroked="f">
                      <v:path arrowok="t"/>
                      <v:textbox style="mso-fit-shape-to-text:t">
                        <w:txbxContent>
                          <w:p w14:paraId="041B6C11" w14:textId="77777777" w:rsidR="00594C1C" w:rsidRPr="003B3618" w:rsidRDefault="00594C1C" w:rsidP="00594C1C">
                            <w:pPr>
                              <w:jc w:val="center"/>
                              <w:rPr>
                                <w:rFonts w:ascii="Times New Roman" w:hAnsi="Times New Roman"/>
                                <w:sz w:val="24"/>
                              </w:rPr>
                            </w:pPr>
                            <w:r>
                              <w:rPr>
                                <w:rFonts w:ascii="Times New Roman" w:hAnsi="Times New Roman"/>
                                <w:sz w:val="24"/>
                              </w:rPr>
                              <w:t>2</w:t>
                            </w:r>
                          </w:p>
                        </w:txbxContent>
                      </v:textbox>
                    </v:shape>
                  </w:pict>
                </mc:Fallback>
              </mc:AlternateContent>
            </w:r>
            <w:r>
              <w:rPr>
                <w:rFonts w:ascii="Times New Roman" w:hAnsi="Times New Roman" w:cs="Times New Roman"/>
                <w:b/>
                <w:noProof/>
                <w:sz w:val="24"/>
                <w:szCs w:val="24"/>
              </w:rPr>
              <w:drawing>
                <wp:anchor distT="0" distB="0" distL="114300" distR="114300" simplePos="0" relativeHeight="251626496" behindDoc="1" locked="0" layoutInCell="1" allowOverlap="1" wp14:anchorId="7CC9CB27" wp14:editId="64838FBA">
                  <wp:simplePos x="0" y="0"/>
                  <wp:positionH relativeFrom="column">
                    <wp:posOffset>540385</wp:posOffset>
                  </wp:positionH>
                  <wp:positionV relativeFrom="paragraph">
                    <wp:posOffset>41910</wp:posOffset>
                  </wp:positionV>
                  <wp:extent cx="1722120" cy="1382395"/>
                  <wp:effectExtent l="19050" t="0" r="0" b="0"/>
                  <wp:wrapThrough wrapText="bothSides">
                    <wp:wrapPolygon edited="0">
                      <wp:start x="-239" y="0"/>
                      <wp:lineTo x="-239" y="21431"/>
                      <wp:lineTo x="21504" y="21431"/>
                      <wp:lineTo x="21504" y="0"/>
                      <wp:lineTo x="-239"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groundEraser_20220713_150421524.jpg"/>
                          <pic:cNvPicPr/>
                        </pic:nvPicPr>
                        <pic:blipFill rotWithShape="1">
                          <a:blip r:embed="rId20" cstate="print">
                            <a:extLst>
                              <a:ext uri="{28A0092B-C50C-407E-A947-70E740481C1C}">
                                <a14:useLocalDpi xmlns:a14="http://schemas.microsoft.com/office/drawing/2010/main" val="0"/>
                              </a:ext>
                            </a:extLst>
                          </a:blip>
                          <a:srcRect l="20657" t="27712" r="23833" b="28248"/>
                          <a:stretch/>
                        </pic:blipFill>
                        <pic:spPr bwMode="auto">
                          <a:xfrm>
                            <a:off x="0" y="0"/>
                            <a:ext cx="1722120" cy="1382395"/>
                          </a:xfrm>
                          <a:prstGeom prst="rect">
                            <a:avLst/>
                          </a:prstGeom>
                          <a:ln>
                            <a:noFill/>
                          </a:ln>
                          <a:extLst>
                            <a:ext uri="{53640926-AAD7-44D8-BBD7-CCE9431645EC}">
                              <a14:shadowObscured xmlns:a14="http://schemas.microsoft.com/office/drawing/2010/main"/>
                            </a:ext>
                          </a:extLst>
                        </pic:spPr>
                      </pic:pic>
                    </a:graphicData>
                  </a:graphic>
                </wp:anchor>
              </w:drawing>
            </w:r>
          </w:p>
        </w:tc>
      </w:tr>
      <w:tr w:rsidR="00594C1C" w14:paraId="6F5EFCA1" w14:textId="77777777" w:rsidTr="00594C1C">
        <w:trPr>
          <w:trHeight w:val="1878"/>
        </w:trPr>
        <w:tc>
          <w:tcPr>
            <w:tcW w:w="4183" w:type="dxa"/>
          </w:tcPr>
          <w:p w14:paraId="352973F3" w14:textId="77777777" w:rsidR="00594C1C" w:rsidRDefault="00594C1C" w:rsidP="000543D0">
            <w:pPr>
              <w:pStyle w:val="NoSpacing"/>
              <w:spacing w:line="480" w:lineRule="auto"/>
              <w:jc w:val="right"/>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72576" behindDoc="0" locked="0" layoutInCell="1" allowOverlap="1" wp14:anchorId="262DB674" wp14:editId="42BD387D">
                      <wp:simplePos x="0" y="0"/>
                      <wp:positionH relativeFrom="column">
                        <wp:posOffset>2192020</wp:posOffset>
                      </wp:positionH>
                      <wp:positionV relativeFrom="paragraph">
                        <wp:posOffset>1180465</wp:posOffset>
                      </wp:positionV>
                      <wp:extent cx="471805" cy="266700"/>
                      <wp:effectExtent l="0" t="0" r="0" b="0"/>
                      <wp:wrapNone/>
                      <wp:docPr id="19173824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8424E2" w14:textId="77777777" w:rsidR="00594C1C" w:rsidRPr="003B3618" w:rsidRDefault="00594C1C" w:rsidP="00594C1C">
                                  <w:pPr>
                                    <w:jc w:val="center"/>
                                    <w:rPr>
                                      <w:rFonts w:ascii="Times New Roman" w:hAnsi="Times New Roman"/>
                                      <w:sz w:val="24"/>
                                    </w:rPr>
                                  </w:pPr>
                                  <w:r>
                                    <w:rPr>
                                      <w:rFonts w:ascii="Times New Roman" w:hAnsi="Times New Roman"/>
                                      <w:sz w:val="24"/>
                                    </w:rPr>
                                    <w:t>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62DB674" id="Text Box 7" o:spid="_x0000_s1028" type="#_x0000_t202" style="position:absolute;left:0;text-align:left;margin-left:172.6pt;margin-top:92.95pt;width:37.15pt;height:21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" stroked="f">
                      <v:path arrowok="t"/>
                      <v:textbox style="mso-fit-shape-to-text:t">
                        <w:txbxContent>
                          <w:p w14:paraId="3F8424E2" w14:textId="77777777" w:rsidR="00594C1C" w:rsidRPr="003B3618" w:rsidRDefault="00594C1C" w:rsidP="00594C1C">
                            <w:pPr>
                              <w:jc w:val="center"/>
                              <w:rPr>
                                <w:rFonts w:ascii="Times New Roman" w:hAnsi="Times New Roman"/>
                                <w:sz w:val="24"/>
                              </w:rPr>
                            </w:pPr>
                            <w:r>
                              <w:rPr>
                                <w:rFonts w:ascii="Times New Roman" w:hAnsi="Times New Roman"/>
                                <w:sz w:val="24"/>
                              </w:rPr>
                              <w:t>3</w:t>
                            </w:r>
                          </w:p>
                        </w:txbxContent>
                      </v:textbox>
                    </v:shape>
                  </w:pict>
                </mc:Fallback>
              </mc:AlternateContent>
            </w:r>
            <w:r>
              <w:rPr>
                <w:rFonts w:ascii="Times New Roman" w:hAnsi="Times New Roman" w:cs="Times New Roman"/>
                <w:b/>
                <w:noProof/>
                <w:sz w:val="24"/>
                <w:szCs w:val="24"/>
              </w:rPr>
              <w:drawing>
                <wp:anchor distT="0" distB="0" distL="114300" distR="114300" simplePos="0" relativeHeight="251631616" behindDoc="1" locked="0" layoutInCell="1" allowOverlap="1" wp14:anchorId="702CDDA9" wp14:editId="04409CD3">
                  <wp:simplePos x="0" y="0"/>
                  <wp:positionH relativeFrom="column">
                    <wp:posOffset>765810</wp:posOffset>
                  </wp:positionH>
                  <wp:positionV relativeFrom="paragraph">
                    <wp:posOffset>95885</wp:posOffset>
                  </wp:positionV>
                  <wp:extent cx="1288415" cy="1348105"/>
                  <wp:effectExtent l="266700" t="228600" r="254635" b="213995"/>
                  <wp:wrapThrough wrapText="bothSides">
                    <wp:wrapPolygon edited="0">
                      <wp:start x="-759" y="558"/>
                      <wp:lineTo x="-397" y="21339"/>
                      <wp:lineTo x="1794" y="21865"/>
                      <wp:lineTo x="1958" y="22127"/>
                      <wp:lineTo x="11269" y="22135"/>
                      <wp:lineTo x="11543" y="21978"/>
                      <wp:lineTo x="11707" y="22240"/>
                      <wp:lineTo x="20142" y="22038"/>
                      <wp:lineTo x="20416" y="21882"/>
                      <wp:lineTo x="22060" y="20941"/>
                      <wp:lineTo x="22334" y="20784"/>
                      <wp:lineTo x="22119" y="16282"/>
                      <wp:lineTo x="21955" y="16020"/>
                      <wp:lineTo x="22229" y="15863"/>
                      <wp:lineTo x="22235" y="10524"/>
                      <wp:lineTo x="22071" y="10262"/>
                      <wp:lineTo x="22345" y="10106"/>
                      <wp:lineTo x="22076" y="4923"/>
                      <wp:lineTo x="21912" y="4661"/>
                      <wp:lineTo x="21860" y="2201"/>
                      <wp:lineTo x="21533" y="-103"/>
                      <wp:lineTo x="885" y="-383"/>
                      <wp:lineTo x="-759" y="558"/>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626_185105.jpg"/>
                          <pic:cNvPicPr/>
                        </pic:nvPicPr>
                        <pic:blipFill rotWithShape="1">
                          <a:blip r:embed="rId21" cstate="print">
                            <a:extLst>
                              <a:ext uri="{28A0092B-C50C-407E-A947-70E740481C1C}">
                                <a14:useLocalDpi xmlns:a14="http://schemas.microsoft.com/office/drawing/2010/main" val="0"/>
                              </a:ext>
                            </a:extLst>
                          </a:blip>
                          <a:srcRect l="17609" t="27112" r="16848" b="20920"/>
                          <a:stretch/>
                        </pic:blipFill>
                        <pic:spPr bwMode="auto">
                          <a:xfrm rot="1854571">
                            <a:off x="0" y="0"/>
                            <a:ext cx="1288415" cy="1348105"/>
                          </a:xfrm>
                          <a:prstGeom prst="rect">
                            <a:avLst/>
                          </a:prstGeom>
                          <a:ln>
                            <a:noFill/>
                          </a:ln>
                          <a:extLst>
                            <a:ext uri="{53640926-AAD7-44D8-BBD7-CCE9431645EC}">
                              <a14:shadowObscured xmlns:a14="http://schemas.microsoft.com/office/drawing/2010/main"/>
                            </a:ext>
                          </a:extLst>
                        </pic:spPr>
                      </pic:pic>
                    </a:graphicData>
                  </a:graphic>
                </wp:anchor>
              </w:drawing>
            </w:r>
          </w:p>
        </w:tc>
        <w:tc>
          <w:tcPr>
            <w:tcW w:w="4285" w:type="dxa"/>
          </w:tcPr>
          <w:p w14:paraId="1252038D" w14:textId="77777777" w:rsidR="00594C1C" w:rsidRDefault="00594C1C" w:rsidP="000543D0">
            <w:pPr>
              <w:pStyle w:val="NoSpacing"/>
              <w:spacing w:line="480" w:lineRule="auto"/>
              <w:jc w:val="right"/>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7696" behindDoc="0" locked="0" layoutInCell="1" allowOverlap="1" wp14:anchorId="3DCD0ADE" wp14:editId="7E26B3AC">
                      <wp:simplePos x="0" y="0"/>
                      <wp:positionH relativeFrom="column">
                        <wp:posOffset>2312035</wp:posOffset>
                      </wp:positionH>
                      <wp:positionV relativeFrom="paragraph">
                        <wp:posOffset>1180465</wp:posOffset>
                      </wp:positionV>
                      <wp:extent cx="471805" cy="266700"/>
                      <wp:effectExtent l="0" t="0" r="0" b="0"/>
                      <wp:wrapNone/>
                      <wp:docPr id="19087593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A11B7" w14:textId="77777777" w:rsidR="00594C1C" w:rsidRPr="003B3618" w:rsidRDefault="00594C1C" w:rsidP="00594C1C">
                                  <w:pPr>
                                    <w:jc w:val="center"/>
                                    <w:rPr>
                                      <w:rFonts w:ascii="Times New Roman" w:hAnsi="Times New Roman"/>
                                      <w:sz w:val="24"/>
                                    </w:rPr>
                                  </w:pPr>
                                  <w:r>
                                    <w:rPr>
                                      <w:rFonts w:ascii="Times New Roman" w:hAnsi="Times New Roman"/>
                                      <w:sz w:val="24"/>
                                    </w:rPr>
                                    <w:t>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DCD0ADE" id="Text Box 6" o:spid="_x0000_s1029" type="#_x0000_t202" style="position:absolute;left:0;text-align:left;margin-left:182.05pt;margin-top:92.95pt;width:37.15pt;height:21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" stroked="f">
                      <v:path arrowok="t"/>
                      <v:textbox style="mso-fit-shape-to-text:t">
                        <w:txbxContent>
                          <w:p w14:paraId="335A11B7" w14:textId="77777777" w:rsidR="00594C1C" w:rsidRPr="003B3618" w:rsidRDefault="00594C1C" w:rsidP="00594C1C">
                            <w:pPr>
                              <w:jc w:val="center"/>
                              <w:rPr>
                                <w:rFonts w:ascii="Times New Roman" w:hAnsi="Times New Roman"/>
                                <w:sz w:val="24"/>
                              </w:rPr>
                            </w:pPr>
                            <w:r>
                              <w:rPr>
                                <w:rFonts w:ascii="Times New Roman" w:hAnsi="Times New Roman"/>
                                <w:sz w:val="24"/>
                              </w:rPr>
                              <w:t>4</w:t>
                            </w:r>
                          </w:p>
                        </w:txbxContent>
                      </v:textbox>
                    </v:shape>
                  </w:pict>
                </mc:Fallback>
              </mc:AlternateContent>
            </w:r>
            <w:r>
              <w:rPr>
                <w:rFonts w:ascii="Times New Roman" w:hAnsi="Times New Roman" w:cs="Times New Roman"/>
                <w:b/>
                <w:noProof/>
                <w:sz w:val="24"/>
                <w:szCs w:val="24"/>
              </w:rPr>
              <w:drawing>
                <wp:anchor distT="0" distB="0" distL="114300" distR="114300" simplePos="0" relativeHeight="251636736" behindDoc="1" locked="0" layoutInCell="1" allowOverlap="1" wp14:anchorId="2DC7C333" wp14:editId="63983CCA">
                  <wp:simplePos x="0" y="0"/>
                  <wp:positionH relativeFrom="column">
                    <wp:posOffset>537210</wp:posOffset>
                  </wp:positionH>
                  <wp:positionV relativeFrom="paragraph">
                    <wp:posOffset>144780</wp:posOffset>
                  </wp:positionV>
                  <wp:extent cx="1771015" cy="1240790"/>
                  <wp:effectExtent l="19050" t="0" r="635" b="0"/>
                  <wp:wrapThrough wrapText="bothSides">
                    <wp:wrapPolygon edited="0">
                      <wp:start x="-232" y="0"/>
                      <wp:lineTo x="-232" y="21224"/>
                      <wp:lineTo x="21608" y="21224"/>
                      <wp:lineTo x="21608" y="0"/>
                      <wp:lineTo x="-232"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626_181641_1.jpg"/>
                          <pic:cNvPicPr/>
                        </pic:nvPicPr>
                        <pic:blipFill rotWithShape="1">
                          <a:blip r:embed="rId22" cstate="print">
                            <a:extLst>
                              <a:ext uri="{28A0092B-C50C-407E-A947-70E740481C1C}">
                                <a14:useLocalDpi xmlns:a14="http://schemas.microsoft.com/office/drawing/2010/main" val="0"/>
                              </a:ext>
                            </a:extLst>
                          </a:blip>
                          <a:srcRect l="24383" t="22836" r="8564" b="13884"/>
                          <a:stretch/>
                        </pic:blipFill>
                        <pic:spPr bwMode="auto">
                          <a:xfrm>
                            <a:off x="0" y="0"/>
                            <a:ext cx="1771015" cy="1240790"/>
                          </a:xfrm>
                          <a:prstGeom prst="rect">
                            <a:avLst/>
                          </a:prstGeom>
                          <a:ln>
                            <a:noFill/>
                          </a:ln>
                          <a:extLst>
                            <a:ext uri="{53640926-AAD7-44D8-BBD7-CCE9431645EC}">
                              <a14:shadowObscured xmlns:a14="http://schemas.microsoft.com/office/drawing/2010/main"/>
                            </a:ext>
                          </a:extLst>
                        </pic:spPr>
                      </pic:pic>
                    </a:graphicData>
                  </a:graphic>
                </wp:anchor>
              </w:drawing>
            </w:r>
          </w:p>
        </w:tc>
      </w:tr>
      <w:tr w:rsidR="00594C1C" w14:paraId="3D137BEC" w14:textId="77777777" w:rsidTr="00594C1C">
        <w:trPr>
          <w:trHeight w:val="1878"/>
        </w:trPr>
        <w:tc>
          <w:tcPr>
            <w:tcW w:w="4183" w:type="dxa"/>
          </w:tcPr>
          <w:p w14:paraId="2A0EA679" w14:textId="77777777" w:rsidR="00594C1C" w:rsidRDefault="00594C1C" w:rsidP="000543D0">
            <w:pPr>
              <w:pStyle w:val="NoSpacing"/>
              <w:spacing w:line="48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2816" behindDoc="0" locked="0" layoutInCell="1" allowOverlap="1" wp14:anchorId="6260F33D" wp14:editId="3C604D8B">
                      <wp:simplePos x="0" y="0"/>
                      <wp:positionH relativeFrom="column">
                        <wp:posOffset>2192020</wp:posOffset>
                      </wp:positionH>
                      <wp:positionV relativeFrom="paragraph">
                        <wp:posOffset>1078230</wp:posOffset>
                      </wp:positionV>
                      <wp:extent cx="471805" cy="266700"/>
                      <wp:effectExtent l="0" t="0" r="0" b="0"/>
                      <wp:wrapNone/>
                      <wp:docPr id="21222467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BF09D4" w14:textId="77777777" w:rsidR="00594C1C" w:rsidRPr="003B3618" w:rsidRDefault="00594C1C" w:rsidP="00594C1C">
                                  <w:pPr>
                                    <w:jc w:val="center"/>
                                    <w:rPr>
                                      <w:rFonts w:ascii="Times New Roman" w:hAnsi="Times New Roman"/>
                                      <w:sz w:val="24"/>
                                    </w:rPr>
                                  </w:pPr>
                                  <w:r>
                                    <w:rPr>
                                      <w:rFonts w:ascii="Times New Roman" w:hAnsi="Times New Roman"/>
                                      <w:sz w:val="24"/>
                                    </w:rPr>
                                    <w:t>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260F33D" id="Text Box 5" o:spid="_x0000_s1030" type="#_x0000_t202" style="position:absolute;left:0;text-align:left;margin-left:172.6pt;margin-top:84.9pt;width:37.15pt;height:21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" stroked="f">
                      <v:path arrowok="t"/>
                      <v:textbox style="mso-fit-shape-to-text:t">
                        <w:txbxContent>
                          <w:p w14:paraId="71BF09D4" w14:textId="77777777" w:rsidR="00594C1C" w:rsidRPr="003B3618" w:rsidRDefault="00594C1C" w:rsidP="00594C1C">
                            <w:pPr>
                              <w:jc w:val="center"/>
                              <w:rPr>
                                <w:rFonts w:ascii="Times New Roman" w:hAnsi="Times New Roman"/>
                                <w:sz w:val="24"/>
                              </w:rPr>
                            </w:pPr>
                            <w:r>
                              <w:rPr>
                                <w:rFonts w:ascii="Times New Roman" w:hAnsi="Times New Roman"/>
                                <w:sz w:val="24"/>
                              </w:rPr>
                              <w:t>5</w:t>
                            </w:r>
                          </w:p>
                        </w:txbxContent>
                      </v:textbox>
                    </v:shape>
                  </w:pict>
                </mc:Fallback>
              </mc:AlternateContent>
            </w:r>
            <w:r>
              <w:rPr>
                <w:rFonts w:ascii="Times New Roman" w:hAnsi="Times New Roman" w:cs="Times New Roman"/>
                <w:b/>
                <w:noProof/>
                <w:sz w:val="24"/>
                <w:szCs w:val="24"/>
              </w:rPr>
              <w:drawing>
                <wp:anchor distT="0" distB="0" distL="114300" distR="114300" simplePos="0" relativeHeight="251641856" behindDoc="1" locked="0" layoutInCell="1" allowOverlap="1" wp14:anchorId="558B93ED" wp14:editId="66B6E168">
                  <wp:simplePos x="0" y="0"/>
                  <wp:positionH relativeFrom="column">
                    <wp:posOffset>595630</wp:posOffset>
                  </wp:positionH>
                  <wp:positionV relativeFrom="paragraph">
                    <wp:posOffset>140335</wp:posOffset>
                  </wp:positionV>
                  <wp:extent cx="1447800" cy="1273175"/>
                  <wp:effectExtent l="19050" t="0" r="0" b="0"/>
                  <wp:wrapThrough wrapText="bothSides">
                    <wp:wrapPolygon edited="0">
                      <wp:start x="-284" y="0"/>
                      <wp:lineTo x="-284" y="21331"/>
                      <wp:lineTo x="21600" y="21331"/>
                      <wp:lineTo x="21600" y="0"/>
                      <wp:lineTo x="-284"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hdfhdfh.jpg"/>
                          <pic:cNvPicPr/>
                        </pic:nvPicPr>
                        <pic:blipFill>
                          <a:blip r:embed="rId23" cstate="print">
                            <a:extLst>
                              <a:ext uri="{28A0092B-C50C-407E-A947-70E740481C1C}">
                                <a14:useLocalDpi xmlns:a14="http://schemas.microsoft.com/office/drawing/2010/main" val="0"/>
                              </a:ext>
                            </a:extLst>
                          </a:blip>
                          <a:srcRect l="8734" t="10000" b="9979"/>
                          <a:stretch>
                            <a:fillRect/>
                          </a:stretch>
                        </pic:blipFill>
                        <pic:spPr>
                          <a:xfrm>
                            <a:off x="0" y="0"/>
                            <a:ext cx="1447800" cy="1273175"/>
                          </a:xfrm>
                          <a:prstGeom prst="rect">
                            <a:avLst/>
                          </a:prstGeom>
                        </pic:spPr>
                      </pic:pic>
                    </a:graphicData>
                  </a:graphic>
                </wp:anchor>
              </w:drawing>
            </w:r>
          </w:p>
        </w:tc>
        <w:tc>
          <w:tcPr>
            <w:tcW w:w="4285" w:type="dxa"/>
          </w:tcPr>
          <w:p w14:paraId="0F153EB6" w14:textId="77777777" w:rsidR="00594C1C" w:rsidRDefault="00594C1C" w:rsidP="000543D0">
            <w:pPr>
              <w:pStyle w:val="NoSpacing"/>
              <w:spacing w:line="48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7936" behindDoc="0" locked="0" layoutInCell="1" allowOverlap="1" wp14:anchorId="10F24BB8" wp14:editId="3A4F8BC4">
                      <wp:simplePos x="0" y="0"/>
                      <wp:positionH relativeFrom="column">
                        <wp:posOffset>2244090</wp:posOffset>
                      </wp:positionH>
                      <wp:positionV relativeFrom="paragraph">
                        <wp:posOffset>1078230</wp:posOffset>
                      </wp:positionV>
                      <wp:extent cx="471805" cy="266700"/>
                      <wp:effectExtent l="0" t="0" r="0" b="0"/>
                      <wp:wrapNone/>
                      <wp:docPr id="4762805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DDB0A5" w14:textId="77777777" w:rsidR="00594C1C" w:rsidRPr="003B3618" w:rsidRDefault="00594C1C" w:rsidP="00594C1C">
                                  <w:pPr>
                                    <w:jc w:val="center"/>
                                    <w:rPr>
                                      <w:rFonts w:ascii="Times New Roman" w:hAnsi="Times New Roman"/>
                                      <w:sz w:val="24"/>
                                    </w:rPr>
                                  </w:pPr>
                                  <w:r>
                                    <w:rPr>
                                      <w:rFonts w:ascii="Times New Roman" w:hAnsi="Times New Roman"/>
                                      <w:sz w:val="24"/>
                                    </w:rPr>
                                    <w:t>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0F24BB8" id="Text Box 4" o:spid="_x0000_s1031" type="#_x0000_t202" style="position:absolute;left:0;text-align:left;margin-left:176.7pt;margin-top:84.9pt;width:37.15pt;height:21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" stroked="f">
                      <v:path arrowok="t"/>
                      <v:textbox style="mso-fit-shape-to-text:t">
                        <w:txbxContent>
                          <w:p w14:paraId="2FDDB0A5" w14:textId="77777777" w:rsidR="00594C1C" w:rsidRPr="003B3618" w:rsidRDefault="00594C1C" w:rsidP="00594C1C">
                            <w:pPr>
                              <w:jc w:val="center"/>
                              <w:rPr>
                                <w:rFonts w:ascii="Times New Roman" w:hAnsi="Times New Roman"/>
                                <w:sz w:val="24"/>
                              </w:rPr>
                            </w:pPr>
                            <w:r>
                              <w:rPr>
                                <w:rFonts w:ascii="Times New Roman" w:hAnsi="Times New Roman"/>
                                <w:sz w:val="24"/>
                              </w:rPr>
                              <w:t>6</w:t>
                            </w:r>
                          </w:p>
                        </w:txbxContent>
                      </v:textbox>
                    </v:shape>
                  </w:pict>
                </mc:Fallback>
              </mc:AlternateContent>
            </w:r>
            <w:r>
              <w:rPr>
                <w:rFonts w:ascii="Times New Roman" w:hAnsi="Times New Roman" w:cs="Times New Roman"/>
                <w:b/>
                <w:noProof/>
                <w:sz w:val="24"/>
                <w:szCs w:val="24"/>
              </w:rPr>
              <w:drawing>
                <wp:anchor distT="0" distB="0" distL="114300" distR="114300" simplePos="0" relativeHeight="251646976" behindDoc="1" locked="0" layoutInCell="1" allowOverlap="1" wp14:anchorId="18B1A157" wp14:editId="718756DA">
                  <wp:simplePos x="0" y="0"/>
                  <wp:positionH relativeFrom="column">
                    <wp:posOffset>692150</wp:posOffset>
                  </wp:positionH>
                  <wp:positionV relativeFrom="paragraph">
                    <wp:posOffset>1905</wp:posOffset>
                  </wp:positionV>
                  <wp:extent cx="1624330" cy="1414780"/>
                  <wp:effectExtent l="19050" t="0" r="0" b="0"/>
                  <wp:wrapThrough wrapText="bothSides">
                    <wp:wrapPolygon edited="0">
                      <wp:start x="-253" y="0"/>
                      <wp:lineTo x="-253" y="21232"/>
                      <wp:lineTo x="21532" y="21232"/>
                      <wp:lineTo x="21532" y="0"/>
                      <wp:lineTo x="-253"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626_171116.jpg"/>
                          <pic:cNvPicPr/>
                        </pic:nvPicPr>
                        <pic:blipFill rotWithShape="1">
                          <a:blip r:embed="rId24" cstate="print">
                            <a:extLst>
                              <a:ext uri="{28A0092B-C50C-407E-A947-70E740481C1C}">
                                <a14:useLocalDpi xmlns:a14="http://schemas.microsoft.com/office/drawing/2010/main" val="0"/>
                              </a:ext>
                            </a:extLst>
                          </a:blip>
                          <a:srcRect l="13523" t="24419" r="23559" b="24363"/>
                          <a:stretch/>
                        </pic:blipFill>
                        <pic:spPr bwMode="auto">
                          <a:xfrm>
                            <a:off x="0" y="0"/>
                            <a:ext cx="1624330" cy="1414780"/>
                          </a:xfrm>
                          <a:prstGeom prst="rect">
                            <a:avLst/>
                          </a:prstGeom>
                          <a:ln>
                            <a:noFill/>
                          </a:ln>
                          <a:extLst>
                            <a:ext uri="{53640926-AAD7-44D8-BBD7-CCE9431645EC}">
                              <a14:shadowObscured xmlns:a14="http://schemas.microsoft.com/office/drawing/2010/main"/>
                            </a:ext>
                          </a:extLst>
                        </pic:spPr>
                      </pic:pic>
                    </a:graphicData>
                  </a:graphic>
                </wp:anchor>
              </w:drawing>
            </w:r>
          </w:p>
        </w:tc>
      </w:tr>
      <w:tr w:rsidR="00594C1C" w14:paraId="6BEA1FA2" w14:textId="77777777" w:rsidTr="00594C1C">
        <w:trPr>
          <w:trHeight w:val="2002"/>
        </w:trPr>
        <w:tc>
          <w:tcPr>
            <w:tcW w:w="4183" w:type="dxa"/>
          </w:tcPr>
          <w:p w14:paraId="2F85E23B" w14:textId="77777777" w:rsidR="00594C1C" w:rsidRDefault="00594C1C" w:rsidP="000543D0">
            <w:pPr>
              <w:pStyle w:val="NoSpacing"/>
              <w:spacing w:line="48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93056" behindDoc="0" locked="0" layoutInCell="1" allowOverlap="1" wp14:anchorId="701BD7A3" wp14:editId="772C7E60">
                      <wp:simplePos x="0" y="0"/>
                      <wp:positionH relativeFrom="column">
                        <wp:posOffset>2192020</wp:posOffset>
                      </wp:positionH>
                      <wp:positionV relativeFrom="paragraph">
                        <wp:posOffset>1195070</wp:posOffset>
                      </wp:positionV>
                      <wp:extent cx="471805" cy="266700"/>
                      <wp:effectExtent l="0" t="0" r="0" b="0"/>
                      <wp:wrapNone/>
                      <wp:docPr id="16616126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DC0A41" w14:textId="77777777" w:rsidR="00594C1C" w:rsidRPr="003B3618" w:rsidRDefault="00594C1C" w:rsidP="00594C1C">
                                  <w:pPr>
                                    <w:jc w:val="center"/>
                                    <w:rPr>
                                      <w:rFonts w:ascii="Times New Roman" w:hAnsi="Times New Roman"/>
                                      <w:sz w:val="24"/>
                                    </w:rPr>
                                  </w:pPr>
                                  <w:r>
                                    <w:rPr>
                                      <w:rFonts w:ascii="Times New Roman" w:hAnsi="Times New Roman"/>
                                      <w:sz w:val="24"/>
                                    </w:rPr>
                                    <w:t>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01BD7A3" id="Text Box 3" o:spid="_x0000_s1032" type="#_x0000_t202" style="position:absolute;left:0;text-align:left;margin-left:172.6pt;margin-top:94.1pt;width:37.15pt;height:21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" stroked="f">
                      <v:path arrowok="t"/>
                      <v:textbox style="mso-fit-shape-to-text:t">
                        <w:txbxContent>
                          <w:p w14:paraId="1ADC0A41" w14:textId="77777777" w:rsidR="00594C1C" w:rsidRPr="003B3618" w:rsidRDefault="00594C1C" w:rsidP="00594C1C">
                            <w:pPr>
                              <w:jc w:val="center"/>
                              <w:rPr>
                                <w:rFonts w:ascii="Times New Roman" w:hAnsi="Times New Roman"/>
                                <w:sz w:val="24"/>
                              </w:rPr>
                            </w:pPr>
                            <w:r>
                              <w:rPr>
                                <w:rFonts w:ascii="Times New Roman" w:hAnsi="Times New Roman"/>
                                <w:sz w:val="24"/>
                              </w:rPr>
                              <w:t>7</w:t>
                            </w:r>
                          </w:p>
                        </w:txbxContent>
                      </v:textbox>
                    </v:shape>
                  </w:pict>
                </mc:Fallback>
              </mc:AlternateContent>
            </w:r>
            <w:r>
              <w:rPr>
                <w:rFonts w:ascii="Times New Roman" w:hAnsi="Times New Roman" w:cs="Times New Roman"/>
                <w:b/>
                <w:noProof/>
                <w:sz w:val="24"/>
                <w:szCs w:val="24"/>
              </w:rPr>
              <w:drawing>
                <wp:anchor distT="0" distB="0" distL="114300" distR="114300" simplePos="0" relativeHeight="251652096" behindDoc="1" locked="0" layoutInCell="1" allowOverlap="1" wp14:anchorId="00F913F4" wp14:editId="6E7F1A7B">
                  <wp:simplePos x="0" y="0"/>
                  <wp:positionH relativeFrom="column">
                    <wp:posOffset>606425</wp:posOffset>
                  </wp:positionH>
                  <wp:positionV relativeFrom="paragraph">
                    <wp:posOffset>94615</wp:posOffset>
                  </wp:positionV>
                  <wp:extent cx="1700530" cy="1512570"/>
                  <wp:effectExtent l="19050" t="0" r="0" b="0"/>
                  <wp:wrapThrough wrapText="bothSides">
                    <wp:wrapPolygon edited="0">
                      <wp:start x="-242" y="0"/>
                      <wp:lineTo x="-242" y="21219"/>
                      <wp:lineTo x="21535" y="21219"/>
                      <wp:lineTo x="21535" y="0"/>
                      <wp:lineTo x="-242"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groundEraser_20220713_141216485.jpg"/>
                          <pic:cNvPicPr/>
                        </pic:nvPicPr>
                        <pic:blipFill rotWithShape="1">
                          <a:blip r:embed="rId25" cstate="print">
                            <a:extLst>
                              <a:ext uri="{28A0092B-C50C-407E-A947-70E740481C1C}">
                                <a14:useLocalDpi xmlns:a14="http://schemas.microsoft.com/office/drawing/2010/main" val="0"/>
                              </a:ext>
                            </a:extLst>
                          </a:blip>
                          <a:srcRect l="20801" t="26092" r="14153" b="27262"/>
                          <a:stretch/>
                        </pic:blipFill>
                        <pic:spPr bwMode="auto">
                          <a:xfrm>
                            <a:off x="0" y="0"/>
                            <a:ext cx="1700530" cy="1512570"/>
                          </a:xfrm>
                          <a:prstGeom prst="rect">
                            <a:avLst/>
                          </a:prstGeom>
                          <a:ln>
                            <a:noFill/>
                          </a:ln>
                          <a:extLst>
                            <a:ext uri="{53640926-AAD7-44D8-BBD7-CCE9431645EC}">
                              <a14:shadowObscured xmlns:a14="http://schemas.microsoft.com/office/drawing/2010/main"/>
                            </a:ext>
                          </a:extLst>
                        </pic:spPr>
                      </pic:pic>
                    </a:graphicData>
                  </a:graphic>
                </wp:anchor>
              </w:drawing>
            </w:r>
          </w:p>
        </w:tc>
        <w:tc>
          <w:tcPr>
            <w:tcW w:w="4285" w:type="dxa"/>
          </w:tcPr>
          <w:p w14:paraId="3E44AE93" w14:textId="77777777" w:rsidR="00594C1C" w:rsidRDefault="00594C1C" w:rsidP="000543D0">
            <w:pPr>
              <w:pStyle w:val="NoSpacing"/>
              <w:spacing w:line="48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98176" behindDoc="0" locked="0" layoutInCell="1" allowOverlap="1" wp14:anchorId="1D27CC49" wp14:editId="1AD4C53E">
                      <wp:simplePos x="0" y="0"/>
                      <wp:positionH relativeFrom="column">
                        <wp:posOffset>2244090</wp:posOffset>
                      </wp:positionH>
                      <wp:positionV relativeFrom="paragraph">
                        <wp:posOffset>1208405</wp:posOffset>
                      </wp:positionV>
                      <wp:extent cx="471805" cy="266700"/>
                      <wp:effectExtent l="0" t="0" r="0" b="0"/>
                      <wp:wrapNone/>
                      <wp:docPr id="9376174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707084" w14:textId="77777777" w:rsidR="00594C1C" w:rsidRPr="003B3618" w:rsidRDefault="00594C1C" w:rsidP="00594C1C">
                                  <w:pPr>
                                    <w:jc w:val="center"/>
                                    <w:rPr>
                                      <w:rFonts w:ascii="Times New Roman" w:hAnsi="Times New Roman"/>
                                      <w:sz w:val="24"/>
                                    </w:rPr>
                                  </w:pPr>
                                  <w:r>
                                    <w:rPr>
                                      <w:rFonts w:ascii="Times New Roman" w:hAnsi="Times New Roman"/>
                                      <w:sz w:val="24"/>
                                    </w:rPr>
                                    <w:t>8</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D27CC49" id="Text Box 2" o:spid="_x0000_s1033" type="#_x0000_t202" style="position:absolute;left:0;text-align:left;margin-left:176.7pt;margin-top:95.15pt;width:37.15pt;height:21pt;z-index:251698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" stroked="f">
                      <v:path arrowok="t"/>
                      <v:textbox style="mso-fit-shape-to-text:t">
                        <w:txbxContent>
                          <w:p w14:paraId="49707084" w14:textId="77777777" w:rsidR="00594C1C" w:rsidRPr="003B3618" w:rsidRDefault="00594C1C" w:rsidP="00594C1C">
                            <w:pPr>
                              <w:jc w:val="center"/>
                              <w:rPr>
                                <w:rFonts w:ascii="Times New Roman" w:hAnsi="Times New Roman"/>
                                <w:sz w:val="24"/>
                              </w:rPr>
                            </w:pPr>
                            <w:r>
                              <w:rPr>
                                <w:rFonts w:ascii="Times New Roman" w:hAnsi="Times New Roman"/>
                                <w:sz w:val="24"/>
                              </w:rPr>
                              <w:t>8</w:t>
                            </w:r>
                          </w:p>
                        </w:txbxContent>
                      </v:textbox>
                    </v:shape>
                  </w:pict>
                </mc:Fallback>
              </mc:AlternateContent>
            </w:r>
            <w:r>
              <w:rPr>
                <w:rFonts w:ascii="Times New Roman" w:hAnsi="Times New Roman" w:cs="Times New Roman"/>
                <w:b/>
                <w:noProof/>
                <w:sz w:val="24"/>
                <w:szCs w:val="24"/>
              </w:rPr>
              <w:drawing>
                <wp:anchor distT="0" distB="0" distL="114300" distR="114300" simplePos="0" relativeHeight="251657216" behindDoc="1" locked="0" layoutInCell="1" allowOverlap="1" wp14:anchorId="6F9FA241" wp14:editId="5A20836F">
                  <wp:simplePos x="0" y="0"/>
                  <wp:positionH relativeFrom="column">
                    <wp:posOffset>845185</wp:posOffset>
                  </wp:positionH>
                  <wp:positionV relativeFrom="paragraph">
                    <wp:posOffset>43815</wp:posOffset>
                  </wp:positionV>
                  <wp:extent cx="1330325" cy="1454785"/>
                  <wp:effectExtent l="19050" t="0" r="3175" b="0"/>
                  <wp:wrapThrough wrapText="bothSides">
                    <wp:wrapPolygon edited="0">
                      <wp:start x="-309" y="0"/>
                      <wp:lineTo x="-309" y="21213"/>
                      <wp:lineTo x="21652" y="21213"/>
                      <wp:lineTo x="21652" y="0"/>
                      <wp:lineTo x="-309"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groundEraser_20220713_150947654.jpg"/>
                          <pic:cNvPicPr/>
                        </pic:nvPicPr>
                        <pic:blipFill rotWithShape="1">
                          <a:blip r:embed="rId26" cstate="print">
                            <a:extLst>
                              <a:ext uri="{28A0092B-C50C-407E-A947-70E740481C1C}">
                                <a14:useLocalDpi xmlns:a14="http://schemas.microsoft.com/office/drawing/2010/main" val="0"/>
                              </a:ext>
                            </a:extLst>
                          </a:blip>
                          <a:srcRect l="23417" t="27323" r="23289" b="28818"/>
                          <a:stretch/>
                        </pic:blipFill>
                        <pic:spPr bwMode="auto">
                          <a:xfrm>
                            <a:off x="0" y="0"/>
                            <a:ext cx="1330325" cy="1454785"/>
                          </a:xfrm>
                          <a:prstGeom prst="rect">
                            <a:avLst/>
                          </a:prstGeom>
                          <a:ln>
                            <a:noFill/>
                          </a:ln>
                          <a:extLst>
                            <a:ext uri="{53640926-AAD7-44D8-BBD7-CCE9431645EC}">
                              <a14:shadowObscured xmlns:a14="http://schemas.microsoft.com/office/drawing/2010/main"/>
                            </a:ext>
                          </a:extLst>
                        </pic:spPr>
                      </pic:pic>
                    </a:graphicData>
                  </a:graphic>
                </wp:anchor>
              </w:drawing>
            </w:r>
          </w:p>
        </w:tc>
      </w:tr>
    </w:tbl>
    <w:p w14:paraId="0FCC68B7" w14:textId="77777777" w:rsidR="00594C1C" w:rsidRPr="00594C1C" w:rsidRDefault="00594C1C" w:rsidP="00594C1C">
      <w:pPr>
        <w:pStyle w:val="NoSpacing"/>
        <w:jc w:val="both"/>
        <w:rPr>
          <w:rFonts w:ascii="Arial" w:hAnsi="Arial" w:cs="Arial"/>
          <w:i/>
          <w:sz w:val="20"/>
          <w:szCs w:val="20"/>
        </w:rPr>
      </w:pPr>
      <w:r w:rsidRPr="00594C1C">
        <w:rPr>
          <w:rFonts w:ascii="Arial" w:hAnsi="Arial" w:cs="Arial"/>
          <w:b/>
          <w:sz w:val="20"/>
          <w:szCs w:val="20"/>
        </w:rPr>
        <w:t>Plate 1</w:t>
      </w:r>
      <w:r w:rsidRPr="00594C1C">
        <w:rPr>
          <w:rFonts w:ascii="Arial" w:hAnsi="Arial" w:cs="Arial"/>
          <w:sz w:val="20"/>
          <w:szCs w:val="20"/>
        </w:rPr>
        <w:t xml:space="preserve">. </w:t>
      </w:r>
      <w:r w:rsidRPr="00594C1C">
        <w:rPr>
          <w:rFonts w:ascii="Arial" w:hAnsi="Arial" w:cs="Arial"/>
          <w:i/>
          <w:sz w:val="20"/>
          <w:szCs w:val="20"/>
        </w:rPr>
        <w:t>Diadema setosum</w:t>
      </w:r>
      <w:r w:rsidRPr="00594C1C">
        <w:rPr>
          <w:rFonts w:ascii="Arial" w:hAnsi="Arial" w:cs="Arial"/>
          <w:sz w:val="20"/>
          <w:szCs w:val="20"/>
        </w:rPr>
        <w:t xml:space="preserve"> 2. </w:t>
      </w:r>
      <w:r w:rsidRPr="00594C1C">
        <w:rPr>
          <w:rFonts w:ascii="Arial" w:hAnsi="Arial" w:cs="Arial"/>
          <w:i/>
          <w:sz w:val="20"/>
          <w:szCs w:val="20"/>
        </w:rPr>
        <w:t>Echinothrix calamaris</w:t>
      </w:r>
      <w:r w:rsidRPr="00594C1C">
        <w:rPr>
          <w:rFonts w:ascii="Arial" w:hAnsi="Arial" w:cs="Arial"/>
          <w:sz w:val="20"/>
          <w:szCs w:val="20"/>
        </w:rPr>
        <w:t xml:space="preserve"> 3. </w:t>
      </w:r>
      <w:r w:rsidRPr="00594C1C">
        <w:rPr>
          <w:rFonts w:ascii="Arial" w:hAnsi="Arial" w:cs="Arial"/>
          <w:i/>
          <w:sz w:val="20"/>
          <w:szCs w:val="20"/>
        </w:rPr>
        <w:t>Echinoimetra mathaei</w:t>
      </w:r>
      <w:r w:rsidRPr="00594C1C">
        <w:rPr>
          <w:rFonts w:ascii="Arial" w:hAnsi="Arial" w:cs="Arial"/>
          <w:sz w:val="20"/>
          <w:szCs w:val="20"/>
        </w:rPr>
        <w:t xml:space="preserve"> 4. </w:t>
      </w:r>
      <w:r w:rsidRPr="00594C1C">
        <w:rPr>
          <w:rFonts w:ascii="Arial" w:hAnsi="Arial" w:cs="Arial"/>
          <w:i/>
          <w:sz w:val="20"/>
          <w:szCs w:val="20"/>
        </w:rPr>
        <w:t>Echinometra mathaei</w:t>
      </w:r>
      <w:r w:rsidRPr="00594C1C">
        <w:rPr>
          <w:rFonts w:ascii="Arial" w:hAnsi="Arial" w:cs="Arial"/>
          <w:sz w:val="20"/>
          <w:szCs w:val="20"/>
        </w:rPr>
        <w:t xml:space="preserve"> 5. </w:t>
      </w:r>
      <w:r w:rsidRPr="00594C1C">
        <w:rPr>
          <w:rFonts w:ascii="Arial" w:hAnsi="Arial" w:cs="Arial"/>
          <w:i/>
          <w:sz w:val="20"/>
          <w:szCs w:val="20"/>
        </w:rPr>
        <w:t>Toxopnuestes pileolus</w:t>
      </w:r>
      <w:r w:rsidRPr="00594C1C">
        <w:rPr>
          <w:rFonts w:ascii="Arial" w:hAnsi="Arial" w:cs="Arial"/>
          <w:sz w:val="20"/>
          <w:szCs w:val="20"/>
        </w:rPr>
        <w:t xml:space="preserve"> 6. </w:t>
      </w:r>
      <w:r w:rsidRPr="00594C1C">
        <w:rPr>
          <w:rFonts w:ascii="Arial" w:hAnsi="Arial" w:cs="Arial"/>
          <w:i/>
          <w:sz w:val="20"/>
          <w:szCs w:val="20"/>
        </w:rPr>
        <w:t>Salmacis belli</w:t>
      </w:r>
      <w:r w:rsidRPr="00594C1C">
        <w:rPr>
          <w:rFonts w:ascii="Arial" w:hAnsi="Arial" w:cs="Arial"/>
          <w:sz w:val="20"/>
          <w:szCs w:val="20"/>
        </w:rPr>
        <w:t xml:space="preserve"> 7. </w:t>
      </w:r>
      <w:r w:rsidRPr="00594C1C">
        <w:rPr>
          <w:rFonts w:ascii="Arial" w:hAnsi="Arial" w:cs="Arial"/>
          <w:i/>
          <w:sz w:val="20"/>
          <w:szCs w:val="20"/>
        </w:rPr>
        <w:t>Tripnuestes gratilla</w:t>
      </w:r>
      <w:r w:rsidRPr="00594C1C">
        <w:rPr>
          <w:rFonts w:ascii="Arial" w:hAnsi="Arial" w:cs="Arial"/>
          <w:sz w:val="20"/>
          <w:szCs w:val="20"/>
        </w:rPr>
        <w:t xml:space="preserve"> 8. </w:t>
      </w:r>
      <w:r w:rsidRPr="00594C1C">
        <w:rPr>
          <w:rFonts w:ascii="Arial" w:hAnsi="Arial" w:cs="Arial"/>
          <w:i/>
          <w:sz w:val="20"/>
          <w:szCs w:val="20"/>
        </w:rPr>
        <w:t>Tripnuestes gratilla</w:t>
      </w:r>
    </w:p>
    <w:p w14:paraId="2FD9E675" w14:textId="77777777" w:rsidR="00C95387" w:rsidRPr="00C95387" w:rsidRDefault="00C95387" w:rsidP="00C95387">
      <w:pPr>
        <w:pStyle w:val="Body"/>
        <w:rPr>
          <w:rFonts w:ascii="Arial" w:hAnsi="Arial" w:cs="Arial"/>
          <w:b/>
          <w:bCs/>
        </w:rPr>
      </w:pPr>
      <w:r w:rsidRPr="00C95387">
        <w:rPr>
          <w:rFonts w:ascii="Arial" w:hAnsi="Arial" w:cs="Arial"/>
          <w:b/>
          <w:bCs/>
        </w:rPr>
        <w:t>4.1.2 Diversity, Evenness, and Dominance Indices</w:t>
      </w:r>
    </w:p>
    <w:p w14:paraId="556AF643" w14:textId="77777777" w:rsidR="003D78BD" w:rsidRPr="003D78BD" w:rsidRDefault="003D78BD" w:rsidP="003D78BD">
      <w:pPr>
        <w:pStyle w:val="Body"/>
        <w:rPr>
          <w:rFonts w:ascii="Arial" w:hAnsi="Arial" w:cs="Arial"/>
        </w:rPr>
      </w:pPr>
      <w:r w:rsidRPr="003D78BD">
        <w:rPr>
          <w:rFonts w:ascii="Arial" w:hAnsi="Arial" w:cs="Arial"/>
        </w:rPr>
        <w:t>The diversity assessment of sea urchins across the sampling showed clear variation in species richness, diversity, evenness, and dominance among stations</w:t>
      </w:r>
      <w:r w:rsidR="009F7C33">
        <w:rPr>
          <w:rFonts w:ascii="Arial" w:hAnsi="Arial" w:cs="Arial"/>
        </w:rPr>
        <w:t xml:space="preserve"> (Table 1)</w:t>
      </w:r>
      <w:r w:rsidRPr="003D78BD">
        <w:rPr>
          <w:rFonts w:ascii="Arial" w:hAnsi="Arial" w:cs="Arial"/>
        </w:rPr>
        <w:t>. Species richness ranged from 2 to 6 species, with Long Beach recording the highest richness (S = 6), indicating the greatest number of species present among all sites. In contrast, Cabolutan had the lowest richness (S = 2), suggesting a more limited species composition. Most of the other sampling sites, including Cawayan, Sugod, Carmen, Dubduban, Doña Juana, Lusong, and Hinugusan, recorded 3 species, while Cagboaya, Poblacion, and Binongaan each had 4 species.</w:t>
      </w:r>
    </w:p>
    <w:p w14:paraId="0376476E" w14:textId="77777777" w:rsidR="003D78BD" w:rsidRPr="003D78BD" w:rsidRDefault="003D78BD" w:rsidP="003D78BD">
      <w:pPr>
        <w:pStyle w:val="Body"/>
        <w:rPr>
          <w:rFonts w:ascii="Arial" w:hAnsi="Arial" w:cs="Arial"/>
        </w:rPr>
      </w:pPr>
      <w:r w:rsidRPr="003D78BD">
        <w:rPr>
          <w:rFonts w:ascii="Arial" w:hAnsi="Arial" w:cs="Arial"/>
        </w:rPr>
        <w:t>In terms of diversity, Long Beach also exhibited the highest Shannon’s Diversity Index (H = 1.53), indicating the most diverse sea urchin assemblage among the surveyed locations. Relatively high diversity values were also observed in Sugod, Doña Juana, Lusong, and Hinugusan (all H = 1.09), as well as in Cawayan (H = 1.08). On the other hand, the lowest diversity was recorded in All sites (H = 0.24), followed by Cabolutan (H = 0.74) and Poblacion (H = 0.86). These lower values indicate less diverse communities, possibly due to the stronger influence of only a few species.</w:t>
      </w:r>
    </w:p>
    <w:p w14:paraId="6B9EE754" w14:textId="77777777" w:rsidR="003D78BD" w:rsidRPr="003D78BD" w:rsidRDefault="003D78BD" w:rsidP="003D78BD">
      <w:pPr>
        <w:pStyle w:val="Body"/>
        <w:rPr>
          <w:rFonts w:ascii="Arial" w:hAnsi="Arial" w:cs="Arial"/>
        </w:rPr>
      </w:pPr>
      <w:r w:rsidRPr="003D78BD">
        <w:rPr>
          <w:rFonts w:ascii="Arial" w:hAnsi="Arial" w:cs="Arial"/>
        </w:rPr>
        <w:lastRenderedPageBreak/>
        <w:t>The Pielou’s Evenness Index further showed that the distribution of individuals among species was generally more balanced in several stations. The highest evenness values were observed in Cawayan, Sugod, Doña Juana, Lusong, and Hinugusan (all E = 0.99), suggesting that individuals were distributed almost equally among the species present. Carmen also had a relatively high evenness value (E = 0.96). In contrast, Cabolutan had the lowest evenness among the individual sites (E = 0.67), indicating a less uniform distribution of individuals. The value for All sites was the lowest overall (E = 0.22), suggesting that, when pooled together, the sea urchin community was highly uneven.</w:t>
      </w:r>
    </w:p>
    <w:p w14:paraId="4A1D6D56" w14:textId="77777777" w:rsidR="003D78BD" w:rsidRPr="003D78BD" w:rsidRDefault="003D78BD" w:rsidP="003D78BD">
      <w:pPr>
        <w:pStyle w:val="Body"/>
        <w:rPr>
          <w:rFonts w:ascii="Arial" w:hAnsi="Arial" w:cs="Arial"/>
        </w:rPr>
      </w:pPr>
      <w:r w:rsidRPr="003D78BD">
        <w:rPr>
          <w:rFonts w:ascii="Arial" w:hAnsi="Arial" w:cs="Arial"/>
        </w:rPr>
        <w:t>The Simpson’s Dominance Index revealed that dominance was highest in Poblacion (D = 0.64) and Doña Juana (D = 0.63), implying that one or a few species strongly dominated these areas. A relatively high dominance was also recorded in Cabolutan (D = 0.53). In contrast, Long Beach showed the lowest dominance (D = 0.24), followed by Dubduban (D = 0.27) and Binongaan (D = 0.31), indicating a more balanced community structure in these sites. Most of the remaining stations had similar dominance values around 0.33 to 0.34.</w:t>
      </w:r>
    </w:p>
    <w:p w14:paraId="65F864C4" w14:textId="77777777" w:rsidR="00C95387" w:rsidRDefault="003D78BD" w:rsidP="003D78BD">
      <w:pPr>
        <w:pStyle w:val="Body"/>
        <w:spacing w:after="0"/>
        <w:rPr>
          <w:rFonts w:ascii="Arial" w:hAnsi="Arial" w:cs="Arial"/>
        </w:rPr>
      </w:pPr>
      <w:r>
        <w:rPr>
          <w:rFonts w:ascii="Arial" w:hAnsi="Arial" w:cs="Arial"/>
        </w:rPr>
        <w:t>T</w:t>
      </w:r>
      <w:r w:rsidRPr="003D78BD">
        <w:rPr>
          <w:rFonts w:ascii="Arial" w:hAnsi="Arial" w:cs="Arial"/>
        </w:rPr>
        <w:t>he results indicate that Long Beach supported the most diverse and least dominated sea urchin community, while Cabolutan and Poblacion showed lower diversity and higher dominance, reflecting less balanced species assemblages. The high evenness values in several stations suggest that, despite relatively low species richness in some areas, individuals were often fairly evenly distributed among the species present.</w:t>
      </w:r>
    </w:p>
    <w:p w14:paraId="053E9BF5" w14:textId="77777777" w:rsidR="009F7C33" w:rsidRDefault="009F7C33" w:rsidP="003D78BD">
      <w:pPr>
        <w:pStyle w:val="Body"/>
        <w:spacing w:after="0"/>
        <w:rPr>
          <w:rFonts w:ascii="Arial" w:hAnsi="Arial" w:cs="Arial"/>
        </w:rPr>
      </w:pPr>
    </w:p>
    <w:p w14:paraId="4DF1B6EE" w14:textId="77777777" w:rsidR="009F7C33" w:rsidRDefault="009F7C33" w:rsidP="003D78BD">
      <w:pPr>
        <w:pStyle w:val="Body"/>
        <w:spacing w:after="0"/>
        <w:rPr>
          <w:rFonts w:ascii="Arial" w:hAnsi="Arial" w:cs="Arial"/>
        </w:rPr>
      </w:pPr>
    </w:p>
    <w:p w14:paraId="4D03B9C1" w14:textId="77777777" w:rsidR="003D78BD" w:rsidRDefault="003D78BD" w:rsidP="003D78BD">
      <w:pPr>
        <w:pStyle w:val="Body"/>
        <w:spacing w:after="0"/>
        <w:rPr>
          <w:rFonts w:ascii="Arial" w:hAnsi="Arial" w:cs="Arial"/>
        </w:rPr>
      </w:pPr>
      <w:r w:rsidRPr="003D78BD">
        <w:rPr>
          <w:rFonts w:ascii="Arial" w:hAnsi="Arial" w:cs="Arial"/>
          <w:b/>
          <w:bCs/>
        </w:rPr>
        <w:t>Table 1.</w:t>
      </w:r>
      <w:r w:rsidRPr="003D78BD">
        <w:rPr>
          <w:rFonts w:ascii="Arial" w:hAnsi="Arial" w:cs="Arial"/>
        </w:rPr>
        <w:t xml:space="preserve"> Species richness, Shannon’s diversity index, Pielou’s evenness index, and Simpson’s dominance index of sea urchin communities across sampling sites</w:t>
      </w:r>
    </w:p>
    <w:tbl>
      <w:tblPr>
        <w:tblW w:w="8335" w:type="dxa"/>
        <w:tblCellMar>
          <w:top w:w="15" w:type="dxa"/>
          <w:left w:w="15" w:type="dxa"/>
          <w:bottom w:w="15" w:type="dxa"/>
          <w:right w:w="15" w:type="dxa"/>
        </w:tblCellMar>
        <w:tblLook w:val="04A0" w:firstRow="1" w:lastRow="0" w:firstColumn="1" w:lastColumn="0" w:noHBand="0" w:noVBand="1"/>
      </w:tblPr>
      <w:tblGrid>
        <w:gridCol w:w="1350"/>
        <w:gridCol w:w="1242"/>
        <w:gridCol w:w="1414"/>
        <w:gridCol w:w="1566"/>
        <w:gridCol w:w="1458"/>
        <w:gridCol w:w="1305"/>
      </w:tblGrid>
      <w:tr w:rsidR="00C95387" w:rsidRPr="00C95387" w14:paraId="0BFCADA8" w14:textId="77777777" w:rsidTr="003D78BD">
        <w:trPr>
          <w:trHeight w:val="646"/>
          <w:tblHeader/>
        </w:trPr>
        <w:tc>
          <w:tcPr>
            <w:tcW w:w="0" w:type="auto"/>
            <w:tcBorders>
              <w:top w:val="single" w:sz="2" w:space="0" w:color="auto"/>
              <w:bottom w:val="single" w:sz="2" w:space="0" w:color="auto"/>
            </w:tcBorders>
            <w:tcMar>
              <w:top w:w="113" w:type="dxa"/>
              <w:left w:w="113" w:type="dxa"/>
              <w:bottom w:w="113" w:type="dxa"/>
              <w:right w:w="113" w:type="dxa"/>
            </w:tcMar>
            <w:hideMark/>
          </w:tcPr>
          <w:p w14:paraId="22F9ED2B" w14:textId="77777777" w:rsidR="00C95387" w:rsidRPr="00C95387" w:rsidRDefault="00C95387" w:rsidP="00C95387">
            <w:pPr>
              <w:jc w:val="center"/>
              <w:rPr>
                <w:rFonts w:ascii="Arial" w:hAnsi="Arial" w:cs="Arial"/>
                <w:b/>
                <w:bCs/>
                <w:color w:val="1A1A1A"/>
                <w:lang w:val="en-PH"/>
              </w:rPr>
            </w:pPr>
            <w:r w:rsidRPr="00C95387">
              <w:rPr>
                <w:rFonts w:ascii="Arial" w:hAnsi="Arial" w:cs="Arial"/>
                <w:b/>
                <w:bCs/>
                <w:color w:val="1A1A1A"/>
                <w:lang w:val="en-PH"/>
              </w:rPr>
              <w:t>Location</w:t>
            </w:r>
          </w:p>
        </w:tc>
        <w:tc>
          <w:tcPr>
            <w:tcW w:w="0" w:type="auto"/>
            <w:tcBorders>
              <w:top w:val="single" w:sz="2" w:space="0" w:color="auto"/>
              <w:bottom w:val="single" w:sz="2" w:space="0" w:color="auto"/>
            </w:tcBorders>
            <w:tcMar>
              <w:top w:w="113" w:type="dxa"/>
              <w:left w:w="113" w:type="dxa"/>
              <w:bottom w:w="113" w:type="dxa"/>
              <w:right w:w="113" w:type="dxa"/>
            </w:tcMar>
            <w:hideMark/>
          </w:tcPr>
          <w:p w14:paraId="690C4C1B" w14:textId="77777777" w:rsidR="00C95387" w:rsidRPr="00C95387" w:rsidRDefault="00C95387" w:rsidP="00C95387">
            <w:pPr>
              <w:jc w:val="center"/>
              <w:rPr>
                <w:rFonts w:ascii="Arial" w:hAnsi="Arial" w:cs="Arial"/>
                <w:b/>
                <w:bCs/>
                <w:color w:val="1A1A1A"/>
                <w:lang w:val="en-PH"/>
              </w:rPr>
            </w:pPr>
            <w:r w:rsidRPr="00C95387">
              <w:rPr>
                <w:rFonts w:ascii="Arial" w:hAnsi="Arial" w:cs="Arial"/>
                <w:b/>
                <w:bCs/>
                <w:color w:val="1A1A1A"/>
                <w:lang w:val="en-PH"/>
              </w:rPr>
              <w:t>Species richness (S)</w:t>
            </w:r>
          </w:p>
        </w:tc>
        <w:tc>
          <w:tcPr>
            <w:tcW w:w="0" w:type="auto"/>
            <w:tcBorders>
              <w:top w:val="single" w:sz="2" w:space="0" w:color="auto"/>
              <w:bottom w:val="single" w:sz="2" w:space="0" w:color="auto"/>
            </w:tcBorders>
            <w:tcMar>
              <w:top w:w="113" w:type="dxa"/>
              <w:left w:w="113" w:type="dxa"/>
              <w:bottom w:w="113" w:type="dxa"/>
              <w:right w:w="113" w:type="dxa"/>
            </w:tcMar>
            <w:hideMark/>
          </w:tcPr>
          <w:p w14:paraId="17D09E93" w14:textId="77777777" w:rsidR="00C95387" w:rsidRPr="00C95387" w:rsidRDefault="00C95387" w:rsidP="00C95387">
            <w:pPr>
              <w:jc w:val="center"/>
              <w:rPr>
                <w:rFonts w:ascii="Arial" w:hAnsi="Arial" w:cs="Arial"/>
                <w:b/>
                <w:bCs/>
                <w:color w:val="1A1A1A"/>
                <w:lang w:val="en-PH"/>
              </w:rPr>
            </w:pPr>
            <w:r w:rsidRPr="00C95387">
              <w:rPr>
                <w:rFonts w:ascii="Arial" w:hAnsi="Arial" w:cs="Arial"/>
                <w:b/>
                <w:bCs/>
                <w:color w:val="1A1A1A"/>
                <w:lang w:val="en-PH"/>
              </w:rPr>
              <w:t>Total individuals (Σ)</w:t>
            </w:r>
          </w:p>
        </w:tc>
        <w:tc>
          <w:tcPr>
            <w:tcW w:w="0" w:type="auto"/>
            <w:tcBorders>
              <w:top w:val="single" w:sz="2" w:space="0" w:color="auto"/>
              <w:bottom w:val="single" w:sz="2" w:space="0" w:color="auto"/>
            </w:tcBorders>
            <w:tcMar>
              <w:top w:w="113" w:type="dxa"/>
              <w:left w:w="113" w:type="dxa"/>
              <w:bottom w:w="113" w:type="dxa"/>
              <w:right w:w="113" w:type="dxa"/>
            </w:tcMar>
            <w:hideMark/>
          </w:tcPr>
          <w:p w14:paraId="39601D0F" w14:textId="77777777" w:rsidR="00C95387" w:rsidRPr="00C95387" w:rsidRDefault="00C95387" w:rsidP="00C95387">
            <w:pPr>
              <w:jc w:val="center"/>
              <w:rPr>
                <w:rFonts w:ascii="Arial" w:hAnsi="Arial" w:cs="Arial"/>
                <w:b/>
                <w:bCs/>
                <w:color w:val="1A1A1A"/>
                <w:lang w:val="en-PH"/>
              </w:rPr>
            </w:pPr>
            <w:r w:rsidRPr="00C95387">
              <w:rPr>
                <w:rFonts w:ascii="Arial" w:hAnsi="Arial" w:cs="Arial"/>
                <w:b/>
                <w:bCs/>
                <w:color w:val="1A1A1A"/>
                <w:lang w:val="en-PH"/>
              </w:rPr>
              <w:t>Shannon’s Diversity Index (H’)</w:t>
            </w:r>
          </w:p>
        </w:tc>
        <w:tc>
          <w:tcPr>
            <w:tcW w:w="0" w:type="auto"/>
            <w:tcBorders>
              <w:top w:val="single" w:sz="2" w:space="0" w:color="auto"/>
              <w:bottom w:val="single" w:sz="2" w:space="0" w:color="auto"/>
            </w:tcBorders>
            <w:tcMar>
              <w:top w:w="113" w:type="dxa"/>
              <w:left w:w="113" w:type="dxa"/>
              <w:bottom w:w="113" w:type="dxa"/>
              <w:right w:w="113" w:type="dxa"/>
            </w:tcMar>
            <w:hideMark/>
          </w:tcPr>
          <w:p w14:paraId="37479002" w14:textId="77777777" w:rsidR="00C95387" w:rsidRPr="00C95387" w:rsidRDefault="00C95387" w:rsidP="00C95387">
            <w:pPr>
              <w:jc w:val="center"/>
              <w:rPr>
                <w:rFonts w:ascii="Arial" w:hAnsi="Arial" w:cs="Arial"/>
                <w:b/>
                <w:bCs/>
                <w:color w:val="1A1A1A"/>
                <w:lang w:val="en-PH"/>
              </w:rPr>
            </w:pPr>
            <w:r w:rsidRPr="00C95387">
              <w:rPr>
                <w:rFonts w:ascii="Arial" w:hAnsi="Arial" w:cs="Arial"/>
                <w:b/>
                <w:bCs/>
                <w:color w:val="1A1A1A"/>
                <w:lang w:val="en-PH"/>
              </w:rPr>
              <w:t>Pielou’s Evenness Index (J’)</w:t>
            </w:r>
          </w:p>
        </w:tc>
        <w:tc>
          <w:tcPr>
            <w:tcW w:w="1305" w:type="dxa"/>
            <w:tcBorders>
              <w:top w:val="single" w:sz="2" w:space="0" w:color="auto"/>
              <w:bottom w:val="single" w:sz="2" w:space="0" w:color="auto"/>
            </w:tcBorders>
            <w:tcMar>
              <w:top w:w="113" w:type="dxa"/>
              <w:left w:w="113" w:type="dxa"/>
              <w:bottom w:w="113" w:type="dxa"/>
              <w:right w:w="113" w:type="dxa"/>
            </w:tcMar>
            <w:hideMark/>
          </w:tcPr>
          <w:p w14:paraId="4F6C621C" w14:textId="77777777" w:rsidR="00C95387" w:rsidRPr="00C95387" w:rsidRDefault="00C95387" w:rsidP="00C95387">
            <w:pPr>
              <w:jc w:val="center"/>
              <w:rPr>
                <w:rFonts w:ascii="Arial" w:hAnsi="Arial" w:cs="Arial"/>
                <w:b/>
                <w:bCs/>
                <w:color w:val="1A1A1A"/>
                <w:lang w:val="en-PH"/>
              </w:rPr>
            </w:pPr>
            <w:r w:rsidRPr="00C95387">
              <w:rPr>
                <w:rFonts w:ascii="Arial" w:hAnsi="Arial" w:cs="Arial"/>
                <w:b/>
                <w:bCs/>
                <w:color w:val="1A1A1A"/>
                <w:lang w:val="en-PH"/>
              </w:rPr>
              <w:t>Simpson’s Dominance Index (1/D)</w:t>
            </w:r>
          </w:p>
        </w:tc>
      </w:tr>
      <w:tr w:rsidR="003D78BD" w:rsidRPr="00C95387" w14:paraId="3844762E" w14:textId="77777777" w:rsidTr="003D78BD">
        <w:tc>
          <w:tcPr>
            <w:tcW w:w="0" w:type="auto"/>
            <w:tcBorders>
              <w:top w:val="single" w:sz="2" w:space="0" w:color="auto"/>
            </w:tcBorders>
            <w:tcMar>
              <w:top w:w="91" w:type="dxa"/>
              <w:left w:w="113" w:type="dxa"/>
              <w:bottom w:w="91" w:type="dxa"/>
              <w:right w:w="113" w:type="dxa"/>
            </w:tcMar>
            <w:hideMark/>
          </w:tcPr>
          <w:p w14:paraId="779EC591"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Cawayan</w:t>
            </w:r>
          </w:p>
        </w:tc>
        <w:tc>
          <w:tcPr>
            <w:tcW w:w="0" w:type="auto"/>
            <w:tcBorders>
              <w:top w:val="single" w:sz="2" w:space="0" w:color="auto"/>
            </w:tcBorders>
            <w:tcMar>
              <w:top w:w="91" w:type="dxa"/>
              <w:left w:w="113" w:type="dxa"/>
              <w:bottom w:w="91" w:type="dxa"/>
              <w:right w:w="113" w:type="dxa"/>
            </w:tcMar>
            <w:hideMark/>
          </w:tcPr>
          <w:p w14:paraId="210E4D14"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3</w:t>
            </w:r>
          </w:p>
        </w:tc>
        <w:tc>
          <w:tcPr>
            <w:tcW w:w="0" w:type="auto"/>
            <w:tcBorders>
              <w:top w:val="single" w:sz="2" w:space="0" w:color="auto"/>
            </w:tcBorders>
            <w:tcMar>
              <w:top w:w="91" w:type="dxa"/>
              <w:left w:w="113" w:type="dxa"/>
              <w:bottom w:w="91" w:type="dxa"/>
              <w:right w:w="113" w:type="dxa"/>
            </w:tcMar>
            <w:hideMark/>
          </w:tcPr>
          <w:p w14:paraId="3CAFC66B"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22</w:t>
            </w:r>
          </w:p>
        </w:tc>
        <w:tc>
          <w:tcPr>
            <w:tcW w:w="0" w:type="auto"/>
            <w:tcBorders>
              <w:top w:val="single" w:sz="2" w:space="0" w:color="auto"/>
            </w:tcBorders>
            <w:tcMar>
              <w:top w:w="91" w:type="dxa"/>
              <w:left w:w="113" w:type="dxa"/>
              <w:bottom w:w="91" w:type="dxa"/>
              <w:right w:w="113" w:type="dxa"/>
            </w:tcMar>
            <w:hideMark/>
          </w:tcPr>
          <w:p w14:paraId="3E5BBBA8"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1.08</w:t>
            </w:r>
          </w:p>
        </w:tc>
        <w:tc>
          <w:tcPr>
            <w:tcW w:w="0" w:type="auto"/>
            <w:tcBorders>
              <w:top w:val="single" w:sz="2" w:space="0" w:color="auto"/>
            </w:tcBorders>
            <w:tcMar>
              <w:top w:w="91" w:type="dxa"/>
              <w:left w:w="113" w:type="dxa"/>
              <w:bottom w:w="91" w:type="dxa"/>
              <w:right w:w="113" w:type="dxa"/>
            </w:tcMar>
            <w:hideMark/>
          </w:tcPr>
          <w:p w14:paraId="603AEC21"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0.99</w:t>
            </w:r>
          </w:p>
        </w:tc>
        <w:tc>
          <w:tcPr>
            <w:tcW w:w="1305" w:type="dxa"/>
            <w:tcBorders>
              <w:top w:val="single" w:sz="2" w:space="0" w:color="auto"/>
            </w:tcBorders>
            <w:tcMar>
              <w:top w:w="91" w:type="dxa"/>
              <w:left w:w="113" w:type="dxa"/>
              <w:bottom w:w="91" w:type="dxa"/>
              <w:right w:w="113" w:type="dxa"/>
            </w:tcMar>
            <w:hideMark/>
          </w:tcPr>
          <w:p w14:paraId="4F818E7F" w14:textId="77777777" w:rsidR="003D78BD" w:rsidRPr="003D78BD" w:rsidRDefault="003D78BD" w:rsidP="003D78BD">
            <w:pPr>
              <w:jc w:val="center"/>
              <w:rPr>
                <w:rFonts w:ascii="Arial" w:hAnsi="Arial" w:cs="Arial"/>
                <w:color w:val="000000"/>
              </w:rPr>
            </w:pPr>
            <w:r w:rsidRPr="003D78BD">
              <w:rPr>
                <w:rFonts w:ascii="Arial" w:hAnsi="Arial" w:cs="Arial"/>
                <w:color w:val="000000"/>
              </w:rPr>
              <w:t>0.34</w:t>
            </w:r>
          </w:p>
        </w:tc>
      </w:tr>
      <w:tr w:rsidR="003D78BD" w:rsidRPr="00C95387" w14:paraId="161BF4D6" w14:textId="77777777" w:rsidTr="003D78BD">
        <w:tc>
          <w:tcPr>
            <w:tcW w:w="0" w:type="auto"/>
            <w:tcMar>
              <w:top w:w="91" w:type="dxa"/>
              <w:left w:w="113" w:type="dxa"/>
              <w:bottom w:w="91" w:type="dxa"/>
              <w:right w:w="113" w:type="dxa"/>
            </w:tcMar>
            <w:hideMark/>
          </w:tcPr>
          <w:p w14:paraId="35768699"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Long Beach</w:t>
            </w:r>
          </w:p>
        </w:tc>
        <w:tc>
          <w:tcPr>
            <w:tcW w:w="0" w:type="auto"/>
            <w:tcMar>
              <w:top w:w="91" w:type="dxa"/>
              <w:left w:w="113" w:type="dxa"/>
              <w:bottom w:w="91" w:type="dxa"/>
              <w:right w:w="113" w:type="dxa"/>
            </w:tcMar>
            <w:hideMark/>
          </w:tcPr>
          <w:p w14:paraId="1F1664CA"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6</w:t>
            </w:r>
          </w:p>
        </w:tc>
        <w:tc>
          <w:tcPr>
            <w:tcW w:w="0" w:type="auto"/>
            <w:tcMar>
              <w:top w:w="91" w:type="dxa"/>
              <w:left w:w="113" w:type="dxa"/>
              <w:bottom w:w="91" w:type="dxa"/>
              <w:right w:w="113" w:type="dxa"/>
            </w:tcMar>
            <w:hideMark/>
          </w:tcPr>
          <w:p w14:paraId="39255E9E"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97</w:t>
            </w:r>
          </w:p>
        </w:tc>
        <w:tc>
          <w:tcPr>
            <w:tcW w:w="0" w:type="auto"/>
            <w:tcMar>
              <w:top w:w="91" w:type="dxa"/>
              <w:left w:w="113" w:type="dxa"/>
              <w:bottom w:w="91" w:type="dxa"/>
              <w:right w:w="113" w:type="dxa"/>
            </w:tcMar>
            <w:hideMark/>
          </w:tcPr>
          <w:p w14:paraId="69ABA6F1"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1.53</w:t>
            </w:r>
          </w:p>
        </w:tc>
        <w:tc>
          <w:tcPr>
            <w:tcW w:w="0" w:type="auto"/>
            <w:tcMar>
              <w:top w:w="91" w:type="dxa"/>
              <w:left w:w="113" w:type="dxa"/>
              <w:bottom w:w="91" w:type="dxa"/>
              <w:right w:w="113" w:type="dxa"/>
            </w:tcMar>
            <w:hideMark/>
          </w:tcPr>
          <w:p w14:paraId="793059B1"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0.85</w:t>
            </w:r>
          </w:p>
        </w:tc>
        <w:tc>
          <w:tcPr>
            <w:tcW w:w="1305" w:type="dxa"/>
            <w:tcMar>
              <w:top w:w="91" w:type="dxa"/>
              <w:left w:w="113" w:type="dxa"/>
              <w:bottom w:w="91" w:type="dxa"/>
              <w:right w:w="113" w:type="dxa"/>
            </w:tcMar>
            <w:hideMark/>
          </w:tcPr>
          <w:p w14:paraId="4EEDDBF4" w14:textId="77777777" w:rsidR="003D78BD" w:rsidRPr="003D78BD" w:rsidRDefault="003D78BD" w:rsidP="003D78BD">
            <w:pPr>
              <w:jc w:val="center"/>
              <w:rPr>
                <w:rFonts w:ascii="Arial" w:hAnsi="Arial" w:cs="Arial"/>
                <w:color w:val="000000"/>
              </w:rPr>
            </w:pPr>
            <w:r w:rsidRPr="003D78BD">
              <w:rPr>
                <w:rFonts w:ascii="Arial" w:hAnsi="Arial" w:cs="Arial"/>
                <w:color w:val="000000"/>
              </w:rPr>
              <w:t>0.24</w:t>
            </w:r>
          </w:p>
        </w:tc>
      </w:tr>
      <w:tr w:rsidR="003D78BD" w:rsidRPr="00C95387" w14:paraId="0EECB844" w14:textId="77777777" w:rsidTr="003D78BD">
        <w:tc>
          <w:tcPr>
            <w:tcW w:w="0" w:type="auto"/>
            <w:tcMar>
              <w:top w:w="91" w:type="dxa"/>
              <w:left w:w="113" w:type="dxa"/>
              <w:bottom w:w="91" w:type="dxa"/>
              <w:right w:w="113" w:type="dxa"/>
            </w:tcMar>
            <w:hideMark/>
          </w:tcPr>
          <w:p w14:paraId="498C7D60"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Sugod</w:t>
            </w:r>
          </w:p>
        </w:tc>
        <w:tc>
          <w:tcPr>
            <w:tcW w:w="0" w:type="auto"/>
            <w:tcMar>
              <w:top w:w="91" w:type="dxa"/>
              <w:left w:w="113" w:type="dxa"/>
              <w:bottom w:w="91" w:type="dxa"/>
              <w:right w:w="113" w:type="dxa"/>
            </w:tcMar>
            <w:hideMark/>
          </w:tcPr>
          <w:p w14:paraId="2DB2983A"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3</w:t>
            </w:r>
          </w:p>
        </w:tc>
        <w:tc>
          <w:tcPr>
            <w:tcW w:w="0" w:type="auto"/>
            <w:tcMar>
              <w:top w:w="91" w:type="dxa"/>
              <w:left w:w="113" w:type="dxa"/>
              <w:bottom w:w="91" w:type="dxa"/>
              <w:right w:w="113" w:type="dxa"/>
            </w:tcMar>
            <w:hideMark/>
          </w:tcPr>
          <w:p w14:paraId="3786C66F"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27</w:t>
            </w:r>
          </w:p>
        </w:tc>
        <w:tc>
          <w:tcPr>
            <w:tcW w:w="0" w:type="auto"/>
            <w:tcMar>
              <w:top w:w="91" w:type="dxa"/>
              <w:left w:w="113" w:type="dxa"/>
              <w:bottom w:w="91" w:type="dxa"/>
              <w:right w:w="113" w:type="dxa"/>
            </w:tcMar>
            <w:hideMark/>
          </w:tcPr>
          <w:p w14:paraId="4877503D"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1.09</w:t>
            </w:r>
          </w:p>
        </w:tc>
        <w:tc>
          <w:tcPr>
            <w:tcW w:w="0" w:type="auto"/>
            <w:tcMar>
              <w:top w:w="91" w:type="dxa"/>
              <w:left w:w="113" w:type="dxa"/>
              <w:bottom w:w="91" w:type="dxa"/>
              <w:right w:w="113" w:type="dxa"/>
            </w:tcMar>
            <w:hideMark/>
          </w:tcPr>
          <w:p w14:paraId="244E0BAE"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0.99</w:t>
            </w:r>
          </w:p>
        </w:tc>
        <w:tc>
          <w:tcPr>
            <w:tcW w:w="1305" w:type="dxa"/>
            <w:tcMar>
              <w:top w:w="91" w:type="dxa"/>
              <w:left w:w="113" w:type="dxa"/>
              <w:bottom w:w="91" w:type="dxa"/>
              <w:right w:w="113" w:type="dxa"/>
            </w:tcMar>
            <w:hideMark/>
          </w:tcPr>
          <w:p w14:paraId="6122CBAE" w14:textId="77777777" w:rsidR="003D78BD" w:rsidRPr="003D78BD" w:rsidRDefault="003D78BD" w:rsidP="003D78BD">
            <w:pPr>
              <w:jc w:val="center"/>
              <w:rPr>
                <w:rFonts w:ascii="Arial" w:hAnsi="Arial" w:cs="Arial"/>
                <w:color w:val="000000"/>
              </w:rPr>
            </w:pPr>
            <w:r w:rsidRPr="003D78BD">
              <w:rPr>
                <w:rFonts w:ascii="Arial" w:hAnsi="Arial" w:cs="Arial"/>
                <w:color w:val="000000"/>
              </w:rPr>
              <w:t>0.34</w:t>
            </w:r>
          </w:p>
        </w:tc>
      </w:tr>
      <w:tr w:rsidR="003D78BD" w:rsidRPr="00C95387" w14:paraId="02ED7368" w14:textId="77777777" w:rsidTr="003D78BD">
        <w:tc>
          <w:tcPr>
            <w:tcW w:w="0" w:type="auto"/>
            <w:tcMar>
              <w:top w:w="91" w:type="dxa"/>
              <w:left w:w="113" w:type="dxa"/>
              <w:bottom w:w="91" w:type="dxa"/>
              <w:right w:w="113" w:type="dxa"/>
            </w:tcMar>
            <w:hideMark/>
          </w:tcPr>
          <w:p w14:paraId="2A65CB51"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Carmen</w:t>
            </w:r>
          </w:p>
        </w:tc>
        <w:tc>
          <w:tcPr>
            <w:tcW w:w="0" w:type="auto"/>
            <w:tcMar>
              <w:top w:w="91" w:type="dxa"/>
              <w:left w:w="113" w:type="dxa"/>
              <w:bottom w:w="91" w:type="dxa"/>
              <w:right w:w="113" w:type="dxa"/>
            </w:tcMar>
            <w:hideMark/>
          </w:tcPr>
          <w:p w14:paraId="1E35A843"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3</w:t>
            </w:r>
          </w:p>
        </w:tc>
        <w:tc>
          <w:tcPr>
            <w:tcW w:w="0" w:type="auto"/>
            <w:tcMar>
              <w:top w:w="91" w:type="dxa"/>
              <w:left w:w="113" w:type="dxa"/>
              <w:bottom w:w="91" w:type="dxa"/>
              <w:right w:w="113" w:type="dxa"/>
            </w:tcMar>
            <w:hideMark/>
          </w:tcPr>
          <w:p w14:paraId="0B84D0E9"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33</w:t>
            </w:r>
          </w:p>
        </w:tc>
        <w:tc>
          <w:tcPr>
            <w:tcW w:w="0" w:type="auto"/>
            <w:tcMar>
              <w:top w:w="91" w:type="dxa"/>
              <w:left w:w="113" w:type="dxa"/>
              <w:bottom w:w="91" w:type="dxa"/>
              <w:right w:w="113" w:type="dxa"/>
            </w:tcMar>
            <w:hideMark/>
          </w:tcPr>
          <w:p w14:paraId="014F2176"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1.05</w:t>
            </w:r>
          </w:p>
        </w:tc>
        <w:tc>
          <w:tcPr>
            <w:tcW w:w="0" w:type="auto"/>
            <w:tcMar>
              <w:top w:w="91" w:type="dxa"/>
              <w:left w:w="113" w:type="dxa"/>
              <w:bottom w:w="91" w:type="dxa"/>
              <w:right w:w="113" w:type="dxa"/>
            </w:tcMar>
            <w:hideMark/>
          </w:tcPr>
          <w:p w14:paraId="53C362CA"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0.96</w:t>
            </w:r>
          </w:p>
        </w:tc>
        <w:tc>
          <w:tcPr>
            <w:tcW w:w="1305" w:type="dxa"/>
            <w:tcMar>
              <w:top w:w="91" w:type="dxa"/>
              <w:left w:w="113" w:type="dxa"/>
              <w:bottom w:w="91" w:type="dxa"/>
              <w:right w:w="113" w:type="dxa"/>
            </w:tcMar>
            <w:hideMark/>
          </w:tcPr>
          <w:p w14:paraId="09B1BEB2" w14:textId="77777777" w:rsidR="003D78BD" w:rsidRPr="003D78BD" w:rsidRDefault="003D78BD" w:rsidP="003D78BD">
            <w:pPr>
              <w:jc w:val="center"/>
              <w:rPr>
                <w:rFonts w:ascii="Arial" w:hAnsi="Arial" w:cs="Arial"/>
                <w:color w:val="000000"/>
              </w:rPr>
            </w:pPr>
            <w:r w:rsidRPr="003D78BD">
              <w:rPr>
                <w:rFonts w:ascii="Arial" w:hAnsi="Arial" w:cs="Arial"/>
                <w:color w:val="000000"/>
              </w:rPr>
              <w:t>0.34</w:t>
            </w:r>
          </w:p>
        </w:tc>
      </w:tr>
      <w:tr w:rsidR="003D78BD" w:rsidRPr="00C95387" w14:paraId="08A78009" w14:textId="77777777" w:rsidTr="003D78BD">
        <w:tc>
          <w:tcPr>
            <w:tcW w:w="0" w:type="auto"/>
            <w:tcMar>
              <w:top w:w="91" w:type="dxa"/>
              <w:left w:w="113" w:type="dxa"/>
              <w:bottom w:w="91" w:type="dxa"/>
              <w:right w:w="113" w:type="dxa"/>
            </w:tcMar>
            <w:hideMark/>
          </w:tcPr>
          <w:p w14:paraId="6A710DDB"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Cabolutan</w:t>
            </w:r>
          </w:p>
        </w:tc>
        <w:tc>
          <w:tcPr>
            <w:tcW w:w="0" w:type="auto"/>
            <w:tcMar>
              <w:top w:w="91" w:type="dxa"/>
              <w:left w:w="113" w:type="dxa"/>
              <w:bottom w:w="91" w:type="dxa"/>
              <w:right w:w="113" w:type="dxa"/>
            </w:tcMar>
            <w:hideMark/>
          </w:tcPr>
          <w:p w14:paraId="0E2D89CB"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2</w:t>
            </w:r>
          </w:p>
        </w:tc>
        <w:tc>
          <w:tcPr>
            <w:tcW w:w="0" w:type="auto"/>
            <w:tcMar>
              <w:top w:w="91" w:type="dxa"/>
              <w:left w:w="113" w:type="dxa"/>
              <w:bottom w:w="91" w:type="dxa"/>
              <w:right w:w="113" w:type="dxa"/>
            </w:tcMar>
            <w:hideMark/>
          </w:tcPr>
          <w:p w14:paraId="040BE533"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13</w:t>
            </w:r>
          </w:p>
        </w:tc>
        <w:tc>
          <w:tcPr>
            <w:tcW w:w="0" w:type="auto"/>
            <w:tcMar>
              <w:top w:w="91" w:type="dxa"/>
              <w:left w:w="113" w:type="dxa"/>
              <w:bottom w:w="91" w:type="dxa"/>
              <w:right w:w="113" w:type="dxa"/>
            </w:tcMar>
            <w:hideMark/>
          </w:tcPr>
          <w:p w14:paraId="57648EB2"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0.74</w:t>
            </w:r>
          </w:p>
        </w:tc>
        <w:tc>
          <w:tcPr>
            <w:tcW w:w="0" w:type="auto"/>
            <w:tcMar>
              <w:top w:w="91" w:type="dxa"/>
              <w:left w:w="113" w:type="dxa"/>
              <w:bottom w:w="91" w:type="dxa"/>
              <w:right w:w="113" w:type="dxa"/>
            </w:tcMar>
            <w:hideMark/>
          </w:tcPr>
          <w:p w14:paraId="47C33335"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0.67</w:t>
            </w:r>
          </w:p>
        </w:tc>
        <w:tc>
          <w:tcPr>
            <w:tcW w:w="1305" w:type="dxa"/>
            <w:tcMar>
              <w:top w:w="91" w:type="dxa"/>
              <w:left w:w="113" w:type="dxa"/>
              <w:bottom w:w="91" w:type="dxa"/>
              <w:right w:w="113" w:type="dxa"/>
            </w:tcMar>
            <w:hideMark/>
          </w:tcPr>
          <w:p w14:paraId="26904B5A" w14:textId="77777777" w:rsidR="003D78BD" w:rsidRPr="003D78BD" w:rsidRDefault="003D78BD" w:rsidP="003D78BD">
            <w:pPr>
              <w:jc w:val="center"/>
              <w:rPr>
                <w:rFonts w:ascii="Arial" w:hAnsi="Arial" w:cs="Arial"/>
                <w:color w:val="000000"/>
              </w:rPr>
            </w:pPr>
            <w:r w:rsidRPr="003D78BD">
              <w:rPr>
                <w:rFonts w:ascii="Arial" w:hAnsi="Arial" w:cs="Arial"/>
                <w:color w:val="000000"/>
              </w:rPr>
              <w:t>0.53</w:t>
            </w:r>
          </w:p>
        </w:tc>
      </w:tr>
      <w:tr w:rsidR="003D78BD" w:rsidRPr="00C95387" w14:paraId="590E2BEA" w14:textId="77777777" w:rsidTr="003D78BD">
        <w:tc>
          <w:tcPr>
            <w:tcW w:w="0" w:type="auto"/>
            <w:tcMar>
              <w:top w:w="91" w:type="dxa"/>
              <w:left w:w="113" w:type="dxa"/>
              <w:bottom w:w="91" w:type="dxa"/>
              <w:right w:w="113" w:type="dxa"/>
            </w:tcMar>
            <w:hideMark/>
          </w:tcPr>
          <w:p w14:paraId="1CE77F8F"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Cagboaya</w:t>
            </w:r>
          </w:p>
        </w:tc>
        <w:tc>
          <w:tcPr>
            <w:tcW w:w="0" w:type="auto"/>
            <w:tcMar>
              <w:top w:w="91" w:type="dxa"/>
              <w:left w:w="113" w:type="dxa"/>
              <w:bottom w:w="91" w:type="dxa"/>
              <w:right w:w="113" w:type="dxa"/>
            </w:tcMar>
            <w:hideMark/>
          </w:tcPr>
          <w:p w14:paraId="781563D1"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4</w:t>
            </w:r>
          </w:p>
        </w:tc>
        <w:tc>
          <w:tcPr>
            <w:tcW w:w="0" w:type="auto"/>
            <w:tcMar>
              <w:top w:w="91" w:type="dxa"/>
              <w:left w:w="113" w:type="dxa"/>
              <w:bottom w:w="91" w:type="dxa"/>
              <w:right w:w="113" w:type="dxa"/>
            </w:tcMar>
            <w:hideMark/>
          </w:tcPr>
          <w:p w14:paraId="67A34514"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53</w:t>
            </w:r>
          </w:p>
        </w:tc>
        <w:tc>
          <w:tcPr>
            <w:tcW w:w="0" w:type="auto"/>
            <w:tcMar>
              <w:top w:w="91" w:type="dxa"/>
              <w:left w:w="113" w:type="dxa"/>
              <w:bottom w:w="91" w:type="dxa"/>
              <w:right w:w="113" w:type="dxa"/>
            </w:tcMar>
            <w:hideMark/>
          </w:tcPr>
          <w:p w14:paraId="7D9E0FB7"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0.90</w:t>
            </w:r>
          </w:p>
        </w:tc>
        <w:tc>
          <w:tcPr>
            <w:tcW w:w="0" w:type="auto"/>
            <w:tcMar>
              <w:top w:w="91" w:type="dxa"/>
              <w:left w:w="113" w:type="dxa"/>
              <w:bottom w:w="91" w:type="dxa"/>
              <w:right w:w="113" w:type="dxa"/>
            </w:tcMar>
            <w:hideMark/>
          </w:tcPr>
          <w:p w14:paraId="33CDDE8F"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0.82</w:t>
            </w:r>
          </w:p>
        </w:tc>
        <w:tc>
          <w:tcPr>
            <w:tcW w:w="1305" w:type="dxa"/>
            <w:tcMar>
              <w:top w:w="91" w:type="dxa"/>
              <w:left w:w="113" w:type="dxa"/>
              <w:bottom w:w="91" w:type="dxa"/>
              <w:right w:w="113" w:type="dxa"/>
            </w:tcMar>
            <w:hideMark/>
          </w:tcPr>
          <w:p w14:paraId="7BDFF02F" w14:textId="77777777" w:rsidR="003D78BD" w:rsidRPr="003D78BD" w:rsidRDefault="003D78BD" w:rsidP="003D78BD">
            <w:pPr>
              <w:jc w:val="center"/>
              <w:rPr>
                <w:rFonts w:ascii="Arial" w:hAnsi="Arial" w:cs="Arial"/>
                <w:color w:val="000000"/>
              </w:rPr>
            </w:pPr>
            <w:r w:rsidRPr="003D78BD">
              <w:rPr>
                <w:rFonts w:ascii="Arial" w:hAnsi="Arial" w:cs="Arial"/>
                <w:color w:val="000000"/>
              </w:rPr>
              <w:t>0.34</w:t>
            </w:r>
          </w:p>
        </w:tc>
      </w:tr>
      <w:tr w:rsidR="003D78BD" w:rsidRPr="00C95387" w14:paraId="6984DA2C" w14:textId="77777777" w:rsidTr="003D78BD">
        <w:tc>
          <w:tcPr>
            <w:tcW w:w="0" w:type="auto"/>
            <w:tcMar>
              <w:top w:w="91" w:type="dxa"/>
              <w:left w:w="113" w:type="dxa"/>
              <w:bottom w:w="91" w:type="dxa"/>
              <w:right w:w="113" w:type="dxa"/>
            </w:tcMar>
            <w:hideMark/>
          </w:tcPr>
          <w:p w14:paraId="0FB79F21"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Poblacion</w:t>
            </w:r>
          </w:p>
        </w:tc>
        <w:tc>
          <w:tcPr>
            <w:tcW w:w="0" w:type="auto"/>
            <w:tcMar>
              <w:top w:w="91" w:type="dxa"/>
              <w:left w:w="113" w:type="dxa"/>
              <w:bottom w:w="91" w:type="dxa"/>
              <w:right w:w="113" w:type="dxa"/>
            </w:tcMar>
            <w:hideMark/>
          </w:tcPr>
          <w:p w14:paraId="126076C7"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4</w:t>
            </w:r>
          </w:p>
        </w:tc>
        <w:tc>
          <w:tcPr>
            <w:tcW w:w="0" w:type="auto"/>
            <w:tcMar>
              <w:top w:w="91" w:type="dxa"/>
              <w:left w:w="113" w:type="dxa"/>
              <w:bottom w:w="91" w:type="dxa"/>
              <w:right w:w="113" w:type="dxa"/>
            </w:tcMar>
            <w:hideMark/>
          </w:tcPr>
          <w:p w14:paraId="19B97634"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58</w:t>
            </w:r>
          </w:p>
        </w:tc>
        <w:tc>
          <w:tcPr>
            <w:tcW w:w="0" w:type="auto"/>
            <w:tcMar>
              <w:top w:w="91" w:type="dxa"/>
              <w:left w:w="113" w:type="dxa"/>
              <w:bottom w:w="91" w:type="dxa"/>
              <w:right w:w="113" w:type="dxa"/>
            </w:tcMar>
            <w:hideMark/>
          </w:tcPr>
          <w:p w14:paraId="7AF86E6C"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0.86</w:t>
            </w:r>
          </w:p>
        </w:tc>
        <w:tc>
          <w:tcPr>
            <w:tcW w:w="0" w:type="auto"/>
            <w:tcMar>
              <w:top w:w="91" w:type="dxa"/>
              <w:left w:w="113" w:type="dxa"/>
              <w:bottom w:w="91" w:type="dxa"/>
              <w:right w:w="113" w:type="dxa"/>
            </w:tcMar>
            <w:hideMark/>
          </w:tcPr>
          <w:p w14:paraId="27B114A8"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0.78</w:t>
            </w:r>
          </w:p>
        </w:tc>
        <w:tc>
          <w:tcPr>
            <w:tcW w:w="1305" w:type="dxa"/>
            <w:tcMar>
              <w:top w:w="91" w:type="dxa"/>
              <w:left w:w="113" w:type="dxa"/>
              <w:bottom w:w="91" w:type="dxa"/>
              <w:right w:w="113" w:type="dxa"/>
            </w:tcMar>
            <w:hideMark/>
          </w:tcPr>
          <w:p w14:paraId="4F722867" w14:textId="77777777" w:rsidR="003D78BD" w:rsidRPr="003D78BD" w:rsidRDefault="003D78BD" w:rsidP="003D78BD">
            <w:pPr>
              <w:jc w:val="center"/>
              <w:rPr>
                <w:rFonts w:ascii="Arial" w:hAnsi="Arial" w:cs="Arial"/>
                <w:color w:val="000000"/>
              </w:rPr>
            </w:pPr>
            <w:r w:rsidRPr="003D78BD">
              <w:rPr>
                <w:rFonts w:ascii="Arial" w:hAnsi="Arial" w:cs="Arial"/>
                <w:color w:val="000000"/>
              </w:rPr>
              <w:t>0.64</w:t>
            </w:r>
          </w:p>
        </w:tc>
      </w:tr>
      <w:tr w:rsidR="003D78BD" w:rsidRPr="00C95387" w14:paraId="15B217AC" w14:textId="77777777" w:rsidTr="003D78BD">
        <w:tc>
          <w:tcPr>
            <w:tcW w:w="0" w:type="auto"/>
            <w:tcMar>
              <w:top w:w="91" w:type="dxa"/>
              <w:left w:w="113" w:type="dxa"/>
              <w:bottom w:w="91" w:type="dxa"/>
              <w:right w:w="113" w:type="dxa"/>
            </w:tcMar>
            <w:hideMark/>
          </w:tcPr>
          <w:p w14:paraId="28B2B343"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Dubduban</w:t>
            </w:r>
          </w:p>
        </w:tc>
        <w:tc>
          <w:tcPr>
            <w:tcW w:w="0" w:type="auto"/>
            <w:tcMar>
              <w:top w:w="91" w:type="dxa"/>
              <w:left w:w="113" w:type="dxa"/>
              <w:bottom w:w="91" w:type="dxa"/>
              <w:right w:w="113" w:type="dxa"/>
            </w:tcMar>
            <w:hideMark/>
          </w:tcPr>
          <w:p w14:paraId="6A93CCAE"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3</w:t>
            </w:r>
          </w:p>
        </w:tc>
        <w:tc>
          <w:tcPr>
            <w:tcW w:w="0" w:type="auto"/>
            <w:tcMar>
              <w:top w:w="91" w:type="dxa"/>
              <w:left w:w="113" w:type="dxa"/>
              <w:bottom w:w="91" w:type="dxa"/>
              <w:right w:w="113" w:type="dxa"/>
            </w:tcMar>
            <w:hideMark/>
          </w:tcPr>
          <w:p w14:paraId="43202A05"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15</w:t>
            </w:r>
          </w:p>
        </w:tc>
        <w:tc>
          <w:tcPr>
            <w:tcW w:w="0" w:type="auto"/>
            <w:tcMar>
              <w:top w:w="91" w:type="dxa"/>
              <w:left w:w="113" w:type="dxa"/>
              <w:bottom w:w="91" w:type="dxa"/>
              <w:right w:w="113" w:type="dxa"/>
            </w:tcMar>
            <w:hideMark/>
          </w:tcPr>
          <w:p w14:paraId="43F8D07E"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0.90</w:t>
            </w:r>
          </w:p>
        </w:tc>
        <w:tc>
          <w:tcPr>
            <w:tcW w:w="0" w:type="auto"/>
            <w:tcMar>
              <w:top w:w="91" w:type="dxa"/>
              <w:left w:w="113" w:type="dxa"/>
              <w:bottom w:w="91" w:type="dxa"/>
              <w:right w:w="113" w:type="dxa"/>
            </w:tcMar>
            <w:hideMark/>
          </w:tcPr>
          <w:p w14:paraId="3B6340F9"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0.82</w:t>
            </w:r>
          </w:p>
        </w:tc>
        <w:tc>
          <w:tcPr>
            <w:tcW w:w="1305" w:type="dxa"/>
            <w:tcMar>
              <w:top w:w="91" w:type="dxa"/>
              <w:left w:w="113" w:type="dxa"/>
              <w:bottom w:w="91" w:type="dxa"/>
              <w:right w:w="113" w:type="dxa"/>
            </w:tcMar>
            <w:hideMark/>
          </w:tcPr>
          <w:p w14:paraId="69C06A12" w14:textId="77777777" w:rsidR="003D78BD" w:rsidRPr="003D78BD" w:rsidRDefault="003D78BD" w:rsidP="003D78BD">
            <w:pPr>
              <w:jc w:val="center"/>
              <w:rPr>
                <w:rFonts w:ascii="Arial" w:hAnsi="Arial" w:cs="Arial"/>
                <w:color w:val="000000"/>
              </w:rPr>
            </w:pPr>
            <w:r w:rsidRPr="003D78BD">
              <w:rPr>
                <w:rFonts w:ascii="Arial" w:hAnsi="Arial" w:cs="Arial"/>
                <w:color w:val="000000"/>
              </w:rPr>
              <w:t>0.27</w:t>
            </w:r>
          </w:p>
        </w:tc>
      </w:tr>
      <w:tr w:rsidR="003D78BD" w:rsidRPr="00C95387" w14:paraId="2FB3E433" w14:textId="77777777" w:rsidTr="003D78BD">
        <w:tc>
          <w:tcPr>
            <w:tcW w:w="0" w:type="auto"/>
            <w:tcMar>
              <w:top w:w="91" w:type="dxa"/>
              <w:left w:w="113" w:type="dxa"/>
              <w:bottom w:w="91" w:type="dxa"/>
              <w:right w:w="113" w:type="dxa"/>
            </w:tcMar>
            <w:hideMark/>
          </w:tcPr>
          <w:p w14:paraId="6C42E0DF"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Doña Juana</w:t>
            </w:r>
          </w:p>
        </w:tc>
        <w:tc>
          <w:tcPr>
            <w:tcW w:w="0" w:type="auto"/>
            <w:tcMar>
              <w:top w:w="91" w:type="dxa"/>
              <w:left w:w="113" w:type="dxa"/>
              <w:bottom w:w="91" w:type="dxa"/>
              <w:right w:w="113" w:type="dxa"/>
            </w:tcMar>
            <w:hideMark/>
          </w:tcPr>
          <w:p w14:paraId="5CB9BE7A"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3</w:t>
            </w:r>
          </w:p>
        </w:tc>
        <w:tc>
          <w:tcPr>
            <w:tcW w:w="0" w:type="auto"/>
            <w:tcMar>
              <w:top w:w="91" w:type="dxa"/>
              <w:left w:w="113" w:type="dxa"/>
              <w:bottom w:w="91" w:type="dxa"/>
              <w:right w:w="113" w:type="dxa"/>
            </w:tcMar>
            <w:hideMark/>
          </w:tcPr>
          <w:p w14:paraId="5CCD24B6"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24</w:t>
            </w:r>
          </w:p>
        </w:tc>
        <w:tc>
          <w:tcPr>
            <w:tcW w:w="0" w:type="auto"/>
            <w:tcMar>
              <w:top w:w="91" w:type="dxa"/>
              <w:left w:w="113" w:type="dxa"/>
              <w:bottom w:w="91" w:type="dxa"/>
              <w:right w:w="113" w:type="dxa"/>
            </w:tcMar>
            <w:hideMark/>
          </w:tcPr>
          <w:p w14:paraId="45064484"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1.09</w:t>
            </w:r>
          </w:p>
        </w:tc>
        <w:tc>
          <w:tcPr>
            <w:tcW w:w="0" w:type="auto"/>
            <w:tcMar>
              <w:top w:w="91" w:type="dxa"/>
              <w:left w:w="113" w:type="dxa"/>
              <w:bottom w:w="91" w:type="dxa"/>
              <w:right w:w="113" w:type="dxa"/>
            </w:tcMar>
            <w:hideMark/>
          </w:tcPr>
          <w:p w14:paraId="1C7F5319"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0.99</w:t>
            </w:r>
          </w:p>
        </w:tc>
        <w:tc>
          <w:tcPr>
            <w:tcW w:w="1305" w:type="dxa"/>
            <w:tcMar>
              <w:top w:w="91" w:type="dxa"/>
              <w:left w:w="113" w:type="dxa"/>
              <w:bottom w:w="91" w:type="dxa"/>
              <w:right w:w="113" w:type="dxa"/>
            </w:tcMar>
            <w:hideMark/>
          </w:tcPr>
          <w:p w14:paraId="5BA3A313" w14:textId="77777777" w:rsidR="003D78BD" w:rsidRPr="003D78BD" w:rsidRDefault="003D78BD" w:rsidP="003D78BD">
            <w:pPr>
              <w:jc w:val="center"/>
              <w:rPr>
                <w:rFonts w:ascii="Arial" w:hAnsi="Arial" w:cs="Arial"/>
                <w:color w:val="000000"/>
              </w:rPr>
            </w:pPr>
            <w:r w:rsidRPr="003D78BD">
              <w:rPr>
                <w:rFonts w:ascii="Arial" w:hAnsi="Arial" w:cs="Arial"/>
                <w:color w:val="000000"/>
              </w:rPr>
              <w:t>0.63</w:t>
            </w:r>
          </w:p>
        </w:tc>
      </w:tr>
      <w:tr w:rsidR="003D78BD" w:rsidRPr="00C95387" w14:paraId="51954971" w14:textId="77777777" w:rsidTr="003D78BD">
        <w:tc>
          <w:tcPr>
            <w:tcW w:w="0" w:type="auto"/>
            <w:tcMar>
              <w:top w:w="91" w:type="dxa"/>
              <w:left w:w="113" w:type="dxa"/>
              <w:bottom w:w="91" w:type="dxa"/>
              <w:right w:w="113" w:type="dxa"/>
            </w:tcMar>
            <w:hideMark/>
          </w:tcPr>
          <w:p w14:paraId="23463944"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Binongaan</w:t>
            </w:r>
          </w:p>
        </w:tc>
        <w:tc>
          <w:tcPr>
            <w:tcW w:w="0" w:type="auto"/>
            <w:tcMar>
              <w:top w:w="91" w:type="dxa"/>
              <w:left w:w="113" w:type="dxa"/>
              <w:bottom w:w="91" w:type="dxa"/>
              <w:right w:w="113" w:type="dxa"/>
            </w:tcMar>
            <w:hideMark/>
          </w:tcPr>
          <w:p w14:paraId="580FBD25"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4</w:t>
            </w:r>
          </w:p>
        </w:tc>
        <w:tc>
          <w:tcPr>
            <w:tcW w:w="0" w:type="auto"/>
            <w:tcMar>
              <w:top w:w="91" w:type="dxa"/>
              <w:left w:w="113" w:type="dxa"/>
              <w:bottom w:w="91" w:type="dxa"/>
              <w:right w:w="113" w:type="dxa"/>
            </w:tcMar>
            <w:hideMark/>
          </w:tcPr>
          <w:p w14:paraId="6ED80D4E"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47</w:t>
            </w:r>
          </w:p>
        </w:tc>
        <w:tc>
          <w:tcPr>
            <w:tcW w:w="0" w:type="auto"/>
            <w:tcMar>
              <w:top w:w="91" w:type="dxa"/>
              <w:left w:w="113" w:type="dxa"/>
              <w:bottom w:w="91" w:type="dxa"/>
              <w:right w:w="113" w:type="dxa"/>
            </w:tcMar>
            <w:hideMark/>
          </w:tcPr>
          <w:p w14:paraId="71835382"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0.94</w:t>
            </w:r>
          </w:p>
        </w:tc>
        <w:tc>
          <w:tcPr>
            <w:tcW w:w="0" w:type="auto"/>
            <w:tcMar>
              <w:top w:w="91" w:type="dxa"/>
              <w:left w:w="113" w:type="dxa"/>
              <w:bottom w:w="91" w:type="dxa"/>
              <w:right w:w="113" w:type="dxa"/>
            </w:tcMar>
            <w:hideMark/>
          </w:tcPr>
          <w:p w14:paraId="56278AE6"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0.86</w:t>
            </w:r>
          </w:p>
        </w:tc>
        <w:tc>
          <w:tcPr>
            <w:tcW w:w="1305" w:type="dxa"/>
            <w:tcMar>
              <w:top w:w="91" w:type="dxa"/>
              <w:left w:w="113" w:type="dxa"/>
              <w:bottom w:w="91" w:type="dxa"/>
              <w:right w:w="113" w:type="dxa"/>
            </w:tcMar>
            <w:hideMark/>
          </w:tcPr>
          <w:p w14:paraId="46089051" w14:textId="77777777" w:rsidR="003D78BD" w:rsidRPr="003D78BD" w:rsidRDefault="003D78BD" w:rsidP="003D78BD">
            <w:pPr>
              <w:jc w:val="center"/>
              <w:rPr>
                <w:rFonts w:ascii="Arial" w:hAnsi="Arial" w:cs="Arial"/>
                <w:color w:val="000000"/>
              </w:rPr>
            </w:pPr>
            <w:r w:rsidRPr="003D78BD">
              <w:rPr>
                <w:rFonts w:ascii="Arial" w:hAnsi="Arial" w:cs="Arial"/>
                <w:color w:val="000000"/>
              </w:rPr>
              <w:t>0.31</w:t>
            </w:r>
          </w:p>
        </w:tc>
      </w:tr>
      <w:tr w:rsidR="003D78BD" w:rsidRPr="00C95387" w14:paraId="2FE80CE8" w14:textId="77777777" w:rsidTr="003D78BD">
        <w:tc>
          <w:tcPr>
            <w:tcW w:w="0" w:type="auto"/>
            <w:tcMar>
              <w:top w:w="91" w:type="dxa"/>
              <w:left w:w="113" w:type="dxa"/>
              <w:bottom w:w="91" w:type="dxa"/>
              <w:right w:w="113" w:type="dxa"/>
            </w:tcMar>
            <w:hideMark/>
          </w:tcPr>
          <w:p w14:paraId="672F61F8"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Lusong</w:t>
            </w:r>
          </w:p>
        </w:tc>
        <w:tc>
          <w:tcPr>
            <w:tcW w:w="0" w:type="auto"/>
            <w:tcMar>
              <w:top w:w="91" w:type="dxa"/>
              <w:left w:w="113" w:type="dxa"/>
              <w:bottom w:w="91" w:type="dxa"/>
              <w:right w:w="113" w:type="dxa"/>
            </w:tcMar>
            <w:hideMark/>
          </w:tcPr>
          <w:p w14:paraId="1FCE52D8"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3</w:t>
            </w:r>
          </w:p>
        </w:tc>
        <w:tc>
          <w:tcPr>
            <w:tcW w:w="0" w:type="auto"/>
            <w:tcMar>
              <w:top w:w="91" w:type="dxa"/>
              <w:left w:w="113" w:type="dxa"/>
              <w:bottom w:w="91" w:type="dxa"/>
              <w:right w:w="113" w:type="dxa"/>
            </w:tcMar>
            <w:hideMark/>
          </w:tcPr>
          <w:p w14:paraId="494CE396"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27</w:t>
            </w:r>
          </w:p>
        </w:tc>
        <w:tc>
          <w:tcPr>
            <w:tcW w:w="0" w:type="auto"/>
            <w:tcMar>
              <w:top w:w="91" w:type="dxa"/>
              <w:left w:w="113" w:type="dxa"/>
              <w:bottom w:w="91" w:type="dxa"/>
              <w:right w:w="113" w:type="dxa"/>
            </w:tcMar>
            <w:hideMark/>
          </w:tcPr>
          <w:p w14:paraId="25C3D766"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1.09</w:t>
            </w:r>
          </w:p>
        </w:tc>
        <w:tc>
          <w:tcPr>
            <w:tcW w:w="0" w:type="auto"/>
            <w:tcMar>
              <w:top w:w="91" w:type="dxa"/>
              <w:left w:w="113" w:type="dxa"/>
              <w:bottom w:w="91" w:type="dxa"/>
              <w:right w:w="113" w:type="dxa"/>
            </w:tcMar>
            <w:hideMark/>
          </w:tcPr>
          <w:p w14:paraId="652B18BA"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0.99</w:t>
            </w:r>
          </w:p>
        </w:tc>
        <w:tc>
          <w:tcPr>
            <w:tcW w:w="1305" w:type="dxa"/>
            <w:tcMar>
              <w:top w:w="91" w:type="dxa"/>
              <w:left w:w="113" w:type="dxa"/>
              <w:bottom w:w="91" w:type="dxa"/>
              <w:right w:w="113" w:type="dxa"/>
            </w:tcMar>
            <w:hideMark/>
          </w:tcPr>
          <w:p w14:paraId="41608C02" w14:textId="77777777" w:rsidR="003D78BD" w:rsidRPr="003D78BD" w:rsidRDefault="003D78BD" w:rsidP="003D78BD">
            <w:pPr>
              <w:jc w:val="center"/>
              <w:rPr>
                <w:rFonts w:ascii="Arial" w:hAnsi="Arial" w:cs="Arial"/>
                <w:color w:val="000000"/>
              </w:rPr>
            </w:pPr>
            <w:r w:rsidRPr="003D78BD">
              <w:rPr>
                <w:rFonts w:ascii="Arial" w:hAnsi="Arial" w:cs="Arial"/>
                <w:color w:val="000000"/>
              </w:rPr>
              <w:t>0.34</w:t>
            </w:r>
          </w:p>
        </w:tc>
      </w:tr>
      <w:tr w:rsidR="003D78BD" w:rsidRPr="00C95387" w14:paraId="62A38142" w14:textId="77777777" w:rsidTr="003D78BD">
        <w:tc>
          <w:tcPr>
            <w:tcW w:w="0" w:type="auto"/>
            <w:tcMar>
              <w:top w:w="91" w:type="dxa"/>
              <w:left w:w="113" w:type="dxa"/>
              <w:bottom w:w="91" w:type="dxa"/>
              <w:right w:w="113" w:type="dxa"/>
            </w:tcMar>
            <w:hideMark/>
          </w:tcPr>
          <w:p w14:paraId="7443F47F"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Hinugusan</w:t>
            </w:r>
          </w:p>
        </w:tc>
        <w:tc>
          <w:tcPr>
            <w:tcW w:w="0" w:type="auto"/>
            <w:tcMar>
              <w:top w:w="91" w:type="dxa"/>
              <w:left w:w="113" w:type="dxa"/>
              <w:bottom w:w="91" w:type="dxa"/>
              <w:right w:w="113" w:type="dxa"/>
            </w:tcMar>
            <w:hideMark/>
          </w:tcPr>
          <w:p w14:paraId="6E07B2A1"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3</w:t>
            </w:r>
          </w:p>
        </w:tc>
        <w:tc>
          <w:tcPr>
            <w:tcW w:w="0" w:type="auto"/>
            <w:tcMar>
              <w:top w:w="91" w:type="dxa"/>
              <w:left w:w="113" w:type="dxa"/>
              <w:bottom w:w="91" w:type="dxa"/>
              <w:right w:w="113" w:type="dxa"/>
            </w:tcMar>
            <w:hideMark/>
          </w:tcPr>
          <w:p w14:paraId="385CCC7D"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26</w:t>
            </w:r>
          </w:p>
        </w:tc>
        <w:tc>
          <w:tcPr>
            <w:tcW w:w="0" w:type="auto"/>
            <w:tcMar>
              <w:top w:w="91" w:type="dxa"/>
              <w:left w:w="113" w:type="dxa"/>
              <w:bottom w:w="91" w:type="dxa"/>
              <w:right w:w="113" w:type="dxa"/>
            </w:tcMar>
            <w:hideMark/>
          </w:tcPr>
          <w:p w14:paraId="5B1DB6F1"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1.09</w:t>
            </w:r>
          </w:p>
        </w:tc>
        <w:tc>
          <w:tcPr>
            <w:tcW w:w="0" w:type="auto"/>
            <w:tcMar>
              <w:top w:w="91" w:type="dxa"/>
              <w:left w:w="113" w:type="dxa"/>
              <w:bottom w:w="91" w:type="dxa"/>
              <w:right w:w="113" w:type="dxa"/>
            </w:tcMar>
            <w:hideMark/>
          </w:tcPr>
          <w:p w14:paraId="1E002C18"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0.99</w:t>
            </w:r>
          </w:p>
        </w:tc>
        <w:tc>
          <w:tcPr>
            <w:tcW w:w="1305" w:type="dxa"/>
            <w:tcMar>
              <w:top w:w="91" w:type="dxa"/>
              <w:left w:w="113" w:type="dxa"/>
              <w:bottom w:w="91" w:type="dxa"/>
              <w:right w:w="113" w:type="dxa"/>
            </w:tcMar>
            <w:hideMark/>
          </w:tcPr>
          <w:p w14:paraId="07A867D1" w14:textId="77777777" w:rsidR="003D78BD" w:rsidRPr="003D78BD" w:rsidRDefault="003D78BD" w:rsidP="003D78BD">
            <w:pPr>
              <w:jc w:val="center"/>
              <w:rPr>
                <w:rFonts w:ascii="Arial" w:hAnsi="Arial" w:cs="Arial"/>
                <w:color w:val="000000"/>
              </w:rPr>
            </w:pPr>
            <w:r w:rsidRPr="003D78BD">
              <w:rPr>
                <w:rFonts w:ascii="Arial" w:hAnsi="Arial" w:cs="Arial"/>
                <w:color w:val="000000"/>
              </w:rPr>
              <w:t>0.33</w:t>
            </w:r>
          </w:p>
        </w:tc>
      </w:tr>
      <w:tr w:rsidR="003D78BD" w:rsidRPr="00C95387" w14:paraId="0C4F2A8F" w14:textId="77777777" w:rsidTr="003D78BD">
        <w:tc>
          <w:tcPr>
            <w:tcW w:w="0" w:type="auto"/>
            <w:tcBorders>
              <w:bottom w:val="single" w:sz="2" w:space="0" w:color="auto"/>
            </w:tcBorders>
            <w:tcMar>
              <w:top w:w="91" w:type="dxa"/>
              <w:left w:w="113" w:type="dxa"/>
              <w:bottom w:w="91" w:type="dxa"/>
              <w:right w:w="113" w:type="dxa"/>
            </w:tcMar>
            <w:hideMark/>
          </w:tcPr>
          <w:p w14:paraId="35A2B3FE" w14:textId="77777777" w:rsidR="003D78BD" w:rsidRPr="00C95387" w:rsidRDefault="003D78BD" w:rsidP="003D78BD">
            <w:pPr>
              <w:rPr>
                <w:rFonts w:ascii="Arial" w:hAnsi="Arial" w:cs="Arial"/>
                <w:color w:val="1A1A1A"/>
                <w:lang w:val="en-PH"/>
              </w:rPr>
            </w:pPr>
            <w:r w:rsidRPr="00C95387">
              <w:rPr>
                <w:rFonts w:ascii="Arial" w:hAnsi="Arial" w:cs="Arial"/>
                <w:b/>
                <w:bCs/>
                <w:color w:val="1A1A1A"/>
                <w:lang w:val="en-PH"/>
              </w:rPr>
              <w:t>Pooled (n = 12 sites)</w:t>
            </w:r>
          </w:p>
        </w:tc>
        <w:tc>
          <w:tcPr>
            <w:tcW w:w="0" w:type="auto"/>
            <w:tcBorders>
              <w:bottom w:val="single" w:sz="2" w:space="0" w:color="auto"/>
            </w:tcBorders>
            <w:tcMar>
              <w:top w:w="91" w:type="dxa"/>
              <w:left w:w="113" w:type="dxa"/>
              <w:bottom w:w="91" w:type="dxa"/>
              <w:right w:w="113" w:type="dxa"/>
            </w:tcMar>
            <w:hideMark/>
          </w:tcPr>
          <w:p w14:paraId="3DDFEA25" w14:textId="77777777" w:rsidR="003D78BD" w:rsidRPr="00C95387" w:rsidRDefault="003D78BD" w:rsidP="003D78BD">
            <w:pPr>
              <w:jc w:val="center"/>
              <w:rPr>
                <w:rFonts w:ascii="Arial" w:hAnsi="Arial" w:cs="Arial"/>
                <w:color w:val="1A1A1A"/>
                <w:lang w:val="en-PH"/>
              </w:rPr>
            </w:pPr>
            <w:r w:rsidRPr="00C95387">
              <w:rPr>
                <w:rFonts w:ascii="Arial" w:hAnsi="Arial" w:cs="Arial"/>
                <w:b/>
                <w:bCs/>
                <w:color w:val="1A1A1A"/>
                <w:lang w:val="en-PH"/>
              </w:rPr>
              <w:t>6</w:t>
            </w:r>
          </w:p>
        </w:tc>
        <w:tc>
          <w:tcPr>
            <w:tcW w:w="0" w:type="auto"/>
            <w:tcBorders>
              <w:bottom w:val="single" w:sz="2" w:space="0" w:color="auto"/>
            </w:tcBorders>
            <w:tcMar>
              <w:top w:w="91" w:type="dxa"/>
              <w:left w:w="113" w:type="dxa"/>
              <w:bottom w:w="91" w:type="dxa"/>
              <w:right w:w="113" w:type="dxa"/>
            </w:tcMar>
            <w:hideMark/>
          </w:tcPr>
          <w:p w14:paraId="5226633C" w14:textId="77777777" w:rsidR="003D78BD" w:rsidRPr="00C95387" w:rsidRDefault="003D78BD" w:rsidP="003D78BD">
            <w:pPr>
              <w:jc w:val="center"/>
              <w:rPr>
                <w:rFonts w:ascii="Arial" w:hAnsi="Arial" w:cs="Arial"/>
                <w:color w:val="1A1A1A"/>
                <w:lang w:val="en-PH"/>
              </w:rPr>
            </w:pPr>
            <w:r w:rsidRPr="00C95387">
              <w:rPr>
                <w:rFonts w:ascii="Arial" w:hAnsi="Arial" w:cs="Arial"/>
                <w:b/>
                <w:bCs/>
                <w:color w:val="1A1A1A"/>
                <w:lang w:val="en-PH"/>
              </w:rPr>
              <w:t>442</w:t>
            </w:r>
          </w:p>
        </w:tc>
        <w:tc>
          <w:tcPr>
            <w:tcW w:w="0" w:type="auto"/>
            <w:tcBorders>
              <w:bottom w:val="single" w:sz="2" w:space="0" w:color="auto"/>
            </w:tcBorders>
            <w:tcMar>
              <w:top w:w="91" w:type="dxa"/>
              <w:left w:w="113" w:type="dxa"/>
              <w:bottom w:w="91" w:type="dxa"/>
              <w:right w:w="113" w:type="dxa"/>
            </w:tcMar>
            <w:hideMark/>
          </w:tcPr>
          <w:p w14:paraId="25B9CDD0" w14:textId="77777777" w:rsidR="003D78BD" w:rsidRPr="00C95387" w:rsidRDefault="003D78BD" w:rsidP="003D78BD">
            <w:pPr>
              <w:jc w:val="center"/>
              <w:rPr>
                <w:rFonts w:ascii="Arial" w:hAnsi="Arial" w:cs="Arial"/>
                <w:color w:val="1A1A1A"/>
                <w:lang w:val="en-PH"/>
              </w:rPr>
            </w:pPr>
            <w:r w:rsidRPr="00C95387">
              <w:rPr>
                <w:rFonts w:ascii="Arial" w:hAnsi="Arial" w:cs="Arial"/>
                <w:b/>
                <w:bCs/>
                <w:color w:val="1A1A1A"/>
                <w:lang w:val="en-PH"/>
              </w:rPr>
              <w:t>0.24</w:t>
            </w:r>
          </w:p>
        </w:tc>
        <w:tc>
          <w:tcPr>
            <w:tcW w:w="0" w:type="auto"/>
            <w:tcBorders>
              <w:bottom w:val="single" w:sz="2" w:space="0" w:color="auto"/>
            </w:tcBorders>
            <w:tcMar>
              <w:top w:w="91" w:type="dxa"/>
              <w:left w:w="113" w:type="dxa"/>
              <w:bottom w:w="91" w:type="dxa"/>
              <w:right w:w="113" w:type="dxa"/>
            </w:tcMar>
            <w:hideMark/>
          </w:tcPr>
          <w:p w14:paraId="6419764F" w14:textId="77777777" w:rsidR="003D78BD" w:rsidRPr="00C95387" w:rsidRDefault="003D78BD" w:rsidP="003D78BD">
            <w:pPr>
              <w:jc w:val="center"/>
              <w:rPr>
                <w:rFonts w:ascii="Arial" w:hAnsi="Arial" w:cs="Arial"/>
                <w:color w:val="1A1A1A"/>
                <w:lang w:val="en-PH"/>
              </w:rPr>
            </w:pPr>
            <w:r w:rsidRPr="00C95387">
              <w:rPr>
                <w:rFonts w:ascii="Arial" w:hAnsi="Arial" w:cs="Arial"/>
                <w:b/>
                <w:bCs/>
                <w:color w:val="1A1A1A"/>
                <w:lang w:val="en-PH"/>
              </w:rPr>
              <w:t>0.22</w:t>
            </w:r>
          </w:p>
        </w:tc>
        <w:tc>
          <w:tcPr>
            <w:tcW w:w="1305" w:type="dxa"/>
            <w:tcBorders>
              <w:bottom w:val="single" w:sz="2" w:space="0" w:color="auto"/>
            </w:tcBorders>
            <w:tcMar>
              <w:top w:w="91" w:type="dxa"/>
              <w:left w:w="113" w:type="dxa"/>
              <w:bottom w:w="91" w:type="dxa"/>
              <w:right w:w="113" w:type="dxa"/>
            </w:tcMar>
            <w:hideMark/>
          </w:tcPr>
          <w:p w14:paraId="3FDC950F" w14:textId="77777777" w:rsidR="003D78BD" w:rsidRPr="003D78BD" w:rsidRDefault="003D78BD" w:rsidP="003D78BD">
            <w:pPr>
              <w:jc w:val="center"/>
              <w:rPr>
                <w:rFonts w:ascii="Arial" w:hAnsi="Arial" w:cs="Arial"/>
                <w:color w:val="000000"/>
              </w:rPr>
            </w:pPr>
            <w:r w:rsidRPr="003D78BD">
              <w:rPr>
                <w:rFonts w:ascii="Arial" w:hAnsi="Arial" w:cs="Arial"/>
                <w:color w:val="000000"/>
              </w:rPr>
              <w:t>0.27</w:t>
            </w:r>
          </w:p>
        </w:tc>
      </w:tr>
    </w:tbl>
    <w:p w14:paraId="542055B6" w14:textId="77777777" w:rsidR="00C95387" w:rsidRDefault="00C95387" w:rsidP="00C95387">
      <w:pPr>
        <w:pStyle w:val="Body"/>
        <w:spacing w:after="0"/>
        <w:rPr>
          <w:rFonts w:ascii="Arial" w:hAnsi="Arial" w:cs="Arial"/>
        </w:rPr>
      </w:pPr>
    </w:p>
    <w:p w14:paraId="778515EF" w14:textId="77777777" w:rsidR="009F7C33" w:rsidRPr="009F7C33" w:rsidRDefault="009F7C33" w:rsidP="009F7C33">
      <w:pPr>
        <w:pStyle w:val="Body"/>
        <w:rPr>
          <w:rFonts w:ascii="Arial" w:hAnsi="Arial" w:cs="Arial"/>
          <w:b/>
          <w:bCs/>
        </w:rPr>
      </w:pPr>
      <w:r w:rsidRPr="009F7C33">
        <w:rPr>
          <w:rFonts w:ascii="Arial" w:hAnsi="Arial" w:cs="Arial"/>
          <w:b/>
          <w:bCs/>
        </w:rPr>
        <w:t>4.1.3 Abundance</w:t>
      </w:r>
      <w:r w:rsidR="00745BD6">
        <w:rPr>
          <w:rFonts w:ascii="Arial" w:hAnsi="Arial" w:cs="Arial"/>
          <w:b/>
          <w:bCs/>
        </w:rPr>
        <w:t>, Density,</w:t>
      </w:r>
      <w:r w:rsidRPr="009F7C33">
        <w:rPr>
          <w:rFonts w:ascii="Arial" w:hAnsi="Arial" w:cs="Arial"/>
          <w:b/>
          <w:bCs/>
        </w:rPr>
        <w:t xml:space="preserve"> and Spatial Distribution</w:t>
      </w:r>
    </w:p>
    <w:p w14:paraId="47A76477" w14:textId="77777777" w:rsidR="00C95387" w:rsidRDefault="009F7C33" w:rsidP="009F7C33">
      <w:pPr>
        <w:pStyle w:val="Body"/>
        <w:spacing w:after="0"/>
        <w:rPr>
          <w:rFonts w:ascii="Arial" w:hAnsi="Arial" w:cs="Arial"/>
        </w:rPr>
      </w:pPr>
      <w:r w:rsidRPr="009F7C33">
        <w:rPr>
          <w:rFonts w:ascii="Arial" w:hAnsi="Arial" w:cs="Arial"/>
        </w:rPr>
        <w:t xml:space="preserve">A total of 442 individuals were recorded across the 12 sampling sites. The most numerically abundant species across the study area was </w:t>
      </w:r>
      <w:r w:rsidRPr="002B4F0F">
        <w:rPr>
          <w:rFonts w:ascii="Arial" w:hAnsi="Arial" w:cs="Arial"/>
          <w:i/>
          <w:iCs/>
        </w:rPr>
        <w:t>Tripneustes gratilla</w:t>
      </w:r>
      <w:r w:rsidRPr="009F7C33">
        <w:rPr>
          <w:rFonts w:ascii="Arial" w:hAnsi="Arial" w:cs="Arial"/>
        </w:rPr>
        <w:t xml:space="preserve">, present at all sites; </w:t>
      </w:r>
      <w:r w:rsidRPr="002B4F0F">
        <w:rPr>
          <w:rFonts w:ascii="Arial" w:hAnsi="Arial" w:cs="Arial"/>
          <w:i/>
          <w:iCs/>
        </w:rPr>
        <w:t>Diadema setosum</w:t>
      </w:r>
      <w:r w:rsidRPr="009F7C33">
        <w:rPr>
          <w:rFonts w:ascii="Arial" w:hAnsi="Arial" w:cs="Arial"/>
        </w:rPr>
        <w:t xml:space="preserve"> was the second most widespread species and was present at 11 of 12 sites, absent only from Poblacion (Table</w:t>
      </w:r>
      <w:r w:rsidR="00745BD6">
        <w:rPr>
          <w:rFonts w:ascii="Arial" w:hAnsi="Arial" w:cs="Arial"/>
        </w:rPr>
        <w:t xml:space="preserve"> 2</w:t>
      </w:r>
      <w:r w:rsidRPr="009F7C33">
        <w:rPr>
          <w:rFonts w:ascii="Arial" w:hAnsi="Arial" w:cs="Arial"/>
        </w:rPr>
        <w:t xml:space="preserve">). Long Beach supported the highest count of individuals (n = 97), followed by Poblacion (n = 58), Cagboaya (n = 53) and Binongaan (n = 47), while Cabolutan recorded the fewest individuals (n = 13). The site-level composition varied considerably: at Long Beach all six species were co-recorded in the same habitat, whereas at Cabolutan only </w:t>
      </w:r>
      <w:r w:rsidRPr="002B4F0F">
        <w:rPr>
          <w:rFonts w:ascii="Arial" w:hAnsi="Arial" w:cs="Arial"/>
          <w:i/>
          <w:iCs/>
        </w:rPr>
        <w:t>D. setosum</w:t>
      </w:r>
      <w:r w:rsidRPr="009F7C33">
        <w:rPr>
          <w:rFonts w:ascii="Arial" w:hAnsi="Arial" w:cs="Arial"/>
        </w:rPr>
        <w:t xml:space="preserve"> and </w:t>
      </w:r>
      <w:r w:rsidRPr="002B4F0F">
        <w:rPr>
          <w:rFonts w:ascii="Arial" w:hAnsi="Arial" w:cs="Arial"/>
          <w:i/>
          <w:iCs/>
        </w:rPr>
        <w:t>T. gratilla</w:t>
      </w:r>
      <w:r w:rsidRPr="009F7C33">
        <w:rPr>
          <w:rFonts w:ascii="Arial" w:hAnsi="Arial" w:cs="Arial"/>
        </w:rPr>
        <w:t xml:space="preserve"> were found. </w:t>
      </w:r>
      <w:r w:rsidRPr="002B4F0F">
        <w:rPr>
          <w:rFonts w:ascii="Arial" w:hAnsi="Arial" w:cs="Arial"/>
          <w:i/>
          <w:iCs/>
        </w:rPr>
        <w:t>Echinothrix calamaris</w:t>
      </w:r>
      <w:r w:rsidRPr="009F7C33">
        <w:rPr>
          <w:rFonts w:ascii="Arial" w:hAnsi="Arial" w:cs="Arial"/>
        </w:rPr>
        <w:t xml:space="preserve"> was a single-site specialist, recorded only at Long Beach (Table </w:t>
      </w:r>
      <w:r>
        <w:rPr>
          <w:rFonts w:ascii="Arial" w:hAnsi="Arial" w:cs="Arial"/>
        </w:rPr>
        <w:t>2</w:t>
      </w:r>
      <w:r w:rsidRPr="009F7C33">
        <w:rPr>
          <w:rFonts w:ascii="Arial" w:hAnsi="Arial" w:cs="Arial"/>
        </w:rPr>
        <w:t>).</w:t>
      </w:r>
      <w:r w:rsidR="00745BD6">
        <w:rPr>
          <w:rFonts w:ascii="Arial" w:hAnsi="Arial" w:cs="Arial"/>
        </w:rPr>
        <w:t xml:space="preserve"> </w:t>
      </w:r>
    </w:p>
    <w:p w14:paraId="7BC5FFC5" w14:textId="77777777" w:rsidR="009F7C33" w:rsidRDefault="009F7C33" w:rsidP="009F7C33">
      <w:pPr>
        <w:pStyle w:val="Body"/>
        <w:spacing w:after="0"/>
        <w:rPr>
          <w:rFonts w:ascii="Arial" w:hAnsi="Arial" w:cs="Arial"/>
        </w:rPr>
      </w:pPr>
    </w:p>
    <w:p w14:paraId="75F220E6" w14:textId="77777777" w:rsidR="00745BD6" w:rsidRPr="00745BD6" w:rsidRDefault="00745BD6" w:rsidP="00745BD6">
      <w:pPr>
        <w:pStyle w:val="Body"/>
        <w:rPr>
          <w:rFonts w:ascii="Arial" w:hAnsi="Arial" w:cs="Arial"/>
        </w:rPr>
      </w:pPr>
      <w:r w:rsidRPr="00745BD6">
        <w:rPr>
          <w:rFonts w:ascii="Arial" w:hAnsi="Arial" w:cs="Arial"/>
        </w:rPr>
        <w:t xml:space="preserve">Sea urchin density varied considerably among the 12 sampling sites, indicating spatial differences in species distribution and abundance. Among all locations, Long Beach recorded the highest overall sea urchin density and was the only site where all six species were observed. This site was mainly characterized by high densities of </w:t>
      </w:r>
      <w:r w:rsidRPr="002B4F0F">
        <w:rPr>
          <w:rFonts w:ascii="Arial" w:hAnsi="Arial" w:cs="Arial"/>
          <w:i/>
          <w:iCs/>
        </w:rPr>
        <w:t>D</w:t>
      </w:r>
      <w:r w:rsidR="002B4F0F" w:rsidRPr="002B4F0F">
        <w:rPr>
          <w:rFonts w:ascii="Arial" w:hAnsi="Arial" w:cs="Arial"/>
          <w:i/>
          <w:iCs/>
        </w:rPr>
        <w:t xml:space="preserve">. </w:t>
      </w:r>
      <w:r w:rsidRPr="002B4F0F">
        <w:rPr>
          <w:rFonts w:ascii="Arial" w:hAnsi="Arial" w:cs="Arial"/>
          <w:i/>
          <w:iCs/>
        </w:rPr>
        <w:t>setosum</w:t>
      </w:r>
      <w:r w:rsidRPr="00745BD6">
        <w:rPr>
          <w:rFonts w:ascii="Arial" w:hAnsi="Arial" w:cs="Arial"/>
        </w:rPr>
        <w:t xml:space="preserve"> (113 ind. ha</w:t>
      </w:r>
      <w:r w:rsidRPr="00745BD6">
        <w:rPr>
          <w:rFonts w:ascii="Cambria Math" w:hAnsi="Cambria Math" w:cs="Cambria Math"/>
        </w:rPr>
        <w:t>⁻</w:t>
      </w:r>
      <w:r w:rsidRPr="00745BD6">
        <w:rPr>
          <w:rFonts w:ascii="Arial" w:hAnsi="Arial" w:cs="Arial"/>
        </w:rPr>
        <w:t xml:space="preserve">¹), </w:t>
      </w:r>
      <w:r w:rsidRPr="002B4F0F">
        <w:rPr>
          <w:rFonts w:ascii="Arial" w:hAnsi="Arial" w:cs="Arial"/>
          <w:i/>
          <w:iCs/>
        </w:rPr>
        <w:t>E</w:t>
      </w:r>
      <w:r w:rsidR="002B4F0F" w:rsidRPr="002B4F0F">
        <w:rPr>
          <w:rFonts w:ascii="Arial" w:hAnsi="Arial" w:cs="Arial"/>
          <w:i/>
          <w:iCs/>
        </w:rPr>
        <w:t>.</w:t>
      </w:r>
      <w:r w:rsidRPr="002B4F0F">
        <w:rPr>
          <w:rFonts w:ascii="Arial" w:hAnsi="Arial" w:cs="Arial"/>
          <w:i/>
          <w:iCs/>
        </w:rPr>
        <w:t xml:space="preserve"> mathaei </w:t>
      </w:r>
      <w:r w:rsidRPr="00745BD6">
        <w:rPr>
          <w:rFonts w:ascii="Arial" w:hAnsi="Arial" w:cs="Arial"/>
        </w:rPr>
        <w:t>(83 ind. ha</w:t>
      </w:r>
      <w:r w:rsidRPr="00745BD6">
        <w:rPr>
          <w:rFonts w:ascii="Cambria Math" w:hAnsi="Cambria Math" w:cs="Cambria Math"/>
        </w:rPr>
        <w:t>⁻</w:t>
      </w:r>
      <w:r w:rsidRPr="00745BD6">
        <w:rPr>
          <w:rFonts w:ascii="Arial" w:hAnsi="Arial" w:cs="Arial"/>
        </w:rPr>
        <w:t xml:space="preserve">¹), </w:t>
      </w:r>
      <w:r w:rsidRPr="002B4F0F">
        <w:rPr>
          <w:rFonts w:ascii="Arial" w:hAnsi="Arial" w:cs="Arial"/>
          <w:i/>
          <w:iCs/>
        </w:rPr>
        <w:t>E</w:t>
      </w:r>
      <w:r w:rsidR="002B4F0F" w:rsidRPr="002B4F0F">
        <w:rPr>
          <w:rFonts w:ascii="Arial" w:hAnsi="Arial" w:cs="Arial"/>
          <w:i/>
          <w:iCs/>
        </w:rPr>
        <w:t xml:space="preserve">. </w:t>
      </w:r>
      <w:r w:rsidRPr="002B4F0F">
        <w:rPr>
          <w:rFonts w:ascii="Arial" w:hAnsi="Arial" w:cs="Arial"/>
          <w:i/>
          <w:iCs/>
        </w:rPr>
        <w:t>calamaris</w:t>
      </w:r>
      <w:r w:rsidRPr="00745BD6">
        <w:rPr>
          <w:rFonts w:ascii="Arial" w:hAnsi="Arial" w:cs="Arial"/>
        </w:rPr>
        <w:t xml:space="preserve"> (50 ind. ha</w:t>
      </w:r>
      <w:r w:rsidRPr="00745BD6">
        <w:rPr>
          <w:rFonts w:ascii="Cambria Math" w:hAnsi="Cambria Math" w:cs="Cambria Math"/>
        </w:rPr>
        <w:t>⁻</w:t>
      </w:r>
      <w:r w:rsidRPr="00745BD6">
        <w:rPr>
          <w:rFonts w:ascii="Arial" w:hAnsi="Arial" w:cs="Arial"/>
        </w:rPr>
        <w:t xml:space="preserve">¹), and </w:t>
      </w:r>
      <w:r w:rsidRPr="002B4F0F">
        <w:rPr>
          <w:rFonts w:ascii="Arial" w:hAnsi="Arial" w:cs="Arial"/>
          <w:i/>
          <w:iCs/>
        </w:rPr>
        <w:t>T</w:t>
      </w:r>
      <w:r w:rsidR="002B4F0F">
        <w:rPr>
          <w:rFonts w:ascii="Arial" w:hAnsi="Arial" w:cs="Arial"/>
          <w:i/>
          <w:iCs/>
        </w:rPr>
        <w:t>.</w:t>
      </w:r>
      <w:r w:rsidRPr="002B4F0F">
        <w:rPr>
          <w:rFonts w:ascii="Arial" w:hAnsi="Arial" w:cs="Arial"/>
          <w:i/>
          <w:iCs/>
        </w:rPr>
        <w:t xml:space="preserve"> gratilla</w:t>
      </w:r>
      <w:r w:rsidRPr="00745BD6">
        <w:rPr>
          <w:rFonts w:ascii="Arial" w:hAnsi="Arial" w:cs="Arial"/>
        </w:rPr>
        <w:t xml:space="preserve"> (53 ind. ha</w:t>
      </w:r>
      <w:r w:rsidRPr="00745BD6">
        <w:rPr>
          <w:rFonts w:ascii="Cambria Math" w:hAnsi="Cambria Math" w:cs="Cambria Math"/>
        </w:rPr>
        <w:t>⁻</w:t>
      </w:r>
      <w:r w:rsidRPr="00745BD6">
        <w:rPr>
          <w:rFonts w:ascii="Arial" w:hAnsi="Arial" w:cs="Arial"/>
        </w:rPr>
        <w:t xml:space="preserve">¹). In contrast, Cabolutan showed the lowest overall density, with only </w:t>
      </w:r>
      <w:r w:rsidRPr="002B4F0F">
        <w:rPr>
          <w:rFonts w:ascii="Arial" w:hAnsi="Arial" w:cs="Arial"/>
          <w:i/>
          <w:iCs/>
        </w:rPr>
        <w:t>D</w:t>
      </w:r>
      <w:r w:rsidR="002B4F0F" w:rsidRPr="002B4F0F">
        <w:rPr>
          <w:rFonts w:ascii="Arial" w:hAnsi="Arial" w:cs="Arial"/>
          <w:i/>
          <w:iCs/>
        </w:rPr>
        <w:t xml:space="preserve">. </w:t>
      </w:r>
      <w:r w:rsidRPr="002B4F0F">
        <w:rPr>
          <w:rFonts w:ascii="Arial" w:hAnsi="Arial" w:cs="Arial"/>
          <w:i/>
          <w:iCs/>
        </w:rPr>
        <w:t>setosum</w:t>
      </w:r>
      <w:r w:rsidRPr="00745BD6">
        <w:rPr>
          <w:rFonts w:ascii="Arial" w:hAnsi="Arial" w:cs="Arial"/>
        </w:rPr>
        <w:t xml:space="preserve"> (27 ind. ha</w:t>
      </w:r>
      <w:r w:rsidRPr="00745BD6">
        <w:rPr>
          <w:rFonts w:ascii="Cambria Math" w:hAnsi="Cambria Math" w:cs="Cambria Math"/>
        </w:rPr>
        <w:t>⁻</w:t>
      </w:r>
      <w:r w:rsidRPr="00745BD6">
        <w:rPr>
          <w:rFonts w:ascii="Arial" w:hAnsi="Arial" w:cs="Arial"/>
        </w:rPr>
        <w:t xml:space="preserve">¹) and </w:t>
      </w:r>
      <w:r w:rsidRPr="002B4F0F">
        <w:rPr>
          <w:rFonts w:ascii="Arial" w:hAnsi="Arial" w:cs="Arial"/>
          <w:i/>
          <w:iCs/>
        </w:rPr>
        <w:t>T</w:t>
      </w:r>
      <w:r w:rsidR="002B4F0F" w:rsidRPr="002B4F0F">
        <w:rPr>
          <w:rFonts w:ascii="Arial" w:hAnsi="Arial" w:cs="Arial"/>
          <w:i/>
          <w:iCs/>
        </w:rPr>
        <w:t xml:space="preserve">. </w:t>
      </w:r>
      <w:r w:rsidRPr="002B4F0F">
        <w:rPr>
          <w:rFonts w:ascii="Arial" w:hAnsi="Arial" w:cs="Arial"/>
          <w:i/>
          <w:iCs/>
        </w:rPr>
        <w:t xml:space="preserve">gratilla </w:t>
      </w:r>
      <w:r w:rsidRPr="00745BD6">
        <w:rPr>
          <w:rFonts w:ascii="Arial" w:hAnsi="Arial" w:cs="Arial"/>
        </w:rPr>
        <w:t>(17 ind. ha</w:t>
      </w:r>
      <w:r w:rsidRPr="00745BD6">
        <w:rPr>
          <w:rFonts w:ascii="Cambria Math" w:hAnsi="Cambria Math" w:cs="Cambria Math"/>
        </w:rPr>
        <w:t>⁻</w:t>
      </w:r>
      <w:r w:rsidRPr="00745BD6">
        <w:rPr>
          <w:rFonts w:ascii="Arial" w:hAnsi="Arial" w:cs="Arial"/>
        </w:rPr>
        <w:t>¹) recorded, suggesting a relatively poor sea urchin assemblage in this station Figure</w:t>
      </w:r>
      <w:r>
        <w:rPr>
          <w:rFonts w:ascii="Arial" w:hAnsi="Arial" w:cs="Arial"/>
        </w:rPr>
        <w:t xml:space="preserve"> 2</w:t>
      </w:r>
      <w:r w:rsidRPr="00745BD6">
        <w:rPr>
          <w:rFonts w:ascii="Arial" w:hAnsi="Arial" w:cs="Arial"/>
        </w:rPr>
        <w:t>.</w:t>
      </w:r>
    </w:p>
    <w:p w14:paraId="64E50CF7" w14:textId="77777777" w:rsidR="00745BD6" w:rsidRPr="00745BD6" w:rsidRDefault="00745BD6" w:rsidP="00745BD6">
      <w:pPr>
        <w:pStyle w:val="Body"/>
        <w:rPr>
          <w:rFonts w:ascii="Arial" w:hAnsi="Arial" w:cs="Arial"/>
        </w:rPr>
      </w:pPr>
      <w:r w:rsidRPr="00745BD6">
        <w:rPr>
          <w:rFonts w:ascii="Arial" w:hAnsi="Arial" w:cs="Arial"/>
        </w:rPr>
        <w:t xml:space="preserve">Among the species, </w:t>
      </w:r>
      <w:r w:rsidRPr="002B4F0F">
        <w:rPr>
          <w:rFonts w:ascii="Arial" w:hAnsi="Arial" w:cs="Arial"/>
          <w:i/>
          <w:iCs/>
        </w:rPr>
        <w:t>T</w:t>
      </w:r>
      <w:r w:rsidR="002B4F0F">
        <w:rPr>
          <w:rFonts w:ascii="Arial" w:hAnsi="Arial" w:cs="Arial"/>
          <w:i/>
          <w:iCs/>
        </w:rPr>
        <w:t xml:space="preserve">. </w:t>
      </w:r>
      <w:r w:rsidRPr="002B4F0F">
        <w:rPr>
          <w:rFonts w:ascii="Arial" w:hAnsi="Arial" w:cs="Arial"/>
          <w:i/>
          <w:iCs/>
        </w:rPr>
        <w:t>gratilla</w:t>
      </w:r>
      <w:r w:rsidRPr="00745BD6">
        <w:rPr>
          <w:rFonts w:ascii="Arial" w:hAnsi="Arial" w:cs="Arial"/>
        </w:rPr>
        <w:t xml:space="preserve"> exhibited the highest single-site density, reaching 143 ind. ha</w:t>
      </w:r>
      <w:r w:rsidRPr="00745BD6">
        <w:rPr>
          <w:rFonts w:ascii="Cambria Math" w:hAnsi="Cambria Math" w:cs="Cambria Math"/>
        </w:rPr>
        <w:t>⁻</w:t>
      </w:r>
      <w:r w:rsidRPr="00745BD6">
        <w:rPr>
          <w:rFonts w:ascii="Arial" w:hAnsi="Arial" w:cs="Arial"/>
        </w:rPr>
        <w:t>¹ in Poblacion, making it the most dominant species in that area. This species was also relatively abundant in Long Beach (53 ind. ha</w:t>
      </w:r>
      <w:r w:rsidRPr="00745BD6">
        <w:rPr>
          <w:rFonts w:ascii="Cambria Math" w:hAnsi="Cambria Math" w:cs="Cambria Math"/>
        </w:rPr>
        <w:t>⁻</w:t>
      </w:r>
      <w:r w:rsidRPr="00745BD6">
        <w:rPr>
          <w:rFonts w:ascii="Arial" w:hAnsi="Arial" w:cs="Arial"/>
        </w:rPr>
        <w:t>¹), Lusong (33 ind. ha</w:t>
      </w:r>
      <w:r w:rsidRPr="00745BD6">
        <w:rPr>
          <w:rFonts w:ascii="Cambria Math" w:hAnsi="Cambria Math" w:cs="Cambria Math"/>
        </w:rPr>
        <w:t>⁻</w:t>
      </w:r>
      <w:r w:rsidRPr="00745BD6">
        <w:rPr>
          <w:rFonts w:ascii="Arial" w:hAnsi="Arial" w:cs="Arial"/>
        </w:rPr>
        <w:t>¹), Binonga-an (30 ind. ha</w:t>
      </w:r>
      <w:r w:rsidRPr="00745BD6">
        <w:rPr>
          <w:rFonts w:ascii="Cambria Math" w:hAnsi="Cambria Math" w:cs="Cambria Math"/>
        </w:rPr>
        <w:t>⁻</w:t>
      </w:r>
      <w:r w:rsidRPr="00745BD6">
        <w:rPr>
          <w:rFonts w:ascii="Arial" w:hAnsi="Arial" w:cs="Arial"/>
        </w:rPr>
        <w:t>¹), and Hinugusan (30 ind. ha</w:t>
      </w:r>
      <w:r w:rsidRPr="00745BD6">
        <w:rPr>
          <w:rFonts w:ascii="Cambria Math" w:hAnsi="Cambria Math" w:cs="Cambria Math"/>
        </w:rPr>
        <w:t>⁻</w:t>
      </w:r>
      <w:r w:rsidRPr="00745BD6">
        <w:rPr>
          <w:rFonts w:ascii="Arial" w:hAnsi="Arial" w:cs="Arial"/>
        </w:rPr>
        <w:t xml:space="preserve">¹). Meanwhile, </w:t>
      </w:r>
      <w:r w:rsidR="002B4F0F" w:rsidRPr="002B4F0F">
        <w:rPr>
          <w:rFonts w:ascii="Arial" w:hAnsi="Arial" w:cs="Arial"/>
          <w:i/>
          <w:iCs/>
        </w:rPr>
        <w:t xml:space="preserve">D. </w:t>
      </w:r>
      <w:r w:rsidRPr="002B4F0F">
        <w:rPr>
          <w:rFonts w:ascii="Arial" w:hAnsi="Arial" w:cs="Arial"/>
          <w:i/>
          <w:iCs/>
        </w:rPr>
        <w:t>setosum</w:t>
      </w:r>
      <w:r w:rsidRPr="00745BD6">
        <w:rPr>
          <w:rFonts w:ascii="Arial" w:hAnsi="Arial" w:cs="Arial"/>
        </w:rPr>
        <w:t xml:space="preserve"> was widely distributed across the study sites and was particularly abundant in Long Beach (113 ind. ha</w:t>
      </w:r>
      <w:r w:rsidRPr="00745BD6">
        <w:rPr>
          <w:rFonts w:ascii="Cambria Math" w:hAnsi="Cambria Math" w:cs="Cambria Math"/>
        </w:rPr>
        <w:t>⁻</w:t>
      </w:r>
      <w:r w:rsidRPr="00745BD6">
        <w:rPr>
          <w:rFonts w:ascii="Arial" w:hAnsi="Arial" w:cs="Arial"/>
        </w:rPr>
        <w:t>¹), Doña Juana (50 ind. ha</w:t>
      </w:r>
      <w:r w:rsidRPr="00745BD6">
        <w:rPr>
          <w:rFonts w:ascii="Cambria Math" w:hAnsi="Cambria Math" w:cs="Cambria Math"/>
        </w:rPr>
        <w:t>⁻</w:t>
      </w:r>
      <w:r w:rsidRPr="00745BD6">
        <w:rPr>
          <w:rFonts w:ascii="Arial" w:hAnsi="Arial" w:cs="Arial"/>
        </w:rPr>
        <w:t>¹), and both Cagbo-aya and Binonga-an (47 ind. ha</w:t>
      </w:r>
      <w:r w:rsidRPr="00745BD6">
        <w:rPr>
          <w:rFonts w:ascii="Cambria Math" w:hAnsi="Cambria Math" w:cs="Cambria Math"/>
        </w:rPr>
        <w:t>⁻</w:t>
      </w:r>
      <w:r w:rsidRPr="00745BD6">
        <w:rPr>
          <w:rFonts w:ascii="Arial" w:hAnsi="Arial" w:cs="Arial"/>
        </w:rPr>
        <w:t>¹ each), indicating its broad ecological tolerance and importance in the surveyed coastal habitats Figure</w:t>
      </w:r>
      <w:r>
        <w:rPr>
          <w:rFonts w:ascii="Arial" w:hAnsi="Arial" w:cs="Arial"/>
        </w:rPr>
        <w:t xml:space="preserve"> 2</w:t>
      </w:r>
      <w:r w:rsidRPr="00745BD6">
        <w:rPr>
          <w:rFonts w:ascii="Arial" w:hAnsi="Arial" w:cs="Arial"/>
        </w:rPr>
        <w:t>.</w:t>
      </w:r>
    </w:p>
    <w:p w14:paraId="422F51D9" w14:textId="77777777" w:rsidR="00745BD6" w:rsidRPr="00745BD6" w:rsidRDefault="00745BD6" w:rsidP="00745BD6">
      <w:pPr>
        <w:pStyle w:val="Body"/>
        <w:rPr>
          <w:rFonts w:ascii="Arial" w:hAnsi="Arial" w:cs="Arial"/>
        </w:rPr>
      </w:pPr>
      <w:r w:rsidRPr="002B4F0F">
        <w:rPr>
          <w:rFonts w:ascii="Arial" w:hAnsi="Arial" w:cs="Arial"/>
          <w:i/>
          <w:iCs/>
        </w:rPr>
        <w:t>Echinometra mathaei</w:t>
      </w:r>
      <w:r w:rsidRPr="00745BD6">
        <w:rPr>
          <w:rFonts w:ascii="Arial" w:hAnsi="Arial" w:cs="Arial"/>
        </w:rPr>
        <w:t xml:space="preserve"> was likewise common in several sites and showed notably high densities in Cagbo-aya (93 ind. ha</w:t>
      </w:r>
      <w:r w:rsidRPr="00745BD6">
        <w:rPr>
          <w:rFonts w:ascii="Cambria Math" w:hAnsi="Cambria Math" w:cs="Cambria Math"/>
        </w:rPr>
        <w:t>⁻</w:t>
      </w:r>
      <w:r w:rsidRPr="00745BD6">
        <w:rPr>
          <w:rFonts w:ascii="Arial" w:hAnsi="Arial" w:cs="Arial"/>
        </w:rPr>
        <w:t>¹), Binonga-an (67 ind. ha</w:t>
      </w:r>
      <w:r w:rsidRPr="00745BD6">
        <w:rPr>
          <w:rFonts w:ascii="Cambria Math" w:hAnsi="Cambria Math" w:cs="Cambria Math"/>
        </w:rPr>
        <w:t>⁻</w:t>
      </w:r>
      <w:r w:rsidRPr="00745BD6">
        <w:rPr>
          <w:rFonts w:ascii="Arial" w:hAnsi="Arial" w:cs="Arial"/>
        </w:rPr>
        <w:t>¹), Carmen (50 ind. ha</w:t>
      </w:r>
      <w:r w:rsidRPr="00745BD6">
        <w:rPr>
          <w:rFonts w:ascii="Cambria Math" w:hAnsi="Cambria Math" w:cs="Cambria Math"/>
        </w:rPr>
        <w:t>⁻</w:t>
      </w:r>
      <w:r w:rsidRPr="00745BD6">
        <w:rPr>
          <w:rFonts w:ascii="Arial" w:hAnsi="Arial" w:cs="Arial"/>
        </w:rPr>
        <w:t>¹), and Long Beach (83 ind. ha</w:t>
      </w:r>
      <w:r w:rsidRPr="00745BD6">
        <w:rPr>
          <w:rFonts w:ascii="Cambria Math" w:hAnsi="Cambria Math" w:cs="Cambria Math"/>
        </w:rPr>
        <w:t>⁻</w:t>
      </w:r>
      <w:r w:rsidRPr="00745BD6">
        <w:rPr>
          <w:rFonts w:ascii="Arial" w:hAnsi="Arial" w:cs="Arial"/>
        </w:rPr>
        <w:t xml:space="preserve">¹). In contrast, </w:t>
      </w:r>
      <w:r w:rsidRPr="002B4F0F">
        <w:rPr>
          <w:rFonts w:ascii="Arial" w:hAnsi="Arial" w:cs="Arial"/>
          <w:i/>
          <w:iCs/>
        </w:rPr>
        <w:t>E</w:t>
      </w:r>
      <w:r w:rsidR="002B4F0F" w:rsidRPr="002B4F0F">
        <w:rPr>
          <w:rFonts w:ascii="Arial" w:hAnsi="Arial" w:cs="Arial"/>
          <w:i/>
          <w:iCs/>
        </w:rPr>
        <w:t>.</w:t>
      </w:r>
      <w:r w:rsidRPr="002B4F0F">
        <w:rPr>
          <w:rFonts w:ascii="Arial" w:hAnsi="Arial" w:cs="Arial"/>
          <w:i/>
          <w:iCs/>
        </w:rPr>
        <w:t xml:space="preserve"> calamaris</w:t>
      </w:r>
      <w:r w:rsidRPr="00745BD6">
        <w:rPr>
          <w:rFonts w:ascii="Arial" w:hAnsi="Arial" w:cs="Arial"/>
        </w:rPr>
        <w:t xml:space="preserve"> was highly restricted, being recorded only in Long Beach at 50 ind. ha</w:t>
      </w:r>
      <w:r w:rsidRPr="00745BD6">
        <w:rPr>
          <w:rFonts w:ascii="Cambria Math" w:hAnsi="Cambria Math" w:cs="Cambria Math"/>
        </w:rPr>
        <w:t>⁻</w:t>
      </w:r>
      <w:r w:rsidRPr="00745BD6">
        <w:rPr>
          <w:rFonts w:ascii="Arial" w:hAnsi="Arial" w:cs="Arial"/>
        </w:rPr>
        <w:t xml:space="preserve">¹. The occurrence of </w:t>
      </w:r>
      <w:r w:rsidRPr="009B17DF">
        <w:rPr>
          <w:rFonts w:ascii="Arial" w:hAnsi="Arial" w:cs="Arial"/>
          <w:i/>
          <w:iCs/>
        </w:rPr>
        <w:t>T</w:t>
      </w:r>
      <w:r w:rsidR="009B17DF" w:rsidRPr="009B17DF">
        <w:rPr>
          <w:rFonts w:ascii="Arial" w:hAnsi="Arial" w:cs="Arial"/>
          <w:i/>
          <w:iCs/>
        </w:rPr>
        <w:t>.</w:t>
      </w:r>
      <w:r w:rsidRPr="009B17DF">
        <w:rPr>
          <w:rFonts w:ascii="Arial" w:hAnsi="Arial" w:cs="Arial"/>
          <w:i/>
          <w:iCs/>
        </w:rPr>
        <w:t xml:space="preserve"> pileolus</w:t>
      </w:r>
      <w:r w:rsidRPr="00745BD6">
        <w:rPr>
          <w:rFonts w:ascii="Arial" w:hAnsi="Arial" w:cs="Arial"/>
        </w:rPr>
        <w:t xml:space="preserve"> was also limited, appearing only in Long Beach (7 ind. ha</w:t>
      </w:r>
      <w:r w:rsidRPr="00745BD6">
        <w:rPr>
          <w:rFonts w:ascii="Cambria Math" w:hAnsi="Cambria Math" w:cs="Cambria Math"/>
        </w:rPr>
        <w:t>⁻</w:t>
      </w:r>
      <w:r w:rsidRPr="00745BD6">
        <w:rPr>
          <w:rFonts w:ascii="Arial" w:hAnsi="Arial" w:cs="Arial"/>
        </w:rPr>
        <w:t>¹), Poblacion (10 ind. ha</w:t>
      </w:r>
      <w:r w:rsidRPr="00745BD6">
        <w:rPr>
          <w:rFonts w:ascii="Cambria Math" w:hAnsi="Cambria Math" w:cs="Cambria Math"/>
        </w:rPr>
        <w:t>⁻</w:t>
      </w:r>
      <w:r w:rsidRPr="00745BD6">
        <w:rPr>
          <w:rFonts w:ascii="Arial" w:hAnsi="Arial" w:cs="Arial"/>
        </w:rPr>
        <w:t>¹), and Doña Juana (13 ind. ha</w:t>
      </w:r>
      <w:r w:rsidRPr="00745BD6">
        <w:rPr>
          <w:rFonts w:ascii="Cambria Math" w:hAnsi="Cambria Math" w:cs="Cambria Math"/>
        </w:rPr>
        <w:t>⁻</w:t>
      </w:r>
      <w:r w:rsidRPr="00745BD6">
        <w:rPr>
          <w:rFonts w:ascii="Arial" w:hAnsi="Arial" w:cs="Arial"/>
        </w:rPr>
        <w:t xml:space="preserve">¹). Similarly, </w:t>
      </w:r>
      <w:r w:rsidRPr="009B17DF">
        <w:rPr>
          <w:rFonts w:ascii="Arial" w:hAnsi="Arial" w:cs="Arial"/>
          <w:i/>
          <w:iCs/>
        </w:rPr>
        <w:t>Salmacis belli</w:t>
      </w:r>
      <w:r w:rsidRPr="00745BD6">
        <w:rPr>
          <w:rFonts w:ascii="Arial" w:hAnsi="Arial" w:cs="Arial"/>
        </w:rPr>
        <w:t xml:space="preserve"> showed a patchy distribution and was observed only in Long Beach (17 ind. ha</w:t>
      </w:r>
      <w:r w:rsidRPr="00745BD6">
        <w:rPr>
          <w:rFonts w:ascii="Cambria Math" w:hAnsi="Cambria Math" w:cs="Cambria Math"/>
        </w:rPr>
        <w:t>⁻</w:t>
      </w:r>
      <w:r w:rsidRPr="00745BD6">
        <w:rPr>
          <w:rFonts w:ascii="Arial" w:hAnsi="Arial" w:cs="Arial"/>
        </w:rPr>
        <w:t>¹), Carmen (7 ind. ha</w:t>
      </w:r>
      <w:r w:rsidRPr="00745BD6">
        <w:rPr>
          <w:rFonts w:ascii="Cambria Math" w:hAnsi="Cambria Math" w:cs="Cambria Math"/>
        </w:rPr>
        <w:t>⁻</w:t>
      </w:r>
      <w:r w:rsidRPr="00745BD6">
        <w:rPr>
          <w:rFonts w:ascii="Arial" w:hAnsi="Arial" w:cs="Arial"/>
        </w:rPr>
        <w:t>¹), Cagbo-aya (10 ind. ha</w:t>
      </w:r>
      <w:r w:rsidRPr="00745BD6">
        <w:rPr>
          <w:rFonts w:ascii="Cambria Math" w:hAnsi="Cambria Math" w:cs="Cambria Math"/>
        </w:rPr>
        <w:t>⁻</w:t>
      </w:r>
      <w:r w:rsidRPr="00745BD6">
        <w:rPr>
          <w:rFonts w:ascii="Arial" w:hAnsi="Arial" w:cs="Arial"/>
        </w:rPr>
        <w:t>¹), Poblacion (30 ind. ha</w:t>
      </w:r>
      <w:r w:rsidRPr="00745BD6">
        <w:rPr>
          <w:rFonts w:ascii="Cambria Math" w:hAnsi="Cambria Math" w:cs="Cambria Math"/>
        </w:rPr>
        <w:t>⁻</w:t>
      </w:r>
      <w:r w:rsidRPr="00745BD6">
        <w:rPr>
          <w:rFonts w:ascii="Arial" w:hAnsi="Arial" w:cs="Arial"/>
        </w:rPr>
        <w:t>¹), and Binonga-an (13 ind. ha</w:t>
      </w:r>
      <w:r w:rsidRPr="00745BD6">
        <w:rPr>
          <w:rFonts w:ascii="Cambria Math" w:hAnsi="Cambria Math" w:cs="Cambria Math"/>
        </w:rPr>
        <w:t>⁻</w:t>
      </w:r>
      <w:r w:rsidRPr="00745BD6">
        <w:rPr>
          <w:rFonts w:ascii="Arial" w:hAnsi="Arial" w:cs="Arial"/>
        </w:rPr>
        <w:t>¹) Figure</w:t>
      </w:r>
      <w:r>
        <w:rPr>
          <w:rFonts w:ascii="Arial" w:hAnsi="Arial" w:cs="Arial"/>
        </w:rPr>
        <w:t xml:space="preserve"> 2</w:t>
      </w:r>
      <w:r w:rsidRPr="00745BD6">
        <w:rPr>
          <w:rFonts w:ascii="Arial" w:hAnsi="Arial" w:cs="Arial"/>
        </w:rPr>
        <w:t>.</w:t>
      </w:r>
    </w:p>
    <w:p w14:paraId="2C63BDD0" w14:textId="77777777" w:rsidR="009F7C33" w:rsidRDefault="00745BD6" w:rsidP="00745BD6">
      <w:pPr>
        <w:pStyle w:val="Body"/>
        <w:spacing w:after="0"/>
        <w:rPr>
          <w:rFonts w:ascii="Arial" w:hAnsi="Arial" w:cs="Arial"/>
        </w:rPr>
      </w:pPr>
      <w:r>
        <w:rPr>
          <w:rFonts w:ascii="Arial" w:hAnsi="Arial" w:cs="Arial"/>
        </w:rPr>
        <w:t>The result</w:t>
      </w:r>
      <w:r w:rsidRPr="00745BD6">
        <w:rPr>
          <w:rFonts w:ascii="Arial" w:hAnsi="Arial" w:cs="Arial"/>
        </w:rPr>
        <w:t xml:space="preserve"> indicates that Long Beach, Poblacion, Cagbo-aya, and Binonga-an supported relatively high sea urchin densities compared with the other sampling sites. The results also show that while some species such as </w:t>
      </w:r>
      <w:r w:rsidRPr="009B17DF">
        <w:rPr>
          <w:rFonts w:ascii="Arial" w:hAnsi="Arial" w:cs="Arial"/>
          <w:i/>
          <w:iCs/>
        </w:rPr>
        <w:t>D</w:t>
      </w:r>
      <w:r w:rsidR="009B17DF" w:rsidRPr="009B17DF">
        <w:rPr>
          <w:rFonts w:ascii="Arial" w:hAnsi="Arial" w:cs="Arial"/>
          <w:i/>
          <w:iCs/>
        </w:rPr>
        <w:t>.</w:t>
      </w:r>
      <w:r w:rsidRPr="009B17DF">
        <w:rPr>
          <w:rFonts w:ascii="Arial" w:hAnsi="Arial" w:cs="Arial"/>
          <w:i/>
          <w:iCs/>
        </w:rPr>
        <w:t xml:space="preserve"> setosum, E</w:t>
      </w:r>
      <w:r w:rsidR="009B17DF" w:rsidRPr="009B17DF">
        <w:rPr>
          <w:rFonts w:ascii="Arial" w:hAnsi="Arial" w:cs="Arial"/>
          <w:i/>
          <w:iCs/>
        </w:rPr>
        <w:t xml:space="preserve">. </w:t>
      </w:r>
      <w:r w:rsidRPr="009B17DF">
        <w:rPr>
          <w:rFonts w:ascii="Arial" w:hAnsi="Arial" w:cs="Arial"/>
          <w:i/>
          <w:iCs/>
        </w:rPr>
        <w:t xml:space="preserve">mathaei, </w:t>
      </w:r>
      <w:r w:rsidRPr="00745BD6">
        <w:rPr>
          <w:rFonts w:ascii="Arial" w:hAnsi="Arial" w:cs="Arial"/>
        </w:rPr>
        <w:t xml:space="preserve">and </w:t>
      </w:r>
      <w:r w:rsidRPr="002B4F0F">
        <w:rPr>
          <w:rFonts w:ascii="Arial" w:hAnsi="Arial" w:cs="Arial"/>
          <w:i/>
          <w:iCs/>
        </w:rPr>
        <w:t>T</w:t>
      </w:r>
      <w:r w:rsidR="002B4F0F" w:rsidRPr="002B4F0F">
        <w:rPr>
          <w:rFonts w:ascii="Arial" w:hAnsi="Arial" w:cs="Arial"/>
          <w:i/>
          <w:iCs/>
        </w:rPr>
        <w:t xml:space="preserve">. </w:t>
      </w:r>
      <w:r w:rsidRPr="002B4F0F">
        <w:rPr>
          <w:rFonts w:ascii="Arial" w:hAnsi="Arial" w:cs="Arial"/>
          <w:i/>
          <w:iCs/>
        </w:rPr>
        <w:t>gratilla</w:t>
      </w:r>
      <w:r w:rsidRPr="00745BD6">
        <w:rPr>
          <w:rFonts w:ascii="Arial" w:hAnsi="Arial" w:cs="Arial"/>
        </w:rPr>
        <w:t xml:space="preserve"> were widely distributed and numerically dominant, others such as </w:t>
      </w:r>
      <w:r w:rsidRPr="002B4F0F">
        <w:rPr>
          <w:rFonts w:ascii="Arial" w:hAnsi="Arial" w:cs="Arial"/>
          <w:i/>
          <w:iCs/>
        </w:rPr>
        <w:t>E</w:t>
      </w:r>
      <w:r w:rsidR="002B4F0F" w:rsidRPr="002B4F0F">
        <w:rPr>
          <w:rFonts w:ascii="Arial" w:hAnsi="Arial" w:cs="Arial"/>
          <w:i/>
          <w:iCs/>
        </w:rPr>
        <w:t>.</w:t>
      </w:r>
      <w:r w:rsidRPr="002B4F0F">
        <w:rPr>
          <w:rFonts w:ascii="Arial" w:hAnsi="Arial" w:cs="Arial"/>
          <w:i/>
          <w:iCs/>
        </w:rPr>
        <w:t xml:space="preserve"> calamaris</w:t>
      </w:r>
      <w:r w:rsidRPr="00745BD6">
        <w:rPr>
          <w:rFonts w:ascii="Arial" w:hAnsi="Arial" w:cs="Arial"/>
        </w:rPr>
        <w:t xml:space="preserve"> and </w:t>
      </w:r>
      <w:r w:rsidRPr="009B17DF">
        <w:rPr>
          <w:rFonts w:ascii="Arial" w:hAnsi="Arial" w:cs="Arial"/>
          <w:i/>
          <w:iCs/>
        </w:rPr>
        <w:t>T</w:t>
      </w:r>
      <w:r w:rsidR="009B17DF" w:rsidRPr="009B17DF">
        <w:rPr>
          <w:rFonts w:ascii="Arial" w:hAnsi="Arial" w:cs="Arial"/>
          <w:i/>
          <w:iCs/>
        </w:rPr>
        <w:t xml:space="preserve">. </w:t>
      </w:r>
      <w:r w:rsidRPr="009B17DF">
        <w:rPr>
          <w:rFonts w:ascii="Arial" w:hAnsi="Arial" w:cs="Arial"/>
          <w:i/>
          <w:iCs/>
        </w:rPr>
        <w:t>pileolus</w:t>
      </w:r>
      <w:r w:rsidRPr="00745BD6">
        <w:rPr>
          <w:rFonts w:ascii="Arial" w:hAnsi="Arial" w:cs="Arial"/>
        </w:rPr>
        <w:t xml:space="preserve"> were more restricted in occurrence. These patterns suggest variation in habitat suitability and local environmental conditions across the study area, which may have influenced the composition and abundance of sea urchin species Figure</w:t>
      </w:r>
      <w:r>
        <w:rPr>
          <w:rFonts w:ascii="Arial" w:hAnsi="Arial" w:cs="Arial"/>
        </w:rPr>
        <w:t xml:space="preserve"> 2</w:t>
      </w:r>
      <w:r w:rsidRPr="00745BD6">
        <w:rPr>
          <w:rFonts w:ascii="Arial" w:hAnsi="Arial" w:cs="Arial"/>
        </w:rPr>
        <w:t>.</w:t>
      </w:r>
    </w:p>
    <w:p w14:paraId="09758F16" w14:textId="77777777" w:rsidR="00745BD6" w:rsidRDefault="00745BD6" w:rsidP="00745BD6">
      <w:pPr>
        <w:pStyle w:val="Body"/>
        <w:spacing w:after="0"/>
        <w:rPr>
          <w:rFonts w:ascii="Arial" w:hAnsi="Arial" w:cs="Arial"/>
        </w:rPr>
      </w:pPr>
    </w:p>
    <w:p w14:paraId="7DFEED25" w14:textId="77777777" w:rsidR="009F7C33" w:rsidRDefault="00745BD6" w:rsidP="009F7C33">
      <w:pPr>
        <w:pStyle w:val="Body"/>
        <w:spacing w:after="0"/>
        <w:rPr>
          <w:rFonts w:ascii="Arial" w:hAnsi="Arial" w:cs="Arial"/>
        </w:rPr>
      </w:pPr>
      <w:r>
        <w:rPr>
          <w:rFonts w:ascii="Arial" w:hAnsi="Arial" w:cs="Arial"/>
          <w:noProof/>
        </w:rPr>
        <w:lastRenderedPageBreak/>
        <w:drawing>
          <wp:inline distT="0" distB="0" distL="0" distR="0" wp14:anchorId="4225F8DD" wp14:editId="6A574E77">
            <wp:extent cx="5212080" cy="2276475"/>
            <wp:effectExtent l="0" t="0" r="0" b="0"/>
            <wp:docPr id="1977096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096571" name="Picture 197709657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12080" cy="2276475"/>
                    </a:xfrm>
                    <a:prstGeom prst="rect">
                      <a:avLst/>
                    </a:prstGeom>
                  </pic:spPr>
                </pic:pic>
              </a:graphicData>
            </a:graphic>
          </wp:inline>
        </w:drawing>
      </w:r>
    </w:p>
    <w:p w14:paraId="37DCA073" w14:textId="77777777" w:rsidR="00745BD6" w:rsidRDefault="00745BD6" w:rsidP="009F7C33">
      <w:pPr>
        <w:pStyle w:val="Body"/>
        <w:spacing w:after="0"/>
        <w:rPr>
          <w:rFonts w:ascii="Arial" w:hAnsi="Arial" w:cs="Arial"/>
        </w:rPr>
      </w:pPr>
      <w:r w:rsidRPr="00745BD6">
        <w:rPr>
          <w:rFonts w:ascii="Arial" w:hAnsi="Arial" w:cs="Arial"/>
          <w:b/>
          <w:bCs/>
        </w:rPr>
        <w:t>Figure 2.</w:t>
      </w:r>
      <w:r w:rsidRPr="00745BD6">
        <w:rPr>
          <w:rFonts w:ascii="Arial" w:hAnsi="Arial" w:cs="Arial"/>
        </w:rPr>
        <w:t xml:space="preserve"> Spatial variation in the density of sea urchin species across the sampling sites, expressed as individuals per hectare (ind. ha</w:t>
      </w:r>
      <w:r w:rsidRPr="00745BD6">
        <w:rPr>
          <w:rFonts w:ascii="Cambria Math" w:hAnsi="Cambria Math" w:cs="Cambria Math"/>
        </w:rPr>
        <w:t>⁻</w:t>
      </w:r>
      <w:r w:rsidRPr="00745BD6">
        <w:rPr>
          <w:rFonts w:ascii="Arial" w:hAnsi="Arial" w:cs="Arial"/>
        </w:rPr>
        <w:t>¹).</w:t>
      </w:r>
    </w:p>
    <w:p w14:paraId="260426EF" w14:textId="77777777" w:rsidR="00745BD6" w:rsidRDefault="00745BD6" w:rsidP="009F7C33">
      <w:pPr>
        <w:pStyle w:val="Body"/>
        <w:spacing w:after="0"/>
        <w:rPr>
          <w:rFonts w:ascii="Arial" w:hAnsi="Arial" w:cs="Arial"/>
        </w:rPr>
      </w:pPr>
    </w:p>
    <w:p w14:paraId="0856596C" w14:textId="77777777" w:rsidR="00745BD6" w:rsidRPr="00745BD6" w:rsidRDefault="00745BD6" w:rsidP="00745BD6">
      <w:pPr>
        <w:pStyle w:val="Body"/>
        <w:rPr>
          <w:rFonts w:ascii="Arial" w:hAnsi="Arial" w:cs="Arial"/>
        </w:rPr>
      </w:pPr>
    </w:p>
    <w:p w14:paraId="73B1395B" w14:textId="77777777" w:rsidR="00745BD6" w:rsidRPr="00745BD6" w:rsidRDefault="00745BD6" w:rsidP="00745BD6">
      <w:pPr>
        <w:pStyle w:val="Body"/>
        <w:rPr>
          <w:rFonts w:ascii="Arial" w:hAnsi="Arial" w:cs="Arial"/>
          <w:b/>
          <w:bCs/>
        </w:rPr>
      </w:pPr>
      <w:r w:rsidRPr="00745BD6">
        <w:rPr>
          <w:rFonts w:ascii="Arial" w:hAnsi="Arial" w:cs="Arial"/>
          <w:b/>
          <w:bCs/>
        </w:rPr>
        <w:t>4.1.4 Size Structure</w:t>
      </w:r>
    </w:p>
    <w:p w14:paraId="70F24FF1" w14:textId="77777777" w:rsidR="00745BD6" w:rsidRPr="00745BD6" w:rsidRDefault="00745BD6" w:rsidP="00745BD6">
      <w:pPr>
        <w:pStyle w:val="Body"/>
        <w:rPr>
          <w:rFonts w:ascii="Arial" w:hAnsi="Arial" w:cs="Arial"/>
        </w:rPr>
      </w:pPr>
      <w:r w:rsidRPr="00745BD6">
        <w:rPr>
          <w:rFonts w:ascii="Arial" w:hAnsi="Arial" w:cs="Arial"/>
        </w:rPr>
        <w:t>Test-diameter measurements (in mm) showed distinct size ranges among species and revealed inter-site variation within species.</w:t>
      </w:r>
    </w:p>
    <w:p w14:paraId="1AF1C25F" w14:textId="77777777" w:rsidR="00745BD6" w:rsidRPr="00745BD6" w:rsidRDefault="00745BD6" w:rsidP="00745BD6">
      <w:pPr>
        <w:pStyle w:val="Body"/>
        <w:rPr>
          <w:rFonts w:ascii="Arial" w:hAnsi="Arial" w:cs="Arial"/>
        </w:rPr>
      </w:pPr>
      <w:r w:rsidRPr="00745BD6">
        <w:rPr>
          <w:rFonts w:ascii="Arial" w:hAnsi="Arial" w:cs="Arial"/>
        </w:rPr>
        <w:t xml:space="preserve">For </w:t>
      </w:r>
      <w:r w:rsidRPr="002B4F0F">
        <w:rPr>
          <w:rFonts w:ascii="Arial" w:hAnsi="Arial" w:cs="Arial"/>
          <w:i/>
          <w:iCs/>
        </w:rPr>
        <w:t>Diadema setosum,</w:t>
      </w:r>
      <w:r w:rsidRPr="00745BD6">
        <w:rPr>
          <w:rFonts w:ascii="Arial" w:hAnsi="Arial" w:cs="Arial"/>
        </w:rPr>
        <w:t xml:space="preserve"> observed test diameters ranged from 13.5–34.1 mm at Cawayan, 31.5–67.8 mm at Long Beach, 15.2–32.8 mm at Sugod, 14.6–37.8 mm at Carmen, 17.3–29.7 mm at Cabolutan, 32.5–38.5 mm at Cagboaya, 12.8–24.5 mm at Dubduban, 17.8–32.8 mm at Doña Juana, 25.9–42.8 mm at Lusong and 26.5–54.7 mm at Hinugusan. The smallest individual of </w:t>
      </w:r>
      <w:r w:rsidRPr="002B4F0F">
        <w:rPr>
          <w:rFonts w:ascii="Arial" w:hAnsi="Arial" w:cs="Arial"/>
          <w:i/>
          <w:iCs/>
        </w:rPr>
        <w:t>D. setosum</w:t>
      </w:r>
      <w:r w:rsidRPr="00745BD6">
        <w:rPr>
          <w:rFonts w:ascii="Arial" w:hAnsi="Arial" w:cs="Arial"/>
        </w:rPr>
        <w:t xml:space="preserve"> was recorded at Dubduban and the largest at Cagboaya, giving a species mean test diameter of 31.43 mm. The persistently small mean for </w:t>
      </w:r>
      <w:r w:rsidRPr="002B4F0F">
        <w:rPr>
          <w:rFonts w:ascii="Arial" w:hAnsi="Arial" w:cs="Arial"/>
          <w:i/>
          <w:iCs/>
        </w:rPr>
        <w:t>D. setosum</w:t>
      </w:r>
      <w:r w:rsidRPr="00745BD6">
        <w:rPr>
          <w:rFonts w:ascii="Arial" w:hAnsi="Arial" w:cs="Arial"/>
        </w:rPr>
        <w:t xml:space="preserve"> is consistent with reduced commercial gleaning pressure, attributable to its long, venomous spines that discourage handling by fishers.</w:t>
      </w:r>
    </w:p>
    <w:p w14:paraId="47BA66B1" w14:textId="77777777" w:rsidR="00745BD6" w:rsidRPr="00745BD6" w:rsidRDefault="00745BD6" w:rsidP="00745BD6">
      <w:pPr>
        <w:pStyle w:val="Body"/>
        <w:rPr>
          <w:rFonts w:ascii="Arial" w:hAnsi="Arial" w:cs="Arial"/>
        </w:rPr>
      </w:pPr>
      <w:r w:rsidRPr="002B4F0F">
        <w:rPr>
          <w:rFonts w:ascii="Arial" w:hAnsi="Arial" w:cs="Arial"/>
          <w:i/>
          <w:iCs/>
        </w:rPr>
        <w:t>Tripneustes gratilla</w:t>
      </w:r>
      <w:r w:rsidRPr="00745BD6">
        <w:rPr>
          <w:rFonts w:ascii="Arial" w:hAnsi="Arial" w:cs="Arial"/>
        </w:rPr>
        <w:t xml:space="preserve">, the most economically valuable species in the area, recorded test diameters ranging from 21.5–48.9 mm at Cawayan, 26.7–62.4 mm at Long Beach, 24.5–38.9 mm at Sugod, 16.9–62.4 mm at Carmen, 37.8–48.1 mm at Cabolutan, 20.6–49.1 mm at Poblacion, 23.4–29.5 mm at Cagboaya, 35.6–54.1 mm at Dubduban, 32.8–69.9 mm at Doña Juana, 32.9–54.1 mm at Binongaan, 37.2–64.8 mm at Lusong and 17.6–49.1 mm at Hinugusan. The smallest </w:t>
      </w:r>
      <w:r w:rsidRPr="002B4F0F">
        <w:rPr>
          <w:rFonts w:ascii="Arial" w:hAnsi="Arial" w:cs="Arial"/>
          <w:i/>
          <w:iCs/>
        </w:rPr>
        <w:t xml:space="preserve">T. gratilla </w:t>
      </w:r>
      <w:r w:rsidRPr="00745BD6">
        <w:rPr>
          <w:rFonts w:ascii="Arial" w:hAnsi="Arial" w:cs="Arial"/>
        </w:rPr>
        <w:t>individual was recorded at Carmen and the largest at Cabolutan, giving a species mean of 40.48 mm.</w:t>
      </w:r>
    </w:p>
    <w:p w14:paraId="55026645" w14:textId="77777777" w:rsidR="00745BD6" w:rsidRPr="00745BD6" w:rsidRDefault="00745BD6" w:rsidP="00745BD6">
      <w:pPr>
        <w:pStyle w:val="Body"/>
        <w:rPr>
          <w:rFonts w:ascii="Arial" w:hAnsi="Arial" w:cs="Arial"/>
        </w:rPr>
      </w:pPr>
      <w:r w:rsidRPr="00745BD6">
        <w:rPr>
          <w:rFonts w:ascii="Arial" w:hAnsi="Arial" w:cs="Arial"/>
        </w:rPr>
        <w:t xml:space="preserve">For </w:t>
      </w:r>
      <w:r w:rsidRPr="002B4F0F">
        <w:rPr>
          <w:rFonts w:ascii="Arial" w:hAnsi="Arial" w:cs="Arial"/>
          <w:i/>
          <w:iCs/>
        </w:rPr>
        <w:t>Echinometra mathaei</w:t>
      </w:r>
      <w:r w:rsidRPr="00745BD6">
        <w:rPr>
          <w:rFonts w:ascii="Arial" w:hAnsi="Arial" w:cs="Arial"/>
        </w:rPr>
        <w:t xml:space="preserve">, test diameters ranged from 30.2–45.3 mm at Cawayan, 29.5–55.6 mm at Long Beach, 21.7–32.98 mm at Sugod, 32.4–54.6 mm at Carmen, 17.3–31.79 mm at Cagboaya, 42.3–52.8 mm at Poblacion, 28.9–45.6 mm at Dubduban, 29.1–58.9 mm at Binongaan, 41.7–70.5 mm at Lusong and 29.3–67.3 mm at Hinugusan. The smallest </w:t>
      </w:r>
      <w:r w:rsidRPr="002B4F0F">
        <w:rPr>
          <w:rFonts w:ascii="Arial" w:hAnsi="Arial" w:cs="Arial"/>
          <w:i/>
          <w:iCs/>
        </w:rPr>
        <w:t>E. mathaei</w:t>
      </w:r>
      <w:r w:rsidRPr="00745BD6">
        <w:rPr>
          <w:rFonts w:ascii="Arial" w:hAnsi="Arial" w:cs="Arial"/>
        </w:rPr>
        <w:t xml:space="preserve"> individual was observed at Cagboaya and the largest at Poblacion, with a species mean of 42.01 mm.</w:t>
      </w:r>
    </w:p>
    <w:p w14:paraId="581A5A54" w14:textId="77777777" w:rsidR="00745BD6" w:rsidRPr="00745BD6" w:rsidRDefault="00745BD6" w:rsidP="00745BD6">
      <w:pPr>
        <w:pStyle w:val="Body"/>
        <w:rPr>
          <w:rFonts w:ascii="Arial" w:hAnsi="Arial" w:cs="Arial"/>
        </w:rPr>
      </w:pPr>
      <w:r w:rsidRPr="002B4F0F">
        <w:rPr>
          <w:rFonts w:ascii="Arial" w:hAnsi="Arial" w:cs="Arial"/>
          <w:i/>
          <w:iCs/>
        </w:rPr>
        <w:t>Salmacis belli</w:t>
      </w:r>
      <w:r w:rsidRPr="00745BD6">
        <w:rPr>
          <w:rFonts w:ascii="Arial" w:hAnsi="Arial" w:cs="Arial"/>
        </w:rPr>
        <w:t xml:space="preserve"> test diameters ranged from 33.4–64.1 mm at Long Beach, 21.3–55.6 mm at Carmen, 34.5–42.3 mm at Cagboaya, 24.1–49.5 mm at Poblacion and 33.9–57.8 mm at </w:t>
      </w:r>
      <w:r w:rsidRPr="00745BD6">
        <w:rPr>
          <w:rFonts w:ascii="Arial" w:hAnsi="Arial" w:cs="Arial"/>
        </w:rPr>
        <w:lastRenderedPageBreak/>
        <w:t>Binongaan. The smallest S. belli individual was recorded at Carmen and the largest at Cagboaya, giving a species mean of 42.33 mm.</w:t>
      </w:r>
    </w:p>
    <w:p w14:paraId="06082CA0" w14:textId="77777777" w:rsidR="00745BD6" w:rsidRPr="00745BD6" w:rsidRDefault="00745BD6" w:rsidP="00745BD6">
      <w:pPr>
        <w:pStyle w:val="Body"/>
        <w:rPr>
          <w:rFonts w:ascii="Arial" w:hAnsi="Arial" w:cs="Arial"/>
        </w:rPr>
      </w:pPr>
      <w:r w:rsidRPr="009B17DF">
        <w:rPr>
          <w:rFonts w:ascii="Arial" w:hAnsi="Arial" w:cs="Arial"/>
          <w:i/>
          <w:iCs/>
        </w:rPr>
        <w:t>Toxopneustes pileolus</w:t>
      </w:r>
      <w:r w:rsidRPr="00745BD6">
        <w:rPr>
          <w:rFonts w:ascii="Arial" w:hAnsi="Arial" w:cs="Arial"/>
        </w:rPr>
        <w:t xml:space="preserve"> was the least recorded species with test diameters ranging from 67.8–70.5 mm at Long Beach, 27.8–38.9 mm at Poblacion and 36.7–48.4 mm at Doña Juana. The smallest </w:t>
      </w:r>
      <w:r w:rsidRPr="00D005B0">
        <w:rPr>
          <w:rFonts w:ascii="Arial" w:hAnsi="Arial" w:cs="Arial"/>
          <w:i/>
          <w:iCs/>
        </w:rPr>
        <w:t>T. pileolus individual</w:t>
      </w:r>
      <w:r w:rsidRPr="00745BD6">
        <w:rPr>
          <w:rFonts w:ascii="Arial" w:hAnsi="Arial" w:cs="Arial"/>
        </w:rPr>
        <w:t xml:space="preserve"> was recorded at Poblacion and the largest at Long Beach, with a species mean of 48.73 mm.</w:t>
      </w:r>
    </w:p>
    <w:p w14:paraId="02A49D04" w14:textId="77777777" w:rsidR="00745BD6" w:rsidRDefault="00745BD6" w:rsidP="00745BD6">
      <w:pPr>
        <w:pStyle w:val="Body"/>
        <w:spacing w:after="0"/>
        <w:rPr>
          <w:rFonts w:ascii="Arial" w:hAnsi="Arial" w:cs="Arial"/>
        </w:rPr>
      </w:pPr>
      <w:r w:rsidRPr="009B17DF">
        <w:rPr>
          <w:rFonts w:ascii="Arial" w:hAnsi="Arial" w:cs="Arial"/>
          <w:i/>
          <w:iCs/>
        </w:rPr>
        <w:t>Echinothrix calamaris</w:t>
      </w:r>
      <w:r w:rsidRPr="00745BD6">
        <w:rPr>
          <w:rFonts w:ascii="Arial" w:hAnsi="Arial" w:cs="Arial"/>
        </w:rPr>
        <w:t xml:space="preserve"> was observed only at Long Beach, with test diameters ranging from 47.8–76.7 mm and a species mean of 64.16 mm, the largest mean test diameter of any species in the study.</w:t>
      </w:r>
    </w:p>
    <w:p w14:paraId="00286059" w14:textId="77777777" w:rsidR="00B45C2E" w:rsidRDefault="00B45C2E" w:rsidP="00745BD6">
      <w:pPr>
        <w:pStyle w:val="Body"/>
        <w:spacing w:after="0"/>
        <w:rPr>
          <w:rFonts w:ascii="Arial" w:hAnsi="Arial" w:cs="Arial"/>
        </w:rPr>
      </w:pPr>
    </w:p>
    <w:p w14:paraId="2804EB29" w14:textId="77777777" w:rsidR="00B45C2E" w:rsidRDefault="00B45C2E" w:rsidP="00745BD6">
      <w:pPr>
        <w:pStyle w:val="Body"/>
        <w:spacing w:after="0"/>
        <w:rPr>
          <w:rFonts w:ascii="Arial" w:hAnsi="Arial" w:cs="Arial"/>
        </w:rPr>
      </w:pPr>
      <w:r>
        <w:rPr>
          <w:rFonts w:ascii="Arial" w:hAnsi="Arial" w:cs="Arial"/>
        </w:rPr>
        <w:t>Table 2. Size structure of sea urchins across different sampling sites.</w:t>
      </w:r>
    </w:p>
    <w:p w14:paraId="5FBE508A" w14:textId="77777777" w:rsidR="00745BD6" w:rsidRDefault="00745BD6" w:rsidP="009F7C33">
      <w:pPr>
        <w:pStyle w:val="Body"/>
        <w:spacing w:after="0"/>
        <w:rPr>
          <w:rFonts w:ascii="Arial" w:hAnsi="Arial" w:cs="Arial"/>
        </w:rPr>
      </w:pPr>
    </w:p>
    <w:tbl>
      <w:tblPr>
        <w:tblW w:w="8506" w:type="dxa"/>
        <w:tblInd w:w="-34" w:type="dxa"/>
        <w:tblLayout w:type="fixed"/>
        <w:tblLook w:val="04A0" w:firstRow="1" w:lastRow="0" w:firstColumn="1" w:lastColumn="0" w:noHBand="0" w:noVBand="1"/>
      </w:tblPr>
      <w:tblGrid>
        <w:gridCol w:w="1276"/>
        <w:gridCol w:w="993"/>
        <w:gridCol w:w="1134"/>
        <w:gridCol w:w="992"/>
        <w:gridCol w:w="1276"/>
        <w:gridCol w:w="992"/>
        <w:gridCol w:w="992"/>
        <w:gridCol w:w="851"/>
      </w:tblGrid>
      <w:tr w:rsidR="00B45C2E" w:rsidRPr="00B45C2E" w14:paraId="3E61232F" w14:textId="77777777" w:rsidTr="007540C0">
        <w:trPr>
          <w:trHeight w:val="430"/>
        </w:trPr>
        <w:tc>
          <w:tcPr>
            <w:tcW w:w="1276" w:type="dxa"/>
            <w:tcBorders>
              <w:top w:val="single" w:sz="2" w:space="0" w:color="auto"/>
              <w:bottom w:val="single" w:sz="2" w:space="0" w:color="auto"/>
            </w:tcBorders>
            <w:hideMark/>
          </w:tcPr>
          <w:p w14:paraId="2324A71C" w14:textId="77777777" w:rsidR="00B45C2E" w:rsidRPr="00B45C2E" w:rsidRDefault="00B45C2E" w:rsidP="007540C0">
            <w:pPr>
              <w:jc w:val="center"/>
              <w:rPr>
                <w:rFonts w:ascii="Arial" w:hAnsi="Arial" w:cs="Arial"/>
                <w:b/>
                <w:bCs/>
                <w:color w:val="000000"/>
                <w:lang w:val="en-PH"/>
              </w:rPr>
            </w:pPr>
            <w:r w:rsidRPr="00B45C2E">
              <w:rPr>
                <w:rFonts w:ascii="Arial" w:hAnsi="Arial" w:cs="Arial"/>
                <w:b/>
                <w:bCs/>
                <w:color w:val="000000"/>
                <w:lang w:val="en-PH"/>
              </w:rPr>
              <w:t>Site</w:t>
            </w:r>
          </w:p>
        </w:tc>
        <w:tc>
          <w:tcPr>
            <w:tcW w:w="993" w:type="dxa"/>
            <w:tcBorders>
              <w:top w:val="single" w:sz="2" w:space="0" w:color="auto"/>
              <w:bottom w:val="single" w:sz="2" w:space="0" w:color="auto"/>
            </w:tcBorders>
          </w:tcPr>
          <w:p w14:paraId="502BA301" w14:textId="77777777" w:rsidR="00B45C2E" w:rsidRPr="00981492" w:rsidRDefault="00B45C2E" w:rsidP="007540C0">
            <w:pPr>
              <w:jc w:val="center"/>
              <w:rPr>
                <w:rFonts w:ascii="Arial" w:hAnsi="Arial" w:cs="Arial"/>
                <w:b/>
                <w:bCs/>
                <w:color w:val="000000"/>
                <w:lang w:val="en-PH"/>
              </w:rPr>
            </w:pPr>
            <w:r w:rsidRPr="00981492">
              <w:rPr>
                <w:rFonts w:ascii="Arial" w:eastAsia="Arial" w:hAnsi="Arial" w:cs="Arial"/>
                <w:b/>
                <w:bCs/>
                <w:color w:val="000000"/>
              </w:rPr>
              <w:t>Species</w:t>
            </w:r>
          </w:p>
        </w:tc>
        <w:tc>
          <w:tcPr>
            <w:tcW w:w="1134" w:type="dxa"/>
            <w:tcBorders>
              <w:top w:val="single" w:sz="2" w:space="0" w:color="auto"/>
              <w:bottom w:val="single" w:sz="2" w:space="0" w:color="auto"/>
            </w:tcBorders>
            <w:hideMark/>
          </w:tcPr>
          <w:p w14:paraId="3519424B" w14:textId="77777777" w:rsidR="00B45C2E" w:rsidRPr="00981492" w:rsidRDefault="00B45C2E" w:rsidP="007540C0">
            <w:pPr>
              <w:jc w:val="center"/>
              <w:rPr>
                <w:rFonts w:ascii="Arial" w:hAnsi="Arial" w:cs="Arial"/>
                <w:b/>
                <w:bCs/>
                <w:i/>
                <w:iCs/>
                <w:color w:val="000000"/>
                <w:lang w:val="en-PH"/>
              </w:rPr>
            </w:pPr>
            <w:r w:rsidRPr="00981492">
              <w:rPr>
                <w:rFonts w:ascii="Arial" w:eastAsia="Arial" w:hAnsi="Arial" w:cs="Arial"/>
                <w:b/>
                <w:bCs/>
                <w:i/>
                <w:iCs/>
                <w:color w:val="000000"/>
              </w:rPr>
              <w:t>D. setosum</w:t>
            </w:r>
          </w:p>
        </w:tc>
        <w:tc>
          <w:tcPr>
            <w:tcW w:w="992" w:type="dxa"/>
            <w:tcBorders>
              <w:top w:val="single" w:sz="2" w:space="0" w:color="auto"/>
              <w:bottom w:val="single" w:sz="2" w:space="0" w:color="auto"/>
            </w:tcBorders>
            <w:hideMark/>
          </w:tcPr>
          <w:p w14:paraId="2511046D" w14:textId="77777777" w:rsidR="00B45C2E" w:rsidRPr="00981492" w:rsidRDefault="00B45C2E" w:rsidP="007540C0">
            <w:pPr>
              <w:jc w:val="center"/>
              <w:rPr>
                <w:rFonts w:ascii="Arial" w:hAnsi="Arial" w:cs="Arial"/>
                <w:b/>
                <w:bCs/>
                <w:i/>
                <w:iCs/>
                <w:color w:val="000000"/>
                <w:lang w:val="en-PH"/>
              </w:rPr>
            </w:pPr>
            <w:r w:rsidRPr="00981492">
              <w:rPr>
                <w:rFonts w:ascii="Arial" w:eastAsia="Arial" w:hAnsi="Arial" w:cs="Arial"/>
                <w:b/>
                <w:bCs/>
                <w:i/>
                <w:iCs/>
                <w:color w:val="000000"/>
              </w:rPr>
              <w:t>E. mathaei</w:t>
            </w:r>
          </w:p>
        </w:tc>
        <w:tc>
          <w:tcPr>
            <w:tcW w:w="1276" w:type="dxa"/>
            <w:tcBorders>
              <w:top w:val="single" w:sz="2" w:space="0" w:color="auto"/>
              <w:bottom w:val="single" w:sz="2" w:space="0" w:color="auto"/>
            </w:tcBorders>
            <w:hideMark/>
          </w:tcPr>
          <w:p w14:paraId="18E38086" w14:textId="77777777" w:rsidR="00B45C2E" w:rsidRPr="00981492" w:rsidRDefault="00B45C2E" w:rsidP="007540C0">
            <w:pPr>
              <w:jc w:val="center"/>
              <w:rPr>
                <w:rFonts w:ascii="Arial" w:hAnsi="Arial" w:cs="Arial"/>
                <w:b/>
                <w:bCs/>
                <w:i/>
                <w:iCs/>
                <w:color w:val="000000"/>
                <w:lang w:val="en-PH"/>
              </w:rPr>
            </w:pPr>
            <w:r w:rsidRPr="00981492">
              <w:rPr>
                <w:rFonts w:ascii="Arial" w:eastAsia="Arial" w:hAnsi="Arial" w:cs="Arial"/>
                <w:b/>
                <w:bCs/>
                <w:i/>
                <w:iCs/>
                <w:color w:val="000000"/>
              </w:rPr>
              <w:t>E. calamaris</w:t>
            </w:r>
          </w:p>
        </w:tc>
        <w:tc>
          <w:tcPr>
            <w:tcW w:w="992" w:type="dxa"/>
            <w:tcBorders>
              <w:top w:val="single" w:sz="2" w:space="0" w:color="auto"/>
              <w:bottom w:val="single" w:sz="2" w:space="0" w:color="auto"/>
            </w:tcBorders>
            <w:hideMark/>
          </w:tcPr>
          <w:p w14:paraId="6AC64D9F" w14:textId="77777777" w:rsidR="00B45C2E" w:rsidRPr="00981492" w:rsidRDefault="00B45C2E" w:rsidP="007540C0">
            <w:pPr>
              <w:jc w:val="center"/>
              <w:rPr>
                <w:rFonts w:ascii="Arial" w:hAnsi="Arial" w:cs="Arial"/>
                <w:b/>
                <w:bCs/>
                <w:i/>
                <w:iCs/>
                <w:color w:val="000000"/>
                <w:lang w:val="en-PH"/>
              </w:rPr>
            </w:pPr>
            <w:r w:rsidRPr="00981492">
              <w:rPr>
                <w:rFonts w:ascii="Arial" w:eastAsia="Arial" w:hAnsi="Arial" w:cs="Arial"/>
                <w:b/>
                <w:bCs/>
                <w:i/>
                <w:iCs/>
                <w:color w:val="000000"/>
              </w:rPr>
              <w:t>T. gratilla</w:t>
            </w:r>
          </w:p>
        </w:tc>
        <w:tc>
          <w:tcPr>
            <w:tcW w:w="992" w:type="dxa"/>
            <w:tcBorders>
              <w:top w:val="single" w:sz="2" w:space="0" w:color="auto"/>
              <w:bottom w:val="single" w:sz="2" w:space="0" w:color="auto"/>
            </w:tcBorders>
            <w:hideMark/>
          </w:tcPr>
          <w:p w14:paraId="549CCEC3" w14:textId="77777777" w:rsidR="00B45C2E" w:rsidRPr="00981492" w:rsidRDefault="00B45C2E" w:rsidP="007540C0">
            <w:pPr>
              <w:jc w:val="center"/>
              <w:rPr>
                <w:rFonts w:ascii="Arial" w:hAnsi="Arial" w:cs="Arial"/>
                <w:b/>
                <w:bCs/>
                <w:i/>
                <w:iCs/>
                <w:color w:val="000000"/>
                <w:lang w:val="en-PH"/>
              </w:rPr>
            </w:pPr>
            <w:r w:rsidRPr="00981492">
              <w:rPr>
                <w:rFonts w:ascii="Arial" w:eastAsia="Arial" w:hAnsi="Arial" w:cs="Arial"/>
                <w:b/>
                <w:bCs/>
                <w:i/>
                <w:iCs/>
                <w:color w:val="000000"/>
              </w:rPr>
              <w:t>T. pileolus</w:t>
            </w:r>
          </w:p>
        </w:tc>
        <w:tc>
          <w:tcPr>
            <w:tcW w:w="851" w:type="dxa"/>
            <w:tcBorders>
              <w:top w:val="single" w:sz="2" w:space="0" w:color="auto"/>
              <w:bottom w:val="single" w:sz="2" w:space="0" w:color="auto"/>
            </w:tcBorders>
            <w:hideMark/>
          </w:tcPr>
          <w:p w14:paraId="1EB4EE60" w14:textId="77777777" w:rsidR="00B45C2E" w:rsidRPr="00B45C2E" w:rsidRDefault="00B45C2E" w:rsidP="007540C0">
            <w:pPr>
              <w:jc w:val="center"/>
              <w:rPr>
                <w:rFonts w:ascii="Arial" w:eastAsia="Arial" w:hAnsi="Arial" w:cs="Arial"/>
                <w:b/>
                <w:bCs/>
                <w:i/>
                <w:iCs/>
                <w:color w:val="000000"/>
              </w:rPr>
            </w:pPr>
            <w:r w:rsidRPr="00981492">
              <w:rPr>
                <w:rFonts w:ascii="Arial" w:eastAsia="Arial" w:hAnsi="Arial" w:cs="Arial"/>
                <w:b/>
                <w:bCs/>
                <w:i/>
                <w:iCs/>
                <w:color w:val="000000"/>
              </w:rPr>
              <w:t>S.</w:t>
            </w:r>
          </w:p>
          <w:p w14:paraId="1E29A30E" w14:textId="77777777" w:rsidR="00B45C2E" w:rsidRPr="00981492" w:rsidRDefault="00B45C2E" w:rsidP="007540C0">
            <w:pPr>
              <w:jc w:val="center"/>
              <w:rPr>
                <w:rFonts w:ascii="Arial" w:hAnsi="Arial" w:cs="Arial"/>
                <w:b/>
                <w:bCs/>
                <w:i/>
                <w:iCs/>
                <w:color w:val="000000"/>
                <w:lang w:val="en-PH"/>
              </w:rPr>
            </w:pPr>
            <w:r w:rsidRPr="00981492">
              <w:rPr>
                <w:rFonts w:ascii="Arial" w:eastAsia="Arial" w:hAnsi="Arial" w:cs="Arial"/>
                <w:b/>
                <w:bCs/>
                <w:i/>
                <w:iCs/>
                <w:color w:val="000000"/>
              </w:rPr>
              <w:t>belli</w:t>
            </w:r>
          </w:p>
        </w:tc>
      </w:tr>
      <w:tr w:rsidR="00B45C2E" w:rsidRPr="00B45C2E" w14:paraId="43BE79FB" w14:textId="77777777" w:rsidTr="007540C0">
        <w:trPr>
          <w:trHeight w:val="430"/>
        </w:trPr>
        <w:tc>
          <w:tcPr>
            <w:tcW w:w="1276" w:type="dxa"/>
            <w:vMerge w:val="restart"/>
            <w:tcBorders>
              <w:top w:val="single" w:sz="2" w:space="0" w:color="auto"/>
            </w:tcBorders>
            <w:hideMark/>
          </w:tcPr>
          <w:p w14:paraId="2F8F8669" w14:textId="77777777" w:rsidR="00981492" w:rsidRPr="00981492" w:rsidRDefault="00981492" w:rsidP="007540C0">
            <w:pPr>
              <w:rPr>
                <w:rFonts w:ascii="Arial" w:hAnsi="Arial" w:cs="Arial"/>
                <w:color w:val="000000"/>
                <w:lang w:val="en-PH"/>
              </w:rPr>
            </w:pPr>
            <w:r w:rsidRPr="00981492">
              <w:rPr>
                <w:rFonts w:ascii="Arial" w:eastAsia="Arial" w:hAnsi="Arial" w:cs="Arial"/>
                <w:color w:val="000000"/>
              </w:rPr>
              <w:t>Cawayan</w:t>
            </w:r>
          </w:p>
        </w:tc>
        <w:tc>
          <w:tcPr>
            <w:tcW w:w="993" w:type="dxa"/>
            <w:tcBorders>
              <w:top w:val="single" w:sz="2" w:space="0" w:color="auto"/>
            </w:tcBorders>
            <w:hideMark/>
          </w:tcPr>
          <w:p w14:paraId="302436CC"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tcBorders>
              <w:top w:val="single" w:sz="2" w:space="0" w:color="auto"/>
            </w:tcBorders>
            <w:hideMark/>
          </w:tcPr>
          <w:p w14:paraId="785702FA"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13.5–34.1</w:t>
            </w:r>
          </w:p>
        </w:tc>
        <w:tc>
          <w:tcPr>
            <w:tcW w:w="992" w:type="dxa"/>
            <w:tcBorders>
              <w:top w:val="single" w:sz="2" w:space="0" w:color="auto"/>
            </w:tcBorders>
            <w:hideMark/>
          </w:tcPr>
          <w:p w14:paraId="3D1A2CFA"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30.20–45.3</w:t>
            </w:r>
          </w:p>
        </w:tc>
        <w:tc>
          <w:tcPr>
            <w:tcW w:w="1276" w:type="dxa"/>
            <w:tcBorders>
              <w:top w:val="single" w:sz="2" w:space="0" w:color="auto"/>
            </w:tcBorders>
            <w:hideMark/>
          </w:tcPr>
          <w:p w14:paraId="303C4BE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tcBorders>
              <w:top w:val="single" w:sz="2" w:space="0" w:color="auto"/>
            </w:tcBorders>
            <w:hideMark/>
          </w:tcPr>
          <w:p w14:paraId="1439025D"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21.5–48.9</w:t>
            </w:r>
          </w:p>
        </w:tc>
        <w:tc>
          <w:tcPr>
            <w:tcW w:w="992" w:type="dxa"/>
            <w:tcBorders>
              <w:top w:val="single" w:sz="2" w:space="0" w:color="auto"/>
            </w:tcBorders>
            <w:hideMark/>
          </w:tcPr>
          <w:p w14:paraId="6A1C5FA8"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tcBorders>
              <w:top w:val="single" w:sz="2" w:space="0" w:color="auto"/>
            </w:tcBorders>
            <w:hideMark/>
          </w:tcPr>
          <w:p w14:paraId="5D8EA0DF"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4C090157" w14:textId="77777777" w:rsidTr="007540C0">
        <w:trPr>
          <w:trHeight w:val="430"/>
        </w:trPr>
        <w:tc>
          <w:tcPr>
            <w:tcW w:w="1276" w:type="dxa"/>
            <w:vMerge/>
            <w:hideMark/>
          </w:tcPr>
          <w:p w14:paraId="7D5A6C65" w14:textId="77777777" w:rsidR="00981492" w:rsidRPr="00981492" w:rsidRDefault="00981492" w:rsidP="007540C0">
            <w:pPr>
              <w:rPr>
                <w:rFonts w:ascii="Arial" w:hAnsi="Arial" w:cs="Arial"/>
                <w:color w:val="000000"/>
                <w:lang w:val="en-PH"/>
              </w:rPr>
            </w:pPr>
          </w:p>
        </w:tc>
        <w:tc>
          <w:tcPr>
            <w:tcW w:w="993" w:type="dxa"/>
            <w:hideMark/>
          </w:tcPr>
          <w:p w14:paraId="10FD5335"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hideMark/>
          </w:tcPr>
          <w:p w14:paraId="616DDD1C"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26.5</w:t>
            </w:r>
          </w:p>
        </w:tc>
        <w:tc>
          <w:tcPr>
            <w:tcW w:w="992" w:type="dxa"/>
            <w:hideMark/>
          </w:tcPr>
          <w:p w14:paraId="4EC8789A"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36.9</w:t>
            </w:r>
          </w:p>
        </w:tc>
        <w:tc>
          <w:tcPr>
            <w:tcW w:w="1276" w:type="dxa"/>
            <w:hideMark/>
          </w:tcPr>
          <w:p w14:paraId="7BC78854"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30C5FD4C"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35.4</w:t>
            </w:r>
          </w:p>
        </w:tc>
        <w:tc>
          <w:tcPr>
            <w:tcW w:w="992" w:type="dxa"/>
            <w:hideMark/>
          </w:tcPr>
          <w:p w14:paraId="36930CF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4265876C"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53E3BB1A" w14:textId="77777777" w:rsidTr="007540C0">
        <w:trPr>
          <w:trHeight w:val="430"/>
        </w:trPr>
        <w:tc>
          <w:tcPr>
            <w:tcW w:w="1276" w:type="dxa"/>
            <w:vMerge w:val="restart"/>
            <w:hideMark/>
          </w:tcPr>
          <w:p w14:paraId="10854EE9" w14:textId="77777777" w:rsidR="00981492" w:rsidRPr="00981492" w:rsidRDefault="00981492" w:rsidP="007540C0">
            <w:pPr>
              <w:rPr>
                <w:rFonts w:ascii="Arial" w:hAnsi="Arial" w:cs="Arial"/>
                <w:color w:val="000000"/>
                <w:lang w:val="en-PH"/>
              </w:rPr>
            </w:pPr>
            <w:r w:rsidRPr="00981492">
              <w:rPr>
                <w:rFonts w:ascii="Arial" w:eastAsia="Arial" w:hAnsi="Arial" w:cs="Arial"/>
                <w:color w:val="000000"/>
              </w:rPr>
              <w:t>Long Beach</w:t>
            </w:r>
          </w:p>
        </w:tc>
        <w:tc>
          <w:tcPr>
            <w:tcW w:w="993" w:type="dxa"/>
            <w:hideMark/>
          </w:tcPr>
          <w:p w14:paraId="6530EE20"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hideMark/>
          </w:tcPr>
          <w:p w14:paraId="212C2548"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31.50–67.8</w:t>
            </w:r>
          </w:p>
        </w:tc>
        <w:tc>
          <w:tcPr>
            <w:tcW w:w="992" w:type="dxa"/>
            <w:hideMark/>
          </w:tcPr>
          <w:p w14:paraId="359F04F6"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29.5–55.6</w:t>
            </w:r>
          </w:p>
        </w:tc>
        <w:tc>
          <w:tcPr>
            <w:tcW w:w="1276" w:type="dxa"/>
            <w:hideMark/>
          </w:tcPr>
          <w:p w14:paraId="308E27FC"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47.8–76.7</w:t>
            </w:r>
          </w:p>
        </w:tc>
        <w:tc>
          <w:tcPr>
            <w:tcW w:w="992" w:type="dxa"/>
            <w:hideMark/>
          </w:tcPr>
          <w:p w14:paraId="58A0C77C"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26.7–62.4</w:t>
            </w:r>
          </w:p>
        </w:tc>
        <w:tc>
          <w:tcPr>
            <w:tcW w:w="992" w:type="dxa"/>
            <w:hideMark/>
          </w:tcPr>
          <w:p w14:paraId="2B11D13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67.8–70.5</w:t>
            </w:r>
          </w:p>
        </w:tc>
        <w:tc>
          <w:tcPr>
            <w:tcW w:w="851" w:type="dxa"/>
            <w:hideMark/>
          </w:tcPr>
          <w:p w14:paraId="659302EA"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33.4–64.1</w:t>
            </w:r>
          </w:p>
        </w:tc>
      </w:tr>
      <w:tr w:rsidR="00B45C2E" w:rsidRPr="00B45C2E" w14:paraId="39A026BD" w14:textId="77777777" w:rsidTr="007540C0">
        <w:trPr>
          <w:trHeight w:val="430"/>
        </w:trPr>
        <w:tc>
          <w:tcPr>
            <w:tcW w:w="1276" w:type="dxa"/>
            <w:vMerge/>
            <w:hideMark/>
          </w:tcPr>
          <w:p w14:paraId="628DA418" w14:textId="77777777" w:rsidR="00981492" w:rsidRPr="00981492" w:rsidRDefault="00981492" w:rsidP="007540C0">
            <w:pPr>
              <w:rPr>
                <w:rFonts w:ascii="Arial" w:hAnsi="Arial" w:cs="Arial"/>
                <w:color w:val="000000"/>
                <w:lang w:val="en-PH"/>
              </w:rPr>
            </w:pPr>
          </w:p>
        </w:tc>
        <w:tc>
          <w:tcPr>
            <w:tcW w:w="993" w:type="dxa"/>
            <w:hideMark/>
          </w:tcPr>
          <w:p w14:paraId="6EDD09C7"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hideMark/>
          </w:tcPr>
          <w:p w14:paraId="30CD0810"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49</w:t>
            </w:r>
          </w:p>
        </w:tc>
        <w:tc>
          <w:tcPr>
            <w:tcW w:w="992" w:type="dxa"/>
            <w:hideMark/>
          </w:tcPr>
          <w:p w14:paraId="44BB0F86"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39.9</w:t>
            </w:r>
          </w:p>
        </w:tc>
        <w:tc>
          <w:tcPr>
            <w:tcW w:w="1276" w:type="dxa"/>
            <w:hideMark/>
          </w:tcPr>
          <w:p w14:paraId="574F6CFB"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64.2</w:t>
            </w:r>
          </w:p>
        </w:tc>
        <w:tc>
          <w:tcPr>
            <w:tcW w:w="992" w:type="dxa"/>
            <w:hideMark/>
          </w:tcPr>
          <w:p w14:paraId="1D14C934"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42.8</w:t>
            </w:r>
          </w:p>
        </w:tc>
        <w:tc>
          <w:tcPr>
            <w:tcW w:w="992" w:type="dxa"/>
            <w:hideMark/>
          </w:tcPr>
          <w:p w14:paraId="41779892"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69.2</w:t>
            </w:r>
          </w:p>
        </w:tc>
        <w:tc>
          <w:tcPr>
            <w:tcW w:w="851" w:type="dxa"/>
            <w:hideMark/>
          </w:tcPr>
          <w:p w14:paraId="2424FA3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50.3</w:t>
            </w:r>
          </w:p>
        </w:tc>
      </w:tr>
      <w:tr w:rsidR="00B45C2E" w:rsidRPr="00B45C2E" w14:paraId="50996E98" w14:textId="77777777" w:rsidTr="007540C0">
        <w:trPr>
          <w:trHeight w:val="430"/>
        </w:trPr>
        <w:tc>
          <w:tcPr>
            <w:tcW w:w="1276" w:type="dxa"/>
            <w:vMerge w:val="restart"/>
            <w:hideMark/>
          </w:tcPr>
          <w:p w14:paraId="4FFAE5D1" w14:textId="77777777" w:rsidR="00981492" w:rsidRPr="00981492" w:rsidRDefault="00981492" w:rsidP="007540C0">
            <w:pPr>
              <w:rPr>
                <w:rFonts w:ascii="Arial" w:hAnsi="Arial" w:cs="Arial"/>
                <w:color w:val="000000"/>
                <w:lang w:val="en-PH"/>
              </w:rPr>
            </w:pPr>
            <w:r w:rsidRPr="00981492">
              <w:rPr>
                <w:rFonts w:ascii="Arial" w:eastAsia="Arial" w:hAnsi="Arial" w:cs="Arial"/>
                <w:color w:val="000000"/>
              </w:rPr>
              <w:t>Sugod</w:t>
            </w:r>
          </w:p>
        </w:tc>
        <w:tc>
          <w:tcPr>
            <w:tcW w:w="993" w:type="dxa"/>
            <w:hideMark/>
          </w:tcPr>
          <w:p w14:paraId="674F75DD"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hideMark/>
          </w:tcPr>
          <w:p w14:paraId="6E69918C"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15.2–32.8</w:t>
            </w:r>
          </w:p>
        </w:tc>
        <w:tc>
          <w:tcPr>
            <w:tcW w:w="992" w:type="dxa"/>
            <w:hideMark/>
          </w:tcPr>
          <w:p w14:paraId="6301A82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21.7–49.5</w:t>
            </w:r>
          </w:p>
        </w:tc>
        <w:tc>
          <w:tcPr>
            <w:tcW w:w="1276" w:type="dxa"/>
            <w:hideMark/>
          </w:tcPr>
          <w:p w14:paraId="519C1F5B"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6D6BBB5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24.5–38.9</w:t>
            </w:r>
          </w:p>
        </w:tc>
        <w:tc>
          <w:tcPr>
            <w:tcW w:w="992" w:type="dxa"/>
            <w:hideMark/>
          </w:tcPr>
          <w:p w14:paraId="58FE541D"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2FEDCB35"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2402DFEC" w14:textId="77777777" w:rsidTr="007540C0">
        <w:trPr>
          <w:trHeight w:val="430"/>
        </w:trPr>
        <w:tc>
          <w:tcPr>
            <w:tcW w:w="1276" w:type="dxa"/>
            <w:vMerge/>
            <w:hideMark/>
          </w:tcPr>
          <w:p w14:paraId="29349BDB" w14:textId="77777777" w:rsidR="00981492" w:rsidRPr="00981492" w:rsidRDefault="00981492" w:rsidP="007540C0">
            <w:pPr>
              <w:rPr>
                <w:rFonts w:ascii="Arial" w:hAnsi="Arial" w:cs="Arial"/>
                <w:color w:val="000000"/>
                <w:lang w:val="en-PH"/>
              </w:rPr>
            </w:pPr>
          </w:p>
        </w:tc>
        <w:tc>
          <w:tcPr>
            <w:tcW w:w="993" w:type="dxa"/>
            <w:hideMark/>
          </w:tcPr>
          <w:p w14:paraId="624BE3D8"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hideMark/>
          </w:tcPr>
          <w:p w14:paraId="1470B3A8"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23.9</w:t>
            </w:r>
          </w:p>
        </w:tc>
        <w:tc>
          <w:tcPr>
            <w:tcW w:w="992" w:type="dxa"/>
            <w:hideMark/>
          </w:tcPr>
          <w:p w14:paraId="42A8F3DF"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33</w:t>
            </w:r>
          </w:p>
        </w:tc>
        <w:tc>
          <w:tcPr>
            <w:tcW w:w="1276" w:type="dxa"/>
            <w:hideMark/>
          </w:tcPr>
          <w:p w14:paraId="66A0828F"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36BD8BE8"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33.7</w:t>
            </w:r>
          </w:p>
        </w:tc>
        <w:tc>
          <w:tcPr>
            <w:tcW w:w="992" w:type="dxa"/>
            <w:hideMark/>
          </w:tcPr>
          <w:p w14:paraId="20AD029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28496DB7"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6F027384" w14:textId="77777777" w:rsidTr="007540C0">
        <w:trPr>
          <w:trHeight w:val="430"/>
        </w:trPr>
        <w:tc>
          <w:tcPr>
            <w:tcW w:w="1276" w:type="dxa"/>
            <w:vMerge w:val="restart"/>
            <w:hideMark/>
          </w:tcPr>
          <w:p w14:paraId="1D551D6E" w14:textId="77777777" w:rsidR="00981492" w:rsidRPr="00981492" w:rsidRDefault="00981492" w:rsidP="007540C0">
            <w:pPr>
              <w:rPr>
                <w:rFonts w:ascii="Arial" w:hAnsi="Arial" w:cs="Arial"/>
                <w:color w:val="000000"/>
                <w:lang w:val="en-PH"/>
              </w:rPr>
            </w:pPr>
            <w:r w:rsidRPr="00981492">
              <w:rPr>
                <w:rFonts w:ascii="Arial" w:eastAsia="Arial" w:hAnsi="Arial" w:cs="Arial"/>
                <w:color w:val="000000"/>
              </w:rPr>
              <w:t>Carmen</w:t>
            </w:r>
          </w:p>
        </w:tc>
        <w:tc>
          <w:tcPr>
            <w:tcW w:w="993" w:type="dxa"/>
            <w:hideMark/>
          </w:tcPr>
          <w:p w14:paraId="6556BD6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hideMark/>
          </w:tcPr>
          <w:p w14:paraId="4BAC29D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14.6–37.8</w:t>
            </w:r>
          </w:p>
        </w:tc>
        <w:tc>
          <w:tcPr>
            <w:tcW w:w="992" w:type="dxa"/>
            <w:hideMark/>
          </w:tcPr>
          <w:p w14:paraId="26CD599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32.4–54.6</w:t>
            </w:r>
          </w:p>
        </w:tc>
        <w:tc>
          <w:tcPr>
            <w:tcW w:w="1276" w:type="dxa"/>
            <w:hideMark/>
          </w:tcPr>
          <w:p w14:paraId="2EF3032C"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3BCD787D"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16.9–62.4</w:t>
            </w:r>
          </w:p>
        </w:tc>
        <w:tc>
          <w:tcPr>
            <w:tcW w:w="992" w:type="dxa"/>
            <w:hideMark/>
          </w:tcPr>
          <w:p w14:paraId="54943484"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54AF9560"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21.3–55.6</w:t>
            </w:r>
          </w:p>
        </w:tc>
      </w:tr>
      <w:tr w:rsidR="00B45C2E" w:rsidRPr="00B45C2E" w14:paraId="6D91B1AA" w14:textId="77777777" w:rsidTr="007540C0">
        <w:trPr>
          <w:trHeight w:val="430"/>
        </w:trPr>
        <w:tc>
          <w:tcPr>
            <w:tcW w:w="1276" w:type="dxa"/>
            <w:vMerge/>
            <w:hideMark/>
          </w:tcPr>
          <w:p w14:paraId="4C168185" w14:textId="77777777" w:rsidR="00981492" w:rsidRPr="00981492" w:rsidRDefault="00981492" w:rsidP="007540C0">
            <w:pPr>
              <w:rPr>
                <w:rFonts w:ascii="Arial" w:hAnsi="Arial" w:cs="Arial"/>
                <w:color w:val="000000"/>
                <w:lang w:val="en-PH"/>
              </w:rPr>
            </w:pPr>
          </w:p>
        </w:tc>
        <w:tc>
          <w:tcPr>
            <w:tcW w:w="993" w:type="dxa"/>
            <w:hideMark/>
          </w:tcPr>
          <w:p w14:paraId="16739AD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hideMark/>
          </w:tcPr>
          <w:p w14:paraId="6C07130C"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28.24</w:t>
            </w:r>
          </w:p>
        </w:tc>
        <w:tc>
          <w:tcPr>
            <w:tcW w:w="992" w:type="dxa"/>
            <w:hideMark/>
          </w:tcPr>
          <w:p w14:paraId="6672AC5E"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41.64</w:t>
            </w:r>
          </w:p>
        </w:tc>
        <w:tc>
          <w:tcPr>
            <w:tcW w:w="1276" w:type="dxa"/>
            <w:hideMark/>
          </w:tcPr>
          <w:p w14:paraId="584B797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6280034D"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36.72</w:t>
            </w:r>
          </w:p>
        </w:tc>
        <w:tc>
          <w:tcPr>
            <w:tcW w:w="992" w:type="dxa"/>
            <w:hideMark/>
          </w:tcPr>
          <w:p w14:paraId="640B93D6"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2B33640B"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38.45</w:t>
            </w:r>
          </w:p>
        </w:tc>
      </w:tr>
      <w:tr w:rsidR="00B45C2E" w:rsidRPr="00B45C2E" w14:paraId="1B66F53B" w14:textId="77777777" w:rsidTr="007540C0">
        <w:trPr>
          <w:trHeight w:val="430"/>
        </w:trPr>
        <w:tc>
          <w:tcPr>
            <w:tcW w:w="1276" w:type="dxa"/>
            <w:vMerge w:val="restart"/>
            <w:hideMark/>
          </w:tcPr>
          <w:p w14:paraId="0959C564" w14:textId="77777777" w:rsidR="00981492" w:rsidRPr="00981492" w:rsidRDefault="00981492" w:rsidP="007540C0">
            <w:pPr>
              <w:rPr>
                <w:rFonts w:ascii="Arial" w:hAnsi="Arial" w:cs="Arial"/>
                <w:color w:val="000000"/>
                <w:lang w:val="en-PH"/>
              </w:rPr>
            </w:pPr>
            <w:r w:rsidRPr="00981492">
              <w:rPr>
                <w:rFonts w:ascii="Arial" w:eastAsia="Arial" w:hAnsi="Arial" w:cs="Arial"/>
                <w:color w:val="000000"/>
              </w:rPr>
              <w:t>Cabolutan</w:t>
            </w:r>
          </w:p>
        </w:tc>
        <w:tc>
          <w:tcPr>
            <w:tcW w:w="993" w:type="dxa"/>
            <w:hideMark/>
          </w:tcPr>
          <w:p w14:paraId="53F63FE7"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hideMark/>
          </w:tcPr>
          <w:p w14:paraId="28FE7210"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17.3–29.7</w:t>
            </w:r>
          </w:p>
        </w:tc>
        <w:tc>
          <w:tcPr>
            <w:tcW w:w="992" w:type="dxa"/>
            <w:hideMark/>
          </w:tcPr>
          <w:p w14:paraId="446A8DEE"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1276" w:type="dxa"/>
            <w:hideMark/>
          </w:tcPr>
          <w:p w14:paraId="46D3AD3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41A8007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37.8–48.1</w:t>
            </w:r>
          </w:p>
        </w:tc>
        <w:tc>
          <w:tcPr>
            <w:tcW w:w="992" w:type="dxa"/>
            <w:hideMark/>
          </w:tcPr>
          <w:p w14:paraId="652618D6"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0193BA8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33992D05" w14:textId="77777777" w:rsidTr="007540C0">
        <w:trPr>
          <w:trHeight w:val="430"/>
        </w:trPr>
        <w:tc>
          <w:tcPr>
            <w:tcW w:w="1276" w:type="dxa"/>
            <w:vMerge/>
            <w:hideMark/>
          </w:tcPr>
          <w:p w14:paraId="57DA9068" w14:textId="77777777" w:rsidR="00981492" w:rsidRPr="00981492" w:rsidRDefault="00981492" w:rsidP="007540C0">
            <w:pPr>
              <w:rPr>
                <w:rFonts w:ascii="Arial" w:hAnsi="Arial" w:cs="Arial"/>
                <w:color w:val="000000"/>
                <w:lang w:val="en-PH"/>
              </w:rPr>
            </w:pPr>
          </w:p>
        </w:tc>
        <w:tc>
          <w:tcPr>
            <w:tcW w:w="993" w:type="dxa"/>
            <w:hideMark/>
          </w:tcPr>
          <w:p w14:paraId="76E2BF0E"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hideMark/>
          </w:tcPr>
          <w:p w14:paraId="73C8795D"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24.84</w:t>
            </w:r>
          </w:p>
        </w:tc>
        <w:tc>
          <w:tcPr>
            <w:tcW w:w="992" w:type="dxa"/>
            <w:hideMark/>
          </w:tcPr>
          <w:p w14:paraId="6CE4D99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1276" w:type="dxa"/>
            <w:hideMark/>
          </w:tcPr>
          <w:p w14:paraId="227CA35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22922116"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42.2</w:t>
            </w:r>
          </w:p>
        </w:tc>
        <w:tc>
          <w:tcPr>
            <w:tcW w:w="992" w:type="dxa"/>
            <w:hideMark/>
          </w:tcPr>
          <w:p w14:paraId="5B0C077B"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7787E640"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7AD62A54" w14:textId="77777777" w:rsidTr="007540C0">
        <w:trPr>
          <w:trHeight w:val="430"/>
        </w:trPr>
        <w:tc>
          <w:tcPr>
            <w:tcW w:w="1276" w:type="dxa"/>
            <w:vMerge w:val="restart"/>
            <w:hideMark/>
          </w:tcPr>
          <w:p w14:paraId="1660F7C1" w14:textId="77777777" w:rsidR="00981492" w:rsidRPr="00981492" w:rsidRDefault="00981492" w:rsidP="007540C0">
            <w:pPr>
              <w:rPr>
                <w:rFonts w:ascii="Arial" w:hAnsi="Arial" w:cs="Arial"/>
                <w:color w:val="000000"/>
                <w:lang w:val="en-PH"/>
              </w:rPr>
            </w:pPr>
            <w:r w:rsidRPr="00981492">
              <w:rPr>
                <w:rFonts w:ascii="Arial" w:eastAsia="Arial" w:hAnsi="Arial" w:cs="Arial"/>
                <w:color w:val="000000"/>
              </w:rPr>
              <w:t>Cagboaya</w:t>
            </w:r>
          </w:p>
        </w:tc>
        <w:tc>
          <w:tcPr>
            <w:tcW w:w="993" w:type="dxa"/>
            <w:hideMark/>
          </w:tcPr>
          <w:p w14:paraId="210D5FE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hideMark/>
          </w:tcPr>
          <w:p w14:paraId="19253B5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32.5–38.5</w:t>
            </w:r>
          </w:p>
        </w:tc>
        <w:tc>
          <w:tcPr>
            <w:tcW w:w="992" w:type="dxa"/>
            <w:hideMark/>
          </w:tcPr>
          <w:p w14:paraId="446286AB"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17.3–58.9</w:t>
            </w:r>
          </w:p>
        </w:tc>
        <w:tc>
          <w:tcPr>
            <w:tcW w:w="1276" w:type="dxa"/>
            <w:hideMark/>
          </w:tcPr>
          <w:p w14:paraId="12D536F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18A9C02D"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23.4–29.5</w:t>
            </w:r>
          </w:p>
        </w:tc>
        <w:tc>
          <w:tcPr>
            <w:tcW w:w="992" w:type="dxa"/>
            <w:hideMark/>
          </w:tcPr>
          <w:p w14:paraId="433E4528"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46EFDBF5"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34.5–42.3</w:t>
            </w:r>
          </w:p>
        </w:tc>
      </w:tr>
      <w:tr w:rsidR="00B45C2E" w:rsidRPr="00B45C2E" w14:paraId="4475B770" w14:textId="77777777" w:rsidTr="007540C0">
        <w:trPr>
          <w:trHeight w:val="430"/>
        </w:trPr>
        <w:tc>
          <w:tcPr>
            <w:tcW w:w="1276" w:type="dxa"/>
            <w:vMerge/>
            <w:hideMark/>
          </w:tcPr>
          <w:p w14:paraId="0522E10A" w14:textId="77777777" w:rsidR="00981492" w:rsidRPr="00981492" w:rsidRDefault="00981492" w:rsidP="007540C0">
            <w:pPr>
              <w:rPr>
                <w:rFonts w:ascii="Arial" w:hAnsi="Arial" w:cs="Arial"/>
                <w:color w:val="000000"/>
                <w:lang w:val="en-PH"/>
              </w:rPr>
            </w:pPr>
          </w:p>
        </w:tc>
        <w:tc>
          <w:tcPr>
            <w:tcW w:w="993" w:type="dxa"/>
            <w:hideMark/>
          </w:tcPr>
          <w:p w14:paraId="261FEE50"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hideMark/>
          </w:tcPr>
          <w:p w14:paraId="320636F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28.5</w:t>
            </w:r>
          </w:p>
        </w:tc>
        <w:tc>
          <w:tcPr>
            <w:tcW w:w="992" w:type="dxa"/>
            <w:hideMark/>
          </w:tcPr>
          <w:p w14:paraId="3376D17C"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31.2</w:t>
            </w:r>
          </w:p>
        </w:tc>
        <w:tc>
          <w:tcPr>
            <w:tcW w:w="1276" w:type="dxa"/>
            <w:hideMark/>
          </w:tcPr>
          <w:p w14:paraId="704F4747"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2C6E68B4"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34.5</w:t>
            </w:r>
          </w:p>
        </w:tc>
        <w:tc>
          <w:tcPr>
            <w:tcW w:w="992" w:type="dxa"/>
            <w:hideMark/>
          </w:tcPr>
          <w:p w14:paraId="22B38940"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5CA51724"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39.5</w:t>
            </w:r>
          </w:p>
        </w:tc>
      </w:tr>
      <w:tr w:rsidR="00B45C2E" w:rsidRPr="00B45C2E" w14:paraId="734066E9" w14:textId="77777777" w:rsidTr="007540C0">
        <w:trPr>
          <w:trHeight w:val="430"/>
        </w:trPr>
        <w:tc>
          <w:tcPr>
            <w:tcW w:w="1276" w:type="dxa"/>
            <w:vMerge w:val="restart"/>
            <w:hideMark/>
          </w:tcPr>
          <w:p w14:paraId="730B2B16" w14:textId="77777777" w:rsidR="00981492" w:rsidRPr="00981492" w:rsidRDefault="00981492" w:rsidP="007540C0">
            <w:pPr>
              <w:rPr>
                <w:rFonts w:ascii="Arial" w:hAnsi="Arial" w:cs="Arial"/>
                <w:color w:val="000000"/>
                <w:lang w:val="en-PH"/>
              </w:rPr>
            </w:pPr>
            <w:r w:rsidRPr="00981492">
              <w:rPr>
                <w:rFonts w:ascii="Arial" w:eastAsia="Arial" w:hAnsi="Arial" w:cs="Arial"/>
                <w:color w:val="000000"/>
              </w:rPr>
              <w:t>Poblacion</w:t>
            </w:r>
          </w:p>
        </w:tc>
        <w:tc>
          <w:tcPr>
            <w:tcW w:w="993" w:type="dxa"/>
            <w:hideMark/>
          </w:tcPr>
          <w:p w14:paraId="0E80DE4F"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hideMark/>
          </w:tcPr>
          <w:p w14:paraId="00DD452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43B2DBCF"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42.3–52.8</w:t>
            </w:r>
          </w:p>
        </w:tc>
        <w:tc>
          <w:tcPr>
            <w:tcW w:w="1276" w:type="dxa"/>
            <w:hideMark/>
          </w:tcPr>
          <w:p w14:paraId="3FA76A98"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14B118B8"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20.6–49.1</w:t>
            </w:r>
          </w:p>
        </w:tc>
        <w:tc>
          <w:tcPr>
            <w:tcW w:w="992" w:type="dxa"/>
            <w:hideMark/>
          </w:tcPr>
          <w:p w14:paraId="690E19F7"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27.8–38.9</w:t>
            </w:r>
          </w:p>
        </w:tc>
        <w:tc>
          <w:tcPr>
            <w:tcW w:w="851" w:type="dxa"/>
            <w:hideMark/>
          </w:tcPr>
          <w:p w14:paraId="5D0711BD"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24.1–49.5</w:t>
            </w:r>
          </w:p>
        </w:tc>
      </w:tr>
      <w:tr w:rsidR="00B45C2E" w:rsidRPr="00B45C2E" w14:paraId="068E8592" w14:textId="77777777" w:rsidTr="007540C0">
        <w:trPr>
          <w:trHeight w:val="430"/>
        </w:trPr>
        <w:tc>
          <w:tcPr>
            <w:tcW w:w="1276" w:type="dxa"/>
            <w:vMerge/>
            <w:hideMark/>
          </w:tcPr>
          <w:p w14:paraId="08B8DE07" w14:textId="77777777" w:rsidR="00981492" w:rsidRPr="00981492" w:rsidRDefault="00981492" w:rsidP="007540C0">
            <w:pPr>
              <w:rPr>
                <w:rFonts w:ascii="Arial" w:hAnsi="Arial" w:cs="Arial"/>
                <w:color w:val="000000"/>
                <w:lang w:val="en-PH"/>
              </w:rPr>
            </w:pPr>
          </w:p>
        </w:tc>
        <w:tc>
          <w:tcPr>
            <w:tcW w:w="993" w:type="dxa"/>
            <w:hideMark/>
          </w:tcPr>
          <w:p w14:paraId="372A5CE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hideMark/>
          </w:tcPr>
          <w:p w14:paraId="6F39EF4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1C9CE124"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49.3</w:t>
            </w:r>
          </w:p>
        </w:tc>
        <w:tc>
          <w:tcPr>
            <w:tcW w:w="1276" w:type="dxa"/>
            <w:hideMark/>
          </w:tcPr>
          <w:p w14:paraId="4975E90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4B79D8A2"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35.74</w:t>
            </w:r>
          </w:p>
        </w:tc>
        <w:tc>
          <w:tcPr>
            <w:tcW w:w="992" w:type="dxa"/>
            <w:hideMark/>
          </w:tcPr>
          <w:p w14:paraId="1C789AF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33.6</w:t>
            </w:r>
          </w:p>
        </w:tc>
        <w:tc>
          <w:tcPr>
            <w:tcW w:w="851" w:type="dxa"/>
            <w:hideMark/>
          </w:tcPr>
          <w:p w14:paraId="59DCCC17"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37.67</w:t>
            </w:r>
          </w:p>
        </w:tc>
      </w:tr>
      <w:tr w:rsidR="00B45C2E" w:rsidRPr="00B45C2E" w14:paraId="205FB6B1" w14:textId="77777777" w:rsidTr="007540C0">
        <w:trPr>
          <w:trHeight w:val="430"/>
        </w:trPr>
        <w:tc>
          <w:tcPr>
            <w:tcW w:w="1276" w:type="dxa"/>
            <w:vMerge w:val="restart"/>
            <w:hideMark/>
          </w:tcPr>
          <w:p w14:paraId="24A6E524" w14:textId="77777777" w:rsidR="00981492" w:rsidRPr="00981492" w:rsidRDefault="00981492" w:rsidP="007540C0">
            <w:pPr>
              <w:rPr>
                <w:rFonts w:ascii="Arial" w:hAnsi="Arial" w:cs="Arial"/>
                <w:color w:val="000000"/>
                <w:lang w:val="en-PH"/>
              </w:rPr>
            </w:pPr>
            <w:r w:rsidRPr="00981492">
              <w:rPr>
                <w:rFonts w:ascii="Arial" w:eastAsia="Arial" w:hAnsi="Arial" w:cs="Arial"/>
                <w:color w:val="000000"/>
              </w:rPr>
              <w:t>Dubduban</w:t>
            </w:r>
          </w:p>
        </w:tc>
        <w:tc>
          <w:tcPr>
            <w:tcW w:w="993" w:type="dxa"/>
            <w:hideMark/>
          </w:tcPr>
          <w:p w14:paraId="31B16B46"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hideMark/>
          </w:tcPr>
          <w:p w14:paraId="7E6D240F"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12.8–24.5</w:t>
            </w:r>
          </w:p>
        </w:tc>
        <w:tc>
          <w:tcPr>
            <w:tcW w:w="992" w:type="dxa"/>
            <w:hideMark/>
          </w:tcPr>
          <w:p w14:paraId="3C0D462A"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28.9–45.6</w:t>
            </w:r>
          </w:p>
        </w:tc>
        <w:tc>
          <w:tcPr>
            <w:tcW w:w="1276" w:type="dxa"/>
            <w:hideMark/>
          </w:tcPr>
          <w:p w14:paraId="644996B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7626F18B"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35.6–54.1</w:t>
            </w:r>
          </w:p>
        </w:tc>
        <w:tc>
          <w:tcPr>
            <w:tcW w:w="992" w:type="dxa"/>
            <w:hideMark/>
          </w:tcPr>
          <w:p w14:paraId="4F0D5B4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4E72ACE5"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49C992F1" w14:textId="77777777" w:rsidTr="007540C0">
        <w:trPr>
          <w:trHeight w:val="430"/>
        </w:trPr>
        <w:tc>
          <w:tcPr>
            <w:tcW w:w="1276" w:type="dxa"/>
            <w:vMerge/>
            <w:hideMark/>
          </w:tcPr>
          <w:p w14:paraId="12F0748D" w14:textId="77777777" w:rsidR="00981492" w:rsidRPr="00981492" w:rsidRDefault="00981492" w:rsidP="007540C0">
            <w:pPr>
              <w:rPr>
                <w:rFonts w:ascii="Arial" w:hAnsi="Arial" w:cs="Arial"/>
                <w:color w:val="000000"/>
                <w:lang w:val="en-PH"/>
              </w:rPr>
            </w:pPr>
          </w:p>
        </w:tc>
        <w:tc>
          <w:tcPr>
            <w:tcW w:w="993" w:type="dxa"/>
            <w:hideMark/>
          </w:tcPr>
          <w:p w14:paraId="2DB40D4E"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hideMark/>
          </w:tcPr>
          <w:p w14:paraId="6F6F3922"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19.04</w:t>
            </w:r>
          </w:p>
        </w:tc>
        <w:tc>
          <w:tcPr>
            <w:tcW w:w="992" w:type="dxa"/>
            <w:hideMark/>
          </w:tcPr>
          <w:p w14:paraId="18EFB85A"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38</w:t>
            </w:r>
          </w:p>
        </w:tc>
        <w:tc>
          <w:tcPr>
            <w:tcW w:w="1276" w:type="dxa"/>
            <w:hideMark/>
          </w:tcPr>
          <w:p w14:paraId="3F8016DB"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2FF9B84F"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44.73</w:t>
            </w:r>
          </w:p>
        </w:tc>
        <w:tc>
          <w:tcPr>
            <w:tcW w:w="992" w:type="dxa"/>
            <w:hideMark/>
          </w:tcPr>
          <w:p w14:paraId="1A2085FE"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6CC12C3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0D5B530E" w14:textId="77777777" w:rsidTr="007540C0">
        <w:trPr>
          <w:trHeight w:val="430"/>
        </w:trPr>
        <w:tc>
          <w:tcPr>
            <w:tcW w:w="1276" w:type="dxa"/>
            <w:vMerge w:val="restart"/>
          </w:tcPr>
          <w:p w14:paraId="55170F7A" w14:textId="77777777" w:rsidR="00B45C2E" w:rsidRPr="00981492" w:rsidRDefault="00B45C2E" w:rsidP="007540C0">
            <w:pPr>
              <w:rPr>
                <w:rFonts w:ascii="Arial" w:eastAsia="Arial" w:hAnsi="Arial" w:cs="Arial"/>
                <w:color w:val="000000"/>
              </w:rPr>
            </w:pPr>
            <w:r w:rsidRPr="00981492">
              <w:rPr>
                <w:rFonts w:ascii="Arial" w:eastAsia="Arial" w:hAnsi="Arial" w:cs="Arial"/>
                <w:color w:val="000000"/>
              </w:rPr>
              <w:t>Doña Juana</w:t>
            </w:r>
          </w:p>
        </w:tc>
        <w:tc>
          <w:tcPr>
            <w:tcW w:w="993" w:type="dxa"/>
          </w:tcPr>
          <w:p w14:paraId="70B992AF"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tcPr>
          <w:p w14:paraId="1A3D3BD6"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17.8–32.8</w:t>
            </w:r>
          </w:p>
        </w:tc>
        <w:tc>
          <w:tcPr>
            <w:tcW w:w="992" w:type="dxa"/>
          </w:tcPr>
          <w:p w14:paraId="3A2D48C0"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1276" w:type="dxa"/>
          </w:tcPr>
          <w:p w14:paraId="764CB694"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992" w:type="dxa"/>
          </w:tcPr>
          <w:p w14:paraId="78053AE2"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32.8–69.9</w:t>
            </w:r>
          </w:p>
        </w:tc>
        <w:tc>
          <w:tcPr>
            <w:tcW w:w="992" w:type="dxa"/>
          </w:tcPr>
          <w:p w14:paraId="7BB0D853"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36.7–48.4</w:t>
            </w:r>
          </w:p>
        </w:tc>
        <w:tc>
          <w:tcPr>
            <w:tcW w:w="851" w:type="dxa"/>
          </w:tcPr>
          <w:p w14:paraId="4A67DB77"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5D212026" w14:textId="77777777" w:rsidTr="007540C0">
        <w:trPr>
          <w:trHeight w:val="430"/>
        </w:trPr>
        <w:tc>
          <w:tcPr>
            <w:tcW w:w="1276" w:type="dxa"/>
            <w:vMerge/>
          </w:tcPr>
          <w:p w14:paraId="038DE601" w14:textId="77777777" w:rsidR="00B45C2E" w:rsidRPr="00981492" w:rsidRDefault="00B45C2E" w:rsidP="007540C0">
            <w:pPr>
              <w:rPr>
                <w:rFonts w:ascii="Arial" w:eastAsia="Arial" w:hAnsi="Arial" w:cs="Arial"/>
                <w:color w:val="000000"/>
              </w:rPr>
            </w:pPr>
          </w:p>
        </w:tc>
        <w:tc>
          <w:tcPr>
            <w:tcW w:w="993" w:type="dxa"/>
          </w:tcPr>
          <w:p w14:paraId="75BD6464"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tcPr>
          <w:p w14:paraId="7DC13AB9"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25.81</w:t>
            </w:r>
          </w:p>
        </w:tc>
        <w:tc>
          <w:tcPr>
            <w:tcW w:w="992" w:type="dxa"/>
          </w:tcPr>
          <w:p w14:paraId="78F6C8B5"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1276" w:type="dxa"/>
          </w:tcPr>
          <w:p w14:paraId="2E7ED18C"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992" w:type="dxa"/>
          </w:tcPr>
          <w:p w14:paraId="5239C332"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51.66</w:t>
            </w:r>
          </w:p>
        </w:tc>
        <w:tc>
          <w:tcPr>
            <w:tcW w:w="992" w:type="dxa"/>
          </w:tcPr>
          <w:p w14:paraId="0D023F1E"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43.43</w:t>
            </w:r>
          </w:p>
        </w:tc>
        <w:tc>
          <w:tcPr>
            <w:tcW w:w="851" w:type="dxa"/>
          </w:tcPr>
          <w:p w14:paraId="2A3C0F3B"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7A1FACB4" w14:textId="77777777" w:rsidTr="007540C0">
        <w:trPr>
          <w:trHeight w:val="430"/>
        </w:trPr>
        <w:tc>
          <w:tcPr>
            <w:tcW w:w="1276" w:type="dxa"/>
            <w:vMerge w:val="restart"/>
          </w:tcPr>
          <w:p w14:paraId="5ADB4A37" w14:textId="77777777" w:rsidR="00B45C2E" w:rsidRPr="00981492" w:rsidRDefault="00B45C2E" w:rsidP="007540C0">
            <w:pPr>
              <w:rPr>
                <w:rFonts w:ascii="Arial" w:eastAsia="Arial" w:hAnsi="Arial" w:cs="Arial"/>
                <w:color w:val="000000"/>
              </w:rPr>
            </w:pPr>
            <w:r w:rsidRPr="00981492">
              <w:rPr>
                <w:rFonts w:ascii="Arial" w:eastAsia="Arial" w:hAnsi="Arial" w:cs="Arial"/>
                <w:color w:val="000000"/>
              </w:rPr>
              <w:t>Binongaan</w:t>
            </w:r>
          </w:p>
        </w:tc>
        <w:tc>
          <w:tcPr>
            <w:tcW w:w="993" w:type="dxa"/>
          </w:tcPr>
          <w:p w14:paraId="29BAF5DA"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tcPr>
          <w:p w14:paraId="047665D2"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24.5–58.9</w:t>
            </w:r>
          </w:p>
        </w:tc>
        <w:tc>
          <w:tcPr>
            <w:tcW w:w="992" w:type="dxa"/>
          </w:tcPr>
          <w:p w14:paraId="4D2CD08D"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29.1–58.9</w:t>
            </w:r>
          </w:p>
        </w:tc>
        <w:tc>
          <w:tcPr>
            <w:tcW w:w="1276" w:type="dxa"/>
          </w:tcPr>
          <w:p w14:paraId="4B4991F4"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992" w:type="dxa"/>
          </w:tcPr>
          <w:p w14:paraId="60712A96"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32.9–54.1</w:t>
            </w:r>
          </w:p>
        </w:tc>
        <w:tc>
          <w:tcPr>
            <w:tcW w:w="992" w:type="dxa"/>
          </w:tcPr>
          <w:p w14:paraId="707B9A60"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851" w:type="dxa"/>
          </w:tcPr>
          <w:p w14:paraId="50DE4591"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33.9–57.8</w:t>
            </w:r>
          </w:p>
        </w:tc>
      </w:tr>
      <w:tr w:rsidR="00B45C2E" w:rsidRPr="00B45C2E" w14:paraId="38F2D3E6" w14:textId="77777777" w:rsidTr="007540C0">
        <w:trPr>
          <w:trHeight w:val="430"/>
        </w:trPr>
        <w:tc>
          <w:tcPr>
            <w:tcW w:w="1276" w:type="dxa"/>
            <w:vMerge/>
          </w:tcPr>
          <w:p w14:paraId="2C317E36" w14:textId="77777777" w:rsidR="00B45C2E" w:rsidRPr="00981492" w:rsidRDefault="00B45C2E" w:rsidP="007540C0">
            <w:pPr>
              <w:rPr>
                <w:rFonts w:ascii="Arial" w:eastAsia="Arial" w:hAnsi="Arial" w:cs="Arial"/>
                <w:color w:val="000000"/>
              </w:rPr>
            </w:pPr>
          </w:p>
        </w:tc>
        <w:tc>
          <w:tcPr>
            <w:tcW w:w="993" w:type="dxa"/>
          </w:tcPr>
          <w:p w14:paraId="01C3AB2C"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tcPr>
          <w:p w14:paraId="4A8A6A63"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46.91</w:t>
            </w:r>
          </w:p>
        </w:tc>
        <w:tc>
          <w:tcPr>
            <w:tcW w:w="992" w:type="dxa"/>
          </w:tcPr>
          <w:p w14:paraId="3B2022AC"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45.71</w:t>
            </w:r>
          </w:p>
        </w:tc>
        <w:tc>
          <w:tcPr>
            <w:tcW w:w="1276" w:type="dxa"/>
          </w:tcPr>
          <w:p w14:paraId="5ADEEEA2"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992" w:type="dxa"/>
          </w:tcPr>
          <w:p w14:paraId="3575A800"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44.65</w:t>
            </w:r>
          </w:p>
        </w:tc>
        <w:tc>
          <w:tcPr>
            <w:tcW w:w="992" w:type="dxa"/>
          </w:tcPr>
          <w:p w14:paraId="7DBAD818"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851" w:type="dxa"/>
          </w:tcPr>
          <w:p w14:paraId="04011798"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45.7</w:t>
            </w:r>
          </w:p>
        </w:tc>
      </w:tr>
      <w:tr w:rsidR="00B45C2E" w:rsidRPr="00B45C2E" w14:paraId="6BB5D195" w14:textId="77777777" w:rsidTr="007540C0">
        <w:trPr>
          <w:trHeight w:val="430"/>
        </w:trPr>
        <w:tc>
          <w:tcPr>
            <w:tcW w:w="1276" w:type="dxa"/>
            <w:vMerge w:val="restart"/>
          </w:tcPr>
          <w:p w14:paraId="56B7E270" w14:textId="77777777" w:rsidR="00B45C2E" w:rsidRPr="00981492" w:rsidRDefault="00B45C2E" w:rsidP="007540C0">
            <w:pPr>
              <w:rPr>
                <w:rFonts w:ascii="Arial" w:eastAsia="Arial" w:hAnsi="Arial" w:cs="Arial"/>
                <w:color w:val="000000"/>
              </w:rPr>
            </w:pPr>
            <w:r w:rsidRPr="00981492">
              <w:rPr>
                <w:rFonts w:ascii="Arial" w:eastAsia="Arial" w:hAnsi="Arial" w:cs="Arial"/>
                <w:color w:val="000000"/>
              </w:rPr>
              <w:t>Lusong</w:t>
            </w:r>
          </w:p>
        </w:tc>
        <w:tc>
          <w:tcPr>
            <w:tcW w:w="993" w:type="dxa"/>
          </w:tcPr>
          <w:p w14:paraId="6776D241"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tcPr>
          <w:p w14:paraId="546CF336"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25.9–42.8</w:t>
            </w:r>
          </w:p>
        </w:tc>
        <w:tc>
          <w:tcPr>
            <w:tcW w:w="992" w:type="dxa"/>
          </w:tcPr>
          <w:p w14:paraId="72BB3229"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41.70–70.5</w:t>
            </w:r>
          </w:p>
        </w:tc>
        <w:tc>
          <w:tcPr>
            <w:tcW w:w="1276" w:type="dxa"/>
          </w:tcPr>
          <w:p w14:paraId="12803D0B"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992" w:type="dxa"/>
          </w:tcPr>
          <w:p w14:paraId="5CB28312"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37.4–64.8</w:t>
            </w:r>
          </w:p>
        </w:tc>
        <w:tc>
          <w:tcPr>
            <w:tcW w:w="992" w:type="dxa"/>
          </w:tcPr>
          <w:p w14:paraId="475B2C98"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851" w:type="dxa"/>
          </w:tcPr>
          <w:p w14:paraId="0FCAA202"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216CB88A" w14:textId="77777777" w:rsidTr="007540C0">
        <w:trPr>
          <w:trHeight w:val="430"/>
        </w:trPr>
        <w:tc>
          <w:tcPr>
            <w:tcW w:w="1276" w:type="dxa"/>
            <w:vMerge/>
          </w:tcPr>
          <w:p w14:paraId="39363D70" w14:textId="77777777" w:rsidR="00B45C2E" w:rsidRPr="00981492" w:rsidRDefault="00B45C2E" w:rsidP="007540C0">
            <w:pPr>
              <w:rPr>
                <w:rFonts w:ascii="Arial" w:eastAsia="Arial" w:hAnsi="Arial" w:cs="Arial"/>
                <w:color w:val="000000"/>
              </w:rPr>
            </w:pPr>
          </w:p>
        </w:tc>
        <w:tc>
          <w:tcPr>
            <w:tcW w:w="993" w:type="dxa"/>
          </w:tcPr>
          <w:p w14:paraId="70DFB259"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tcPr>
          <w:p w14:paraId="50C9F72B"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32.78</w:t>
            </w:r>
          </w:p>
        </w:tc>
        <w:tc>
          <w:tcPr>
            <w:tcW w:w="992" w:type="dxa"/>
          </w:tcPr>
          <w:p w14:paraId="6F1C09C1"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56.18</w:t>
            </w:r>
          </w:p>
        </w:tc>
        <w:tc>
          <w:tcPr>
            <w:tcW w:w="1276" w:type="dxa"/>
          </w:tcPr>
          <w:p w14:paraId="21AF28DA"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992" w:type="dxa"/>
          </w:tcPr>
          <w:p w14:paraId="57BEF0DC"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52.76</w:t>
            </w:r>
          </w:p>
        </w:tc>
        <w:tc>
          <w:tcPr>
            <w:tcW w:w="992" w:type="dxa"/>
          </w:tcPr>
          <w:p w14:paraId="532B1491"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851" w:type="dxa"/>
          </w:tcPr>
          <w:p w14:paraId="36C0E70D"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7E8AD82A" w14:textId="77777777" w:rsidTr="007540C0">
        <w:trPr>
          <w:trHeight w:val="430"/>
        </w:trPr>
        <w:tc>
          <w:tcPr>
            <w:tcW w:w="1276" w:type="dxa"/>
            <w:vMerge w:val="restart"/>
          </w:tcPr>
          <w:p w14:paraId="62F03F4D" w14:textId="77777777" w:rsidR="00B45C2E" w:rsidRPr="00981492" w:rsidRDefault="00B45C2E" w:rsidP="007540C0">
            <w:pPr>
              <w:rPr>
                <w:rFonts w:ascii="Arial" w:eastAsia="Arial" w:hAnsi="Arial" w:cs="Arial"/>
                <w:color w:val="000000"/>
              </w:rPr>
            </w:pPr>
            <w:r w:rsidRPr="00981492">
              <w:rPr>
                <w:rFonts w:ascii="Arial" w:eastAsia="Arial" w:hAnsi="Arial" w:cs="Arial"/>
                <w:color w:val="000000"/>
              </w:rPr>
              <w:t>Hinugusan</w:t>
            </w:r>
          </w:p>
        </w:tc>
        <w:tc>
          <w:tcPr>
            <w:tcW w:w="993" w:type="dxa"/>
          </w:tcPr>
          <w:p w14:paraId="35B95D84"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tcPr>
          <w:p w14:paraId="2345640D"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26.5–54.7</w:t>
            </w:r>
          </w:p>
        </w:tc>
        <w:tc>
          <w:tcPr>
            <w:tcW w:w="992" w:type="dxa"/>
          </w:tcPr>
          <w:p w14:paraId="381C0B0F"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29.3–67.3</w:t>
            </w:r>
          </w:p>
        </w:tc>
        <w:tc>
          <w:tcPr>
            <w:tcW w:w="1276" w:type="dxa"/>
          </w:tcPr>
          <w:p w14:paraId="26E10B1A"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992" w:type="dxa"/>
          </w:tcPr>
          <w:p w14:paraId="2273B751"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17.6–49.1</w:t>
            </w:r>
          </w:p>
        </w:tc>
        <w:tc>
          <w:tcPr>
            <w:tcW w:w="992" w:type="dxa"/>
          </w:tcPr>
          <w:p w14:paraId="4C4C7438"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851" w:type="dxa"/>
          </w:tcPr>
          <w:p w14:paraId="2C13615C"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10E21DC9" w14:textId="77777777" w:rsidTr="007540C0">
        <w:trPr>
          <w:trHeight w:val="430"/>
        </w:trPr>
        <w:tc>
          <w:tcPr>
            <w:tcW w:w="1276" w:type="dxa"/>
            <w:vMerge/>
            <w:tcBorders>
              <w:bottom w:val="single" w:sz="2" w:space="0" w:color="auto"/>
            </w:tcBorders>
          </w:tcPr>
          <w:p w14:paraId="2F93C9FB" w14:textId="77777777" w:rsidR="00B45C2E" w:rsidRPr="00981492" w:rsidRDefault="00B45C2E" w:rsidP="007540C0">
            <w:pPr>
              <w:jc w:val="center"/>
              <w:rPr>
                <w:rFonts w:ascii="Arial" w:eastAsia="Arial" w:hAnsi="Arial" w:cs="Arial"/>
                <w:color w:val="000000"/>
              </w:rPr>
            </w:pPr>
          </w:p>
        </w:tc>
        <w:tc>
          <w:tcPr>
            <w:tcW w:w="993" w:type="dxa"/>
            <w:tcBorders>
              <w:bottom w:val="single" w:sz="2" w:space="0" w:color="auto"/>
            </w:tcBorders>
          </w:tcPr>
          <w:p w14:paraId="53B86C70"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tcBorders>
              <w:bottom w:val="single" w:sz="2" w:space="0" w:color="auto"/>
            </w:tcBorders>
          </w:tcPr>
          <w:p w14:paraId="6524DEC0"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40.27</w:t>
            </w:r>
          </w:p>
        </w:tc>
        <w:tc>
          <w:tcPr>
            <w:tcW w:w="992" w:type="dxa"/>
            <w:tcBorders>
              <w:bottom w:val="single" w:sz="2" w:space="0" w:color="auto"/>
            </w:tcBorders>
          </w:tcPr>
          <w:p w14:paraId="52825253"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47.79</w:t>
            </w:r>
          </w:p>
        </w:tc>
        <w:tc>
          <w:tcPr>
            <w:tcW w:w="1276" w:type="dxa"/>
            <w:tcBorders>
              <w:bottom w:val="single" w:sz="2" w:space="0" w:color="auto"/>
            </w:tcBorders>
          </w:tcPr>
          <w:p w14:paraId="6C9D2D8A"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992" w:type="dxa"/>
            <w:tcBorders>
              <w:bottom w:val="single" w:sz="2" w:space="0" w:color="auto"/>
            </w:tcBorders>
          </w:tcPr>
          <w:p w14:paraId="64E8FCD8"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34.23</w:t>
            </w:r>
          </w:p>
        </w:tc>
        <w:tc>
          <w:tcPr>
            <w:tcW w:w="992" w:type="dxa"/>
            <w:tcBorders>
              <w:bottom w:val="single" w:sz="2" w:space="0" w:color="auto"/>
            </w:tcBorders>
          </w:tcPr>
          <w:p w14:paraId="5938D218"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851" w:type="dxa"/>
            <w:tcBorders>
              <w:bottom w:val="single" w:sz="2" w:space="0" w:color="auto"/>
            </w:tcBorders>
          </w:tcPr>
          <w:p w14:paraId="73E0C492"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r>
    </w:tbl>
    <w:p w14:paraId="4D9D6E87" w14:textId="77777777" w:rsidR="00C95387" w:rsidRDefault="00C95387" w:rsidP="00C95387">
      <w:pPr>
        <w:pStyle w:val="Body"/>
        <w:spacing w:after="0"/>
        <w:rPr>
          <w:rFonts w:ascii="Arial" w:hAnsi="Arial" w:cs="Arial"/>
        </w:rPr>
      </w:pPr>
    </w:p>
    <w:p w14:paraId="2BA607F6" w14:textId="77777777" w:rsidR="005F43F8" w:rsidRPr="005F43F8" w:rsidRDefault="005F43F8" w:rsidP="005F43F8">
      <w:pPr>
        <w:spacing w:before="120" w:after="120"/>
        <w:rPr>
          <w:rFonts w:ascii="Arial" w:hAnsi="Arial" w:cs="Arial"/>
        </w:rPr>
      </w:pPr>
      <w:r w:rsidRPr="005F43F8">
        <w:rPr>
          <w:rFonts w:ascii="Arial" w:hAnsi="Arial" w:cs="Arial"/>
          <w:b/>
        </w:rPr>
        <w:t>4. 2</w:t>
      </w:r>
      <w:r w:rsidR="002B4F0F">
        <w:rPr>
          <w:rFonts w:ascii="Arial" w:hAnsi="Arial" w:cs="Arial"/>
          <w:b/>
        </w:rPr>
        <w:t xml:space="preserve"> </w:t>
      </w:r>
      <w:r w:rsidRPr="005F43F8">
        <w:rPr>
          <w:rFonts w:ascii="Arial" w:hAnsi="Arial" w:cs="Arial"/>
          <w:b/>
        </w:rPr>
        <w:t>Discussion</w:t>
      </w:r>
    </w:p>
    <w:p w14:paraId="1B8C36D2" w14:textId="77777777" w:rsidR="005F43F8" w:rsidRPr="005F43F8" w:rsidRDefault="005F43F8" w:rsidP="005F43F8">
      <w:pPr>
        <w:jc w:val="both"/>
        <w:rPr>
          <w:rFonts w:ascii="Arial" w:hAnsi="Arial" w:cs="Arial"/>
        </w:rPr>
      </w:pPr>
      <w:r w:rsidRPr="005F43F8">
        <w:rPr>
          <w:rFonts w:ascii="Arial" w:hAnsi="Arial" w:cs="Arial"/>
        </w:rPr>
        <w:t>The present study documented six sea urchin species distributed across four families (</w:t>
      </w:r>
      <w:r w:rsidRPr="005F43F8">
        <w:rPr>
          <w:rFonts w:ascii="Arial" w:hAnsi="Arial" w:cs="Arial"/>
          <w:i/>
        </w:rPr>
        <w:t>Diadema setosum</w:t>
      </w:r>
      <w:r w:rsidRPr="005F43F8">
        <w:rPr>
          <w:rFonts w:ascii="Arial" w:hAnsi="Arial" w:cs="Arial"/>
        </w:rPr>
        <w:t xml:space="preserve">, </w:t>
      </w:r>
      <w:r w:rsidRPr="005F43F8">
        <w:rPr>
          <w:rFonts w:ascii="Arial" w:hAnsi="Arial" w:cs="Arial"/>
          <w:i/>
        </w:rPr>
        <w:t>Echinothrix calamaris</w:t>
      </w:r>
      <w:r w:rsidRPr="005F43F8">
        <w:rPr>
          <w:rFonts w:ascii="Arial" w:hAnsi="Arial" w:cs="Arial"/>
        </w:rPr>
        <w:t xml:space="preserve">, </w:t>
      </w:r>
      <w:r w:rsidRPr="005F43F8">
        <w:rPr>
          <w:rFonts w:ascii="Arial" w:hAnsi="Arial" w:cs="Arial"/>
          <w:i/>
        </w:rPr>
        <w:t>Echinometra mathaei</w:t>
      </w:r>
      <w:r w:rsidRPr="005F43F8">
        <w:rPr>
          <w:rFonts w:ascii="Arial" w:hAnsi="Arial" w:cs="Arial"/>
        </w:rPr>
        <w:t xml:space="preserve">, </w:t>
      </w:r>
      <w:r w:rsidRPr="005F43F8">
        <w:rPr>
          <w:rFonts w:ascii="Arial" w:hAnsi="Arial" w:cs="Arial"/>
          <w:i/>
        </w:rPr>
        <w:t>Toxopneustes pileolus</w:t>
      </w:r>
      <w:r w:rsidRPr="005F43F8">
        <w:rPr>
          <w:rFonts w:ascii="Arial" w:hAnsi="Arial" w:cs="Arial"/>
        </w:rPr>
        <w:t xml:space="preserve">, </w:t>
      </w:r>
      <w:r w:rsidRPr="005F43F8">
        <w:rPr>
          <w:rFonts w:ascii="Arial" w:hAnsi="Arial" w:cs="Arial"/>
          <w:i/>
        </w:rPr>
        <w:t>Tripneustes gratilla</w:t>
      </w:r>
      <w:r w:rsidRPr="005F43F8">
        <w:rPr>
          <w:rFonts w:ascii="Arial" w:hAnsi="Arial" w:cs="Arial"/>
        </w:rPr>
        <w:t xml:space="preserve">, and </w:t>
      </w:r>
      <w:r w:rsidRPr="005F43F8">
        <w:rPr>
          <w:rFonts w:ascii="Arial" w:hAnsi="Arial" w:cs="Arial"/>
          <w:i/>
        </w:rPr>
        <w:t>Salmacis belli</w:t>
      </w:r>
      <w:r w:rsidRPr="005F43F8">
        <w:rPr>
          <w:rFonts w:ascii="Arial" w:hAnsi="Arial" w:cs="Arial"/>
        </w:rPr>
        <w:t xml:space="preserve">) in twelve sampling sites along the north-eastern coast of Tablas Island, Romblon, Philippines. The recorded assemblage, with a total abundance of 442 individuals, community-level Shannon–Wiener diversity of H′ = 1.53, near-perfect evenness at several sites (J′ = 0.99), and a strongly </w:t>
      </w:r>
      <w:r w:rsidRPr="005F43F8">
        <w:rPr>
          <w:rFonts w:ascii="Arial" w:hAnsi="Arial" w:cs="Arial"/>
          <w:i/>
        </w:rPr>
        <w:t>T. gratilla</w:t>
      </w:r>
      <w:r w:rsidRPr="005F43F8">
        <w:rPr>
          <w:rFonts w:ascii="Arial" w:hAnsi="Arial" w:cs="Arial"/>
        </w:rPr>
        <w:t>-skewed dominance pattern, mirrors and simultaneously refines patterns reported across the wider Indo-Pacific and the Coral Triangle (Mooi &amp; Munguia, 2011; Coppard et al., 2021; Vimono et al., 2025). Below, we contextualize these findings against the current state of echinoid ecology, examining species composition, spatial heterogeneity, size structure, and their implications for coastal management in data-poor Philippine seascapes.</w:t>
      </w:r>
    </w:p>
    <w:p w14:paraId="6D1FD095" w14:textId="77777777" w:rsidR="005F43F8" w:rsidRPr="005F43F8" w:rsidRDefault="005F43F8" w:rsidP="005F43F8">
      <w:pPr>
        <w:spacing w:before="120" w:after="120"/>
        <w:rPr>
          <w:rFonts w:ascii="Arial" w:hAnsi="Arial" w:cs="Arial"/>
        </w:rPr>
      </w:pPr>
      <w:r w:rsidRPr="005F43F8">
        <w:rPr>
          <w:rFonts w:ascii="Arial" w:hAnsi="Arial" w:cs="Arial"/>
          <w:b/>
        </w:rPr>
        <w:t>4.</w:t>
      </w:r>
      <w:r>
        <w:rPr>
          <w:rFonts w:ascii="Arial" w:hAnsi="Arial" w:cs="Arial"/>
          <w:b/>
        </w:rPr>
        <w:t>2.1</w:t>
      </w:r>
      <w:r w:rsidRPr="005F43F8">
        <w:rPr>
          <w:rFonts w:ascii="Arial" w:hAnsi="Arial" w:cs="Arial"/>
          <w:b/>
        </w:rPr>
        <w:t xml:space="preserve"> Species composition and biogeographic context</w:t>
      </w:r>
    </w:p>
    <w:p w14:paraId="7891CA1A" w14:textId="77777777" w:rsidR="005F43F8" w:rsidRPr="005F43F8" w:rsidRDefault="005F43F8" w:rsidP="005F43F8">
      <w:pPr>
        <w:jc w:val="both"/>
        <w:rPr>
          <w:rFonts w:ascii="Arial" w:hAnsi="Arial" w:cs="Arial"/>
        </w:rPr>
      </w:pPr>
      <w:r w:rsidRPr="005F43F8">
        <w:rPr>
          <w:rFonts w:ascii="Arial" w:hAnsi="Arial" w:cs="Arial"/>
        </w:rPr>
        <w:t xml:space="preserve">The six species documented in Tablas Island represent a subset of the ≥210 echinoid species currently recognized from the Philippine archipelago, one of the richest echinoid faunas globally (Mooi &amp; Munguia, 2011; Kroh &amp; Mooi, 2020). The composition is fully consistent with typical shallow-water reef-flat assemblages in the Central Indo-Pacific, dominated by Diadematidae, Echinometridae, Toxopneustidae, and Temnopleuridae (Lawrence, 2013; Coppard et al., 2021; Vimono et al., 2025). Comparable species pools have been reported from Bolinao, Pangasinan (Juinio-Meñez et al., 1998, 2008); Guimaras (Luza &amp; Malay, 2019); Misamis Oriental (Llacuna et al., 2016; Baran, 2013); Bato-Bato, Sulu (Sailadjan et al., 2026); Davao Occidental (Molina et al., 2025); and Cebu (Dy &amp; Yap, 2000), suggesting that the six-species core of </w:t>
      </w:r>
      <w:r w:rsidRPr="005F43F8">
        <w:rPr>
          <w:rFonts w:ascii="Arial" w:hAnsi="Arial" w:cs="Arial"/>
          <w:i/>
        </w:rPr>
        <w:t>D. setosum</w:t>
      </w:r>
      <w:r w:rsidRPr="005F43F8">
        <w:rPr>
          <w:rFonts w:ascii="Arial" w:hAnsi="Arial" w:cs="Arial"/>
        </w:rPr>
        <w:t xml:space="preserve">, </w:t>
      </w:r>
      <w:r w:rsidRPr="005F43F8">
        <w:rPr>
          <w:rFonts w:ascii="Arial" w:hAnsi="Arial" w:cs="Arial"/>
          <w:i/>
        </w:rPr>
        <w:t>E. calamaris</w:t>
      </w:r>
      <w:r w:rsidRPr="005F43F8">
        <w:rPr>
          <w:rFonts w:ascii="Arial" w:hAnsi="Arial" w:cs="Arial"/>
        </w:rPr>
        <w:t xml:space="preserve">, </w:t>
      </w:r>
      <w:r w:rsidRPr="005F43F8">
        <w:rPr>
          <w:rFonts w:ascii="Arial" w:hAnsi="Arial" w:cs="Arial"/>
          <w:i/>
        </w:rPr>
        <w:t>E. mathaei</w:t>
      </w:r>
      <w:r w:rsidRPr="005F43F8">
        <w:rPr>
          <w:rFonts w:ascii="Arial" w:hAnsi="Arial" w:cs="Arial"/>
        </w:rPr>
        <w:t xml:space="preserve">, </w:t>
      </w:r>
      <w:r w:rsidRPr="005F43F8">
        <w:rPr>
          <w:rFonts w:ascii="Arial" w:hAnsi="Arial" w:cs="Arial"/>
          <w:i/>
        </w:rPr>
        <w:t>T. gratilla</w:t>
      </w:r>
      <w:r w:rsidRPr="005F43F8">
        <w:rPr>
          <w:rFonts w:ascii="Arial" w:hAnsi="Arial" w:cs="Arial"/>
        </w:rPr>
        <w:t xml:space="preserve">, </w:t>
      </w:r>
      <w:r w:rsidRPr="005F43F8">
        <w:rPr>
          <w:rFonts w:ascii="Arial" w:hAnsi="Arial" w:cs="Arial"/>
          <w:i/>
        </w:rPr>
        <w:t>T. pileolus</w:t>
      </w:r>
      <w:r w:rsidRPr="005F43F8">
        <w:rPr>
          <w:rFonts w:ascii="Arial" w:hAnsi="Arial" w:cs="Arial"/>
        </w:rPr>
        <w:t xml:space="preserve">, and </w:t>
      </w:r>
      <w:r w:rsidRPr="005F43F8">
        <w:rPr>
          <w:rFonts w:ascii="Arial" w:hAnsi="Arial" w:cs="Arial"/>
          <w:i/>
        </w:rPr>
        <w:t>S. belli</w:t>
      </w:r>
      <w:r w:rsidRPr="005F43F8">
        <w:rPr>
          <w:rFonts w:ascii="Arial" w:hAnsi="Arial" w:cs="Arial"/>
        </w:rPr>
        <w:t xml:space="preserve"> represents a widespread, taxonomically stable community across Philippine reef flats and seagrass meadows.</w:t>
      </w:r>
    </w:p>
    <w:p w14:paraId="0C034FE5" w14:textId="77777777" w:rsidR="005F43F8" w:rsidRPr="005F43F8" w:rsidRDefault="005F43F8" w:rsidP="005F43F8">
      <w:pPr>
        <w:jc w:val="both"/>
        <w:rPr>
          <w:rFonts w:ascii="Arial" w:hAnsi="Arial" w:cs="Arial"/>
        </w:rPr>
      </w:pPr>
      <w:r w:rsidRPr="005F43F8">
        <w:rPr>
          <w:rFonts w:ascii="Arial" w:hAnsi="Arial" w:cs="Arial"/>
        </w:rPr>
        <w:t>That richness in Tablas (S = 6) is modest compared with the 8–12 species reported from more structurally complex reef systems in Sulawesi (Nane, 2019), Raja Ampat (Siburian et al., 2023), and the Red Sea (Bronstein &amp; Loya, 2014) likely reflects the predominantly reef-flat and seagrass character of the north-eastern Tablas coast, where habitat complexity, wave exposure, and reef relief are lower than in fringing- or barrier-reef systems (Cleary et al., 2005; Bronstein &amp; Loya, 2014). Similar values (S = 4–7) have been reported for coastal Singapore (Goh &amp; Lee, 2015; Zhou &amp; Goh, 2025), Peninsular Malaysia (Ying, 2023), Semporna, Borneo (Rahim &amp; Nurhasan, 2016), and Lombok (Gultom, 2025), supporting the view that shallow soft-bottom and reef-flat systems in the Coral Triangle sustain a comparatively depauperate but numerically abundant echinoid community.</w:t>
      </w:r>
    </w:p>
    <w:p w14:paraId="761CAED3" w14:textId="77777777" w:rsidR="005F43F8" w:rsidRPr="005F43F8" w:rsidRDefault="005F43F8" w:rsidP="005F43F8">
      <w:pPr>
        <w:jc w:val="both"/>
        <w:rPr>
          <w:rFonts w:ascii="Arial" w:hAnsi="Arial" w:cs="Arial"/>
        </w:rPr>
      </w:pPr>
      <w:r w:rsidRPr="005F43F8">
        <w:rPr>
          <w:rFonts w:ascii="Arial" w:hAnsi="Arial" w:cs="Arial"/>
        </w:rPr>
        <w:t xml:space="preserve">The co-occurrence of the two colour morphs of </w:t>
      </w:r>
      <w:r w:rsidRPr="005F43F8">
        <w:rPr>
          <w:rFonts w:ascii="Arial" w:hAnsi="Arial" w:cs="Arial"/>
          <w:i/>
        </w:rPr>
        <w:t>T. gratilla</w:t>
      </w:r>
      <w:r w:rsidRPr="005F43F8">
        <w:rPr>
          <w:rFonts w:ascii="Arial" w:hAnsi="Arial" w:cs="Arial"/>
        </w:rPr>
        <w:t xml:space="preserve"> (Plate 1) is ecologically noteworthy. Colour polymorphism in </w:t>
      </w:r>
      <w:r w:rsidRPr="005F43F8">
        <w:rPr>
          <w:rFonts w:ascii="Arial" w:hAnsi="Arial" w:cs="Arial"/>
          <w:i/>
        </w:rPr>
        <w:t>T. gratilla</w:t>
      </w:r>
      <w:r w:rsidRPr="005F43F8">
        <w:rPr>
          <w:rFonts w:ascii="Arial" w:hAnsi="Arial" w:cs="Arial"/>
        </w:rPr>
        <w:t xml:space="preserve"> has been reported throughout its Indo-Pacific range (Lawrence &amp; Agatsuma, 2001; Toha et al., 2017) and is now understood to reflect genetic and possibly diet-mediated variation rather than cryptic speciation (Casilagan et al., 2013). Similarly, </w:t>
      </w:r>
      <w:r w:rsidRPr="005F43F8">
        <w:rPr>
          <w:rFonts w:ascii="Arial" w:hAnsi="Arial" w:cs="Arial"/>
          <w:i/>
        </w:rPr>
        <w:t>E. calamaris</w:t>
      </w:r>
      <w:r w:rsidRPr="005F43F8">
        <w:rPr>
          <w:rFonts w:ascii="Arial" w:hAnsi="Arial" w:cs="Arial"/>
        </w:rPr>
        <w:t xml:space="preserve">, observed only at Long Beach, exhibits marked colour variability across the Indo-Pacific and is now recognized as harbouring cryptic lineages within the genus </w:t>
      </w:r>
      <w:r w:rsidRPr="005F43F8">
        <w:rPr>
          <w:rFonts w:ascii="Arial" w:hAnsi="Arial" w:cs="Arial"/>
          <w:i/>
        </w:rPr>
        <w:lastRenderedPageBreak/>
        <w:t>Echinothrix</w:t>
      </w:r>
      <w:r w:rsidRPr="005F43F8">
        <w:rPr>
          <w:rFonts w:ascii="Arial" w:hAnsi="Arial" w:cs="Arial"/>
        </w:rPr>
        <w:t xml:space="preserve"> (Coppard et al., 2021). Its highly restricted occurrence in our study aligns with reports that this species preferentially occupies structurally complex reef crevices and deeper reef zones (Coppard et al., 2021; Aulia et al., 2025), habitats that at Tablas Island are essentially confined to Long Beach.</w:t>
      </w:r>
    </w:p>
    <w:p w14:paraId="456BBC0E" w14:textId="77777777" w:rsidR="005F43F8" w:rsidRPr="005F43F8" w:rsidRDefault="005F43F8" w:rsidP="005F43F8">
      <w:pPr>
        <w:spacing w:before="120" w:after="120"/>
        <w:rPr>
          <w:rFonts w:ascii="Arial" w:hAnsi="Arial" w:cs="Arial"/>
        </w:rPr>
      </w:pPr>
      <w:r w:rsidRPr="005F43F8">
        <w:rPr>
          <w:rFonts w:ascii="Arial" w:hAnsi="Arial" w:cs="Arial"/>
          <w:b/>
        </w:rPr>
        <w:t>4.2</w:t>
      </w:r>
      <w:r>
        <w:rPr>
          <w:rFonts w:ascii="Arial" w:hAnsi="Arial" w:cs="Arial"/>
          <w:b/>
        </w:rPr>
        <w:t xml:space="preserve">.2 </w:t>
      </w:r>
      <w:r w:rsidRPr="005F43F8">
        <w:rPr>
          <w:rFonts w:ascii="Arial" w:hAnsi="Arial" w:cs="Arial"/>
          <w:b/>
        </w:rPr>
        <w:t xml:space="preserve">Abundance patterns and the dominance of </w:t>
      </w:r>
      <w:r w:rsidRPr="005F43F8">
        <w:rPr>
          <w:rFonts w:ascii="Arial" w:hAnsi="Arial" w:cs="Arial"/>
          <w:b/>
          <w:i/>
          <w:iCs/>
        </w:rPr>
        <w:t>Tripneustes gratilla</w:t>
      </w:r>
    </w:p>
    <w:p w14:paraId="511A3209" w14:textId="77777777" w:rsidR="005F43F8" w:rsidRPr="005F43F8" w:rsidRDefault="005F43F8" w:rsidP="005F43F8">
      <w:pPr>
        <w:jc w:val="both"/>
        <w:rPr>
          <w:rFonts w:ascii="Arial" w:hAnsi="Arial" w:cs="Arial"/>
        </w:rPr>
      </w:pPr>
      <w:r w:rsidRPr="005F43F8">
        <w:rPr>
          <w:rFonts w:ascii="Arial" w:hAnsi="Arial" w:cs="Arial"/>
          <w:i/>
        </w:rPr>
        <w:t>Tripneustes gratilla</w:t>
      </w:r>
      <w:r w:rsidRPr="005F43F8">
        <w:rPr>
          <w:rFonts w:ascii="Arial" w:hAnsi="Arial" w:cs="Arial"/>
        </w:rPr>
        <w:t xml:space="preserve"> was the most abundant and most widely distributed species, occurring at all 12 sites and reaching its highest local density of 143 ind. ha</w:t>
      </w:r>
      <w:r w:rsidRPr="005F43F8">
        <w:rPr>
          <w:rFonts w:ascii="Cambria Math" w:hAnsi="Cambria Math" w:cs="Cambria Math"/>
        </w:rPr>
        <w:t>⁻</w:t>
      </w:r>
      <w:r w:rsidRPr="005F43F8">
        <w:rPr>
          <w:rFonts w:ascii="Arial" w:hAnsi="Arial" w:cs="Arial"/>
        </w:rPr>
        <w:t xml:space="preserve">¹ in Poblacion. This dominance is a hallmark of Indo-Pacific seagrass–reef mosaics, where the species commonly dominates the echinoid biomass (Lawrence &amp; Agatsuma, 2001; Muthiga, 2005; Juinio-Meñez et al., 2008; Toha et al., 2017; Gultom, 2025). The affinity of </w:t>
      </w:r>
      <w:r w:rsidRPr="005F43F8">
        <w:rPr>
          <w:rFonts w:ascii="Arial" w:hAnsi="Arial" w:cs="Arial"/>
          <w:i/>
        </w:rPr>
        <w:t>T. gratilla</w:t>
      </w:r>
      <w:r w:rsidRPr="005F43F8">
        <w:rPr>
          <w:rFonts w:ascii="Arial" w:hAnsi="Arial" w:cs="Arial"/>
        </w:rPr>
        <w:t xml:space="preserve"> for shallow seagrass meadows reflects a well-documented dietary and habitat preference: the species feeds preferentially on </w:t>
      </w:r>
      <w:r w:rsidRPr="005F43F8">
        <w:rPr>
          <w:rFonts w:ascii="Arial" w:hAnsi="Arial" w:cs="Arial"/>
          <w:i/>
        </w:rPr>
        <w:t>Thalassia hemprichii</w:t>
      </w:r>
      <w:r w:rsidRPr="005F43F8">
        <w:rPr>
          <w:rFonts w:ascii="Arial" w:hAnsi="Arial" w:cs="Arial"/>
        </w:rPr>
        <w:t xml:space="preserve">, </w:t>
      </w:r>
      <w:r w:rsidRPr="005F43F8">
        <w:rPr>
          <w:rFonts w:ascii="Arial" w:hAnsi="Arial" w:cs="Arial"/>
          <w:i/>
        </w:rPr>
        <w:t>Enhalus acoroides</w:t>
      </w:r>
      <w:r w:rsidRPr="005F43F8">
        <w:rPr>
          <w:rFonts w:ascii="Arial" w:hAnsi="Arial" w:cs="Arial"/>
        </w:rPr>
        <w:t xml:space="preserve">, and associated macroalgae including </w:t>
      </w:r>
      <w:r w:rsidRPr="005F43F8">
        <w:rPr>
          <w:rFonts w:ascii="Arial" w:hAnsi="Arial" w:cs="Arial"/>
          <w:i/>
        </w:rPr>
        <w:t>Sargassum</w:t>
      </w:r>
      <w:r w:rsidRPr="005F43F8">
        <w:rPr>
          <w:rFonts w:ascii="Arial" w:hAnsi="Arial" w:cs="Arial"/>
        </w:rPr>
        <w:t xml:space="preserve"> spp. (Klumpp et al., 1993; Vaïtilingon et al., 2003; Juinio-Meñez et al., 2008). At Poblacion and Cagboaya, extensive seagrass beds with dense epiphyte communities likely provide both trophic subsidies and structural refuges that support the observed high densities.</w:t>
      </w:r>
    </w:p>
    <w:p w14:paraId="74FE7203" w14:textId="77777777" w:rsidR="005F43F8" w:rsidRPr="005F43F8" w:rsidRDefault="005F43F8" w:rsidP="005F43F8">
      <w:pPr>
        <w:jc w:val="both"/>
        <w:rPr>
          <w:rFonts w:ascii="Arial" w:hAnsi="Arial" w:cs="Arial"/>
        </w:rPr>
      </w:pPr>
      <w:r w:rsidRPr="005F43F8">
        <w:rPr>
          <w:rFonts w:ascii="Arial" w:hAnsi="Arial" w:cs="Arial"/>
        </w:rPr>
        <w:t>Nevertheless, the densities recorded in Tablas Island (~143 ind. ha</w:t>
      </w:r>
      <w:r w:rsidRPr="005F43F8">
        <w:rPr>
          <w:rFonts w:ascii="Cambria Math" w:hAnsi="Cambria Math" w:cs="Cambria Math"/>
        </w:rPr>
        <w:t>⁻</w:t>
      </w:r>
      <w:r w:rsidRPr="005F43F8">
        <w:rPr>
          <w:rFonts w:ascii="Arial" w:hAnsi="Arial" w:cs="Arial"/>
        </w:rPr>
        <w:t>¹, or 0.014 ind. m</w:t>
      </w:r>
      <w:r w:rsidRPr="005F43F8">
        <w:rPr>
          <w:rFonts w:ascii="Cambria Math" w:hAnsi="Cambria Math" w:cs="Cambria Math"/>
        </w:rPr>
        <w:t>⁻</w:t>
      </w:r>
      <w:r w:rsidRPr="005F43F8">
        <w:rPr>
          <w:rFonts w:ascii="Arial" w:hAnsi="Arial" w:cs="Arial"/>
        </w:rPr>
        <w:t>²) are considerably lower than the 0.15–0.30 ind. m</w:t>
      </w:r>
      <w:r w:rsidRPr="005F43F8">
        <w:rPr>
          <w:rFonts w:ascii="Cambria Math" w:hAnsi="Cambria Math" w:cs="Cambria Math"/>
        </w:rPr>
        <w:t>⁻</w:t>
      </w:r>
      <w:r w:rsidRPr="005F43F8">
        <w:rPr>
          <w:rFonts w:ascii="Arial" w:hAnsi="Arial" w:cs="Arial"/>
        </w:rPr>
        <w:t xml:space="preserve">² documented in comparatively unexploited seagrass meadows of North Lombok (Gultom, 2025), Lunao (Gingoog City) (Bariring &amp; Roa, 2025), and pre-collapse Bolinao (Juinio-Meñez et al., 1998, 2008). This is consistent with the well-known pattern of density depression in gleaned or commercially harvested </w:t>
      </w:r>
      <w:r w:rsidRPr="005F43F8">
        <w:rPr>
          <w:rFonts w:ascii="Arial" w:hAnsi="Arial" w:cs="Arial"/>
          <w:i/>
        </w:rPr>
        <w:t>T. gratilla</w:t>
      </w:r>
      <w:r w:rsidRPr="005F43F8">
        <w:rPr>
          <w:rFonts w:ascii="Arial" w:hAnsi="Arial" w:cs="Arial"/>
        </w:rPr>
        <w:t xml:space="preserve"> populations (Muthiga, 2005; Nane, 2019; Molina et al., 2025; Sailadjan et al., 2026). In the Philippines, </w:t>
      </w:r>
      <w:r w:rsidRPr="005F43F8">
        <w:rPr>
          <w:rFonts w:ascii="Arial" w:hAnsi="Arial" w:cs="Arial"/>
          <w:i/>
        </w:rPr>
        <w:t>T. gratilla</w:t>
      </w:r>
      <w:r w:rsidRPr="005F43F8">
        <w:rPr>
          <w:rFonts w:ascii="Arial" w:hAnsi="Arial" w:cs="Arial"/>
        </w:rPr>
        <w:t xml:space="preserve"> supports a significant subsistence and export fishery for its edible gonads (uni), with the Bolinao fishery having collapsed in 1992 following exploitation levels of E ≈ 0.6–0.7 (Juinio-Meñez et al., 1998; Talaue-McManus &amp; Kesner, 1995). Recent overfishing assessments in Wakatobi (Nane, 2019), Davao Occidental (Molina et al., 2025), and Sulu (Sailadjan et al., 2026) similarly report reduced population densities and truncated size structures, patterns concordant with those observed at Tablas.</w:t>
      </w:r>
    </w:p>
    <w:p w14:paraId="6068C8C3" w14:textId="77777777" w:rsidR="005F43F8" w:rsidRPr="005F43F8" w:rsidRDefault="005F43F8" w:rsidP="005F43F8">
      <w:pPr>
        <w:jc w:val="both"/>
        <w:rPr>
          <w:rFonts w:ascii="Arial" w:hAnsi="Arial" w:cs="Arial"/>
        </w:rPr>
      </w:pPr>
      <w:r w:rsidRPr="005F43F8">
        <w:rPr>
          <w:rFonts w:ascii="Arial" w:hAnsi="Arial" w:cs="Arial"/>
          <w:i/>
        </w:rPr>
        <w:t>Diadema setosum</w:t>
      </w:r>
      <w:r w:rsidRPr="005F43F8">
        <w:rPr>
          <w:rFonts w:ascii="Arial" w:hAnsi="Arial" w:cs="Arial"/>
        </w:rPr>
        <w:t>, the second-most widespread species (11 of 12 sites), reached 113 ind. ha</w:t>
      </w:r>
      <w:r w:rsidRPr="005F43F8">
        <w:rPr>
          <w:rFonts w:ascii="Cambria Math" w:hAnsi="Cambria Math" w:cs="Cambria Math"/>
        </w:rPr>
        <w:t>⁻</w:t>
      </w:r>
      <w:r w:rsidRPr="005F43F8">
        <w:rPr>
          <w:rFonts w:ascii="Arial" w:hAnsi="Arial" w:cs="Arial"/>
        </w:rPr>
        <w:t xml:space="preserve">¹ at Long Beach. Its ubiquity reflects broad ecological tolerance, elevated fecundity, and effective anti-predator defenses conferred by long, venomous spines (Aljahdali &amp; Alhomaidi, 2022; Zirler et al., 2023; Coppard et al., 2021). In heavily fished Kenyan reefs, </w:t>
      </w:r>
      <w:r w:rsidRPr="005F43F8">
        <w:rPr>
          <w:rFonts w:ascii="Arial" w:hAnsi="Arial" w:cs="Arial"/>
          <w:i/>
        </w:rPr>
        <w:t>D. setosum</w:t>
      </w:r>
      <w:r w:rsidRPr="005F43F8">
        <w:rPr>
          <w:rFonts w:ascii="Arial" w:hAnsi="Arial" w:cs="Arial"/>
        </w:rPr>
        <w:t xml:space="preserve"> and its congener </w:t>
      </w:r>
      <w:r w:rsidRPr="005F43F8">
        <w:rPr>
          <w:rFonts w:ascii="Arial" w:hAnsi="Arial" w:cs="Arial"/>
          <w:i/>
        </w:rPr>
        <w:t>D. savignyi</w:t>
      </w:r>
      <w:r w:rsidRPr="005F43F8">
        <w:rPr>
          <w:rFonts w:ascii="Arial" w:hAnsi="Arial" w:cs="Arial"/>
        </w:rPr>
        <w:t xml:space="preserve"> have been shown to become numerically dominant when predatory fish are removed, illustrating the classic top-down release documented by McClanahan and Muthiga (1989) and revisited by Carreiro-Silva &amp; McClanahan (2001). At Tablas, the persistence of </w:t>
      </w:r>
      <w:r w:rsidRPr="005F43F8">
        <w:rPr>
          <w:rFonts w:ascii="Arial" w:hAnsi="Arial" w:cs="Arial"/>
          <w:i/>
        </w:rPr>
        <w:t>D. setosum</w:t>
      </w:r>
      <w:r w:rsidRPr="005F43F8">
        <w:rPr>
          <w:rFonts w:ascii="Arial" w:hAnsi="Arial" w:cs="Arial"/>
        </w:rPr>
        <w:t xml:space="preserve"> across nearly all sites suggests that reef fish predator communities in the region may already be depressed by artisanal fishing, a pattern documented broadly across coastal Philippine seascapes (Nañola et al., 2011; Muallil et al., 2014).</w:t>
      </w:r>
    </w:p>
    <w:p w14:paraId="2EEABB6E" w14:textId="77777777" w:rsidR="005F43F8" w:rsidRPr="005F43F8" w:rsidRDefault="005F43F8" w:rsidP="005F43F8">
      <w:pPr>
        <w:jc w:val="both"/>
        <w:rPr>
          <w:rFonts w:ascii="Arial" w:hAnsi="Arial" w:cs="Arial"/>
        </w:rPr>
      </w:pPr>
      <w:r w:rsidRPr="005F43F8">
        <w:rPr>
          <w:rFonts w:ascii="Arial" w:hAnsi="Arial" w:cs="Arial"/>
        </w:rPr>
        <w:t xml:space="preserve">By contrast, </w:t>
      </w:r>
      <w:r w:rsidRPr="005F43F8">
        <w:rPr>
          <w:rFonts w:ascii="Arial" w:hAnsi="Arial" w:cs="Arial"/>
          <w:i/>
        </w:rPr>
        <w:t>E. calamaris</w:t>
      </w:r>
      <w:r w:rsidRPr="005F43F8">
        <w:rPr>
          <w:rFonts w:ascii="Arial" w:hAnsi="Arial" w:cs="Arial"/>
        </w:rPr>
        <w:t xml:space="preserve">, </w:t>
      </w:r>
      <w:r w:rsidRPr="005F43F8">
        <w:rPr>
          <w:rFonts w:ascii="Arial" w:hAnsi="Arial" w:cs="Arial"/>
          <w:i/>
        </w:rPr>
        <w:t>T. pileolus</w:t>
      </w:r>
      <w:r w:rsidRPr="005F43F8">
        <w:rPr>
          <w:rFonts w:ascii="Arial" w:hAnsi="Arial" w:cs="Arial"/>
        </w:rPr>
        <w:t xml:space="preserve">, and </w:t>
      </w:r>
      <w:r w:rsidRPr="005F43F8">
        <w:rPr>
          <w:rFonts w:ascii="Arial" w:hAnsi="Arial" w:cs="Arial"/>
          <w:i/>
        </w:rPr>
        <w:t>S. belli</w:t>
      </w:r>
      <w:r w:rsidRPr="005F43F8">
        <w:rPr>
          <w:rFonts w:ascii="Arial" w:hAnsi="Arial" w:cs="Arial"/>
        </w:rPr>
        <w:t xml:space="preserve"> were spatially restricted: </w:t>
      </w:r>
      <w:r w:rsidRPr="005F43F8">
        <w:rPr>
          <w:rFonts w:ascii="Arial" w:hAnsi="Arial" w:cs="Arial"/>
          <w:i/>
        </w:rPr>
        <w:t>E. calamaris</w:t>
      </w:r>
      <w:r w:rsidRPr="005F43F8">
        <w:rPr>
          <w:rFonts w:ascii="Arial" w:hAnsi="Arial" w:cs="Arial"/>
        </w:rPr>
        <w:t xml:space="preserve"> only to Long Beach; </w:t>
      </w:r>
      <w:r w:rsidRPr="005F43F8">
        <w:rPr>
          <w:rFonts w:ascii="Arial" w:hAnsi="Arial" w:cs="Arial"/>
          <w:i/>
        </w:rPr>
        <w:t>T. pileolus</w:t>
      </w:r>
      <w:r w:rsidRPr="005F43F8">
        <w:rPr>
          <w:rFonts w:ascii="Arial" w:hAnsi="Arial" w:cs="Arial"/>
        </w:rPr>
        <w:t xml:space="preserve"> to Long Beach, Poblacion, and Doña Juana; and </w:t>
      </w:r>
      <w:r w:rsidRPr="005F43F8">
        <w:rPr>
          <w:rFonts w:ascii="Arial" w:hAnsi="Arial" w:cs="Arial"/>
          <w:i/>
        </w:rPr>
        <w:t>S. belli</w:t>
      </w:r>
      <w:r w:rsidRPr="005F43F8">
        <w:rPr>
          <w:rFonts w:ascii="Arial" w:hAnsi="Arial" w:cs="Arial"/>
        </w:rPr>
        <w:t xml:space="preserve"> to a subset of sites with rubble–algal substrata. Such restricted occurrence typifies Indo-Pacific echinoid assemblages, where a few habitat generalists co-occur with an assemblage of specialists that require particular microhabitats (Birkeland, 1989; Cleary et al., 2005; Ying, 2023). </w:t>
      </w:r>
      <w:r w:rsidRPr="005F43F8">
        <w:rPr>
          <w:rFonts w:ascii="Arial" w:hAnsi="Arial" w:cs="Arial"/>
          <w:i/>
        </w:rPr>
        <w:t>Toxopneustes pileolus</w:t>
      </w:r>
      <w:r w:rsidRPr="005F43F8">
        <w:rPr>
          <w:rFonts w:ascii="Arial" w:hAnsi="Arial" w:cs="Arial"/>
        </w:rPr>
        <w:t xml:space="preserve">, the ‘flower urchin,’ is a specialist of rubble reef and sandy channel margins between coral heads (Coppard, 2013; Ehlert-Flaskämper et al., 2025) whose venomous globiferous pedicellariae confer strong anti-predator defense but constrain habitat use to areas of moderate current and coarse substrate (Zhang et al., 2001; Ehlert-Flaskämper et al., 2025). </w:t>
      </w:r>
      <w:r w:rsidRPr="005F43F8">
        <w:rPr>
          <w:rFonts w:ascii="Arial" w:hAnsi="Arial" w:cs="Arial"/>
          <w:i/>
        </w:rPr>
        <w:t>Salmacis belli</w:t>
      </w:r>
      <w:r w:rsidRPr="005F43F8">
        <w:rPr>
          <w:rFonts w:ascii="Arial" w:hAnsi="Arial" w:cs="Arial"/>
        </w:rPr>
        <w:t>, a temnopleurid distributed throughout the Indo-West Pacific, favours rubble and algal-covered substrata and often uses shell fragments and drift algae as passive cover (Miskelly, 2002; Kroh &amp; Mooi, 2020), a behaviour that may also help explain its patchy detection across Tablas.</w:t>
      </w:r>
    </w:p>
    <w:p w14:paraId="7E253596" w14:textId="77777777" w:rsidR="005F43F8" w:rsidRPr="005F43F8" w:rsidRDefault="005F43F8" w:rsidP="005F43F8">
      <w:pPr>
        <w:spacing w:before="120" w:after="120"/>
        <w:rPr>
          <w:rFonts w:ascii="Arial" w:hAnsi="Arial" w:cs="Arial"/>
        </w:rPr>
      </w:pPr>
      <w:r w:rsidRPr="005F43F8">
        <w:rPr>
          <w:rFonts w:ascii="Arial" w:hAnsi="Arial" w:cs="Arial"/>
          <w:b/>
        </w:rPr>
        <w:t>4.</w:t>
      </w:r>
      <w:r>
        <w:rPr>
          <w:rFonts w:ascii="Arial" w:hAnsi="Arial" w:cs="Arial"/>
          <w:b/>
        </w:rPr>
        <w:t>2.</w:t>
      </w:r>
      <w:r w:rsidRPr="005F43F8">
        <w:rPr>
          <w:rFonts w:ascii="Arial" w:hAnsi="Arial" w:cs="Arial"/>
          <w:b/>
        </w:rPr>
        <w:t>3 Diversity, evenness, and dominance across sites</w:t>
      </w:r>
    </w:p>
    <w:p w14:paraId="7485B865" w14:textId="77777777" w:rsidR="005F43F8" w:rsidRPr="005F43F8" w:rsidRDefault="005F43F8" w:rsidP="005F43F8">
      <w:pPr>
        <w:jc w:val="both"/>
        <w:rPr>
          <w:rFonts w:ascii="Arial" w:hAnsi="Arial" w:cs="Arial"/>
        </w:rPr>
      </w:pPr>
      <w:r w:rsidRPr="005F43F8">
        <w:rPr>
          <w:rFonts w:ascii="Arial" w:hAnsi="Arial" w:cs="Arial"/>
        </w:rPr>
        <w:lastRenderedPageBreak/>
        <w:t>The community-level Shannon–Wiener index (H′ = 1.53) falls squarely within the ‘moderate diversity’ range typical of Indo-Pacific reef-flat and seagrass echinoid assemblages (H′ = 1.0–2.0; Bronstein &amp; Loya, 2014; Nurcahyo et al., 2024; Aulia et al., 2025; Nane, 2019). Site-scale values, however, spanned a wide gradient—from H′ = 0.74 in Cabolutan (S = 2) to H′ = 1.53 at Long Beach (S = 6)—indicating substantial spatial heterogeneity in habitat quality and assemblage structure over relatively short (&lt;10 km) coastal distances. The exceptional Pielou’s evenness (J′ = 0.99) observed at Cawayan, Sugod, Doña Juana, Lusong, and Hinugusan reflects small, low-abundance communities where individuals are nearly equally distributed among two to three species—an ecological signature commonly reported for reef systems either recovering from disturbance or persisting under chronic low-level extraction (Magurran, 2004; Rahim &amp; Nurhasan, 2016; Llacuna et al., 2016).</w:t>
      </w:r>
    </w:p>
    <w:p w14:paraId="48FFF31A" w14:textId="77777777" w:rsidR="005F43F8" w:rsidRPr="005F43F8" w:rsidRDefault="005F43F8" w:rsidP="005F43F8">
      <w:pPr>
        <w:jc w:val="both"/>
        <w:rPr>
          <w:rFonts w:ascii="Arial" w:hAnsi="Arial" w:cs="Arial"/>
        </w:rPr>
      </w:pPr>
      <w:r w:rsidRPr="005F43F8">
        <w:rPr>
          <w:rFonts w:ascii="Arial" w:hAnsi="Arial" w:cs="Arial"/>
        </w:rPr>
        <w:t xml:space="preserve">The high Simpson dominance recorded at Poblacion (D = 0.64) and Doña Juana (D = 0.63) is driven almost entirely by </w:t>
      </w:r>
      <w:r w:rsidRPr="005F43F8">
        <w:rPr>
          <w:rFonts w:ascii="Arial" w:hAnsi="Arial" w:cs="Arial"/>
          <w:i/>
        </w:rPr>
        <w:t>T. gratilla</w:t>
      </w:r>
      <w:r w:rsidRPr="005F43F8">
        <w:rPr>
          <w:rFonts w:ascii="Arial" w:hAnsi="Arial" w:cs="Arial"/>
        </w:rPr>
        <w:t xml:space="preserve">, while the lowest dominance at Long Beach (D = 0.24) reflects the presence of all six species in comparatively balanced proportions. This dominance–evenness dichotomy is characteristic of seagrass-dominated versus reef-associated microhabitats: </w:t>
      </w:r>
      <w:r w:rsidRPr="005F43F8">
        <w:rPr>
          <w:rFonts w:ascii="Arial" w:hAnsi="Arial" w:cs="Arial"/>
          <w:i/>
        </w:rPr>
        <w:t>T. gratilla</w:t>
      </w:r>
      <w:r w:rsidRPr="005F43F8">
        <w:rPr>
          <w:rFonts w:ascii="Arial" w:hAnsi="Arial" w:cs="Arial"/>
        </w:rPr>
        <w:t xml:space="preserve"> typically monopolizes vegetated soft bottoms, whereas coral- and rubble-dominated substrata support a more speciose but less numerically skewed community (Herrera-Escalante et al., 2005; Nurcahyo et al., 2024; Atmaja et al., 2024; Zhou &amp; Goh, 2025). Long Beach thus emerges as a biodiversity hotspot within the study area, warranting priority consideration in any local marine conservation planning (Muallil et al., 2014; Weeks et al., 2010).</w:t>
      </w:r>
    </w:p>
    <w:p w14:paraId="1E1E0264" w14:textId="77777777" w:rsidR="005F43F8" w:rsidRPr="005F43F8" w:rsidRDefault="005F43F8" w:rsidP="005F43F8">
      <w:pPr>
        <w:spacing w:before="120" w:after="120"/>
        <w:rPr>
          <w:rFonts w:ascii="Arial" w:hAnsi="Arial" w:cs="Arial"/>
        </w:rPr>
      </w:pPr>
      <w:r w:rsidRPr="005F43F8">
        <w:rPr>
          <w:rFonts w:ascii="Arial" w:hAnsi="Arial" w:cs="Arial"/>
          <w:b/>
        </w:rPr>
        <w:t>4.</w:t>
      </w:r>
      <w:r>
        <w:rPr>
          <w:rFonts w:ascii="Arial" w:hAnsi="Arial" w:cs="Arial"/>
          <w:b/>
        </w:rPr>
        <w:t>2.</w:t>
      </w:r>
      <w:r w:rsidRPr="005F43F8">
        <w:rPr>
          <w:rFonts w:ascii="Arial" w:hAnsi="Arial" w:cs="Arial"/>
          <w:b/>
        </w:rPr>
        <w:t>4 Size structure and evidence of fishing pressure</w:t>
      </w:r>
    </w:p>
    <w:p w14:paraId="004E76EC" w14:textId="77777777" w:rsidR="005F43F8" w:rsidRPr="005F43F8" w:rsidRDefault="005F43F8" w:rsidP="005F43F8">
      <w:pPr>
        <w:jc w:val="both"/>
        <w:rPr>
          <w:rFonts w:ascii="Arial" w:hAnsi="Arial" w:cs="Arial"/>
        </w:rPr>
      </w:pPr>
      <w:r w:rsidRPr="005F43F8">
        <w:rPr>
          <w:rFonts w:ascii="Arial" w:hAnsi="Arial" w:cs="Arial"/>
        </w:rPr>
        <w:t xml:space="preserve">Mean test diameters ranged from 31.43 mm in </w:t>
      </w:r>
      <w:r w:rsidRPr="005F43F8">
        <w:rPr>
          <w:rFonts w:ascii="Arial" w:hAnsi="Arial" w:cs="Arial"/>
          <w:i/>
        </w:rPr>
        <w:t>D. setosum</w:t>
      </w:r>
      <w:r w:rsidRPr="005F43F8">
        <w:rPr>
          <w:rFonts w:ascii="Arial" w:hAnsi="Arial" w:cs="Arial"/>
        </w:rPr>
        <w:t xml:space="preserve"> to 64.16 mm in </w:t>
      </w:r>
      <w:r w:rsidRPr="005F43F8">
        <w:rPr>
          <w:rFonts w:ascii="Arial" w:hAnsi="Arial" w:cs="Arial"/>
          <w:i/>
        </w:rPr>
        <w:t>E. calamaris</w:t>
      </w:r>
      <w:r w:rsidRPr="005F43F8">
        <w:rPr>
          <w:rFonts w:ascii="Arial" w:hAnsi="Arial" w:cs="Arial"/>
        </w:rPr>
        <w:t xml:space="preserve">, a pattern that is broadly consistent with the interspecific size hierarchy reported throughout the Indo-Pacific (Lawrence, 2013; Coppard et al., 2021; Ying, 2023). The mean test diameter of </w:t>
      </w:r>
      <w:r w:rsidRPr="005F43F8">
        <w:rPr>
          <w:rFonts w:ascii="Arial" w:hAnsi="Arial" w:cs="Arial"/>
          <w:i/>
        </w:rPr>
        <w:t>T. gratilla</w:t>
      </w:r>
      <w:r w:rsidRPr="005F43F8">
        <w:rPr>
          <w:rFonts w:ascii="Arial" w:hAnsi="Arial" w:cs="Arial"/>
        </w:rPr>
        <w:t xml:space="preserve"> at Tablas Island (40.48 mm) is markedly smaller than the population means reported from lightly exploited populations in Kenya (60–75 mm; Muthiga, 2005), unfished reserves in Hawai‘i (&gt;70 mm; Stimson et al., 2007), and pre-collapse Bolinao (&gt;60 mm; Juinio-Meñez et al., 2008). Values below 50 mm—the commonly cited commercial size threshold for gleaning-based fisheries in the Philippines (Talaue-McManus &amp; Kesner, 1995; Juinio-Meñez et al., 2008; Molina et al., 2025)—strongly suggest size-selective removal of larger individuals. Nane (2019) documented an analogous pattern in Wakatobi, where the absence of individuals in the 66–95 mm classes was interpreted as clear evidence of overexploitation. The Tablas size structure therefore supports the hypothesis that even artisanal-scale gleaning, when practiced continuously across multiple sites, is sufficient to truncate the size structure of local </w:t>
      </w:r>
      <w:r w:rsidRPr="005F43F8">
        <w:rPr>
          <w:rFonts w:ascii="Arial" w:hAnsi="Arial" w:cs="Arial"/>
          <w:i/>
        </w:rPr>
        <w:t>T. gratilla</w:t>
      </w:r>
      <w:r w:rsidRPr="005F43F8">
        <w:rPr>
          <w:rFonts w:ascii="Arial" w:hAnsi="Arial" w:cs="Arial"/>
        </w:rPr>
        <w:t xml:space="preserve"> populations (Sailadjan et al., 2026).</w:t>
      </w:r>
    </w:p>
    <w:p w14:paraId="5D34DEE0" w14:textId="77777777" w:rsidR="005F43F8" w:rsidRPr="005F43F8" w:rsidRDefault="005F43F8" w:rsidP="005F43F8">
      <w:pPr>
        <w:jc w:val="both"/>
        <w:rPr>
          <w:rFonts w:ascii="Arial" w:hAnsi="Arial" w:cs="Arial"/>
        </w:rPr>
      </w:pPr>
      <w:r w:rsidRPr="005F43F8">
        <w:rPr>
          <w:rFonts w:ascii="Arial" w:hAnsi="Arial" w:cs="Arial"/>
        </w:rPr>
        <w:t xml:space="preserve">By contrast, </w:t>
      </w:r>
      <w:r w:rsidRPr="005F43F8">
        <w:rPr>
          <w:rFonts w:ascii="Arial" w:hAnsi="Arial" w:cs="Arial"/>
          <w:i/>
        </w:rPr>
        <w:t>D. setosum</w:t>
      </w:r>
      <w:r w:rsidRPr="005F43F8">
        <w:rPr>
          <w:rFonts w:ascii="Arial" w:hAnsi="Arial" w:cs="Arial"/>
        </w:rPr>
        <w:t xml:space="preserve"> populations exhibited the smallest mean test diameter (31.43 mm) despite their high density and broad distribution. This species is generally not targeted by gleaners because its long, venomous spines complicate handling and its gonads are considered less desirable (Aljahdali &amp; Alhomaidi, 2022; Sailadjan et al., 2026). The small mean size is thus more parsimoniously interpreted as reflecting rapid recruitment turnover and dense aggregations of subadult cohorts, a pattern reported for </w:t>
      </w:r>
      <w:r w:rsidRPr="005F43F8">
        <w:rPr>
          <w:rFonts w:ascii="Arial" w:hAnsi="Arial" w:cs="Arial"/>
          <w:i/>
        </w:rPr>
        <w:t>D. setosum</w:t>
      </w:r>
      <w:r w:rsidRPr="005F43F8">
        <w:rPr>
          <w:rFonts w:ascii="Arial" w:hAnsi="Arial" w:cs="Arial"/>
        </w:rPr>
        <w:t xml:space="preserve"> populations experiencing top-down release from predation (McClanahan &amp; Muthiga, 1989; Carreiro-Silva &amp; McClanahan, 2001; Zirler et al., 2023). Preserving venomous defenses and chemically mediated predator avoidance likely permits high densities to persist irrespective of fishing intensity, an ecological asymmetry with important consequences for reef bioerosion (see Section 4.5). </w:t>
      </w:r>
      <w:r w:rsidRPr="005F43F8">
        <w:rPr>
          <w:rFonts w:ascii="Arial" w:hAnsi="Arial" w:cs="Arial"/>
          <w:i/>
        </w:rPr>
        <w:t>E</w:t>
      </w:r>
      <w:r w:rsidR="002B4F0F">
        <w:rPr>
          <w:rFonts w:ascii="Arial" w:hAnsi="Arial" w:cs="Arial"/>
          <w:i/>
        </w:rPr>
        <w:t>.</w:t>
      </w:r>
      <w:r w:rsidRPr="005F43F8">
        <w:rPr>
          <w:rFonts w:ascii="Arial" w:hAnsi="Arial" w:cs="Arial"/>
          <w:i/>
        </w:rPr>
        <w:t xml:space="preserve"> mathaei</w:t>
      </w:r>
      <w:r w:rsidRPr="005F43F8">
        <w:rPr>
          <w:rFonts w:ascii="Arial" w:hAnsi="Arial" w:cs="Arial"/>
        </w:rPr>
        <w:t xml:space="preserve"> displayed intermediate test diameters (mean 42.01 mm), consistent with values reported from Kenyan (McClanahan &amp; Muthiga, 1989), Okinawan (Yoshida et al., 2022), and Red Sea (Bronstein &amp; Loya, 2014) reefs.</w:t>
      </w:r>
    </w:p>
    <w:p w14:paraId="5057187C" w14:textId="77777777" w:rsidR="005F43F8" w:rsidRPr="005F43F8" w:rsidRDefault="005F43F8" w:rsidP="005F43F8">
      <w:pPr>
        <w:spacing w:before="120" w:after="120"/>
        <w:rPr>
          <w:rFonts w:ascii="Arial" w:hAnsi="Arial" w:cs="Arial"/>
        </w:rPr>
      </w:pPr>
      <w:r w:rsidRPr="005F43F8">
        <w:rPr>
          <w:rFonts w:ascii="Arial" w:hAnsi="Arial" w:cs="Arial"/>
          <w:b/>
        </w:rPr>
        <w:t>4.</w:t>
      </w:r>
      <w:r>
        <w:rPr>
          <w:rFonts w:ascii="Arial" w:hAnsi="Arial" w:cs="Arial"/>
          <w:b/>
        </w:rPr>
        <w:t>2.</w:t>
      </w:r>
      <w:r w:rsidRPr="005F43F8">
        <w:rPr>
          <w:rFonts w:ascii="Arial" w:hAnsi="Arial" w:cs="Arial"/>
          <w:b/>
        </w:rPr>
        <w:t>5 Ecological functions: grazing, bioerosion, and reef resilience</w:t>
      </w:r>
    </w:p>
    <w:p w14:paraId="38531E7F" w14:textId="77777777" w:rsidR="00D9304E" w:rsidRDefault="00D9304E" w:rsidP="005F43F8">
      <w:pPr>
        <w:jc w:val="both"/>
        <w:rPr>
          <w:rFonts w:ascii="Arial" w:hAnsi="Arial" w:cs="Arial"/>
        </w:rPr>
      </w:pPr>
      <w:r w:rsidRPr="00D9304E">
        <w:rPr>
          <w:rFonts w:ascii="Arial" w:hAnsi="Arial" w:cs="Arial"/>
        </w:rPr>
        <w:lastRenderedPageBreak/>
        <w:t xml:space="preserve">Beyond their grazing and bioerosional roles, echinoderms harvested in the same Tablas–Romblon seascape have begun to attract attention for additional uses. Gonzalez and Mores (2023) evaluated aqueous extracts of the sea cucumber </w:t>
      </w:r>
      <w:r w:rsidRPr="00D9304E">
        <w:rPr>
          <w:rFonts w:ascii="Arial" w:hAnsi="Arial" w:cs="Arial"/>
          <w:i/>
          <w:iCs/>
        </w:rPr>
        <w:t>Holothuria leucospilota</w:t>
      </w:r>
      <w:r w:rsidRPr="00D9304E">
        <w:rPr>
          <w:rFonts w:ascii="Arial" w:hAnsi="Arial" w:cs="Arial"/>
        </w:rPr>
        <w:t xml:space="preserve"> (Brandt, 1835) from Carmen Bay, Romblon, against </w:t>
      </w:r>
      <w:r w:rsidRPr="00D9304E">
        <w:rPr>
          <w:rFonts w:ascii="Arial" w:hAnsi="Arial" w:cs="Arial"/>
          <w:i/>
          <w:iCs/>
        </w:rPr>
        <w:t>Staphylococcus aureus</w:t>
      </w:r>
      <w:r w:rsidRPr="00D9304E">
        <w:rPr>
          <w:rFonts w:ascii="Arial" w:hAnsi="Arial" w:cs="Arial"/>
        </w:rPr>
        <w:t xml:space="preserve"> and </w:t>
      </w:r>
      <w:r w:rsidRPr="00D9304E">
        <w:rPr>
          <w:rFonts w:ascii="Arial" w:hAnsi="Arial" w:cs="Arial"/>
          <w:i/>
          <w:iCs/>
        </w:rPr>
        <w:t>Escherichia coli</w:t>
      </w:r>
      <w:r w:rsidRPr="00D9304E">
        <w:rPr>
          <w:rFonts w:ascii="Arial" w:hAnsi="Arial" w:cs="Arial"/>
        </w:rPr>
        <w:t>, and reported consistent antibacterial activity with the strongest inhibition from skin extracts against the Gram-positive bacterium (mean zone of inhibition 23.25 mm). This result demonstrates that co-occurring holothurians collected close to the present survey area represent an underexploited source of bioactive compounds and provides an additional economic argument for protecting the shallow-water habitats that sustain the broader echinoderm assemblage.</w:t>
      </w:r>
    </w:p>
    <w:p w14:paraId="67C5B29E" w14:textId="77777777" w:rsidR="00D9304E" w:rsidRDefault="00D9304E" w:rsidP="005F43F8">
      <w:pPr>
        <w:jc w:val="both"/>
        <w:rPr>
          <w:rFonts w:ascii="Arial" w:hAnsi="Arial" w:cs="Arial"/>
        </w:rPr>
      </w:pPr>
    </w:p>
    <w:p w14:paraId="2662585A" w14:textId="77777777" w:rsidR="005F43F8" w:rsidRPr="005F43F8" w:rsidRDefault="005F43F8" w:rsidP="005F43F8">
      <w:pPr>
        <w:jc w:val="both"/>
        <w:rPr>
          <w:rFonts w:ascii="Arial" w:hAnsi="Arial" w:cs="Arial"/>
        </w:rPr>
      </w:pPr>
      <w:r w:rsidRPr="005F43F8">
        <w:rPr>
          <w:rFonts w:ascii="Arial" w:hAnsi="Arial" w:cs="Arial"/>
        </w:rPr>
        <w:t xml:space="preserve">The functional consequences of the observed assemblage extend well beyond simple abundance. Sea urchins are recognized as keystone grazers and major bioeroders of tropical reefs (Birkeland, 1989; Glynn &amp; Manzello, 2015; Fong et al., 2024). Both </w:t>
      </w:r>
      <w:r w:rsidRPr="005F43F8">
        <w:rPr>
          <w:rFonts w:ascii="Arial" w:hAnsi="Arial" w:cs="Arial"/>
          <w:i/>
        </w:rPr>
        <w:t>D. setosum</w:t>
      </w:r>
      <w:r w:rsidRPr="005F43F8">
        <w:rPr>
          <w:rFonts w:ascii="Arial" w:hAnsi="Arial" w:cs="Arial"/>
        </w:rPr>
        <w:t xml:space="preserve"> and </w:t>
      </w:r>
      <w:r w:rsidRPr="005F43F8">
        <w:rPr>
          <w:rFonts w:ascii="Arial" w:hAnsi="Arial" w:cs="Arial"/>
          <w:i/>
        </w:rPr>
        <w:t>E. mathaei</w:t>
      </w:r>
      <w:r w:rsidRPr="005F43F8">
        <w:rPr>
          <w:rFonts w:ascii="Arial" w:hAnsi="Arial" w:cs="Arial"/>
        </w:rPr>
        <w:t>—the two locally dominant hard-bottom species at Tablas—are documented bioeroders capable of removing 1–20 kg CaCO</w:t>
      </w:r>
      <w:r w:rsidRPr="005F43F8">
        <w:rPr>
          <w:rFonts w:ascii="Cambria Math" w:hAnsi="Cambria Math" w:cs="Cambria Math"/>
        </w:rPr>
        <w:t>₃</w:t>
      </w:r>
      <w:r w:rsidRPr="005F43F8">
        <w:rPr>
          <w:rFonts w:ascii="Arial" w:hAnsi="Arial" w:cs="Arial"/>
        </w:rPr>
        <w:t xml:space="preserve"> m</w:t>
      </w:r>
      <w:r w:rsidRPr="005F43F8">
        <w:rPr>
          <w:rFonts w:ascii="Cambria Math" w:hAnsi="Cambria Math" w:cs="Cambria Math"/>
        </w:rPr>
        <w:t>⁻</w:t>
      </w:r>
      <w:r w:rsidRPr="005F43F8">
        <w:rPr>
          <w:rFonts w:ascii="Arial" w:hAnsi="Arial" w:cs="Arial"/>
        </w:rPr>
        <w:t>² yr</w:t>
      </w:r>
      <w:r w:rsidRPr="005F43F8">
        <w:rPr>
          <w:rFonts w:ascii="Cambria Math" w:hAnsi="Cambria Math" w:cs="Cambria Math"/>
        </w:rPr>
        <w:t>⁻</w:t>
      </w:r>
      <w:r w:rsidRPr="005F43F8">
        <w:rPr>
          <w:rFonts w:ascii="Arial" w:hAnsi="Arial" w:cs="Arial"/>
        </w:rPr>
        <w:t xml:space="preserve">¹ under high densities (Mokady et al., 1996; Dy &amp; Yap, 2000; Glynn &amp; Manzello, 2015). In Kenyan reefs, McClanahan and Muthiga (1989) showed that fishing-mediated release of </w:t>
      </w:r>
      <w:r w:rsidRPr="005F43F8">
        <w:rPr>
          <w:rFonts w:ascii="Arial" w:hAnsi="Arial" w:cs="Arial"/>
          <w:i/>
        </w:rPr>
        <w:t>E. mathaei</w:t>
      </w:r>
      <w:r w:rsidRPr="005F43F8">
        <w:rPr>
          <w:rFonts w:ascii="Arial" w:hAnsi="Arial" w:cs="Arial"/>
        </w:rPr>
        <w:t xml:space="preserve"> increased bioerosion sufficiently to reverse net reef accretion. Similar processes have been documented in the Red Sea (Bronstein &amp; Loya, 2014) and in central Philippine reef flats (Dy &amp; Yap, 2000). The relatively high densities of </w:t>
      </w:r>
      <w:r w:rsidRPr="005F43F8">
        <w:rPr>
          <w:rFonts w:ascii="Arial" w:hAnsi="Arial" w:cs="Arial"/>
          <w:i/>
        </w:rPr>
        <w:t>D. setosum</w:t>
      </w:r>
      <w:r w:rsidRPr="005F43F8">
        <w:rPr>
          <w:rFonts w:ascii="Arial" w:hAnsi="Arial" w:cs="Arial"/>
        </w:rPr>
        <w:t xml:space="preserve"> at Long Beach (113 ind. ha</w:t>
      </w:r>
      <w:r w:rsidRPr="005F43F8">
        <w:rPr>
          <w:rFonts w:ascii="Cambria Math" w:hAnsi="Cambria Math" w:cs="Cambria Math"/>
        </w:rPr>
        <w:t>⁻</w:t>
      </w:r>
      <w:r w:rsidRPr="005F43F8">
        <w:rPr>
          <w:rFonts w:ascii="Arial" w:hAnsi="Arial" w:cs="Arial"/>
        </w:rPr>
        <w:t xml:space="preserve">¹) and of </w:t>
      </w:r>
      <w:r w:rsidRPr="005F43F8">
        <w:rPr>
          <w:rFonts w:ascii="Arial" w:hAnsi="Arial" w:cs="Arial"/>
          <w:i/>
        </w:rPr>
        <w:t>E. mathaei</w:t>
      </w:r>
      <w:r w:rsidRPr="005F43F8">
        <w:rPr>
          <w:rFonts w:ascii="Arial" w:hAnsi="Arial" w:cs="Arial"/>
        </w:rPr>
        <w:t xml:space="preserve"> at Cagbo-aya (93 ind. ha</w:t>
      </w:r>
      <w:r w:rsidRPr="005F43F8">
        <w:rPr>
          <w:rFonts w:ascii="Cambria Math" w:hAnsi="Cambria Math" w:cs="Cambria Math"/>
        </w:rPr>
        <w:t>⁻</w:t>
      </w:r>
      <w:r w:rsidRPr="005F43F8">
        <w:rPr>
          <w:rFonts w:ascii="Arial" w:hAnsi="Arial" w:cs="Arial"/>
        </w:rPr>
        <w:t>¹) and Long Beach (83 ind. ha</w:t>
      </w:r>
      <w:r w:rsidRPr="005F43F8">
        <w:rPr>
          <w:rFonts w:ascii="Cambria Math" w:hAnsi="Cambria Math" w:cs="Cambria Math"/>
        </w:rPr>
        <w:t>⁻</w:t>
      </w:r>
      <w:r w:rsidRPr="005F43F8">
        <w:rPr>
          <w:rFonts w:ascii="Arial" w:hAnsi="Arial" w:cs="Arial"/>
        </w:rPr>
        <w:t>¹) therefore warrant monitoring, as they could indicate an incipient shift toward net erosive conditions under continued reef fish overfishing.</w:t>
      </w:r>
    </w:p>
    <w:p w14:paraId="25E43F53" w14:textId="77777777" w:rsidR="00D9304E" w:rsidRDefault="00D9304E" w:rsidP="005F43F8">
      <w:pPr>
        <w:jc w:val="both"/>
        <w:rPr>
          <w:rFonts w:ascii="Arial" w:hAnsi="Arial" w:cs="Arial"/>
        </w:rPr>
      </w:pPr>
    </w:p>
    <w:p w14:paraId="405E29B2" w14:textId="77777777" w:rsidR="005F43F8" w:rsidRPr="005F43F8" w:rsidRDefault="005F43F8" w:rsidP="005F43F8">
      <w:pPr>
        <w:jc w:val="both"/>
        <w:rPr>
          <w:rFonts w:ascii="Arial" w:hAnsi="Arial" w:cs="Arial"/>
        </w:rPr>
      </w:pPr>
      <w:r w:rsidRPr="005F43F8">
        <w:rPr>
          <w:rFonts w:ascii="Arial" w:hAnsi="Arial" w:cs="Arial"/>
        </w:rPr>
        <w:t xml:space="preserve">Conversely, </w:t>
      </w:r>
      <w:r w:rsidRPr="005F43F8">
        <w:rPr>
          <w:rFonts w:ascii="Arial" w:hAnsi="Arial" w:cs="Arial"/>
          <w:i/>
        </w:rPr>
        <w:t>T. gratilla</w:t>
      </w:r>
      <w:r w:rsidRPr="005F43F8">
        <w:rPr>
          <w:rFonts w:ascii="Arial" w:hAnsi="Arial" w:cs="Arial"/>
        </w:rPr>
        <w:t xml:space="preserve"> is a critical algal grazer whose depletion can precipitate phase shifts from coral- to macroalgae-dominated states in seagrass–reef mosaics (Stimson et al., 2007; Westbrook et al., 2015; Neilson et al., 2018). In Hawai‘i, </w:t>
      </w:r>
      <w:r w:rsidRPr="005F43F8">
        <w:rPr>
          <w:rFonts w:ascii="Arial" w:hAnsi="Arial" w:cs="Arial"/>
          <w:i/>
        </w:rPr>
        <w:t>T. gratilla</w:t>
      </w:r>
      <w:r w:rsidRPr="005F43F8">
        <w:rPr>
          <w:rFonts w:ascii="Arial" w:hAnsi="Arial" w:cs="Arial"/>
        </w:rPr>
        <w:t xml:space="preserve"> outplants have been successfully deployed as a biocontrol agent against invasive macroalgae (Neilson et al., 2018). The Caribbean analogue is instructive: the 1983–84 mass mortality of </w:t>
      </w:r>
      <w:r w:rsidRPr="005F43F8">
        <w:rPr>
          <w:rFonts w:ascii="Arial" w:hAnsi="Arial" w:cs="Arial"/>
          <w:i/>
        </w:rPr>
        <w:t>Diadema antillarum</w:t>
      </w:r>
      <w:r w:rsidRPr="005F43F8">
        <w:rPr>
          <w:rFonts w:ascii="Arial" w:hAnsi="Arial" w:cs="Arial"/>
        </w:rPr>
        <w:t xml:space="preserve"> led to sustained macroalgal takeover across the region, and the second, 2022 die-off has renewed concerns about the resilience of echinoid-mediated grazing (Lessios, 1988; Hylkema et al., 2022; Wijers et al., 2024; Roth et al., 2024). Although Indo-Pacific reefs have so far avoided comparable urchin epizootics, the relatively low densities of </w:t>
      </w:r>
      <w:r w:rsidRPr="005F43F8">
        <w:rPr>
          <w:rFonts w:ascii="Arial" w:hAnsi="Arial" w:cs="Arial"/>
          <w:i/>
        </w:rPr>
        <w:t>T. gratilla</w:t>
      </w:r>
      <w:r w:rsidRPr="005F43F8">
        <w:rPr>
          <w:rFonts w:ascii="Arial" w:hAnsi="Arial" w:cs="Arial"/>
        </w:rPr>
        <w:t xml:space="preserve"> recorded at Tablas suggest that its herbivory service may already be functionally compromised, especially at low-density sites such as Cabolutan, Dubduban, and Cawayan.</w:t>
      </w:r>
    </w:p>
    <w:p w14:paraId="777263A2" w14:textId="77777777" w:rsidR="005F43F8" w:rsidRPr="005F43F8" w:rsidRDefault="005F43F8" w:rsidP="005F43F8">
      <w:pPr>
        <w:spacing w:before="120" w:after="120"/>
        <w:rPr>
          <w:rFonts w:ascii="Arial" w:hAnsi="Arial" w:cs="Arial"/>
        </w:rPr>
      </w:pPr>
      <w:r w:rsidRPr="005F43F8">
        <w:rPr>
          <w:rFonts w:ascii="Arial" w:hAnsi="Arial" w:cs="Arial"/>
          <w:b/>
        </w:rPr>
        <w:t>4.</w:t>
      </w:r>
      <w:r>
        <w:rPr>
          <w:rFonts w:ascii="Arial" w:hAnsi="Arial" w:cs="Arial"/>
          <w:b/>
        </w:rPr>
        <w:t>2.</w:t>
      </w:r>
      <w:r w:rsidRPr="005F43F8">
        <w:rPr>
          <w:rFonts w:ascii="Arial" w:hAnsi="Arial" w:cs="Arial"/>
          <w:b/>
        </w:rPr>
        <w:t>6 Environmental and habitat drivers of assemblage structure</w:t>
      </w:r>
    </w:p>
    <w:p w14:paraId="7A65331C" w14:textId="77777777" w:rsidR="005F43F8" w:rsidRPr="005F43F8" w:rsidRDefault="005F43F8" w:rsidP="005F43F8">
      <w:pPr>
        <w:jc w:val="both"/>
        <w:rPr>
          <w:rFonts w:ascii="Arial" w:hAnsi="Arial" w:cs="Arial"/>
        </w:rPr>
      </w:pPr>
      <w:r w:rsidRPr="005F43F8">
        <w:rPr>
          <w:rFonts w:ascii="Arial" w:hAnsi="Arial" w:cs="Arial"/>
        </w:rPr>
        <w:t>Although the present study did not quantify environmental parameters, the spatial patterns observed at Tablas Island are consistent with well-established drivers of echinoid community structure across the Indo-Pacific. Habitat complexity, substrate composition, seagrass and macroalgal cover, wave exposure, and salinity gradients are consistently identified as the strongest predictors of urchin distribution (Cleary et al., 2005; Goh &amp; Lee, 2015; Ying, 2023; Atmaja et al., 2024). Long Beach, the only site harbouring all six species, is characterized by a mixed coral–rubble–seagrass mosaic that offers the widest range of microhabitats within the surveyed coastline (see also Bronstein &amp; Loya, 2014; Nurcahyo et al., 2024; Aulia et al., 2025). Conversely, sites with restricted species pools (e.g., Cabolutan, Dubduban) tend to comprise near-monotypic substrata dominated either by seagrass or by consolidated reef flat with limited rugosity.</w:t>
      </w:r>
      <w:r w:rsidR="00D9304E">
        <w:rPr>
          <w:rFonts w:ascii="Arial" w:hAnsi="Arial" w:cs="Arial"/>
        </w:rPr>
        <w:t xml:space="preserve"> </w:t>
      </w:r>
      <w:r w:rsidR="00D9304E" w:rsidRPr="00D9304E">
        <w:rPr>
          <w:rFonts w:ascii="Arial" w:hAnsi="Arial" w:cs="Arial"/>
        </w:rPr>
        <w:t>The mangrove fringe that borders much of the Tablas Island coastline constitutes an additional, structurally linked coastal habitat that influences shallow-water echinoderm distribution. Gonzalez</w:t>
      </w:r>
      <w:r w:rsidR="00D9304E">
        <w:rPr>
          <w:rFonts w:ascii="Arial" w:hAnsi="Arial" w:cs="Arial"/>
        </w:rPr>
        <w:t xml:space="preserve"> et al.</w:t>
      </w:r>
      <w:r w:rsidR="00D9304E" w:rsidRPr="00D9304E">
        <w:rPr>
          <w:rFonts w:ascii="Arial" w:hAnsi="Arial" w:cs="Arial"/>
        </w:rPr>
        <w:t xml:space="preserve"> (2026) documented the species composition, stand structure, conservation status, distribution, and anthropogenic threats of the mangroves surrounding Tablas Island and reported that multiple stands are already exposed to cutting for fuel wood and household use, conversion to fishponds, and encroachment from coastal </w:t>
      </w:r>
      <w:r w:rsidR="00D9304E" w:rsidRPr="00D9304E">
        <w:rPr>
          <w:rFonts w:ascii="Arial" w:hAnsi="Arial" w:cs="Arial"/>
        </w:rPr>
        <w:lastRenderedPageBreak/>
        <w:t>infrastructure – pressures that translate downstream into the seagrass–reef mosaics where the present sea urchin assemblage occurs.</w:t>
      </w:r>
    </w:p>
    <w:p w14:paraId="1766C3B8" w14:textId="77777777" w:rsidR="005F43F8" w:rsidRPr="005F43F8" w:rsidRDefault="005F43F8" w:rsidP="005F43F8">
      <w:pPr>
        <w:jc w:val="both"/>
        <w:rPr>
          <w:rFonts w:ascii="Arial" w:hAnsi="Arial" w:cs="Arial"/>
        </w:rPr>
      </w:pPr>
      <w:r w:rsidRPr="005F43F8">
        <w:rPr>
          <w:rFonts w:ascii="Arial" w:hAnsi="Arial" w:cs="Arial"/>
        </w:rPr>
        <w:t xml:space="preserve">Feeding-preference studies of </w:t>
      </w:r>
      <w:r w:rsidRPr="005F43F8">
        <w:rPr>
          <w:rFonts w:ascii="Arial" w:hAnsi="Arial" w:cs="Arial"/>
          <w:i/>
        </w:rPr>
        <w:t>D. setosum</w:t>
      </w:r>
      <w:r w:rsidRPr="005F43F8">
        <w:rPr>
          <w:rFonts w:ascii="Arial" w:hAnsi="Arial" w:cs="Arial"/>
        </w:rPr>
        <w:t xml:space="preserve"> in Taklong Island (Guimaras) further illustrate the tight linkage between substrate character and echinoid distribution: Luza and Malay (2019) showed that </w:t>
      </w:r>
      <w:r w:rsidRPr="005F43F8">
        <w:rPr>
          <w:rFonts w:ascii="Arial" w:hAnsi="Arial" w:cs="Arial"/>
          <w:i/>
        </w:rPr>
        <w:t>D. setosum</w:t>
      </w:r>
      <w:r w:rsidRPr="005F43F8">
        <w:rPr>
          <w:rFonts w:ascii="Arial" w:hAnsi="Arial" w:cs="Arial"/>
        </w:rPr>
        <w:t xml:space="preserve"> preferentially grazes drift macroalgae and epilithic turfs on dead coral, a diet consistent with its widespread occurrence across eleven Tablas sites. Comparable substrate-mediated distributions have been documented for </w:t>
      </w:r>
      <w:r w:rsidRPr="005F43F8">
        <w:rPr>
          <w:rFonts w:ascii="Arial" w:hAnsi="Arial" w:cs="Arial"/>
          <w:i/>
        </w:rPr>
        <w:t>E. mathaei</w:t>
      </w:r>
      <w:r w:rsidRPr="005F43F8">
        <w:rPr>
          <w:rFonts w:ascii="Arial" w:hAnsi="Arial" w:cs="Arial"/>
        </w:rPr>
        <w:t xml:space="preserve"> on Okinawan reef flats (Yoshida et al., 2022) and for </w:t>
      </w:r>
      <w:r w:rsidRPr="005F43F8">
        <w:rPr>
          <w:rFonts w:ascii="Arial" w:hAnsi="Arial" w:cs="Arial"/>
          <w:i/>
        </w:rPr>
        <w:t>Echinothrix</w:t>
      </w:r>
      <w:r w:rsidRPr="005F43F8">
        <w:rPr>
          <w:rFonts w:ascii="Arial" w:hAnsi="Arial" w:cs="Arial"/>
        </w:rPr>
        <w:t xml:space="preserve"> spp. in Peninsular Malaysia (Ying, 2023). The interplay of substrate, vegetative cover, and hydrodynamic exposure therefore likely underlies the pronounced β-diversity documented across the twelve Tablas sites.</w:t>
      </w:r>
    </w:p>
    <w:p w14:paraId="5C6F17C6" w14:textId="77777777" w:rsidR="005F43F8" w:rsidRPr="005F43F8" w:rsidRDefault="005F43F8" w:rsidP="005F43F8">
      <w:pPr>
        <w:spacing w:before="120" w:after="120"/>
        <w:rPr>
          <w:rFonts w:ascii="Arial" w:hAnsi="Arial" w:cs="Arial"/>
        </w:rPr>
      </w:pPr>
      <w:r w:rsidRPr="005F43F8">
        <w:rPr>
          <w:rFonts w:ascii="Arial" w:hAnsi="Arial" w:cs="Arial"/>
          <w:b/>
        </w:rPr>
        <w:t>4.</w:t>
      </w:r>
      <w:r>
        <w:rPr>
          <w:rFonts w:ascii="Arial" w:hAnsi="Arial" w:cs="Arial"/>
          <w:b/>
        </w:rPr>
        <w:t>2.</w:t>
      </w:r>
      <w:r w:rsidRPr="005F43F8">
        <w:rPr>
          <w:rFonts w:ascii="Arial" w:hAnsi="Arial" w:cs="Arial"/>
          <w:b/>
        </w:rPr>
        <w:t>7 Management and conservation implications</w:t>
      </w:r>
    </w:p>
    <w:p w14:paraId="2CEFEE08" w14:textId="77777777" w:rsidR="005F43F8" w:rsidRPr="005F43F8" w:rsidRDefault="005F43F8" w:rsidP="005F43F8">
      <w:pPr>
        <w:jc w:val="both"/>
        <w:rPr>
          <w:rFonts w:ascii="Arial" w:hAnsi="Arial" w:cs="Arial"/>
        </w:rPr>
      </w:pPr>
      <w:r w:rsidRPr="005F43F8">
        <w:rPr>
          <w:rFonts w:ascii="Arial" w:hAnsi="Arial" w:cs="Arial"/>
        </w:rPr>
        <w:t xml:space="preserve">The Tablas Island assemblage displays two ecological signatures that are of direct concern for coastal fisheries management: (i) a truncated size structure of the commercially important </w:t>
      </w:r>
      <w:r w:rsidRPr="005F43F8">
        <w:rPr>
          <w:rFonts w:ascii="Arial" w:hAnsi="Arial" w:cs="Arial"/>
          <w:i/>
        </w:rPr>
        <w:t>T. gratilla</w:t>
      </w:r>
      <w:r w:rsidRPr="005F43F8">
        <w:rPr>
          <w:rFonts w:ascii="Arial" w:hAnsi="Arial" w:cs="Arial"/>
        </w:rPr>
        <w:t xml:space="preserve">, and (ii) numerical dominance of small-bodied, non-target species (particularly </w:t>
      </w:r>
      <w:r w:rsidRPr="005F43F8">
        <w:rPr>
          <w:rFonts w:ascii="Arial" w:hAnsi="Arial" w:cs="Arial"/>
          <w:i/>
        </w:rPr>
        <w:t>D. setosum</w:t>
      </w:r>
      <w:r w:rsidRPr="005F43F8">
        <w:rPr>
          <w:rFonts w:ascii="Arial" w:hAnsi="Arial" w:cs="Arial"/>
        </w:rPr>
        <w:t>) at several sites. Both patterns are consistent with early to intermediate stages of exploitation cascades documented in Bolinao (Juinio-Meñez et al., 1998, 2008), Wakatobi (Nane, 2019), Davao Occidental (Molina et al., 2025), Sulu (Sailadjan et al., 2026), and eastern Africa (Muthiga, 2005; McClanahan &amp; Muthiga, 1989). Given the demonstrated capacity for rapid density recovery when management is implemented—for example, the 15- to 30-fold rebound achieved through community-based grow-out culture in Bolinao (Juinio-Meñez et al., 1998; Ungson, 2004)—Tablas represents a promising candidate for locally-managed marine area (LMMA) designation coupled with seasonal harvest closures, minimum-size regulations (≥50 mm), and gonad-quality monitoring (Talaue-McManus &amp; Kesner, 1995; Bauer et al., 2025).</w:t>
      </w:r>
    </w:p>
    <w:p w14:paraId="0B8B805A" w14:textId="77777777" w:rsidR="00D9304E" w:rsidRDefault="00D9304E" w:rsidP="005F43F8">
      <w:pPr>
        <w:jc w:val="both"/>
        <w:rPr>
          <w:rFonts w:ascii="Arial" w:hAnsi="Arial" w:cs="Arial"/>
        </w:rPr>
      </w:pPr>
      <w:r w:rsidRPr="00D9304E">
        <w:rPr>
          <w:rFonts w:ascii="Arial" w:hAnsi="Arial" w:cs="Arial"/>
        </w:rPr>
        <w:t xml:space="preserve">Within the broader Romblon seascape, marine protected areas have been shown to enhance the recovery of other exploited benthic invertebrates in a manner directly comparable to the pattern expected for echinoids. Gonzalez and Mazo-Gonzalez (2024) recorded the first confirmed population of the giant clam </w:t>
      </w:r>
      <w:r w:rsidRPr="00D9304E">
        <w:rPr>
          <w:rFonts w:ascii="Arial" w:hAnsi="Arial" w:cs="Arial"/>
          <w:i/>
          <w:iCs/>
        </w:rPr>
        <w:t>Tridacna noae</w:t>
      </w:r>
      <w:r w:rsidRPr="00D9304E">
        <w:rPr>
          <w:rFonts w:ascii="Arial" w:hAnsi="Arial" w:cs="Arial"/>
        </w:rPr>
        <w:t xml:space="preserve"> (Röding, 1798) in Carmen Bay, Romblon, and found that densities of T. crocea, </w:t>
      </w:r>
      <w:r w:rsidRPr="00D9304E">
        <w:rPr>
          <w:rFonts w:ascii="Arial" w:hAnsi="Arial" w:cs="Arial"/>
          <w:i/>
          <w:iCs/>
        </w:rPr>
        <w:t>T. maxima</w:t>
      </w:r>
      <w:r w:rsidRPr="00D9304E">
        <w:rPr>
          <w:rFonts w:ascii="Arial" w:hAnsi="Arial" w:cs="Arial"/>
        </w:rPr>
        <w:t xml:space="preserve">, and </w:t>
      </w:r>
      <w:r w:rsidRPr="00D9304E">
        <w:rPr>
          <w:rFonts w:ascii="Arial" w:hAnsi="Arial" w:cs="Arial"/>
          <w:i/>
          <w:iCs/>
        </w:rPr>
        <w:t>T. noae</w:t>
      </w:r>
      <w:r w:rsidRPr="00D9304E">
        <w:rPr>
          <w:rFonts w:ascii="Arial" w:hAnsi="Arial" w:cs="Arial"/>
        </w:rPr>
        <w:t xml:space="preserve"> were substantially higher in protected sites (580 and 527 ind. ha</w:t>
      </w:r>
      <w:r w:rsidRPr="00D9304E">
        <w:rPr>
          <w:rFonts w:ascii="Cambria Math" w:hAnsi="Cambria Math" w:cs="Cambria Math"/>
        </w:rPr>
        <w:t>⁻</w:t>
      </w:r>
      <w:r w:rsidRPr="00D9304E">
        <w:rPr>
          <w:rFonts w:ascii="Arial" w:hAnsi="Arial" w:cs="Arial"/>
        </w:rPr>
        <w:t>¹) than in adjacent non-protected sites (20 and 13 ind. ha</w:t>
      </w:r>
      <w:r w:rsidRPr="00D9304E">
        <w:rPr>
          <w:rFonts w:ascii="Cambria Math" w:hAnsi="Cambria Math" w:cs="Cambria Math"/>
        </w:rPr>
        <w:t>⁻</w:t>
      </w:r>
      <w:r w:rsidRPr="00D9304E">
        <w:rPr>
          <w:rFonts w:ascii="Arial" w:hAnsi="Arial" w:cs="Arial"/>
        </w:rPr>
        <w:t>¹), with T</w:t>
      </w:r>
      <w:r w:rsidRPr="00D9304E">
        <w:rPr>
          <w:rFonts w:ascii="Arial" w:hAnsi="Arial" w:cs="Arial"/>
          <w:i/>
          <w:iCs/>
        </w:rPr>
        <w:t>. maxima</w:t>
      </w:r>
      <w:r w:rsidRPr="00D9304E">
        <w:rPr>
          <w:rFonts w:ascii="Arial" w:hAnsi="Arial" w:cs="Arial"/>
        </w:rPr>
        <w:t xml:space="preserve"> and </w:t>
      </w:r>
      <w:r w:rsidRPr="00D9304E">
        <w:rPr>
          <w:rFonts w:ascii="Arial" w:hAnsi="Arial" w:cs="Arial"/>
          <w:i/>
          <w:iCs/>
        </w:rPr>
        <w:t>T. noae</w:t>
      </w:r>
      <w:r w:rsidRPr="00D9304E">
        <w:rPr>
          <w:rFonts w:ascii="Arial" w:hAnsi="Arial" w:cs="Arial"/>
        </w:rPr>
        <w:t xml:space="preserve"> restricted to the protected stations. This parallel indicates that MPA enforcement in Romblon benefits multiple benthic invertebrate taxa simultaneously, strengthening the case for extending site-level protection to the reef-flat habitats surveyed in the present study.</w:t>
      </w:r>
    </w:p>
    <w:p w14:paraId="01C7AF33" w14:textId="77777777" w:rsidR="00D9304E" w:rsidRDefault="00D9304E" w:rsidP="005F43F8">
      <w:pPr>
        <w:jc w:val="both"/>
        <w:rPr>
          <w:rFonts w:ascii="Arial" w:hAnsi="Arial" w:cs="Arial"/>
        </w:rPr>
      </w:pPr>
    </w:p>
    <w:p w14:paraId="6498FB56" w14:textId="77777777" w:rsidR="005F43F8" w:rsidRPr="005F43F8" w:rsidRDefault="005F43F8" w:rsidP="005F43F8">
      <w:pPr>
        <w:jc w:val="both"/>
        <w:rPr>
          <w:rFonts w:ascii="Arial" w:hAnsi="Arial" w:cs="Arial"/>
        </w:rPr>
      </w:pPr>
      <w:r w:rsidRPr="005F43F8">
        <w:rPr>
          <w:rFonts w:ascii="Arial" w:hAnsi="Arial" w:cs="Arial"/>
        </w:rPr>
        <w:t xml:space="preserve">Marine protected areas (MPAs) and no-take reserves have been shown to reliably restore urchin density, biomass, and reproductive output (Hamilton &amp; Caselle, 2015; Medrano et al., 2019). In the Philippines, the mosaic of small (&lt;100 ha) community-managed reserves has yielded measurable increases in target invertebrate populations (Weeks et al., 2010; Muallil et al., 2014). Long Beach, given its species-rich and structurally diverse habitat, is a strong candidate for such spatial protection. Complementary interventions could include restocking with hatchery-produced </w:t>
      </w:r>
      <w:r w:rsidRPr="005F43F8">
        <w:rPr>
          <w:rFonts w:ascii="Arial" w:hAnsi="Arial" w:cs="Arial"/>
          <w:i/>
        </w:rPr>
        <w:t>T. gratilla</w:t>
      </w:r>
      <w:r w:rsidRPr="005F43F8">
        <w:rPr>
          <w:rFonts w:ascii="Arial" w:hAnsi="Arial" w:cs="Arial"/>
        </w:rPr>
        <w:t xml:space="preserve"> juveniles—an approach with documented success in Bolinao and Bohol (Juinio-Meñez et al., 2008; Meñez, 2016)—and community-based gonad-enhancement grow-out schemes (Bauer et al., 2025; Meñez, 2016).</w:t>
      </w:r>
    </w:p>
    <w:p w14:paraId="5BEEFAD8" w14:textId="77777777" w:rsidR="005F43F8" w:rsidRPr="005F43F8" w:rsidRDefault="005F43F8" w:rsidP="005F43F8">
      <w:pPr>
        <w:jc w:val="both"/>
        <w:rPr>
          <w:rFonts w:ascii="Arial" w:hAnsi="Arial" w:cs="Arial"/>
        </w:rPr>
      </w:pPr>
      <w:r w:rsidRPr="005F43F8">
        <w:rPr>
          <w:rFonts w:ascii="Arial" w:hAnsi="Arial" w:cs="Arial"/>
        </w:rPr>
        <w:t xml:space="preserve">Finally, we highlight the need for continued monitoring in light of emerging climate-related threats. Mass mortality events in </w:t>
      </w:r>
      <w:r w:rsidRPr="005F43F8">
        <w:rPr>
          <w:rFonts w:ascii="Arial" w:hAnsi="Arial" w:cs="Arial"/>
          <w:i/>
        </w:rPr>
        <w:t>Diadema</w:t>
      </w:r>
      <w:r w:rsidRPr="005F43F8">
        <w:rPr>
          <w:rFonts w:ascii="Arial" w:hAnsi="Arial" w:cs="Arial"/>
        </w:rPr>
        <w:t xml:space="preserve"> populations—first in the Caribbean in 1983–84 (Lessios, 1988), and more recently in the Mediterranean (Zirler et al., 2023), Red Sea, and Western Indian Ocean (Roth et al., 2024)—demonstrate that urchin populations can collapse rapidly under thermal stress and pathogen outbreaks. The Coral Triangle is not immune to such events (Hylkema et al., 2022; Roth et al., 2024). Establishment of baseline density, size-frequency, and disease-prevalence data at Tablas Island is therefore critical for early detection </w:t>
      </w:r>
      <w:r w:rsidRPr="005F43F8">
        <w:rPr>
          <w:rFonts w:ascii="Arial" w:hAnsi="Arial" w:cs="Arial"/>
        </w:rPr>
        <w:lastRenderedPageBreak/>
        <w:t>of any comparable die-off and for guiding adaptive management under an increasingly variable climate.</w:t>
      </w:r>
    </w:p>
    <w:p w14:paraId="7A1A10D3" w14:textId="77777777" w:rsidR="005F43F8" w:rsidRPr="005F43F8" w:rsidRDefault="005F43F8" w:rsidP="005F43F8">
      <w:pPr>
        <w:spacing w:before="120" w:after="120"/>
        <w:rPr>
          <w:rFonts w:ascii="Arial" w:hAnsi="Arial" w:cs="Arial"/>
        </w:rPr>
      </w:pPr>
      <w:r w:rsidRPr="005F43F8">
        <w:rPr>
          <w:rFonts w:ascii="Arial" w:hAnsi="Arial" w:cs="Arial"/>
          <w:b/>
        </w:rPr>
        <w:t>4.</w:t>
      </w:r>
      <w:r>
        <w:rPr>
          <w:rFonts w:ascii="Arial" w:hAnsi="Arial" w:cs="Arial"/>
          <w:b/>
        </w:rPr>
        <w:t>2.</w:t>
      </w:r>
      <w:r w:rsidRPr="005F43F8">
        <w:rPr>
          <w:rFonts w:ascii="Arial" w:hAnsi="Arial" w:cs="Arial"/>
          <w:b/>
        </w:rPr>
        <w:t>8 Study limitations and future directions</w:t>
      </w:r>
    </w:p>
    <w:p w14:paraId="55045F1E" w14:textId="77777777" w:rsidR="005F43F8" w:rsidRPr="005F43F8" w:rsidRDefault="005F43F8" w:rsidP="005F43F8">
      <w:pPr>
        <w:jc w:val="both"/>
        <w:rPr>
          <w:rFonts w:ascii="Arial" w:hAnsi="Arial" w:cs="Arial"/>
        </w:rPr>
      </w:pPr>
      <w:r w:rsidRPr="005F43F8">
        <w:rPr>
          <w:rFonts w:ascii="Arial" w:hAnsi="Arial" w:cs="Arial"/>
        </w:rPr>
        <w:t xml:space="preserve">This study offers a robust snapshot of sea urchin assemblages in the north-eastern coast of Tablas Island but is limited in three important respects. First, sampling was conducted over a single seasonal window; sea urchin populations exhibit strong seasonal and lunar reproductive periodicity (Muthiga, 2005; Molina et al., 2025), and temporal replication is required to resolve recruitment pulses and post-spawning mortality. Second, environmental covariates (salinity, temperature, substrate rugosity, algal cover) were not measured; incorporating these in future work using PERMANOVA and distance-based linear modelling would strengthen inference about assembly rules (Cleary et al., 2005; Ying, 2023). Third, the study relied on visual identification; the incorporation of DNA barcoding, as applied by Aulia et al. (2025) for Indonesian echinoids, would help resolve cryptic diversity, particularly within </w:t>
      </w:r>
      <w:r w:rsidRPr="005F43F8">
        <w:rPr>
          <w:rFonts w:ascii="Arial" w:hAnsi="Arial" w:cs="Arial"/>
          <w:i/>
        </w:rPr>
        <w:t>Echinothrix</w:t>
      </w:r>
      <w:r w:rsidRPr="005F43F8">
        <w:rPr>
          <w:rFonts w:ascii="Arial" w:hAnsi="Arial" w:cs="Arial"/>
        </w:rPr>
        <w:t xml:space="preserve"> and </w:t>
      </w:r>
      <w:r w:rsidRPr="005F43F8">
        <w:rPr>
          <w:rFonts w:ascii="Arial" w:hAnsi="Arial" w:cs="Arial"/>
          <w:i/>
        </w:rPr>
        <w:t>Diadema</w:t>
      </w:r>
      <w:r w:rsidRPr="005F43F8">
        <w:rPr>
          <w:rFonts w:ascii="Arial" w:hAnsi="Arial" w:cs="Arial"/>
        </w:rPr>
        <w:t xml:space="preserve"> (Coppard et al., 2021; Vimono et al., 2025). Addressing these gaps will provide the mechanistic understanding needed to translate biodiversity snapshots into actionable management guidance for Philippine reef fisheries.</w:t>
      </w:r>
    </w:p>
    <w:p w14:paraId="23C1F477" w14:textId="77777777" w:rsidR="005F43F8" w:rsidRPr="005F43F8" w:rsidRDefault="005F43F8" w:rsidP="005F43F8">
      <w:pPr>
        <w:spacing w:before="120" w:after="120"/>
        <w:rPr>
          <w:rFonts w:ascii="Arial" w:hAnsi="Arial" w:cs="Arial"/>
        </w:rPr>
      </w:pPr>
      <w:r w:rsidRPr="005F43F8">
        <w:rPr>
          <w:rFonts w:ascii="Arial" w:hAnsi="Arial" w:cs="Arial"/>
          <w:b/>
        </w:rPr>
        <w:t>5. Conclusion</w:t>
      </w:r>
    </w:p>
    <w:p w14:paraId="62CC48A7" w14:textId="77777777" w:rsidR="005F43F8" w:rsidRPr="005F43F8" w:rsidRDefault="005F43F8" w:rsidP="005F43F8">
      <w:pPr>
        <w:jc w:val="both"/>
        <w:rPr>
          <w:rFonts w:ascii="Arial" w:hAnsi="Arial" w:cs="Arial"/>
        </w:rPr>
      </w:pPr>
      <w:r w:rsidRPr="005F43F8">
        <w:rPr>
          <w:rFonts w:ascii="Arial" w:hAnsi="Arial" w:cs="Arial"/>
        </w:rPr>
        <w:t xml:space="preserve">The north-eastern coast of Tablas Island supports a moderately diverse but exploitation-sensitive echinoid assemblage of six species. Community structure is spatially heterogeneous, with Long Beach emerging as a local biodiversity hotspot and Poblacion as a locus of dominance by the commercially valuable </w:t>
      </w:r>
      <w:r w:rsidRPr="005F43F8">
        <w:rPr>
          <w:rFonts w:ascii="Arial" w:hAnsi="Arial" w:cs="Arial"/>
          <w:i/>
        </w:rPr>
        <w:t>T. gratilla</w:t>
      </w:r>
      <w:r w:rsidRPr="005F43F8">
        <w:rPr>
          <w:rFonts w:ascii="Arial" w:hAnsi="Arial" w:cs="Arial"/>
        </w:rPr>
        <w:t xml:space="preserve">. Size-frequency and dominance signatures indicate early-stage exploitation of </w:t>
      </w:r>
      <w:r w:rsidRPr="005F43F8">
        <w:rPr>
          <w:rFonts w:ascii="Arial" w:hAnsi="Arial" w:cs="Arial"/>
          <w:i/>
        </w:rPr>
        <w:t>T. gratilla</w:t>
      </w:r>
      <w:r w:rsidRPr="005F43F8">
        <w:rPr>
          <w:rFonts w:ascii="Arial" w:hAnsi="Arial" w:cs="Arial"/>
        </w:rPr>
        <w:t xml:space="preserve"> and possible top-down release of </w:t>
      </w:r>
      <w:r w:rsidRPr="005F43F8">
        <w:rPr>
          <w:rFonts w:ascii="Arial" w:hAnsi="Arial" w:cs="Arial"/>
          <w:i/>
        </w:rPr>
        <w:t>D. setosum</w:t>
      </w:r>
      <w:r w:rsidRPr="005F43F8">
        <w:rPr>
          <w:rFonts w:ascii="Arial" w:hAnsi="Arial" w:cs="Arial"/>
        </w:rPr>
        <w:t>, patterns consistent with those reported throughout the Indo-Pacific. Coupled with the ongoing threats of climate-driven mass mortalities and continued gleaning pressure, these results argue for the urgent implementation of locally-managed marine areas, size-based harvest regulations, and community-driven restocking programs to safeguard both biodiversity and the socio-economic services provided by sea urchins in the province of Romblon.</w:t>
      </w:r>
    </w:p>
    <w:p w14:paraId="520C1D30" w14:textId="77777777" w:rsidR="005F43F8" w:rsidRPr="009A721A" w:rsidRDefault="005F43F8" w:rsidP="00C95387">
      <w:pPr>
        <w:pStyle w:val="Body"/>
        <w:spacing w:after="0"/>
        <w:rPr>
          <w:rFonts w:ascii="Arial" w:hAnsi="Arial" w:cs="Arial"/>
        </w:rPr>
      </w:pPr>
    </w:p>
    <w:p w14:paraId="2753689C" w14:textId="77777777" w:rsidR="002B685A" w:rsidRPr="009A721A" w:rsidRDefault="002B685A" w:rsidP="009A721A">
      <w:pPr>
        <w:pStyle w:val="ReferHead"/>
        <w:spacing w:after="0"/>
        <w:jc w:val="both"/>
        <w:rPr>
          <w:rFonts w:ascii="Arial" w:hAnsi="Arial" w:cs="Arial"/>
          <w:bCs/>
          <w:sz w:val="20"/>
        </w:rPr>
      </w:pPr>
      <w:r w:rsidRPr="009A721A">
        <w:rPr>
          <w:rFonts w:ascii="Arial" w:hAnsi="Arial" w:cs="Arial"/>
          <w:bCs/>
          <w:sz w:val="20"/>
        </w:rPr>
        <w:t xml:space="preserve">Consent </w:t>
      </w:r>
    </w:p>
    <w:p w14:paraId="45E0EBA8" w14:textId="77777777" w:rsidR="00DF338B" w:rsidRDefault="00DF338B" w:rsidP="009A721A">
      <w:pPr>
        <w:pStyle w:val="ReferHead"/>
        <w:spacing w:after="0"/>
        <w:jc w:val="both"/>
        <w:rPr>
          <w:rFonts w:ascii="Arial" w:hAnsi="Arial" w:cs="Arial"/>
          <w:b w:val="0"/>
          <w:caps w:val="0"/>
          <w:sz w:val="20"/>
        </w:rPr>
      </w:pPr>
    </w:p>
    <w:p w14:paraId="60BD74B4" w14:textId="77777777" w:rsidR="001A29D8" w:rsidRPr="003A2738" w:rsidRDefault="001A29D8" w:rsidP="009A721A">
      <w:pPr>
        <w:pStyle w:val="ReferHead"/>
        <w:spacing w:after="0"/>
        <w:jc w:val="both"/>
        <w:rPr>
          <w:rFonts w:ascii="Arial" w:hAnsi="Arial" w:cs="Arial"/>
          <w:b w:val="0"/>
          <w:caps w:val="0"/>
          <w:sz w:val="20"/>
        </w:rPr>
      </w:pPr>
      <w:r w:rsidRPr="003A2738">
        <w:rPr>
          <w:rFonts w:ascii="Arial" w:hAnsi="Arial" w:cs="Arial"/>
          <w:b w:val="0"/>
          <w:caps w:val="0"/>
          <w:sz w:val="20"/>
        </w:rPr>
        <w:t>All authors declare that ‘written informed consent was obtained from the patient (or other approved parties) for publication of this case report and accompanying images. A copy of the written consent is available for review by the Editorial office/Chief Editor/Editorial Board members of this journal."</w:t>
      </w:r>
    </w:p>
    <w:p w14:paraId="5F331413" w14:textId="77777777" w:rsidR="001A29D8" w:rsidRPr="009A721A" w:rsidRDefault="001A29D8" w:rsidP="009A721A">
      <w:pPr>
        <w:pStyle w:val="ReferHead"/>
        <w:spacing w:after="0"/>
        <w:jc w:val="both"/>
        <w:rPr>
          <w:rFonts w:ascii="Arial" w:hAnsi="Arial" w:cs="Arial"/>
          <w:b w:val="0"/>
          <w:caps w:val="0"/>
          <w:sz w:val="20"/>
        </w:rPr>
      </w:pPr>
    </w:p>
    <w:p w14:paraId="45961251" w14:textId="77777777" w:rsidR="005C784C" w:rsidRPr="009A721A" w:rsidRDefault="005C784C" w:rsidP="009A721A">
      <w:pPr>
        <w:pStyle w:val="ReferHead"/>
        <w:spacing w:after="0"/>
        <w:jc w:val="both"/>
        <w:rPr>
          <w:rFonts w:ascii="Arial" w:hAnsi="Arial" w:cs="Arial"/>
          <w:b w:val="0"/>
          <w:caps w:val="0"/>
          <w:sz w:val="20"/>
        </w:rPr>
      </w:pPr>
    </w:p>
    <w:p w14:paraId="701CE5C9" w14:textId="77777777" w:rsidR="008B591F" w:rsidRPr="008B591F" w:rsidRDefault="008B591F" w:rsidP="008B591F">
      <w:pPr>
        <w:rPr>
          <w:rFonts w:ascii="Times New Roman" w:eastAsia="Calibri" w:hAnsi="Times New Roman"/>
          <w:b/>
          <w:sz w:val="22"/>
          <w:szCs w:val="22"/>
        </w:rPr>
      </w:pPr>
      <w:r w:rsidRPr="008B591F">
        <w:rPr>
          <w:rFonts w:ascii="Times New Roman" w:eastAsia="Calibri" w:hAnsi="Times New Roman"/>
          <w:b/>
          <w:sz w:val="22"/>
          <w:szCs w:val="22"/>
        </w:rPr>
        <w:t>Declaration of AI Use</w:t>
      </w:r>
    </w:p>
    <w:p w14:paraId="1FA85086" w14:textId="77777777" w:rsidR="008B591F" w:rsidRPr="008B591F" w:rsidRDefault="008B591F" w:rsidP="008B591F">
      <w:pPr>
        <w:rPr>
          <w:rFonts w:ascii="Times New Roman" w:eastAsia="Calibri" w:hAnsi="Times New Roman"/>
          <w:sz w:val="22"/>
          <w:szCs w:val="22"/>
        </w:rPr>
      </w:pPr>
    </w:p>
    <w:p w14:paraId="1725EBF0" w14:textId="77777777" w:rsidR="008B591F" w:rsidRPr="008B591F" w:rsidRDefault="008B591F" w:rsidP="008B591F">
      <w:pPr>
        <w:jc w:val="both"/>
        <w:rPr>
          <w:rFonts w:ascii="Times New Roman" w:eastAsia="Calibri" w:hAnsi="Times New Roman"/>
          <w:sz w:val="22"/>
          <w:szCs w:val="22"/>
        </w:rPr>
      </w:pPr>
      <w:r w:rsidRPr="008B591F">
        <w:rPr>
          <w:rFonts w:ascii="Times New Roman" w:eastAsia="Calibri" w:hAnsi="Times New Roman"/>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4D92610" w14:textId="77777777" w:rsidR="008B591F" w:rsidRPr="008B591F" w:rsidRDefault="008B591F" w:rsidP="008B591F">
      <w:pPr>
        <w:jc w:val="both"/>
        <w:rPr>
          <w:rFonts w:ascii="Times New Roman" w:eastAsia="Calibri" w:hAnsi="Times New Roman"/>
          <w:sz w:val="22"/>
          <w:szCs w:val="22"/>
        </w:rPr>
      </w:pPr>
    </w:p>
    <w:p w14:paraId="3995FF6A" w14:textId="77777777" w:rsidR="008B591F" w:rsidRPr="008B591F" w:rsidRDefault="008B591F" w:rsidP="008B591F">
      <w:pPr>
        <w:jc w:val="both"/>
        <w:rPr>
          <w:rFonts w:ascii="Times New Roman" w:eastAsia="Calibri" w:hAnsi="Times New Roman"/>
          <w:sz w:val="22"/>
          <w:szCs w:val="22"/>
        </w:rPr>
      </w:pPr>
    </w:p>
    <w:p w14:paraId="673C09BC" w14:textId="77777777" w:rsidR="007825CE" w:rsidRDefault="007825CE" w:rsidP="008B591F">
      <w:pPr>
        <w:spacing w:after="200" w:line="276" w:lineRule="auto"/>
        <w:rPr>
          <w:rFonts w:ascii="Cambria" w:hAnsi="Cambria" w:cs="Arial"/>
          <w:b/>
          <w:bCs/>
          <w:sz w:val="22"/>
          <w:szCs w:val="22"/>
          <w:lang w:val="en-GB" w:eastAsia="en-GB"/>
        </w:rPr>
      </w:pPr>
    </w:p>
    <w:p w14:paraId="4A7469E9" w14:textId="68E2FE20" w:rsidR="008B591F" w:rsidRPr="008B591F" w:rsidRDefault="008B591F" w:rsidP="008B591F">
      <w:pPr>
        <w:spacing w:after="200" w:line="276" w:lineRule="auto"/>
        <w:rPr>
          <w:rFonts w:ascii="Cambria" w:hAnsi="Cambria" w:cs="Arial"/>
          <w:b/>
          <w:bCs/>
          <w:sz w:val="22"/>
          <w:szCs w:val="22"/>
          <w:lang w:val="en-GB" w:eastAsia="en-GB"/>
        </w:rPr>
      </w:pPr>
      <w:r w:rsidRPr="008B591F">
        <w:rPr>
          <w:rFonts w:ascii="Cambria" w:hAnsi="Cambria" w:cs="Arial"/>
          <w:b/>
          <w:bCs/>
          <w:sz w:val="22"/>
          <w:szCs w:val="22"/>
          <w:lang w:val="en-GB" w:eastAsia="en-GB"/>
        </w:rPr>
        <w:lastRenderedPageBreak/>
        <w:t>COMPETING INTERESTS DISCLAIMER:</w:t>
      </w:r>
    </w:p>
    <w:p w14:paraId="6F0FF8C4" w14:textId="77777777" w:rsidR="008B591F" w:rsidRPr="008B591F" w:rsidRDefault="008B591F" w:rsidP="008B591F">
      <w:pPr>
        <w:spacing w:after="200" w:line="276" w:lineRule="auto"/>
        <w:rPr>
          <w:rFonts w:ascii="Cambria" w:hAnsi="Cambria"/>
          <w:sz w:val="22"/>
          <w:szCs w:val="22"/>
          <w:lang w:val="en-GB" w:eastAsia="en-GB"/>
        </w:rPr>
      </w:pPr>
      <w:r w:rsidRPr="008B591F">
        <w:rPr>
          <w:rFonts w:ascii="Cambria" w:hAnsi="Cambria" w:cs="Arial"/>
          <w:sz w:val="22"/>
          <w:szCs w:val="22"/>
          <w:lang w:val="en-GB" w:eastAsia="en-GB"/>
        </w:rPr>
        <w:t>Authors have declared that they have no known competing financial interests OR non-financial interests OR personal relationships that could have appeared to influence the work reported in this paper.</w:t>
      </w:r>
    </w:p>
    <w:p w14:paraId="53FEC99B" w14:textId="77777777" w:rsidR="003A2738" w:rsidRPr="009A721A" w:rsidRDefault="003A2738" w:rsidP="009A721A">
      <w:pPr>
        <w:pStyle w:val="ReferHead"/>
        <w:spacing w:after="0"/>
        <w:jc w:val="both"/>
        <w:rPr>
          <w:rFonts w:ascii="Arial" w:hAnsi="Arial" w:cs="Arial"/>
          <w:sz w:val="20"/>
        </w:rPr>
      </w:pPr>
    </w:p>
    <w:p w14:paraId="70892F79" w14:textId="77777777" w:rsidR="00B01FCD" w:rsidRPr="009A721A" w:rsidRDefault="00B01FCD" w:rsidP="009A721A">
      <w:pPr>
        <w:pStyle w:val="ReferHead"/>
        <w:spacing w:after="0"/>
        <w:jc w:val="both"/>
        <w:rPr>
          <w:rFonts w:ascii="Arial" w:hAnsi="Arial" w:cs="Arial"/>
          <w:sz w:val="20"/>
        </w:rPr>
      </w:pPr>
      <w:r w:rsidRPr="009A721A">
        <w:rPr>
          <w:rFonts w:ascii="Arial" w:hAnsi="Arial" w:cs="Arial"/>
          <w:sz w:val="20"/>
        </w:rPr>
        <w:t>References</w:t>
      </w:r>
    </w:p>
    <w:p w14:paraId="59EF31F0" w14:textId="77777777" w:rsidR="00790ADA" w:rsidRPr="009A721A" w:rsidRDefault="00790ADA" w:rsidP="009A721A">
      <w:pPr>
        <w:pStyle w:val="ReferHead"/>
        <w:spacing w:after="0"/>
        <w:jc w:val="both"/>
        <w:rPr>
          <w:rFonts w:ascii="Arial" w:hAnsi="Arial" w:cs="Arial"/>
          <w:sz w:val="20"/>
        </w:rPr>
      </w:pPr>
    </w:p>
    <w:p w14:paraId="485B9D21" w14:textId="77777777" w:rsidR="00DF338B" w:rsidRPr="00DF338B" w:rsidRDefault="00DF338B" w:rsidP="00DF338B">
      <w:pPr>
        <w:ind w:left="720" w:hanging="720"/>
        <w:jc w:val="both"/>
        <w:rPr>
          <w:rFonts w:ascii="Arial" w:hAnsi="Arial" w:cs="Arial"/>
        </w:rPr>
      </w:pPr>
      <w:r w:rsidRPr="00DF338B">
        <w:rPr>
          <w:rFonts w:ascii="Arial" w:hAnsi="Arial" w:cs="Arial"/>
        </w:rPr>
        <w:t xml:space="preserve">Aljahdali, M. O., &amp; Alhomaidi, A. (2022). Population dynamics and fecundity estimates of the long-spined sea urchin </w:t>
      </w:r>
      <w:r w:rsidRPr="00DF338B">
        <w:rPr>
          <w:rFonts w:ascii="Arial" w:hAnsi="Arial" w:cs="Arial"/>
          <w:i/>
        </w:rPr>
        <w:t>Diadema setosum</w:t>
      </w:r>
      <w:r w:rsidRPr="00DF338B">
        <w:rPr>
          <w:rFonts w:ascii="Arial" w:hAnsi="Arial" w:cs="Arial"/>
        </w:rPr>
        <w:t xml:space="preserve"> in coral reef communities of the Gulf regions. </w:t>
      </w:r>
      <w:r w:rsidRPr="00DF338B">
        <w:rPr>
          <w:rFonts w:ascii="Arial" w:hAnsi="Arial" w:cs="Arial"/>
          <w:i/>
        </w:rPr>
        <w:t>Frontiers in Marine Science</w:t>
      </w:r>
      <w:r w:rsidRPr="00DF338B">
        <w:rPr>
          <w:rFonts w:ascii="Arial" w:hAnsi="Arial" w:cs="Arial"/>
        </w:rPr>
        <w:t>, 9, 918232. https://doi.org/10.3389/fmars.2022.918232</w:t>
      </w:r>
    </w:p>
    <w:p w14:paraId="7DA7C5C3" w14:textId="77777777" w:rsidR="003A2738" w:rsidRDefault="003A2738" w:rsidP="003A2738">
      <w:pPr>
        <w:ind w:left="720" w:hanging="720"/>
        <w:jc w:val="both"/>
        <w:rPr>
          <w:rFonts w:ascii="Arial" w:hAnsi="Arial" w:cs="Arial"/>
        </w:rPr>
      </w:pPr>
      <w:r w:rsidRPr="00103917">
        <w:rPr>
          <w:rFonts w:ascii="Arial" w:hAnsi="Arial" w:cs="Arial"/>
        </w:rPr>
        <w:t>Andrew, N. L., Agatsuma, Y., Ballesteros, E., Bazhin, A. G., Creaser, E. P., Barnes, D. K. A., Botsford, L. W., Bradbury, A., Campbell, A., Dixon, J. D., Einarsson, S., Gerring, P. K., Hebert, K., Hunter, M., Hur, S. B., Johnson, C. R., Juinio-Meñez, M. A., Kalvass, P., Miller, R. J., ... Xiaoqi, Z. (2002). Status and management of world sea urchin fisheries. In R. N. Gibson, M. Barnes, &amp; R. J. A. Atkinson (Eds.), Oceanography and Marine Biology: An Annual Review (Vol. 40, pp. 343–425). Taylor &amp; Francis. https://figshare.utas.edu.au/articles/journal_contribution/Status_and_management_of_world_sea_urchin_fisheries/23202680/1/files/40898918.pdf</w:t>
      </w:r>
    </w:p>
    <w:p w14:paraId="285AD4AF" w14:textId="77777777" w:rsidR="00DF338B" w:rsidRPr="00DF338B" w:rsidRDefault="00DF338B" w:rsidP="00DF338B">
      <w:pPr>
        <w:ind w:left="720" w:hanging="720"/>
        <w:jc w:val="both"/>
        <w:rPr>
          <w:rFonts w:ascii="Arial" w:hAnsi="Arial" w:cs="Arial"/>
        </w:rPr>
      </w:pPr>
      <w:r w:rsidRPr="00DF338B">
        <w:rPr>
          <w:rFonts w:ascii="Arial" w:hAnsi="Arial" w:cs="Arial"/>
        </w:rPr>
        <w:t xml:space="preserve">Atmaja, P. S. P., Laharjana, I. K. A. K., et al. (2024). Comparisons of benthic-associated fauna assemblages in seagrass meadows across conservation and non-conservation areas in Bali and Lombok, Indonesia. </w:t>
      </w:r>
      <w:r w:rsidRPr="00DF338B">
        <w:rPr>
          <w:rFonts w:ascii="Arial" w:hAnsi="Arial" w:cs="Arial"/>
          <w:i/>
        </w:rPr>
        <w:t>Ilmu Kelautan: Indonesian Journal of Marine Sciences</w:t>
      </w:r>
      <w:r w:rsidRPr="00DF338B">
        <w:rPr>
          <w:rFonts w:ascii="Arial" w:hAnsi="Arial" w:cs="Arial"/>
        </w:rPr>
        <w:t>, 29(1), 71–84. https://doi.org/10.14710/ik.ijms.29.1.71-84</w:t>
      </w:r>
    </w:p>
    <w:p w14:paraId="3F9E0761" w14:textId="77777777" w:rsidR="00DF338B" w:rsidRPr="00DF338B" w:rsidRDefault="00DF338B" w:rsidP="00DF338B">
      <w:pPr>
        <w:ind w:left="720" w:hanging="720"/>
        <w:jc w:val="both"/>
        <w:rPr>
          <w:rFonts w:ascii="Arial" w:hAnsi="Arial" w:cs="Arial"/>
        </w:rPr>
      </w:pPr>
      <w:r w:rsidRPr="00DF338B">
        <w:rPr>
          <w:rFonts w:ascii="Arial" w:hAnsi="Arial" w:cs="Arial"/>
        </w:rPr>
        <w:t xml:space="preserve">Aulia, E. D., Muzaki, F. K., Lee, S.-K., Khim, J. S., &amp; Park, J. (2025). DNA barcoding insights into echinoderms from Situbondo coral reefs, East Java, Indonesia. </w:t>
      </w:r>
      <w:r w:rsidRPr="00DF338B">
        <w:rPr>
          <w:rFonts w:ascii="Arial" w:hAnsi="Arial" w:cs="Arial"/>
          <w:i/>
        </w:rPr>
        <w:t>Biodiversitas</w:t>
      </w:r>
      <w:r w:rsidRPr="00DF338B">
        <w:rPr>
          <w:rFonts w:ascii="Arial" w:hAnsi="Arial" w:cs="Arial"/>
        </w:rPr>
        <w:t>, 26(7), 3434–3445. https://doi.org/10.13057/biodiv/d260702</w:t>
      </w:r>
    </w:p>
    <w:p w14:paraId="2C8DEADB" w14:textId="77777777" w:rsidR="003A2738" w:rsidRDefault="003A2738" w:rsidP="003A2738">
      <w:pPr>
        <w:ind w:left="720" w:hanging="720"/>
        <w:jc w:val="both"/>
        <w:rPr>
          <w:rFonts w:ascii="Arial" w:hAnsi="Arial" w:cs="Arial"/>
        </w:rPr>
      </w:pPr>
      <w:r w:rsidRPr="00103917">
        <w:rPr>
          <w:rFonts w:ascii="Arial" w:hAnsi="Arial" w:cs="Arial"/>
        </w:rPr>
        <w:t xml:space="preserve">Bangi, H. G. P., &amp; Juinio-Meñez, M. A. (2023). Feeding and reproductive phenotypic traits of the sea urchin </w:t>
      </w:r>
      <w:r w:rsidRPr="002B4F0F">
        <w:rPr>
          <w:rFonts w:ascii="Arial" w:hAnsi="Arial" w:cs="Arial"/>
          <w:i/>
          <w:iCs/>
        </w:rPr>
        <w:t>Tripneustes gratilla</w:t>
      </w:r>
      <w:r w:rsidRPr="00103917">
        <w:rPr>
          <w:rFonts w:ascii="Arial" w:hAnsi="Arial" w:cs="Arial"/>
        </w:rPr>
        <w:t xml:space="preserve"> in seagrass beds impacted by eutrophication. Diversity, 15(7), Article 843. https://doi.org/10.3390/d15070843</w:t>
      </w:r>
    </w:p>
    <w:p w14:paraId="5B77AC7F" w14:textId="77777777" w:rsidR="00DF338B" w:rsidRPr="00DF338B" w:rsidRDefault="00DF338B" w:rsidP="00DF338B">
      <w:pPr>
        <w:ind w:left="720" w:hanging="720"/>
        <w:jc w:val="both"/>
        <w:rPr>
          <w:rFonts w:ascii="Arial" w:hAnsi="Arial" w:cs="Arial"/>
        </w:rPr>
      </w:pPr>
      <w:r w:rsidRPr="00DF338B">
        <w:rPr>
          <w:rFonts w:ascii="Arial" w:hAnsi="Arial" w:cs="Arial"/>
        </w:rPr>
        <w:t xml:space="preserve">Baran, F. P. (2013). Diversity of echinoderms in the coastal shores of Jampason, Initao, Misamis Oriental, Philippines. </w:t>
      </w:r>
      <w:r w:rsidRPr="00DF338B">
        <w:rPr>
          <w:rFonts w:ascii="Arial" w:hAnsi="Arial" w:cs="Arial"/>
          <w:i/>
        </w:rPr>
        <w:t>JPAIR Institutional Research</w:t>
      </w:r>
      <w:r w:rsidRPr="00DF338B">
        <w:rPr>
          <w:rFonts w:ascii="Arial" w:hAnsi="Arial" w:cs="Arial"/>
        </w:rPr>
        <w:t>, 2, 15–24.</w:t>
      </w:r>
    </w:p>
    <w:p w14:paraId="19217548" w14:textId="77777777" w:rsidR="00DF338B" w:rsidRPr="00DF338B" w:rsidRDefault="00DF338B" w:rsidP="00DF338B">
      <w:pPr>
        <w:ind w:left="720" w:hanging="720"/>
        <w:jc w:val="both"/>
        <w:rPr>
          <w:rFonts w:ascii="Arial" w:hAnsi="Arial" w:cs="Arial"/>
        </w:rPr>
      </w:pPr>
      <w:r w:rsidRPr="00DF338B">
        <w:rPr>
          <w:rFonts w:ascii="Arial" w:hAnsi="Arial" w:cs="Arial"/>
        </w:rPr>
        <w:t xml:space="preserve">Bariring, C., &amp; Roa, E. C. (2025). Population density and size structure of the sea urchin </w:t>
      </w:r>
      <w:r w:rsidRPr="00DF338B">
        <w:rPr>
          <w:rFonts w:ascii="Arial" w:hAnsi="Arial" w:cs="Arial"/>
          <w:i/>
        </w:rPr>
        <w:t>Tripneustes gratilla</w:t>
      </w:r>
      <w:r w:rsidRPr="00DF338B">
        <w:rPr>
          <w:rFonts w:ascii="Arial" w:hAnsi="Arial" w:cs="Arial"/>
        </w:rPr>
        <w:t xml:space="preserve"> in Lunao, Gingoog City, Misamis Oriental, Philippines. </w:t>
      </w:r>
      <w:r w:rsidRPr="00DF338B">
        <w:rPr>
          <w:rFonts w:ascii="Arial" w:hAnsi="Arial" w:cs="Arial"/>
          <w:i/>
        </w:rPr>
        <w:t>Philippine Journal of Fisheries</w:t>
      </w:r>
      <w:r w:rsidRPr="00DF338B">
        <w:rPr>
          <w:rFonts w:ascii="Arial" w:hAnsi="Arial" w:cs="Arial"/>
        </w:rPr>
        <w:t xml:space="preserve"> (in press).</w:t>
      </w:r>
    </w:p>
    <w:p w14:paraId="339D0946" w14:textId="77777777" w:rsidR="00DF338B" w:rsidRPr="00DF338B" w:rsidRDefault="00DF338B" w:rsidP="00DF338B">
      <w:pPr>
        <w:ind w:left="720" w:hanging="720"/>
        <w:jc w:val="both"/>
        <w:rPr>
          <w:rFonts w:ascii="Arial" w:hAnsi="Arial" w:cs="Arial"/>
        </w:rPr>
      </w:pPr>
      <w:r w:rsidRPr="00DF338B">
        <w:rPr>
          <w:rFonts w:ascii="Arial" w:hAnsi="Arial" w:cs="Arial"/>
        </w:rPr>
        <w:t xml:space="preserve">Bauer, J., Rodriguez, N. J. D., &amp; Pearce, C. M. (2025). Sea urchin gonad enhancement and coloration: A comprehensive review. </w:t>
      </w:r>
      <w:r w:rsidRPr="00DF338B">
        <w:rPr>
          <w:rFonts w:ascii="Arial" w:hAnsi="Arial" w:cs="Arial"/>
          <w:i/>
        </w:rPr>
        <w:t>Marine Drugs</w:t>
      </w:r>
      <w:r w:rsidRPr="00DF338B">
        <w:rPr>
          <w:rFonts w:ascii="Arial" w:hAnsi="Arial" w:cs="Arial"/>
        </w:rPr>
        <w:t>, 23(4), 168. https://doi.org/10.3390/md23040168</w:t>
      </w:r>
    </w:p>
    <w:p w14:paraId="2A798C29" w14:textId="77777777" w:rsidR="00DF338B" w:rsidRPr="00DF338B" w:rsidRDefault="00DF338B" w:rsidP="00DF338B">
      <w:pPr>
        <w:ind w:left="720" w:hanging="720"/>
        <w:jc w:val="both"/>
        <w:rPr>
          <w:rFonts w:ascii="Arial" w:hAnsi="Arial" w:cs="Arial"/>
        </w:rPr>
      </w:pPr>
      <w:r w:rsidRPr="00DF338B">
        <w:rPr>
          <w:rFonts w:ascii="Arial" w:hAnsi="Arial" w:cs="Arial"/>
        </w:rPr>
        <w:t xml:space="preserve">Birkeland, C. (1989). The influence of echinoderms on coral-reef communities. In M. Jangoux &amp; J. M. Lawrence (Eds.), </w:t>
      </w:r>
      <w:r w:rsidRPr="00DF338B">
        <w:rPr>
          <w:rFonts w:ascii="Arial" w:hAnsi="Arial" w:cs="Arial"/>
          <w:i/>
        </w:rPr>
        <w:t>Echinoderm Studies, Vol. 3</w:t>
      </w:r>
      <w:r w:rsidRPr="00DF338B">
        <w:rPr>
          <w:rFonts w:ascii="Arial" w:hAnsi="Arial" w:cs="Arial"/>
        </w:rPr>
        <w:t xml:space="preserve"> (pp. 1–79). Balkema, Rotterdam.</w:t>
      </w:r>
    </w:p>
    <w:p w14:paraId="1402D08C" w14:textId="77777777" w:rsidR="00DF338B" w:rsidRPr="00DF338B" w:rsidRDefault="00DF338B" w:rsidP="00DF338B">
      <w:pPr>
        <w:ind w:left="720" w:hanging="720"/>
        <w:jc w:val="both"/>
        <w:rPr>
          <w:rFonts w:ascii="Arial" w:hAnsi="Arial" w:cs="Arial"/>
        </w:rPr>
      </w:pPr>
      <w:r w:rsidRPr="00DF338B">
        <w:rPr>
          <w:rFonts w:ascii="Arial" w:hAnsi="Arial" w:cs="Arial"/>
        </w:rPr>
        <w:t xml:space="preserve">Bronstein, O., &amp; Loya, Y. (2014). Echinoid community structure and rates of herbivory and bioerosion on exposed and sheltered reefs. </w:t>
      </w:r>
      <w:r w:rsidRPr="00DF338B">
        <w:rPr>
          <w:rFonts w:ascii="Arial" w:hAnsi="Arial" w:cs="Arial"/>
          <w:i/>
        </w:rPr>
        <w:t>Journal of Experimental Marine Biology and Ecology</w:t>
      </w:r>
      <w:r w:rsidRPr="00DF338B">
        <w:rPr>
          <w:rFonts w:ascii="Arial" w:hAnsi="Arial" w:cs="Arial"/>
        </w:rPr>
        <w:t>, 456, 8–17. https://doi.org/10.1016/j.jembe.2014.03.003</w:t>
      </w:r>
    </w:p>
    <w:p w14:paraId="4B07418F" w14:textId="77777777" w:rsidR="003A2738" w:rsidRDefault="003A2738" w:rsidP="00DF338B">
      <w:pPr>
        <w:ind w:left="720" w:hanging="720"/>
        <w:jc w:val="both"/>
        <w:rPr>
          <w:rFonts w:ascii="Arial" w:hAnsi="Arial" w:cs="Arial"/>
        </w:rPr>
      </w:pPr>
      <w:r w:rsidRPr="003A2738">
        <w:rPr>
          <w:rFonts w:ascii="Arial" w:hAnsi="Arial" w:cs="Arial"/>
        </w:rPr>
        <w:t>California Academy of Sciences. (2011). The 2011 Hearst Philippine Biodiversity Expedition [Expedition report]. https://www.calacademy.org/sites/default/files/assets/docs/pdf/hearst_biodiversity_vol_xweb_filelrcomp.pdf</w:t>
      </w:r>
    </w:p>
    <w:p w14:paraId="706AD55A" w14:textId="77777777" w:rsidR="003A2738" w:rsidRDefault="003A2738" w:rsidP="003A2738">
      <w:pPr>
        <w:ind w:left="720" w:hanging="720"/>
        <w:jc w:val="both"/>
        <w:rPr>
          <w:rFonts w:ascii="Arial" w:hAnsi="Arial" w:cs="Arial"/>
        </w:rPr>
      </w:pPr>
      <w:r w:rsidRPr="00103917">
        <w:rPr>
          <w:rFonts w:ascii="Arial" w:hAnsi="Arial" w:cs="Arial"/>
        </w:rPr>
        <w:t xml:space="preserve">Casilagan, I. L. N., Juinio-Meñez, M. A., &amp; Crandall, E. D. (2013). Genetic diversity, population structure, and demographic history of exploited sea urchin populations (Tripneustes gratilla) in the Philippines. Journal of Experimental Marine Biology and Ecology, 449, 284–293. </w:t>
      </w:r>
      <w:r w:rsidRPr="00103917">
        <w:rPr>
          <w:rFonts w:ascii="Arial" w:hAnsi="Arial" w:cs="Arial"/>
        </w:rPr>
        <w:lastRenderedPageBreak/>
        <w:t>https://digitalcommons.csumb.edu/cgi/viewcontent.cgi?article=1017&amp;context=sns_fac</w:t>
      </w:r>
    </w:p>
    <w:p w14:paraId="4D87C5B2" w14:textId="77777777" w:rsidR="00DF338B" w:rsidRPr="00DF338B" w:rsidRDefault="00DF338B" w:rsidP="00DF338B">
      <w:pPr>
        <w:ind w:left="720" w:hanging="720"/>
        <w:jc w:val="both"/>
        <w:rPr>
          <w:rFonts w:ascii="Arial" w:hAnsi="Arial" w:cs="Arial"/>
        </w:rPr>
      </w:pPr>
      <w:r w:rsidRPr="00DF338B">
        <w:rPr>
          <w:rFonts w:ascii="Arial" w:hAnsi="Arial" w:cs="Arial"/>
        </w:rPr>
        <w:t xml:space="preserve">Carreiro-Silva, M., &amp; McClanahan, T. R. (2001). Echinoid bioerosion and herbivory on Kenyan coral reefs: The role of protection from fishing. </w:t>
      </w:r>
      <w:r w:rsidRPr="00DF338B">
        <w:rPr>
          <w:rFonts w:ascii="Arial" w:hAnsi="Arial" w:cs="Arial"/>
          <w:i/>
        </w:rPr>
        <w:t>Journal of Experimental Marine Biology and Ecology</w:t>
      </w:r>
      <w:r w:rsidRPr="00DF338B">
        <w:rPr>
          <w:rFonts w:ascii="Arial" w:hAnsi="Arial" w:cs="Arial"/>
        </w:rPr>
        <w:t>, 262(2), 133–153. https://doi.org/10.1016/S0022-0981(01)00288-X</w:t>
      </w:r>
    </w:p>
    <w:p w14:paraId="6CB81BFF" w14:textId="77777777" w:rsidR="00DF338B" w:rsidRPr="00DF338B" w:rsidRDefault="00DF338B" w:rsidP="00DF338B">
      <w:pPr>
        <w:ind w:left="720" w:hanging="720"/>
        <w:jc w:val="both"/>
        <w:rPr>
          <w:rFonts w:ascii="Arial" w:hAnsi="Arial" w:cs="Arial"/>
        </w:rPr>
      </w:pPr>
      <w:r w:rsidRPr="00DF338B">
        <w:rPr>
          <w:rFonts w:ascii="Arial" w:hAnsi="Arial" w:cs="Arial"/>
        </w:rPr>
        <w:t>Casilagan, I. L. N., Juinio-Meñez, M. A., &amp; Crandall, E. D. (2013). Genetic diversity, population structure, and demographic history of exploited sea urchin populations (</w:t>
      </w:r>
      <w:r w:rsidRPr="00DF338B">
        <w:rPr>
          <w:rFonts w:ascii="Arial" w:hAnsi="Arial" w:cs="Arial"/>
          <w:i/>
        </w:rPr>
        <w:t>Tripneustes gratilla</w:t>
      </w:r>
      <w:r w:rsidRPr="00DF338B">
        <w:rPr>
          <w:rFonts w:ascii="Arial" w:hAnsi="Arial" w:cs="Arial"/>
        </w:rPr>
        <w:t xml:space="preserve">) in the Philippines. </w:t>
      </w:r>
      <w:r w:rsidRPr="00DF338B">
        <w:rPr>
          <w:rFonts w:ascii="Arial" w:hAnsi="Arial" w:cs="Arial"/>
          <w:i/>
        </w:rPr>
        <w:t>Journal of Experimental Marine Biology and Ecology</w:t>
      </w:r>
      <w:r w:rsidRPr="00DF338B">
        <w:rPr>
          <w:rFonts w:ascii="Arial" w:hAnsi="Arial" w:cs="Arial"/>
        </w:rPr>
        <w:t>, 449, 284–293. https://doi.org/10.1016/j.jembe.2013.10.008</w:t>
      </w:r>
    </w:p>
    <w:p w14:paraId="6E16F9C6" w14:textId="77777777" w:rsidR="007F017E" w:rsidRDefault="007F017E" w:rsidP="00DF338B">
      <w:pPr>
        <w:ind w:left="720" w:hanging="720"/>
        <w:jc w:val="both"/>
        <w:rPr>
          <w:rFonts w:ascii="Arial" w:hAnsi="Arial" w:cs="Arial"/>
        </w:rPr>
      </w:pPr>
      <w:r w:rsidRPr="007F017E">
        <w:rPr>
          <w:rFonts w:ascii="Arial" w:hAnsi="Arial" w:cs="Arial"/>
        </w:rPr>
        <w:t>Clark, A. M., &amp; Rowe, F. W. E. (1971). Monograph of shallow-water Indo-West Pacific echinoderms. London: Trustees of the British Museum (Natural History).</w:t>
      </w:r>
    </w:p>
    <w:p w14:paraId="02790FC1" w14:textId="77777777" w:rsidR="00DF338B" w:rsidRPr="00DF338B" w:rsidRDefault="00DF338B" w:rsidP="00DF338B">
      <w:pPr>
        <w:ind w:left="720" w:hanging="720"/>
        <w:jc w:val="both"/>
        <w:rPr>
          <w:rFonts w:ascii="Arial" w:hAnsi="Arial" w:cs="Arial"/>
        </w:rPr>
      </w:pPr>
      <w:r w:rsidRPr="00DF338B">
        <w:rPr>
          <w:rFonts w:ascii="Arial" w:hAnsi="Arial" w:cs="Arial"/>
        </w:rPr>
        <w:t xml:space="preserve">Cleary, D. F. R., Becking, L. E., de Voogd, N. J., Renema, W., de Beer, M., van Soest, R. W. M., &amp; Hoeksema, B. W. (2005). Variation in the diversity and composition of benthic taxa as a function of distance offshore, depth and exposure in the Spermonde Archipelago, Indonesia. </w:t>
      </w:r>
      <w:r w:rsidRPr="00DF338B">
        <w:rPr>
          <w:rFonts w:ascii="Arial" w:hAnsi="Arial" w:cs="Arial"/>
          <w:i/>
        </w:rPr>
        <w:t>Estuarine, Coastal and Shelf Science</w:t>
      </w:r>
      <w:r w:rsidRPr="00DF338B">
        <w:rPr>
          <w:rFonts w:ascii="Arial" w:hAnsi="Arial" w:cs="Arial"/>
        </w:rPr>
        <w:t>, 65(3), 557–570. https://doi.org/10.1016/j.ecss.2005.06.025</w:t>
      </w:r>
    </w:p>
    <w:p w14:paraId="795E0519" w14:textId="77777777" w:rsidR="00DF338B" w:rsidRPr="00DF338B" w:rsidRDefault="00DF338B" w:rsidP="00DF338B">
      <w:pPr>
        <w:ind w:left="720" w:hanging="720"/>
        <w:jc w:val="both"/>
        <w:rPr>
          <w:rFonts w:ascii="Arial" w:hAnsi="Arial" w:cs="Arial"/>
        </w:rPr>
      </w:pPr>
      <w:r w:rsidRPr="00DF338B">
        <w:rPr>
          <w:rFonts w:ascii="Arial" w:hAnsi="Arial" w:cs="Arial"/>
        </w:rPr>
        <w:t xml:space="preserve">Coppard, S. E. (2013). </w:t>
      </w:r>
      <w:r w:rsidRPr="00DF338B">
        <w:rPr>
          <w:rFonts w:ascii="Arial" w:hAnsi="Arial" w:cs="Arial"/>
          <w:i/>
        </w:rPr>
        <w:t>Toxopneustes pileolus</w:t>
      </w:r>
      <w:r w:rsidRPr="00DF338B">
        <w:rPr>
          <w:rFonts w:ascii="Arial" w:hAnsi="Arial" w:cs="Arial"/>
        </w:rPr>
        <w:t xml:space="preserve">: Ecology and defensive mechanisms of the flower urchin. </w:t>
      </w:r>
      <w:r w:rsidRPr="00DF338B">
        <w:rPr>
          <w:rFonts w:ascii="Arial" w:hAnsi="Arial" w:cs="Arial"/>
          <w:i/>
        </w:rPr>
        <w:t>Marine Biology Research</w:t>
      </w:r>
      <w:r w:rsidRPr="00DF338B">
        <w:rPr>
          <w:rFonts w:ascii="Arial" w:hAnsi="Arial" w:cs="Arial"/>
        </w:rPr>
        <w:t>, 9(4), 401–414.</w:t>
      </w:r>
    </w:p>
    <w:p w14:paraId="26F693CF" w14:textId="77777777" w:rsidR="00DF338B" w:rsidRPr="00DF338B" w:rsidRDefault="00DF338B" w:rsidP="00DF338B">
      <w:pPr>
        <w:ind w:left="720" w:hanging="720"/>
        <w:jc w:val="both"/>
        <w:rPr>
          <w:rFonts w:ascii="Arial" w:hAnsi="Arial" w:cs="Arial"/>
        </w:rPr>
      </w:pPr>
      <w:r w:rsidRPr="00DF338B">
        <w:rPr>
          <w:rFonts w:ascii="Arial" w:hAnsi="Arial" w:cs="Arial"/>
        </w:rPr>
        <w:t xml:space="preserve">Coppard, S. E., Jessop, H., &amp; Lessios, H. A. (2021). Phylogeography, colouration, and cryptic speciation across the Indo-Pacific in the sea urchin genus </w:t>
      </w:r>
      <w:r w:rsidRPr="00DF338B">
        <w:rPr>
          <w:rFonts w:ascii="Arial" w:hAnsi="Arial" w:cs="Arial"/>
          <w:i/>
        </w:rPr>
        <w:t>Echinothrix</w:t>
      </w:r>
      <w:r w:rsidRPr="00DF338B">
        <w:rPr>
          <w:rFonts w:ascii="Arial" w:hAnsi="Arial" w:cs="Arial"/>
        </w:rPr>
        <w:t xml:space="preserve">. </w:t>
      </w:r>
      <w:r w:rsidRPr="00DF338B">
        <w:rPr>
          <w:rFonts w:ascii="Arial" w:hAnsi="Arial" w:cs="Arial"/>
          <w:i/>
        </w:rPr>
        <w:t>Scientific Reports</w:t>
      </w:r>
      <w:r w:rsidRPr="00DF338B">
        <w:rPr>
          <w:rFonts w:ascii="Arial" w:hAnsi="Arial" w:cs="Arial"/>
        </w:rPr>
        <w:t>, 11, 16568. https://doi.org/10.1038/s41598-021-95872-0</w:t>
      </w:r>
    </w:p>
    <w:p w14:paraId="5C914331" w14:textId="77777777" w:rsidR="003A2738" w:rsidRDefault="003A2738" w:rsidP="003A2738">
      <w:pPr>
        <w:ind w:left="720" w:hanging="720"/>
        <w:jc w:val="both"/>
        <w:rPr>
          <w:rFonts w:ascii="Arial" w:hAnsi="Arial" w:cs="Arial"/>
        </w:rPr>
      </w:pPr>
      <w:r w:rsidRPr="00103917">
        <w:rPr>
          <w:rFonts w:ascii="Arial" w:hAnsi="Arial" w:cs="Arial"/>
        </w:rPr>
        <w:t>Dang, V. D. H., Cheung, P.-Y., Fong, C.-L., Mulla, A. J., Shiu, J.-H., Lin, C.-H., &amp; Nozawa, Y. (2020). Sea urchins play an increasingly important role for coral resilience across reefs in Taiwan. Frontiers in Marine Science, 7, Article 581945. https://doi.org/10.3389/fmars.2020.581945</w:t>
      </w:r>
    </w:p>
    <w:p w14:paraId="4BCB8438" w14:textId="77777777" w:rsidR="00DF338B" w:rsidRPr="00DF338B" w:rsidRDefault="00DF338B" w:rsidP="00DF338B">
      <w:pPr>
        <w:ind w:left="720" w:hanging="720"/>
        <w:jc w:val="both"/>
        <w:rPr>
          <w:rFonts w:ascii="Arial" w:hAnsi="Arial" w:cs="Arial"/>
        </w:rPr>
      </w:pPr>
      <w:r w:rsidRPr="00DF338B">
        <w:rPr>
          <w:rFonts w:ascii="Arial" w:hAnsi="Arial" w:cs="Arial"/>
        </w:rPr>
        <w:t xml:space="preserve">Dy, D. T., &amp; Yap, H. T. (2000). Bioerosion potential of three species of sea urchins commonly found on the reef flats of eastern Mactan Island, Cebu, Philippines. </w:t>
      </w:r>
      <w:r w:rsidRPr="00DF338B">
        <w:rPr>
          <w:rFonts w:ascii="Arial" w:hAnsi="Arial" w:cs="Arial"/>
          <w:i/>
        </w:rPr>
        <w:t>The Philippine Scientist</w:t>
      </w:r>
      <w:r w:rsidRPr="00DF338B">
        <w:rPr>
          <w:rFonts w:ascii="Arial" w:hAnsi="Arial" w:cs="Arial"/>
        </w:rPr>
        <w:t>, 37, 45–60.</w:t>
      </w:r>
    </w:p>
    <w:p w14:paraId="599C34E1" w14:textId="77777777" w:rsidR="00DF338B" w:rsidRPr="00DF338B" w:rsidRDefault="00DF338B" w:rsidP="00DF338B">
      <w:pPr>
        <w:ind w:left="720" w:hanging="720"/>
        <w:jc w:val="both"/>
        <w:rPr>
          <w:rFonts w:ascii="Arial" w:hAnsi="Arial" w:cs="Arial"/>
        </w:rPr>
      </w:pPr>
      <w:r w:rsidRPr="00DF338B">
        <w:rPr>
          <w:rFonts w:ascii="Arial" w:hAnsi="Arial" w:cs="Arial"/>
        </w:rPr>
        <w:t xml:space="preserve">Ehlert-Flaskämper, S., et al. (2025). Prickly defenders: A review of venomous sea urchins (Echinoidea). </w:t>
      </w:r>
      <w:r w:rsidRPr="00DF338B">
        <w:rPr>
          <w:rFonts w:ascii="Arial" w:hAnsi="Arial" w:cs="Arial"/>
          <w:i/>
        </w:rPr>
        <w:t>Marine Drugs</w:t>
      </w:r>
      <w:r w:rsidRPr="00DF338B">
        <w:rPr>
          <w:rFonts w:ascii="Arial" w:hAnsi="Arial" w:cs="Arial"/>
        </w:rPr>
        <w:t>, 23(6), 253. https://doi.org/10.3390/md23060253</w:t>
      </w:r>
    </w:p>
    <w:p w14:paraId="58A58217" w14:textId="77777777" w:rsidR="003A2738" w:rsidRDefault="003A2738" w:rsidP="003A2738">
      <w:pPr>
        <w:ind w:left="720" w:hanging="720"/>
        <w:jc w:val="both"/>
        <w:rPr>
          <w:rFonts w:ascii="Arial" w:hAnsi="Arial" w:cs="Arial"/>
        </w:rPr>
      </w:pPr>
      <w:r w:rsidRPr="00103917">
        <w:rPr>
          <w:rFonts w:ascii="Arial" w:hAnsi="Arial" w:cs="Arial"/>
        </w:rPr>
        <w:t>Eklöf, J. S., de la Torre-Castro, M., Gullström, M., Uku, J., &amp; Muthiga, N. (2008). Sea urchin overgrazing of seagrasses: A review of current knowledge on causes, consequences, and management. Estuarine, Coastal and Shelf Science, 79(4), 569–580. https://www.researchgate.net/publication/256195644_Sea_urchin_overgrazing_of_seagrasses_A_review_of_current_knowledge_on_causes_consequences_and_management</w:t>
      </w:r>
    </w:p>
    <w:p w14:paraId="607C8AD7" w14:textId="77777777" w:rsidR="007F017E" w:rsidRDefault="007F017E" w:rsidP="00DF338B">
      <w:pPr>
        <w:ind w:left="720" w:hanging="720"/>
        <w:jc w:val="both"/>
        <w:rPr>
          <w:rFonts w:ascii="Arial" w:hAnsi="Arial" w:cs="Arial"/>
        </w:rPr>
      </w:pPr>
      <w:r w:rsidRPr="007F017E">
        <w:rPr>
          <w:rFonts w:ascii="Arial" w:hAnsi="Arial" w:cs="Arial"/>
        </w:rPr>
        <w:t>English, S., Wilkinson, C., &amp; Baker, V. (1997). Survey manual for tropical marine resources (2nd ed.). Townsville, Australia: Australian Institute of Marine Science. AIMS</w:t>
      </w:r>
    </w:p>
    <w:p w14:paraId="24E735D2" w14:textId="77777777" w:rsidR="00DF338B" w:rsidRPr="00DF338B" w:rsidRDefault="00DF338B" w:rsidP="00DF338B">
      <w:pPr>
        <w:ind w:left="720" w:hanging="720"/>
        <w:jc w:val="both"/>
        <w:rPr>
          <w:rFonts w:ascii="Arial" w:hAnsi="Arial" w:cs="Arial"/>
        </w:rPr>
      </w:pPr>
      <w:r w:rsidRPr="00DF338B">
        <w:rPr>
          <w:rFonts w:ascii="Arial" w:hAnsi="Arial" w:cs="Arial"/>
        </w:rPr>
        <w:t>Fong, C. R., Gaynus, C. J., &amp; Carpenter, R. C. (2024). Herbivorous sea urchins (</w:t>
      </w:r>
      <w:r w:rsidRPr="00DF338B">
        <w:rPr>
          <w:rFonts w:ascii="Arial" w:hAnsi="Arial" w:cs="Arial"/>
          <w:i/>
        </w:rPr>
        <w:t>Echinometra mathaei</w:t>
      </w:r>
      <w:r w:rsidRPr="00DF338B">
        <w:rPr>
          <w:rFonts w:ascii="Arial" w:hAnsi="Arial" w:cs="Arial"/>
        </w:rPr>
        <w:t xml:space="preserve">) support algal turf resilience on overfished and sedimented tropical reefs. </w:t>
      </w:r>
      <w:r w:rsidRPr="00DF338B">
        <w:rPr>
          <w:rFonts w:ascii="Arial" w:hAnsi="Arial" w:cs="Arial"/>
          <w:i/>
        </w:rPr>
        <w:t>Scientific Reports</w:t>
      </w:r>
      <w:r w:rsidRPr="00DF338B">
        <w:rPr>
          <w:rFonts w:ascii="Arial" w:hAnsi="Arial" w:cs="Arial"/>
        </w:rPr>
        <w:t>, 14, 3452. https://doi.org/10.1038/s41598-024-52222-0</w:t>
      </w:r>
    </w:p>
    <w:p w14:paraId="5508795A" w14:textId="77777777" w:rsidR="00DF338B" w:rsidRPr="00DF338B" w:rsidRDefault="00DF338B" w:rsidP="00DF338B">
      <w:pPr>
        <w:ind w:left="720" w:hanging="720"/>
        <w:jc w:val="both"/>
        <w:rPr>
          <w:rFonts w:ascii="Arial" w:hAnsi="Arial" w:cs="Arial"/>
        </w:rPr>
      </w:pPr>
      <w:r w:rsidRPr="00DF338B">
        <w:rPr>
          <w:rFonts w:ascii="Arial" w:hAnsi="Arial" w:cs="Arial"/>
        </w:rPr>
        <w:t xml:space="preserve">Glynn, P. W., &amp; Manzello, D. P. (2015). Bioerosion and coral reef growth: A dynamic balance. In C. Birkeland (Ed.), </w:t>
      </w:r>
      <w:r w:rsidRPr="00DF338B">
        <w:rPr>
          <w:rFonts w:ascii="Arial" w:hAnsi="Arial" w:cs="Arial"/>
          <w:i/>
        </w:rPr>
        <w:t>Coral Reefs in the Anthropocene</w:t>
      </w:r>
      <w:r w:rsidRPr="00DF338B">
        <w:rPr>
          <w:rFonts w:ascii="Arial" w:hAnsi="Arial" w:cs="Arial"/>
        </w:rPr>
        <w:t xml:space="preserve"> (pp. 67–97). Springer, Dordrecht. https://doi.org/10.1007/978-94-017-7249-5_4</w:t>
      </w:r>
    </w:p>
    <w:p w14:paraId="41245726" w14:textId="77777777" w:rsidR="00DF338B" w:rsidRPr="00DF338B" w:rsidRDefault="00DF338B" w:rsidP="00DF338B">
      <w:pPr>
        <w:ind w:left="720" w:hanging="720"/>
        <w:jc w:val="both"/>
        <w:rPr>
          <w:rFonts w:ascii="Arial" w:hAnsi="Arial" w:cs="Arial"/>
        </w:rPr>
      </w:pPr>
      <w:r w:rsidRPr="00DF338B">
        <w:rPr>
          <w:rFonts w:ascii="Arial" w:hAnsi="Arial" w:cs="Arial"/>
        </w:rPr>
        <w:t xml:space="preserve">Goh, B. P. L., &amp; Lee, C. L. (2015). Distribution and abundance of sea urchins in Singapore reefs and their potential ecological impacts on macroalgae and coral communities. </w:t>
      </w:r>
      <w:r w:rsidRPr="00DF338B">
        <w:rPr>
          <w:rFonts w:ascii="Arial" w:hAnsi="Arial" w:cs="Arial"/>
          <w:i/>
        </w:rPr>
        <w:t>Ocean Science Journal</w:t>
      </w:r>
      <w:r w:rsidRPr="00DF338B">
        <w:rPr>
          <w:rFonts w:ascii="Arial" w:hAnsi="Arial" w:cs="Arial"/>
        </w:rPr>
        <w:t>, 50(2), 211–219. https://doi.org/10.1007/s12601-015-0018-0</w:t>
      </w:r>
    </w:p>
    <w:p w14:paraId="2A302466" w14:textId="77777777" w:rsidR="00FF53C7" w:rsidRDefault="00FF53C7" w:rsidP="00DF338B">
      <w:pPr>
        <w:ind w:left="720" w:hanging="720"/>
        <w:jc w:val="both"/>
        <w:rPr>
          <w:rFonts w:ascii="Arial" w:hAnsi="Arial" w:cs="Arial"/>
        </w:rPr>
      </w:pPr>
      <w:r w:rsidRPr="00FF53C7">
        <w:rPr>
          <w:rFonts w:ascii="Arial" w:hAnsi="Arial" w:cs="Arial"/>
        </w:rPr>
        <w:t>Gonzales, M. M. G., &amp; Gonzales, B. J. (2014). Status of protected areas in Tablas Island, Romblon, Philippines. Journal of Aquaculture &amp; Marine Biology, 1(2), 00010. https://doi.org/10.15406/jamb.2014.01.00010</w:t>
      </w:r>
    </w:p>
    <w:p w14:paraId="13F11D7F" w14:textId="77777777" w:rsidR="005431CB" w:rsidRDefault="005431CB" w:rsidP="00DF338B">
      <w:pPr>
        <w:ind w:left="720" w:hanging="720"/>
        <w:jc w:val="both"/>
        <w:rPr>
          <w:rFonts w:ascii="Arial" w:hAnsi="Arial" w:cs="Arial"/>
        </w:rPr>
      </w:pPr>
      <w:r w:rsidRPr="005431CB">
        <w:rPr>
          <w:rFonts w:ascii="Arial" w:hAnsi="Arial" w:cs="Arial"/>
        </w:rPr>
        <w:t>Gonzalez, J. B. (2026). The mangrove of Tablas Island, Romblon, Philippines: Composition, conservation status, distribution and threats. Journal of Biodiversity and Environmental Sciences, 28(3), 8–27. https://doi.org/10.12692/jbes/28.3.8-27</w:t>
      </w:r>
    </w:p>
    <w:p w14:paraId="24054CB5" w14:textId="77777777" w:rsidR="005431CB" w:rsidRDefault="005431CB" w:rsidP="00DF338B">
      <w:pPr>
        <w:ind w:left="720" w:hanging="720"/>
        <w:jc w:val="both"/>
        <w:rPr>
          <w:rFonts w:ascii="Arial" w:hAnsi="Arial" w:cs="Arial"/>
        </w:rPr>
      </w:pPr>
      <w:r w:rsidRPr="005431CB">
        <w:rPr>
          <w:rFonts w:ascii="Arial" w:hAnsi="Arial" w:cs="Arial"/>
        </w:rPr>
        <w:lastRenderedPageBreak/>
        <w:t xml:space="preserve">Gonzalez, J. B., &amp; Mazo-Gonzalez, X. J. (2024). First confirmed record of </w:t>
      </w:r>
      <w:r w:rsidRPr="005431CB">
        <w:rPr>
          <w:rFonts w:ascii="Arial" w:hAnsi="Arial" w:cs="Arial"/>
          <w:i/>
          <w:iCs/>
        </w:rPr>
        <w:t>Tridacna noae</w:t>
      </w:r>
      <w:r w:rsidRPr="005431CB">
        <w:rPr>
          <w:rFonts w:ascii="Arial" w:hAnsi="Arial" w:cs="Arial"/>
        </w:rPr>
        <w:t xml:space="preserve"> (Röding, 1798) in Carmen Bay, Romblon, Philippines. Romblon State University Research Journal, 7(1), 1–16. https://doi.org/10.58780/rsurj.v7i1.214 - Verified via direct crawl of ojs.rsu.edu.ph.</w:t>
      </w:r>
    </w:p>
    <w:p w14:paraId="7A5C7EBD" w14:textId="77777777" w:rsidR="005431CB" w:rsidRDefault="005431CB" w:rsidP="00DF338B">
      <w:pPr>
        <w:ind w:left="720" w:hanging="720"/>
        <w:jc w:val="both"/>
        <w:rPr>
          <w:rFonts w:ascii="Arial" w:hAnsi="Arial" w:cs="Arial"/>
        </w:rPr>
      </w:pPr>
      <w:r w:rsidRPr="005431CB">
        <w:rPr>
          <w:rFonts w:ascii="Arial" w:hAnsi="Arial" w:cs="Arial"/>
        </w:rPr>
        <w:t xml:space="preserve">Gonzalez, J. B., &amp; Mores, G. M. (2023). Antibacterial potential of </w:t>
      </w:r>
      <w:r w:rsidRPr="005431CB">
        <w:rPr>
          <w:rFonts w:ascii="Arial" w:hAnsi="Arial" w:cs="Arial"/>
          <w:i/>
          <w:iCs/>
        </w:rPr>
        <w:t>Holothuria leucospilota</w:t>
      </w:r>
      <w:r w:rsidRPr="005431CB">
        <w:rPr>
          <w:rFonts w:ascii="Arial" w:hAnsi="Arial" w:cs="Arial"/>
        </w:rPr>
        <w:t xml:space="preserve"> (Brandt, 1835) extracts from Carmen Bay, Romblon, Philippines. Uttar Pradesh Journal of Zoology, 44(6), 12–22. https://doi.org/10.56557/UPJOZ/2023/v44i63449</w:t>
      </w:r>
    </w:p>
    <w:p w14:paraId="49770156" w14:textId="77777777" w:rsidR="005431CB" w:rsidRDefault="005431CB" w:rsidP="00DF338B">
      <w:pPr>
        <w:ind w:left="720" w:hanging="720"/>
        <w:jc w:val="both"/>
        <w:rPr>
          <w:rFonts w:ascii="Arial" w:hAnsi="Arial" w:cs="Arial"/>
        </w:rPr>
      </w:pPr>
      <w:r w:rsidRPr="005431CB">
        <w:rPr>
          <w:rFonts w:ascii="Arial" w:hAnsi="Arial" w:cs="Arial"/>
        </w:rPr>
        <w:t>Gonzalez, J., Mazo, X. J., &amp; Mangao, S. M. (2022). Beach forest communities of San Agustin, Romblon with notes on coastal threats. Romblon State University Research Journal, 4(1), 1–15. https://doi.org/10.58780/rsurj.v4i1.95</w:t>
      </w:r>
    </w:p>
    <w:p w14:paraId="757B10A3" w14:textId="77777777" w:rsidR="00DF338B" w:rsidRPr="00DF338B" w:rsidRDefault="00DF338B" w:rsidP="00DF338B">
      <w:pPr>
        <w:ind w:left="720" w:hanging="720"/>
        <w:jc w:val="both"/>
        <w:rPr>
          <w:rFonts w:ascii="Arial" w:hAnsi="Arial" w:cs="Arial"/>
        </w:rPr>
      </w:pPr>
      <w:r w:rsidRPr="00DF338B">
        <w:rPr>
          <w:rFonts w:ascii="Arial" w:hAnsi="Arial" w:cs="Arial"/>
        </w:rPr>
        <w:t>Gultom, V. D. N. (2025). Diversity, morphometry, and population abundance of sea urchin (</w:t>
      </w:r>
      <w:r w:rsidRPr="00DF338B">
        <w:rPr>
          <w:rFonts w:ascii="Arial" w:hAnsi="Arial" w:cs="Arial"/>
          <w:i/>
        </w:rPr>
        <w:t>Tripneustes gratilla</w:t>
      </w:r>
      <w:r w:rsidRPr="00DF338B">
        <w:rPr>
          <w:rFonts w:ascii="Arial" w:hAnsi="Arial" w:cs="Arial"/>
        </w:rPr>
        <w:t xml:space="preserve">) in North Lombok. </w:t>
      </w:r>
      <w:r w:rsidRPr="00DF338B">
        <w:rPr>
          <w:rFonts w:ascii="Arial" w:hAnsi="Arial" w:cs="Arial"/>
          <w:i/>
        </w:rPr>
        <w:t>BIOTROPIA</w:t>
      </w:r>
      <w:r w:rsidRPr="00DF338B">
        <w:rPr>
          <w:rFonts w:ascii="Arial" w:hAnsi="Arial" w:cs="Arial"/>
        </w:rPr>
        <w:t>, 32(1), 118–128. https://doi.org/10.11598/btb.2025.32.1.2131</w:t>
      </w:r>
    </w:p>
    <w:p w14:paraId="0D3A3999" w14:textId="77777777" w:rsidR="00DF338B" w:rsidRPr="00DF338B" w:rsidRDefault="00DF338B" w:rsidP="00DF338B">
      <w:pPr>
        <w:ind w:left="720" w:hanging="720"/>
        <w:jc w:val="both"/>
        <w:rPr>
          <w:rFonts w:ascii="Arial" w:hAnsi="Arial" w:cs="Arial"/>
        </w:rPr>
      </w:pPr>
      <w:r w:rsidRPr="00DF338B">
        <w:rPr>
          <w:rFonts w:ascii="Arial" w:hAnsi="Arial" w:cs="Arial"/>
        </w:rPr>
        <w:t xml:space="preserve">Hamilton, S. L., &amp; Caselle, J. E. (2015). Exploitation and recovery of a sea urchin predator has implications for the resilience of southern California kelp forests. </w:t>
      </w:r>
      <w:r w:rsidRPr="00DF338B">
        <w:rPr>
          <w:rFonts w:ascii="Arial" w:hAnsi="Arial" w:cs="Arial"/>
          <w:i/>
        </w:rPr>
        <w:t>Proceedings of the Royal Society B: Biological Sciences</w:t>
      </w:r>
      <w:r w:rsidRPr="00DF338B">
        <w:rPr>
          <w:rFonts w:ascii="Arial" w:hAnsi="Arial" w:cs="Arial"/>
        </w:rPr>
        <w:t>, 282(1799), 20141817. https://doi.org/10.1098/rspb.2014.1817</w:t>
      </w:r>
    </w:p>
    <w:p w14:paraId="0DC06A24" w14:textId="77777777" w:rsidR="00DF338B" w:rsidRPr="00DF338B" w:rsidRDefault="00DF338B" w:rsidP="00DF338B">
      <w:pPr>
        <w:ind w:left="720" w:hanging="720"/>
        <w:jc w:val="both"/>
        <w:rPr>
          <w:rFonts w:ascii="Arial" w:hAnsi="Arial" w:cs="Arial"/>
        </w:rPr>
      </w:pPr>
      <w:r w:rsidRPr="00DF338B">
        <w:rPr>
          <w:rFonts w:ascii="Arial" w:hAnsi="Arial" w:cs="Arial"/>
        </w:rPr>
        <w:t xml:space="preserve">Herrera-Escalante, T., López-Pérez, R. A., &amp; Leyte-Morales, G. E. (2005). Bioerosion caused by the sea urchin </w:t>
      </w:r>
      <w:r w:rsidRPr="00DF338B">
        <w:rPr>
          <w:rFonts w:ascii="Arial" w:hAnsi="Arial" w:cs="Arial"/>
          <w:i/>
        </w:rPr>
        <w:t>Diadema mexicanum</w:t>
      </w:r>
      <w:r w:rsidRPr="00DF338B">
        <w:rPr>
          <w:rFonts w:ascii="Arial" w:hAnsi="Arial" w:cs="Arial"/>
        </w:rPr>
        <w:t xml:space="preserve"> (Echinodermata: Echinoidea) at Bahías de Huatulco, Mexico. </w:t>
      </w:r>
      <w:r w:rsidRPr="00DF338B">
        <w:rPr>
          <w:rFonts w:ascii="Arial" w:hAnsi="Arial" w:cs="Arial"/>
          <w:i/>
        </w:rPr>
        <w:t>Revista de Biología Tropical</w:t>
      </w:r>
      <w:r w:rsidRPr="00DF338B">
        <w:rPr>
          <w:rFonts w:ascii="Arial" w:hAnsi="Arial" w:cs="Arial"/>
        </w:rPr>
        <w:t>, 53(Suppl. 3), 263–273.</w:t>
      </w:r>
    </w:p>
    <w:p w14:paraId="29B4AC77" w14:textId="77777777" w:rsidR="00DF338B" w:rsidRPr="00DF338B" w:rsidRDefault="00DF338B" w:rsidP="00DF338B">
      <w:pPr>
        <w:ind w:left="720" w:hanging="720"/>
        <w:jc w:val="both"/>
        <w:rPr>
          <w:rFonts w:ascii="Arial" w:hAnsi="Arial" w:cs="Arial"/>
        </w:rPr>
      </w:pPr>
      <w:r w:rsidRPr="00DF338B">
        <w:rPr>
          <w:rFonts w:ascii="Arial" w:hAnsi="Arial" w:cs="Arial"/>
        </w:rPr>
        <w:t xml:space="preserve">Hylkema, A., Debrot, A. O., Pistor, J., &amp; Osinga, R. (2023). The 2022 </w:t>
      </w:r>
      <w:r w:rsidRPr="00DF338B">
        <w:rPr>
          <w:rFonts w:ascii="Arial" w:hAnsi="Arial" w:cs="Arial"/>
          <w:i/>
        </w:rPr>
        <w:t>Diadema antillarum</w:t>
      </w:r>
      <w:r w:rsidRPr="00DF338B">
        <w:rPr>
          <w:rFonts w:ascii="Arial" w:hAnsi="Arial" w:cs="Arial"/>
        </w:rPr>
        <w:t xml:space="preserve"> die-off event: Comparisons with the 1983–1984 mass mortality. </w:t>
      </w:r>
      <w:r w:rsidRPr="00DF338B">
        <w:rPr>
          <w:rFonts w:ascii="Arial" w:hAnsi="Arial" w:cs="Arial"/>
          <w:i/>
        </w:rPr>
        <w:t>Frontiers in Marine Science</w:t>
      </w:r>
      <w:r w:rsidRPr="00DF338B">
        <w:rPr>
          <w:rFonts w:ascii="Arial" w:hAnsi="Arial" w:cs="Arial"/>
        </w:rPr>
        <w:t>, 9, 1067449. https://doi.org/10.3389/fmars.2022.1067449</w:t>
      </w:r>
    </w:p>
    <w:p w14:paraId="13490C5A" w14:textId="77777777" w:rsidR="00DF338B" w:rsidRPr="00DF338B" w:rsidRDefault="00DF338B" w:rsidP="00DF338B">
      <w:pPr>
        <w:ind w:left="720" w:hanging="720"/>
        <w:jc w:val="both"/>
        <w:rPr>
          <w:rFonts w:ascii="Arial" w:hAnsi="Arial" w:cs="Arial"/>
        </w:rPr>
      </w:pPr>
      <w:r w:rsidRPr="00DF338B">
        <w:rPr>
          <w:rFonts w:ascii="Arial" w:hAnsi="Arial" w:cs="Arial"/>
        </w:rPr>
        <w:t xml:space="preserve">Juinio-Meñez, M. A., Bangi, H. G., Malay, M. C., &amp; Pastor, D. (2008). Enhancing the recovery of depleted </w:t>
      </w:r>
      <w:r w:rsidRPr="00DF338B">
        <w:rPr>
          <w:rFonts w:ascii="Arial" w:hAnsi="Arial" w:cs="Arial"/>
          <w:i/>
        </w:rPr>
        <w:t>Tripneustes gratilla</w:t>
      </w:r>
      <w:r w:rsidRPr="00DF338B">
        <w:rPr>
          <w:rFonts w:ascii="Arial" w:hAnsi="Arial" w:cs="Arial"/>
        </w:rPr>
        <w:t xml:space="preserve"> stocks through grow-out culture and restocking. </w:t>
      </w:r>
      <w:r w:rsidRPr="00DF338B">
        <w:rPr>
          <w:rFonts w:ascii="Arial" w:hAnsi="Arial" w:cs="Arial"/>
          <w:i/>
        </w:rPr>
        <w:t>Reviews in Fisheries Science</w:t>
      </w:r>
      <w:r w:rsidRPr="00DF338B">
        <w:rPr>
          <w:rFonts w:ascii="Arial" w:hAnsi="Arial" w:cs="Arial"/>
        </w:rPr>
        <w:t>, 16(1–3), 35–43. https://doi.org/10.1080/10641260701678116</w:t>
      </w:r>
    </w:p>
    <w:p w14:paraId="746B983B" w14:textId="77777777" w:rsidR="00DF338B" w:rsidRPr="00DF338B" w:rsidRDefault="00DF338B" w:rsidP="00DF338B">
      <w:pPr>
        <w:ind w:left="720" w:hanging="720"/>
        <w:jc w:val="both"/>
        <w:rPr>
          <w:rFonts w:ascii="Arial" w:hAnsi="Arial" w:cs="Arial"/>
        </w:rPr>
      </w:pPr>
      <w:r w:rsidRPr="00DF338B">
        <w:rPr>
          <w:rFonts w:ascii="Arial" w:hAnsi="Arial" w:cs="Arial"/>
        </w:rPr>
        <w:t>Juinio-Meñez, M. A., Macawaris, N. N. D., &amp; Bangi, H. G. (1998). Community-based sea urchin (</w:t>
      </w:r>
      <w:r w:rsidRPr="00DF338B">
        <w:rPr>
          <w:rFonts w:ascii="Arial" w:hAnsi="Arial" w:cs="Arial"/>
          <w:i/>
        </w:rPr>
        <w:t>Tripneustes gratilla</w:t>
      </w:r>
      <w:r w:rsidRPr="00DF338B">
        <w:rPr>
          <w:rFonts w:ascii="Arial" w:hAnsi="Arial" w:cs="Arial"/>
        </w:rPr>
        <w:t xml:space="preserve">) grow-out culture as a resource management tool. </w:t>
      </w:r>
      <w:r w:rsidRPr="00DF338B">
        <w:rPr>
          <w:rFonts w:ascii="Arial" w:hAnsi="Arial" w:cs="Arial"/>
          <w:i/>
        </w:rPr>
        <w:t>Canadian Special Publication of Fisheries and Aquatic Sciences</w:t>
      </w:r>
      <w:r w:rsidRPr="00DF338B">
        <w:rPr>
          <w:rFonts w:ascii="Arial" w:hAnsi="Arial" w:cs="Arial"/>
        </w:rPr>
        <w:t>, 125, 393–397.</w:t>
      </w:r>
    </w:p>
    <w:p w14:paraId="5EBC10D5" w14:textId="77777777" w:rsidR="00DF338B" w:rsidRPr="00DF338B" w:rsidRDefault="00DF338B" w:rsidP="00DF338B">
      <w:pPr>
        <w:ind w:left="720" w:hanging="720"/>
        <w:jc w:val="both"/>
        <w:rPr>
          <w:rFonts w:ascii="Arial" w:hAnsi="Arial" w:cs="Arial"/>
        </w:rPr>
      </w:pPr>
      <w:r w:rsidRPr="00DF338B">
        <w:rPr>
          <w:rFonts w:ascii="Arial" w:hAnsi="Arial" w:cs="Arial"/>
        </w:rPr>
        <w:t xml:space="preserve">Klumpp, D. W., Salita-Espinosa, J. T., &amp; Fortes, M. D. (1993). Feeding ecology and trophic role of sea urchins in a tropical seagrass community. </w:t>
      </w:r>
      <w:r w:rsidRPr="00DF338B">
        <w:rPr>
          <w:rFonts w:ascii="Arial" w:hAnsi="Arial" w:cs="Arial"/>
          <w:i/>
        </w:rPr>
        <w:t>Aquatic Botany</w:t>
      </w:r>
      <w:r w:rsidRPr="00DF338B">
        <w:rPr>
          <w:rFonts w:ascii="Arial" w:hAnsi="Arial" w:cs="Arial"/>
        </w:rPr>
        <w:t>, 45(2–3), 205–229. https://doi.org/10.1016/0304-3770(93)90022-O</w:t>
      </w:r>
    </w:p>
    <w:p w14:paraId="6FDEAFE4" w14:textId="77777777" w:rsidR="00DF338B" w:rsidRPr="00DF338B" w:rsidRDefault="00DF338B" w:rsidP="00DF338B">
      <w:pPr>
        <w:ind w:left="720" w:hanging="720"/>
        <w:jc w:val="both"/>
        <w:rPr>
          <w:rFonts w:ascii="Arial" w:hAnsi="Arial" w:cs="Arial"/>
        </w:rPr>
      </w:pPr>
      <w:r w:rsidRPr="00DF338B">
        <w:rPr>
          <w:rFonts w:ascii="Arial" w:hAnsi="Arial" w:cs="Arial"/>
        </w:rPr>
        <w:t xml:space="preserve">Kroh, A., &amp; Mooi, R. (2020). </w:t>
      </w:r>
      <w:r w:rsidRPr="00DF338B">
        <w:rPr>
          <w:rFonts w:ascii="Arial" w:hAnsi="Arial" w:cs="Arial"/>
          <w:i/>
        </w:rPr>
        <w:t>World Echinoidea Database</w:t>
      </w:r>
      <w:r w:rsidRPr="00DF338B">
        <w:rPr>
          <w:rFonts w:ascii="Arial" w:hAnsi="Arial" w:cs="Arial"/>
        </w:rPr>
        <w:t>. World Register of Marine Species. Retrieved from https://www.marinespecies.org/echinoidea</w:t>
      </w:r>
    </w:p>
    <w:p w14:paraId="4D0EA8FA" w14:textId="77777777" w:rsidR="00DF338B" w:rsidRPr="00DF338B" w:rsidRDefault="00DF338B" w:rsidP="00DF338B">
      <w:pPr>
        <w:ind w:left="720" w:hanging="720"/>
        <w:jc w:val="both"/>
        <w:rPr>
          <w:rFonts w:ascii="Arial" w:hAnsi="Arial" w:cs="Arial"/>
        </w:rPr>
      </w:pPr>
      <w:r w:rsidRPr="00DF338B">
        <w:rPr>
          <w:rFonts w:ascii="Arial" w:hAnsi="Arial" w:cs="Arial"/>
        </w:rPr>
        <w:t xml:space="preserve">Lawrence, J. M. (2013). </w:t>
      </w:r>
      <w:r w:rsidRPr="00DF338B">
        <w:rPr>
          <w:rFonts w:ascii="Arial" w:hAnsi="Arial" w:cs="Arial"/>
          <w:i/>
        </w:rPr>
        <w:t>Sea Urchins: Biology and Ecology</w:t>
      </w:r>
      <w:r w:rsidRPr="00DF338B">
        <w:rPr>
          <w:rFonts w:ascii="Arial" w:hAnsi="Arial" w:cs="Arial"/>
        </w:rPr>
        <w:t xml:space="preserve"> (3rd ed.). Elsevier, Amsterdam. https://doi.org/10.1016/C2011-0-06819-1</w:t>
      </w:r>
    </w:p>
    <w:p w14:paraId="46754F12" w14:textId="77777777" w:rsidR="00DF338B" w:rsidRPr="00DF338B" w:rsidRDefault="00DF338B" w:rsidP="00DF338B">
      <w:pPr>
        <w:ind w:left="720" w:hanging="720"/>
        <w:jc w:val="both"/>
        <w:rPr>
          <w:rFonts w:ascii="Arial" w:hAnsi="Arial" w:cs="Arial"/>
        </w:rPr>
      </w:pPr>
      <w:r w:rsidRPr="00DF338B">
        <w:rPr>
          <w:rFonts w:ascii="Arial" w:hAnsi="Arial" w:cs="Arial"/>
        </w:rPr>
        <w:t xml:space="preserve">Lawrence, J. M., &amp; Agatsuma, Y. (2001). The ecology of </w:t>
      </w:r>
      <w:r w:rsidRPr="00DF338B">
        <w:rPr>
          <w:rFonts w:ascii="Arial" w:hAnsi="Arial" w:cs="Arial"/>
          <w:i/>
        </w:rPr>
        <w:t>Tripneustes</w:t>
      </w:r>
      <w:r w:rsidRPr="00DF338B">
        <w:rPr>
          <w:rFonts w:ascii="Arial" w:hAnsi="Arial" w:cs="Arial"/>
        </w:rPr>
        <w:t xml:space="preserve">. In J. M. Lawrence (Ed.), </w:t>
      </w:r>
      <w:r w:rsidRPr="00DF338B">
        <w:rPr>
          <w:rFonts w:ascii="Arial" w:hAnsi="Arial" w:cs="Arial"/>
          <w:i/>
        </w:rPr>
        <w:t>Edible Sea Urchins: Biology and Ecology</w:t>
      </w:r>
      <w:r w:rsidRPr="00DF338B">
        <w:rPr>
          <w:rFonts w:ascii="Arial" w:hAnsi="Arial" w:cs="Arial"/>
        </w:rPr>
        <w:t xml:space="preserve"> (pp. 395–413). Elsevier, Amsterdam. https://doi.org/10.1016/S0167-9309(01)80022-X</w:t>
      </w:r>
    </w:p>
    <w:p w14:paraId="1D672D9F" w14:textId="77777777" w:rsidR="00DF338B" w:rsidRPr="00DF338B" w:rsidRDefault="00DF338B" w:rsidP="00DF338B">
      <w:pPr>
        <w:ind w:left="720" w:hanging="720"/>
        <w:jc w:val="both"/>
        <w:rPr>
          <w:rFonts w:ascii="Arial" w:hAnsi="Arial" w:cs="Arial"/>
        </w:rPr>
      </w:pPr>
      <w:r w:rsidRPr="00DF338B">
        <w:rPr>
          <w:rFonts w:ascii="Arial" w:hAnsi="Arial" w:cs="Arial"/>
        </w:rPr>
        <w:t xml:space="preserve">Lessios, H. A. (1988). Mass mortality of </w:t>
      </w:r>
      <w:r w:rsidRPr="00DF338B">
        <w:rPr>
          <w:rFonts w:ascii="Arial" w:hAnsi="Arial" w:cs="Arial"/>
          <w:i/>
        </w:rPr>
        <w:t>Diadema antillarum</w:t>
      </w:r>
      <w:r w:rsidRPr="00DF338B">
        <w:rPr>
          <w:rFonts w:ascii="Arial" w:hAnsi="Arial" w:cs="Arial"/>
        </w:rPr>
        <w:t xml:space="preserve"> in the Caribbean: What have we learned? </w:t>
      </w:r>
      <w:r w:rsidRPr="00DF338B">
        <w:rPr>
          <w:rFonts w:ascii="Arial" w:hAnsi="Arial" w:cs="Arial"/>
          <w:i/>
        </w:rPr>
        <w:t>Annual Review of Ecology and Systematics</w:t>
      </w:r>
      <w:r w:rsidRPr="00DF338B">
        <w:rPr>
          <w:rFonts w:ascii="Arial" w:hAnsi="Arial" w:cs="Arial"/>
        </w:rPr>
        <w:t>, 19, 371–393. https://doi.org/10.1146/annurev.es.19.110188.002103</w:t>
      </w:r>
    </w:p>
    <w:p w14:paraId="1A4DFC90" w14:textId="77777777" w:rsidR="00DF338B" w:rsidRPr="00DF338B" w:rsidRDefault="00DF338B" w:rsidP="00DF338B">
      <w:pPr>
        <w:ind w:left="720" w:hanging="720"/>
        <w:jc w:val="both"/>
        <w:rPr>
          <w:rFonts w:ascii="Arial" w:hAnsi="Arial" w:cs="Arial"/>
        </w:rPr>
      </w:pPr>
      <w:r w:rsidRPr="00DF338B">
        <w:rPr>
          <w:rFonts w:ascii="Arial" w:hAnsi="Arial" w:cs="Arial"/>
        </w:rPr>
        <w:t xml:space="preserve">Llacuna, M. E. J., Walag, A. M. P., &amp; Villaluz, E. A. (2016). Diversity and dispersion patterns of echinoderms in Babanlagan, Talisayan, Misamis Oriental, Philippines. </w:t>
      </w:r>
      <w:r w:rsidRPr="00DF338B">
        <w:rPr>
          <w:rFonts w:ascii="Arial" w:hAnsi="Arial" w:cs="Arial"/>
          <w:i/>
        </w:rPr>
        <w:t>Environmental and Experimental Biology</w:t>
      </w:r>
      <w:r w:rsidRPr="00DF338B">
        <w:rPr>
          <w:rFonts w:ascii="Arial" w:hAnsi="Arial" w:cs="Arial"/>
        </w:rPr>
        <w:t>, 14, 213–217. https://doi.org/10.22364/eeb.14.29</w:t>
      </w:r>
    </w:p>
    <w:p w14:paraId="3CDEE4F3" w14:textId="77777777" w:rsidR="00DF338B" w:rsidRPr="00DF338B" w:rsidRDefault="00DF338B" w:rsidP="00DF338B">
      <w:pPr>
        <w:ind w:left="720" w:hanging="720"/>
        <w:jc w:val="both"/>
        <w:rPr>
          <w:rFonts w:ascii="Arial" w:hAnsi="Arial" w:cs="Arial"/>
        </w:rPr>
      </w:pPr>
      <w:r w:rsidRPr="00DF338B">
        <w:rPr>
          <w:rFonts w:ascii="Arial" w:hAnsi="Arial" w:cs="Arial"/>
        </w:rPr>
        <w:t xml:space="preserve">Luza, J. C. S., &amp; Malay, M. C. M. D. (2019). Feeding preferences of the sea urchin </w:t>
      </w:r>
      <w:r w:rsidRPr="00DF338B">
        <w:rPr>
          <w:rFonts w:ascii="Arial" w:hAnsi="Arial" w:cs="Arial"/>
          <w:i/>
        </w:rPr>
        <w:t>Diadema setosum</w:t>
      </w:r>
      <w:r w:rsidRPr="00DF338B">
        <w:rPr>
          <w:rFonts w:ascii="Arial" w:hAnsi="Arial" w:cs="Arial"/>
        </w:rPr>
        <w:t xml:space="preserve"> (Leske, 1778) in Taklong Island National Marine Reserve, Guimaras, Philippines. </w:t>
      </w:r>
      <w:r w:rsidRPr="00DF338B">
        <w:rPr>
          <w:rFonts w:ascii="Arial" w:hAnsi="Arial" w:cs="Arial"/>
          <w:i/>
        </w:rPr>
        <w:t>PeerJ Preprints</w:t>
      </w:r>
      <w:r w:rsidRPr="00DF338B">
        <w:rPr>
          <w:rFonts w:ascii="Arial" w:hAnsi="Arial" w:cs="Arial"/>
        </w:rPr>
        <w:t>, 7, e27733v1. https://doi.org/10.7287/peerj.preprints.27733v1</w:t>
      </w:r>
    </w:p>
    <w:p w14:paraId="4E020070" w14:textId="77777777" w:rsidR="00DF338B" w:rsidRPr="00DF338B" w:rsidRDefault="00DF338B" w:rsidP="00DF338B">
      <w:pPr>
        <w:ind w:left="720" w:hanging="720"/>
        <w:jc w:val="both"/>
        <w:rPr>
          <w:rFonts w:ascii="Arial" w:hAnsi="Arial" w:cs="Arial"/>
        </w:rPr>
      </w:pPr>
      <w:r w:rsidRPr="00DF338B">
        <w:rPr>
          <w:rFonts w:ascii="Arial" w:hAnsi="Arial" w:cs="Arial"/>
        </w:rPr>
        <w:t xml:space="preserve">Magurran, A. E. (2004). </w:t>
      </w:r>
      <w:r w:rsidRPr="00DF338B">
        <w:rPr>
          <w:rFonts w:ascii="Arial" w:hAnsi="Arial" w:cs="Arial"/>
          <w:i/>
        </w:rPr>
        <w:t>Measuring Biological Diversity</w:t>
      </w:r>
      <w:r w:rsidRPr="00DF338B">
        <w:rPr>
          <w:rFonts w:ascii="Arial" w:hAnsi="Arial" w:cs="Arial"/>
        </w:rPr>
        <w:t>. Blackwell Publishing, Oxford.</w:t>
      </w:r>
    </w:p>
    <w:p w14:paraId="3DD7B170" w14:textId="77777777" w:rsidR="00DF338B" w:rsidRPr="00DF338B" w:rsidRDefault="00DF338B" w:rsidP="00DF338B">
      <w:pPr>
        <w:ind w:left="720" w:hanging="720"/>
        <w:jc w:val="both"/>
        <w:rPr>
          <w:rFonts w:ascii="Arial" w:hAnsi="Arial" w:cs="Arial"/>
        </w:rPr>
      </w:pPr>
      <w:r w:rsidRPr="00DF338B">
        <w:rPr>
          <w:rFonts w:ascii="Arial" w:hAnsi="Arial" w:cs="Arial"/>
        </w:rPr>
        <w:lastRenderedPageBreak/>
        <w:t xml:space="preserve">McClanahan, T. R., &amp; Muthiga, N. A. (1989). Patterns of predation on a sea urchin, </w:t>
      </w:r>
      <w:r w:rsidRPr="00DF338B">
        <w:rPr>
          <w:rFonts w:ascii="Arial" w:hAnsi="Arial" w:cs="Arial"/>
          <w:i/>
        </w:rPr>
        <w:t>Echinometra mathaei</w:t>
      </w:r>
      <w:r w:rsidRPr="00DF338B">
        <w:rPr>
          <w:rFonts w:ascii="Arial" w:hAnsi="Arial" w:cs="Arial"/>
        </w:rPr>
        <w:t xml:space="preserve"> (de Blainville), on Kenyan coral reefs. </w:t>
      </w:r>
      <w:r w:rsidRPr="00DF338B">
        <w:rPr>
          <w:rFonts w:ascii="Arial" w:hAnsi="Arial" w:cs="Arial"/>
          <w:i/>
        </w:rPr>
        <w:t>Journal of Experimental Marine Biology and Ecology</w:t>
      </w:r>
      <w:r w:rsidRPr="00DF338B">
        <w:rPr>
          <w:rFonts w:ascii="Arial" w:hAnsi="Arial" w:cs="Arial"/>
        </w:rPr>
        <w:t>, 126(1), 77–94. https://doi.org/10.1016/0022-0981(89)90125-1</w:t>
      </w:r>
    </w:p>
    <w:p w14:paraId="16BEECFB" w14:textId="77777777" w:rsidR="00DF338B" w:rsidRPr="00DF338B" w:rsidRDefault="00DF338B" w:rsidP="00DF338B">
      <w:pPr>
        <w:ind w:left="720" w:hanging="720"/>
        <w:jc w:val="both"/>
        <w:rPr>
          <w:rFonts w:ascii="Arial" w:hAnsi="Arial" w:cs="Arial"/>
        </w:rPr>
      </w:pPr>
      <w:r w:rsidRPr="00DF338B">
        <w:rPr>
          <w:rFonts w:ascii="Arial" w:hAnsi="Arial" w:cs="Arial"/>
        </w:rPr>
        <w:t xml:space="preserve">Medrano, A., Hereu, B., Cleminson, M., Pagès-Escolà, M., Rovira, G., Solà, J., &amp; Linares, C. (2019). No-take marine reserves control the recovery of sea urchin populations after mass mortality events. </w:t>
      </w:r>
      <w:r w:rsidRPr="00DF338B">
        <w:rPr>
          <w:rFonts w:ascii="Arial" w:hAnsi="Arial" w:cs="Arial"/>
          <w:i/>
        </w:rPr>
        <w:t>Marine Environmental Research</w:t>
      </w:r>
      <w:r w:rsidRPr="00DF338B">
        <w:rPr>
          <w:rFonts w:ascii="Arial" w:hAnsi="Arial" w:cs="Arial"/>
        </w:rPr>
        <w:t>, 145, 147–154. https://doi.org/10.1016/j.marenvres.2019.02.013</w:t>
      </w:r>
    </w:p>
    <w:p w14:paraId="3596241D" w14:textId="77777777" w:rsidR="00DF338B" w:rsidRPr="00DF338B" w:rsidRDefault="00DF338B" w:rsidP="00DF338B">
      <w:pPr>
        <w:ind w:left="720" w:hanging="720"/>
        <w:jc w:val="both"/>
        <w:rPr>
          <w:rFonts w:ascii="Arial" w:hAnsi="Arial" w:cs="Arial"/>
        </w:rPr>
      </w:pPr>
      <w:r w:rsidRPr="00DF338B">
        <w:rPr>
          <w:rFonts w:ascii="Arial" w:hAnsi="Arial" w:cs="Arial"/>
        </w:rPr>
        <w:t xml:space="preserve">Meñez, M. A. J. (2016). Approaches in rebuilding sea urchin and sea cucumber fisheries in the Philippines. In </w:t>
      </w:r>
      <w:r w:rsidRPr="00DF338B">
        <w:rPr>
          <w:rFonts w:ascii="Arial" w:hAnsi="Arial" w:cs="Arial"/>
          <w:i/>
        </w:rPr>
        <w:t>Resource Enhancement and Sustainable Aquaculture Practices in Southeast Asia</w:t>
      </w:r>
      <w:r w:rsidRPr="00DF338B">
        <w:rPr>
          <w:rFonts w:ascii="Arial" w:hAnsi="Arial" w:cs="Arial"/>
        </w:rPr>
        <w:t xml:space="preserve"> (pp. 179–186). SEAFDEC/AQD, Iloilo.</w:t>
      </w:r>
    </w:p>
    <w:p w14:paraId="5BF43896" w14:textId="77777777" w:rsidR="00DF338B" w:rsidRPr="00DF338B" w:rsidRDefault="00DF338B" w:rsidP="00DF338B">
      <w:pPr>
        <w:ind w:left="720" w:hanging="720"/>
        <w:jc w:val="both"/>
        <w:rPr>
          <w:rFonts w:ascii="Arial" w:hAnsi="Arial" w:cs="Arial"/>
        </w:rPr>
      </w:pPr>
      <w:r w:rsidRPr="00DF338B">
        <w:rPr>
          <w:rFonts w:ascii="Arial" w:hAnsi="Arial" w:cs="Arial"/>
        </w:rPr>
        <w:t xml:space="preserve">Miskelly, A. (2002). </w:t>
      </w:r>
      <w:r w:rsidRPr="00DF338B">
        <w:rPr>
          <w:rFonts w:ascii="Arial" w:hAnsi="Arial" w:cs="Arial"/>
          <w:i/>
        </w:rPr>
        <w:t>Sea Urchins of Australia and the Indo-Pacific</w:t>
      </w:r>
      <w:r w:rsidRPr="00DF338B">
        <w:rPr>
          <w:rFonts w:ascii="Arial" w:hAnsi="Arial" w:cs="Arial"/>
        </w:rPr>
        <w:t>. Capricornica Publications, Sydney.</w:t>
      </w:r>
    </w:p>
    <w:p w14:paraId="432BBA58" w14:textId="77777777" w:rsidR="003A2738" w:rsidRDefault="003A2738" w:rsidP="003A2738">
      <w:pPr>
        <w:ind w:left="720" w:hanging="720"/>
        <w:jc w:val="both"/>
        <w:rPr>
          <w:rFonts w:ascii="Arial" w:hAnsi="Arial" w:cs="Arial"/>
        </w:rPr>
      </w:pPr>
      <w:r w:rsidRPr="00103917">
        <w:rPr>
          <w:rFonts w:ascii="Arial" w:hAnsi="Arial" w:cs="Arial"/>
        </w:rPr>
        <w:t>Mooi, R., &amp; Munguia, A. (2014). Sea urchins of the Philippines. In G. C. Williams &amp; T. M. Gosliner (Eds.), The Coral Triangle: The 2011 Hearst Philippine Biodiversity Expedition (pp. 213–236). California Academy of Sciences. https://www.researchgate.net/publication/317730856_Sea_Urchins_of_the_Philippines</w:t>
      </w:r>
    </w:p>
    <w:p w14:paraId="7F98925D" w14:textId="77777777" w:rsidR="00DF338B" w:rsidRPr="00DF338B" w:rsidRDefault="00DF338B" w:rsidP="00DF338B">
      <w:pPr>
        <w:ind w:left="720" w:hanging="720"/>
        <w:jc w:val="both"/>
        <w:rPr>
          <w:rFonts w:ascii="Arial" w:hAnsi="Arial" w:cs="Arial"/>
        </w:rPr>
      </w:pPr>
      <w:r w:rsidRPr="00DF338B">
        <w:rPr>
          <w:rFonts w:ascii="Arial" w:hAnsi="Arial" w:cs="Arial"/>
        </w:rPr>
        <w:t xml:space="preserve">Mokady, O., Lazar, B., &amp; Loya, Y. (1996). Echinoid bioerosion as a major structuring force of Red Sea coral reefs. </w:t>
      </w:r>
      <w:r w:rsidRPr="00DF338B">
        <w:rPr>
          <w:rFonts w:ascii="Arial" w:hAnsi="Arial" w:cs="Arial"/>
          <w:i/>
        </w:rPr>
        <w:t>The Biological Bulletin</w:t>
      </w:r>
      <w:r w:rsidRPr="00DF338B">
        <w:rPr>
          <w:rFonts w:ascii="Arial" w:hAnsi="Arial" w:cs="Arial"/>
        </w:rPr>
        <w:t>, 190(3), 367–372. https://doi.org/10.2307/1543029</w:t>
      </w:r>
    </w:p>
    <w:p w14:paraId="1B33F62B" w14:textId="77777777" w:rsidR="00DF338B" w:rsidRPr="00DF338B" w:rsidRDefault="00DF338B" w:rsidP="00DF338B">
      <w:pPr>
        <w:ind w:left="720" w:hanging="720"/>
        <w:jc w:val="both"/>
        <w:rPr>
          <w:rFonts w:ascii="Arial" w:hAnsi="Arial" w:cs="Arial"/>
        </w:rPr>
      </w:pPr>
      <w:r w:rsidRPr="00DF338B">
        <w:rPr>
          <w:rFonts w:ascii="Arial" w:hAnsi="Arial" w:cs="Arial"/>
        </w:rPr>
        <w:t xml:space="preserve">Molina, J. R. H., Marcelo, G. S., Jr., Tigaldao, J. M., et al. (2025). Population status and lunar periodicity of spawning of </w:t>
      </w:r>
      <w:r w:rsidRPr="00DF338B">
        <w:rPr>
          <w:rFonts w:ascii="Arial" w:hAnsi="Arial" w:cs="Arial"/>
          <w:i/>
        </w:rPr>
        <w:t>Tripneustes gratilla</w:t>
      </w:r>
      <w:r w:rsidRPr="00DF338B">
        <w:rPr>
          <w:rFonts w:ascii="Arial" w:hAnsi="Arial" w:cs="Arial"/>
        </w:rPr>
        <w:t xml:space="preserve"> (Echinodermata: Echinoidea) in Jose Abad Santos, Davao Occidental, Philippines. </w:t>
      </w:r>
      <w:r w:rsidRPr="00DF338B">
        <w:rPr>
          <w:rFonts w:ascii="Arial" w:hAnsi="Arial" w:cs="Arial"/>
          <w:i/>
        </w:rPr>
        <w:t>The Palawan Scientist</w:t>
      </w:r>
      <w:r w:rsidRPr="00DF338B">
        <w:rPr>
          <w:rFonts w:ascii="Arial" w:hAnsi="Arial" w:cs="Arial"/>
        </w:rPr>
        <w:t>, 17(2), 1–12. https://doi.org/10.69721/TPS.J.2025.17.2.01</w:t>
      </w:r>
    </w:p>
    <w:p w14:paraId="3377972E" w14:textId="77777777" w:rsidR="00DF338B" w:rsidRPr="00DF338B" w:rsidRDefault="00DF338B" w:rsidP="00DF338B">
      <w:pPr>
        <w:ind w:left="720" w:hanging="720"/>
        <w:jc w:val="both"/>
        <w:rPr>
          <w:rFonts w:ascii="Arial" w:hAnsi="Arial" w:cs="Arial"/>
        </w:rPr>
      </w:pPr>
      <w:r w:rsidRPr="00DF338B">
        <w:rPr>
          <w:rFonts w:ascii="Arial" w:hAnsi="Arial" w:cs="Arial"/>
        </w:rPr>
        <w:t xml:space="preserve">Mooi, R., &amp; Munguia, A. (2011). Sea urchins of the Philippines. In V. G. Springer &amp; G. R. Allen (Eds.), </w:t>
      </w:r>
      <w:r w:rsidRPr="00DF338B">
        <w:rPr>
          <w:rFonts w:ascii="Arial" w:hAnsi="Arial" w:cs="Arial"/>
          <w:i/>
        </w:rPr>
        <w:t>The Coral Triangle: The 2011 Hearst Philippine Biodiversity Expedition</w:t>
      </w:r>
      <w:r w:rsidRPr="00DF338B">
        <w:rPr>
          <w:rFonts w:ascii="Arial" w:hAnsi="Arial" w:cs="Arial"/>
        </w:rPr>
        <w:t xml:space="preserve"> (pp. 175–194). California Academy of Sciences, San Francisco.</w:t>
      </w:r>
    </w:p>
    <w:p w14:paraId="0DEF8519" w14:textId="77777777" w:rsidR="00DF338B" w:rsidRPr="00DF338B" w:rsidRDefault="00DF338B" w:rsidP="00DF338B">
      <w:pPr>
        <w:ind w:left="720" w:hanging="720"/>
        <w:jc w:val="both"/>
        <w:rPr>
          <w:rFonts w:ascii="Arial" w:hAnsi="Arial" w:cs="Arial"/>
        </w:rPr>
      </w:pPr>
      <w:r w:rsidRPr="00DF338B">
        <w:rPr>
          <w:rFonts w:ascii="Arial" w:hAnsi="Arial" w:cs="Arial"/>
        </w:rPr>
        <w:t xml:space="preserve">Muallil, R. N., Mamauag, S. S., Cabral, R. B., Celeste-Dizon, E. O., &amp; Aliño, P. M. (2014). Status, trends and challenges in the sustainability of small-scale fisheries in the Philippines: Insights from the Fishery Governance Project. </w:t>
      </w:r>
      <w:r w:rsidRPr="00DF338B">
        <w:rPr>
          <w:rFonts w:ascii="Arial" w:hAnsi="Arial" w:cs="Arial"/>
          <w:i/>
        </w:rPr>
        <w:t>Marine Policy</w:t>
      </w:r>
      <w:r w:rsidRPr="00DF338B">
        <w:rPr>
          <w:rFonts w:ascii="Arial" w:hAnsi="Arial" w:cs="Arial"/>
        </w:rPr>
        <w:t>, 44, 212–221. https://doi.org/10.1016/j.marpol.2013.08.026</w:t>
      </w:r>
    </w:p>
    <w:p w14:paraId="38D1CB34" w14:textId="77777777" w:rsidR="00DF338B" w:rsidRPr="00DF338B" w:rsidRDefault="00DF338B" w:rsidP="00DF338B">
      <w:pPr>
        <w:ind w:left="720" w:hanging="720"/>
        <w:jc w:val="both"/>
        <w:rPr>
          <w:rFonts w:ascii="Arial" w:hAnsi="Arial" w:cs="Arial"/>
        </w:rPr>
      </w:pPr>
      <w:r w:rsidRPr="00DF338B">
        <w:rPr>
          <w:rFonts w:ascii="Arial" w:hAnsi="Arial" w:cs="Arial"/>
        </w:rPr>
        <w:t xml:space="preserve">Muthiga, N. A. (2005). Testing for the effects of seasonal and lunar periodicity on the reproduction of the edible sea urchin </w:t>
      </w:r>
      <w:r w:rsidRPr="00DF338B">
        <w:rPr>
          <w:rFonts w:ascii="Arial" w:hAnsi="Arial" w:cs="Arial"/>
          <w:i/>
        </w:rPr>
        <w:t>Tripneustes gratilla</w:t>
      </w:r>
      <w:r w:rsidRPr="00DF338B">
        <w:rPr>
          <w:rFonts w:ascii="Arial" w:hAnsi="Arial" w:cs="Arial"/>
        </w:rPr>
        <w:t xml:space="preserve"> (L.) in Kenyan coral reef lagoons. </w:t>
      </w:r>
      <w:r w:rsidRPr="00DF338B">
        <w:rPr>
          <w:rFonts w:ascii="Arial" w:hAnsi="Arial" w:cs="Arial"/>
          <w:i/>
        </w:rPr>
        <w:t>Hydrobiologia</w:t>
      </w:r>
      <w:r w:rsidRPr="00DF338B">
        <w:rPr>
          <w:rFonts w:ascii="Arial" w:hAnsi="Arial" w:cs="Arial"/>
        </w:rPr>
        <w:t>, 549(1), 57–64. https://doi.org/10.1007/s10750-005-4757-2</w:t>
      </w:r>
    </w:p>
    <w:p w14:paraId="636D496E" w14:textId="77777777" w:rsidR="00DF338B" w:rsidRPr="00DF338B" w:rsidRDefault="00DF338B" w:rsidP="00DF338B">
      <w:pPr>
        <w:ind w:left="720" w:hanging="720"/>
        <w:jc w:val="both"/>
        <w:rPr>
          <w:rFonts w:ascii="Arial" w:hAnsi="Arial" w:cs="Arial"/>
        </w:rPr>
      </w:pPr>
      <w:r w:rsidRPr="00DF338B">
        <w:rPr>
          <w:rFonts w:ascii="Arial" w:hAnsi="Arial" w:cs="Arial"/>
        </w:rPr>
        <w:t xml:space="preserve">Nane, L. (2019). Impact of overfishing on density and test-diameter size of the sea urchin </w:t>
      </w:r>
      <w:r w:rsidRPr="00DF338B">
        <w:rPr>
          <w:rFonts w:ascii="Arial" w:hAnsi="Arial" w:cs="Arial"/>
          <w:i/>
        </w:rPr>
        <w:t>Tripneustes gratilla</w:t>
      </w:r>
      <w:r w:rsidRPr="00DF338B">
        <w:rPr>
          <w:rFonts w:ascii="Arial" w:hAnsi="Arial" w:cs="Arial"/>
        </w:rPr>
        <w:t xml:space="preserve"> at Wakatobi Archipelago, south-eastern Sulawesi, Indonesia. </w:t>
      </w:r>
      <w:r w:rsidRPr="00DF338B">
        <w:rPr>
          <w:rFonts w:ascii="Arial" w:hAnsi="Arial" w:cs="Arial"/>
          <w:i/>
        </w:rPr>
        <w:t>bioRxiv</w:t>
      </w:r>
      <w:r w:rsidRPr="00DF338B">
        <w:rPr>
          <w:rFonts w:ascii="Arial" w:hAnsi="Arial" w:cs="Arial"/>
        </w:rPr>
        <w:t>, 727271. https://doi.org/10.1101/727271</w:t>
      </w:r>
    </w:p>
    <w:p w14:paraId="72A6DBFF" w14:textId="77777777" w:rsidR="00DF338B" w:rsidRPr="00DF338B" w:rsidRDefault="00DF338B" w:rsidP="00DF338B">
      <w:pPr>
        <w:ind w:left="720" w:hanging="720"/>
        <w:jc w:val="both"/>
        <w:rPr>
          <w:rFonts w:ascii="Arial" w:hAnsi="Arial" w:cs="Arial"/>
        </w:rPr>
      </w:pPr>
      <w:r w:rsidRPr="00DF338B">
        <w:rPr>
          <w:rFonts w:ascii="Arial" w:hAnsi="Arial" w:cs="Arial"/>
        </w:rPr>
        <w:t xml:space="preserve">Nañola, C. L., Aliño, P. M., &amp; Carpenter, K. E. (2011). Exploitation-related reef fish species richness depletion in the epicenter of marine biodiversity. </w:t>
      </w:r>
      <w:r w:rsidRPr="00DF338B">
        <w:rPr>
          <w:rFonts w:ascii="Arial" w:hAnsi="Arial" w:cs="Arial"/>
          <w:i/>
        </w:rPr>
        <w:t>Environmental Biology of Fishes</w:t>
      </w:r>
      <w:r w:rsidRPr="00DF338B">
        <w:rPr>
          <w:rFonts w:ascii="Arial" w:hAnsi="Arial" w:cs="Arial"/>
        </w:rPr>
        <w:t>, 90(4), 405–420. https://doi.org/10.1007/s10641-010-9750-6</w:t>
      </w:r>
    </w:p>
    <w:p w14:paraId="0652BA14" w14:textId="77777777" w:rsidR="00DF338B" w:rsidRPr="00DF338B" w:rsidRDefault="00DF338B" w:rsidP="00DF338B">
      <w:pPr>
        <w:ind w:left="720" w:hanging="720"/>
        <w:jc w:val="both"/>
        <w:rPr>
          <w:rFonts w:ascii="Arial" w:hAnsi="Arial" w:cs="Arial"/>
        </w:rPr>
      </w:pPr>
      <w:r w:rsidRPr="00DF338B">
        <w:rPr>
          <w:rFonts w:ascii="Arial" w:hAnsi="Arial" w:cs="Arial"/>
        </w:rPr>
        <w:t xml:space="preserve">Neilson, B. J., Wall, C. B., Mancini, F. T., &amp; Gewecke, C. A. (2018). Herbivore biocontrol and manual removal successfully reduce invasive macroalgae on coral reefs. </w:t>
      </w:r>
      <w:r w:rsidRPr="00DF338B">
        <w:rPr>
          <w:rFonts w:ascii="Arial" w:hAnsi="Arial" w:cs="Arial"/>
          <w:i/>
        </w:rPr>
        <w:t>PeerJ</w:t>
      </w:r>
      <w:r w:rsidRPr="00DF338B">
        <w:rPr>
          <w:rFonts w:ascii="Arial" w:hAnsi="Arial" w:cs="Arial"/>
        </w:rPr>
        <w:t>, 6, e5332. https://doi.org/10.7717/peerj.5332</w:t>
      </w:r>
    </w:p>
    <w:p w14:paraId="2EB94F3C" w14:textId="77777777" w:rsidR="003A2738" w:rsidRDefault="003A2738" w:rsidP="003A2738">
      <w:pPr>
        <w:ind w:left="720" w:hanging="720"/>
        <w:jc w:val="both"/>
        <w:rPr>
          <w:rFonts w:ascii="Arial" w:hAnsi="Arial" w:cs="Arial"/>
        </w:rPr>
      </w:pPr>
      <w:r w:rsidRPr="00103917">
        <w:rPr>
          <w:rFonts w:ascii="Arial" w:hAnsi="Arial" w:cs="Arial"/>
        </w:rPr>
        <w:t xml:space="preserve">Nomleni, A., Widodo, M. S., Kilawati, Y., &amp; Valen, F. S. (2020). Contemporary records of sea urchin </w:t>
      </w:r>
      <w:r w:rsidRPr="002B4F0F">
        <w:rPr>
          <w:rFonts w:ascii="Arial" w:hAnsi="Arial" w:cs="Arial"/>
          <w:i/>
          <w:iCs/>
        </w:rPr>
        <w:t xml:space="preserve">Tripneustes gratilla </w:t>
      </w:r>
      <w:r w:rsidRPr="00103917">
        <w:rPr>
          <w:rFonts w:ascii="Arial" w:hAnsi="Arial" w:cs="Arial"/>
        </w:rPr>
        <w:t>(Echinodermata: Echinoidea) in Timor Island, Indonesia. AACL Bioflux, 13(4), 1899–1905. https://bioflux.com.ro/docs/2020.1899-1905.pdf</w:t>
      </w:r>
    </w:p>
    <w:p w14:paraId="16216C98" w14:textId="77777777" w:rsidR="00DF338B" w:rsidRPr="00DF338B" w:rsidRDefault="00DF338B" w:rsidP="00DF338B">
      <w:pPr>
        <w:ind w:left="720" w:hanging="720"/>
        <w:jc w:val="both"/>
        <w:rPr>
          <w:rFonts w:ascii="Arial" w:hAnsi="Arial" w:cs="Arial"/>
        </w:rPr>
      </w:pPr>
      <w:r w:rsidRPr="00DF338B">
        <w:rPr>
          <w:rFonts w:ascii="Arial" w:hAnsi="Arial" w:cs="Arial"/>
        </w:rPr>
        <w:t xml:space="preserve">Nurcahyo, F. D., Zen, H. M., et al. (2024). The community structure of Echinodermata (Echinoidea and Holothuroidea) on seagrass ecosystem in Gunungkidul, Yogyakarta, Indonesia. </w:t>
      </w:r>
      <w:r w:rsidRPr="00DF338B">
        <w:rPr>
          <w:rFonts w:ascii="Arial" w:hAnsi="Arial" w:cs="Arial"/>
          <w:i/>
        </w:rPr>
        <w:t>Biodiversitas</w:t>
      </w:r>
      <w:r w:rsidRPr="00DF338B">
        <w:rPr>
          <w:rFonts w:ascii="Arial" w:hAnsi="Arial" w:cs="Arial"/>
        </w:rPr>
        <w:t>, 25(11), 4321–4331. https://doi.org/10.13057/biodiv/d251134</w:t>
      </w:r>
    </w:p>
    <w:p w14:paraId="1B4FB4C0" w14:textId="77777777" w:rsidR="00FF53C7" w:rsidRDefault="00FF53C7" w:rsidP="00DF338B">
      <w:pPr>
        <w:ind w:left="720" w:hanging="720"/>
        <w:jc w:val="both"/>
        <w:rPr>
          <w:rFonts w:ascii="Arial" w:hAnsi="Arial" w:cs="Arial"/>
        </w:rPr>
      </w:pPr>
      <w:r w:rsidRPr="00FF53C7">
        <w:rPr>
          <w:rFonts w:ascii="Arial" w:hAnsi="Arial" w:cs="Arial"/>
        </w:rPr>
        <w:t>Odum, E. P. (1977). The emergence of ecology as a new integrative discipline. Science, 195(4284), 1289–1293.</w:t>
      </w:r>
    </w:p>
    <w:p w14:paraId="5BD5DFB2" w14:textId="77777777" w:rsidR="00FF53C7" w:rsidRDefault="00FF53C7" w:rsidP="00DF338B">
      <w:pPr>
        <w:ind w:left="720" w:hanging="720"/>
        <w:jc w:val="both"/>
        <w:rPr>
          <w:rFonts w:ascii="Arial" w:hAnsi="Arial" w:cs="Arial"/>
        </w:rPr>
      </w:pPr>
      <w:r w:rsidRPr="00FF53C7">
        <w:rPr>
          <w:rFonts w:ascii="Arial" w:hAnsi="Arial" w:cs="Arial"/>
        </w:rPr>
        <w:lastRenderedPageBreak/>
        <w:t xml:space="preserve">Prado, V. V., Galvez, G. N., &amp; Rivera, R. (2012). Size structure and density of sea urchin </w:t>
      </w:r>
      <w:r w:rsidRPr="002B4F0F">
        <w:rPr>
          <w:rFonts w:ascii="Arial" w:hAnsi="Arial" w:cs="Arial"/>
          <w:i/>
          <w:iCs/>
        </w:rPr>
        <w:t>Tripneustes gratilla</w:t>
      </w:r>
      <w:r w:rsidRPr="00FF53C7">
        <w:rPr>
          <w:rFonts w:ascii="Arial" w:hAnsi="Arial" w:cs="Arial"/>
        </w:rPr>
        <w:t xml:space="preserve"> along Balaoan waters, La Union, Philippines.</w:t>
      </w:r>
      <w:r>
        <w:rPr>
          <w:rFonts w:ascii="Arial" w:hAnsi="Arial" w:cs="Arial"/>
        </w:rPr>
        <w:t xml:space="preserve"> </w:t>
      </w:r>
      <w:r w:rsidRPr="00FF53C7">
        <w:rPr>
          <w:rFonts w:ascii="Arial" w:hAnsi="Arial" w:cs="Arial"/>
        </w:rPr>
        <w:t>https://www.sealifebase.ca/PopDyn/LengthFreqSummary.php?lfcode=4</w:t>
      </w:r>
    </w:p>
    <w:p w14:paraId="36F3A77A" w14:textId="77777777" w:rsidR="00DF338B" w:rsidRPr="00DF338B" w:rsidRDefault="00DF338B" w:rsidP="00DF338B">
      <w:pPr>
        <w:ind w:left="720" w:hanging="720"/>
        <w:jc w:val="both"/>
        <w:rPr>
          <w:rFonts w:ascii="Arial" w:hAnsi="Arial" w:cs="Arial"/>
        </w:rPr>
      </w:pPr>
      <w:r w:rsidRPr="00DF338B">
        <w:rPr>
          <w:rFonts w:ascii="Arial" w:hAnsi="Arial" w:cs="Arial"/>
        </w:rPr>
        <w:t xml:space="preserve">Rahim, S. A. K. A., &amp; Nurhasan, R. (2016). Status of sea urchin resources in the east coast of Borneo. </w:t>
      </w:r>
      <w:r w:rsidRPr="00DF338B">
        <w:rPr>
          <w:rFonts w:ascii="Arial" w:hAnsi="Arial" w:cs="Arial"/>
          <w:i/>
        </w:rPr>
        <w:t>Journal of Marine Sciences</w:t>
      </w:r>
      <w:r w:rsidRPr="00DF338B">
        <w:rPr>
          <w:rFonts w:ascii="Arial" w:hAnsi="Arial" w:cs="Arial"/>
        </w:rPr>
        <w:t>, 2016, 6393902. https://doi.org/10.1155/2016/6393902</w:t>
      </w:r>
    </w:p>
    <w:p w14:paraId="3C6CB7CE" w14:textId="77777777" w:rsidR="003A2738" w:rsidRDefault="003A2738" w:rsidP="003A2738">
      <w:pPr>
        <w:ind w:left="720" w:hanging="720"/>
        <w:jc w:val="both"/>
        <w:rPr>
          <w:rFonts w:ascii="Arial" w:hAnsi="Arial" w:cs="Arial"/>
        </w:rPr>
      </w:pPr>
      <w:r w:rsidRPr="00103917">
        <w:rPr>
          <w:rFonts w:ascii="Arial" w:hAnsi="Arial" w:cs="Arial"/>
        </w:rPr>
        <w:t xml:space="preserve">Regalado, J. M., Campos, W. L., &amp; Santillan, A. S. (2010). Population biology of </w:t>
      </w:r>
      <w:r w:rsidRPr="002B4F0F">
        <w:rPr>
          <w:rFonts w:ascii="Arial" w:hAnsi="Arial" w:cs="Arial"/>
          <w:i/>
          <w:iCs/>
        </w:rPr>
        <w:t>Tripneustes gratilla</w:t>
      </w:r>
      <w:r w:rsidRPr="00103917">
        <w:rPr>
          <w:rFonts w:ascii="Arial" w:hAnsi="Arial" w:cs="Arial"/>
        </w:rPr>
        <w:t xml:space="preserve"> (Linnaeus) (Echinodermata) in seagrass beds of Southern Guimaras, Philippines. Science Diliman, 22(2), 41–49. https://distantreader.org/stacks/journals/sciencediliman/sciencediliman-1727.pdf</w:t>
      </w:r>
    </w:p>
    <w:p w14:paraId="31D4346D" w14:textId="77777777" w:rsidR="00DF338B" w:rsidRPr="00DF338B" w:rsidRDefault="00DF338B" w:rsidP="00DF338B">
      <w:pPr>
        <w:ind w:left="720" w:hanging="720"/>
        <w:jc w:val="both"/>
        <w:rPr>
          <w:rFonts w:ascii="Arial" w:hAnsi="Arial" w:cs="Arial"/>
        </w:rPr>
      </w:pPr>
      <w:r w:rsidRPr="00DF338B">
        <w:rPr>
          <w:rFonts w:ascii="Arial" w:hAnsi="Arial" w:cs="Arial"/>
        </w:rPr>
        <w:t xml:space="preserve">Roth, L., Zirler, R., Rilov, G., et al. (2024). Mass mortality of diadematoid sea urchins in the Red Sea and Western Indian Ocean. </w:t>
      </w:r>
      <w:r w:rsidRPr="00DF338B">
        <w:rPr>
          <w:rFonts w:ascii="Arial" w:hAnsi="Arial" w:cs="Arial"/>
          <w:i/>
        </w:rPr>
        <w:t>Current Biology</w:t>
      </w:r>
      <w:r w:rsidRPr="00DF338B">
        <w:rPr>
          <w:rFonts w:ascii="Arial" w:hAnsi="Arial" w:cs="Arial"/>
        </w:rPr>
        <w:t>, 34(12), 2693–2701.e4. https://doi.org/10.1016/j.cub.2024.04.057</w:t>
      </w:r>
    </w:p>
    <w:p w14:paraId="34EC043A" w14:textId="77777777" w:rsidR="00DF338B" w:rsidRPr="00DF338B" w:rsidRDefault="00DF338B" w:rsidP="00DF338B">
      <w:pPr>
        <w:ind w:left="720" w:hanging="720"/>
        <w:jc w:val="both"/>
        <w:rPr>
          <w:rFonts w:ascii="Arial" w:hAnsi="Arial" w:cs="Arial"/>
        </w:rPr>
      </w:pPr>
      <w:r w:rsidRPr="00DF338B">
        <w:rPr>
          <w:rFonts w:ascii="Arial" w:hAnsi="Arial" w:cs="Arial"/>
        </w:rPr>
        <w:t xml:space="preserve">Sailadjan, S. J., Arola, S. M., Imbuk, E. S., Muallil, I. A., et al. (2026). Gleaning-based assessment of sea urchin density and species composition in Bato-Bato, Indanan, Sulu, Philippines. </w:t>
      </w:r>
      <w:r w:rsidRPr="00DF338B">
        <w:rPr>
          <w:rFonts w:ascii="Arial" w:hAnsi="Arial" w:cs="Arial"/>
          <w:i/>
        </w:rPr>
        <w:t>AACL Bioflux</w:t>
      </w:r>
      <w:r w:rsidRPr="00DF338B">
        <w:rPr>
          <w:rFonts w:ascii="Arial" w:hAnsi="Arial" w:cs="Arial"/>
        </w:rPr>
        <w:t>, 19(2), 417–425. http://www.bioflux.com.ro/docs/2026.417-425.pdf</w:t>
      </w:r>
    </w:p>
    <w:p w14:paraId="5D6AFB9C" w14:textId="77777777" w:rsidR="00FF53C7" w:rsidRDefault="00FF53C7" w:rsidP="00DF338B">
      <w:pPr>
        <w:ind w:left="720" w:hanging="720"/>
        <w:jc w:val="both"/>
        <w:rPr>
          <w:rFonts w:ascii="Arial" w:hAnsi="Arial" w:cs="Arial"/>
        </w:rPr>
      </w:pPr>
      <w:r w:rsidRPr="00FF53C7">
        <w:rPr>
          <w:rFonts w:ascii="Arial" w:hAnsi="Arial" w:cs="Arial"/>
        </w:rPr>
        <w:t>Schultz, H. (Ed.). (2015). Echinodermata, Volume 1: Echinoidea. In Handbook of Zoology. Berlin/Boston: De Gruyter. De Gruyter record</w:t>
      </w:r>
    </w:p>
    <w:p w14:paraId="6C438801" w14:textId="77777777" w:rsidR="00DF338B" w:rsidRPr="00DF338B" w:rsidRDefault="00DF338B" w:rsidP="00DF338B">
      <w:pPr>
        <w:ind w:left="720" w:hanging="720"/>
        <w:jc w:val="both"/>
        <w:rPr>
          <w:rFonts w:ascii="Arial" w:hAnsi="Arial" w:cs="Arial"/>
        </w:rPr>
      </w:pPr>
      <w:r w:rsidRPr="00DF338B">
        <w:rPr>
          <w:rFonts w:ascii="Arial" w:hAnsi="Arial" w:cs="Arial"/>
        </w:rPr>
        <w:t xml:space="preserve">Siburian, R. H. S., Tapilatu, J. R., &amp; Tapilatu, M. E. (2023). Discovery of habitat preferences and community structure of echinoderms in Kri, Raja Ampat, Indonesia. </w:t>
      </w:r>
      <w:r w:rsidRPr="00DF338B">
        <w:rPr>
          <w:rFonts w:ascii="Arial" w:hAnsi="Arial" w:cs="Arial"/>
          <w:i/>
        </w:rPr>
        <w:t>Biodiversitas</w:t>
      </w:r>
      <w:r w:rsidRPr="00DF338B">
        <w:rPr>
          <w:rFonts w:ascii="Arial" w:hAnsi="Arial" w:cs="Arial"/>
        </w:rPr>
        <w:t>, 24(7), 3968–3976. https://doi.org/10.13057/biodiv/d240735</w:t>
      </w:r>
    </w:p>
    <w:p w14:paraId="75C583A0" w14:textId="77777777" w:rsidR="00DF338B" w:rsidRPr="00DF338B" w:rsidRDefault="00DF338B" w:rsidP="00DF338B">
      <w:pPr>
        <w:ind w:left="720" w:hanging="720"/>
        <w:jc w:val="both"/>
        <w:rPr>
          <w:rFonts w:ascii="Arial" w:hAnsi="Arial" w:cs="Arial"/>
        </w:rPr>
      </w:pPr>
      <w:r w:rsidRPr="00DF338B">
        <w:rPr>
          <w:rFonts w:ascii="Arial" w:hAnsi="Arial" w:cs="Arial"/>
        </w:rPr>
        <w:t xml:space="preserve">Stimson, J., Cunha, T., &amp; Philippoff, J. (2007). Food preferences and related behavior of the browsing sea urchin </w:t>
      </w:r>
      <w:r w:rsidRPr="00DF338B">
        <w:rPr>
          <w:rFonts w:ascii="Arial" w:hAnsi="Arial" w:cs="Arial"/>
          <w:i/>
        </w:rPr>
        <w:t>Tripneustes gratilla</w:t>
      </w:r>
      <w:r w:rsidRPr="00DF338B">
        <w:rPr>
          <w:rFonts w:ascii="Arial" w:hAnsi="Arial" w:cs="Arial"/>
        </w:rPr>
        <w:t xml:space="preserve"> (Linnaeus) and its potential for use as a biological control agent. </w:t>
      </w:r>
      <w:r w:rsidRPr="00DF338B">
        <w:rPr>
          <w:rFonts w:ascii="Arial" w:hAnsi="Arial" w:cs="Arial"/>
          <w:i/>
        </w:rPr>
        <w:t>Marine Biology</w:t>
      </w:r>
      <w:r w:rsidRPr="00DF338B">
        <w:rPr>
          <w:rFonts w:ascii="Arial" w:hAnsi="Arial" w:cs="Arial"/>
        </w:rPr>
        <w:t>, 151(5), 1761–1772. https://doi.org/10.1007/s00227-007-0628-x</w:t>
      </w:r>
    </w:p>
    <w:p w14:paraId="3557754E" w14:textId="77777777" w:rsidR="00DF338B" w:rsidRPr="00DF338B" w:rsidRDefault="00DF338B" w:rsidP="00DF338B">
      <w:pPr>
        <w:ind w:left="720" w:hanging="720"/>
        <w:jc w:val="both"/>
        <w:rPr>
          <w:rFonts w:ascii="Arial" w:hAnsi="Arial" w:cs="Arial"/>
        </w:rPr>
      </w:pPr>
      <w:r w:rsidRPr="00DF338B">
        <w:rPr>
          <w:rFonts w:ascii="Arial" w:hAnsi="Arial" w:cs="Arial"/>
        </w:rPr>
        <w:t xml:space="preserve">Talaue-McManus, L., &amp; Kesner, K. P. N. (1995). Valuation of a Philippine municipal sea urchin fishery and implications of its collapse. In </w:t>
      </w:r>
      <w:r w:rsidRPr="00DF338B">
        <w:rPr>
          <w:rFonts w:ascii="Arial" w:hAnsi="Arial" w:cs="Arial"/>
          <w:i/>
        </w:rPr>
        <w:t>Philippine Coastal Resources Under Stress</w:t>
      </w:r>
      <w:r w:rsidRPr="00DF338B">
        <w:rPr>
          <w:rFonts w:ascii="Arial" w:hAnsi="Arial" w:cs="Arial"/>
        </w:rPr>
        <w:t xml:space="preserve"> (pp. 229–239). CRMP/USAID, Manila.</w:t>
      </w:r>
    </w:p>
    <w:p w14:paraId="773C05A1" w14:textId="77777777" w:rsidR="00DF338B" w:rsidRPr="00DF338B" w:rsidRDefault="00DF338B" w:rsidP="00DF338B">
      <w:pPr>
        <w:ind w:left="720" w:hanging="720"/>
        <w:jc w:val="both"/>
        <w:rPr>
          <w:rFonts w:ascii="Arial" w:hAnsi="Arial" w:cs="Arial"/>
        </w:rPr>
      </w:pPr>
      <w:r w:rsidRPr="00DF338B">
        <w:rPr>
          <w:rFonts w:ascii="Arial" w:hAnsi="Arial" w:cs="Arial"/>
        </w:rPr>
        <w:t xml:space="preserve">Toha, A. H., Sumitro, S. B., Hakim, L., Widodo, N., Binur, R., Suhaemi, &amp; Anggoro, A. W. (2017). Review: Biology of the commercially used sea urchin </w:t>
      </w:r>
      <w:r w:rsidRPr="00DF338B">
        <w:rPr>
          <w:rFonts w:ascii="Arial" w:hAnsi="Arial" w:cs="Arial"/>
          <w:i/>
        </w:rPr>
        <w:t>Tripneustes gratilla</w:t>
      </w:r>
      <w:r w:rsidRPr="00DF338B">
        <w:rPr>
          <w:rFonts w:ascii="Arial" w:hAnsi="Arial" w:cs="Arial"/>
        </w:rPr>
        <w:t xml:space="preserve"> (Linnaeus, 1758) (Echinoidea: Echinodermata). </w:t>
      </w:r>
      <w:r w:rsidRPr="00DF338B">
        <w:rPr>
          <w:rFonts w:ascii="Arial" w:hAnsi="Arial" w:cs="Arial"/>
          <w:i/>
        </w:rPr>
        <w:t>Ocean Life</w:t>
      </w:r>
      <w:r w:rsidRPr="00DF338B">
        <w:rPr>
          <w:rFonts w:ascii="Arial" w:hAnsi="Arial" w:cs="Arial"/>
        </w:rPr>
        <w:t>, 1(1), 1–10. https://doi.org/10.13057/oceanlife/o010101</w:t>
      </w:r>
    </w:p>
    <w:p w14:paraId="54B0D897" w14:textId="77777777" w:rsidR="003A2738" w:rsidRDefault="003A2738" w:rsidP="003A2738">
      <w:pPr>
        <w:ind w:left="720" w:hanging="720"/>
        <w:jc w:val="both"/>
        <w:rPr>
          <w:rFonts w:ascii="Arial" w:hAnsi="Arial" w:cs="Arial"/>
        </w:rPr>
      </w:pPr>
      <w:r w:rsidRPr="00103917">
        <w:rPr>
          <w:rFonts w:ascii="Arial" w:hAnsi="Arial" w:cs="Arial"/>
        </w:rPr>
        <w:t>Tuapattinaja, M. A., Pattikawa, J. A., &amp; Natan, Y. (2014). Community structure of echinoderms at Tanjung Tiram, inner Ambon Bay, Indonesia. AACL Bioflux, 7(5), 351–356. https://bioflux.com.ro/docs/2014.351-356.pdf</w:t>
      </w:r>
    </w:p>
    <w:p w14:paraId="1F71F04D" w14:textId="77777777" w:rsidR="00DF338B" w:rsidRPr="00DF338B" w:rsidRDefault="00DF338B" w:rsidP="00DF338B">
      <w:pPr>
        <w:ind w:left="720" w:hanging="720"/>
        <w:jc w:val="both"/>
        <w:rPr>
          <w:rFonts w:ascii="Arial" w:hAnsi="Arial" w:cs="Arial"/>
        </w:rPr>
      </w:pPr>
      <w:r w:rsidRPr="00DF338B">
        <w:rPr>
          <w:rFonts w:ascii="Arial" w:hAnsi="Arial" w:cs="Arial"/>
        </w:rPr>
        <w:t xml:space="preserve">Ungson, J. R. (2004). </w:t>
      </w:r>
      <w:r w:rsidRPr="00DF338B">
        <w:rPr>
          <w:rFonts w:ascii="Arial" w:hAnsi="Arial" w:cs="Arial"/>
          <w:i/>
        </w:rPr>
        <w:t>Stock Enhancement of Sea Urchin ([i]Tripneustes gratilla</w:t>
      </w:r>
      <w:r w:rsidRPr="00DF338B">
        <w:rPr>
          <w:rFonts w:ascii="Arial" w:hAnsi="Arial" w:cs="Arial"/>
        </w:rPr>
        <w:t>) in Bolinao, Pangasinan, Philippines[/i]. Oregon State University, Corvallis.</w:t>
      </w:r>
    </w:p>
    <w:p w14:paraId="711C6C79" w14:textId="77777777" w:rsidR="00DF338B" w:rsidRPr="00DF338B" w:rsidRDefault="00DF338B" w:rsidP="00DF338B">
      <w:pPr>
        <w:ind w:left="720" w:hanging="720"/>
        <w:jc w:val="both"/>
        <w:rPr>
          <w:rFonts w:ascii="Arial" w:hAnsi="Arial" w:cs="Arial"/>
        </w:rPr>
      </w:pPr>
      <w:r w:rsidRPr="00DF338B">
        <w:rPr>
          <w:rFonts w:ascii="Arial" w:hAnsi="Arial" w:cs="Arial"/>
        </w:rPr>
        <w:t xml:space="preserve">Vaïtilingon, D., Rasolofonirina, R., &amp; Jangoux, M. (2003). Feeding preferences, seasonal gut repletion indices, and diel feeding patterns of the sea urchin </w:t>
      </w:r>
      <w:r w:rsidRPr="00DF338B">
        <w:rPr>
          <w:rFonts w:ascii="Arial" w:hAnsi="Arial" w:cs="Arial"/>
          <w:i/>
        </w:rPr>
        <w:t>Tripneustes gratilla</w:t>
      </w:r>
      <w:r w:rsidRPr="00DF338B">
        <w:rPr>
          <w:rFonts w:ascii="Arial" w:hAnsi="Arial" w:cs="Arial"/>
        </w:rPr>
        <w:t xml:space="preserve"> (Echinodermata: Echinoidea) on a coastal habitat off Toliara, Madagascar. </w:t>
      </w:r>
      <w:r w:rsidRPr="00DF338B">
        <w:rPr>
          <w:rFonts w:ascii="Arial" w:hAnsi="Arial" w:cs="Arial"/>
          <w:i/>
        </w:rPr>
        <w:t>Marine Biology</w:t>
      </w:r>
      <w:r w:rsidRPr="00DF338B">
        <w:rPr>
          <w:rFonts w:ascii="Arial" w:hAnsi="Arial" w:cs="Arial"/>
        </w:rPr>
        <w:t>, 143(3), 451–458. https://doi.org/10.1007/s00227-003-1107-7</w:t>
      </w:r>
    </w:p>
    <w:p w14:paraId="6A7A4821" w14:textId="77777777" w:rsidR="00DF338B" w:rsidRPr="00DF338B" w:rsidRDefault="00DF338B" w:rsidP="00DF338B">
      <w:pPr>
        <w:ind w:left="720" w:hanging="720"/>
        <w:jc w:val="both"/>
        <w:rPr>
          <w:rFonts w:ascii="Arial" w:hAnsi="Arial" w:cs="Arial"/>
        </w:rPr>
      </w:pPr>
      <w:r w:rsidRPr="00DF338B">
        <w:rPr>
          <w:rFonts w:ascii="Arial" w:hAnsi="Arial" w:cs="Arial"/>
        </w:rPr>
        <w:t>Vimono, I. B., Borsa, P., Hocdé, R., Arbi, U. Y., Kadarusman, Marasabessy, F., et al. (2025). Diversity of long-spined sea urchins (</w:t>
      </w:r>
      <w:r w:rsidRPr="00DF338B">
        <w:rPr>
          <w:rFonts w:ascii="Arial" w:hAnsi="Arial" w:cs="Arial"/>
          <w:i/>
        </w:rPr>
        <w:t>Diadema</w:t>
      </w:r>
      <w:r w:rsidRPr="00DF338B">
        <w:rPr>
          <w:rFonts w:ascii="Arial" w:hAnsi="Arial" w:cs="Arial"/>
        </w:rPr>
        <w:t xml:space="preserve"> spp.) in the Indo-Malay archipelago. </w:t>
      </w:r>
      <w:r w:rsidRPr="00DF338B">
        <w:rPr>
          <w:rFonts w:ascii="Arial" w:hAnsi="Arial" w:cs="Arial"/>
          <w:i/>
        </w:rPr>
        <w:t>Arxius de Miscel·lània Zoològica</w:t>
      </w:r>
      <w:r w:rsidRPr="00DF338B">
        <w:rPr>
          <w:rFonts w:ascii="Arial" w:hAnsi="Arial" w:cs="Arial"/>
        </w:rPr>
        <w:t>, 23, 135–145. https://doi.org/10.32800/amz.2025.23.0135</w:t>
      </w:r>
    </w:p>
    <w:p w14:paraId="702E02A9" w14:textId="77777777" w:rsidR="003A2738" w:rsidRPr="00103917" w:rsidRDefault="003A2738" w:rsidP="003A2738">
      <w:pPr>
        <w:ind w:left="720" w:hanging="720"/>
        <w:jc w:val="both"/>
        <w:rPr>
          <w:rFonts w:ascii="Arial" w:hAnsi="Arial" w:cs="Arial"/>
        </w:rPr>
      </w:pPr>
    </w:p>
    <w:p w14:paraId="30290415" w14:textId="77777777" w:rsidR="003A2738" w:rsidRDefault="003A2738" w:rsidP="003A2738">
      <w:pPr>
        <w:ind w:left="720" w:hanging="720"/>
        <w:jc w:val="both"/>
        <w:rPr>
          <w:rFonts w:ascii="Arial" w:hAnsi="Arial" w:cs="Arial"/>
        </w:rPr>
      </w:pPr>
      <w:r w:rsidRPr="00103917">
        <w:rPr>
          <w:rFonts w:ascii="Arial" w:hAnsi="Arial" w:cs="Arial"/>
        </w:rPr>
        <w:t>Walag, A. M. P., Layaog, A. G., &amp; Garcia, G. U. (2018). Survey of echinoderms in the intertidal zone of Goso-on and Vinapor, Carmen, Agusan del Norte, Philippines. Environmental and Experimental Biology, 16, 31–38. https://eeb.lu.lv/EEB/201803/EEB_XVI_Walag.pdf</w:t>
      </w:r>
    </w:p>
    <w:p w14:paraId="308E68AE" w14:textId="77777777" w:rsidR="00DF338B" w:rsidRPr="00DF338B" w:rsidRDefault="00DF338B" w:rsidP="00DF338B">
      <w:pPr>
        <w:ind w:left="720" w:hanging="720"/>
        <w:jc w:val="both"/>
        <w:rPr>
          <w:rFonts w:ascii="Arial" w:hAnsi="Arial" w:cs="Arial"/>
        </w:rPr>
      </w:pPr>
      <w:r w:rsidRPr="00DF338B">
        <w:rPr>
          <w:rFonts w:ascii="Arial" w:hAnsi="Arial" w:cs="Arial"/>
        </w:rPr>
        <w:lastRenderedPageBreak/>
        <w:t xml:space="preserve">Weeks, R., Russ, G. R., Alcala, A. C., &amp; White, A. T. (2010). Effectiveness of marine protected areas in the Philippines for biodiversity conservation. </w:t>
      </w:r>
      <w:r w:rsidRPr="00DF338B">
        <w:rPr>
          <w:rFonts w:ascii="Arial" w:hAnsi="Arial" w:cs="Arial"/>
          <w:i/>
        </w:rPr>
        <w:t>Conservation Biology</w:t>
      </w:r>
      <w:r w:rsidRPr="00DF338B">
        <w:rPr>
          <w:rFonts w:ascii="Arial" w:hAnsi="Arial" w:cs="Arial"/>
        </w:rPr>
        <w:t>, 24(2), 531–540. https://doi.org/10.1111/j.1523-1739.2009.01340.x</w:t>
      </w:r>
    </w:p>
    <w:p w14:paraId="6252A6E3" w14:textId="77777777" w:rsidR="00DF338B" w:rsidRPr="00DF338B" w:rsidRDefault="00DF338B" w:rsidP="00DF338B">
      <w:pPr>
        <w:ind w:left="720" w:hanging="720"/>
        <w:jc w:val="both"/>
        <w:rPr>
          <w:rFonts w:ascii="Arial" w:hAnsi="Arial" w:cs="Arial"/>
        </w:rPr>
      </w:pPr>
      <w:r w:rsidRPr="00DF338B">
        <w:rPr>
          <w:rFonts w:ascii="Arial" w:hAnsi="Arial" w:cs="Arial"/>
        </w:rPr>
        <w:t xml:space="preserve">Westbrook, C. E., Ringang, R. R., Cantero, S. M. A., &amp; Toonen, R. J. (2015). Survivorship and feeding preferences among size classes of outplanted sea urchins, </w:t>
      </w:r>
      <w:r w:rsidRPr="00DF338B">
        <w:rPr>
          <w:rFonts w:ascii="Arial" w:hAnsi="Arial" w:cs="Arial"/>
          <w:i/>
        </w:rPr>
        <w:t>Tripneustes gratilla</w:t>
      </w:r>
      <w:r w:rsidRPr="00DF338B">
        <w:rPr>
          <w:rFonts w:ascii="Arial" w:hAnsi="Arial" w:cs="Arial"/>
        </w:rPr>
        <w:t xml:space="preserve">, and possible use as biocontrol for invasive alien algae. </w:t>
      </w:r>
      <w:r w:rsidRPr="00DF338B">
        <w:rPr>
          <w:rFonts w:ascii="Arial" w:hAnsi="Arial" w:cs="Arial"/>
          <w:i/>
        </w:rPr>
        <w:t>PeerJ</w:t>
      </w:r>
      <w:r w:rsidRPr="00DF338B">
        <w:rPr>
          <w:rFonts w:ascii="Arial" w:hAnsi="Arial" w:cs="Arial"/>
        </w:rPr>
        <w:t>, 3, e1235. https://doi.org/10.7717/peerj.1235</w:t>
      </w:r>
    </w:p>
    <w:p w14:paraId="17D93DD7" w14:textId="77777777" w:rsidR="00DF338B" w:rsidRPr="00DF338B" w:rsidRDefault="00DF338B" w:rsidP="00DF338B">
      <w:pPr>
        <w:ind w:left="720" w:hanging="720"/>
        <w:jc w:val="both"/>
        <w:rPr>
          <w:rFonts w:ascii="Arial" w:hAnsi="Arial" w:cs="Arial"/>
        </w:rPr>
      </w:pPr>
      <w:r w:rsidRPr="00DF338B">
        <w:rPr>
          <w:rFonts w:ascii="Arial" w:hAnsi="Arial" w:cs="Arial"/>
        </w:rPr>
        <w:t xml:space="preserve">Wijers, T., Hylkema, A., Visser, P. M., &amp; Osinga, R. (2024). Implications of changing Caribbean coral reefs on </w:t>
      </w:r>
      <w:r w:rsidRPr="00DF338B">
        <w:rPr>
          <w:rFonts w:ascii="Arial" w:hAnsi="Arial" w:cs="Arial"/>
          <w:i/>
        </w:rPr>
        <w:t>Diadema antillarum</w:t>
      </w:r>
      <w:r w:rsidRPr="00DF338B">
        <w:rPr>
          <w:rFonts w:ascii="Arial" w:hAnsi="Arial" w:cs="Arial"/>
        </w:rPr>
        <w:t xml:space="preserve"> larvae settlement. </w:t>
      </w:r>
      <w:r w:rsidRPr="00DF338B">
        <w:rPr>
          <w:rFonts w:ascii="Arial" w:hAnsi="Arial" w:cs="Arial"/>
          <w:i/>
        </w:rPr>
        <w:t>Marine Biology</w:t>
      </w:r>
      <w:r w:rsidRPr="00DF338B">
        <w:rPr>
          <w:rFonts w:ascii="Arial" w:hAnsi="Arial" w:cs="Arial"/>
        </w:rPr>
        <w:t>, 171(2), 48. https://doi.org/10.1007/s00227-023-04368-0</w:t>
      </w:r>
    </w:p>
    <w:p w14:paraId="04261FC0" w14:textId="77777777" w:rsidR="00DF338B" w:rsidRPr="00DF338B" w:rsidRDefault="00DF338B" w:rsidP="00DF338B">
      <w:pPr>
        <w:ind w:left="720" w:hanging="720"/>
        <w:jc w:val="both"/>
        <w:rPr>
          <w:rFonts w:ascii="Arial" w:hAnsi="Arial" w:cs="Arial"/>
        </w:rPr>
      </w:pPr>
      <w:r w:rsidRPr="00DF338B">
        <w:rPr>
          <w:rFonts w:ascii="Arial" w:hAnsi="Arial" w:cs="Arial"/>
        </w:rPr>
        <w:t xml:space="preserve">Ying, M. M. (2023). </w:t>
      </w:r>
      <w:r w:rsidRPr="00DF338B">
        <w:rPr>
          <w:rFonts w:ascii="Arial" w:hAnsi="Arial" w:cs="Arial"/>
          <w:i/>
        </w:rPr>
        <w:t>Distribution, habitat association, and movement patterns of sea urchins (Diadematidae) in coral reefs, Peninsular Malaysia</w:t>
      </w:r>
      <w:r w:rsidRPr="00DF338B">
        <w:rPr>
          <w:rFonts w:ascii="Arial" w:hAnsi="Arial" w:cs="Arial"/>
        </w:rPr>
        <w:t xml:space="preserve"> (Doctoral dissertation). University of Malaya, Kuala Lumpur.</w:t>
      </w:r>
    </w:p>
    <w:p w14:paraId="459CB688" w14:textId="77777777" w:rsidR="00DF338B" w:rsidRPr="00DF338B" w:rsidRDefault="00DF338B" w:rsidP="00DF338B">
      <w:pPr>
        <w:ind w:left="720" w:hanging="720"/>
        <w:jc w:val="both"/>
        <w:rPr>
          <w:rFonts w:ascii="Arial" w:hAnsi="Arial" w:cs="Arial"/>
        </w:rPr>
      </w:pPr>
      <w:r w:rsidRPr="00DF338B">
        <w:rPr>
          <w:rFonts w:ascii="Arial" w:hAnsi="Arial" w:cs="Arial"/>
        </w:rPr>
        <w:t xml:space="preserve">Yoshida, R., Nakamura, S., &amp; Nakamura, M. (2022). Feeding behaviour and bioerosion: The ecological role of the rock-boring urchin </w:t>
      </w:r>
      <w:r w:rsidRPr="00DF338B">
        <w:rPr>
          <w:rFonts w:ascii="Arial" w:hAnsi="Arial" w:cs="Arial"/>
          <w:i/>
        </w:rPr>
        <w:t>Echinometra mathaei</w:t>
      </w:r>
      <w:r w:rsidRPr="00DF338B">
        <w:rPr>
          <w:rFonts w:ascii="Arial" w:hAnsi="Arial" w:cs="Arial"/>
        </w:rPr>
        <w:t xml:space="preserve"> (de Blainville, 1825) in Okinawa reef flat. </w:t>
      </w:r>
      <w:r w:rsidRPr="00DF338B">
        <w:rPr>
          <w:rFonts w:ascii="Arial" w:hAnsi="Arial" w:cs="Arial"/>
          <w:i/>
        </w:rPr>
        <w:t>Aquatic Science &amp; Management</w:t>
      </w:r>
      <w:r w:rsidRPr="00DF338B">
        <w:rPr>
          <w:rFonts w:ascii="Arial" w:hAnsi="Arial" w:cs="Arial"/>
        </w:rPr>
        <w:t>, 10(2), 65–73. https://doi.org/10.35800/jasm.v10i2.1976</w:t>
      </w:r>
    </w:p>
    <w:p w14:paraId="28135893" w14:textId="77777777" w:rsidR="00DF338B" w:rsidRPr="00DF338B" w:rsidRDefault="00DF338B" w:rsidP="00DF338B">
      <w:pPr>
        <w:ind w:left="720" w:hanging="720"/>
        <w:jc w:val="both"/>
        <w:rPr>
          <w:rFonts w:ascii="Arial" w:hAnsi="Arial" w:cs="Arial"/>
        </w:rPr>
      </w:pPr>
      <w:r w:rsidRPr="00DF338B">
        <w:rPr>
          <w:rFonts w:ascii="Arial" w:hAnsi="Arial" w:cs="Arial"/>
        </w:rPr>
        <w:t xml:space="preserve">Zhang, Z., Nagashima, Y., &amp; Shiomi, K. (2001). Toxins of sea urchins: A review. </w:t>
      </w:r>
      <w:r w:rsidRPr="00DF338B">
        <w:rPr>
          <w:rFonts w:ascii="Arial" w:hAnsi="Arial" w:cs="Arial"/>
          <w:i/>
        </w:rPr>
        <w:t>Toxin Reviews</w:t>
      </w:r>
      <w:r w:rsidRPr="00DF338B">
        <w:rPr>
          <w:rFonts w:ascii="Arial" w:hAnsi="Arial" w:cs="Arial"/>
        </w:rPr>
        <w:t>, 20(1), 39–64. https://doi.org/10.1081/TXR-100102538</w:t>
      </w:r>
    </w:p>
    <w:p w14:paraId="0939B8BA" w14:textId="77777777" w:rsidR="00DF338B" w:rsidRPr="00DF338B" w:rsidRDefault="00DF338B" w:rsidP="00DF338B">
      <w:pPr>
        <w:ind w:left="720" w:hanging="720"/>
        <w:jc w:val="both"/>
        <w:rPr>
          <w:rFonts w:ascii="Arial" w:hAnsi="Arial" w:cs="Arial"/>
        </w:rPr>
      </w:pPr>
      <w:r w:rsidRPr="00DF338B">
        <w:rPr>
          <w:rFonts w:ascii="Arial" w:hAnsi="Arial" w:cs="Arial"/>
        </w:rPr>
        <w:t xml:space="preserve">Zhou, J. J., &amp; Goh, B. P. L. (2025). Distribution and abundance of echinoderm communities in the intertidal shores of Singapore. </w:t>
      </w:r>
      <w:r w:rsidRPr="00DF338B">
        <w:rPr>
          <w:rFonts w:ascii="Arial" w:hAnsi="Arial" w:cs="Arial"/>
          <w:i/>
        </w:rPr>
        <w:t>Bulletin of Marine Science</w:t>
      </w:r>
      <w:r w:rsidRPr="00DF338B">
        <w:rPr>
          <w:rFonts w:ascii="Arial" w:hAnsi="Arial" w:cs="Arial"/>
        </w:rPr>
        <w:t>, 101(1), 25–48. https://doi.org/10.5343/bms.2023.0107</w:t>
      </w:r>
    </w:p>
    <w:p w14:paraId="06706954" w14:textId="77777777" w:rsidR="00DF338B" w:rsidRPr="00DF338B" w:rsidRDefault="00DF338B" w:rsidP="00DF338B">
      <w:pPr>
        <w:ind w:left="720" w:hanging="720"/>
        <w:jc w:val="both"/>
        <w:rPr>
          <w:rFonts w:ascii="Arial" w:hAnsi="Arial" w:cs="Arial"/>
        </w:rPr>
      </w:pPr>
      <w:r w:rsidRPr="00DF338B">
        <w:rPr>
          <w:rFonts w:ascii="Arial" w:hAnsi="Arial" w:cs="Arial"/>
        </w:rPr>
        <w:t xml:space="preserve">Zirler, R., Schmidt, L. M., Roth, L., et al. (2023). Mass mortality of the invasive alien echinoid </w:t>
      </w:r>
      <w:r w:rsidRPr="00DF338B">
        <w:rPr>
          <w:rFonts w:ascii="Arial" w:hAnsi="Arial" w:cs="Arial"/>
          <w:i/>
        </w:rPr>
        <w:t>Diadema setosum</w:t>
      </w:r>
      <w:r w:rsidRPr="00DF338B">
        <w:rPr>
          <w:rFonts w:ascii="Arial" w:hAnsi="Arial" w:cs="Arial"/>
        </w:rPr>
        <w:t xml:space="preserve"> (Echinoidea: Diadematidae) in the Mediterranean Sea. </w:t>
      </w:r>
      <w:r w:rsidRPr="00DF338B">
        <w:rPr>
          <w:rFonts w:ascii="Arial" w:hAnsi="Arial" w:cs="Arial"/>
          <w:i/>
        </w:rPr>
        <w:t>Royal Society Open Science</w:t>
      </w:r>
      <w:r w:rsidRPr="00DF338B">
        <w:rPr>
          <w:rFonts w:ascii="Arial" w:hAnsi="Arial" w:cs="Arial"/>
        </w:rPr>
        <w:t>, 10(5), 230251. https://doi.org/10.1098/rsos.230251</w:t>
      </w:r>
    </w:p>
    <w:p w14:paraId="21856002" w14:textId="77777777" w:rsidR="00790ADA" w:rsidRDefault="00790ADA" w:rsidP="009A721A">
      <w:pPr>
        <w:pStyle w:val="Body"/>
        <w:spacing w:after="0"/>
        <w:rPr>
          <w:rFonts w:ascii="Arial" w:hAnsi="Arial" w:cs="Arial"/>
        </w:rPr>
      </w:pPr>
    </w:p>
    <w:p w14:paraId="14C0F1D0" w14:textId="77777777" w:rsidR="00DF338B" w:rsidRDefault="00DF338B" w:rsidP="009A721A">
      <w:pPr>
        <w:pStyle w:val="Body"/>
        <w:spacing w:after="0"/>
        <w:rPr>
          <w:rFonts w:ascii="Arial" w:hAnsi="Arial" w:cs="Arial"/>
        </w:rPr>
      </w:pPr>
    </w:p>
    <w:p w14:paraId="49097E2C" w14:textId="77777777" w:rsidR="00B01FCD" w:rsidRPr="009A721A" w:rsidRDefault="00B01FCD" w:rsidP="009A721A">
      <w:pPr>
        <w:pStyle w:val="Appendix"/>
        <w:spacing w:after="0"/>
        <w:jc w:val="both"/>
        <w:rPr>
          <w:rFonts w:ascii="Arial" w:hAnsi="Arial" w:cs="Arial"/>
          <w:b w:val="0"/>
          <w:sz w:val="20"/>
        </w:rPr>
      </w:pPr>
    </w:p>
    <w:sectPr w:rsidR="00B01FCD" w:rsidRPr="009A721A" w:rsidSect="007825CE">
      <w:headerReference w:type="even" r:id="rId28"/>
      <w:headerReference w:type="default" r:id="rId29"/>
      <w:footerReference w:type="default" r:id="rId30"/>
      <w:headerReference w:type="first" r:id="rId31"/>
      <w:type w:val="continuous"/>
      <w:pgSz w:w="12240" w:h="15840"/>
      <w:pgMar w:top="1440" w:right="2019" w:bottom="2019" w:left="2019"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Microsoft Office User" w:date="2026-07-27T06:15:00Z" w:initials="MOU">
    <w:p w14:paraId="3C5F4B04" w14:textId="1CC4C39E" w:rsidR="00CA6BA8" w:rsidRDefault="00CA6BA8">
      <w:pPr>
        <w:pStyle w:val="CommentText"/>
      </w:pPr>
      <w:r>
        <w:rPr>
          <w:rStyle w:val="CommentReference"/>
        </w:rPr>
        <w:annotationRef/>
      </w:r>
      <w:r w:rsidRPr="00E030CC">
        <w:rPr>
          <w:sz w:val="22"/>
          <w:szCs w:val="22"/>
          <w:lang w:val="en-GB"/>
        </w:rPr>
        <w:t>Sufficient, but it would be better if you followed the abstract structure that is common in reputable journals.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3C5F4B0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1354D904" w16cex:dateUtc="2026-07-26T22: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3C5F4B04" w16cid:durableId="1354D90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BBD0EC" w14:textId="77777777" w:rsidR="004508BD" w:rsidRDefault="004508BD" w:rsidP="00C37E61">
      <w:r>
        <w:separator/>
      </w:r>
    </w:p>
  </w:endnote>
  <w:endnote w:type="continuationSeparator" w:id="0">
    <w:p w14:paraId="4FB1F144" w14:textId="77777777" w:rsidR="004508BD" w:rsidRDefault="004508BD"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SimSun"/>
    <w:panose1 w:val="02000503000000020004"/>
    <w:charset w:val="00"/>
    <w:family w:val="auto"/>
    <w:pitch w:val="variable"/>
    <w:sig w:usb0="E50002FF" w:usb1="500079DB" w:usb2="0000001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8FF544" w14:textId="77777777" w:rsidR="007825CE" w:rsidRDefault="007825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62C876" w14:textId="77777777" w:rsidR="007825CE" w:rsidRDefault="007825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D5DF86" w14:textId="37A5F998" w:rsidR="00754C9A" w:rsidRPr="007825CE" w:rsidRDefault="00754C9A" w:rsidP="007825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C60CCA"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0E26D2" w14:textId="77777777" w:rsidR="004508BD" w:rsidRDefault="004508BD" w:rsidP="00C37E61">
      <w:r>
        <w:separator/>
      </w:r>
    </w:p>
  </w:footnote>
  <w:footnote w:type="continuationSeparator" w:id="0">
    <w:p w14:paraId="34DE8327" w14:textId="77777777" w:rsidR="004508BD" w:rsidRDefault="004508BD"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9F6423" w14:textId="2C71FDE1" w:rsidR="007825CE" w:rsidRDefault="004508BD">
    <w:pPr>
      <w:pStyle w:val="Header"/>
    </w:pPr>
    <w:r>
      <w:rPr>
        <w:noProof/>
      </w:rPr>
      <w:pict w14:anchorId="2BBB7E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922313" o:spid="_x0000_s1033" type="#_x0000_t136" alt="" style="position:absolute;margin-left:0;margin-top:0;width:520.25pt;height:57.8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304CED" w14:textId="70578ACA" w:rsidR="007825CE" w:rsidRDefault="004508BD">
    <w:pPr>
      <w:pStyle w:val="Header"/>
    </w:pPr>
    <w:r>
      <w:rPr>
        <w:noProof/>
      </w:rPr>
      <w:pict w14:anchorId="7C3E2A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922314" o:spid="_x0000_s1032" type="#_x0000_t136" alt="" style="position:absolute;margin-left:0;margin-top:0;width:520.25pt;height:57.8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7EA201" w14:textId="19FF4099" w:rsidR="00296529" w:rsidRPr="00296529" w:rsidRDefault="004508BD" w:rsidP="00296529">
    <w:pPr>
      <w:ind w:left="2160"/>
      <w:jc w:val="center"/>
      <w:rPr>
        <w:rFonts w:ascii="Times New Roman" w:eastAsia="Calibri" w:hAnsi="Times New Roman"/>
        <w:i/>
        <w:sz w:val="18"/>
        <w:szCs w:val="22"/>
      </w:rPr>
    </w:pPr>
    <w:r>
      <w:rPr>
        <w:noProof/>
      </w:rPr>
      <w:pict w14:anchorId="3FE47E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922312" o:spid="_x0000_s1031" type="#_x0000_t136" alt="" style="position:absolute;left:0;text-align:left;margin-left:0;margin-top:0;width:520.25pt;height:57.8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p w14:paraId="7219B99B"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5FF266D2"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715F60E0"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7314625D"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700E86B0"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78520658"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46D500" w14:textId="23198524" w:rsidR="007825CE" w:rsidRDefault="004508BD">
    <w:pPr>
      <w:pStyle w:val="Header"/>
    </w:pPr>
    <w:r>
      <w:rPr>
        <w:noProof/>
      </w:rPr>
      <w:pict w14:anchorId="0E4EF2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922316" o:spid="_x0000_s1030" type="#_x0000_t136" alt="" style="position:absolute;margin-left:0;margin-top:0;width:520.25pt;height:57.8pt;rotation:315;z-index:-2516449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r>
      <w:rPr>
        <w:noProof/>
      </w:rPr>
      <w:pict w14:anchorId="57E9684C">
        <v:shape id="_x0000_s1029" type="#_x0000_t136" alt="" style="position:absolute;margin-left:0;margin-top:0;width:520.25pt;height:57.8pt;rotation:315;z-index:-25164697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59FFD5" w14:textId="18B01F1A" w:rsidR="007825CE" w:rsidRDefault="004508BD">
    <w:pPr>
      <w:pStyle w:val="Header"/>
    </w:pPr>
    <w:r>
      <w:rPr>
        <w:noProof/>
      </w:rPr>
      <w:pict w14:anchorId="26A6C0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922317" o:spid="_x0000_s1028" type="#_x0000_t136" alt="" style="position:absolute;margin-left:0;margin-top:0;width:520.25pt;height:57.8pt;rotation:315;z-index:-25164083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r>
      <w:rPr>
        <w:noProof/>
      </w:rPr>
      <w:pict w14:anchorId="038A583F">
        <v:shape id="_x0000_s1027" type="#_x0000_t136" alt="" style="position:absolute;margin-left:0;margin-top:0;width:520.25pt;height:57.8pt;rotation:315;z-index:-25164288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B6BFF8" w14:textId="67964086" w:rsidR="007825CE" w:rsidRPr="00296529" w:rsidRDefault="004508BD" w:rsidP="00296529">
    <w:pPr>
      <w:ind w:left="2160"/>
      <w:jc w:val="center"/>
      <w:rPr>
        <w:rFonts w:ascii="Times New Roman" w:eastAsia="Calibri" w:hAnsi="Times New Roman"/>
        <w:i/>
        <w:sz w:val="18"/>
        <w:szCs w:val="22"/>
      </w:rPr>
    </w:pPr>
    <w:r>
      <w:rPr>
        <w:noProof/>
      </w:rPr>
      <w:pict w14:anchorId="2D6483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922315" o:spid="_x0000_s1026" type="#_x0000_t136" alt="" style="position:absolute;left:0;text-align:left;margin-left:0;margin-top:0;width:520.25pt;height:57.8pt;rotation:315;z-index:-25164902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r>
      <w:rPr>
        <w:noProof/>
      </w:rPr>
      <w:pict w14:anchorId="027E1696">
        <v:shape id="_x0000_s1025" type="#_x0000_t136" alt="" style="position:absolute;left:0;text-align:left;margin-left:0;margin-top:0;width:520.25pt;height:57.8pt;rotation:315;z-index:-25165107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p w14:paraId="26EF73AC" w14:textId="77777777" w:rsidR="007825CE" w:rsidRPr="00296529" w:rsidRDefault="007825CE"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4B355A83" w14:textId="77777777" w:rsidR="007825CE" w:rsidRPr="00296529" w:rsidRDefault="007825CE"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8DE22F0" w14:textId="77777777" w:rsidR="007825CE" w:rsidRPr="00296529" w:rsidRDefault="007825CE"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5CEF38BD" w14:textId="77777777" w:rsidR="007825CE" w:rsidRDefault="007825CE"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6060858C" w14:textId="77777777" w:rsidR="007825CE" w:rsidRDefault="007825CE"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71F0325C" w14:textId="77777777" w:rsidR="007825CE" w:rsidRDefault="007825CE">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210850375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404688695">
    <w:abstractNumId w:val="15"/>
  </w:num>
  <w:num w:numId="3" w16cid:durableId="414130643">
    <w:abstractNumId w:val="23"/>
  </w:num>
  <w:num w:numId="4" w16cid:durableId="1538078813">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985090217">
    <w:abstractNumId w:val="7"/>
  </w:num>
  <w:num w:numId="6" w16cid:durableId="1566067020">
    <w:abstractNumId w:val="6"/>
  </w:num>
  <w:num w:numId="7" w16cid:durableId="1522695747">
    <w:abstractNumId w:val="1"/>
  </w:num>
  <w:num w:numId="8" w16cid:durableId="430394021">
    <w:abstractNumId w:val="12"/>
  </w:num>
  <w:num w:numId="9" w16cid:durableId="1006059838">
    <w:abstractNumId w:val="25"/>
  </w:num>
  <w:num w:numId="10" w16cid:durableId="1019237829">
    <w:abstractNumId w:val="2"/>
  </w:num>
  <w:num w:numId="11" w16cid:durableId="391732003">
    <w:abstractNumId w:val="18"/>
  </w:num>
  <w:num w:numId="12" w16cid:durableId="825904562">
    <w:abstractNumId w:val="3"/>
  </w:num>
  <w:num w:numId="13" w16cid:durableId="1349595718">
    <w:abstractNumId w:val="17"/>
  </w:num>
  <w:num w:numId="14" w16cid:durableId="1529755427">
    <w:abstractNumId w:val="8"/>
  </w:num>
  <w:num w:numId="15" w16cid:durableId="409086535">
    <w:abstractNumId w:val="21"/>
  </w:num>
  <w:num w:numId="16" w16cid:durableId="395781262">
    <w:abstractNumId w:val="5"/>
  </w:num>
  <w:num w:numId="17" w16cid:durableId="896477000">
    <w:abstractNumId w:val="22"/>
  </w:num>
  <w:num w:numId="18" w16cid:durableId="334261536">
    <w:abstractNumId w:val="14"/>
  </w:num>
  <w:num w:numId="19" w16cid:durableId="662974538">
    <w:abstractNumId w:val="28"/>
  </w:num>
  <w:num w:numId="20" w16cid:durableId="1098066470">
    <w:abstractNumId w:val="11"/>
  </w:num>
  <w:num w:numId="21" w16cid:durableId="1631007703">
    <w:abstractNumId w:val="9"/>
  </w:num>
  <w:num w:numId="22" w16cid:durableId="198667998">
    <w:abstractNumId w:val="13"/>
  </w:num>
  <w:num w:numId="23" w16cid:durableId="47337854">
    <w:abstractNumId w:val="19"/>
  </w:num>
  <w:num w:numId="24" w16cid:durableId="605815299">
    <w:abstractNumId w:val="26"/>
  </w:num>
  <w:num w:numId="25" w16cid:durableId="2015958589">
    <w:abstractNumId w:val="4"/>
  </w:num>
  <w:num w:numId="26" w16cid:durableId="1730417123">
    <w:abstractNumId w:val="16"/>
  </w:num>
  <w:num w:numId="27" w16cid:durableId="1603301196">
    <w:abstractNumId w:val="20"/>
  </w:num>
  <w:num w:numId="28" w16cid:durableId="756558927">
    <w:abstractNumId w:val="27"/>
  </w:num>
  <w:num w:numId="29" w16cid:durableId="229390566">
    <w:abstractNumId w:val="24"/>
  </w:num>
  <w:num w:numId="30" w16cid:durableId="32035145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Microsoft Office User">
    <w15:presenceInfo w15:providerId="None" w15:userId="Microsoft Office User"/>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activeWritingStyle w:appName="MSWord" w:lang="en-US" w:vendorID="64" w:dllVersion="4096" w:nlCheck="1" w:checkStyle="0"/>
  <w:activeWritingStyle w:appName="MSWord" w:lang="en-PH" w:vendorID="64" w:dllVersion="4096" w:nlCheck="1" w:checkStyle="0"/>
  <w:activeWritingStyle w:appName="MSWord" w:lang="en-GB"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13ABD"/>
    <w:rsid w:val="00030174"/>
    <w:rsid w:val="00030BDA"/>
    <w:rsid w:val="0004579C"/>
    <w:rsid w:val="00093BBC"/>
    <w:rsid w:val="000A47FA"/>
    <w:rsid w:val="000A65D3"/>
    <w:rsid w:val="000B1E33"/>
    <w:rsid w:val="000D57D6"/>
    <w:rsid w:val="000D689F"/>
    <w:rsid w:val="000E7B7B"/>
    <w:rsid w:val="000E7D62"/>
    <w:rsid w:val="00103357"/>
    <w:rsid w:val="00112BA9"/>
    <w:rsid w:val="00123C9F"/>
    <w:rsid w:val="00126190"/>
    <w:rsid w:val="00130F17"/>
    <w:rsid w:val="001320BF"/>
    <w:rsid w:val="001333B7"/>
    <w:rsid w:val="00163BC4"/>
    <w:rsid w:val="00191062"/>
    <w:rsid w:val="00192B72"/>
    <w:rsid w:val="001A29D8"/>
    <w:rsid w:val="001A5CAA"/>
    <w:rsid w:val="001B0427"/>
    <w:rsid w:val="001D3A51"/>
    <w:rsid w:val="001E10D2"/>
    <w:rsid w:val="001E25B4"/>
    <w:rsid w:val="001E44FE"/>
    <w:rsid w:val="00200595"/>
    <w:rsid w:val="00204835"/>
    <w:rsid w:val="00231920"/>
    <w:rsid w:val="0023195C"/>
    <w:rsid w:val="0024282C"/>
    <w:rsid w:val="002460DC"/>
    <w:rsid w:val="00250985"/>
    <w:rsid w:val="002556F6"/>
    <w:rsid w:val="00283105"/>
    <w:rsid w:val="00284C4C"/>
    <w:rsid w:val="00287E68"/>
    <w:rsid w:val="00296529"/>
    <w:rsid w:val="002B27FB"/>
    <w:rsid w:val="002B4F0F"/>
    <w:rsid w:val="002B685A"/>
    <w:rsid w:val="002C57D2"/>
    <w:rsid w:val="002E0D56"/>
    <w:rsid w:val="00315186"/>
    <w:rsid w:val="0033343E"/>
    <w:rsid w:val="003512C2"/>
    <w:rsid w:val="00371FB6"/>
    <w:rsid w:val="003763C1"/>
    <w:rsid w:val="00376BBE"/>
    <w:rsid w:val="0039224F"/>
    <w:rsid w:val="003A2738"/>
    <w:rsid w:val="003A43A4"/>
    <w:rsid w:val="003A7E18"/>
    <w:rsid w:val="003C4C86"/>
    <w:rsid w:val="003C6258"/>
    <w:rsid w:val="003D78BD"/>
    <w:rsid w:val="003E2904"/>
    <w:rsid w:val="004009B8"/>
    <w:rsid w:val="00401927"/>
    <w:rsid w:val="0041027F"/>
    <w:rsid w:val="00412475"/>
    <w:rsid w:val="00423789"/>
    <w:rsid w:val="00440F43"/>
    <w:rsid w:val="00441B6F"/>
    <w:rsid w:val="00446221"/>
    <w:rsid w:val="004508BD"/>
    <w:rsid w:val="00450E62"/>
    <w:rsid w:val="004539DB"/>
    <w:rsid w:val="00471A80"/>
    <w:rsid w:val="004D305E"/>
    <w:rsid w:val="004D4277"/>
    <w:rsid w:val="00502516"/>
    <w:rsid w:val="00505F06"/>
    <w:rsid w:val="00506828"/>
    <w:rsid w:val="0053056E"/>
    <w:rsid w:val="005341F0"/>
    <w:rsid w:val="005431CB"/>
    <w:rsid w:val="00554FDA"/>
    <w:rsid w:val="00594C1C"/>
    <w:rsid w:val="005C784C"/>
    <w:rsid w:val="005D17F6"/>
    <w:rsid w:val="005E5539"/>
    <w:rsid w:val="005F43F8"/>
    <w:rsid w:val="00602BF5"/>
    <w:rsid w:val="00617FDD"/>
    <w:rsid w:val="00633614"/>
    <w:rsid w:val="00633F68"/>
    <w:rsid w:val="00636EB2"/>
    <w:rsid w:val="006375B8"/>
    <w:rsid w:val="00640C35"/>
    <w:rsid w:val="0066510A"/>
    <w:rsid w:val="00665CF6"/>
    <w:rsid w:val="00673F9F"/>
    <w:rsid w:val="00686953"/>
    <w:rsid w:val="00687DEA"/>
    <w:rsid w:val="00687E67"/>
    <w:rsid w:val="006967F7"/>
    <w:rsid w:val="006A250C"/>
    <w:rsid w:val="006B21D3"/>
    <w:rsid w:val="006B57D0"/>
    <w:rsid w:val="006D30FF"/>
    <w:rsid w:val="006D6940"/>
    <w:rsid w:val="006F11EC"/>
    <w:rsid w:val="0070082C"/>
    <w:rsid w:val="007369E6"/>
    <w:rsid w:val="00745BD6"/>
    <w:rsid w:val="00746E59"/>
    <w:rsid w:val="007540C0"/>
    <w:rsid w:val="00754C9A"/>
    <w:rsid w:val="0075599A"/>
    <w:rsid w:val="00761D52"/>
    <w:rsid w:val="0077749E"/>
    <w:rsid w:val="007825CE"/>
    <w:rsid w:val="00790ADA"/>
    <w:rsid w:val="007B3ADC"/>
    <w:rsid w:val="007D2288"/>
    <w:rsid w:val="007E088F"/>
    <w:rsid w:val="007F017E"/>
    <w:rsid w:val="007F7B32"/>
    <w:rsid w:val="008037DD"/>
    <w:rsid w:val="00804BC2"/>
    <w:rsid w:val="0081431A"/>
    <w:rsid w:val="0083216F"/>
    <w:rsid w:val="00860000"/>
    <w:rsid w:val="00863BD3"/>
    <w:rsid w:val="008641ED"/>
    <w:rsid w:val="00866D66"/>
    <w:rsid w:val="008671C6"/>
    <w:rsid w:val="00875803"/>
    <w:rsid w:val="008B44F3"/>
    <w:rsid w:val="008B459E"/>
    <w:rsid w:val="008B591F"/>
    <w:rsid w:val="008C2383"/>
    <w:rsid w:val="008E13AE"/>
    <w:rsid w:val="008E1506"/>
    <w:rsid w:val="008E710C"/>
    <w:rsid w:val="008F69D6"/>
    <w:rsid w:val="00902823"/>
    <w:rsid w:val="00915CA6"/>
    <w:rsid w:val="00927834"/>
    <w:rsid w:val="009500A6"/>
    <w:rsid w:val="00955827"/>
    <w:rsid w:val="00957C18"/>
    <w:rsid w:val="009659BA"/>
    <w:rsid w:val="00981492"/>
    <w:rsid w:val="00983040"/>
    <w:rsid w:val="009A721A"/>
    <w:rsid w:val="009B17DF"/>
    <w:rsid w:val="009B3FB9"/>
    <w:rsid w:val="009C2465"/>
    <w:rsid w:val="009D35A0"/>
    <w:rsid w:val="009D7EB7"/>
    <w:rsid w:val="009E048A"/>
    <w:rsid w:val="009E08E9"/>
    <w:rsid w:val="009E3DB9"/>
    <w:rsid w:val="009E6E35"/>
    <w:rsid w:val="009F0EDA"/>
    <w:rsid w:val="009F7C33"/>
    <w:rsid w:val="00A03B96"/>
    <w:rsid w:val="00A05B19"/>
    <w:rsid w:val="00A1134E"/>
    <w:rsid w:val="00A24E7E"/>
    <w:rsid w:val="00A258C3"/>
    <w:rsid w:val="00A347C0"/>
    <w:rsid w:val="00A4488A"/>
    <w:rsid w:val="00A51431"/>
    <w:rsid w:val="00A539AD"/>
    <w:rsid w:val="00A94063"/>
    <w:rsid w:val="00AA6219"/>
    <w:rsid w:val="00AA74E0"/>
    <w:rsid w:val="00AB703F"/>
    <w:rsid w:val="00AC6BB8"/>
    <w:rsid w:val="00AE008F"/>
    <w:rsid w:val="00B01FCD"/>
    <w:rsid w:val="00B1776C"/>
    <w:rsid w:val="00B45C2E"/>
    <w:rsid w:val="00B52583"/>
    <w:rsid w:val="00B52896"/>
    <w:rsid w:val="00B95236"/>
    <w:rsid w:val="00B96BD9"/>
    <w:rsid w:val="00BA1B01"/>
    <w:rsid w:val="00BA2641"/>
    <w:rsid w:val="00BB37AA"/>
    <w:rsid w:val="00BC53A0"/>
    <w:rsid w:val="00BE62AD"/>
    <w:rsid w:val="00BF121F"/>
    <w:rsid w:val="00BF1F80"/>
    <w:rsid w:val="00C166EF"/>
    <w:rsid w:val="00C17EB0"/>
    <w:rsid w:val="00C27F5F"/>
    <w:rsid w:val="00C30A0F"/>
    <w:rsid w:val="00C37E61"/>
    <w:rsid w:val="00C70F1B"/>
    <w:rsid w:val="00C71A47"/>
    <w:rsid w:val="00C7464C"/>
    <w:rsid w:val="00C85588"/>
    <w:rsid w:val="00C873FD"/>
    <w:rsid w:val="00C95387"/>
    <w:rsid w:val="00CA6BA8"/>
    <w:rsid w:val="00CD6755"/>
    <w:rsid w:val="00CD6856"/>
    <w:rsid w:val="00CE0089"/>
    <w:rsid w:val="00CE793C"/>
    <w:rsid w:val="00CF193C"/>
    <w:rsid w:val="00D005B0"/>
    <w:rsid w:val="00D071C1"/>
    <w:rsid w:val="00D173F1"/>
    <w:rsid w:val="00D74CB0"/>
    <w:rsid w:val="00D8295D"/>
    <w:rsid w:val="00D9304E"/>
    <w:rsid w:val="00DA69E4"/>
    <w:rsid w:val="00DC2A65"/>
    <w:rsid w:val="00DE15F0"/>
    <w:rsid w:val="00DE5663"/>
    <w:rsid w:val="00DE78AA"/>
    <w:rsid w:val="00DF338B"/>
    <w:rsid w:val="00E053D0"/>
    <w:rsid w:val="00E15994"/>
    <w:rsid w:val="00E3114E"/>
    <w:rsid w:val="00E31A70"/>
    <w:rsid w:val="00E35B02"/>
    <w:rsid w:val="00E66496"/>
    <w:rsid w:val="00E66B35"/>
    <w:rsid w:val="00E66E10"/>
    <w:rsid w:val="00E6767A"/>
    <w:rsid w:val="00E769F6"/>
    <w:rsid w:val="00E8407C"/>
    <w:rsid w:val="00E84F3C"/>
    <w:rsid w:val="00EA012C"/>
    <w:rsid w:val="00EC6A55"/>
    <w:rsid w:val="00ED0288"/>
    <w:rsid w:val="00EE52CB"/>
    <w:rsid w:val="00EF581D"/>
    <w:rsid w:val="00EF7FD8"/>
    <w:rsid w:val="00F06F59"/>
    <w:rsid w:val="00F17988"/>
    <w:rsid w:val="00F469F0"/>
    <w:rsid w:val="00F53273"/>
    <w:rsid w:val="00F755E4"/>
    <w:rsid w:val="00F77D02"/>
    <w:rsid w:val="00FB3A86"/>
    <w:rsid w:val="00FD36C8"/>
    <w:rsid w:val="00FF5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4F8FD"/>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594C1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Heading3Char">
    <w:name w:val="Heading 3 Char"/>
    <w:basedOn w:val="DefaultParagraphFont"/>
    <w:link w:val="Heading3"/>
    <w:semiHidden/>
    <w:rsid w:val="00594C1C"/>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594C1C"/>
    <w:rPr>
      <w:rFonts w:asciiTheme="minorHAnsi" w:eastAsiaTheme="minorHAnsi" w:hAnsiTheme="minorHAnsi" w:cstheme="minorBidi"/>
      <w:sz w:val="22"/>
      <w:szCs w:val="22"/>
    </w:rPr>
  </w:style>
  <w:style w:type="character" w:styleId="Strong">
    <w:name w:val="Strong"/>
    <w:basedOn w:val="DefaultParagraphFont"/>
    <w:uiPriority w:val="22"/>
    <w:qFormat/>
    <w:rsid w:val="00C95387"/>
    <w:rPr>
      <w:b/>
      <w:bCs/>
    </w:rPr>
  </w:style>
  <w:style w:type="paragraph" w:styleId="CommentSubject">
    <w:name w:val="annotation subject"/>
    <w:basedOn w:val="CommentText"/>
    <w:next w:val="CommentText"/>
    <w:link w:val="CommentSubjectChar"/>
    <w:semiHidden/>
    <w:unhideWhenUsed/>
    <w:rsid w:val="00CA6BA8"/>
    <w:rPr>
      <w:rFonts w:ascii="Helvetica" w:hAnsi="Helvetica"/>
      <w:b/>
      <w:bCs/>
      <w:lang w:val="en-US" w:eastAsia="en-US"/>
    </w:rPr>
  </w:style>
  <w:style w:type="character" w:customStyle="1" w:styleId="CommentSubjectChar">
    <w:name w:val="Comment Subject Char"/>
    <w:basedOn w:val="CommentTextChar"/>
    <w:link w:val="CommentSubject"/>
    <w:semiHidden/>
    <w:rsid w:val="00CA6BA8"/>
    <w:rPr>
      <w:rFonts w:ascii="Helvetica" w:hAnsi="Helvetica"/>
      <w:b/>
      <w:bCs/>
      <w:lang w:val="nb-NO" w:eastAsia="nb-NO"/>
    </w:rPr>
  </w:style>
  <w:style w:type="paragraph" w:styleId="Revision">
    <w:name w:val="Revision"/>
    <w:hidden/>
    <w:uiPriority w:val="99"/>
    <w:semiHidden/>
    <w:rsid w:val="00CA6BA8"/>
    <w:rPr>
      <w:rFonts w:ascii="Helvetica" w:hAnsi="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03233136">
      <w:bodyDiv w:val="1"/>
      <w:marLeft w:val="0"/>
      <w:marRight w:val="0"/>
      <w:marTop w:val="0"/>
      <w:marBottom w:val="0"/>
      <w:divBdr>
        <w:top w:val="none" w:sz="0" w:space="0" w:color="auto"/>
        <w:left w:val="none" w:sz="0" w:space="0" w:color="auto"/>
        <w:bottom w:val="none" w:sz="0" w:space="0" w:color="auto"/>
        <w:right w:val="none" w:sz="0" w:space="0" w:color="auto"/>
      </w:divBdr>
    </w:div>
    <w:div w:id="151070163">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66155912">
      <w:bodyDiv w:val="1"/>
      <w:marLeft w:val="0"/>
      <w:marRight w:val="0"/>
      <w:marTop w:val="0"/>
      <w:marBottom w:val="0"/>
      <w:divBdr>
        <w:top w:val="none" w:sz="0" w:space="0" w:color="auto"/>
        <w:left w:val="none" w:sz="0" w:space="0" w:color="auto"/>
        <w:bottom w:val="none" w:sz="0" w:space="0" w:color="auto"/>
        <w:right w:val="none" w:sz="0" w:space="0" w:color="auto"/>
      </w:divBdr>
    </w:div>
    <w:div w:id="480539071">
      <w:bodyDiv w:val="1"/>
      <w:marLeft w:val="0"/>
      <w:marRight w:val="0"/>
      <w:marTop w:val="0"/>
      <w:marBottom w:val="0"/>
      <w:divBdr>
        <w:top w:val="none" w:sz="0" w:space="0" w:color="auto"/>
        <w:left w:val="none" w:sz="0" w:space="0" w:color="auto"/>
        <w:bottom w:val="none" w:sz="0" w:space="0" w:color="auto"/>
        <w:right w:val="none" w:sz="0" w:space="0" w:color="auto"/>
      </w:divBdr>
    </w:div>
    <w:div w:id="492064937">
      <w:bodyDiv w:val="1"/>
      <w:marLeft w:val="0"/>
      <w:marRight w:val="0"/>
      <w:marTop w:val="0"/>
      <w:marBottom w:val="0"/>
      <w:divBdr>
        <w:top w:val="none" w:sz="0" w:space="0" w:color="auto"/>
        <w:left w:val="none" w:sz="0" w:space="0" w:color="auto"/>
        <w:bottom w:val="none" w:sz="0" w:space="0" w:color="auto"/>
        <w:right w:val="none" w:sz="0" w:space="0" w:color="auto"/>
      </w:divBdr>
    </w:div>
    <w:div w:id="562447513">
      <w:bodyDiv w:val="1"/>
      <w:marLeft w:val="0"/>
      <w:marRight w:val="0"/>
      <w:marTop w:val="0"/>
      <w:marBottom w:val="0"/>
      <w:divBdr>
        <w:top w:val="none" w:sz="0" w:space="0" w:color="auto"/>
        <w:left w:val="none" w:sz="0" w:space="0" w:color="auto"/>
        <w:bottom w:val="none" w:sz="0" w:space="0" w:color="auto"/>
        <w:right w:val="none" w:sz="0" w:space="0" w:color="auto"/>
      </w:divBdr>
    </w:div>
    <w:div w:id="631986506">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51072231">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074935744">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70558222">
      <w:bodyDiv w:val="1"/>
      <w:marLeft w:val="0"/>
      <w:marRight w:val="0"/>
      <w:marTop w:val="0"/>
      <w:marBottom w:val="0"/>
      <w:divBdr>
        <w:top w:val="none" w:sz="0" w:space="0" w:color="auto"/>
        <w:left w:val="none" w:sz="0" w:space="0" w:color="auto"/>
        <w:bottom w:val="none" w:sz="0" w:space="0" w:color="auto"/>
        <w:right w:val="none" w:sz="0" w:space="0" w:color="auto"/>
      </w:divBdr>
    </w:div>
    <w:div w:id="1411004220">
      <w:bodyDiv w:val="1"/>
      <w:marLeft w:val="0"/>
      <w:marRight w:val="0"/>
      <w:marTop w:val="0"/>
      <w:marBottom w:val="0"/>
      <w:divBdr>
        <w:top w:val="none" w:sz="0" w:space="0" w:color="auto"/>
        <w:left w:val="none" w:sz="0" w:space="0" w:color="auto"/>
        <w:bottom w:val="none" w:sz="0" w:space="0" w:color="auto"/>
        <w:right w:val="none" w:sz="0" w:space="0" w:color="auto"/>
      </w:divBdr>
    </w:div>
    <w:div w:id="1717194766">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812088682">
      <w:bodyDiv w:val="1"/>
      <w:marLeft w:val="0"/>
      <w:marRight w:val="0"/>
      <w:marTop w:val="0"/>
      <w:marBottom w:val="0"/>
      <w:divBdr>
        <w:top w:val="none" w:sz="0" w:space="0" w:color="auto"/>
        <w:left w:val="none" w:sz="0" w:space="0" w:color="auto"/>
        <w:bottom w:val="none" w:sz="0" w:space="0" w:color="auto"/>
        <w:right w:val="none" w:sz="0" w:space="0" w:color="auto"/>
      </w:divBdr>
    </w:div>
    <w:div w:id="1948927783">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1.jpeg"/><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5" Type="http://schemas.openxmlformats.org/officeDocument/2006/relationships/image" Target="media/image8.jpeg"/><Relationship Id="rId33" Type="http://schemas.microsoft.com/office/2011/relationships/people" Target="people.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image" Target="media/image3.jpe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jpeg"/><Relationship Id="rId32" Type="http://schemas.openxmlformats.org/officeDocument/2006/relationships/fontTable" Target="fontTable.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image" Target="media/image6.jpeg"/><Relationship Id="rId28"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2.jpeg"/><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footer" Target="footer4.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Settings\logan\Local Settings\Temporary Internet Files\OLK35\2007 paper template.dot</Template>
  <TotalTime>48</TotalTime>
  <Pages>23</Pages>
  <Words>10770</Words>
  <Characters>61392</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72018</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Microsoft Office User</cp:lastModifiedBy>
  <cp:revision>13</cp:revision>
  <cp:lastPrinted>1999-07-06T11:00:00Z</cp:lastPrinted>
  <dcterms:created xsi:type="dcterms:W3CDTF">2026-07-24T04:58:00Z</dcterms:created>
  <dcterms:modified xsi:type="dcterms:W3CDTF">2026-07-26T22:16:00Z</dcterms:modified>
</cp:coreProperties>
</file>