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D7A1" w14:textId="039A640F" w:rsidR="00600AEE" w:rsidRPr="00600AEE" w:rsidRDefault="00600AEE" w:rsidP="00600AEE">
      <w:pPr>
        <w:spacing w:line="360" w:lineRule="auto"/>
        <w:rPr>
          <w:rFonts w:ascii="Times New Roman" w:hAnsi="Times New Roman" w:cs="Times New Roman"/>
          <w:b/>
          <w:bCs/>
          <w:color w:val="000000" w:themeColor="text1"/>
          <w:sz w:val="28"/>
          <w:szCs w:val="24"/>
          <w:u w:val="single"/>
        </w:rPr>
      </w:pPr>
      <w:r w:rsidRPr="00600AEE">
        <w:rPr>
          <w:rFonts w:ascii="Times New Roman" w:hAnsi="Times New Roman" w:cs="Times New Roman"/>
          <w:b/>
          <w:bCs/>
          <w:color w:val="000000" w:themeColor="text1"/>
          <w:sz w:val="28"/>
          <w:szCs w:val="24"/>
          <w:u w:val="single"/>
        </w:rPr>
        <w:t>Original Research Article</w:t>
      </w:r>
    </w:p>
    <w:p w14:paraId="7FD256F4" w14:textId="2BA3AD87" w:rsidR="00403E8A" w:rsidRPr="004221A9" w:rsidRDefault="00403E8A" w:rsidP="00A756BD">
      <w:pPr>
        <w:spacing w:line="360" w:lineRule="auto"/>
        <w:jc w:val="center"/>
        <w:rPr>
          <w:rFonts w:ascii="Times New Roman" w:hAnsi="Times New Roman" w:cs="Times New Roman"/>
          <w:b/>
          <w:bCs/>
          <w:color w:val="000000" w:themeColor="text1"/>
          <w:sz w:val="28"/>
          <w:szCs w:val="24"/>
        </w:rPr>
      </w:pPr>
      <w:r w:rsidRPr="004221A9">
        <w:rPr>
          <w:rFonts w:ascii="Times New Roman" w:hAnsi="Times New Roman" w:cs="Times New Roman"/>
          <w:b/>
          <w:bCs/>
          <w:color w:val="000000" w:themeColor="text1"/>
          <w:sz w:val="28"/>
          <w:szCs w:val="24"/>
        </w:rPr>
        <w:t xml:space="preserve">Phytochemical Investigation and Assessment of the CNS Stimulant Potential of the Ethanolic Extract of </w:t>
      </w:r>
      <w:r w:rsidRPr="004221A9">
        <w:rPr>
          <w:rStyle w:val="Accentuation"/>
          <w:rFonts w:ascii="Times New Roman" w:hAnsi="Times New Roman" w:cs="Times New Roman"/>
          <w:b/>
          <w:bCs/>
          <w:color w:val="000000" w:themeColor="text1"/>
          <w:sz w:val="28"/>
          <w:szCs w:val="24"/>
        </w:rPr>
        <w:t>Cassia auriculata</w:t>
      </w:r>
      <w:r w:rsidRPr="004221A9">
        <w:rPr>
          <w:rFonts w:ascii="Times New Roman" w:hAnsi="Times New Roman" w:cs="Times New Roman"/>
          <w:b/>
          <w:bCs/>
          <w:color w:val="000000" w:themeColor="text1"/>
          <w:sz w:val="28"/>
          <w:szCs w:val="24"/>
        </w:rPr>
        <w:t xml:space="preserve"> Flowers in Swiss Albino Mice</w:t>
      </w:r>
    </w:p>
    <w:p w14:paraId="26CE908A" w14:textId="77777777" w:rsidR="000A2D0D" w:rsidRPr="004221A9" w:rsidRDefault="000A2D0D" w:rsidP="00A756BD">
      <w:pPr>
        <w:spacing w:after="0" w:line="240" w:lineRule="auto"/>
        <w:rPr>
          <w:rFonts w:ascii="Times New Roman" w:hAnsi="Times New Roman" w:cs="Times New Roman"/>
          <w:bCs/>
          <w:i/>
          <w:iCs/>
          <w:sz w:val="24"/>
          <w:szCs w:val="24"/>
        </w:rPr>
      </w:pPr>
    </w:p>
    <w:p w14:paraId="5D8BBA39" w14:textId="77777777" w:rsidR="000A2D0D" w:rsidRPr="004221A9" w:rsidRDefault="000A2D0D" w:rsidP="00A756BD">
      <w:pPr>
        <w:spacing w:after="0" w:line="240" w:lineRule="auto"/>
        <w:rPr>
          <w:rFonts w:ascii="Times New Roman" w:hAnsi="Times New Roman" w:cs="Times New Roman"/>
          <w:b/>
          <w:sz w:val="24"/>
          <w:szCs w:val="24"/>
        </w:rPr>
      </w:pPr>
    </w:p>
    <w:p w14:paraId="5A8324BE" w14:textId="77777777" w:rsidR="00DF7E21" w:rsidRPr="004221A9" w:rsidRDefault="00DF7E21" w:rsidP="00A756BD">
      <w:pPr>
        <w:pStyle w:val="Titre2"/>
        <w:spacing w:before="0" w:beforeAutospacing="0" w:after="160" w:afterAutospacing="0"/>
        <w:jc w:val="both"/>
      </w:pPr>
      <w:r w:rsidRPr="004221A9">
        <w:rPr>
          <w:sz w:val="24"/>
          <w:szCs w:val="24"/>
        </w:rPr>
        <w:t>Abstract</w:t>
      </w:r>
    </w:p>
    <w:p w14:paraId="74258116" w14:textId="77777777" w:rsidR="00DF7E21" w:rsidRPr="004221A9" w:rsidRDefault="00DF7E21" w:rsidP="00A756BD">
      <w:pPr>
        <w:pStyle w:val="NormalWeb"/>
        <w:spacing w:before="0" w:beforeAutospacing="0" w:after="160" w:afterAutospacing="0"/>
        <w:jc w:val="both"/>
      </w:pPr>
      <w:r w:rsidRPr="004221A9">
        <w:rPr>
          <w:rStyle w:val="lev"/>
          <w:rFonts w:eastAsiaTheme="majorEastAsia"/>
        </w:rPr>
        <w:t>Background:</w:t>
      </w:r>
      <w:r w:rsidRPr="004221A9">
        <w:t xml:space="preserve"> </w:t>
      </w:r>
      <w:r w:rsidRPr="004221A9">
        <w:rPr>
          <w:rStyle w:val="Accentuation"/>
        </w:rPr>
        <w:t>Cassia auriculata</w:t>
      </w:r>
      <w:r w:rsidRPr="004221A9">
        <w:t xml:space="preserve"> L. is a medicinal plant traditionally used for the treatment of various ailments and is known to contain diverse bioactive phytoconstituents. However, its central nervous system (CNS) stimulant potential has received limited scientific attention.</w:t>
      </w:r>
    </w:p>
    <w:p w14:paraId="5DD610B1" w14:textId="5329A40D" w:rsidR="00DF7E21" w:rsidRPr="004221A9" w:rsidRDefault="00DF7E21" w:rsidP="00A756BD">
      <w:pPr>
        <w:pStyle w:val="NormalWeb"/>
        <w:spacing w:before="0" w:beforeAutospacing="0" w:after="160" w:afterAutospacing="0"/>
        <w:jc w:val="both"/>
      </w:pPr>
      <w:r w:rsidRPr="004221A9">
        <w:rPr>
          <w:rStyle w:val="lev"/>
          <w:rFonts w:eastAsiaTheme="majorEastAsia"/>
        </w:rPr>
        <w:t>Objective:</w:t>
      </w:r>
      <w:r w:rsidRPr="004221A9">
        <w:t xml:space="preserve"> The present study aimed to investigate the phytochemical constituents and </w:t>
      </w:r>
      <w:r w:rsidR="00E57604" w:rsidRPr="00E57604">
        <w:rPr>
          <w:color w:val="00B0F0"/>
        </w:rPr>
        <w:t xml:space="preserve">to </w:t>
      </w:r>
      <w:r w:rsidRPr="004221A9">
        <w:t>evaluate the CNS</w:t>
      </w:r>
      <w:r w:rsidR="00E57604">
        <w:t>-</w:t>
      </w:r>
      <w:r w:rsidRPr="004221A9">
        <w:t xml:space="preserve">stimulant activity of the ethanolic extract of </w:t>
      </w:r>
      <w:r w:rsidRPr="004221A9">
        <w:rPr>
          <w:rStyle w:val="Accentuation"/>
        </w:rPr>
        <w:t>Cassia auriculata</w:t>
      </w:r>
      <w:r w:rsidRPr="004221A9">
        <w:t xml:space="preserve"> flowers in Swiss albino mice.</w:t>
      </w:r>
    </w:p>
    <w:p w14:paraId="784B3F1F" w14:textId="77777777" w:rsidR="00DF7E21" w:rsidRPr="004221A9" w:rsidRDefault="00DF7E21" w:rsidP="00A756BD">
      <w:pPr>
        <w:pStyle w:val="NormalWeb"/>
        <w:spacing w:before="0" w:beforeAutospacing="0" w:after="160" w:afterAutospacing="0"/>
        <w:jc w:val="both"/>
      </w:pPr>
      <w:r w:rsidRPr="004221A9">
        <w:rPr>
          <w:rStyle w:val="lev"/>
          <w:rFonts w:eastAsiaTheme="majorEastAsia"/>
        </w:rPr>
        <w:t>Methods:</w:t>
      </w:r>
      <w:r w:rsidRPr="004221A9">
        <w:t xml:space="preserve"> Dried flowers were extracted using ethanol in a Soxhlet apparatus and subjected to preliminary phytochemical screening. Acute oral toxicity was evaluated according to OECD Guideline 423. CNS stimulant activity was assessed using the digital </w:t>
      </w:r>
      <w:proofErr w:type="spellStart"/>
      <w:r w:rsidRPr="004221A9">
        <w:t>actophotometer</w:t>
      </w:r>
      <w:proofErr w:type="spellEnd"/>
      <w:r w:rsidRPr="004221A9">
        <w:t>, Rotarod, and open field tests. Mice were divided into four groups (n = 6): vehicle control, caffeine (20 mg/kg), and ethanolic extract-treated groups (200 and 400 mg/kg). Data were analyzed using one-way ANOVA followed by Tukey's multiple comparison test.</w:t>
      </w:r>
    </w:p>
    <w:p w14:paraId="79C18CE2" w14:textId="5E9C95F9" w:rsidR="00DF7E21" w:rsidRPr="004221A9" w:rsidRDefault="00DF7E21" w:rsidP="00A756BD">
      <w:pPr>
        <w:pStyle w:val="NormalWeb"/>
        <w:spacing w:before="0" w:beforeAutospacing="0" w:after="160" w:afterAutospacing="0"/>
        <w:jc w:val="both"/>
      </w:pPr>
      <w:r w:rsidRPr="004221A9">
        <w:rPr>
          <w:rStyle w:val="lev"/>
          <w:rFonts w:eastAsiaTheme="majorEastAsia"/>
        </w:rPr>
        <w:t>Results:</w:t>
      </w:r>
      <w:r w:rsidRPr="004221A9">
        <w:t xml:space="preserve"> The extract yielded 5.14% (w/w) and contained alkaloids, flavonoids, phenolic compounds, glycosides, tannins, terpenoids, saponins, proteins, amino acids, and carbohydrates. No mortality or treatment-related toxicity was observed at 2000 mg/kg. The extract significantly increased spontaneous locomotor activity, prolonged </w:t>
      </w:r>
      <w:r w:rsidR="00FA1D6A" w:rsidRPr="00FA1D6A">
        <w:rPr>
          <w:highlight w:val="yellow"/>
        </w:rPr>
        <w:t>R</w:t>
      </w:r>
      <w:r w:rsidRPr="00AE3A26">
        <w:t>otarod</w:t>
      </w:r>
      <w:r w:rsidRPr="004221A9">
        <w:t xml:space="preserve"> retention time, enhanced line crossings and rearing </w:t>
      </w:r>
      <w:proofErr w:type="spellStart"/>
      <w:r w:rsidRPr="004221A9">
        <w:t>behaviour</w:t>
      </w:r>
      <w:proofErr w:type="spellEnd"/>
      <w:r w:rsidRPr="004221A9">
        <w:t>, and reduced immobility time in a dose-dependent manner (</w:t>
      </w:r>
      <w:r w:rsidRPr="00FA1D6A">
        <w:rPr>
          <w:rStyle w:val="Accentuation"/>
          <w:highlight w:val="yellow"/>
        </w:rPr>
        <w:t>P</w:t>
      </w:r>
      <w:r w:rsidRPr="004221A9">
        <w:t xml:space="preserve"> &lt; 0.05–0.001). The 400 mg/kg dose produced effects comparable to those of caffeine.</w:t>
      </w:r>
    </w:p>
    <w:p w14:paraId="1146A76D" w14:textId="77777777" w:rsidR="00DF7E21" w:rsidRPr="004221A9" w:rsidRDefault="00DF7E21" w:rsidP="00A756BD">
      <w:pPr>
        <w:pStyle w:val="NormalWeb"/>
        <w:spacing w:before="0" w:beforeAutospacing="0" w:after="160" w:afterAutospacing="0"/>
        <w:jc w:val="both"/>
      </w:pPr>
      <w:r w:rsidRPr="004221A9">
        <w:rPr>
          <w:rStyle w:val="lev"/>
          <w:rFonts w:eastAsiaTheme="majorEastAsia"/>
        </w:rPr>
        <w:t>Conclusion:</w:t>
      </w:r>
      <w:r w:rsidRPr="004221A9">
        <w:t xml:space="preserve"> The ethanolic extract of </w:t>
      </w:r>
      <w:r w:rsidRPr="004221A9">
        <w:rPr>
          <w:rStyle w:val="Accentuation"/>
        </w:rPr>
        <w:t>Cassia auriculata</w:t>
      </w:r>
      <w:r w:rsidRPr="004221A9">
        <w:t xml:space="preserve"> flowers exhibited significant CNS stimulant activity with a </w:t>
      </w:r>
      <w:proofErr w:type="spellStart"/>
      <w:r w:rsidRPr="004221A9">
        <w:t>favourable</w:t>
      </w:r>
      <w:proofErr w:type="spellEnd"/>
      <w:r w:rsidRPr="004221A9">
        <w:t xml:space="preserve"> acute safety profile. These findings suggest that the plant is a promising source of naturally occurring neuroactive compounds and warrants further phytochemical isolation and mechanistic investigations.</w:t>
      </w:r>
    </w:p>
    <w:p w14:paraId="5E91B4AC" w14:textId="059F4623" w:rsidR="00DF7E21" w:rsidRPr="004221A9" w:rsidRDefault="00DF7E21" w:rsidP="00A756BD">
      <w:pPr>
        <w:pStyle w:val="NormalWeb"/>
        <w:spacing w:before="0" w:beforeAutospacing="0" w:after="160" w:afterAutospacing="0"/>
        <w:jc w:val="both"/>
      </w:pPr>
      <w:r w:rsidRPr="004221A9">
        <w:rPr>
          <w:rStyle w:val="lev"/>
          <w:rFonts w:eastAsiaTheme="majorEastAsia"/>
        </w:rPr>
        <w:t>Keywords:</w:t>
      </w:r>
      <w:r w:rsidRPr="004221A9">
        <w:t xml:space="preserve"> </w:t>
      </w:r>
      <w:r w:rsidRPr="004221A9">
        <w:rPr>
          <w:rStyle w:val="Accentuation"/>
        </w:rPr>
        <w:t>Cassia auriculata</w:t>
      </w:r>
      <w:r w:rsidR="00423DE9" w:rsidRPr="004221A9">
        <w:t>,</w:t>
      </w:r>
      <w:r w:rsidRPr="004221A9">
        <w:t xml:space="preserve"> central nervous system stimulant</w:t>
      </w:r>
      <w:r w:rsidR="00423DE9" w:rsidRPr="004221A9">
        <w:t>,</w:t>
      </w:r>
      <w:r w:rsidRPr="004221A9">
        <w:t xml:space="preserve"> phytochemical screening</w:t>
      </w:r>
      <w:r w:rsidR="00423DE9" w:rsidRPr="004221A9">
        <w:t>,</w:t>
      </w:r>
      <w:r w:rsidRPr="004221A9">
        <w:t xml:space="preserve"> locomotor activity</w:t>
      </w:r>
      <w:r w:rsidR="00423DE9" w:rsidRPr="004221A9">
        <w:t>,</w:t>
      </w:r>
      <w:r w:rsidRPr="004221A9">
        <w:t xml:space="preserve"> </w:t>
      </w:r>
      <w:r w:rsidRPr="00FA1D6A">
        <w:rPr>
          <w:highlight w:val="yellow"/>
        </w:rPr>
        <w:t>R</w:t>
      </w:r>
      <w:r w:rsidRPr="004221A9">
        <w:t>otarod test</w:t>
      </w:r>
      <w:r w:rsidR="00423DE9" w:rsidRPr="004221A9">
        <w:t>,</w:t>
      </w:r>
      <w:r w:rsidRPr="004221A9">
        <w:t xml:space="preserve"> open field test</w:t>
      </w:r>
      <w:r w:rsidR="00423DE9" w:rsidRPr="004221A9">
        <w:t>.</w:t>
      </w:r>
    </w:p>
    <w:p w14:paraId="252CCDA6" w14:textId="77777777" w:rsidR="00403E8A" w:rsidRPr="004221A9" w:rsidRDefault="00403E8A" w:rsidP="00A756BD">
      <w:pPr>
        <w:pStyle w:val="Titre2"/>
        <w:spacing w:before="0" w:beforeAutospacing="0" w:after="160" w:afterAutospacing="0"/>
        <w:jc w:val="both"/>
        <w:rPr>
          <w:color w:val="000000" w:themeColor="text1"/>
          <w:sz w:val="24"/>
          <w:szCs w:val="24"/>
        </w:rPr>
      </w:pPr>
      <w:r w:rsidRPr="004221A9">
        <w:rPr>
          <w:color w:val="000000" w:themeColor="text1"/>
          <w:sz w:val="24"/>
          <w:szCs w:val="24"/>
        </w:rPr>
        <w:t>1. Introduction</w:t>
      </w:r>
    </w:p>
    <w:p w14:paraId="42DA2582" w14:textId="77777777"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The central nervous system (CNS) integrates sensory inputs and coordinates motor, cognitive, </w:t>
      </w:r>
      <w:proofErr w:type="spellStart"/>
      <w:r w:rsidRPr="004221A9">
        <w:rPr>
          <w:color w:val="000000" w:themeColor="text1"/>
        </w:rPr>
        <w:t>behavioural</w:t>
      </w:r>
      <w:proofErr w:type="spellEnd"/>
      <w:r w:rsidRPr="004221A9">
        <w:rPr>
          <w:color w:val="000000" w:themeColor="text1"/>
        </w:rPr>
        <w:t xml:space="preserve">, and autonomic functions essential for maintaining physiological homeostasis. Neuronal communication within the CNS is mediated by neurotransmitters including dopamine, norepinephrine, serotonin, glutamate, acetylcholine, and γ-aminobutyric acid (GABA), which collectively regulate alertness, movement, learning, memory, and emotional responses. Alterations in these </w:t>
      </w:r>
      <w:proofErr w:type="spellStart"/>
      <w:r w:rsidRPr="00F8257F">
        <w:rPr>
          <w:color w:val="000000" w:themeColor="text1"/>
          <w:highlight w:val="yellow"/>
        </w:rPr>
        <w:t>signalling</w:t>
      </w:r>
      <w:proofErr w:type="spellEnd"/>
      <w:r w:rsidRPr="004221A9">
        <w:rPr>
          <w:color w:val="000000" w:themeColor="text1"/>
        </w:rPr>
        <w:t xml:space="preserve"> pathways contribute to several neurological and psychiatric disorders, making </w:t>
      </w:r>
      <w:r w:rsidRPr="004221A9">
        <w:rPr>
          <w:color w:val="000000" w:themeColor="text1"/>
        </w:rPr>
        <w:lastRenderedPageBreak/>
        <w:t xml:space="preserve">the CNS an important target for therapeutic intervention (Bigbee, 2023; </w:t>
      </w:r>
      <w:proofErr w:type="spellStart"/>
      <w:r w:rsidRPr="004221A9">
        <w:rPr>
          <w:color w:val="000000" w:themeColor="text1"/>
        </w:rPr>
        <w:t>Guidolin</w:t>
      </w:r>
      <w:proofErr w:type="spellEnd"/>
      <w:r w:rsidRPr="004221A9">
        <w:rPr>
          <w:color w:val="000000" w:themeColor="text1"/>
        </w:rPr>
        <w:t xml:space="preserve"> </w:t>
      </w:r>
      <w:r w:rsidRPr="004221A9">
        <w:rPr>
          <w:rStyle w:val="Accentuation"/>
          <w:rFonts w:eastAsiaTheme="majorEastAsia"/>
          <w:color w:val="000000" w:themeColor="text1"/>
        </w:rPr>
        <w:t>et al</w:t>
      </w:r>
      <w:r w:rsidRPr="004221A9">
        <w:rPr>
          <w:color w:val="000000" w:themeColor="text1"/>
        </w:rPr>
        <w:t xml:space="preserve">., 2022; Davis </w:t>
      </w:r>
      <w:r w:rsidRPr="004221A9">
        <w:rPr>
          <w:rStyle w:val="Accentuation"/>
          <w:rFonts w:eastAsiaTheme="majorEastAsia"/>
          <w:color w:val="000000" w:themeColor="text1"/>
        </w:rPr>
        <w:t>et al</w:t>
      </w:r>
      <w:r w:rsidRPr="004221A9">
        <w:rPr>
          <w:color w:val="000000" w:themeColor="text1"/>
        </w:rPr>
        <w:t>., 2023).</w:t>
      </w:r>
    </w:p>
    <w:p w14:paraId="45DDBBA7" w14:textId="77777777"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Central nervous system stimulants are a class of pharmacological agents that enhance neuronal activity, leading to increased wakefulness, attention, psychomotor performance, and cognitive function. Drugs such as caffeine, amphetamine, methylphenidate, and modafinil have demonstrated considerable clinical utility in disorders including attention-deficit/hyperactivity disorder (ADHD), narcolepsy, and excessive daytime sleepiness (Fredholm </w:t>
      </w:r>
      <w:r w:rsidRPr="004221A9">
        <w:rPr>
          <w:rStyle w:val="Accentuation"/>
          <w:rFonts w:eastAsiaTheme="majorEastAsia"/>
          <w:color w:val="000000" w:themeColor="text1"/>
        </w:rPr>
        <w:t>et al</w:t>
      </w:r>
      <w:r w:rsidRPr="004221A9">
        <w:rPr>
          <w:color w:val="000000" w:themeColor="text1"/>
        </w:rPr>
        <w:t xml:space="preserve">., 1999; Hersey and Tanda, 2024; </w:t>
      </w:r>
      <w:proofErr w:type="spellStart"/>
      <w:r w:rsidRPr="004221A9">
        <w:rPr>
          <w:color w:val="000000" w:themeColor="text1"/>
        </w:rPr>
        <w:t>Parlatini</w:t>
      </w:r>
      <w:proofErr w:type="spellEnd"/>
      <w:r w:rsidRPr="004221A9">
        <w:rPr>
          <w:color w:val="000000" w:themeColor="text1"/>
        </w:rPr>
        <w:t xml:space="preserve"> </w:t>
      </w:r>
      <w:r w:rsidRPr="004221A9">
        <w:rPr>
          <w:rStyle w:val="Accentuation"/>
          <w:rFonts w:eastAsiaTheme="majorEastAsia"/>
          <w:color w:val="000000" w:themeColor="text1"/>
        </w:rPr>
        <w:t>et al</w:t>
      </w:r>
      <w:r w:rsidRPr="004221A9">
        <w:rPr>
          <w:color w:val="000000" w:themeColor="text1"/>
        </w:rPr>
        <w:t>., 2024). Nevertheless, prolonged administration of these synthetic stimulants is frequently associated with adverse reactions such as insomnia, anxiety, cardiovascular complications, tolerance, and dependence, which restrict their long-term therapeutic use (</w:t>
      </w:r>
      <w:proofErr w:type="spellStart"/>
      <w:r w:rsidRPr="004221A9">
        <w:rPr>
          <w:color w:val="000000" w:themeColor="text1"/>
        </w:rPr>
        <w:t>Awuchi</w:t>
      </w:r>
      <w:proofErr w:type="spellEnd"/>
      <w:r w:rsidRPr="004221A9">
        <w:rPr>
          <w:color w:val="000000" w:themeColor="text1"/>
        </w:rPr>
        <w:t xml:space="preserve">, 2023; </w:t>
      </w:r>
      <w:proofErr w:type="spellStart"/>
      <w:r w:rsidRPr="004221A9">
        <w:rPr>
          <w:color w:val="000000" w:themeColor="text1"/>
        </w:rPr>
        <w:t>Isfandnia</w:t>
      </w:r>
      <w:proofErr w:type="spellEnd"/>
      <w:r w:rsidRPr="004221A9">
        <w:rPr>
          <w:color w:val="000000" w:themeColor="text1"/>
        </w:rPr>
        <w:t xml:space="preserve"> </w:t>
      </w:r>
      <w:r w:rsidRPr="004221A9">
        <w:rPr>
          <w:rStyle w:val="Accentuation"/>
          <w:rFonts w:eastAsiaTheme="majorEastAsia"/>
          <w:color w:val="000000" w:themeColor="text1"/>
        </w:rPr>
        <w:t>et al</w:t>
      </w:r>
      <w:r w:rsidRPr="004221A9">
        <w:rPr>
          <w:color w:val="000000" w:themeColor="text1"/>
        </w:rPr>
        <w:t>., 2024). Consequently, there is growing interest in identifying naturally occurring compounds capable of enhancing CNS function with improved safety profiles.</w:t>
      </w:r>
    </w:p>
    <w:p w14:paraId="6674BDD2" w14:textId="77777777"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Natural products have historically served as an important source of therapeutic agents, and medicinal plants continue to provide structurally diverse molecules with significant pharmacological potential. Plant-derived secondary metabolites, particularly flavonoids, phenolic compounds, alkaloids, terpenoids, and saponins, have been reported to exhibit antioxidant, anti-inflammatory, neuroprotective, and </w:t>
      </w:r>
      <w:proofErr w:type="spellStart"/>
      <w:r w:rsidRPr="004221A9">
        <w:rPr>
          <w:color w:val="000000" w:themeColor="text1"/>
        </w:rPr>
        <w:t>neuromodulatory</w:t>
      </w:r>
      <w:proofErr w:type="spellEnd"/>
      <w:r w:rsidRPr="004221A9">
        <w:rPr>
          <w:color w:val="000000" w:themeColor="text1"/>
        </w:rPr>
        <w:t xml:space="preserve"> activities. These phytochemicals can influence neurotransmitter </w:t>
      </w:r>
      <w:proofErr w:type="spellStart"/>
      <w:r w:rsidRPr="004221A9">
        <w:rPr>
          <w:color w:val="000000" w:themeColor="text1"/>
        </w:rPr>
        <w:t>signalling</w:t>
      </w:r>
      <w:proofErr w:type="spellEnd"/>
      <w:r w:rsidRPr="004221A9">
        <w:rPr>
          <w:color w:val="000000" w:themeColor="text1"/>
        </w:rPr>
        <w:t xml:space="preserve">, attenuate oxidative stress, and preserve neuronal integrity, thereby contributing to improved </w:t>
      </w:r>
      <w:proofErr w:type="spellStart"/>
      <w:r w:rsidRPr="004221A9">
        <w:rPr>
          <w:color w:val="000000" w:themeColor="text1"/>
        </w:rPr>
        <w:t>behavioural</w:t>
      </w:r>
      <w:proofErr w:type="spellEnd"/>
      <w:r w:rsidRPr="004221A9">
        <w:rPr>
          <w:color w:val="000000" w:themeColor="text1"/>
        </w:rPr>
        <w:t xml:space="preserve"> and cognitive performance (Islam </w:t>
      </w:r>
      <w:r w:rsidRPr="004221A9">
        <w:rPr>
          <w:rStyle w:val="Accentuation"/>
          <w:rFonts w:eastAsiaTheme="majorEastAsia"/>
          <w:color w:val="000000" w:themeColor="text1"/>
        </w:rPr>
        <w:t>et al</w:t>
      </w:r>
      <w:r w:rsidRPr="004221A9">
        <w:rPr>
          <w:color w:val="000000" w:themeColor="text1"/>
        </w:rPr>
        <w:t xml:space="preserve">., 2023; </w:t>
      </w:r>
      <w:proofErr w:type="spellStart"/>
      <w:r w:rsidRPr="004221A9">
        <w:rPr>
          <w:color w:val="000000" w:themeColor="text1"/>
        </w:rPr>
        <w:t>Bellavite</w:t>
      </w:r>
      <w:proofErr w:type="spellEnd"/>
      <w:r w:rsidRPr="004221A9">
        <w:rPr>
          <w:color w:val="000000" w:themeColor="text1"/>
        </w:rPr>
        <w:t xml:space="preserve">, 2023; Shoaib </w:t>
      </w:r>
      <w:r w:rsidRPr="004221A9">
        <w:rPr>
          <w:rStyle w:val="Accentuation"/>
          <w:rFonts w:eastAsiaTheme="majorEastAsia"/>
          <w:color w:val="000000" w:themeColor="text1"/>
        </w:rPr>
        <w:t>et al</w:t>
      </w:r>
      <w:r w:rsidRPr="004221A9">
        <w:rPr>
          <w:color w:val="000000" w:themeColor="text1"/>
        </w:rPr>
        <w:t>., 2023; Melrose, 2023). Such findings have encouraged systematic evaluation of medicinal plants as potential sources of novel CNS-active agents.</w:t>
      </w:r>
    </w:p>
    <w:p w14:paraId="27A31E6C" w14:textId="77777777" w:rsidR="00403E8A" w:rsidRPr="004221A9" w:rsidRDefault="00403E8A" w:rsidP="00A756BD">
      <w:pPr>
        <w:pStyle w:val="NormalWeb"/>
        <w:spacing w:before="0" w:beforeAutospacing="0" w:after="160" w:afterAutospacing="0"/>
        <w:jc w:val="both"/>
        <w:rPr>
          <w:color w:val="000000" w:themeColor="text1"/>
        </w:rPr>
      </w:pPr>
      <w:r w:rsidRPr="004221A9">
        <w:rPr>
          <w:rStyle w:val="Accentuation"/>
          <w:rFonts w:eastAsiaTheme="majorEastAsia"/>
          <w:color w:val="000000" w:themeColor="text1"/>
        </w:rPr>
        <w:t>Cassia auriculata</w:t>
      </w:r>
      <w:r w:rsidRPr="004221A9">
        <w:rPr>
          <w:color w:val="000000" w:themeColor="text1"/>
        </w:rPr>
        <w:t xml:space="preserve"> L. (syn. </w:t>
      </w:r>
      <w:r w:rsidRPr="004221A9">
        <w:rPr>
          <w:rStyle w:val="Accentuation"/>
          <w:rFonts w:eastAsiaTheme="majorEastAsia"/>
          <w:color w:val="000000" w:themeColor="text1"/>
        </w:rPr>
        <w:t>Senna auriculata</w:t>
      </w:r>
      <w:r w:rsidRPr="004221A9">
        <w:rPr>
          <w:color w:val="000000" w:themeColor="text1"/>
        </w:rPr>
        <w:t xml:space="preserve">), a member of the family Fabaceae, is widely distributed throughout the Indian subcontinent and has long been utilized in traditional medicine. Different parts of the plant are employed for the management of diabetes mellitus, inflammatory conditions, liver disorders, microbial infections, skin diseases, and urinary ailments. The flowers are commonly consumed as herbal infusions and are considered a rich source of bioactive phytoconstituents (Nille </w:t>
      </w:r>
      <w:r w:rsidRPr="004221A9">
        <w:rPr>
          <w:rStyle w:val="Accentuation"/>
          <w:rFonts w:eastAsiaTheme="majorEastAsia"/>
          <w:color w:val="000000" w:themeColor="text1"/>
        </w:rPr>
        <w:t>et al</w:t>
      </w:r>
      <w:r w:rsidRPr="004221A9">
        <w:rPr>
          <w:color w:val="000000" w:themeColor="text1"/>
        </w:rPr>
        <w:t xml:space="preserve">., 2021; </w:t>
      </w:r>
      <w:proofErr w:type="spellStart"/>
      <w:r w:rsidRPr="004221A9">
        <w:rPr>
          <w:color w:val="000000" w:themeColor="text1"/>
        </w:rPr>
        <w:t>Ariyarathna</w:t>
      </w:r>
      <w:proofErr w:type="spellEnd"/>
      <w:r w:rsidRPr="004221A9">
        <w:rPr>
          <w:color w:val="000000" w:themeColor="text1"/>
        </w:rPr>
        <w:t xml:space="preserve">, 2024; </w:t>
      </w:r>
      <w:proofErr w:type="spellStart"/>
      <w:r w:rsidRPr="004221A9">
        <w:rPr>
          <w:color w:val="000000" w:themeColor="text1"/>
        </w:rPr>
        <w:t>Tietel</w:t>
      </w:r>
      <w:proofErr w:type="spellEnd"/>
      <w:r w:rsidRPr="004221A9">
        <w:rPr>
          <w:color w:val="000000" w:themeColor="text1"/>
        </w:rPr>
        <w:t xml:space="preserve"> </w:t>
      </w:r>
      <w:r w:rsidRPr="004221A9">
        <w:rPr>
          <w:rStyle w:val="Accentuation"/>
          <w:rFonts w:eastAsiaTheme="majorEastAsia"/>
          <w:color w:val="000000" w:themeColor="text1"/>
        </w:rPr>
        <w:t>et al</w:t>
      </w:r>
      <w:r w:rsidRPr="004221A9">
        <w:rPr>
          <w:color w:val="000000" w:themeColor="text1"/>
        </w:rPr>
        <w:t xml:space="preserve">., 2024). Phytochemical investigations have revealed the presence of flavonoids, phenolic acids, tannins, alkaloids, glycosides, terpenoids, anthraquinones, and other secondary metabolites that may account for the plant's diverse biological activities (Parani, 2024; Revathi </w:t>
      </w:r>
      <w:r w:rsidRPr="004221A9">
        <w:rPr>
          <w:rStyle w:val="Accentuation"/>
          <w:rFonts w:eastAsiaTheme="majorEastAsia"/>
          <w:color w:val="000000" w:themeColor="text1"/>
        </w:rPr>
        <w:t>et al</w:t>
      </w:r>
      <w:r w:rsidRPr="004221A9">
        <w:rPr>
          <w:color w:val="000000" w:themeColor="text1"/>
        </w:rPr>
        <w:t>., 2025).</w:t>
      </w:r>
    </w:p>
    <w:p w14:paraId="37D2D5C0" w14:textId="77777777"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Previous pharmacological studies have established antioxidant, antidiabetic, antimicrobial, anti-inflammatory, hepatoprotective, nephroprotective, </w:t>
      </w:r>
      <w:proofErr w:type="spellStart"/>
      <w:r w:rsidRPr="004221A9">
        <w:rPr>
          <w:color w:val="000000" w:themeColor="text1"/>
        </w:rPr>
        <w:t>antihyperlipidaemic</w:t>
      </w:r>
      <w:proofErr w:type="spellEnd"/>
      <w:r w:rsidRPr="004221A9">
        <w:rPr>
          <w:color w:val="000000" w:themeColor="text1"/>
        </w:rPr>
        <w:t xml:space="preserve">, and wound-healing properties of </w:t>
      </w:r>
      <w:r w:rsidRPr="004221A9">
        <w:rPr>
          <w:rStyle w:val="Accentuation"/>
          <w:rFonts w:eastAsiaTheme="majorEastAsia"/>
          <w:color w:val="000000" w:themeColor="text1"/>
        </w:rPr>
        <w:t>C. auriculata</w:t>
      </w:r>
      <w:r w:rsidRPr="004221A9">
        <w:rPr>
          <w:color w:val="000000" w:themeColor="text1"/>
        </w:rPr>
        <w:t xml:space="preserve"> extracts (Nille </w:t>
      </w:r>
      <w:r w:rsidRPr="004221A9">
        <w:rPr>
          <w:rStyle w:val="Accentuation"/>
          <w:rFonts w:eastAsiaTheme="majorEastAsia"/>
          <w:color w:val="000000" w:themeColor="text1"/>
        </w:rPr>
        <w:t>et al</w:t>
      </w:r>
      <w:r w:rsidRPr="004221A9">
        <w:rPr>
          <w:color w:val="000000" w:themeColor="text1"/>
        </w:rPr>
        <w:t xml:space="preserve">., 2021; </w:t>
      </w:r>
      <w:proofErr w:type="spellStart"/>
      <w:r w:rsidRPr="004221A9">
        <w:rPr>
          <w:color w:val="000000" w:themeColor="text1"/>
        </w:rPr>
        <w:t>Ariyarathna</w:t>
      </w:r>
      <w:proofErr w:type="spellEnd"/>
      <w:r w:rsidRPr="004221A9">
        <w:rPr>
          <w:color w:val="000000" w:themeColor="text1"/>
        </w:rPr>
        <w:t xml:space="preserve">, 2024; </w:t>
      </w:r>
      <w:proofErr w:type="spellStart"/>
      <w:r w:rsidRPr="004221A9">
        <w:rPr>
          <w:color w:val="000000" w:themeColor="text1"/>
        </w:rPr>
        <w:t>Tietel</w:t>
      </w:r>
      <w:proofErr w:type="spellEnd"/>
      <w:r w:rsidRPr="004221A9">
        <w:rPr>
          <w:color w:val="000000" w:themeColor="text1"/>
        </w:rPr>
        <w:t xml:space="preserve"> </w:t>
      </w:r>
      <w:r w:rsidRPr="004221A9">
        <w:rPr>
          <w:rStyle w:val="Accentuation"/>
          <w:rFonts w:eastAsiaTheme="majorEastAsia"/>
          <w:color w:val="000000" w:themeColor="text1"/>
        </w:rPr>
        <w:t>et al</w:t>
      </w:r>
      <w:r w:rsidRPr="004221A9">
        <w:rPr>
          <w:color w:val="000000" w:themeColor="text1"/>
        </w:rPr>
        <w:t xml:space="preserve">., 2024). Since flavonoids and phenolic compounds are known to modulate neuronal </w:t>
      </w:r>
      <w:proofErr w:type="spellStart"/>
      <w:r w:rsidRPr="00706A0A">
        <w:rPr>
          <w:color w:val="000000" w:themeColor="text1"/>
          <w:highlight w:val="yellow"/>
        </w:rPr>
        <w:t>signalling</w:t>
      </w:r>
      <w:proofErr w:type="spellEnd"/>
      <w:r w:rsidRPr="004221A9">
        <w:rPr>
          <w:color w:val="000000" w:themeColor="text1"/>
        </w:rPr>
        <w:t xml:space="preserve"> and protect against oxidative neuronal damage, the flower extract may also possess CNS stimulant activity (Ramezani </w:t>
      </w:r>
      <w:r w:rsidRPr="004221A9">
        <w:rPr>
          <w:rStyle w:val="Accentuation"/>
          <w:rFonts w:eastAsiaTheme="majorEastAsia"/>
          <w:color w:val="000000" w:themeColor="text1"/>
        </w:rPr>
        <w:t>et al</w:t>
      </w:r>
      <w:r w:rsidRPr="004221A9">
        <w:rPr>
          <w:color w:val="000000" w:themeColor="text1"/>
        </w:rPr>
        <w:t xml:space="preserve">., 2023; Wang </w:t>
      </w:r>
      <w:r w:rsidRPr="004221A9">
        <w:rPr>
          <w:rStyle w:val="Accentuation"/>
          <w:rFonts w:eastAsiaTheme="majorEastAsia"/>
          <w:color w:val="000000" w:themeColor="text1"/>
        </w:rPr>
        <w:t>et al</w:t>
      </w:r>
      <w:r w:rsidRPr="004221A9">
        <w:rPr>
          <w:color w:val="000000" w:themeColor="text1"/>
        </w:rPr>
        <w:t xml:space="preserve">., 2023; Wu </w:t>
      </w:r>
      <w:r w:rsidRPr="004221A9">
        <w:rPr>
          <w:rStyle w:val="Accentuation"/>
          <w:rFonts w:eastAsiaTheme="majorEastAsia"/>
          <w:color w:val="000000" w:themeColor="text1"/>
        </w:rPr>
        <w:t>et al</w:t>
      </w:r>
      <w:r w:rsidRPr="004221A9">
        <w:rPr>
          <w:color w:val="000000" w:themeColor="text1"/>
        </w:rPr>
        <w:t xml:space="preserve">., 2024). However, despite </w:t>
      </w:r>
      <w:r w:rsidRPr="00706A0A">
        <w:rPr>
          <w:color w:val="000000" w:themeColor="text1"/>
          <w:highlight w:val="red"/>
        </w:rPr>
        <w:t>the</w:t>
      </w:r>
      <w:r w:rsidRPr="004221A9">
        <w:rPr>
          <w:color w:val="000000" w:themeColor="text1"/>
        </w:rPr>
        <w:t xml:space="preserve"> extensive pharmacological investigations on this plant, studies specifically evaluating the CNS stimulant potential of the ethanolic flower extract remain limited.</w:t>
      </w:r>
    </w:p>
    <w:p w14:paraId="2E5EE94A" w14:textId="29B3D210"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Therefore, the present study aimed to investigate the phytochemical constituents of the ethanolic extract of </w:t>
      </w:r>
      <w:r w:rsidRPr="004221A9">
        <w:rPr>
          <w:rStyle w:val="Accentuation"/>
          <w:rFonts w:eastAsiaTheme="majorEastAsia"/>
          <w:color w:val="000000" w:themeColor="text1"/>
        </w:rPr>
        <w:t>Cassia auriculata</w:t>
      </w:r>
      <w:r w:rsidRPr="004221A9">
        <w:rPr>
          <w:color w:val="000000" w:themeColor="text1"/>
        </w:rPr>
        <w:t xml:space="preserve"> flowers and to evaluate its CNS stimulant activity in Swiss albino mice </w:t>
      </w:r>
      <w:r w:rsidR="00706A0A">
        <w:rPr>
          <w:color w:val="000000" w:themeColor="text1"/>
        </w:rPr>
        <w:t>(</w:t>
      </w:r>
      <w:r w:rsidR="00706A0A" w:rsidRPr="00706A0A">
        <w:rPr>
          <w:color w:val="000000" w:themeColor="text1"/>
          <w:highlight w:val="cyan"/>
        </w:rPr>
        <w:t>add the scientific name</w:t>
      </w:r>
      <w:r w:rsidR="00706A0A">
        <w:rPr>
          <w:color w:val="000000" w:themeColor="text1"/>
        </w:rPr>
        <w:t xml:space="preserve">) </w:t>
      </w:r>
      <w:r w:rsidRPr="004221A9">
        <w:rPr>
          <w:color w:val="000000" w:themeColor="text1"/>
        </w:rPr>
        <w:t xml:space="preserve">using validated </w:t>
      </w:r>
      <w:proofErr w:type="spellStart"/>
      <w:r w:rsidRPr="004221A9">
        <w:rPr>
          <w:color w:val="000000" w:themeColor="text1"/>
        </w:rPr>
        <w:t>behavioural</w:t>
      </w:r>
      <w:proofErr w:type="spellEnd"/>
      <w:r w:rsidRPr="004221A9">
        <w:rPr>
          <w:color w:val="000000" w:themeColor="text1"/>
        </w:rPr>
        <w:t xml:space="preserve"> models. The findings are expected to provide experimental evidence regarding the neuropharmacological potential of this medicinal plant and support its future development as a plant-derived CNS stimulant.</w:t>
      </w:r>
    </w:p>
    <w:p w14:paraId="6D6F3575" w14:textId="77777777" w:rsidR="000676C6" w:rsidRPr="004221A9" w:rsidRDefault="000676C6" w:rsidP="00A756BD">
      <w:pPr>
        <w:pStyle w:val="Titre2"/>
        <w:spacing w:before="0" w:beforeAutospacing="0" w:after="160" w:afterAutospacing="0"/>
        <w:jc w:val="both"/>
        <w:rPr>
          <w:color w:val="000000" w:themeColor="text1"/>
          <w:sz w:val="24"/>
          <w:szCs w:val="24"/>
        </w:rPr>
      </w:pPr>
      <w:r w:rsidRPr="004221A9">
        <w:rPr>
          <w:color w:val="000000" w:themeColor="text1"/>
          <w:sz w:val="24"/>
          <w:szCs w:val="24"/>
        </w:rPr>
        <w:lastRenderedPageBreak/>
        <w:t>2. Materials and Methods</w:t>
      </w:r>
    </w:p>
    <w:p w14:paraId="5E62BDDE" w14:textId="0B581730" w:rsidR="000676C6" w:rsidRPr="004221A9" w:rsidRDefault="00B548D7"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2.1 </w:t>
      </w:r>
      <w:r w:rsidR="000676C6" w:rsidRPr="004221A9">
        <w:rPr>
          <w:rFonts w:ascii="Times New Roman" w:hAnsi="Times New Roman" w:cs="Times New Roman"/>
          <w:b/>
          <w:bCs/>
          <w:color w:val="000000" w:themeColor="text1"/>
        </w:rPr>
        <w:t>Plant material</w:t>
      </w:r>
    </w:p>
    <w:p w14:paraId="0D1ACAF0" w14:textId="58AFA202"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Fresh flowers of </w:t>
      </w:r>
      <w:r w:rsidRPr="004221A9">
        <w:rPr>
          <w:rStyle w:val="Accentuation"/>
          <w:rFonts w:eastAsiaTheme="majorEastAsia"/>
          <w:color w:val="000000" w:themeColor="text1"/>
        </w:rPr>
        <w:t>Cassia auriculata</w:t>
      </w:r>
      <w:r w:rsidRPr="004221A9">
        <w:rPr>
          <w:color w:val="000000" w:themeColor="text1"/>
        </w:rPr>
        <w:t xml:space="preserve"> L. were collected from </w:t>
      </w:r>
      <w:proofErr w:type="spellStart"/>
      <w:r w:rsidRPr="004221A9">
        <w:rPr>
          <w:color w:val="000000" w:themeColor="text1"/>
        </w:rPr>
        <w:t>Avapadu</w:t>
      </w:r>
      <w:proofErr w:type="spellEnd"/>
      <w:r w:rsidRPr="004221A9">
        <w:rPr>
          <w:color w:val="000000" w:themeColor="text1"/>
        </w:rPr>
        <w:t xml:space="preserve"> village, </w:t>
      </w:r>
      <w:proofErr w:type="spellStart"/>
      <w:r w:rsidRPr="004221A9">
        <w:rPr>
          <w:color w:val="000000" w:themeColor="text1"/>
        </w:rPr>
        <w:t>Nallajerla</w:t>
      </w:r>
      <w:proofErr w:type="spellEnd"/>
      <w:r w:rsidRPr="004221A9">
        <w:rPr>
          <w:color w:val="000000" w:themeColor="text1"/>
        </w:rPr>
        <w:t xml:space="preserve"> Mandal, East Godavari District, Andhra Pradesh, India, during December 202</w:t>
      </w:r>
      <w:r w:rsidR="00387007" w:rsidRPr="004221A9">
        <w:rPr>
          <w:color w:val="000000" w:themeColor="text1"/>
        </w:rPr>
        <w:t>5</w:t>
      </w:r>
      <w:r w:rsidRPr="004221A9">
        <w:rPr>
          <w:color w:val="000000" w:themeColor="text1"/>
        </w:rPr>
        <w:t xml:space="preserve">. The plant was taxonomically authenticated at Dr. Y.S.R. Horticultural University, Horticultural College and Research Institute, </w:t>
      </w:r>
      <w:proofErr w:type="spellStart"/>
      <w:r w:rsidRPr="004221A9">
        <w:rPr>
          <w:color w:val="000000" w:themeColor="text1"/>
        </w:rPr>
        <w:t>Venkataramannagudem</w:t>
      </w:r>
      <w:proofErr w:type="spellEnd"/>
      <w:r w:rsidRPr="004221A9">
        <w:rPr>
          <w:color w:val="000000" w:themeColor="text1"/>
        </w:rPr>
        <w:t>, Andhra Pradesh. A voucher specimen was deposited in the herbarium of A.K.R.G. College of Pharmacy for future reference. The flowers were washed with water, shade-dried at ambient temperature for approximately 15 days, pulverized using a mechanical grinder, and preserved in airtight containers until extraction (Harborne, 1998).</w:t>
      </w:r>
    </w:p>
    <w:p w14:paraId="57E81222" w14:textId="0E7D543E" w:rsidR="000676C6" w:rsidRPr="004221A9" w:rsidRDefault="00B548D7"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2.2 </w:t>
      </w:r>
      <w:r w:rsidR="000676C6" w:rsidRPr="004221A9">
        <w:rPr>
          <w:rFonts w:ascii="Times New Roman" w:hAnsi="Times New Roman" w:cs="Times New Roman"/>
          <w:b/>
          <w:bCs/>
          <w:color w:val="000000" w:themeColor="text1"/>
        </w:rPr>
        <w:t>Preparation of ethanolic extract</w:t>
      </w:r>
    </w:p>
    <w:p w14:paraId="7D0C7DFC"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The powdered flower material (30 g) was extracted with 300 mL of ethanol using a Soxhlet extraction apparatus. Extraction was continued until the solvent in the siphon tube became </w:t>
      </w:r>
      <w:proofErr w:type="spellStart"/>
      <w:r w:rsidRPr="004221A9">
        <w:rPr>
          <w:color w:val="000000" w:themeColor="text1"/>
        </w:rPr>
        <w:t>colourless</w:t>
      </w:r>
      <w:proofErr w:type="spellEnd"/>
      <w:r w:rsidRPr="004221A9">
        <w:rPr>
          <w:color w:val="000000" w:themeColor="text1"/>
        </w:rPr>
        <w:t>, indicating complete extraction of soluble constituents. The extract was concentrated under reduced pressure using a rotary vacuum evaporator to obtain a semisolid residue. The dried extract was stored at 4°C in airtight containers until further use. The extraction yield was determined as the percentage of dried extract relative to the initial weight of the powdered plant material (Mukherjee, 2019).</w:t>
      </w:r>
    </w:p>
    <w:p w14:paraId="634A325E" w14:textId="69ADFC69" w:rsidR="000676C6" w:rsidRPr="004221A9" w:rsidRDefault="007D08DF"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2.3 </w:t>
      </w:r>
      <w:r w:rsidR="000676C6" w:rsidRPr="004221A9">
        <w:rPr>
          <w:rFonts w:ascii="Times New Roman" w:hAnsi="Times New Roman" w:cs="Times New Roman"/>
          <w:b/>
          <w:bCs/>
          <w:color w:val="000000" w:themeColor="text1"/>
        </w:rPr>
        <w:t>Preliminary phytochemical screening</w:t>
      </w:r>
    </w:p>
    <w:p w14:paraId="307B29E0"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Qualitative phytochemical analysis of the ethanolic flower extract was carried out using established </w:t>
      </w:r>
      <w:proofErr w:type="spellStart"/>
      <w:r w:rsidRPr="004221A9">
        <w:rPr>
          <w:color w:val="000000" w:themeColor="text1"/>
        </w:rPr>
        <w:t>pharmacognostic</w:t>
      </w:r>
      <w:proofErr w:type="spellEnd"/>
      <w:r w:rsidRPr="004221A9">
        <w:rPr>
          <w:color w:val="000000" w:themeColor="text1"/>
        </w:rPr>
        <w:t xml:space="preserve"> procedures to detect the presence of major classes of secondary metabolites, including alkaloids, flavonoids, phenolic compounds, tannins, glycosides, terpenoids, saponins, carbohydrates, amino acids, coumarins, and gums and mucilage. Characteristic </w:t>
      </w:r>
      <w:proofErr w:type="spellStart"/>
      <w:r w:rsidRPr="004221A9">
        <w:rPr>
          <w:color w:val="000000" w:themeColor="text1"/>
        </w:rPr>
        <w:t>colour</w:t>
      </w:r>
      <w:proofErr w:type="spellEnd"/>
      <w:r w:rsidRPr="004221A9">
        <w:rPr>
          <w:color w:val="000000" w:themeColor="text1"/>
        </w:rPr>
        <w:t xml:space="preserve"> changes or precipitate formation were considered indicative of positive reactions (Harborne, 1998; Kokate </w:t>
      </w:r>
      <w:r w:rsidRPr="004221A9">
        <w:rPr>
          <w:rStyle w:val="Accentuation"/>
          <w:rFonts w:eastAsiaTheme="majorEastAsia"/>
          <w:color w:val="000000" w:themeColor="text1"/>
        </w:rPr>
        <w:t>et al</w:t>
      </w:r>
      <w:r w:rsidRPr="004221A9">
        <w:rPr>
          <w:color w:val="000000" w:themeColor="text1"/>
        </w:rPr>
        <w:t>., 2018).</w:t>
      </w:r>
    </w:p>
    <w:p w14:paraId="0002352B" w14:textId="05B59189" w:rsidR="000676C6" w:rsidRPr="004221A9" w:rsidRDefault="0016673D"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2.4 </w:t>
      </w:r>
      <w:r w:rsidR="000676C6" w:rsidRPr="004221A9">
        <w:rPr>
          <w:rFonts w:ascii="Times New Roman" w:hAnsi="Times New Roman" w:cs="Times New Roman"/>
          <w:b/>
          <w:bCs/>
          <w:color w:val="000000" w:themeColor="text1"/>
        </w:rPr>
        <w:t>Experimental animals</w:t>
      </w:r>
    </w:p>
    <w:p w14:paraId="6FBE6E56" w14:textId="275224F4"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Healthy Swiss albino mice of either sex weighing 20–30 g were used for the pharmacological evaluation. Animals were housed under standard laboratory conditions (22 ± 2°C, relative humidity 55 ± 5%, 12 h light/12 h dark cycle) with unrestricted access to a standard pellet diet and drinking water. Before experimentation, the animals were acclimatized for one week. The study protocol was approved by the Institutional Animal Ethics Committee (Approval No. </w:t>
      </w:r>
      <w:r w:rsidR="00610973" w:rsidRPr="004221A9">
        <w:rPr>
          <w:bCs/>
          <w:color w:val="000000"/>
          <w:szCs w:val="28"/>
        </w:rPr>
        <w:t>AKRGCP/CPCSEA/IAEC/2026/03-1373, dated 28/02/2026</w:t>
      </w:r>
      <w:r w:rsidRPr="004221A9">
        <w:rPr>
          <w:color w:val="000000" w:themeColor="text1"/>
        </w:rPr>
        <w:t>) and all experimental procedures were conducted in accordance with the CCSEA guidelines for the care and use of laboratory animals.</w:t>
      </w:r>
    </w:p>
    <w:p w14:paraId="779BD087" w14:textId="771385B2" w:rsidR="000676C6" w:rsidRPr="004221A9" w:rsidRDefault="0016673D"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2.5 </w:t>
      </w:r>
      <w:r w:rsidR="000676C6" w:rsidRPr="004221A9">
        <w:rPr>
          <w:rFonts w:ascii="Times New Roman" w:hAnsi="Times New Roman" w:cs="Times New Roman"/>
          <w:b/>
          <w:bCs/>
          <w:color w:val="000000" w:themeColor="text1"/>
        </w:rPr>
        <w:t>Acute oral toxicity study</w:t>
      </w:r>
    </w:p>
    <w:p w14:paraId="2F9BB96A"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The safety profile of the ethanolic extract was assessed according to OECD Guideline 423 (OECD, 2001). Following overnight fasting, mice received a single oral dose of 2000 mg/kg of the extract and were monitored for </w:t>
      </w:r>
      <w:proofErr w:type="spellStart"/>
      <w:r w:rsidRPr="004221A9">
        <w:rPr>
          <w:color w:val="000000" w:themeColor="text1"/>
        </w:rPr>
        <w:t>behavioural</w:t>
      </w:r>
      <w:proofErr w:type="spellEnd"/>
      <w:r w:rsidRPr="004221A9">
        <w:rPr>
          <w:color w:val="000000" w:themeColor="text1"/>
        </w:rPr>
        <w:t xml:space="preserve"> abnormalities, clinical signs of toxicity, and mortality during the first 24 h and thereafter for 14 days. Since no treatment-related mortality was observed, doses of 200 and 400 mg/kg body weight were selected for subsequent pharmacological investigations.</w:t>
      </w:r>
    </w:p>
    <w:p w14:paraId="0424E06B" w14:textId="18BC07A9" w:rsidR="000676C6" w:rsidRPr="004221A9" w:rsidRDefault="0016673D"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lastRenderedPageBreak/>
        <w:t xml:space="preserve">2.6 </w:t>
      </w:r>
      <w:r w:rsidR="000676C6" w:rsidRPr="004221A9">
        <w:rPr>
          <w:rFonts w:ascii="Times New Roman" w:hAnsi="Times New Roman" w:cs="Times New Roman"/>
          <w:b/>
          <w:bCs/>
          <w:color w:val="000000" w:themeColor="text1"/>
        </w:rPr>
        <w:t>Experimental design</w:t>
      </w:r>
    </w:p>
    <w:p w14:paraId="15C2123C"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Twenty-four Swiss albino mice were randomly allocated into four groups containing six animals each (n = 6).</w:t>
      </w:r>
    </w:p>
    <w:p w14:paraId="51424576" w14:textId="77777777" w:rsidR="000676C6" w:rsidRPr="004221A9" w:rsidRDefault="000676C6" w:rsidP="00A756BD">
      <w:pPr>
        <w:pStyle w:val="NormalWeb"/>
        <w:numPr>
          <w:ilvl w:val="0"/>
          <w:numId w:val="1"/>
        </w:numPr>
        <w:spacing w:before="0" w:beforeAutospacing="0" w:after="160" w:afterAutospacing="0"/>
        <w:jc w:val="both"/>
        <w:rPr>
          <w:color w:val="000000" w:themeColor="text1"/>
        </w:rPr>
      </w:pPr>
      <w:r w:rsidRPr="004221A9">
        <w:rPr>
          <w:color w:val="000000" w:themeColor="text1"/>
        </w:rPr>
        <w:t xml:space="preserve">Group I: Vehicle control (1% </w:t>
      </w:r>
      <w:r w:rsidRPr="00E328CD">
        <w:rPr>
          <w:color w:val="000000" w:themeColor="text1"/>
          <w:highlight w:val="yellow"/>
        </w:rPr>
        <w:t>CMC</w:t>
      </w:r>
      <w:r w:rsidRPr="004221A9">
        <w:rPr>
          <w:color w:val="000000" w:themeColor="text1"/>
        </w:rPr>
        <w:t>, 10 mL/kg, p.o.)</w:t>
      </w:r>
    </w:p>
    <w:p w14:paraId="766FAC83" w14:textId="77777777" w:rsidR="000676C6" w:rsidRPr="004221A9" w:rsidRDefault="000676C6" w:rsidP="00A756BD">
      <w:pPr>
        <w:pStyle w:val="NormalWeb"/>
        <w:numPr>
          <w:ilvl w:val="0"/>
          <w:numId w:val="1"/>
        </w:numPr>
        <w:spacing w:before="0" w:beforeAutospacing="0" w:after="160" w:afterAutospacing="0"/>
        <w:jc w:val="both"/>
        <w:rPr>
          <w:color w:val="000000" w:themeColor="text1"/>
        </w:rPr>
      </w:pPr>
      <w:r w:rsidRPr="004221A9">
        <w:rPr>
          <w:color w:val="000000" w:themeColor="text1"/>
        </w:rPr>
        <w:t>Group II: Caffeine (20 mg/kg, p.o.)</w:t>
      </w:r>
    </w:p>
    <w:p w14:paraId="353A05F7" w14:textId="77777777" w:rsidR="000676C6" w:rsidRPr="004221A9" w:rsidRDefault="000676C6" w:rsidP="00A756BD">
      <w:pPr>
        <w:pStyle w:val="NormalWeb"/>
        <w:numPr>
          <w:ilvl w:val="0"/>
          <w:numId w:val="1"/>
        </w:numPr>
        <w:spacing w:before="0" w:beforeAutospacing="0" w:after="160" w:afterAutospacing="0"/>
        <w:jc w:val="both"/>
        <w:rPr>
          <w:color w:val="000000" w:themeColor="text1"/>
        </w:rPr>
      </w:pPr>
      <w:r w:rsidRPr="004221A9">
        <w:rPr>
          <w:color w:val="000000" w:themeColor="text1"/>
        </w:rPr>
        <w:t xml:space="preserve">Group III: Ethanolic extract of </w:t>
      </w:r>
      <w:r w:rsidRPr="004221A9">
        <w:rPr>
          <w:rStyle w:val="Accentuation"/>
          <w:rFonts w:eastAsiaTheme="majorEastAsia"/>
          <w:color w:val="000000" w:themeColor="text1"/>
        </w:rPr>
        <w:t>Cassia auriculata</w:t>
      </w:r>
      <w:r w:rsidRPr="004221A9">
        <w:rPr>
          <w:color w:val="000000" w:themeColor="text1"/>
        </w:rPr>
        <w:t xml:space="preserve"> flowers (200 mg/kg, p.o.)</w:t>
      </w:r>
    </w:p>
    <w:p w14:paraId="0E03AF9F" w14:textId="77777777" w:rsidR="000676C6" w:rsidRPr="004221A9" w:rsidRDefault="000676C6" w:rsidP="00A756BD">
      <w:pPr>
        <w:pStyle w:val="NormalWeb"/>
        <w:numPr>
          <w:ilvl w:val="0"/>
          <w:numId w:val="1"/>
        </w:numPr>
        <w:spacing w:before="0" w:beforeAutospacing="0" w:after="160" w:afterAutospacing="0"/>
        <w:jc w:val="both"/>
        <w:rPr>
          <w:color w:val="000000" w:themeColor="text1"/>
        </w:rPr>
      </w:pPr>
      <w:r w:rsidRPr="004221A9">
        <w:rPr>
          <w:color w:val="000000" w:themeColor="text1"/>
        </w:rPr>
        <w:t xml:space="preserve">Group IV: Ethanolic extract of </w:t>
      </w:r>
      <w:r w:rsidRPr="004221A9">
        <w:rPr>
          <w:rStyle w:val="Accentuation"/>
          <w:rFonts w:eastAsiaTheme="majorEastAsia"/>
          <w:color w:val="000000" w:themeColor="text1"/>
        </w:rPr>
        <w:t>Cassia auriculata</w:t>
      </w:r>
      <w:r w:rsidRPr="004221A9">
        <w:rPr>
          <w:color w:val="000000" w:themeColor="text1"/>
        </w:rPr>
        <w:t xml:space="preserve"> flowers (400 mg/kg, p.o.)</w:t>
      </w:r>
    </w:p>
    <w:p w14:paraId="3E7526E7"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All treatments were administered orally using an intragastric feeding cannula.</w:t>
      </w:r>
    </w:p>
    <w:p w14:paraId="2F6231FA" w14:textId="1B570ABF" w:rsidR="000676C6" w:rsidRPr="004221A9" w:rsidRDefault="0016673D"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2.7 </w:t>
      </w:r>
      <w:r w:rsidR="000676C6" w:rsidRPr="004221A9">
        <w:rPr>
          <w:rFonts w:ascii="Times New Roman" w:hAnsi="Times New Roman" w:cs="Times New Roman"/>
          <w:b/>
          <w:bCs/>
          <w:color w:val="000000" w:themeColor="text1"/>
        </w:rPr>
        <w:t>Assessment of CNS stimulant activity</w:t>
      </w:r>
    </w:p>
    <w:p w14:paraId="6524174A" w14:textId="77777777" w:rsidR="000676C6" w:rsidRPr="004221A9" w:rsidRDefault="000676C6" w:rsidP="00A756BD">
      <w:pPr>
        <w:pStyle w:val="Titre4"/>
        <w:spacing w:before="0" w:after="160" w:line="240" w:lineRule="auto"/>
        <w:jc w:val="both"/>
        <w:rPr>
          <w:rFonts w:ascii="Times New Roman" w:hAnsi="Times New Roman" w:cs="Times New Roman"/>
          <w:b/>
          <w:bCs/>
          <w:color w:val="000000" w:themeColor="text1"/>
          <w:sz w:val="24"/>
          <w:szCs w:val="24"/>
        </w:rPr>
      </w:pPr>
      <w:proofErr w:type="spellStart"/>
      <w:r w:rsidRPr="004221A9">
        <w:rPr>
          <w:rFonts w:ascii="Times New Roman" w:hAnsi="Times New Roman" w:cs="Times New Roman"/>
          <w:b/>
          <w:bCs/>
          <w:color w:val="000000" w:themeColor="text1"/>
          <w:sz w:val="24"/>
          <w:szCs w:val="24"/>
        </w:rPr>
        <w:t>Actophotometer</w:t>
      </w:r>
      <w:proofErr w:type="spellEnd"/>
      <w:r w:rsidRPr="004221A9">
        <w:rPr>
          <w:rFonts w:ascii="Times New Roman" w:hAnsi="Times New Roman" w:cs="Times New Roman"/>
          <w:b/>
          <w:bCs/>
          <w:color w:val="000000" w:themeColor="text1"/>
          <w:sz w:val="24"/>
          <w:szCs w:val="24"/>
        </w:rPr>
        <w:t xml:space="preserve"> test</w:t>
      </w:r>
    </w:p>
    <w:p w14:paraId="349E590F"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Spontaneous locomotor activity was determined using a digital </w:t>
      </w:r>
      <w:proofErr w:type="spellStart"/>
      <w:r w:rsidRPr="004221A9">
        <w:rPr>
          <w:color w:val="000000" w:themeColor="text1"/>
        </w:rPr>
        <w:t>actophotometer</w:t>
      </w:r>
      <w:proofErr w:type="spellEnd"/>
      <w:r w:rsidRPr="004221A9">
        <w:rPr>
          <w:color w:val="000000" w:themeColor="text1"/>
        </w:rPr>
        <w:t xml:space="preserve"> following the procedure described by Kulkarni (2016). Thirty minutes after oral administration of the respective treatments, each mouse was placed individually inside the activity chamber, and locomotor activity was recorded for 10 min. The number of photo-beam interruptions was automatically recorded as locomotor counts. An increase in activity counts relative to the control group was interpreted as evidence of CNS stimulant activity.</w:t>
      </w:r>
    </w:p>
    <w:p w14:paraId="39CB72DC" w14:textId="77777777" w:rsidR="000676C6" w:rsidRPr="004221A9" w:rsidRDefault="000676C6" w:rsidP="00A756BD">
      <w:pPr>
        <w:pStyle w:val="Titre4"/>
        <w:spacing w:before="0" w:after="160" w:line="240" w:lineRule="auto"/>
        <w:jc w:val="both"/>
        <w:rPr>
          <w:rFonts w:ascii="Times New Roman" w:hAnsi="Times New Roman" w:cs="Times New Roman"/>
          <w:b/>
          <w:bCs/>
          <w:color w:val="000000" w:themeColor="text1"/>
          <w:sz w:val="24"/>
          <w:szCs w:val="24"/>
        </w:rPr>
      </w:pPr>
      <w:r w:rsidRPr="004221A9">
        <w:rPr>
          <w:rFonts w:ascii="Times New Roman" w:hAnsi="Times New Roman" w:cs="Times New Roman"/>
          <w:b/>
          <w:bCs/>
          <w:color w:val="000000" w:themeColor="text1"/>
          <w:sz w:val="24"/>
          <w:szCs w:val="24"/>
        </w:rPr>
        <w:t>Rotarod test</w:t>
      </w:r>
    </w:p>
    <w:p w14:paraId="4D0236AA"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Motor coordination and neuromuscular performance were evaluated using the Rotarod method described by Dunham and Miya (1957). Prior to testing, mice were trained to remain on the rotating rod. Thirty minutes after treatment administration, each animal was placed on the rod rotating at 20 rpm, and the latency to fall was recorded. A maximum cut-off time of 300 s was applied to prevent fatigue.</w:t>
      </w:r>
    </w:p>
    <w:p w14:paraId="68F8024E" w14:textId="77777777" w:rsidR="000676C6" w:rsidRPr="004221A9" w:rsidRDefault="000676C6" w:rsidP="00A756BD">
      <w:pPr>
        <w:pStyle w:val="Titre4"/>
        <w:spacing w:before="0" w:after="160" w:line="240" w:lineRule="auto"/>
        <w:jc w:val="both"/>
        <w:rPr>
          <w:rFonts w:ascii="Times New Roman" w:hAnsi="Times New Roman" w:cs="Times New Roman"/>
          <w:b/>
          <w:bCs/>
          <w:color w:val="000000" w:themeColor="text1"/>
          <w:sz w:val="24"/>
          <w:szCs w:val="24"/>
        </w:rPr>
      </w:pPr>
      <w:r w:rsidRPr="004221A9">
        <w:rPr>
          <w:rFonts w:ascii="Times New Roman" w:hAnsi="Times New Roman" w:cs="Times New Roman"/>
          <w:b/>
          <w:bCs/>
          <w:color w:val="000000" w:themeColor="text1"/>
          <w:sz w:val="24"/>
          <w:szCs w:val="24"/>
        </w:rPr>
        <w:t>Open field test</w:t>
      </w:r>
    </w:p>
    <w:p w14:paraId="0D7D4F6B"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Exploratory </w:t>
      </w:r>
      <w:proofErr w:type="spellStart"/>
      <w:r w:rsidRPr="004221A9">
        <w:rPr>
          <w:color w:val="000000" w:themeColor="text1"/>
        </w:rPr>
        <w:t>behaviour</w:t>
      </w:r>
      <w:proofErr w:type="spellEnd"/>
      <w:r w:rsidRPr="004221A9">
        <w:rPr>
          <w:color w:val="000000" w:themeColor="text1"/>
        </w:rPr>
        <w:t xml:space="preserve"> and spontaneous locomotion were assessed using the open field paradigm according to Archer (1973) and Walsh and Cummins (1976). Each mouse was placed individually in the </w:t>
      </w:r>
      <w:proofErr w:type="spellStart"/>
      <w:r w:rsidRPr="004221A9">
        <w:rPr>
          <w:color w:val="000000" w:themeColor="text1"/>
        </w:rPr>
        <w:t>centre</w:t>
      </w:r>
      <w:proofErr w:type="spellEnd"/>
      <w:r w:rsidRPr="004221A9">
        <w:rPr>
          <w:color w:val="000000" w:themeColor="text1"/>
        </w:rPr>
        <w:t xml:space="preserve"> of the apparatus 30 min after treatment and observed for 5 min. The number of line crossings, rearing episodes, grooming frequency, and immobility time were recorded. Increased locomotor and exploratory activities accompanied by reduced immobility were considered indicative of CNS stimulation.</w:t>
      </w:r>
    </w:p>
    <w:p w14:paraId="1B5C70A0" w14:textId="4A780DB4" w:rsidR="000676C6" w:rsidRPr="004221A9" w:rsidRDefault="0016673D" w:rsidP="00A756BD">
      <w:pPr>
        <w:pStyle w:val="Titre3"/>
        <w:spacing w:before="0" w:after="160" w:line="240" w:lineRule="auto"/>
        <w:jc w:val="both"/>
        <w:rPr>
          <w:rFonts w:ascii="Times New Roman" w:hAnsi="Times New Roman" w:cs="Times New Roman"/>
          <w:color w:val="000000" w:themeColor="text1"/>
        </w:rPr>
      </w:pPr>
      <w:r w:rsidRPr="004221A9">
        <w:rPr>
          <w:rFonts w:ascii="Times New Roman" w:hAnsi="Times New Roman" w:cs="Times New Roman"/>
          <w:b/>
          <w:bCs/>
          <w:color w:val="000000" w:themeColor="text1"/>
        </w:rPr>
        <w:t xml:space="preserve">2.8 </w:t>
      </w:r>
      <w:r w:rsidR="000676C6" w:rsidRPr="004221A9">
        <w:rPr>
          <w:rFonts w:ascii="Times New Roman" w:hAnsi="Times New Roman" w:cs="Times New Roman"/>
          <w:b/>
          <w:bCs/>
          <w:color w:val="000000" w:themeColor="text1"/>
        </w:rPr>
        <w:t>Statistical</w:t>
      </w:r>
      <w:r w:rsidR="000676C6" w:rsidRPr="004221A9">
        <w:rPr>
          <w:rFonts w:ascii="Times New Roman" w:hAnsi="Times New Roman" w:cs="Times New Roman"/>
          <w:color w:val="000000" w:themeColor="text1"/>
        </w:rPr>
        <w:t xml:space="preserve"> </w:t>
      </w:r>
      <w:r w:rsidR="000676C6" w:rsidRPr="004221A9">
        <w:rPr>
          <w:rFonts w:ascii="Times New Roman" w:hAnsi="Times New Roman" w:cs="Times New Roman"/>
          <w:b/>
          <w:bCs/>
          <w:color w:val="000000" w:themeColor="text1"/>
        </w:rPr>
        <w:t>analysis</w:t>
      </w:r>
    </w:p>
    <w:p w14:paraId="3D6FAAE0" w14:textId="47D639E3" w:rsidR="002C4FBB" w:rsidRPr="004221A9" w:rsidRDefault="002C4FBB" w:rsidP="00A756BD">
      <w:pPr>
        <w:pStyle w:val="Titre2"/>
        <w:spacing w:before="0" w:beforeAutospacing="0" w:after="160" w:afterAutospacing="0"/>
        <w:jc w:val="both"/>
        <w:rPr>
          <w:b w:val="0"/>
          <w:bCs w:val="0"/>
          <w:color w:val="000000" w:themeColor="text1"/>
          <w:sz w:val="24"/>
          <w:szCs w:val="24"/>
        </w:rPr>
      </w:pPr>
      <w:r w:rsidRPr="004221A9">
        <w:rPr>
          <w:b w:val="0"/>
          <w:bCs w:val="0"/>
          <w:color w:val="000000" w:themeColor="text1"/>
          <w:sz w:val="24"/>
          <w:szCs w:val="24"/>
        </w:rPr>
        <w:t xml:space="preserve">Experimental data were expressed as mean ± standard deviation (SD). Statistical comparisons among groups were performed using one-way analysis of variance (ANOVA) followed by Tukey's multiple comparison test using GraphPad Prism software. A value of </w:t>
      </w:r>
      <w:r w:rsidRPr="00901EA1">
        <w:rPr>
          <w:rStyle w:val="Accentuation"/>
          <w:b w:val="0"/>
          <w:bCs w:val="0"/>
          <w:color w:val="000000" w:themeColor="text1"/>
          <w:sz w:val="24"/>
          <w:szCs w:val="24"/>
          <w:highlight w:val="yellow"/>
        </w:rPr>
        <w:t>P</w:t>
      </w:r>
      <w:r w:rsidRPr="004221A9">
        <w:rPr>
          <w:b w:val="0"/>
          <w:bCs w:val="0"/>
          <w:color w:val="000000" w:themeColor="text1"/>
          <w:sz w:val="24"/>
          <w:szCs w:val="24"/>
        </w:rPr>
        <w:t xml:space="preserve"> &lt; 0.05 was considered statistically significant.</w:t>
      </w:r>
    </w:p>
    <w:p w14:paraId="00779B53" w14:textId="078E7B2C" w:rsidR="00A756BD" w:rsidRPr="004221A9" w:rsidRDefault="00A756BD" w:rsidP="00A756BD">
      <w:pPr>
        <w:pStyle w:val="Titre2"/>
        <w:spacing w:before="0" w:beforeAutospacing="0" w:after="160" w:afterAutospacing="0"/>
        <w:jc w:val="both"/>
        <w:rPr>
          <w:b w:val="0"/>
          <w:bCs w:val="0"/>
          <w:color w:val="000000" w:themeColor="text1"/>
          <w:sz w:val="24"/>
          <w:szCs w:val="24"/>
        </w:rPr>
      </w:pPr>
    </w:p>
    <w:p w14:paraId="00180D6C" w14:textId="77777777" w:rsidR="00A756BD" w:rsidRPr="004221A9" w:rsidRDefault="00A756BD" w:rsidP="00A756BD">
      <w:pPr>
        <w:pStyle w:val="Titre2"/>
        <w:spacing w:before="0" w:beforeAutospacing="0" w:after="160" w:afterAutospacing="0"/>
        <w:jc w:val="both"/>
        <w:rPr>
          <w:b w:val="0"/>
          <w:bCs w:val="0"/>
          <w:color w:val="000000" w:themeColor="text1"/>
          <w:sz w:val="24"/>
          <w:szCs w:val="24"/>
        </w:rPr>
      </w:pPr>
    </w:p>
    <w:p w14:paraId="7DFD93E8" w14:textId="6A64F09D" w:rsidR="006E779D" w:rsidRPr="004221A9" w:rsidRDefault="006E779D" w:rsidP="00A756BD">
      <w:pPr>
        <w:pStyle w:val="Titre2"/>
        <w:spacing w:before="0" w:beforeAutospacing="0" w:after="160" w:afterAutospacing="0"/>
        <w:jc w:val="both"/>
        <w:rPr>
          <w:color w:val="000000" w:themeColor="text1"/>
          <w:sz w:val="24"/>
          <w:szCs w:val="24"/>
        </w:rPr>
      </w:pPr>
      <w:r w:rsidRPr="004221A9">
        <w:rPr>
          <w:color w:val="000000" w:themeColor="text1"/>
          <w:sz w:val="24"/>
          <w:szCs w:val="24"/>
        </w:rPr>
        <w:lastRenderedPageBreak/>
        <w:t>3. RESULTS</w:t>
      </w:r>
    </w:p>
    <w:p w14:paraId="042019E1" w14:textId="77777777" w:rsidR="006E779D" w:rsidRPr="004221A9" w:rsidRDefault="006E779D"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3.1 Percentage Yield of the Ethanolic Extract</w:t>
      </w:r>
    </w:p>
    <w:p w14:paraId="5E8D841C" w14:textId="77777777" w:rsidR="006E779D" w:rsidRPr="004221A9" w:rsidRDefault="006E779D" w:rsidP="00A756BD">
      <w:pPr>
        <w:pStyle w:val="isselectedend"/>
        <w:spacing w:before="0" w:beforeAutospacing="0" w:after="160" w:afterAutospacing="0"/>
        <w:jc w:val="both"/>
        <w:rPr>
          <w:color w:val="000000" w:themeColor="text1"/>
        </w:rPr>
      </w:pPr>
      <w:r w:rsidRPr="004221A9">
        <w:rPr>
          <w:color w:val="000000" w:themeColor="text1"/>
        </w:rPr>
        <w:t xml:space="preserve">The ethanolic extraction of dried </w:t>
      </w:r>
      <w:r w:rsidRPr="004221A9">
        <w:rPr>
          <w:rStyle w:val="Accentuation"/>
          <w:rFonts w:eastAsiaTheme="majorEastAsia"/>
          <w:color w:val="000000" w:themeColor="text1"/>
        </w:rPr>
        <w:t>Cassia auriculata</w:t>
      </w:r>
      <w:r w:rsidRPr="004221A9">
        <w:rPr>
          <w:color w:val="000000" w:themeColor="text1"/>
        </w:rPr>
        <w:t xml:space="preserve"> flowers by Soxhlet apparatus yielded </w:t>
      </w:r>
      <w:r w:rsidRPr="004221A9">
        <w:rPr>
          <w:rStyle w:val="lev"/>
          <w:color w:val="000000" w:themeColor="text1"/>
        </w:rPr>
        <w:t>5.14% (w/w)</w:t>
      </w:r>
      <w:r w:rsidRPr="004221A9">
        <w:rPr>
          <w:color w:val="000000" w:themeColor="text1"/>
        </w:rPr>
        <w:t xml:space="preserve"> extract based on the dry weight of the plant material. The obtained extract was dark brown, semisolid in consistency, and possessed a characteristic </w:t>
      </w:r>
      <w:proofErr w:type="spellStart"/>
      <w:r w:rsidRPr="004221A9">
        <w:rPr>
          <w:color w:val="000000" w:themeColor="text1"/>
        </w:rPr>
        <w:t>odour</w:t>
      </w:r>
      <w:proofErr w:type="spellEnd"/>
      <w:r w:rsidRPr="004221A9">
        <w:rPr>
          <w:color w:val="000000" w:themeColor="text1"/>
        </w:rPr>
        <w:t>. The extract was stored under refrigerated conditions until further phytochemical and pharmacological investigations.</w:t>
      </w:r>
    </w:p>
    <w:p w14:paraId="761208ED" w14:textId="77777777" w:rsidR="006E779D" w:rsidRPr="004221A9" w:rsidRDefault="006E779D"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3.2 Preliminary Phytochemical Screening</w:t>
      </w:r>
    </w:p>
    <w:p w14:paraId="2CED5560" w14:textId="77777777" w:rsidR="006E779D" w:rsidRPr="004221A9" w:rsidRDefault="006E779D" w:rsidP="00A756BD">
      <w:pPr>
        <w:pStyle w:val="isselectedend"/>
        <w:spacing w:before="0" w:beforeAutospacing="0" w:after="160" w:afterAutospacing="0"/>
        <w:jc w:val="both"/>
        <w:rPr>
          <w:color w:val="000000" w:themeColor="text1"/>
        </w:rPr>
      </w:pPr>
      <w:r w:rsidRPr="004221A9">
        <w:rPr>
          <w:color w:val="000000" w:themeColor="text1"/>
        </w:rPr>
        <w:t xml:space="preserve">Qualitative phytochemical analysis of the ethanolic extract revealed the presence of several bioactive secondary metabolites. As presented in </w:t>
      </w:r>
      <w:r w:rsidRPr="004221A9">
        <w:rPr>
          <w:rStyle w:val="lev"/>
          <w:color w:val="000000" w:themeColor="text1"/>
        </w:rPr>
        <w:t>Table 1</w:t>
      </w:r>
      <w:r w:rsidRPr="004221A9">
        <w:rPr>
          <w:color w:val="000000" w:themeColor="text1"/>
        </w:rPr>
        <w:t xml:space="preserve">, alkaloids, glycosides, carbohydrates, saponins, proteins and amino acids, tannins, terpenoids, phenolic compounds, and flavonoids were detected in the extract, whereas gums and </w:t>
      </w:r>
      <w:proofErr w:type="spellStart"/>
      <w:r w:rsidRPr="004221A9">
        <w:rPr>
          <w:color w:val="000000" w:themeColor="text1"/>
        </w:rPr>
        <w:t>mucilages</w:t>
      </w:r>
      <w:proofErr w:type="spellEnd"/>
      <w:r w:rsidRPr="004221A9">
        <w:rPr>
          <w:color w:val="000000" w:themeColor="text1"/>
        </w:rPr>
        <w:t xml:space="preserve"> and coumarins were not observed.</w:t>
      </w:r>
    </w:p>
    <w:p w14:paraId="27F0FF4C" w14:textId="77777777" w:rsidR="006E779D" w:rsidRPr="004221A9" w:rsidRDefault="006E779D" w:rsidP="00A756BD">
      <w:pPr>
        <w:pStyle w:val="isselectedend"/>
        <w:spacing w:before="0" w:beforeAutospacing="0" w:after="160" w:afterAutospacing="0"/>
        <w:jc w:val="both"/>
        <w:rPr>
          <w:color w:val="000000" w:themeColor="text1"/>
        </w:rPr>
      </w:pPr>
      <w:r w:rsidRPr="004221A9">
        <w:rPr>
          <w:rStyle w:val="lev"/>
          <w:color w:val="000000" w:themeColor="text1"/>
        </w:rPr>
        <w:t xml:space="preserve">Table 1. Preliminary phytochemical constituents of the ethanolic extract of </w:t>
      </w:r>
      <w:r w:rsidRPr="004221A9">
        <w:rPr>
          <w:rStyle w:val="lev"/>
          <w:i/>
          <w:iCs/>
          <w:color w:val="000000" w:themeColor="text1"/>
        </w:rPr>
        <w:t>Cassia auriculata</w:t>
      </w:r>
      <w:r w:rsidRPr="004221A9">
        <w:rPr>
          <w:rStyle w:val="lev"/>
          <w:color w:val="000000" w:themeColor="text1"/>
        </w:rPr>
        <w:t xml:space="preserve"> flowers.</w:t>
      </w:r>
    </w:p>
    <w:tbl>
      <w:tblPr>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4621"/>
        <w:gridCol w:w="2813"/>
      </w:tblGrid>
      <w:tr w:rsidR="00B548D7" w:rsidRPr="004221A9" w14:paraId="0805FD27" w14:textId="77777777" w:rsidTr="00871EF0">
        <w:trPr>
          <w:trHeight w:val="327"/>
        </w:trPr>
        <w:tc>
          <w:tcPr>
            <w:tcW w:w="0" w:type="auto"/>
            <w:hideMark/>
          </w:tcPr>
          <w:p w14:paraId="6704C8C2"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S. No.</w:t>
            </w:r>
          </w:p>
        </w:tc>
        <w:tc>
          <w:tcPr>
            <w:tcW w:w="4621" w:type="dxa"/>
            <w:hideMark/>
          </w:tcPr>
          <w:p w14:paraId="3D969E22"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Phytoconstituent</w:t>
            </w:r>
          </w:p>
        </w:tc>
        <w:tc>
          <w:tcPr>
            <w:tcW w:w="2813" w:type="dxa"/>
            <w:hideMark/>
          </w:tcPr>
          <w:p w14:paraId="563D4828" w14:textId="77777777" w:rsidR="001B0A2B" w:rsidRPr="00901EA1" w:rsidRDefault="001B0A2B" w:rsidP="00A756BD">
            <w:pPr>
              <w:spacing w:line="240" w:lineRule="auto"/>
              <w:jc w:val="both"/>
              <w:rPr>
                <w:rFonts w:ascii="Times New Roman" w:eastAsia="Times New Roman" w:hAnsi="Times New Roman" w:cs="Times New Roman"/>
                <w:b/>
                <w:bCs/>
                <w:color w:val="000000" w:themeColor="text1"/>
                <w:sz w:val="24"/>
                <w:szCs w:val="24"/>
                <w:highlight w:val="yellow"/>
              </w:rPr>
            </w:pPr>
            <w:r w:rsidRPr="00901EA1">
              <w:rPr>
                <w:rFonts w:ascii="Times New Roman" w:eastAsia="Times New Roman" w:hAnsi="Times New Roman" w:cs="Times New Roman"/>
                <w:b/>
                <w:bCs/>
                <w:color w:val="000000" w:themeColor="text1"/>
                <w:sz w:val="24"/>
                <w:szCs w:val="24"/>
                <w:highlight w:val="yellow"/>
              </w:rPr>
              <w:t>Result</w:t>
            </w:r>
          </w:p>
        </w:tc>
      </w:tr>
      <w:tr w:rsidR="00B548D7" w:rsidRPr="004221A9" w14:paraId="1DBCA864" w14:textId="77777777" w:rsidTr="00871EF0">
        <w:trPr>
          <w:trHeight w:val="316"/>
        </w:trPr>
        <w:tc>
          <w:tcPr>
            <w:tcW w:w="0" w:type="auto"/>
            <w:hideMark/>
          </w:tcPr>
          <w:p w14:paraId="68CD73BE"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w:t>
            </w:r>
          </w:p>
        </w:tc>
        <w:tc>
          <w:tcPr>
            <w:tcW w:w="4621" w:type="dxa"/>
            <w:hideMark/>
          </w:tcPr>
          <w:p w14:paraId="2CDE312B"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Alkaloids</w:t>
            </w:r>
          </w:p>
        </w:tc>
        <w:tc>
          <w:tcPr>
            <w:tcW w:w="2813" w:type="dxa"/>
            <w:hideMark/>
          </w:tcPr>
          <w:p w14:paraId="6310FCBC"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r w:rsidR="00B548D7" w:rsidRPr="004221A9" w14:paraId="148D8EDE" w14:textId="77777777" w:rsidTr="00871EF0">
        <w:trPr>
          <w:trHeight w:val="327"/>
        </w:trPr>
        <w:tc>
          <w:tcPr>
            <w:tcW w:w="0" w:type="auto"/>
            <w:hideMark/>
          </w:tcPr>
          <w:p w14:paraId="6994D3FA"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2</w:t>
            </w:r>
          </w:p>
        </w:tc>
        <w:tc>
          <w:tcPr>
            <w:tcW w:w="4621" w:type="dxa"/>
            <w:hideMark/>
          </w:tcPr>
          <w:p w14:paraId="0D94FAE2"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Glycosides</w:t>
            </w:r>
          </w:p>
        </w:tc>
        <w:tc>
          <w:tcPr>
            <w:tcW w:w="2813" w:type="dxa"/>
            <w:hideMark/>
          </w:tcPr>
          <w:p w14:paraId="27697A82"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r w:rsidR="00B548D7" w:rsidRPr="004221A9" w14:paraId="0BE1CE65" w14:textId="77777777" w:rsidTr="00871EF0">
        <w:trPr>
          <w:trHeight w:val="316"/>
        </w:trPr>
        <w:tc>
          <w:tcPr>
            <w:tcW w:w="0" w:type="auto"/>
            <w:hideMark/>
          </w:tcPr>
          <w:p w14:paraId="15AE929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w:t>
            </w:r>
          </w:p>
        </w:tc>
        <w:tc>
          <w:tcPr>
            <w:tcW w:w="4621" w:type="dxa"/>
            <w:hideMark/>
          </w:tcPr>
          <w:p w14:paraId="653BAB89"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Carbohydrates</w:t>
            </w:r>
          </w:p>
        </w:tc>
        <w:tc>
          <w:tcPr>
            <w:tcW w:w="2813" w:type="dxa"/>
            <w:hideMark/>
          </w:tcPr>
          <w:p w14:paraId="3D309570"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r w:rsidR="00B548D7" w:rsidRPr="004221A9" w14:paraId="46CFFD29" w14:textId="77777777" w:rsidTr="00871EF0">
        <w:trPr>
          <w:trHeight w:val="327"/>
        </w:trPr>
        <w:tc>
          <w:tcPr>
            <w:tcW w:w="0" w:type="auto"/>
            <w:hideMark/>
          </w:tcPr>
          <w:p w14:paraId="70B7B0F6"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4</w:t>
            </w:r>
          </w:p>
        </w:tc>
        <w:tc>
          <w:tcPr>
            <w:tcW w:w="4621" w:type="dxa"/>
            <w:hideMark/>
          </w:tcPr>
          <w:p w14:paraId="520CB70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Saponins</w:t>
            </w:r>
          </w:p>
        </w:tc>
        <w:tc>
          <w:tcPr>
            <w:tcW w:w="2813" w:type="dxa"/>
            <w:hideMark/>
          </w:tcPr>
          <w:p w14:paraId="4CD5F2CA"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r w:rsidR="00B548D7" w:rsidRPr="004221A9" w14:paraId="145A52D4" w14:textId="77777777" w:rsidTr="00871EF0">
        <w:trPr>
          <w:trHeight w:val="327"/>
        </w:trPr>
        <w:tc>
          <w:tcPr>
            <w:tcW w:w="0" w:type="auto"/>
            <w:hideMark/>
          </w:tcPr>
          <w:p w14:paraId="342FD63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w:t>
            </w:r>
          </w:p>
        </w:tc>
        <w:tc>
          <w:tcPr>
            <w:tcW w:w="4621" w:type="dxa"/>
            <w:hideMark/>
          </w:tcPr>
          <w:p w14:paraId="2A39473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Proteins and Amino Acids</w:t>
            </w:r>
          </w:p>
        </w:tc>
        <w:tc>
          <w:tcPr>
            <w:tcW w:w="2813" w:type="dxa"/>
            <w:hideMark/>
          </w:tcPr>
          <w:p w14:paraId="726E8111"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r w:rsidR="00B548D7" w:rsidRPr="004221A9" w14:paraId="4EA5C44D" w14:textId="77777777" w:rsidTr="00871EF0">
        <w:trPr>
          <w:trHeight w:val="316"/>
        </w:trPr>
        <w:tc>
          <w:tcPr>
            <w:tcW w:w="0" w:type="auto"/>
            <w:hideMark/>
          </w:tcPr>
          <w:p w14:paraId="682846F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6</w:t>
            </w:r>
          </w:p>
        </w:tc>
        <w:tc>
          <w:tcPr>
            <w:tcW w:w="4621" w:type="dxa"/>
            <w:hideMark/>
          </w:tcPr>
          <w:p w14:paraId="6C3825A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Tannins</w:t>
            </w:r>
          </w:p>
        </w:tc>
        <w:tc>
          <w:tcPr>
            <w:tcW w:w="2813" w:type="dxa"/>
            <w:hideMark/>
          </w:tcPr>
          <w:p w14:paraId="410A993E"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r w:rsidR="00B548D7" w:rsidRPr="004221A9" w14:paraId="5D0FE2A5" w14:textId="77777777" w:rsidTr="00871EF0">
        <w:trPr>
          <w:trHeight w:val="327"/>
        </w:trPr>
        <w:tc>
          <w:tcPr>
            <w:tcW w:w="0" w:type="auto"/>
            <w:hideMark/>
          </w:tcPr>
          <w:p w14:paraId="4868A393"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7</w:t>
            </w:r>
          </w:p>
        </w:tc>
        <w:tc>
          <w:tcPr>
            <w:tcW w:w="4621" w:type="dxa"/>
            <w:hideMark/>
          </w:tcPr>
          <w:p w14:paraId="715823ED"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Terpenoids</w:t>
            </w:r>
          </w:p>
        </w:tc>
        <w:tc>
          <w:tcPr>
            <w:tcW w:w="2813" w:type="dxa"/>
            <w:hideMark/>
          </w:tcPr>
          <w:p w14:paraId="5D674005"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r w:rsidR="00B548D7" w:rsidRPr="004221A9" w14:paraId="5F3C8D22" w14:textId="77777777" w:rsidTr="00871EF0">
        <w:trPr>
          <w:trHeight w:val="316"/>
        </w:trPr>
        <w:tc>
          <w:tcPr>
            <w:tcW w:w="0" w:type="auto"/>
            <w:hideMark/>
          </w:tcPr>
          <w:p w14:paraId="4576C42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8</w:t>
            </w:r>
          </w:p>
        </w:tc>
        <w:tc>
          <w:tcPr>
            <w:tcW w:w="4621" w:type="dxa"/>
            <w:hideMark/>
          </w:tcPr>
          <w:p w14:paraId="78511CA8"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 xml:space="preserve">Gums and </w:t>
            </w:r>
            <w:proofErr w:type="spellStart"/>
            <w:r w:rsidRPr="004221A9">
              <w:rPr>
                <w:rFonts w:ascii="Times New Roman" w:eastAsia="Times New Roman" w:hAnsi="Times New Roman" w:cs="Times New Roman"/>
                <w:color w:val="000000" w:themeColor="text1"/>
                <w:sz w:val="24"/>
                <w:szCs w:val="24"/>
              </w:rPr>
              <w:t>Mucilages</w:t>
            </w:r>
            <w:proofErr w:type="spellEnd"/>
          </w:p>
        </w:tc>
        <w:tc>
          <w:tcPr>
            <w:tcW w:w="2813" w:type="dxa"/>
            <w:hideMark/>
          </w:tcPr>
          <w:p w14:paraId="5AC55436"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Absent (−)</w:t>
            </w:r>
          </w:p>
        </w:tc>
      </w:tr>
      <w:tr w:rsidR="00B548D7" w:rsidRPr="004221A9" w14:paraId="439C1ED2" w14:textId="77777777" w:rsidTr="00871EF0">
        <w:trPr>
          <w:trHeight w:val="327"/>
        </w:trPr>
        <w:tc>
          <w:tcPr>
            <w:tcW w:w="0" w:type="auto"/>
            <w:hideMark/>
          </w:tcPr>
          <w:p w14:paraId="30FF324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9</w:t>
            </w:r>
          </w:p>
        </w:tc>
        <w:tc>
          <w:tcPr>
            <w:tcW w:w="4621" w:type="dxa"/>
            <w:hideMark/>
          </w:tcPr>
          <w:p w14:paraId="4939DC30"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Coumarins</w:t>
            </w:r>
          </w:p>
        </w:tc>
        <w:tc>
          <w:tcPr>
            <w:tcW w:w="2813" w:type="dxa"/>
            <w:hideMark/>
          </w:tcPr>
          <w:p w14:paraId="4BC0EEF6"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Absent (−)</w:t>
            </w:r>
          </w:p>
        </w:tc>
      </w:tr>
      <w:tr w:rsidR="00B548D7" w:rsidRPr="004221A9" w14:paraId="6984031E" w14:textId="77777777" w:rsidTr="00871EF0">
        <w:trPr>
          <w:trHeight w:val="316"/>
        </w:trPr>
        <w:tc>
          <w:tcPr>
            <w:tcW w:w="0" w:type="auto"/>
            <w:hideMark/>
          </w:tcPr>
          <w:p w14:paraId="575734C1"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10</w:t>
            </w:r>
          </w:p>
        </w:tc>
        <w:tc>
          <w:tcPr>
            <w:tcW w:w="4621" w:type="dxa"/>
            <w:hideMark/>
          </w:tcPr>
          <w:p w14:paraId="478FC17B"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Phenolic Compounds</w:t>
            </w:r>
          </w:p>
        </w:tc>
        <w:tc>
          <w:tcPr>
            <w:tcW w:w="2813" w:type="dxa"/>
            <w:hideMark/>
          </w:tcPr>
          <w:p w14:paraId="70FE5EB4"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r w:rsidR="00B548D7" w:rsidRPr="004221A9" w14:paraId="1974E1C7" w14:textId="77777777" w:rsidTr="00871EF0">
        <w:trPr>
          <w:trHeight w:val="327"/>
        </w:trPr>
        <w:tc>
          <w:tcPr>
            <w:tcW w:w="0" w:type="auto"/>
            <w:hideMark/>
          </w:tcPr>
          <w:p w14:paraId="08788D1D"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11</w:t>
            </w:r>
          </w:p>
        </w:tc>
        <w:tc>
          <w:tcPr>
            <w:tcW w:w="4621" w:type="dxa"/>
            <w:hideMark/>
          </w:tcPr>
          <w:p w14:paraId="13CA44A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Flavonoids</w:t>
            </w:r>
          </w:p>
        </w:tc>
        <w:tc>
          <w:tcPr>
            <w:tcW w:w="2813" w:type="dxa"/>
            <w:hideMark/>
          </w:tcPr>
          <w:p w14:paraId="51B7F668" w14:textId="77777777" w:rsidR="001B0A2B" w:rsidRPr="00901EA1" w:rsidRDefault="001B0A2B" w:rsidP="00A756BD">
            <w:pPr>
              <w:spacing w:line="240" w:lineRule="auto"/>
              <w:jc w:val="both"/>
              <w:rPr>
                <w:rFonts w:ascii="Times New Roman" w:eastAsia="Times New Roman" w:hAnsi="Times New Roman" w:cs="Times New Roman"/>
                <w:color w:val="000000" w:themeColor="text1"/>
                <w:sz w:val="24"/>
                <w:szCs w:val="24"/>
                <w:highlight w:val="yellow"/>
              </w:rPr>
            </w:pPr>
            <w:r w:rsidRPr="00901EA1">
              <w:rPr>
                <w:rFonts w:ascii="Times New Roman" w:eastAsia="Times New Roman" w:hAnsi="Times New Roman" w:cs="Times New Roman"/>
                <w:color w:val="000000" w:themeColor="text1"/>
                <w:sz w:val="24"/>
                <w:szCs w:val="24"/>
                <w:highlight w:val="yellow"/>
              </w:rPr>
              <w:t>Present (+)</w:t>
            </w:r>
          </w:p>
        </w:tc>
      </w:tr>
    </w:tbl>
    <w:p w14:paraId="0FF20CF4" w14:textId="77777777" w:rsidR="006E779D" w:rsidRPr="004221A9" w:rsidRDefault="006E779D"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3.3 Acute Oral Toxicity Study</w:t>
      </w:r>
    </w:p>
    <w:p w14:paraId="53E795DA" w14:textId="35C79D52" w:rsidR="006E779D" w:rsidRPr="004221A9" w:rsidRDefault="006E779D" w:rsidP="00A756BD">
      <w:pPr>
        <w:pStyle w:val="isselectedend"/>
        <w:spacing w:before="0" w:beforeAutospacing="0" w:after="160" w:afterAutospacing="0"/>
        <w:jc w:val="both"/>
        <w:rPr>
          <w:color w:val="000000" w:themeColor="text1"/>
        </w:rPr>
      </w:pPr>
      <w:r w:rsidRPr="004221A9">
        <w:rPr>
          <w:color w:val="000000" w:themeColor="text1"/>
        </w:rPr>
        <w:t xml:space="preserve">The safety profile of the ethanolic extract was evaluated by acute oral toxicity testing. As summarized in </w:t>
      </w:r>
      <w:r w:rsidRPr="004221A9">
        <w:rPr>
          <w:rStyle w:val="lev"/>
          <w:color w:val="000000" w:themeColor="text1"/>
        </w:rPr>
        <w:t>Table 2</w:t>
      </w:r>
      <w:r w:rsidRPr="004221A9">
        <w:rPr>
          <w:color w:val="000000" w:themeColor="text1"/>
        </w:rPr>
        <w:t xml:space="preserve">, oral administration of the extract at a dose of </w:t>
      </w:r>
      <w:r w:rsidRPr="004221A9">
        <w:rPr>
          <w:rStyle w:val="lev"/>
          <w:color w:val="000000" w:themeColor="text1"/>
        </w:rPr>
        <w:t>2000 mg/kg body weight</w:t>
      </w:r>
      <w:r w:rsidRPr="004221A9">
        <w:rPr>
          <w:color w:val="000000" w:themeColor="text1"/>
        </w:rPr>
        <w:t xml:space="preserve"> did not produce mortality or any observable toxic manifestations during the study period. No abnormalities were observed in skin and fur appearance, salivation, tremors, convulsions, respiratory function, locomotor activity, or general </w:t>
      </w:r>
      <w:proofErr w:type="spellStart"/>
      <w:r w:rsidRPr="004221A9">
        <w:rPr>
          <w:color w:val="000000" w:themeColor="text1"/>
        </w:rPr>
        <w:t>behaviour</w:t>
      </w:r>
      <w:proofErr w:type="spellEnd"/>
      <w:r w:rsidRPr="004221A9">
        <w:rPr>
          <w:color w:val="000000" w:themeColor="text1"/>
        </w:rPr>
        <w:t xml:space="preserve">. Based on the absence of treatment-related toxicity, doses of </w:t>
      </w:r>
      <w:r w:rsidRPr="004221A9">
        <w:rPr>
          <w:rStyle w:val="lev"/>
          <w:color w:val="000000" w:themeColor="text1"/>
        </w:rPr>
        <w:t>200 mg/kg</w:t>
      </w:r>
      <w:r w:rsidRPr="004221A9">
        <w:rPr>
          <w:color w:val="000000" w:themeColor="text1"/>
        </w:rPr>
        <w:t xml:space="preserve"> and </w:t>
      </w:r>
      <w:r w:rsidRPr="004221A9">
        <w:rPr>
          <w:rStyle w:val="lev"/>
          <w:color w:val="000000" w:themeColor="text1"/>
        </w:rPr>
        <w:t>400 mg/kg</w:t>
      </w:r>
      <w:r w:rsidRPr="004221A9">
        <w:rPr>
          <w:color w:val="000000" w:themeColor="text1"/>
        </w:rPr>
        <w:t xml:space="preserve"> were selected for the subsequent evaluation of CNS stimulant activity.</w:t>
      </w:r>
    </w:p>
    <w:p w14:paraId="45EB3403" w14:textId="77777777" w:rsidR="00A756BD" w:rsidRPr="004221A9" w:rsidRDefault="00A756BD" w:rsidP="00A756BD">
      <w:pPr>
        <w:pStyle w:val="isselectedend"/>
        <w:spacing w:before="0" w:beforeAutospacing="0" w:after="160" w:afterAutospacing="0"/>
        <w:jc w:val="both"/>
        <w:rPr>
          <w:color w:val="000000" w:themeColor="text1"/>
        </w:rPr>
      </w:pPr>
    </w:p>
    <w:p w14:paraId="766CA249" w14:textId="77777777" w:rsidR="006E779D" w:rsidRPr="004221A9" w:rsidRDefault="006E779D" w:rsidP="00A756BD">
      <w:pPr>
        <w:pStyle w:val="NormalWeb"/>
        <w:spacing w:before="0" w:beforeAutospacing="0" w:after="160" w:afterAutospacing="0"/>
        <w:jc w:val="both"/>
        <w:rPr>
          <w:color w:val="000000" w:themeColor="text1"/>
        </w:rPr>
      </w:pPr>
      <w:r w:rsidRPr="004221A9">
        <w:rPr>
          <w:rStyle w:val="lev"/>
          <w:color w:val="000000" w:themeColor="text1"/>
        </w:rPr>
        <w:lastRenderedPageBreak/>
        <w:t xml:space="preserve">Table 2. Acute oral toxicity observations of the ethanolic extract of </w:t>
      </w:r>
      <w:r w:rsidRPr="004221A9">
        <w:rPr>
          <w:rStyle w:val="lev"/>
          <w:i/>
          <w:iCs/>
          <w:color w:val="000000" w:themeColor="text1"/>
        </w:rPr>
        <w:t>Cassia auriculata</w:t>
      </w:r>
      <w:r w:rsidRPr="004221A9">
        <w:rPr>
          <w:rStyle w:val="lev"/>
          <w:color w:val="000000" w:themeColor="text1"/>
        </w:rPr>
        <w:t xml:space="preserve"> flowers.</w:t>
      </w:r>
    </w:p>
    <w:tbl>
      <w:tblPr>
        <w:tblW w:w="6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2343"/>
      </w:tblGrid>
      <w:tr w:rsidR="00B548D7" w:rsidRPr="004221A9" w14:paraId="108C8640" w14:textId="77777777" w:rsidTr="00871EF0">
        <w:trPr>
          <w:trHeight w:val="413"/>
          <w:jc w:val="center"/>
        </w:trPr>
        <w:tc>
          <w:tcPr>
            <w:tcW w:w="0" w:type="auto"/>
            <w:hideMark/>
          </w:tcPr>
          <w:p w14:paraId="52A85AAD"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Parameter</w:t>
            </w:r>
          </w:p>
        </w:tc>
        <w:tc>
          <w:tcPr>
            <w:tcW w:w="0" w:type="auto"/>
            <w:hideMark/>
          </w:tcPr>
          <w:p w14:paraId="1FAB7AA3"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Observation</w:t>
            </w:r>
          </w:p>
        </w:tc>
      </w:tr>
      <w:tr w:rsidR="00B548D7" w:rsidRPr="004221A9" w14:paraId="13368622" w14:textId="77777777" w:rsidTr="00871EF0">
        <w:trPr>
          <w:trHeight w:val="428"/>
          <w:jc w:val="center"/>
        </w:trPr>
        <w:tc>
          <w:tcPr>
            <w:tcW w:w="0" w:type="auto"/>
            <w:hideMark/>
          </w:tcPr>
          <w:p w14:paraId="7A070037"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Mortality</w:t>
            </w:r>
          </w:p>
        </w:tc>
        <w:tc>
          <w:tcPr>
            <w:tcW w:w="0" w:type="auto"/>
            <w:hideMark/>
          </w:tcPr>
          <w:p w14:paraId="79A03C4E"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79B5FE23" w14:textId="77777777" w:rsidTr="00871EF0">
        <w:trPr>
          <w:trHeight w:val="413"/>
          <w:jc w:val="center"/>
        </w:trPr>
        <w:tc>
          <w:tcPr>
            <w:tcW w:w="0" w:type="auto"/>
            <w:hideMark/>
          </w:tcPr>
          <w:p w14:paraId="2DC47B5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Changes in Skin and Fur</w:t>
            </w:r>
          </w:p>
        </w:tc>
        <w:tc>
          <w:tcPr>
            <w:tcW w:w="0" w:type="auto"/>
            <w:hideMark/>
          </w:tcPr>
          <w:p w14:paraId="65BC0919"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4FCDA866" w14:textId="77777777" w:rsidTr="00871EF0">
        <w:trPr>
          <w:trHeight w:val="428"/>
          <w:jc w:val="center"/>
        </w:trPr>
        <w:tc>
          <w:tcPr>
            <w:tcW w:w="0" w:type="auto"/>
            <w:hideMark/>
          </w:tcPr>
          <w:p w14:paraId="55E380C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Salivation</w:t>
            </w:r>
          </w:p>
        </w:tc>
        <w:tc>
          <w:tcPr>
            <w:tcW w:w="0" w:type="auto"/>
            <w:hideMark/>
          </w:tcPr>
          <w:p w14:paraId="13D0E429"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6B5C36B5" w14:textId="77777777" w:rsidTr="00871EF0">
        <w:trPr>
          <w:trHeight w:val="413"/>
          <w:jc w:val="center"/>
        </w:trPr>
        <w:tc>
          <w:tcPr>
            <w:tcW w:w="0" w:type="auto"/>
            <w:hideMark/>
          </w:tcPr>
          <w:p w14:paraId="1FC2310A"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Tremors</w:t>
            </w:r>
          </w:p>
        </w:tc>
        <w:tc>
          <w:tcPr>
            <w:tcW w:w="0" w:type="auto"/>
            <w:hideMark/>
          </w:tcPr>
          <w:p w14:paraId="77E01A41"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474E8F19" w14:textId="77777777" w:rsidTr="00871EF0">
        <w:trPr>
          <w:trHeight w:val="428"/>
          <w:jc w:val="center"/>
        </w:trPr>
        <w:tc>
          <w:tcPr>
            <w:tcW w:w="0" w:type="auto"/>
            <w:hideMark/>
          </w:tcPr>
          <w:p w14:paraId="4BABAAC6"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Convulsions</w:t>
            </w:r>
          </w:p>
        </w:tc>
        <w:tc>
          <w:tcPr>
            <w:tcW w:w="0" w:type="auto"/>
            <w:hideMark/>
          </w:tcPr>
          <w:p w14:paraId="13C352D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7CBEAC23" w14:textId="77777777" w:rsidTr="00871EF0">
        <w:trPr>
          <w:trHeight w:val="428"/>
          <w:jc w:val="center"/>
        </w:trPr>
        <w:tc>
          <w:tcPr>
            <w:tcW w:w="0" w:type="auto"/>
            <w:hideMark/>
          </w:tcPr>
          <w:p w14:paraId="2BD48F5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Respiratory Distress</w:t>
            </w:r>
          </w:p>
        </w:tc>
        <w:tc>
          <w:tcPr>
            <w:tcW w:w="0" w:type="auto"/>
            <w:hideMark/>
          </w:tcPr>
          <w:p w14:paraId="148CE876"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10B093EE" w14:textId="77777777" w:rsidTr="00871EF0">
        <w:trPr>
          <w:trHeight w:val="413"/>
          <w:jc w:val="center"/>
        </w:trPr>
        <w:tc>
          <w:tcPr>
            <w:tcW w:w="0" w:type="auto"/>
            <w:hideMark/>
          </w:tcPr>
          <w:p w14:paraId="39DEC08A"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Behavioral Abnormalities</w:t>
            </w:r>
          </w:p>
        </w:tc>
        <w:tc>
          <w:tcPr>
            <w:tcW w:w="0" w:type="auto"/>
            <w:hideMark/>
          </w:tcPr>
          <w:p w14:paraId="318D317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7BC4DD48" w14:textId="77777777" w:rsidTr="00871EF0">
        <w:trPr>
          <w:trHeight w:val="428"/>
          <w:jc w:val="center"/>
        </w:trPr>
        <w:tc>
          <w:tcPr>
            <w:tcW w:w="0" w:type="auto"/>
            <w:hideMark/>
          </w:tcPr>
          <w:p w14:paraId="6127CD2D"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Coma</w:t>
            </w:r>
          </w:p>
        </w:tc>
        <w:tc>
          <w:tcPr>
            <w:tcW w:w="0" w:type="auto"/>
            <w:hideMark/>
          </w:tcPr>
          <w:p w14:paraId="4EF72EA2"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6AE406A4" w14:textId="77777777" w:rsidTr="00871EF0">
        <w:trPr>
          <w:trHeight w:val="413"/>
          <w:jc w:val="center"/>
        </w:trPr>
        <w:tc>
          <w:tcPr>
            <w:tcW w:w="0" w:type="auto"/>
            <w:hideMark/>
          </w:tcPr>
          <w:p w14:paraId="4A6A0A97"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Locomotor Impairment</w:t>
            </w:r>
          </w:p>
        </w:tc>
        <w:tc>
          <w:tcPr>
            <w:tcW w:w="0" w:type="auto"/>
            <w:hideMark/>
          </w:tcPr>
          <w:p w14:paraId="6125315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bl>
    <w:p w14:paraId="4A8511C7" w14:textId="77777777" w:rsidR="001B0A2B" w:rsidRPr="004221A9" w:rsidRDefault="001B0A2B" w:rsidP="00A756BD">
      <w:pPr>
        <w:spacing w:line="240" w:lineRule="auto"/>
        <w:jc w:val="both"/>
        <w:outlineLvl w:val="1"/>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3.4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Spontaneous Locomotor Activity</w:t>
      </w:r>
    </w:p>
    <w:p w14:paraId="6E07E425" w14:textId="2CB1711D"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 xml:space="preserve">The effect of the ethanolic extract on spontaneous locomotor activity was evaluated using a digital </w:t>
      </w:r>
      <w:proofErr w:type="spellStart"/>
      <w:r w:rsidRPr="004221A9">
        <w:rPr>
          <w:rFonts w:ascii="Times New Roman" w:eastAsia="Times New Roman" w:hAnsi="Times New Roman" w:cs="Times New Roman"/>
          <w:color w:val="000000" w:themeColor="text1"/>
          <w:sz w:val="24"/>
          <w:szCs w:val="24"/>
        </w:rPr>
        <w:t>actophotometer</w:t>
      </w:r>
      <w:proofErr w:type="spellEnd"/>
      <w:r w:rsidRPr="004221A9">
        <w:rPr>
          <w:rFonts w:ascii="Times New Roman" w:eastAsia="Times New Roman" w:hAnsi="Times New Roman" w:cs="Times New Roman"/>
          <w:color w:val="000000" w:themeColor="text1"/>
          <w:sz w:val="24"/>
          <w:szCs w:val="24"/>
        </w:rPr>
        <w:t xml:space="preserve">. The results are presented in </w:t>
      </w:r>
      <w:r w:rsidRPr="004221A9">
        <w:rPr>
          <w:rFonts w:ascii="Times New Roman" w:eastAsia="Times New Roman" w:hAnsi="Times New Roman" w:cs="Times New Roman"/>
          <w:b/>
          <w:bCs/>
          <w:color w:val="000000" w:themeColor="text1"/>
          <w:sz w:val="24"/>
          <w:szCs w:val="24"/>
        </w:rPr>
        <w:t>Table 3</w:t>
      </w:r>
      <w:r w:rsidRPr="004221A9">
        <w:rPr>
          <w:rFonts w:ascii="Times New Roman" w:eastAsia="Times New Roman" w:hAnsi="Times New Roman" w:cs="Times New Roman"/>
          <w:color w:val="000000" w:themeColor="text1"/>
          <w:sz w:val="24"/>
          <w:szCs w:val="24"/>
        </w:rPr>
        <w:t xml:space="preserve"> and </w:t>
      </w:r>
      <w:r w:rsidRPr="004221A9">
        <w:rPr>
          <w:rFonts w:ascii="Times New Roman" w:eastAsia="Times New Roman" w:hAnsi="Times New Roman" w:cs="Times New Roman"/>
          <w:b/>
          <w:bCs/>
          <w:color w:val="000000" w:themeColor="text1"/>
          <w:sz w:val="24"/>
          <w:szCs w:val="24"/>
        </w:rPr>
        <w:t>Figure 1</w:t>
      </w:r>
      <w:r w:rsidRPr="004221A9">
        <w:rPr>
          <w:rFonts w:ascii="Times New Roman" w:eastAsia="Times New Roman" w:hAnsi="Times New Roman" w:cs="Times New Roman"/>
          <w:color w:val="000000" w:themeColor="text1"/>
          <w:sz w:val="24"/>
          <w:szCs w:val="24"/>
        </w:rPr>
        <w:t xml:space="preserve">. The control group exhibited a percentage increase in locomotor activity of </w:t>
      </w:r>
      <w:r w:rsidRPr="004221A9">
        <w:rPr>
          <w:rFonts w:ascii="Times New Roman" w:eastAsia="Times New Roman" w:hAnsi="Times New Roman" w:cs="Times New Roman"/>
          <w:b/>
          <w:bCs/>
          <w:color w:val="000000" w:themeColor="text1"/>
          <w:sz w:val="24"/>
          <w:szCs w:val="24"/>
        </w:rPr>
        <w:t>3.68 ± 2.22%</w:t>
      </w:r>
      <w:r w:rsidRPr="004221A9">
        <w:rPr>
          <w:rFonts w:ascii="Times New Roman" w:eastAsia="Times New Roman" w:hAnsi="Times New Roman" w:cs="Times New Roman"/>
          <w:color w:val="000000" w:themeColor="text1"/>
          <w:sz w:val="24"/>
          <w:szCs w:val="24"/>
        </w:rPr>
        <w:t xml:space="preserve">. Administration of caffeine (20 mg/kg) significantly increased locomotor activity to </w:t>
      </w:r>
      <w:r w:rsidRPr="004221A9">
        <w:rPr>
          <w:rFonts w:ascii="Times New Roman" w:eastAsia="Times New Roman" w:hAnsi="Times New Roman" w:cs="Times New Roman"/>
          <w:b/>
          <w:bCs/>
          <w:color w:val="000000" w:themeColor="text1"/>
          <w:sz w:val="24"/>
          <w:szCs w:val="24"/>
        </w:rPr>
        <w:t>46.49 ± 2.57%</w:t>
      </w:r>
      <w:r w:rsidRPr="004221A9">
        <w:rPr>
          <w:rFonts w:ascii="Times New Roman" w:eastAsia="Times New Roman" w:hAnsi="Times New Roman" w:cs="Times New Roman"/>
          <w:color w:val="000000" w:themeColor="text1"/>
          <w:sz w:val="24"/>
          <w:szCs w:val="24"/>
        </w:rPr>
        <w:t xml:space="preserve"> (*</w:t>
      </w:r>
      <w:r w:rsidR="003E69C2"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901EA1">
        <w:rPr>
          <w:rFonts w:ascii="Times New Roman" w:eastAsia="Times New Roman" w:hAnsi="Times New Roman" w:cs="Times New Roman"/>
          <w:i/>
          <w:iCs/>
          <w:color w:val="000000" w:themeColor="text1"/>
          <w:sz w:val="24"/>
          <w:szCs w:val="24"/>
          <w:highlight w:val="yellow"/>
        </w:rPr>
        <w:t>P</w:t>
      </w:r>
      <w:r w:rsidRPr="004221A9">
        <w:rPr>
          <w:rFonts w:ascii="Times New Roman" w:eastAsia="Times New Roman" w:hAnsi="Times New Roman" w:cs="Times New Roman"/>
          <w:color w:val="000000" w:themeColor="text1"/>
          <w:sz w:val="24"/>
          <w:szCs w:val="24"/>
        </w:rPr>
        <w:t xml:space="preserve"> &lt; 0.001 vs. control). Treatment with the ethanolic extract also produced a significant increase in locomotor activity at both dose levels. Animals receiving </w:t>
      </w:r>
      <w:r w:rsidRPr="004221A9">
        <w:rPr>
          <w:rFonts w:ascii="Times New Roman" w:eastAsia="Times New Roman" w:hAnsi="Times New Roman" w:cs="Times New Roman"/>
          <w:b/>
          <w:bCs/>
          <w:color w:val="000000" w:themeColor="text1"/>
          <w:sz w:val="24"/>
          <w:szCs w:val="24"/>
        </w:rPr>
        <w:t>200 mg/kg</w:t>
      </w:r>
      <w:r w:rsidRPr="004221A9">
        <w:rPr>
          <w:rFonts w:ascii="Times New Roman" w:eastAsia="Times New Roman" w:hAnsi="Times New Roman" w:cs="Times New Roman"/>
          <w:color w:val="000000" w:themeColor="text1"/>
          <w:sz w:val="24"/>
          <w:szCs w:val="24"/>
        </w:rPr>
        <w:t xml:space="preserve"> showed a percentage increase of </w:t>
      </w:r>
      <w:r w:rsidRPr="004221A9">
        <w:rPr>
          <w:rFonts w:ascii="Times New Roman" w:eastAsia="Times New Roman" w:hAnsi="Times New Roman" w:cs="Times New Roman"/>
          <w:b/>
          <w:bCs/>
          <w:color w:val="000000" w:themeColor="text1"/>
          <w:sz w:val="24"/>
          <w:szCs w:val="24"/>
        </w:rPr>
        <w:t>48.56 ± 2.67%</w:t>
      </w:r>
      <w:r w:rsidRPr="004221A9">
        <w:rPr>
          <w:rFonts w:ascii="Times New Roman" w:eastAsia="Times New Roman" w:hAnsi="Times New Roman" w:cs="Times New Roman"/>
          <w:color w:val="000000" w:themeColor="text1"/>
          <w:sz w:val="24"/>
          <w:szCs w:val="24"/>
        </w:rPr>
        <w:t xml:space="preserve"> (*</w:t>
      </w:r>
      <w:r w:rsidR="003E69C2"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E328CD">
        <w:rPr>
          <w:rFonts w:ascii="Times New Roman" w:eastAsia="Times New Roman" w:hAnsi="Times New Roman" w:cs="Times New Roman"/>
          <w:i/>
          <w:iCs/>
          <w:color w:val="000000" w:themeColor="text1"/>
          <w:sz w:val="24"/>
          <w:szCs w:val="24"/>
          <w:highlight w:val="yellow"/>
        </w:rPr>
        <w:t>P</w:t>
      </w:r>
      <w:r w:rsidRPr="004221A9">
        <w:rPr>
          <w:rFonts w:ascii="Times New Roman" w:eastAsia="Times New Roman" w:hAnsi="Times New Roman" w:cs="Times New Roman"/>
          <w:color w:val="000000" w:themeColor="text1"/>
          <w:sz w:val="24"/>
          <w:szCs w:val="24"/>
        </w:rPr>
        <w:t xml:space="preserve"> &lt; 0.001), while administration of </w:t>
      </w:r>
      <w:r w:rsidRPr="004221A9">
        <w:rPr>
          <w:rFonts w:ascii="Times New Roman" w:eastAsia="Times New Roman" w:hAnsi="Times New Roman" w:cs="Times New Roman"/>
          <w:b/>
          <w:bCs/>
          <w:color w:val="000000" w:themeColor="text1"/>
          <w:sz w:val="24"/>
          <w:szCs w:val="24"/>
        </w:rPr>
        <w:t>400 mg/kg</w:t>
      </w:r>
      <w:r w:rsidRPr="004221A9">
        <w:rPr>
          <w:rFonts w:ascii="Times New Roman" w:eastAsia="Times New Roman" w:hAnsi="Times New Roman" w:cs="Times New Roman"/>
          <w:color w:val="000000" w:themeColor="text1"/>
          <w:sz w:val="24"/>
          <w:szCs w:val="24"/>
        </w:rPr>
        <w:t xml:space="preserve"> resulted in the highest increase (</w:t>
      </w:r>
      <w:r w:rsidRPr="004221A9">
        <w:rPr>
          <w:rFonts w:ascii="Times New Roman" w:eastAsia="Times New Roman" w:hAnsi="Times New Roman" w:cs="Times New Roman"/>
          <w:b/>
          <w:bCs/>
          <w:color w:val="000000" w:themeColor="text1"/>
          <w:sz w:val="24"/>
          <w:szCs w:val="24"/>
        </w:rPr>
        <w:t>58.12 ± 2.89%</w:t>
      </w:r>
      <w:r w:rsidRPr="004221A9">
        <w:rPr>
          <w:rFonts w:ascii="Times New Roman" w:eastAsia="Times New Roman" w:hAnsi="Times New Roman" w:cs="Times New Roman"/>
          <w:color w:val="000000" w:themeColor="text1"/>
          <w:sz w:val="24"/>
          <w:szCs w:val="24"/>
        </w:rPr>
        <w:t>, *</w:t>
      </w:r>
      <w:r w:rsidR="003E69C2"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E328CD">
        <w:rPr>
          <w:rFonts w:ascii="Times New Roman" w:eastAsia="Times New Roman" w:hAnsi="Times New Roman" w:cs="Times New Roman"/>
          <w:i/>
          <w:iCs/>
          <w:color w:val="000000" w:themeColor="text1"/>
          <w:sz w:val="24"/>
          <w:szCs w:val="24"/>
          <w:highlight w:val="yellow"/>
        </w:rPr>
        <w:t>P</w:t>
      </w:r>
      <w:r w:rsidRPr="004221A9">
        <w:rPr>
          <w:rFonts w:ascii="Times New Roman" w:eastAsia="Times New Roman" w:hAnsi="Times New Roman" w:cs="Times New Roman"/>
          <w:color w:val="000000" w:themeColor="text1"/>
          <w:sz w:val="24"/>
          <w:szCs w:val="24"/>
        </w:rPr>
        <w:t xml:space="preserve"> &lt; 0.001). The increase in locomotor activity was dose dependent, with the higher dose producing greater activity counts than the lower dose.</w:t>
      </w:r>
    </w:p>
    <w:p w14:paraId="3FC84C03" w14:textId="0DB9A91D"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Table 3.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spontaneous locomotor activity</w:t>
      </w:r>
      <w:r w:rsidR="00231D51" w:rsidRPr="004221A9">
        <w:rPr>
          <w:rFonts w:ascii="Times New Roman" w:eastAsia="Times New Roman" w:hAnsi="Times New Roman" w:cs="Times New Roman"/>
          <w:b/>
          <w:bCs/>
          <w:color w:val="000000" w:themeColor="text1"/>
          <w:sz w:val="24"/>
          <w:szCs w:val="24"/>
        </w:rPr>
        <w:t>.</w:t>
      </w:r>
    </w:p>
    <w:tbl>
      <w:tblPr>
        <w:tblStyle w:val="Grilledutableau"/>
        <w:tblW w:w="0" w:type="auto"/>
        <w:tblLook w:val="04A0" w:firstRow="1" w:lastRow="0" w:firstColumn="1" w:lastColumn="0" w:noHBand="0" w:noVBand="1"/>
      </w:tblPr>
      <w:tblGrid>
        <w:gridCol w:w="1709"/>
        <w:gridCol w:w="2570"/>
        <w:gridCol w:w="3009"/>
        <w:gridCol w:w="2062"/>
      </w:tblGrid>
      <w:tr w:rsidR="00B548D7" w:rsidRPr="004221A9" w14:paraId="69747D6D" w14:textId="77777777" w:rsidTr="00555094">
        <w:tc>
          <w:tcPr>
            <w:tcW w:w="0" w:type="auto"/>
            <w:hideMark/>
          </w:tcPr>
          <w:p w14:paraId="0F0C773A" w14:textId="40F7FBAB"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Group</w:t>
            </w:r>
          </w:p>
        </w:tc>
        <w:tc>
          <w:tcPr>
            <w:tcW w:w="0" w:type="auto"/>
            <w:hideMark/>
          </w:tcPr>
          <w:p w14:paraId="6C469534" w14:textId="06DD5CCE"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Basal Activity Score (Mean ± SD)</w:t>
            </w:r>
          </w:p>
        </w:tc>
        <w:tc>
          <w:tcPr>
            <w:tcW w:w="0" w:type="auto"/>
            <w:hideMark/>
          </w:tcPr>
          <w:p w14:paraId="6AD6E160" w14:textId="685D3D32"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Activity Score After 30 min (Mean ± SD)</w:t>
            </w:r>
          </w:p>
        </w:tc>
        <w:tc>
          <w:tcPr>
            <w:tcW w:w="0" w:type="auto"/>
            <w:hideMark/>
          </w:tcPr>
          <w:p w14:paraId="509118E2" w14:textId="4342B811"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 Increase (Mean ± SD)</w:t>
            </w:r>
          </w:p>
        </w:tc>
      </w:tr>
      <w:tr w:rsidR="00B548D7" w:rsidRPr="004221A9" w14:paraId="2F119E47" w14:textId="77777777" w:rsidTr="00555094">
        <w:tc>
          <w:tcPr>
            <w:tcW w:w="0" w:type="auto"/>
            <w:hideMark/>
          </w:tcPr>
          <w:p w14:paraId="34FCAAF2"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Control</w:t>
            </w:r>
          </w:p>
        </w:tc>
        <w:tc>
          <w:tcPr>
            <w:tcW w:w="0" w:type="auto"/>
            <w:hideMark/>
          </w:tcPr>
          <w:p w14:paraId="5C36D26A"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326 ± 5.62</w:t>
            </w:r>
          </w:p>
        </w:tc>
        <w:tc>
          <w:tcPr>
            <w:tcW w:w="0" w:type="auto"/>
            <w:hideMark/>
          </w:tcPr>
          <w:p w14:paraId="3E3317CE"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338 ± 4.29</w:t>
            </w:r>
          </w:p>
        </w:tc>
        <w:tc>
          <w:tcPr>
            <w:tcW w:w="0" w:type="auto"/>
            <w:hideMark/>
          </w:tcPr>
          <w:p w14:paraId="492517DF"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3.68 ± 2.22</w:t>
            </w:r>
          </w:p>
        </w:tc>
      </w:tr>
      <w:tr w:rsidR="00B548D7" w:rsidRPr="004221A9" w14:paraId="71D98CC9" w14:textId="77777777" w:rsidTr="00555094">
        <w:tc>
          <w:tcPr>
            <w:tcW w:w="0" w:type="auto"/>
            <w:hideMark/>
          </w:tcPr>
          <w:p w14:paraId="51F1E29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Caffeine (20 mg/kg)</w:t>
            </w:r>
          </w:p>
        </w:tc>
        <w:tc>
          <w:tcPr>
            <w:tcW w:w="0" w:type="auto"/>
            <w:hideMark/>
          </w:tcPr>
          <w:p w14:paraId="478E515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342 ± 5.46</w:t>
            </w:r>
          </w:p>
        </w:tc>
        <w:tc>
          <w:tcPr>
            <w:tcW w:w="0" w:type="auto"/>
            <w:hideMark/>
          </w:tcPr>
          <w:p w14:paraId="39D3169A"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501 ± 3.64</w:t>
            </w:r>
          </w:p>
        </w:tc>
        <w:tc>
          <w:tcPr>
            <w:tcW w:w="0" w:type="auto"/>
            <w:hideMark/>
          </w:tcPr>
          <w:p w14:paraId="7216DAEC"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46.49 ± 2.57***</w:t>
            </w:r>
          </w:p>
        </w:tc>
      </w:tr>
      <w:tr w:rsidR="00B548D7" w:rsidRPr="004221A9" w14:paraId="77C0A3B1" w14:textId="77777777" w:rsidTr="00555094">
        <w:tc>
          <w:tcPr>
            <w:tcW w:w="0" w:type="auto"/>
            <w:hideMark/>
          </w:tcPr>
          <w:p w14:paraId="41FB015E"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(200 mg/kg)</w:t>
            </w:r>
          </w:p>
        </w:tc>
        <w:tc>
          <w:tcPr>
            <w:tcW w:w="0" w:type="auto"/>
            <w:hideMark/>
          </w:tcPr>
          <w:p w14:paraId="557040D9"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348 ± 4.19</w:t>
            </w:r>
          </w:p>
        </w:tc>
        <w:tc>
          <w:tcPr>
            <w:tcW w:w="0" w:type="auto"/>
            <w:hideMark/>
          </w:tcPr>
          <w:p w14:paraId="4E74AC88"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517 ± 6.92</w:t>
            </w:r>
          </w:p>
        </w:tc>
        <w:tc>
          <w:tcPr>
            <w:tcW w:w="0" w:type="auto"/>
            <w:hideMark/>
          </w:tcPr>
          <w:p w14:paraId="6D0BC63A"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48.56 ± 2.67***</w:t>
            </w:r>
          </w:p>
        </w:tc>
      </w:tr>
      <w:tr w:rsidR="00B548D7" w:rsidRPr="004221A9" w14:paraId="775A3B3A" w14:textId="77777777" w:rsidTr="00555094">
        <w:tc>
          <w:tcPr>
            <w:tcW w:w="0" w:type="auto"/>
            <w:hideMark/>
          </w:tcPr>
          <w:p w14:paraId="3454AA9F"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(400 mg/kg)</w:t>
            </w:r>
          </w:p>
        </w:tc>
        <w:tc>
          <w:tcPr>
            <w:tcW w:w="0" w:type="auto"/>
            <w:hideMark/>
          </w:tcPr>
          <w:p w14:paraId="2F227034"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351 ± 5.24</w:t>
            </w:r>
          </w:p>
        </w:tc>
        <w:tc>
          <w:tcPr>
            <w:tcW w:w="0" w:type="auto"/>
            <w:hideMark/>
          </w:tcPr>
          <w:p w14:paraId="5737379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555 ± 5.87</w:t>
            </w:r>
          </w:p>
        </w:tc>
        <w:tc>
          <w:tcPr>
            <w:tcW w:w="0" w:type="auto"/>
            <w:hideMark/>
          </w:tcPr>
          <w:p w14:paraId="7C5C2DE9"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58.12 ± 2.89***</w:t>
            </w:r>
          </w:p>
        </w:tc>
      </w:tr>
    </w:tbl>
    <w:p w14:paraId="03E2E888" w14:textId="6D6C8EDB" w:rsidR="003E69C2" w:rsidRPr="004221A9" w:rsidRDefault="003E69C2" w:rsidP="00A756BD">
      <w:pPr>
        <w:pStyle w:val="NormalWeb"/>
        <w:spacing w:before="0" w:beforeAutospacing="0" w:after="160" w:afterAutospacing="0"/>
        <w:jc w:val="both"/>
        <w:rPr>
          <w:rStyle w:val="lev"/>
          <w:color w:val="000000" w:themeColor="text1"/>
        </w:rPr>
      </w:pPr>
      <w:r w:rsidRPr="004221A9">
        <w:rPr>
          <w:color w:val="000000" w:themeColor="text1"/>
        </w:rPr>
        <w:t>Values are expressed as mean ± SD (n = 6). Statistical analysis was performed using one-way ANOVA followed by Tukey's multiple comparison test. ***</w:t>
      </w:r>
      <w:r w:rsidRPr="00E328CD">
        <w:rPr>
          <w:rStyle w:val="Accentuation"/>
          <w:color w:val="000000" w:themeColor="text1"/>
          <w:highlight w:val="yellow"/>
        </w:rPr>
        <w:t>P</w:t>
      </w:r>
      <w:r w:rsidRPr="004221A9">
        <w:rPr>
          <w:color w:val="000000" w:themeColor="text1"/>
        </w:rPr>
        <w:t xml:space="preserve"> &lt; 0.001 compared with the control group.</w:t>
      </w:r>
    </w:p>
    <w:p w14:paraId="4B35C3EF" w14:textId="5DA603B3"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lastRenderedPageBreak/>
        <w:fldChar w:fldCharType="begin"/>
      </w:r>
      <w:r w:rsidRPr="004221A9">
        <w:rPr>
          <w:rFonts w:ascii="Times New Roman" w:eastAsia="Times New Roman" w:hAnsi="Times New Roman" w:cs="Times New Roman"/>
          <w:color w:val="000000" w:themeColor="text1"/>
          <w:sz w:val="24"/>
          <w:szCs w:val="24"/>
        </w:rPr>
        <w:instrText xml:space="preserve"> INCLUDEPICTURE "C:\\Users\\Admin\\Downloads\\ChatGPT Image Jul 5, 2026, 03_25_34 PM.png" \* MERGEFORMATINET </w:instrText>
      </w:r>
      <w:r w:rsidRPr="004221A9">
        <w:rPr>
          <w:rFonts w:ascii="Times New Roman" w:eastAsia="Times New Roman" w:hAnsi="Times New Roman" w:cs="Times New Roman"/>
          <w:color w:val="000000" w:themeColor="text1"/>
          <w:sz w:val="24"/>
          <w:szCs w:val="24"/>
        </w:rPr>
        <w:fldChar w:fldCharType="separate"/>
      </w:r>
      <w:r w:rsidR="009D6574" w:rsidRPr="004221A9">
        <w:rPr>
          <w:rFonts w:ascii="Times New Roman" w:eastAsia="Times New Roman" w:hAnsi="Times New Roman" w:cs="Times New Roman"/>
          <w:color w:val="000000" w:themeColor="text1"/>
          <w:sz w:val="24"/>
          <w:szCs w:val="24"/>
        </w:rPr>
        <w:fldChar w:fldCharType="begin"/>
      </w:r>
      <w:r w:rsidR="009D6574" w:rsidRPr="004221A9">
        <w:rPr>
          <w:rFonts w:ascii="Times New Roman" w:eastAsia="Times New Roman" w:hAnsi="Times New Roman" w:cs="Times New Roman"/>
          <w:color w:val="000000" w:themeColor="text1"/>
          <w:sz w:val="24"/>
          <w:szCs w:val="24"/>
        </w:rPr>
        <w:instrText xml:space="preserve"> INCLUDEPICTURE  "C:\\Users\\Downloads\\ChatGPT Image Jul 5, 2026, 03_25_34 PM.png" \* MERGEFORMATINET </w:instrText>
      </w:r>
      <w:r w:rsidR="009D6574" w:rsidRPr="004221A9">
        <w:rPr>
          <w:rFonts w:ascii="Times New Roman" w:eastAsia="Times New Roman" w:hAnsi="Times New Roman" w:cs="Times New Roman"/>
          <w:color w:val="000000" w:themeColor="text1"/>
          <w:sz w:val="24"/>
          <w:szCs w:val="24"/>
        </w:rPr>
        <w:fldChar w:fldCharType="separate"/>
      </w:r>
      <w:r w:rsidR="004221A9" w:rsidRPr="004221A9">
        <w:rPr>
          <w:rFonts w:ascii="Times New Roman" w:eastAsia="Times New Roman" w:hAnsi="Times New Roman" w:cs="Times New Roman"/>
          <w:color w:val="000000" w:themeColor="text1"/>
          <w:sz w:val="24"/>
          <w:szCs w:val="24"/>
        </w:rPr>
        <w:fldChar w:fldCharType="begin"/>
      </w:r>
      <w:r w:rsidR="004221A9" w:rsidRPr="004221A9">
        <w:rPr>
          <w:rFonts w:ascii="Times New Roman" w:eastAsia="Times New Roman" w:hAnsi="Times New Roman" w:cs="Times New Roman"/>
          <w:color w:val="000000" w:themeColor="text1"/>
          <w:sz w:val="24"/>
          <w:szCs w:val="24"/>
        </w:rPr>
        <w:instrText xml:space="preserve"> INCLUDEPICTURE  "C:\\Users\\Admin\\Downloads\\ChatGPT Image Jul 5, 2026, 03_25_34 PM.png" \* MERGEFORMATINET </w:instrText>
      </w:r>
      <w:r w:rsidR="004221A9" w:rsidRPr="004221A9">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"C:\\Downloads\\ChatGPT Image Jul 5, 2026, 03_25_34 PM.png" \* MERGEFORMATINET </w:instrText>
      </w:r>
      <w:r>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"E:\\Tamali Chakraborty_SUBMISSION_MBI\\All files\\2026\\July, 2026\\25-07-2026\\Downloads\\ChatGPT Image Jul 5, 2026, 03_25_34 PM.png" \* MERGEFORMATINET </w:instrText>
      </w:r>
      <w:r>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"D:\\Rimika Das\\Sending\\Downloads\\ChatGPT Image Jul 5, 2026, 03_25_34 PM.png" \* MERGEFORMATINET </w:instrText>
      </w:r>
      <w:r>
        <w:rPr>
          <w:rFonts w:ascii="Times New Roman" w:eastAsia="Times New Roman" w:hAnsi="Times New Roman" w:cs="Times New Roman"/>
          <w:color w:val="000000" w:themeColor="text1"/>
          <w:sz w:val="24"/>
          <w:szCs w:val="24"/>
        </w:rPr>
        <w:fldChar w:fldCharType="separate"/>
      </w:r>
      <w:r w:rsidR="00000000">
        <w:rPr>
          <w:rFonts w:ascii="Times New Roman" w:eastAsia="Times New Roman" w:hAnsi="Times New Roman" w:cs="Times New Roman"/>
          <w:color w:val="000000" w:themeColor="text1"/>
          <w:sz w:val="24"/>
          <w:szCs w:val="24"/>
        </w:rPr>
        <w:fldChar w:fldCharType="begin"/>
      </w:r>
      <w:r w:rsidR="00000000">
        <w:rPr>
          <w:rFonts w:ascii="Times New Roman" w:eastAsia="Times New Roman" w:hAnsi="Times New Roman" w:cs="Times New Roman"/>
          <w:color w:val="000000" w:themeColor="text1"/>
          <w:sz w:val="24"/>
          <w:szCs w:val="24"/>
        </w:rPr>
        <w:instrText xml:space="preserve"> INCLUDEPICTURE  "C:\\Users\\CONGO MOBILES\\Documents\\Downloads\\ChatGPT Image Jul 5, 2026, 03_25_34 PM.png" \* MERGEFORMATINET </w:instrText>
      </w:r>
      <w:r w:rsidR="00000000">
        <w:rPr>
          <w:rFonts w:ascii="Times New Roman" w:eastAsia="Times New Roman" w:hAnsi="Times New Roman" w:cs="Times New Roman"/>
          <w:color w:val="000000" w:themeColor="text1"/>
          <w:sz w:val="24"/>
          <w:szCs w:val="24"/>
        </w:rPr>
        <w:fldChar w:fldCharType="separate"/>
      </w:r>
      <w:r w:rsidR="0034616F">
        <w:rPr>
          <w:rFonts w:ascii="Times New Roman" w:eastAsia="Times New Roman" w:hAnsi="Times New Roman" w:cs="Times New Roman"/>
          <w:color w:val="000000" w:themeColor="text1"/>
          <w:sz w:val="24"/>
          <w:szCs w:val="24"/>
        </w:rPr>
        <w:pict w14:anchorId="6F0D1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75pt;height:184.2pt" o:bordertopcolor="this" o:borderleftcolor="this" o:borderbottomcolor="this" o:borderrightcolor="this">
            <v:imagedata r:id="rId7" r:href="rId8" croptop="-413f" cropbottom="9485f" cropleft="-77f"/>
            <w10:bordertop type="single" width="4"/>
            <w10:borderleft type="single" width="4"/>
            <w10:borderbottom type="single" width="4"/>
            <w10:borderright type="single" width="4"/>
          </v:shape>
        </w:pict>
      </w:r>
      <w:r w:rsidR="00000000">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sidR="004221A9" w:rsidRPr="004221A9">
        <w:rPr>
          <w:rFonts w:ascii="Times New Roman" w:eastAsia="Times New Roman" w:hAnsi="Times New Roman" w:cs="Times New Roman"/>
          <w:color w:val="000000" w:themeColor="text1"/>
          <w:sz w:val="24"/>
          <w:szCs w:val="24"/>
        </w:rPr>
        <w:fldChar w:fldCharType="end"/>
      </w:r>
      <w:r w:rsidR="009D6574" w:rsidRPr="004221A9">
        <w:rPr>
          <w:rFonts w:ascii="Times New Roman" w:eastAsia="Times New Roman" w:hAnsi="Times New Roman" w:cs="Times New Roman"/>
          <w:color w:val="000000" w:themeColor="text1"/>
          <w:sz w:val="24"/>
          <w:szCs w:val="24"/>
        </w:rPr>
        <w:fldChar w:fldCharType="end"/>
      </w:r>
      <w:r w:rsidRPr="004221A9">
        <w:rPr>
          <w:rFonts w:ascii="Times New Roman" w:eastAsia="Times New Roman" w:hAnsi="Times New Roman" w:cs="Times New Roman"/>
          <w:color w:val="000000" w:themeColor="text1"/>
          <w:sz w:val="24"/>
          <w:szCs w:val="24"/>
        </w:rPr>
        <w:fldChar w:fldCharType="end"/>
      </w:r>
    </w:p>
    <w:p w14:paraId="3304D26C" w14:textId="77777777" w:rsidR="00231D51" w:rsidRPr="004221A9" w:rsidRDefault="00231D51"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Figure 1.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spontaneous locomotor activity.</w:t>
      </w:r>
    </w:p>
    <w:p w14:paraId="68AA82EF" w14:textId="77777777" w:rsidR="001B0A2B" w:rsidRPr="004221A9" w:rsidRDefault="001B0A2B" w:rsidP="00A756BD">
      <w:pPr>
        <w:spacing w:line="240" w:lineRule="auto"/>
        <w:jc w:val="both"/>
        <w:outlineLvl w:val="1"/>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3.5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Rotarod Performance</w:t>
      </w:r>
    </w:p>
    <w:p w14:paraId="706E063A" w14:textId="40B7BC65"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 xml:space="preserve">The effect of the ethanolic extract on motor coordination was assessed using the Rotarod test, and the results are summarized in </w:t>
      </w:r>
      <w:r w:rsidRPr="004221A9">
        <w:rPr>
          <w:rFonts w:ascii="Times New Roman" w:eastAsia="Times New Roman" w:hAnsi="Times New Roman" w:cs="Times New Roman"/>
          <w:b/>
          <w:bCs/>
          <w:color w:val="000000" w:themeColor="text1"/>
          <w:sz w:val="24"/>
          <w:szCs w:val="24"/>
        </w:rPr>
        <w:t>Table 4</w:t>
      </w:r>
      <w:r w:rsidRPr="004221A9">
        <w:rPr>
          <w:rFonts w:ascii="Times New Roman" w:eastAsia="Times New Roman" w:hAnsi="Times New Roman" w:cs="Times New Roman"/>
          <w:color w:val="000000" w:themeColor="text1"/>
          <w:sz w:val="24"/>
          <w:szCs w:val="24"/>
        </w:rPr>
        <w:t xml:space="preserve"> and </w:t>
      </w:r>
      <w:r w:rsidRPr="004221A9">
        <w:rPr>
          <w:rFonts w:ascii="Times New Roman" w:eastAsia="Times New Roman" w:hAnsi="Times New Roman" w:cs="Times New Roman"/>
          <w:b/>
          <w:bCs/>
          <w:color w:val="000000" w:themeColor="text1"/>
          <w:sz w:val="24"/>
          <w:szCs w:val="24"/>
        </w:rPr>
        <w:t>Figure 2</w:t>
      </w:r>
      <w:r w:rsidRPr="004221A9">
        <w:rPr>
          <w:rFonts w:ascii="Times New Roman" w:eastAsia="Times New Roman" w:hAnsi="Times New Roman" w:cs="Times New Roman"/>
          <w:color w:val="000000" w:themeColor="text1"/>
          <w:sz w:val="24"/>
          <w:szCs w:val="24"/>
        </w:rPr>
        <w:t xml:space="preserve">. The mean retention time recorded for the control group was </w:t>
      </w:r>
      <w:r w:rsidRPr="004221A9">
        <w:rPr>
          <w:rFonts w:ascii="Times New Roman" w:eastAsia="Times New Roman" w:hAnsi="Times New Roman" w:cs="Times New Roman"/>
          <w:b/>
          <w:bCs/>
          <w:color w:val="000000" w:themeColor="text1"/>
          <w:sz w:val="24"/>
          <w:szCs w:val="24"/>
        </w:rPr>
        <w:t>112.5 ± 8.4 s</w:t>
      </w:r>
      <w:r w:rsidRPr="004221A9">
        <w:rPr>
          <w:rFonts w:ascii="Times New Roman" w:eastAsia="Times New Roman" w:hAnsi="Times New Roman" w:cs="Times New Roman"/>
          <w:color w:val="000000" w:themeColor="text1"/>
          <w:sz w:val="24"/>
          <w:szCs w:val="24"/>
        </w:rPr>
        <w:t xml:space="preserve">. Caffeine (20 mg/kg) significantly increased the retention time to </w:t>
      </w:r>
      <w:r w:rsidRPr="004221A9">
        <w:rPr>
          <w:rFonts w:ascii="Times New Roman" w:eastAsia="Times New Roman" w:hAnsi="Times New Roman" w:cs="Times New Roman"/>
          <w:b/>
          <w:bCs/>
          <w:color w:val="000000" w:themeColor="text1"/>
          <w:sz w:val="24"/>
          <w:szCs w:val="24"/>
        </w:rPr>
        <w:t>186.8 ± 10.7 s</w:t>
      </w:r>
      <w:r w:rsidRPr="004221A9">
        <w:rPr>
          <w:rFonts w:ascii="Times New Roman" w:eastAsia="Times New Roman" w:hAnsi="Times New Roman" w:cs="Times New Roman"/>
          <w:color w:val="000000" w:themeColor="text1"/>
          <w:sz w:val="24"/>
          <w:szCs w:val="24"/>
        </w:rPr>
        <w:t xml:space="preserve"> (*</w:t>
      </w:r>
      <w:r w:rsidR="007B72CD"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E328CD">
        <w:rPr>
          <w:rFonts w:ascii="Times New Roman" w:eastAsia="Times New Roman" w:hAnsi="Times New Roman" w:cs="Times New Roman"/>
          <w:i/>
          <w:iCs/>
          <w:color w:val="000000" w:themeColor="text1"/>
          <w:sz w:val="24"/>
          <w:szCs w:val="24"/>
          <w:highlight w:val="yellow"/>
        </w:rPr>
        <w:t>P</w:t>
      </w:r>
      <w:r w:rsidRPr="004221A9">
        <w:rPr>
          <w:rFonts w:ascii="Times New Roman" w:eastAsia="Times New Roman" w:hAnsi="Times New Roman" w:cs="Times New Roman"/>
          <w:color w:val="000000" w:themeColor="text1"/>
          <w:sz w:val="24"/>
          <w:szCs w:val="24"/>
        </w:rPr>
        <w:t xml:space="preserve"> &lt; 0.001 vs. control). Administration of the ethanolic extract at </w:t>
      </w:r>
      <w:r w:rsidRPr="004221A9">
        <w:rPr>
          <w:rFonts w:ascii="Times New Roman" w:eastAsia="Times New Roman" w:hAnsi="Times New Roman" w:cs="Times New Roman"/>
          <w:b/>
          <w:bCs/>
          <w:color w:val="000000" w:themeColor="text1"/>
          <w:sz w:val="24"/>
          <w:szCs w:val="24"/>
        </w:rPr>
        <w:t>200 mg/kg</w:t>
      </w:r>
      <w:r w:rsidRPr="004221A9">
        <w:rPr>
          <w:rFonts w:ascii="Times New Roman" w:eastAsia="Times New Roman" w:hAnsi="Times New Roman" w:cs="Times New Roman"/>
          <w:color w:val="000000" w:themeColor="text1"/>
          <w:sz w:val="24"/>
          <w:szCs w:val="24"/>
        </w:rPr>
        <w:t xml:space="preserve"> significantly increased the retention time to </w:t>
      </w:r>
      <w:r w:rsidRPr="004221A9">
        <w:rPr>
          <w:rFonts w:ascii="Times New Roman" w:eastAsia="Times New Roman" w:hAnsi="Times New Roman" w:cs="Times New Roman"/>
          <w:b/>
          <w:bCs/>
          <w:color w:val="000000" w:themeColor="text1"/>
          <w:sz w:val="24"/>
          <w:szCs w:val="24"/>
        </w:rPr>
        <w:t>154.6 ± 9.2 s</w:t>
      </w:r>
      <w:r w:rsidRPr="004221A9">
        <w:rPr>
          <w:rFonts w:ascii="Times New Roman" w:eastAsia="Times New Roman" w:hAnsi="Times New Roman" w:cs="Times New Roman"/>
          <w:color w:val="000000" w:themeColor="text1"/>
          <w:sz w:val="24"/>
          <w:szCs w:val="24"/>
        </w:rPr>
        <w:t xml:space="preserve"> (*</w:t>
      </w:r>
      <w:r w:rsidR="007B72CD" w:rsidRPr="004221A9">
        <w:rPr>
          <w:rFonts w:ascii="Times New Roman" w:eastAsia="Times New Roman" w:hAnsi="Times New Roman" w:cs="Times New Roman"/>
          <w:color w:val="000000" w:themeColor="text1"/>
          <w:sz w:val="24"/>
          <w:szCs w:val="24"/>
        </w:rPr>
        <w:t>*</w:t>
      </w:r>
      <w:r w:rsidRPr="00E328CD">
        <w:rPr>
          <w:rFonts w:ascii="Times New Roman" w:eastAsia="Times New Roman" w:hAnsi="Times New Roman" w:cs="Times New Roman"/>
          <w:i/>
          <w:iCs/>
          <w:color w:val="000000" w:themeColor="text1"/>
          <w:sz w:val="24"/>
          <w:szCs w:val="24"/>
          <w:highlight w:val="yellow"/>
        </w:rPr>
        <w:t>P</w:t>
      </w:r>
      <w:r w:rsidRPr="004221A9">
        <w:rPr>
          <w:rFonts w:ascii="Times New Roman" w:eastAsia="Times New Roman" w:hAnsi="Times New Roman" w:cs="Times New Roman"/>
          <w:color w:val="000000" w:themeColor="text1"/>
          <w:sz w:val="24"/>
          <w:szCs w:val="24"/>
        </w:rPr>
        <w:t xml:space="preserve"> &lt; 0.0</w:t>
      </w:r>
      <w:r w:rsidR="00BF0E95" w:rsidRPr="004221A9">
        <w:rPr>
          <w:rFonts w:ascii="Times New Roman" w:eastAsia="Times New Roman" w:hAnsi="Times New Roman" w:cs="Times New Roman"/>
          <w:color w:val="000000" w:themeColor="text1"/>
          <w:sz w:val="24"/>
          <w:szCs w:val="24"/>
        </w:rPr>
        <w:t>1</w:t>
      </w:r>
      <w:r w:rsidRPr="004221A9">
        <w:rPr>
          <w:rFonts w:ascii="Times New Roman" w:eastAsia="Times New Roman" w:hAnsi="Times New Roman" w:cs="Times New Roman"/>
          <w:color w:val="000000" w:themeColor="text1"/>
          <w:sz w:val="24"/>
          <w:szCs w:val="24"/>
        </w:rPr>
        <w:t xml:space="preserve">), whereas treatment with </w:t>
      </w:r>
      <w:r w:rsidRPr="004221A9">
        <w:rPr>
          <w:rFonts w:ascii="Times New Roman" w:eastAsia="Times New Roman" w:hAnsi="Times New Roman" w:cs="Times New Roman"/>
          <w:b/>
          <w:bCs/>
          <w:color w:val="000000" w:themeColor="text1"/>
          <w:sz w:val="24"/>
          <w:szCs w:val="24"/>
        </w:rPr>
        <w:t>400 mg/kg</w:t>
      </w:r>
      <w:r w:rsidRPr="004221A9">
        <w:rPr>
          <w:rFonts w:ascii="Times New Roman" w:eastAsia="Times New Roman" w:hAnsi="Times New Roman" w:cs="Times New Roman"/>
          <w:color w:val="000000" w:themeColor="text1"/>
          <w:sz w:val="24"/>
          <w:szCs w:val="24"/>
        </w:rPr>
        <w:t xml:space="preserve"> further increased the retention time to </w:t>
      </w:r>
      <w:r w:rsidRPr="004221A9">
        <w:rPr>
          <w:rFonts w:ascii="Times New Roman" w:eastAsia="Times New Roman" w:hAnsi="Times New Roman" w:cs="Times New Roman"/>
          <w:b/>
          <w:bCs/>
          <w:color w:val="000000" w:themeColor="text1"/>
          <w:sz w:val="24"/>
          <w:szCs w:val="24"/>
        </w:rPr>
        <w:t>178.4 ± 11.3 s</w:t>
      </w:r>
      <w:r w:rsidRPr="004221A9">
        <w:rPr>
          <w:rFonts w:ascii="Times New Roman" w:eastAsia="Times New Roman" w:hAnsi="Times New Roman" w:cs="Times New Roman"/>
          <w:color w:val="000000" w:themeColor="text1"/>
          <w:sz w:val="24"/>
          <w:szCs w:val="24"/>
        </w:rPr>
        <w:t xml:space="preserve"> (*</w:t>
      </w:r>
      <w:r w:rsidR="007B72CD"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E328CD">
        <w:rPr>
          <w:rFonts w:ascii="Times New Roman" w:eastAsia="Times New Roman" w:hAnsi="Times New Roman" w:cs="Times New Roman"/>
          <w:i/>
          <w:iCs/>
          <w:color w:val="000000" w:themeColor="text1"/>
          <w:sz w:val="24"/>
          <w:szCs w:val="24"/>
          <w:highlight w:val="yellow"/>
        </w:rPr>
        <w:t>P</w:t>
      </w:r>
      <w:r w:rsidRPr="004221A9">
        <w:rPr>
          <w:rFonts w:ascii="Times New Roman" w:eastAsia="Times New Roman" w:hAnsi="Times New Roman" w:cs="Times New Roman"/>
          <w:color w:val="000000" w:themeColor="text1"/>
          <w:sz w:val="24"/>
          <w:szCs w:val="24"/>
        </w:rPr>
        <w:t xml:space="preserve"> &lt; 0.001). The increase in retention time was greater with the higher dose than with the lower dose.</w:t>
      </w:r>
    </w:p>
    <w:p w14:paraId="47F1E57E"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Table 4.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Rotarod performance.</w:t>
      </w:r>
    </w:p>
    <w:tbl>
      <w:tblPr>
        <w:tblStyle w:val="Grilledutableau"/>
        <w:tblW w:w="8238" w:type="dxa"/>
        <w:tblLook w:val="04A0" w:firstRow="1" w:lastRow="0" w:firstColumn="1" w:lastColumn="0" w:noHBand="0" w:noVBand="1"/>
      </w:tblPr>
      <w:tblGrid>
        <w:gridCol w:w="3210"/>
        <w:gridCol w:w="5028"/>
      </w:tblGrid>
      <w:tr w:rsidR="00B548D7" w:rsidRPr="004221A9" w14:paraId="08B48321" w14:textId="77777777" w:rsidTr="00555094">
        <w:trPr>
          <w:trHeight w:val="252"/>
        </w:trPr>
        <w:tc>
          <w:tcPr>
            <w:tcW w:w="0" w:type="auto"/>
            <w:hideMark/>
          </w:tcPr>
          <w:p w14:paraId="63505E4D" w14:textId="77777777"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Group</w:t>
            </w:r>
          </w:p>
        </w:tc>
        <w:tc>
          <w:tcPr>
            <w:tcW w:w="0" w:type="auto"/>
            <w:hideMark/>
          </w:tcPr>
          <w:p w14:paraId="1D3EAE61" w14:textId="77777777"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Retention time (s) (Mean ± SD)</w:t>
            </w:r>
          </w:p>
        </w:tc>
      </w:tr>
      <w:tr w:rsidR="00B548D7" w:rsidRPr="004221A9" w14:paraId="6E700D94" w14:textId="77777777" w:rsidTr="00555094">
        <w:trPr>
          <w:trHeight w:val="261"/>
        </w:trPr>
        <w:tc>
          <w:tcPr>
            <w:tcW w:w="0" w:type="auto"/>
            <w:hideMark/>
          </w:tcPr>
          <w:p w14:paraId="10172BD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Control</w:t>
            </w:r>
          </w:p>
        </w:tc>
        <w:tc>
          <w:tcPr>
            <w:tcW w:w="0" w:type="auto"/>
            <w:hideMark/>
          </w:tcPr>
          <w:p w14:paraId="63F94F9C"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112.5 ± 8.4</w:t>
            </w:r>
          </w:p>
        </w:tc>
      </w:tr>
      <w:tr w:rsidR="00B548D7" w:rsidRPr="004221A9" w14:paraId="5A800DAF" w14:textId="77777777" w:rsidTr="00555094">
        <w:trPr>
          <w:trHeight w:val="252"/>
        </w:trPr>
        <w:tc>
          <w:tcPr>
            <w:tcW w:w="0" w:type="auto"/>
            <w:hideMark/>
          </w:tcPr>
          <w:p w14:paraId="5BC5D4E9"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Caffeine (20 mg/kg)</w:t>
            </w:r>
          </w:p>
        </w:tc>
        <w:tc>
          <w:tcPr>
            <w:tcW w:w="0" w:type="auto"/>
            <w:hideMark/>
          </w:tcPr>
          <w:p w14:paraId="4F85C91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186.8 ± 10.7***</w:t>
            </w:r>
          </w:p>
        </w:tc>
      </w:tr>
      <w:tr w:rsidR="00B548D7" w:rsidRPr="004221A9" w14:paraId="02BD9AE3" w14:textId="77777777" w:rsidTr="00555094">
        <w:trPr>
          <w:trHeight w:val="261"/>
        </w:trPr>
        <w:tc>
          <w:tcPr>
            <w:tcW w:w="0" w:type="auto"/>
            <w:hideMark/>
          </w:tcPr>
          <w:p w14:paraId="7D99D15B"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(200 mg/kg)</w:t>
            </w:r>
          </w:p>
        </w:tc>
        <w:tc>
          <w:tcPr>
            <w:tcW w:w="0" w:type="auto"/>
            <w:hideMark/>
          </w:tcPr>
          <w:p w14:paraId="110187A6"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154.6 ± 9.2**</w:t>
            </w:r>
          </w:p>
        </w:tc>
      </w:tr>
      <w:tr w:rsidR="00B548D7" w:rsidRPr="004221A9" w14:paraId="1B4561F8" w14:textId="77777777" w:rsidTr="00555094">
        <w:trPr>
          <w:trHeight w:val="252"/>
        </w:trPr>
        <w:tc>
          <w:tcPr>
            <w:tcW w:w="0" w:type="auto"/>
            <w:hideMark/>
          </w:tcPr>
          <w:p w14:paraId="3EEBB70E"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(400 mg/kg)</w:t>
            </w:r>
          </w:p>
        </w:tc>
        <w:tc>
          <w:tcPr>
            <w:tcW w:w="0" w:type="auto"/>
            <w:hideMark/>
          </w:tcPr>
          <w:p w14:paraId="73DA5D97"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178.4 ± 11.3***</w:t>
            </w:r>
          </w:p>
        </w:tc>
      </w:tr>
    </w:tbl>
    <w:p w14:paraId="3602E6AF" w14:textId="6F59F8FD" w:rsidR="003E69C2" w:rsidRPr="004221A9" w:rsidRDefault="003E69C2" w:rsidP="00A756BD">
      <w:pPr>
        <w:pStyle w:val="NormalWeb"/>
        <w:spacing w:before="0" w:beforeAutospacing="0" w:after="160" w:afterAutospacing="0"/>
        <w:jc w:val="both"/>
        <w:rPr>
          <w:color w:val="000000" w:themeColor="text1"/>
        </w:rPr>
      </w:pPr>
      <w:r w:rsidRPr="004221A9">
        <w:rPr>
          <w:color w:val="000000" w:themeColor="text1"/>
        </w:rPr>
        <w:t>Values are expressed as mean ± SD (n = 6). Statistical analysis was performed using one-way ANOVA followed by Tukey's multiple comparison test. **</w:t>
      </w:r>
      <w:r w:rsidRPr="00E328CD">
        <w:rPr>
          <w:rStyle w:val="Accentuation"/>
          <w:color w:val="000000" w:themeColor="text1"/>
          <w:highlight w:val="yellow"/>
        </w:rPr>
        <w:t>P</w:t>
      </w:r>
      <w:r w:rsidRPr="004221A9">
        <w:rPr>
          <w:color w:val="000000" w:themeColor="text1"/>
        </w:rPr>
        <w:t xml:space="preserve"> &lt; 0.01, and ***</w:t>
      </w:r>
      <w:r w:rsidRPr="00E328CD">
        <w:rPr>
          <w:rStyle w:val="Accentuation"/>
          <w:color w:val="000000" w:themeColor="text1"/>
          <w:highlight w:val="yellow"/>
        </w:rPr>
        <w:t>P</w:t>
      </w:r>
      <w:r w:rsidRPr="004221A9">
        <w:rPr>
          <w:color w:val="000000" w:themeColor="text1"/>
        </w:rPr>
        <w:t xml:space="preserve"> &lt; 0.001 compared with the control group.</w:t>
      </w:r>
    </w:p>
    <w:p w14:paraId="69B1EAF5" w14:textId="77777777" w:rsidR="00231D51" w:rsidRPr="004221A9" w:rsidRDefault="00231D51" w:rsidP="00A756BD">
      <w:pPr>
        <w:pStyle w:val="NormalWeb"/>
        <w:spacing w:before="0" w:beforeAutospacing="0" w:after="160" w:afterAutospacing="0"/>
        <w:jc w:val="both"/>
        <w:rPr>
          <w:rStyle w:val="lev"/>
          <w:color w:val="000000" w:themeColor="text1"/>
        </w:rPr>
      </w:pPr>
    </w:p>
    <w:p w14:paraId="15482D74" w14:textId="6F483B7C" w:rsidR="00BE3C68" w:rsidRPr="004221A9" w:rsidRDefault="001B0A2B" w:rsidP="00A756BD">
      <w:pPr>
        <w:pStyle w:val="Titre2"/>
        <w:spacing w:before="0" w:beforeAutospacing="0" w:after="160" w:afterAutospacing="0"/>
        <w:jc w:val="both"/>
        <w:rPr>
          <w:b w:val="0"/>
          <w:bCs w:val="0"/>
          <w:color w:val="000000" w:themeColor="text1"/>
          <w:sz w:val="24"/>
          <w:szCs w:val="24"/>
        </w:rPr>
      </w:pPr>
      <w:r w:rsidRPr="004221A9">
        <w:rPr>
          <w:noProof/>
          <w:color w:val="000000" w:themeColor="text1"/>
          <w:sz w:val="24"/>
          <w:szCs w:val="24"/>
          <w:lang w:val="en-IN" w:eastAsia="en-IN"/>
        </w:rPr>
        <w:lastRenderedPageBreak/>
        <w:drawing>
          <wp:inline distT="0" distB="0" distL="0" distR="0" wp14:anchorId="37CB60B3" wp14:editId="30E4A90E">
            <wp:extent cx="5313045" cy="2579466"/>
            <wp:effectExtent l="19050" t="19050" r="20955"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4947"/>
                    <a:stretch/>
                  </pic:blipFill>
                  <pic:spPr bwMode="auto">
                    <a:xfrm>
                      <a:off x="0" y="0"/>
                      <a:ext cx="5313045" cy="2579466"/>
                    </a:xfrm>
                    <a:prstGeom prst="rect">
                      <a:avLst/>
                    </a:prstGeom>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698FAC51" w14:textId="77777777" w:rsidR="00231D51" w:rsidRPr="004221A9" w:rsidRDefault="00231D51"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Figure 2.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Rotarod performance.</w:t>
      </w:r>
    </w:p>
    <w:p w14:paraId="411EE9CD" w14:textId="59FC361D" w:rsidR="00C05FE0" w:rsidRPr="004221A9" w:rsidRDefault="00C05FE0" w:rsidP="00A756BD">
      <w:pPr>
        <w:pStyle w:val="Titre2"/>
        <w:spacing w:before="0" w:beforeAutospacing="0" w:after="160" w:afterAutospacing="0"/>
        <w:jc w:val="both"/>
        <w:rPr>
          <w:b w:val="0"/>
          <w:bCs w:val="0"/>
          <w:color w:val="000000" w:themeColor="text1"/>
          <w:sz w:val="24"/>
          <w:szCs w:val="24"/>
        </w:rPr>
      </w:pPr>
    </w:p>
    <w:p w14:paraId="6B462A3F" w14:textId="77777777" w:rsidR="00C05FE0" w:rsidRPr="004221A9" w:rsidRDefault="00C05FE0" w:rsidP="00A756BD">
      <w:pPr>
        <w:pStyle w:val="Titre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3.6 Effect of the Ethanolic Extract of </w:t>
      </w:r>
      <w:r w:rsidRPr="004221A9">
        <w:rPr>
          <w:rStyle w:val="Accentuation"/>
          <w:rFonts w:ascii="Times New Roman" w:hAnsi="Times New Roman" w:cs="Times New Roman"/>
          <w:b/>
          <w:bCs/>
          <w:color w:val="000000" w:themeColor="text1"/>
        </w:rPr>
        <w:t>Cassia auriculata</w:t>
      </w:r>
      <w:r w:rsidRPr="004221A9">
        <w:rPr>
          <w:rFonts w:ascii="Times New Roman" w:hAnsi="Times New Roman" w:cs="Times New Roman"/>
          <w:b/>
          <w:bCs/>
          <w:color w:val="000000" w:themeColor="text1"/>
        </w:rPr>
        <w:t xml:space="preserve"> Flowers in the Open Field Test</w:t>
      </w:r>
    </w:p>
    <w:p w14:paraId="7DCF9D0F" w14:textId="54D81E04" w:rsidR="00C05FE0" w:rsidRPr="004221A9" w:rsidRDefault="00C05FE0" w:rsidP="00A756BD">
      <w:pPr>
        <w:pStyle w:val="NormalWeb"/>
        <w:spacing w:before="0" w:beforeAutospacing="0" w:after="160" w:afterAutospacing="0"/>
        <w:jc w:val="both"/>
        <w:rPr>
          <w:color w:val="000000" w:themeColor="text1"/>
        </w:rPr>
      </w:pPr>
      <w:r w:rsidRPr="004221A9">
        <w:rPr>
          <w:color w:val="000000" w:themeColor="text1"/>
        </w:rPr>
        <w:t xml:space="preserve">The effect of the ethanolic extract on exploratory </w:t>
      </w:r>
      <w:proofErr w:type="spellStart"/>
      <w:r w:rsidRPr="004221A9">
        <w:rPr>
          <w:color w:val="000000" w:themeColor="text1"/>
        </w:rPr>
        <w:t>behaviour</w:t>
      </w:r>
      <w:proofErr w:type="spellEnd"/>
      <w:r w:rsidRPr="004221A9">
        <w:rPr>
          <w:color w:val="000000" w:themeColor="text1"/>
        </w:rPr>
        <w:t xml:space="preserve"> was evaluated using the open field test. The results are presented in </w:t>
      </w:r>
      <w:r w:rsidRPr="004221A9">
        <w:rPr>
          <w:rStyle w:val="lev"/>
          <w:color w:val="000000" w:themeColor="text1"/>
        </w:rPr>
        <w:t>Table 5</w:t>
      </w:r>
      <w:r w:rsidRPr="004221A9">
        <w:rPr>
          <w:color w:val="000000" w:themeColor="text1"/>
        </w:rPr>
        <w:t xml:space="preserve"> and </w:t>
      </w:r>
      <w:r w:rsidRPr="004221A9">
        <w:rPr>
          <w:rStyle w:val="lev"/>
          <w:color w:val="000000" w:themeColor="text1"/>
        </w:rPr>
        <w:t>Figure 3</w:t>
      </w:r>
      <w:r w:rsidRPr="004221A9">
        <w:rPr>
          <w:color w:val="000000" w:themeColor="text1"/>
        </w:rPr>
        <w:t xml:space="preserve">. The control group exhibited </w:t>
      </w:r>
      <w:r w:rsidRPr="004221A9">
        <w:rPr>
          <w:rStyle w:val="lev"/>
          <w:color w:val="000000" w:themeColor="text1"/>
        </w:rPr>
        <w:t>38.4 ± 3.2</w:t>
      </w:r>
      <w:r w:rsidRPr="004221A9">
        <w:rPr>
          <w:color w:val="000000" w:themeColor="text1"/>
        </w:rPr>
        <w:t xml:space="preserve"> line crossings and </w:t>
      </w:r>
      <w:r w:rsidRPr="004221A9">
        <w:rPr>
          <w:rStyle w:val="lev"/>
          <w:color w:val="000000" w:themeColor="text1"/>
        </w:rPr>
        <w:t>7.5 ± 1.1</w:t>
      </w:r>
      <w:r w:rsidRPr="004221A9">
        <w:rPr>
          <w:color w:val="000000" w:themeColor="text1"/>
        </w:rPr>
        <w:t xml:space="preserve"> </w:t>
      </w:r>
      <w:proofErr w:type="spellStart"/>
      <w:r w:rsidRPr="004221A9">
        <w:rPr>
          <w:color w:val="000000" w:themeColor="text1"/>
        </w:rPr>
        <w:t>rearings</w:t>
      </w:r>
      <w:proofErr w:type="spellEnd"/>
      <w:r w:rsidRPr="004221A9">
        <w:rPr>
          <w:color w:val="000000" w:themeColor="text1"/>
        </w:rPr>
        <w:t xml:space="preserve">, whereas caffeine (20 mg/kg) significantly increased these parameters to </w:t>
      </w:r>
      <w:r w:rsidRPr="004221A9">
        <w:rPr>
          <w:rStyle w:val="lev"/>
          <w:color w:val="000000" w:themeColor="text1"/>
        </w:rPr>
        <w:t>81.6 ± 5.8</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Accentuation"/>
          <w:color w:val="000000" w:themeColor="text1"/>
        </w:rPr>
        <w:t>P</w:t>
      </w:r>
      <w:r w:rsidRPr="004221A9">
        <w:rPr>
          <w:color w:val="000000" w:themeColor="text1"/>
        </w:rPr>
        <w:t xml:space="preserve"> &lt; 0.001) and </w:t>
      </w:r>
      <w:r w:rsidRPr="004221A9">
        <w:rPr>
          <w:rStyle w:val="lev"/>
          <w:color w:val="000000" w:themeColor="text1"/>
        </w:rPr>
        <w:t>18.3 ± 1.9</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Accentuation"/>
          <w:color w:val="000000" w:themeColor="text1"/>
        </w:rPr>
        <w:t>P</w:t>
      </w:r>
      <w:r w:rsidRPr="004221A9">
        <w:rPr>
          <w:color w:val="000000" w:themeColor="text1"/>
        </w:rPr>
        <w:t xml:space="preserve"> &lt; 0.001), respectively. Treatment with the ethanolic extract at </w:t>
      </w:r>
      <w:r w:rsidRPr="004221A9">
        <w:rPr>
          <w:rStyle w:val="lev"/>
          <w:color w:val="000000" w:themeColor="text1"/>
        </w:rPr>
        <w:t>200 mg/kg</w:t>
      </w:r>
      <w:r w:rsidRPr="004221A9">
        <w:rPr>
          <w:color w:val="000000" w:themeColor="text1"/>
        </w:rPr>
        <w:t xml:space="preserve"> increased the number of line crossings to </w:t>
      </w:r>
      <w:r w:rsidRPr="004221A9">
        <w:rPr>
          <w:rStyle w:val="lev"/>
          <w:color w:val="000000" w:themeColor="text1"/>
        </w:rPr>
        <w:t>67.8 ± 4.7</w:t>
      </w:r>
      <w:r w:rsidRPr="004221A9">
        <w:rPr>
          <w:color w:val="000000" w:themeColor="text1"/>
        </w:rPr>
        <w:t xml:space="preserve"> (*</w:t>
      </w:r>
      <w:r w:rsidR="00806781" w:rsidRPr="004221A9">
        <w:rPr>
          <w:color w:val="000000" w:themeColor="text1"/>
        </w:rPr>
        <w:t>*</w:t>
      </w:r>
      <w:r w:rsidRPr="004221A9">
        <w:rPr>
          <w:color w:val="000000" w:themeColor="text1"/>
        </w:rPr>
        <w:t>*</w:t>
      </w:r>
      <w:r w:rsidRPr="004221A9">
        <w:rPr>
          <w:rStyle w:val="Accentuation"/>
          <w:color w:val="000000" w:themeColor="text1"/>
        </w:rPr>
        <w:t>P</w:t>
      </w:r>
      <w:r w:rsidRPr="004221A9">
        <w:rPr>
          <w:color w:val="000000" w:themeColor="text1"/>
        </w:rPr>
        <w:t xml:space="preserve"> &lt; 0.001) and </w:t>
      </w:r>
      <w:proofErr w:type="spellStart"/>
      <w:r w:rsidRPr="004221A9">
        <w:rPr>
          <w:color w:val="000000" w:themeColor="text1"/>
        </w:rPr>
        <w:t>rearings</w:t>
      </w:r>
      <w:proofErr w:type="spellEnd"/>
      <w:r w:rsidRPr="004221A9">
        <w:rPr>
          <w:color w:val="000000" w:themeColor="text1"/>
        </w:rPr>
        <w:t xml:space="preserve"> to </w:t>
      </w:r>
      <w:r w:rsidRPr="004221A9">
        <w:rPr>
          <w:rStyle w:val="lev"/>
          <w:color w:val="000000" w:themeColor="text1"/>
        </w:rPr>
        <w:t>14.6 ± 1.5</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Accentuation"/>
          <w:color w:val="000000" w:themeColor="text1"/>
        </w:rPr>
        <w:t>P</w:t>
      </w:r>
      <w:r w:rsidRPr="004221A9">
        <w:rPr>
          <w:color w:val="000000" w:themeColor="text1"/>
        </w:rPr>
        <w:t xml:space="preserve"> &lt; 0.001). Administration of </w:t>
      </w:r>
      <w:r w:rsidRPr="004221A9">
        <w:rPr>
          <w:rStyle w:val="lev"/>
          <w:color w:val="000000" w:themeColor="text1"/>
        </w:rPr>
        <w:t>400 mg/kg</w:t>
      </w:r>
      <w:r w:rsidRPr="004221A9">
        <w:rPr>
          <w:color w:val="000000" w:themeColor="text1"/>
        </w:rPr>
        <w:t xml:space="preserve"> further increased line crossings to </w:t>
      </w:r>
      <w:r w:rsidRPr="004221A9">
        <w:rPr>
          <w:rStyle w:val="lev"/>
          <w:color w:val="000000" w:themeColor="text1"/>
        </w:rPr>
        <w:t>77.2 ± 5.1</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Accentuation"/>
          <w:color w:val="000000" w:themeColor="text1"/>
        </w:rPr>
        <w:t>P</w:t>
      </w:r>
      <w:r w:rsidRPr="004221A9">
        <w:rPr>
          <w:color w:val="000000" w:themeColor="text1"/>
        </w:rPr>
        <w:t xml:space="preserve"> &lt; 0.001) and </w:t>
      </w:r>
      <w:proofErr w:type="spellStart"/>
      <w:r w:rsidRPr="004221A9">
        <w:rPr>
          <w:color w:val="000000" w:themeColor="text1"/>
        </w:rPr>
        <w:t>rearings</w:t>
      </w:r>
      <w:proofErr w:type="spellEnd"/>
      <w:r w:rsidRPr="004221A9">
        <w:rPr>
          <w:color w:val="000000" w:themeColor="text1"/>
        </w:rPr>
        <w:t xml:space="preserve"> to </w:t>
      </w:r>
      <w:r w:rsidRPr="004221A9">
        <w:rPr>
          <w:rStyle w:val="lev"/>
          <w:color w:val="000000" w:themeColor="text1"/>
        </w:rPr>
        <w:t>17.1 ± 1.8</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Accentuation"/>
          <w:color w:val="000000" w:themeColor="text1"/>
        </w:rPr>
        <w:t>P</w:t>
      </w:r>
      <w:r w:rsidRPr="004221A9">
        <w:rPr>
          <w:color w:val="000000" w:themeColor="text1"/>
        </w:rPr>
        <w:t xml:space="preserve"> &lt; 0.001).</w:t>
      </w:r>
    </w:p>
    <w:p w14:paraId="20C93120" w14:textId="068558A2" w:rsidR="00C05FE0" w:rsidRPr="004221A9" w:rsidRDefault="00C05FE0" w:rsidP="00A756BD">
      <w:pPr>
        <w:pStyle w:val="NormalWeb"/>
        <w:spacing w:before="0" w:beforeAutospacing="0" w:after="160" w:afterAutospacing="0"/>
        <w:jc w:val="both"/>
        <w:rPr>
          <w:color w:val="000000" w:themeColor="text1"/>
        </w:rPr>
      </w:pPr>
      <w:r w:rsidRPr="004221A9">
        <w:rPr>
          <w:color w:val="000000" w:themeColor="text1"/>
        </w:rPr>
        <w:t xml:space="preserve">Grooming frequency was </w:t>
      </w:r>
      <w:r w:rsidRPr="004221A9">
        <w:rPr>
          <w:rStyle w:val="lev"/>
          <w:color w:val="000000" w:themeColor="text1"/>
        </w:rPr>
        <w:t>6.8 ± 0.9</w:t>
      </w:r>
      <w:r w:rsidRPr="004221A9">
        <w:rPr>
          <w:color w:val="000000" w:themeColor="text1"/>
        </w:rPr>
        <w:t xml:space="preserve"> in the control group and decreased to </w:t>
      </w:r>
      <w:r w:rsidRPr="004221A9">
        <w:rPr>
          <w:rStyle w:val="lev"/>
          <w:color w:val="000000" w:themeColor="text1"/>
        </w:rPr>
        <w:t>5.2 ± 0.8</w:t>
      </w:r>
      <w:r w:rsidRPr="004221A9">
        <w:rPr>
          <w:color w:val="000000" w:themeColor="text1"/>
        </w:rPr>
        <w:t xml:space="preserve"> (</w:t>
      </w:r>
      <w:r w:rsidR="00EF2BC0" w:rsidRPr="004221A9">
        <w:rPr>
          <w:color w:val="000000" w:themeColor="text1"/>
        </w:rPr>
        <w:t>*</w:t>
      </w:r>
      <w:r w:rsidRPr="004221A9">
        <w:rPr>
          <w:rStyle w:val="Accentuation"/>
          <w:color w:val="000000" w:themeColor="text1"/>
        </w:rPr>
        <w:t>P</w:t>
      </w:r>
      <w:r w:rsidRPr="004221A9">
        <w:rPr>
          <w:color w:val="000000" w:themeColor="text1"/>
        </w:rPr>
        <w:t xml:space="preserve"> &lt; 0.05) following caffeine administration. The ethanolic extract produced grooming frequencies of </w:t>
      </w:r>
      <w:r w:rsidRPr="004221A9">
        <w:rPr>
          <w:rStyle w:val="lev"/>
          <w:color w:val="000000" w:themeColor="text1"/>
        </w:rPr>
        <w:t>5.9 ± 0.7</w:t>
      </w:r>
      <w:r w:rsidRPr="004221A9">
        <w:rPr>
          <w:color w:val="000000" w:themeColor="text1"/>
        </w:rPr>
        <w:t xml:space="preserve"> (</w:t>
      </w:r>
      <w:r w:rsidR="00EF2BC0" w:rsidRPr="004221A9">
        <w:rPr>
          <w:color w:val="000000" w:themeColor="text1"/>
        </w:rPr>
        <w:t>*</w:t>
      </w:r>
      <w:r w:rsidRPr="004221A9">
        <w:rPr>
          <w:rStyle w:val="Accentuation"/>
          <w:color w:val="000000" w:themeColor="text1"/>
        </w:rPr>
        <w:t>P</w:t>
      </w:r>
      <w:r w:rsidRPr="004221A9">
        <w:rPr>
          <w:color w:val="000000" w:themeColor="text1"/>
        </w:rPr>
        <w:t xml:space="preserve"> &lt; 0.05) and </w:t>
      </w:r>
      <w:r w:rsidRPr="004221A9">
        <w:rPr>
          <w:rStyle w:val="lev"/>
          <w:color w:val="000000" w:themeColor="text1"/>
        </w:rPr>
        <w:t>5.3 ± 0.6</w:t>
      </w:r>
      <w:r w:rsidRPr="004221A9">
        <w:rPr>
          <w:color w:val="000000" w:themeColor="text1"/>
        </w:rPr>
        <w:t xml:space="preserve"> (</w:t>
      </w:r>
      <w:r w:rsidR="00EF2BC0" w:rsidRPr="004221A9">
        <w:rPr>
          <w:color w:val="000000" w:themeColor="text1"/>
        </w:rPr>
        <w:t>*</w:t>
      </w:r>
      <w:r w:rsidRPr="004221A9">
        <w:rPr>
          <w:rStyle w:val="Accentuation"/>
          <w:color w:val="000000" w:themeColor="text1"/>
        </w:rPr>
        <w:t>P</w:t>
      </w:r>
      <w:r w:rsidRPr="004221A9">
        <w:rPr>
          <w:color w:val="000000" w:themeColor="text1"/>
        </w:rPr>
        <w:t xml:space="preserve"> &lt; 0.05) at doses of </w:t>
      </w:r>
      <w:r w:rsidRPr="004221A9">
        <w:rPr>
          <w:rStyle w:val="lev"/>
          <w:color w:val="000000" w:themeColor="text1"/>
        </w:rPr>
        <w:t>200</w:t>
      </w:r>
      <w:r w:rsidRPr="004221A9">
        <w:rPr>
          <w:color w:val="000000" w:themeColor="text1"/>
        </w:rPr>
        <w:t xml:space="preserve"> and </w:t>
      </w:r>
      <w:r w:rsidRPr="004221A9">
        <w:rPr>
          <w:rStyle w:val="lev"/>
          <w:color w:val="000000" w:themeColor="text1"/>
        </w:rPr>
        <w:t>400 mg/kg</w:t>
      </w:r>
      <w:r w:rsidRPr="004221A9">
        <w:rPr>
          <w:color w:val="000000" w:themeColor="text1"/>
        </w:rPr>
        <w:t>, respectively.</w:t>
      </w:r>
    </w:p>
    <w:p w14:paraId="616E6905" w14:textId="6B371F18" w:rsidR="00C05FE0" w:rsidRPr="004221A9" w:rsidRDefault="00C05FE0" w:rsidP="00A756BD">
      <w:pPr>
        <w:pStyle w:val="NormalWeb"/>
        <w:spacing w:before="0" w:beforeAutospacing="0" w:after="160" w:afterAutospacing="0"/>
        <w:jc w:val="both"/>
        <w:rPr>
          <w:color w:val="000000" w:themeColor="text1"/>
        </w:rPr>
      </w:pPr>
      <w:r w:rsidRPr="004221A9">
        <w:rPr>
          <w:color w:val="000000" w:themeColor="text1"/>
        </w:rPr>
        <w:t xml:space="preserve">The mean immobility time in the control group was </w:t>
      </w:r>
      <w:r w:rsidRPr="004221A9">
        <w:rPr>
          <w:rStyle w:val="lev"/>
          <w:color w:val="000000" w:themeColor="text1"/>
        </w:rPr>
        <w:t>62.4 ± 5.7 s</w:t>
      </w:r>
      <w:r w:rsidRPr="004221A9">
        <w:rPr>
          <w:color w:val="000000" w:themeColor="text1"/>
        </w:rPr>
        <w:t xml:space="preserve">. Caffeine significantly reduced the immobility time to </w:t>
      </w:r>
      <w:r w:rsidRPr="004221A9">
        <w:rPr>
          <w:rStyle w:val="lev"/>
          <w:color w:val="000000" w:themeColor="text1"/>
        </w:rPr>
        <w:t>21.8 ± 3.4 s</w:t>
      </w:r>
      <w:r w:rsidRPr="004221A9">
        <w:rPr>
          <w:color w:val="000000" w:themeColor="text1"/>
        </w:rPr>
        <w:t xml:space="preserve"> (*</w:t>
      </w:r>
      <w:r w:rsidR="00806781" w:rsidRPr="004221A9">
        <w:rPr>
          <w:color w:val="000000" w:themeColor="text1"/>
        </w:rPr>
        <w:t>*</w:t>
      </w:r>
      <w:r w:rsidRPr="004221A9">
        <w:rPr>
          <w:color w:val="000000" w:themeColor="text1"/>
        </w:rPr>
        <w:t>*</w:t>
      </w:r>
      <w:r w:rsidRPr="004221A9">
        <w:rPr>
          <w:rStyle w:val="Accentuation"/>
          <w:color w:val="000000" w:themeColor="text1"/>
        </w:rPr>
        <w:t>P</w:t>
      </w:r>
      <w:r w:rsidRPr="004221A9">
        <w:rPr>
          <w:color w:val="000000" w:themeColor="text1"/>
        </w:rPr>
        <w:t xml:space="preserve"> &lt; 0.001). The ethanolic extract also significantly reduced immobility time to </w:t>
      </w:r>
      <w:r w:rsidRPr="004221A9">
        <w:rPr>
          <w:rStyle w:val="lev"/>
          <w:color w:val="000000" w:themeColor="text1"/>
        </w:rPr>
        <w:t>33.7 ± 4.1 s</w:t>
      </w:r>
      <w:r w:rsidRPr="004221A9">
        <w:rPr>
          <w:color w:val="000000" w:themeColor="text1"/>
        </w:rPr>
        <w:t xml:space="preserve"> (*</w:t>
      </w:r>
      <w:r w:rsidR="00806781" w:rsidRPr="004221A9">
        <w:rPr>
          <w:color w:val="000000" w:themeColor="text1"/>
        </w:rPr>
        <w:t>*</w:t>
      </w:r>
      <w:r w:rsidRPr="004221A9">
        <w:rPr>
          <w:rStyle w:val="Accentuation"/>
          <w:color w:val="000000" w:themeColor="text1"/>
        </w:rPr>
        <w:t>P</w:t>
      </w:r>
      <w:r w:rsidRPr="004221A9">
        <w:rPr>
          <w:color w:val="000000" w:themeColor="text1"/>
        </w:rPr>
        <w:t xml:space="preserve"> &lt; 0.0</w:t>
      </w:r>
      <w:r w:rsidR="00806781" w:rsidRPr="004221A9">
        <w:rPr>
          <w:color w:val="000000" w:themeColor="text1"/>
        </w:rPr>
        <w:t>1</w:t>
      </w:r>
      <w:r w:rsidRPr="004221A9">
        <w:rPr>
          <w:color w:val="000000" w:themeColor="text1"/>
        </w:rPr>
        <w:t xml:space="preserve">) at </w:t>
      </w:r>
      <w:r w:rsidRPr="004221A9">
        <w:rPr>
          <w:rStyle w:val="lev"/>
          <w:color w:val="000000" w:themeColor="text1"/>
        </w:rPr>
        <w:t>200 mg/kg</w:t>
      </w:r>
      <w:r w:rsidRPr="004221A9">
        <w:rPr>
          <w:color w:val="000000" w:themeColor="text1"/>
        </w:rPr>
        <w:t xml:space="preserve"> and </w:t>
      </w:r>
      <w:r w:rsidRPr="004221A9">
        <w:rPr>
          <w:rStyle w:val="lev"/>
          <w:color w:val="000000" w:themeColor="text1"/>
        </w:rPr>
        <w:t>24.6 ± 3.8 s</w:t>
      </w:r>
      <w:r w:rsidRPr="004221A9">
        <w:rPr>
          <w:color w:val="000000" w:themeColor="text1"/>
        </w:rPr>
        <w:t xml:space="preserve"> (*</w:t>
      </w:r>
      <w:r w:rsidR="00806781" w:rsidRPr="004221A9">
        <w:rPr>
          <w:color w:val="000000" w:themeColor="text1"/>
        </w:rPr>
        <w:t>**</w:t>
      </w:r>
      <w:r w:rsidRPr="004221A9">
        <w:rPr>
          <w:rStyle w:val="Accentuation"/>
          <w:color w:val="000000" w:themeColor="text1"/>
        </w:rPr>
        <w:t>P</w:t>
      </w:r>
      <w:r w:rsidRPr="004221A9">
        <w:rPr>
          <w:color w:val="000000" w:themeColor="text1"/>
        </w:rPr>
        <w:t xml:space="preserve"> &lt; 0.0</w:t>
      </w:r>
      <w:r w:rsidR="00806781" w:rsidRPr="004221A9">
        <w:rPr>
          <w:color w:val="000000" w:themeColor="text1"/>
        </w:rPr>
        <w:t>01</w:t>
      </w:r>
      <w:r w:rsidRPr="004221A9">
        <w:rPr>
          <w:color w:val="000000" w:themeColor="text1"/>
        </w:rPr>
        <w:t xml:space="preserve">) at </w:t>
      </w:r>
      <w:r w:rsidRPr="004221A9">
        <w:rPr>
          <w:rStyle w:val="lev"/>
          <w:color w:val="000000" w:themeColor="text1"/>
        </w:rPr>
        <w:t>400 mg/kg</w:t>
      </w:r>
      <w:r w:rsidRPr="004221A9">
        <w:rPr>
          <w:color w:val="000000" w:themeColor="text1"/>
        </w:rPr>
        <w:t>.</w:t>
      </w:r>
    </w:p>
    <w:p w14:paraId="3CB0CAEA" w14:textId="65653BC3" w:rsidR="00A756BD" w:rsidRPr="004221A9" w:rsidRDefault="00A756BD" w:rsidP="00A756BD">
      <w:pPr>
        <w:pStyle w:val="NormalWeb"/>
        <w:spacing w:before="0" w:beforeAutospacing="0" w:after="160" w:afterAutospacing="0"/>
        <w:jc w:val="both"/>
        <w:rPr>
          <w:color w:val="000000" w:themeColor="text1"/>
        </w:rPr>
      </w:pPr>
    </w:p>
    <w:p w14:paraId="77B28FFD" w14:textId="184AC92F" w:rsidR="00A756BD" w:rsidRPr="004221A9" w:rsidRDefault="00A756BD" w:rsidP="00A756BD">
      <w:pPr>
        <w:pStyle w:val="NormalWeb"/>
        <w:spacing w:before="0" w:beforeAutospacing="0" w:after="160" w:afterAutospacing="0"/>
        <w:jc w:val="both"/>
        <w:rPr>
          <w:color w:val="000000" w:themeColor="text1"/>
        </w:rPr>
      </w:pPr>
    </w:p>
    <w:p w14:paraId="0814D5B0" w14:textId="22566A9A" w:rsidR="00A756BD" w:rsidRPr="004221A9" w:rsidRDefault="00A756BD" w:rsidP="00A756BD">
      <w:pPr>
        <w:pStyle w:val="NormalWeb"/>
        <w:spacing w:before="0" w:beforeAutospacing="0" w:after="160" w:afterAutospacing="0"/>
        <w:jc w:val="both"/>
        <w:rPr>
          <w:color w:val="000000" w:themeColor="text1"/>
        </w:rPr>
      </w:pPr>
    </w:p>
    <w:p w14:paraId="6844491F" w14:textId="1EB6066D" w:rsidR="00A756BD" w:rsidRPr="004221A9" w:rsidRDefault="00A756BD" w:rsidP="00A756BD">
      <w:pPr>
        <w:pStyle w:val="NormalWeb"/>
        <w:spacing w:before="0" w:beforeAutospacing="0" w:after="160" w:afterAutospacing="0"/>
        <w:jc w:val="both"/>
        <w:rPr>
          <w:color w:val="000000" w:themeColor="text1"/>
        </w:rPr>
      </w:pPr>
    </w:p>
    <w:p w14:paraId="4821471C" w14:textId="3FB1C9E6" w:rsidR="00A756BD" w:rsidRPr="004221A9" w:rsidRDefault="00A756BD" w:rsidP="00A756BD">
      <w:pPr>
        <w:pStyle w:val="NormalWeb"/>
        <w:spacing w:before="0" w:beforeAutospacing="0" w:after="160" w:afterAutospacing="0"/>
        <w:jc w:val="both"/>
        <w:rPr>
          <w:color w:val="000000" w:themeColor="text1"/>
        </w:rPr>
      </w:pPr>
    </w:p>
    <w:p w14:paraId="229B5665" w14:textId="77777777" w:rsidR="00A756BD" w:rsidRPr="004221A9" w:rsidRDefault="00A756BD" w:rsidP="00A756BD">
      <w:pPr>
        <w:pStyle w:val="NormalWeb"/>
        <w:spacing w:before="0" w:beforeAutospacing="0" w:after="160" w:afterAutospacing="0"/>
        <w:jc w:val="both"/>
        <w:rPr>
          <w:color w:val="000000" w:themeColor="text1"/>
        </w:rPr>
      </w:pPr>
    </w:p>
    <w:p w14:paraId="63BFE132" w14:textId="77777777" w:rsidR="00C05FE0" w:rsidRPr="004221A9" w:rsidRDefault="00C05FE0" w:rsidP="00A756BD">
      <w:pPr>
        <w:pStyle w:val="NormalWeb"/>
        <w:spacing w:before="0" w:beforeAutospacing="0" w:after="160" w:afterAutospacing="0"/>
        <w:jc w:val="both"/>
        <w:rPr>
          <w:color w:val="000000" w:themeColor="text1"/>
        </w:rPr>
      </w:pPr>
      <w:r w:rsidRPr="004221A9">
        <w:rPr>
          <w:rStyle w:val="lev"/>
          <w:color w:val="000000" w:themeColor="text1"/>
        </w:rPr>
        <w:lastRenderedPageBreak/>
        <w:t xml:space="preserve">Table 5. Effect of the ethanolic extract of </w:t>
      </w:r>
      <w:r w:rsidRPr="004221A9">
        <w:rPr>
          <w:rStyle w:val="Accentuation"/>
          <w:b/>
          <w:bCs/>
          <w:color w:val="000000" w:themeColor="text1"/>
        </w:rPr>
        <w:t>Cassia auriculata</w:t>
      </w:r>
      <w:r w:rsidRPr="004221A9">
        <w:rPr>
          <w:rStyle w:val="lev"/>
          <w:color w:val="000000" w:themeColor="text1"/>
        </w:rPr>
        <w:t xml:space="preserve"> flowers on exploratory </w:t>
      </w:r>
      <w:proofErr w:type="spellStart"/>
      <w:r w:rsidRPr="004221A9">
        <w:rPr>
          <w:rStyle w:val="lev"/>
          <w:color w:val="000000" w:themeColor="text1"/>
        </w:rPr>
        <w:t>behaviour</w:t>
      </w:r>
      <w:proofErr w:type="spellEnd"/>
      <w:r w:rsidRPr="004221A9">
        <w:rPr>
          <w:rStyle w:val="lev"/>
          <w:color w:val="000000" w:themeColor="text1"/>
        </w:rPr>
        <w:t xml:space="preserve"> in the open field test.</w:t>
      </w:r>
    </w:p>
    <w:tbl>
      <w:tblPr>
        <w:tblStyle w:val="Grilledutableau"/>
        <w:tblW w:w="9730" w:type="dxa"/>
        <w:tblLook w:val="04A0" w:firstRow="1" w:lastRow="0" w:firstColumn="1" w:lastColumn="0" w:noHBand="0" w:noVBand="1"/>
      </w:tblPr>
      <w:tblGrid>
        <w:gridCol w:w="2056"/>
        <w:gridCol w:w="1688"/>
        <w:gridCol w:w="1505"/>
        <w:gridCol w:w="2306"/>
        <w:gridCol w:w="2175"/>
      </w:tblGrid>
      <w:tr w:rsidR="00B548D7" w:rsidRPr="004221A9" w14:paraId="5B62E77E" w14:textId="77777777" w:rsidTr="00521ED4">
        <w:trPr>
          <w:trHeight w:val="569"/>
        </w:trPr>
        <w:tc>
          <w:tcPr>
            <w:tcW w:w="0" w:type="auto"/>
            <w:hideMark/>
          </w:tcPr>
          <w:p w14:paraId="0C849CAF" w14:textId="1F814AE5"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Group</w:t>
            </w:r>
          </w:p>
        </w:tc>
        <w:tc>
          <w:tcPr>
            <w:tcW w:w="0" w:type="auto"/>
            <w:hideMark/>
          </w:tcPr>
          <w:p w14:paraId="567BA33D" w14:textId="609E0A40"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Line Crossings</w:t>
            </w:r>
          </w:p>
        </w:tc>
        <w:tc>
          <w:tcPr>
            <w:tcW w:w="0" w:type="auto"/>
            <w:hideMark/>
          </w:tcPr>
          <w:p w14:paraId="603247CE" w14:textId="496C08E3" w:rsidR="00555094" w:rsidRPr="004221A9" w:rsidRDefault="00555094" w:rsidP="00A756BD">
            <w:pPr>
              <w:jc w:val="both"/>
              <w:rPr>
                <w:rFonts w:ascii="Times New Roman" w:eastAsia="Times New Roman" w:hAnsi="Times New Roman" w:cs="Times New Roman"/>
                <w:b/>
                <w:bCs/>
                <w:color w:val="000000" w:themeColor="text1"/>
                <w:sz w:val="24"/>
                <w:szCs w:val="24"/>
              </w:rPr>
            </w:pPr>
            <w:proofErr w:type="spellStart"/>
            <w:r w:rsidRPr="004221A9">
              <w:rPr>
                <w:rFonts w:ascii="Times New Roman" w:eastAsia="Times New Roman" w:hAnsi="Times New Roman" w:cs="Times New Roman"/>
                <w:b/>
                <w:bCs/>
                <w:color w:val="000000" w:themeColor="text1"/>
                <w:sz w:val="24"/>
                <w:szCs w:val="24"/>
              </w:rPr>
              <w:t>Rearings</w:t>
            </w:r>
            <w:proofErr w:type="spellEnd"/>
          </w:p>
        </w:tc>
        <w:tc>
          <w:tcPr>
            <w:tcW w:w="0" w:type="auto"/>
            <w:hideMark/>
          </w:tcPr>
          <w:p w14:paraId="03F99237" w14:textId="4DAB4894"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Grooming Frequency</w:t>
            </w:r>
          </w:p>
        </w:tc>
        <w:tc>
          <w:tcPr>
            <w:tcW w:w="0" w:type="auto"/>
            <w:hideMark/>
          </w:tcPr>
          <w:p w14:paraId="186AFC6F" w14:textId="53D58499"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Immobility Time (s)</w:t>
            </w:r>
          </w:p>
        </w:tc>
      </w:tr>
      <w:tr w:rsidR="00B548D7" w:rsidRPr="004221A9" w14:paraId="28E80135" w14:textId="77777777" w:rsidTr="00521ED4">
        <w:trPr>
          <w:trHeight w:val="279"/>
        </w:trPr>
        <w:tc>
          <w:tcPr>
            <w:tcW w:w="0" w:type="auto"/>
            <w:hideMark/>
          </w:tcPr>
          <w:p w14:paraId="7C57BD50"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Control</w:t>
            </w:r>
          </w:p>
        </w:tc>
        <w:tc>
          <w:tcPr>
            <w:tcW w:w="0" w:type="auto"/>
            <w:hideMark/>
          </w:tcPr>
          <w:p w14:paraId="4D069F85"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38.4 ± 3.2</w:t>
            </w:r>
          </w:p>
        </w:tc>
        <w:tc>
          <w:tcPr>
            <w:tcW w:w="0" w:type="auto"/>
            <w:hideMark/>
          </w:tcPr>
          <w:p w14:paraId="12229C18"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7.5 ± 1.1</w:t>
            </w:r>
          </w:p>
        </w:tc>
        <w:tc>
          <w:tcPr>
            <w:tcW w:w="0" w:type="auto"/>
            <w:hideMark/>
          </w:tcPr>
          <w:p w14:paraId="54CAF1F9"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6.8 ± 0.9</w:t>
            </w:r>
          </w:p>
        </w:tc>
        <w:tc>
          <w:tcPr>
            <w:tcW w:w="0" w:type="auto"/>
            <w:hideMark/>
          </w:tcPr>
          <w:p w14:paraId="08B1D293"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62.4 ± 5.7</w:t>
            </w:r>
          </w:p>
        </w:tc>
      </w:tr>
      <w:tr w:rsidR="00B548D7" w:rsidRPr="004221A9" w14:paraId="745E8AA6" w14:textId="77777777" w:rsidTr="00521ED4">
        <w:trPr>
          <w:trHeight w:val="569"/>
        </w:trPr>
        <w:tc>
          <w:tcPr>
            <w:tcW w:w="0" w:type="auto"/>
            <w:hideMark/>
          </w:tcPr>
          <w:p w14:paraId="678323BF"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Caffeine (20 mg/kg)</w:t>
            </w:r>
          </w:p>
        </w:tc>
        <w:tc>
          <w:tcPr>
            <w:tcW w:w="0" w:type="auto"/>
            <w:hideMark/>
          </w:tcPr>
          <w:p w14:paraId="2CFF39E5"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81.6 ± 5.8***</w:t>
            </w:r>
          </w:p>
        </w:tc>
        <w:tc>
          <w:tcPr>
            <w:tcW w:w="0" w:type="auto"/>
            <w:hideMark/>
          </w:tcPr>
          <w:p w14:paraId="565CC20F"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18.3 ± 1.9***</w:t>
            </w:r>
          </w:p>
        </w:tc>
        <w:tc>
          <w:tcPr>
            <w:tcW w:w="0" w:type="auto"/>
            <w:hideMark/>
          </w:tcPr>
          <w:p w14:paraId="3F8D984F"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5.2 ± 0.8*</w:t>
            </w:r>
          </w:p>
        </w:tc>
        <w:tc>
          <w:tcPr>
            <w:tcW w:w="0" w:type="auto"/>
            <w:hideMark/>
          </w:tcPr>
          <w:p w14:paraId="3618E6E4"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21.8 ± 3.4***</w:t>
            </w:r>
          </w:p>
        </w:tc>
      </w:tr>
      <w:tr w:rsidR="00B548D7" w:rsidRPr="004221A9" w14:paraId="6C05D1C9" w14:textId="77777777" w:rsidTr="00521ED4">
        <w:trPr>
          <w:trHeight w:val="560"/>
        </w:trPr>
        <w:tc>
          <w:tcPr>
            <w:tcW w:w="0" w:type="auto"/>
            <w:hideMark/>
          </w:tcPr>
          <w:p w14:paraId="69F9E9A1"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(200 mg/kg)</w:t>
            </w:r>
          </w:p>
        </w:tc>
        <w:tc>
          <w:tcPr>
            <w:tcW w:w="0" w:type="auto"/>
            <w:hideMark/>
          </w:tcPr>
          <w:p w14:paraId="3384B1E9"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67.8 ± 4.7***</w:t>
            </w:r>
          </w:p>
        </w:tc>
        <w:tc>
          <w:tcPr>
            <w:tcW w:w="0" w:type="auto"/>
            <w:hideMark/>
          </w:tcPr>
          <w:p w14:paraId="04AA0B1E"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14.6 ± 1.5***</w:t>
            </w:r>
          </w:p>
        </w:tc>
        <w:tc>
          <w:tcPr>
            <w:tcW w:w="0" w:type="auto"/>
            <w:hideMark/>
          </w:tcPr>
          <w:p w14:paraId="0A793EB7"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5.9 ± 0.7*</w:t>
            </w:r>
          </w:p>
        </w:tc>
        <w:tc>
          <w:tcPr>
            <w:tcW w:w="0" w:type="auto"/>
            <w:hideMark/>
          </w:tcPr>
          <w:p w14:paraId="6867AA86"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33.7 ± 4.1**</w:t>
            </w:r>
          </w:p>
        </w:tc>
      </w:tr>
      <w:tr w:rsidR="00B548D7" w:rsidRPr="004221A9" w14:paraId="0E25488E" w14:textId="77777777" w:rsidTr="00521ED4">
        <w:trPr>
          <w:trHeight w:val="569"/>
        </w:trPr>
        <w:tc>
          <w:tcPr>
            <w:tcW w:w="0" w:type="auto"/>
            <w:hideMark/>
          </w:tcPr>
          <w:p w14:paraId="364DF692"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(400 mg/kg)</w:t>
            </w:r>
          </w:p>
        </w:tc>
        <w:tc>
          <w:tcPr>
            <w:tcW w:w="0" w:type="auto"/>
            <w:hideMark/>
          </w:tcPr>
          <w:p w14:paraId="67F8FDE7"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77.2 ± 5.1***</w:t>
            </w:r>
          </w:p>
        </w:tc>
        <w:tc>
          <w:tcPr>
            <w:tcW w:w="0" w:type="auto"/>
            <w:hideMark/>
          </w:tcPr>
          <w:p w14:paraId="56316FF7"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17.1 ± 1.8***</w:t>
            </w:r>
          </w:p>
        </w:tc>
        <w:tc>
          <w:tcPr>
            <w:tcW w:w="0" w:type="auto"/>
            <w:hideMark/>
          </w:tcPr>
          <w:p w14:paraId="41A149E5"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5.3 ± 0.6*</w:t>
            </w:r>
          </w:p>
        </w:tc>
        <w:tc>
          <w:tcPr>
            <w:tcW w:w="0" w:type="auto"/>
            <w:hideMark/>
          </w:tcPr>
          <w:p w14:paraId="639CB6FF"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24.6 ± 3.8***</w:t>
            </w:r>
          </w:p>
        </w:tc>
      </w:tr>
    </w:tbl>
    <w:p w14:paraId="382C2AFE" w14:textId="7D849C0F" w:rsidR="00555094" w:rsidRPr="004221A9" w:rsidRDefault="003E69C2" w:rsidP="00A756BD">
      <w:pPr>
        <w:pStyle w:val="NormalWeb"/>
        <w:spacing w:before="0" w:beforeAutospacing="0" w:after="160" w:afterAutospacing="0"/>
        <w:jc w:val="both"/>
        <w:rPr>
          <w:rStyle w:val="lev"/>
          <w:color w:val="000000" w:themeColor="text1"/>
        </w:rPr>
      </w:pPr>
      <w:r w:rsidRPr="004221A9">
        <w:rPr>
          <w:color w:val="000000" w:themeColor="text1"/>
        </w:rPr>
        <w:t>Values are expressed as mean ± SD (n = 6). Statistical analysis was performed using one-way ANOVA followed by Tukey's multiple comparison test.</w:t>
      </w:r>
      <w:r w:rsidR="00555094" w:rsidRPr="004221A9">
        <w:rPr>
          <w:color w:val="000000" w:themeColor="text1"/>
        </w:rPr>
        <w:t xml:space="preserve"> </w:t>
      </w:r>
      <w:r w:rsidRPr="004221A9">
        <w:rPr>
          <w:color w:val="000000" w:themeColor="text1"/>
        </w:rPr>
        <w:t>*</w:t>
      </w:r>
      <w:r w:rsidR="00555094" w:rsidRPr="004221A9">
        <w:rPr>
          <w:rStyle w:val="Accentuation"/>
          <w:color w:val="000000" w:themeColor="text1"/>
        </w:rPr>
        <w:t>P</w:t>
      </w:r>
      <w:r w:rsidR="00555094" w:rsidRPr="004221A9">
        <w:rPr>
          <w:color w:val="000000" w:themeColor="text1"/>
        </w:rPr>
        <w:t xml:space="preserve"> &lt; 0.05, </w:t>
      </w:r>
      <w:r w:rsidRPr="004221A9">
        <w:rPr>
          <w:color w:val="000000" w:themeColor="text1"/>
        </w:rPr>
        <w:t>*</w:t>
      </w:r>
      <w:r w:rsidR="00555094" w:rsidRPr="004221A9">
        <w:rPr>
          <w:color w:val="000000" w:themeColor="text1"/>
        </w:rPr>
        <w:t>*</w:t>
      </w:r>
      <w:r w:rsidR="00555094" w:rsidRPr="004221A9">
        <w:rPr>
          <w:rStyle w:val="Accentuation"/>
          <w:color w:val="000000" w:themeColor="text1"/>
        </w:rPr>
        <w:t>P</w:t>
      </w:r>
      <w:r w:rsidR="00555094" w:rsidRPr="004221A9">
        <w:rPr>
          <w:color w:val="000000" w:themeColor="text1"/>
        </w:rPr>
        <w:t xml:space="preserve"> &lt; 0.01, and *</w:t>
      </w:r>
      <w:r w:rsidRPr="004221A9">
        <w:rPr>
          <w:color w:val="000000" w:themeColor="text1"/>
        </w:rPr>
        <w:t>*</w:t>
      </w:r>
      <w:r w:rsidR="00555094" w:rsidRPr="004221A9">
        <w:rPr>
          <w:color w:val="000000" w:themeColor="text1"/>
        </w:rPr>
        <w:t>*</w:t>
      </w:r>
      <w:r w:rsidR="00555094" w:rsidRPr="004221A9">
        <w:rPr>
          <w:rStyle w:val="Accentuation"/>
          <w:color w:val="000000" w:themeColor="text1"/>
        </w:rPr>
        <w:t>P</w:t>
      </w:r>
      <w:r w:rsidR="00555094" w:rsidRPr="004221A9">
        <w:rPr>
          <w:color w:val="000000" w:themeColor="text1"/>
        </w:rPr>
        <w:t xml:space="preserve"> &lt; 0.001 compared with the control group.</w:t>
      </w:r>
    </w:p>
    <w:p w14:paraId="0E3862F7" w14:textId="30E28347" w:rsidR="00C05FE0" w:rsidRPr="004221A9" w:rsidRDefault="00C05FE0" w:rsidP="00A756BD">
      <w:pPr>
        <w:spacing w:line="240" w:lineRule="auto"/>
        <w:jc w:val="both"/>
        <w:rPr>
          <w:rFonts w:ascii="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fldChar w:fldCharType="begin"/>
      </w:r>
      <w:r w:rsidRPr="004221A9">
        <w:rPr>
          <w:rFonts w:ascii="Times New Roman" w:eastAsia="Times New Roman" w:hAnsi="Times New Roman" w:cs="Times New Roman"/>
          <w:color w:val="000000" w:themeColor="text1"/>
          <w:sz w:val="24"/>
          <w:szCs w:val="24"/>
        </w:rPr>
        <w:instrText xml:space="preserve"> INCLUDEPICTURE "C:\\Users\\Admin\\Downloads\\ChatGPT Image Jul 5, 2026, 03_44_02 PM.png" \* MERGEFORMATINET </w:instrText>
      </w:r>
      <w:r w:rsidRPr="004221A9">
        <w:rPr>
          <w:rFonts w:ascii="Times New Roman" w:eastAsia="Times New Roman" w:hAnsi="Times New Roman" w:cs="Times New Roman"/>
          <w:color w:val="000000" w:themeColor="text1"/>
          <w:sz w:val="24"/>
          <w:szCs w:val="24"/>
        </w:rPr>
        <w:fldChar w:fldCharType="separate"/>
      </w:r>
      <w:r w:rsidR="009D6574" w:rsidRPr="004221A9">
        <w:rPr>
          <w:rFonts w:ascii="Times New Roman" w:eastAsia="Times New Roman" w:hAnsi="Times New Roman" w:cs="Times New Roman"/>
          <w:color w:val="000000" w:themeColor="text1"/>
          <w:sz w:val="24"/>
          <w:szCs w:val="24"/>
        </w:rPr>
        <w:fldChar w:fldCharType="begin"/>
      </w:r>
      <w:r w:rsidR="009D6574" w:rsidRPr="004221A9">
        <w:rPr>
          <w:rFonts w:ascii="Times New Roman" w:eastAsia="Times New Roman" w:hAnsi="Times New Roman" w:cs="Times New Roman"/>
          <w:color w:val="000000" w:themeColor="text1"/>
          <w:sz w:val="24"/>
          <w:szCs w:val="24"/>
        </w:rPr>
        <w:instrText xml:space="preserve"> INCLUDEPICTURE  "C:\\Users\\Downloads\\ChatGPT Image Jul 5, 2026, 03_44_02 PM.png" \* MERGEFORMATINET </w:instrText>
      </w:r>
      <w:r w:rsidR="009D6574" w:rsidRPr="004221A9">
        <w:rPr>
          <w:rFonts w:ascii="Times New Roman" w:eastAsia="Times New Roman" w:hAnsi="Times New Roman" w:cs="Times New Roman"/>
          <w:color w:val="000000" w:themeColor="text1"/>
          <w:sz w:val="24"/>
          <w:szCs w:val="24"/>
        </w:rPr>
        <w:fldChar w:fldCharType="separate"/>
      </w:r>
      <w:r w:rsidR="004221A9" w:rsidRPr="004221A9">
        <w:rPr>
          <w:rFonts w:ascii="Times New Roman" w:eastAsia="Times New Roman" w:hAnsi="Times New Roman" w:cs="Times New Roman"/>
          <w:color w:val="000000" w:themeColor="text1"/>
          <w:sz w:val="24"/>
          <w:szCs w:val="24"/>
        </w:rPr>
        <w:fldChar w:fldCharType="begin"/>
      </w:r>
      <w:r w:rsidR="004221A9" w:rsidRPr="004221A9">
        <w:rPr>
          <w:rFonts w:ascii="Times New Roman" w:eastAsia="Times New Roman" w:hAnsi="Times New Roman" w:cs="Times New Roman"/>
          <w:color w:val="000000" w:themeColor="text1"/>
          <w:sz w:val="24"/>
          <w:szCs w:val="24"/>
        </w:rPr>
        <w:instrText xml:space="preserve"> INCLUDEPICTURE  "C:\\Users\\Admin\\Downloads\\ChatGPT Image Jul 5, 2026, 03_44_02 PM.png" \* MERGEFORMATINET </w:instrText>
      </w:r>
      <w:r w:rsidR="004221A9" w:rsidRPr="004221A9">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"C:\\Downloads\\ChatGPT Image Jul 5, 2026, 03_44_02 PM.png" \* MERGEFORMATINET </w:instrText>
      </w:r>
      <w:r>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"E:\\Tamali Chakraborty_SUBMISSION_MBI\\All files\\2026\\July, 2026\\25-07-2026\\Downloads\\ChatGPT Image Jul 5, 2026, 03_44_02 PM.png" \* MERGEFORMATINET </w:instrText>
      </w:r>
      <w:r>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"D:\\Rimika Das\\Sending\\Downloads\\ChatGPT Image Jul 5, 2026, 03_44_02 PM.png" \* MERGEFORMATINET </w:instrText>
      </w:r>
      <w:r>
        <w:rPr>
          <w:rFonts w:ascii="Times New Roman" w:eastAsia="Times New Roman" w:hAnsi="Times New Roman" w:cs="Times New Roman"/>
          <w:color w:val="000000" w:themeColor="text1"/>
          <w:sz w:val="24"/>
          <w:szCs w:val="24"/>
        </w:rPr>
        <w:fldChar w:fldCharType="separate"/>
      </w:r>
      <w:r w:rsidR="00000000">
        <w:rPr>
          <w:rFonts w:ascii="Times New Roman" w:eastAsia="Times New Roman" w:hAnsi="Times New Roman" w:cs="Times New Roman"/>
          <w:color w:val="000000" w:themeColor="text1"/>
          <w:sz w:val="24"/>
          <w:szCs w:val="24"/>
        </w:rPr>
        <w:fldChar w:fldCharType="begin"/>
      </w:r>
      <w:r w:rsidR="00000000">
        <w:rPr>
          <w:rFonts w:ascii="Times New Roman" w:eastAsia="Times New Roman" w:hAnsi="Times New Roman" w:cs="Times New Roman"/>
          <w:color w:val="000000" w:themeColor="text1"/>
          <w:sz w:val="24"/>
          <w:szCs w:val="24"/>
        </w:rPr>
        <w:instrText xml:space="preserve"> INCLUDEPICTURE  "C:\\Users\\CONGO MOBILES\\Documents\\Downloads\\ChatGPT Image Jul 5, 2026, 03_44_02 PM.png" \* MERGEFORMATINET </w:instrText>
      </w:r>
      <w:r w:rsidR="00000000">
        <w:rPr>
          <w:rFonts w:ascii="Times New Roman" w:eastAsia="Times New Roman" w:hAnsi="Times New Roman" w:cs="Times New Roman"/>
          <w:color w:val="000000" w:themeColor="text1"/>
          <w:sz w:val="24"/>
          <w:szCs w:val="24"/>
        </w:rPr>
        <w:fldChar w:fldCharType="separate"/>
      </w:r>
      <w:r w:rsidR="0034616F">
        <w:rPr>
          <w:rFonts w:ascii="Times New Roman" w:eastAsia="Times New Roman" w:hAnsi="Times New Roman" w:cs="Times New Roman"/>
          <w:color w:val="000000" w:themeColor="text1"/>
          <w:sz w:val="24"/>
          <w:szCs w:val="24"/>
        </w:rPr>
        <w:pict w14:anchorId="68AE7ED7">
          <v:shape id="_x0000_i1026" type="#_x0000_t75" style="width:439pt;height:257.25pt" o:bordertopcolor="this" o:borderleftcolor="this" o:borderbottomcolor="this" o:borderrightcolor="this">
            <v:imagedata r:id="rId10" r:href="rId11" cropbottom="7774f"/>
            <w10:bordertop type="single" width="4"/>
            <w10:borderleft type="single" width="4"/>
            <w10:borderbottom type="single" width="4"/>
            <w10:borderright type="single" width="4"/>
          </v:shape>
        </w:pict>
      </w:r>
      <w:r w:rsidR="00000000">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sidR="004221A9" w:rsidRPr="004221A9">
        <w:rPr>
          <w:rFonts w:ascii="Times New Roman" w:eastAsia="Times New Roman" w:hAnsi="Times New Roman" w:cs="Times New Roman"/>
          <w:color w:val="000000" w:themeColor="text1"/>
          <w:sz w:val="24"/>
          <w:szCs w:val="24"/>
        </w:rPr>
        <w:fldChar w:fldCharType="end"/>
      </w:r>
      <w:r w:rsidR="009D6574" w:rsidRPr="004221A9">
        <w:rPr>
          <w:rFonts w:ascii="Times New Roman" w:eastAsia="Times New Roman" w:hAnsi="Times New Roman" w:cs="Times New Roman"/>
          <w:color w:val="000000" w:themeColor="text1"/>
          <w:sz w:val="24"/>
          <w:szCs w:val="24"/>
        </w:rPr>
        <w:fldChar w:fldCharType="end"/>
      </w:r>
      <w:r w:rsidRPr="004221A9">
        <w:rPr>
          <w:rFonts w:ascii="Times New Roman" w:eastAsia="Times New Roman" w:hAnsi="Times New Roman" w:cs="Times New Roman"/>
          <w:color w:val="000000" w:themeColor="text1"/>
          <w:sz w:val="24"/>
          <w:szCs w:val="24"/>
        </w:rPr>
        <w:fldChar w:fldCharType="end"/>
      </w:r>
    </w:p>
    <w:p w14:paraId="219DE026" w14:textId="77777777" w:rsidR="0016673D" w:rsidRPr="004221A9" w:rsidRDefault="0016673D" w:rsidP="00A756BD">
      <w:pPr>
        <w:pStyle w:val="NormalWeb"/>
        <w:spacing w:before="0" w:beforeAutospacing="0" w:after="160" w:afterAutospacing="0"/>
        <w:jc w:val="both"/>
        <w:rPr>
          <w:color w:val="000000" w:themeColor="text1"/>
        </w:rPr>
      </w:pPr>
      <w:r w:rsidRPr="004221A9">
        <w:rPr>
          <w:rStyle w:val="lev"/>
          <w:color w:val="000000" w:themeColor="text1"/>
        </w:rPr>
        <w:t xml:space="preserve">Figure 3. Effect of the ethanolic extract of </w:t>
      </w:r>
      <w:r w:rsidRPr="004221A9">
        <w:rPr>
          <w:rStyle w:val="Accentuation"/>
          <w:b/>
          <w:bCs/>
          <w:color w:val="000000" w:themeColor="text1"/>
        </w:rPr>
        <w:t>Cassia auriculata</w:t>
      </w:r>
      <w:r w:rsidRPr="004221A9">
        <w:rPr>
          <w:rStyle w:val="lev"/>
          <w:color w:val="000000" w:themeColor="text1"/>
        </w:rPr>
        <w:t xml:space="preserve"> flowers on exploratory </w:t>
      </w:r>
      <w:proofErr w:type="spellStart"/>
      <w:r w:rsidRPr="004221A9">
        <w:rPr>
          <w:rStyle w:val="lev"/>
          <w:color w:val="000000" w:themeColor="text1"/>
        </w:rPr>
        <w:t>behaviour</w:t>
      </w:r>
      <w:proofErr w:type="spellEnd"/>
      <w:r w:rsidRPr="004221A9">
        <w:rPr>
          <w:rStyle w:val="lev"/>
          <w:color w:val="000000" w:themeColor="text1"/>
        </w:rPr>
        <w:t xml:space="preserve"> in the open field test.</w:t>
      </w:r>
    </w:p>
    <w:p w14:paraId="4A90CDF4" w14:textId="498913FD" w:rsidR="00CD40D0" w:rsidRPr="004221A9" w:rsidRDefault="00CD40D0" w:rsidP="00A756BD">
      <w:pPr>
        <w:pStyle w:val="Titre1"/>
        <w:spacing w:before="0" w:after="160" w:line="240" w:lineRule="auto"/>
        <w:jc w:val="both"/>
        <w:rPr>
          <w:rFonts w:ascii="Times New Roman" w:hAnsi="Times New Roman" w:cs="Times New Roman"/>
          <w:b/>
          <w:bCs/>
          <w:color w:val="000000" w:themeColor="text1"/>
          <w:sz w:val="24"/>
          <w:szCs w:val="24"/>
        </w:rPr>
      </w:pPr>
      <w:r w:rsidRPr="004221A9">
        <w:rPr>
          <w:rFonts w:ascii="Times New Roman" w:hAnsi="Times New Roman" w:cs="Times New Roman"/>
          <w:b/>
          <w:bCs/>
          <w:color w:val="000000" w:themeColor="text1"/>
          <w:sz w:val="24"/>
          <w:szCs w:val="24"/>
        </w:rPr>
        <w:t>4. Discussion</w:t>
      </w:r>
    </w:p>
    <w:p w14:paraId="3039EF3F"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present investigation evaluated the phytochemical composition and central nervous system (CNS) stimulant activity of the ethanolic extract of </w:t>
      </w:r>
      <w:r w:rsidRPr="004221A9">
        <w:rPr>
          <w:rStyle w:val="Accentuation"/>
          <w:rFonts w:eastAsiaTheme="majorEastAsia"/>
          <w:color w:val="000000" w:themeColor="text1"/>
        </w:rPr>
        <w:t>Cassia auriculata</w:t>
      </w:r>
      <w:r w:rsidRPr="004221A9">
        <w:rPr>
          <w:color w:val="000000" w:themeColor="text1"/>
        </w:rPr>
        <w:t xml:space="preserve"> flowers using established </w:t>
      </w:r>
      <w:proofErr w:type="spellStart"/>
      <w:r w:rsidRPr="004221A9">
        <w:rPr>
          <w:color w:val="000000" w:themeColor="text1"/>
        </w:rPr>
        <w:t>behavioural</w:t>
      </w:r>
      <w:proofErr w:type="spellEnd"/>
      <w:r w:rsidRPr="004221A9">
        <w:rPr>
          <w:color w:val="000000" w:themeColor="text1"/>
        </w:rPr>
        <w:t xml:space="preserve"> models in Swiss albino mice. The findings demonstrated that the extract contained several biologically active secondary metabolites, including alkaloids, flavonoids, phenolic compounds, tannins, terpenoids, glycosides, saponins, proteins, and carbohydrates. Furthermore, the extract enhanced spontaneous locomotor activity, improved motor performance in the Rotarod </w:t>
      </w:r>
      <w:r w:rsidRPr="004221A9">
        <w:rPr>
          <w:color w:val="000000" w:themeColor="text1"/>
        </w:rPr>
        <w:lastRenderedPageBreak/>
        <w:t xml:space="preserve">test, and increased exploratory </w:t>
      </w:r>
      <w:proofErr w:type="spellStart"/>
      <w:r w:rsidRPr="004221A9">
        <w:rPr>
          <w:color w:val="000000" w:themeColor="text1"/>
        </w:rPr>
        <w:t>behaviour</w:t>
      </w:r>
      <w:proofErr w:type="spellEnd"/>
      <w:r w:rsidRPr="004221A9">
        <w:rPr>
          <w:color w:val="000000" w:themeColor="text1"/>
        </w:rPr>
        <w:t xml:space="preserve"> in the open field test, suggesting dose-dependent CNS stimulant activity.</w:t>
      </w:r>
    </w:p>
    <w:p w14:paraId="399C030D"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Phytochemical screening confirmed the presence of flavonoids and phenolic compounds, which are widely recognized for their antioxidant and </w:t>
      </w:r>
      <w:proofErr w:type="spellStart"/>
      <w:r w:rsidRPr="004221A9">
        <w:rPr>
          <w:color w:val="000000" w:themeColor="text1"/>
        </w:rPr>
        <w:t>neuromodulatory</w:t>
      </w:r>
      <w:proofErr w:type="spellEnd"/>
      <w:r w:rsidRPr="004221A9">
        <w:rPr>
          <w:color w:val="000000" w:themeColor="text1"/>
        </w:rPr>
        <w:t xml:space="preserve"> properties. These compounds have been reported to reduce oxidative stress, protect neuronal cells from free radical-mediated damage, and regulate neurotransmitter </w:t>
      </w:r>
      <w:proofErr w:type="spellStart"/>
      <w:r w:rsidRPr="004221A9">
        <w:rPr>
          <w:color w:val="000000" w:themeColor="text1"/>
        </w:rPr>
        <w:t>signalling</w:t>
      </w:r>
      <w:proofErr w:type="spellEnd"/>
      <w:r w:rsidRPr="004221A9">
        <w:rPr>
          <w:color w:val="000000" w:themeColor="text1"/>
        </w:rPr>
        <w:t xml:space="preserve"> pathways involved in cognitive and </w:t>
      </w:r>
      <w:proofErr w:type="spellStart"/>
      <w:r w:rsidRPr="004221A9">
        <w:rPr>
          <w:color w:val="000000" w:themeColor="text1"/>
        </w:rPr>
        <w:t>behavioural</w:t>
      </w:r>
      <w:proofErr w:type="spellEnd"/>
      <w:r w:rsidRPr="004221A9">
        <w:rPr>
          <w:color w:val="000000" w:themeColor="text1"/>
        </w:rPr>
        <w:t xml:space="preserve"> functions (Islam </w:t>
      </w:r>
      <w:r w:rsidRPr="004221A9">
        <w:rPr>
          <w:rStyle w:val="Accentuation"/>
          <w:rFonts w:eastAsiaTheme="majorEastAsia"/>
          <w:color w:val="000000" w:themeColor="text1"/>
        </w:rPr>
        <w:t>et al</w:t>
      </w:r>
      <w:r w:rsidRPr="004221A9">
        <w:rPr>
          <w:color w:val="000000" w:themeColor="text1"/>
        </w:rPr>
        <w:t xml:space="preserve">., 2023; </w:t>
      </w:r>
      <w:proofErr w:type="spellStart"/>
      <w:r w:rsidRPr="004221A9">
        <w:rPr>
          <w:color w:val="000000" w:themeColor="text1"/>
        </w:rPr>
        <w:t>Bellavite</w:t>
      </w:r>
      <w:proofErr w:type="spellEnd"/>
      <w:r w:rsidRPr="004221A9">
        <w:rPr>
          <w:color w:val="000000" w:themeColor="text1"/>
        </w:rPr>
        <w:t xml:space="preserve">, 2023). In addition, alkaloids and terpenoids have been shown to interact with dopaminergic, adrenergic, and cholinergic neurotransmission, thereby influencing locomotor activity and </w:t>
      </w:r>
      <w:proofErr w:type="spellStart"/>
      <w:r w:rsidRPr="004221A9">
        <w:rPr>
          <w:color w:val="000000" w:themeColor="text1"/>
        </w:rPr>
        <w:t>behavioural</w:t>
      </w:r>
      <w:proofErr w:type="spellEnd"/>
      <w:r w:rsidRPr="004221A9">
        <w:rPr>
          <w:color w:val="000000" w:themeColor="text1"/>
        </w:rPr>
        <w:t xml:space="preserve"> responses (Shoaib </w:t>
      </w:r>
      <w:r w:rsidRPr="004221A9">
        <w:rPr>
          <w:rStyle w:val="Accentuation"/>
          <w:rFonts w:eastAsiaTheme="majorEastAsia"/>
          <w:color w:val="000000" w:themeColor="text1"/>
        </w:rPr>
        <w:t>et al</w:t>
      </w:r>
      <w:r w:rsidRPr="004221A9">
        <w:rPr>
          <w:color w:val="000000" w:themeColor="text1"/>
        </w:rPr>
        <w:t>., 2023). The combined action of these phytoconstituents may contribute to the pharmacological activity observed in the present study.</w:t>
      </w:r>
    </w:p>
    <w:p w14:paraId="312DE849"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acute oral toxicity study revealed no mortality or observable toxic manifestations following administration of the extract at 2000 mg/kg body weight, indicating a </w:t>
      </w:r>
      <w:proofErr w:type="spellStart"/>
      <w:r w:rsidRPr="004221A9">
        <w:rPr>
          <w:color w:val="000000" w:themeColor="text1"/>
        </w:rPr>
        <w:t>favourable</w:t>
      </w:r>
      <w:proofErr w:type="spellEnd"/>
      <w:r w:rsidRPr="004221A9">
        <w:rPr>
          <w:color w:val="000000" w:themeColor="text1"/>
        </w:rPr>
        <w:t xml:space="preserve"> safety profile under the experimental conditions. According to OECD Guideline 423, the absence of mortality at the limit dose suggests that the extract possesses relatively low acute oral toxicity and supports its suitability for further pharmacological investigations (OECD, 2001). Similar safety profiles have been reported for extracts of </w:t>
      </w:r>
      <w:r w:rsidRPr="004221A9">
        <w:rPr>
          <w:rStyle w:val="Accentuation"/>
          <w:rFonts w:eastAsiaTheme="majorEastAsia"/>
          <w:color w:val="000000" w:themeColor="text1"/>
        </w:rPr>
        <w:t>C. auriculata</w:t>
      </w:r>
      <w:r w:rsidRPr="004221A9">
        <w:rPr>
          <w:color w:val="000000" w:themeColor="text1"/>
        </w:rPr>
        <w:t xml:space="preserve"> in previous experimental studies (Nille </w:t>
      </w:r>
      <w:r w:rsidRPr="004221A9">
        <w:rPr>
          <w:rStyle w:val="Accentuation"/>
          <w:rFonts w:eastAsiaTheme="majorEastAsia"/>
          <w:color w:val="000000" w:themeColor="text1"/>
        </w:rPr>
        <w:t>et al</w:t>
      </w:r>
      <w:r w:rsidRPr="004221A9">
        <w:rPr>
          <w:color w:val="000000" w:themeColor="text1"/>
        </w:rPr>
        <w:t>., 2021).</w:t>
      </w:r>
    </w:p>
    <w:p w14:paraId="4934F4D6"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Locomotor activity is a widely accepted indicator of CNS stimulation because it reflects increased neuronal excitation and enhanced neurotransmitter release. In the present study, treatment with the ethanolic extract significantly increased locomotor activity in comparison with the control group, with the 400 mg/kg dose producing the greatest response. The observed effect was comparable to that of caffeine, a well-established CNS stimulant that primarily acts through antagonism of adenosine A₁ and A₂A receptors, resulting in enhanced dopaminergic and noradrenergic neurotransmission (Fredholm </w:t>
      </w:r>
      <w:r w:rsidRPr="004221A9">
        <w:rPr>
          <w:rStyle w:val="Accentuation"/>
          <w:rFonts w:eastAsiaTheme="majorEastAsia"/>
          <w:color w:val="000000" w:themeColor="text1"/>
        </w:rPr>
        <w:t>et al</w:t>
      </w:r>
      <w:r w:rsidRPr="004221A9">
        <w:rPr>
          <w:color w:val="000000" w:themeColor="text1"/>
        </w:rPr>
        <w:t xml:space="preserve">., 1999). Although the precise mechanism of action of the extract was not investigated, the increased locomotor activity suggests that its phytochemical constituents may influence similar neurotransmitter pathways responsible for </w:t>
      </w:r>
      <w:proofErr w:type="spellStart"/>
      <w:r w:rsidRPr="004221A9">
        <w:rPr>
          <w:color w:val="000000" w:themeColor="text1"/>
        </w:rPr>
        <w:t>behavioural</w:t>
      </w:r>
      <w:proofErr w:type="spellEnd"/>
      <w:r w:rsidRPr="004221A9">
        <w:rPr>
          <w:color w:val="000000" w:themeColor="text1"/>
        </w:rPr>
        <w:t xml:space="preserve"> activation.</w:t>
      </w:r>
    </w:p>
    <w:p w14:paraId="0FA1980D"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Rotarod test provides information regarding motor coordination, balance, and neuromuscular performance. Administration of the ethanolic extract significantly increased the retention time of mice on the rotating rod, indicating improved motor performance. The higher dose produced a greater increase in retention time than the lower dose, demonstrating a dose-dependent response. Unlike sedative agents, which generally impair motor coordination and reduce Rotarod performance, CNS stimulants enhance alertness and neuromuscular function, thereby increasing the duration for which animals remain on the rotating rod (Kulkarni, 2016). The present findings therefore support the stimulant-like </w:t>
      </w:r>
      <w:proofErr w:type="spellStart"/>
      <w:r w:rsidRPr="004221A9">
        <w:rPr>
          <w:color w:val="000000" w:themeColor="text1"/>
        </w:rPr>
        <w:t>behavioural</w:t>
      </w:r>
      <w:proofErr w:type="spellEnd"/>
      <w:r w:rsidRPr="004221A9">
        <w:rPr>
          <w:color w:val="000000" w:themeColor="text1"/>
        </w:rPr>
        <w:t xml:space="preserve"> profile of the extract.</w:t>
      </w:r>
    </w:p>
    <w:p w14:paraId="4552EA30"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open field test is a well-established </w:t>
      </w:r>
      <w:proofErr w:type="spellStart"/>
      <w:r w:rsidRPr="004221A9">
        <w:rPr>
          <w:color w:val="000000" w:themeColor="text1"/>
        </w:rPr>
        <w:t>behavioural</w:t>
      </w:r>
      <w:proofErr w:type="spellEnd"/>
      <w:r w:rsidRPr="004221A9">
        <w:rPr>
          <w:color w:val="000000" w:themeColor="text1"/>
        </w:rPr>
        <w:t xml:space="preserve"> model for assessing spontaneous locomotion and exploratory activity. Animals treated with the ethanolic extract exhibited increased line crossings and rearing frequency together with reduced immobility time, indicating enhanced exploratory </w:t>
      </w:r>
      <w:proofErr w:type="spellStart"/>
      <w:r w:rsidRPr="004221A9">
        <w:rPr>
          <w:color w:val="000000" w:themeColor="text1"/>
        </w:rPr>
        <w:t>behaviour</w:t>
      </w:r>
      <w:proofErr w:type="spellEnd"/>
      <w:r w:rsidRPr="004221A9">
        <w:rPr>
          <w:color w:val="000000" w:themeColor="text1"/>
        </w:rPr>
        <w:t xml:space="preserve">. Similar </w:t>
      </w:r>
      <w:proofErr w:type="spellStart"/>
      <w:r w:rsidRPr="004221A9">
        <w:rPr>
          <w:color w:val="000000" w:themeColor="text1"/>
        </w:rPr>
        <w:t>behavioural</w:t>
      </w:r>
      <w:proofErr w:type="spellEnd"/>
      <w:r w:rsidRPr="004221A9">
        <w:rPr>
          <w:color w:val="000000" w:themeColor="text1"/>
        </w:rPr>
        <w:t xml:space="preserve"> changes have been associated with increased dopaminergic and noradrenergic activity within the CNS (Archer, 1973). The reduction in immobility observed in extract-treated animals further supports the </w:t>
      </w:r>
      <w:proofErr w:type="spellStart"/>
      <w:r w:rsidRPr="004221A9">
        <w:rPr>
          <w:color w:val="000000" w:themeColor="text1"/>
        </w:rPr>
        <w:t>behavioural</w:t>
      </w:r>
      <w:proofErr w:type="spellEnd"/>
      <w:r w:rsidRPr="004221A9">
        <w:rPr>
          <w:color w:val="000000" w:themeColor="text1"/>
        </w:rPr>
        <w:t xml:space="preserve"> activation produced by the extract. Since locomotor stimulation occurred without evidence of acute toxicity </w:t>
      </w:r>
      <w:r w:rsidRPr="004221A9">
        <w:rPr>
          <w:color w:val="000000" w:themeColor="text1"/>
        </w:rPr>
        <w:lastRenderedPageBreak/>
        <w:t xml:space="preserve">or motor impairment, the extract appears to promote </w:t>
      </w:r>
      <w:proofErr w:type="spellStart"/>
      <w:r w:rsidRPr="004221A9">
        <w:rPr>
          <w:color w:val="000000" w:themeColor="text1"/>
        </w:rPr>
        <w:t>behavioural</w:t>
      </w:r>
      <w:proofErr w:type="spellEnd"/>
      <w:r w:rsidRPr="004221A9">
        <w:rPr>
          <w:color w:val="000000" w:themeColor="text1"/>
        </w:rPr>
        <w:t xml:space="preserve"> activation rather than producing nonspecific toxic effects.</w:t>
      </w:r>
    </w:p>
    <w:p w14:paraId="18EF0782"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Several pharmacological properties previously reported for </w:t>
      </w:r>
      <w:r w:rsidRPr="004221A9">
        <w:rPr>
          <w:rStyle w:val="Accentuation"/>
          <w:rFonts w:eastAsiaTheme="majorEastAsia"/>
          <w:color w:val="000000" w:themeColor="text1"/>
        </w:rPr>
        <w:t>C. auriculata</w:t>
      </w:r>
      <w:r w:rsidRPr="004221A9">
        <w:rPr>
          <w:color w:val="000000" w:themeColor="text1"/>
        </w:rPr>
        <w:t xml:space="preserve">, including antioxidant and anti-inflammatory activities, may also contribute indirectly to its neuropharmacological effects. Oxidative stress and neuroinflammation are recognized contributors to neuronal dysfunction and </w:t>
      </w:r>
      <w:proofErr w:type="spellStart"/>
      <w:r w:rsidRPr="004221A9">
        <w:rPr>
          <w:color w:val="000000" w:themeColor="text1"/>
        </w:rPr>
        <w:t>behavioural</w:t>
      </w:r>
      <w:proofErr w:type="spellEnd"/>
      <w:r w:rsidRPr="004221A9">
        <w:rPr>
          <w:color w:val="000000" w:themeColor="text1"/>
        </w:rPr>
        <w:t xml:space="preserve"> impairment. Flavonoids and polyphenolic compounds present in </w:t>
      </w:r>
      <w:r w:rsidRPr="004221A9">
        <w:rPr>
          <w:rStyle w:val="Accentuation"/>
          <w:rFonts w:eastAsiaTheme="majorEastAsia"/>
          <w:color w:val="000000" w:themeColor="text1"/>
        </w:rPr>
        <w:t>C. auriculata</w:t>
      </w:r>
      <w:r w:rsidRPr="004221A9">
        <w:rPr>
          <w:color w:val="000000" w:themeColor="text1"/>
        </w:rPr>
        <w:t xml:space="preserve"> have been reported to suppress oxidative damage, reduce inflammatory mediators, and preserve neuronal integrity (</w:t>
      </w:r>
      <w:proofErr w:type="spellStart"/>
      <w:r w:rsidRPr="004221A9">
        <w:rPr>
          <w:color w:val="000000" w:themeColor="text1"/>
        </w:rPr>
        <w:t>Ariyarathna</w:t>
      </w:r>
      <w:proofErr w:type="spellEnd"/>
      <w:r w:rsidRPr="004221A9">
        <w:rPr>
          <w:color w:val="000000" w:themeColor="text1"/>
        </w:rPr>
        <w:t xml:space="preserve">, 2024; Wang </w:t>
      </w:r>
      <w:r w:rsidRPr="004221A9">
        <w:rPr>
          <w:rStyle w:val="Accentuation"/>
          <w:rFonts w:eastAsiaTheme="majorEastAsia"/>
          <w:color w:val="000000" w:themeColor="text1"/>
        </w:rPr>
        <w:t>et al</w:t>
      </w:r>
      <w:r w:rsidRPr="004221A9">
        <w:rPr>
          <w:color w:val="000000" w:themeColor="text1"/>
        </w:rPr>
        <w:t xml:space="preserve">., 2023; Wu </w:t>
      </w:r>
      <w:r w:rsidRPr="004221A9">
        <w:rPr>
          <w:rStyle w:val="Accentuation"/>
          <w:rFonts w:eastAsiaTheme="majorEastAsia"/>
          <w:color w:val="000000" w:themeColor="text1"/>
        </w:rPr>
        <w:t>et al</w:t>
      </w:r>
      <w:r w:rsidRPr="004221A9">
        <w:rPr>
          <w:color w:val="000000" w:themeColor="text1"/>
        </w:rPr>
        <w:t>., 2024). Although these mechanisms were not directly evaluated in the present investigation, they may partly explain the observed CNS stimulant activity.</w:t>
      </w:r>
    </w:p>
    <w:p w14:paraId="24FFD86D"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dose-dependent </w:t>
      </w:r>
      <w:proofErr w:type="spellStart"/>
      <w:r w:rsidRPr="004221A9">
        <w:rPr>
          <w:color w:val="000000" w:themeColor="text1"/>
        </w:rPr>
        <w:t>behavioural</w:t>
      </w:r>
      <w:proofErr w:type="spellEnd"/>
      <w:r w:rsidRPr="004221A9">
        <w:rPr>
          <w:color w:val="000000" w:themeColor="text1"/>
        </w:rPr>
        <w:t xml:space="preserve"> responses observed throughout the study suggest that the pharmacological activity of the extract is related to the concentration of its bioactive constituents. The higher dose (400 mg/kg) consistently produced greater locomotor activity, improved Rotarod performance, and enhanced exploratory </w:t>
      </w:r>
      <w:proofErr w:type="spellStart"/>
      <w:r w:rsidRPr="004221A9">
        <w:rPr>
          <w:color w:val="000000" w:themeColor="text1"/>
        </w:rPr>
        <w:t>behaviour</w:t>
      </w:r>
      <w:proofErr w:type="spellEnd"/>
      <w:r w:rsidRPr="004221A9">
        <w:rPr>
          <w:color w:val="000000" w:themeColor="text1"/>
        </w:rPr>
        <w:t xml:space="preserve"> than the lower dose (200 mg/kg). This dose-response relationship strengthens the evidence supporting the CNS stimulant potential of the ethanolic flower extract.</w:t>
      </w:r>
    </w:p>
    <w:p w14:paraId="061E8B0B"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present investigation has certain limitations. The study primarily relied on </w:t>
      </w:r>
      <w:proofErr w:type="spellStart"/>
      <w:r w:rsidRPr="004221A9">
        <w:rPr>
          <w:color w:val="000000" w:themeColor="text1"/>
        </w:rPr>
        <w:t>behavioural</w:t>
      </w:r>
      <w:proofErr w:type="spellEnd"/>
      <w:r w:rsidRPr="004221A9">
        <w:rPr>
          <w:color w:val="000000" w:themeColor="text1"/>
        </w:rPr>
        <w:t xml:space="preserve"> models and preliminary phytochemical screening. The individual bioactive constituents responsible for the observed effects were not isolated or quantified, and neurotransmitter levels were not determined. Future studies employing chromatographic characterization, receptor-binding assays, neurotransmitter estimation, and molecular investigations would provide a better understanding of the mechanisms underlying the CNS stimulant activity of </w:t>
      </w:r>
      <w:r w:rsidRPr="004221A9">
        <w:rPr>
          <w:rStyle w:val="Accentuation"/>
          <w:rFonts w:eastAsiaTheme="majorEastAsia"/>
          <w:color w:val="000000" w:themeColor="text1"/>
        </w:rPr>
        <w:t>C. auriculata</w:t>
      </w:r>
      <w:r w:rsidRPr="004221A9">
        <w:rPr>
          <w:color w:val="000000" w:themeColor="text1"/>
        </w:rPr>
        <w:t>. In addition, chronic toxicity studies and detailed neurochemical evaluations are warranted before considering its therapeutic application.</w:t>
      </w:r>
    </w:p>
    <w:p w14:paraId="5CC8D65F"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Overall, the findings of the present study demonstrate that the ethanolic extract of </w:t>
      </w:r>
      <w:r w:rsidRPr="004221A9">
        <w:rPr>
          <w:rStyle w:val="Accentuation"/>
          <w:rFonts w:eastAsiaTheme="majorEastAsia"/>
          <w:color w:val="000000" w:themeColor="text1"/>
        </w:rPr>
        <w:t>Cassia auriculata</w:t>
      </w:r>
      <w:r w:rsidRPr="004221A9">
        <w:rPr>
          <w:color w:val="000000" w:themeColor="text1"/>
        </w:rPr>
        <w:t xml:space="preserve"> flowers possesses promising CNS stimulant activity in Swiss albino mice. The observed pharmacological effects are likely associated with the combined action of flavonoids, phenolic compounds, alkaloids, and other secondary metabolites present in the extract. These findings provide scientific support for the neuropharmacological potential of </w:t>
      </w:r>
      <w:r w:rsidRPr="004221A9">
        <w:rPr>
          <w:rStyle w:val="Accentuation"/>
          <w:rFonts w:eastAsiaTheme="majorEastAsia"/>
          <w:color w:val="000000" w:themeColor="text1"/>
        </w:rPr>
        <w:t>C. auriculata</w:t>
      </w:r>
      <w:r w:rsidRPr="004221A9">
        <w:rPr>
          <w:color w:val="000000" w:themeColor="text1"/>
        </w:rPr>
        <w:t xml:space="preserve"> and indicate that the plant may serve as a promising source of naturally occurring CNS stimulant molecules for future investigation.</w:t>
      </w:r>
    </w:p>
    <w:p w14:paraId="3A42CA22" w14:textId="77777777" w:rsidR="00403616" w:rsidRPr="004221A9" w:rsidRDefault="00403616" w:rsidP="00A756BD">
      <w:pPr>
        <w:pStyle w:val="Titre2"/>
        <w:spacing w:before="0" w:beforeAutospacing="0" w:after="160" w:afterAutospacing="0"/>
        <w:jc w:val="both"/>
        <w:rPr>
          <w:color w:val="000000" w:themeColor="text1"/>
          <w:sz w:val="24"/>
          <w:szCs w:val="24"/>
        </w:rPr>
      </w:pPr>
      <w:r w:rsidRPr="004221A9">
        <w:rPr>
          <w:color w:val="000000" w:themeColor="text1"/>
          <w:sz w:val="24"/>
          <w:szCs w:val="24"/>
        </w:rPr>
        <w:t>5. Conclusion</w:t>
      </w:r>
    </w:p>
    <w:p w14:paraId="2F51444F" w14:textId="77777777" w:rsidR="00403616" w:rsidRPr="004221A9" w:rsidRDefault="00403616" w:rsidP="00A756BD">
      <w:pPr>
        <w:pStyle w:val="NormalWeb"/>
        <w:spacing w:before="0" w:beforeAutospacing="0" w:after="160" w:afterAutospacing="0"/>
        <w:jc w:val="both"/>
        <w:rPr>
          <w:color w:val="000000" w:themeColor="text1"/>
        </w:rPr>
      </w:pPr>
      <w:r w:rsidRPr="004221A9">
        <w:rPr>
          <w:color w:val="000000" w:themeColor="text1"/>
        </w:rPr>
        <w:t xml:space="preserve">The present study demonstrated that the ethanolic extract of </w:t>
      </w:r>
      <w:r w:rsidRPr="004221A9">
        <w:rPr>
          <w:rStyle w:val="Accentuation"/>
          <w:rFonts w:eastAsiaTheme="majorEastAsia"/>
          <w:color w:val="000000" w:themeColor="text1"/>
        </w:rPr>
        <w:t>Cassia auriculata</w:t>
      </w:r>
      <w:r w:rsidRPr="004221A9">
        <w:rPr>
          <w:color w:val="000000" w:themeColor="text1"/>
        </w:rPr>
        <w:t xml:space="preserve"> flowers possesses promising central nervous system (CNS) stimulant activity in Swiss albino mice. Preliminary phytochemical screening confirmed the presence of several bioactive constituents, including flavonoids, phenolic compounds, alkaloids, tannins, terpenoids, glycosides, and saponins, which may collectively contribute to the observed pharmacological effects. Acute oral toxicity evaluation indicated that the extract was well tolerated at the tested dose, suggesting a </w:t>
      </w:r>
      <w:proofErr w:type="spellStart"/>
      <w:r w:rsidRPr="004221A9">
        <w:rPr>
          <w:color w:val="000000" w:themeColor="text1"/>
        </w:rPr>
        <w:t>favourable</w:t>
      </w:r>
      <w:proofErr w:type="spellEnd"/>
      <w:r w:rsidRPr="004221A9">
        <w:rPr>
          <w:color w:val="000000" w:themeColor="text1"/>
        </w:rPr>
        <w:t xml:space="preserve"> safety profile.</w:t>
      </w:r>
    </w:p>
    <w:p w14:paraId="5BB648E3" w14:textId="77777777" w:rsidR="00403616" w:rsidRPr="004221A9" w:rsidRDefault="00403616" w:rsidP="00A756BD">
      <w:pPr>
        <w:pStyle w:val="NormalWeb"/>
        <w:spacing w:before="0" w:beforeAutospacing="0" w:after="160" w:afterAutospacing="0"/>
        <w:jc w:val="both"/>
        <w:rPr>
          <w:color w:val="000000" w:themeColor="text1"/>
        </w:rPr>
      </w:pPr>
      <w:proofErr w:type="spellStart"/>
      <w:r w:rsidRPr="004221A9">
        <w:rPr>
          <w:color w:val="000000" w:themeColor="text1"/>
        </w:rPr>
        <w:t>Behavioural</w:t>
      </w:r>
      <w:proofErr w:type="spellEnd"/>
      <w:r w:rsidRPr="004221A9">
        <w:rPr>
          <w:color w:val="000000" w:themeColor="text1"/>
        </w:rPr>
        <w:t xml:space="preserve"> assessment using the </w:t>
      </w:r>
      <w:proofErr w:type="spellStart"/>
      <w:r w:rsidRPr="004221A9">
        <w:rPr>
          <w:color w:val="000000" w:themeColor="text1"/>
        </w:rPr>
        <w:t>actophotometer</w:t>
      </w:r>
      <w:proofErr w:type="spellEnd"/>
      <w:r w:rsidRPr="004221A9">
        <w:rPr>
          <w:color w:val="000000" w:themeColor="text1"/>
        </w:rPr>
        <w:t xml:space="preserve">, Rotarod, and open field tests showed that the extract produced dose-dependent increases in spontaneous locomotor activity, motor coordination, and exploratory </w:t>
      </w:r>
      <w:proofErr w:type="spellStart"/>
      <w:r w:rsidRPr="004221A9">
        <w:rPr>
          <w:color w:val="000000" w:themeColor="text1"/>
        </w:rPr>
        <w:t>behaviour</w:t>
      </w:r>
      <w:proofErr w:type="spellEnd"/>
      <w:r w:rsidRPr="004221A9">
        <w:rPr>
          <w:color w:val="000000" w:themeColor="text1"/>
        </w:rPr>
        <w:t xml:space="preserve">. The higher dose (400 mg/kg) consistently exhibited greater activity </w:t>
      </w:r>
      <w:r w:rsidRPr="004221A9">
        <w:rPr>
          <w:color w:val="000000" w:themeColor="text1"/>
        </w:rPr>
        <w:lastRenderedPageBreak/>
        <w:t>than the lower dose (200 mg/kg), with responses approaching those produced by the standard CNS stimulant, caffeine.</w:t>
      </w:r>
    </w:p>
    <w:p w14:paraId="7B172386" w14:textId="77777777" w:rsidR="00403616" w:rsidRDefault="00403616" w:rsidP="00A756BD">
      <w:pPr>
        <w:pStyle w:val="NormalWeb"/>
        <w:spacing w:before="0" w:beforeAutospacing="0" w:after="160" w:afterAutospacing="0"/>
        <w:jc w:val="both"/>
        <w:rPr>
          <w:color w:val="000000" w:themeColor="text1"/>
        </w:rPr>
      </w:pPr>
      <w:r w:rsidRPr="004221A9">
        <w:rPr>
          <w:color w:val="000000" w:themeColor="text1"/>
        </w:rPr>
        <w:t xml:space="preserve">These findings provide experimental evidence supporting the neuropharmacological potential of </w:t>
      </w:r>
      <w:r w:rsidRPr="004221A9">
        <w:rPr>
          <w:rStyle w:val="Accentuation"/>
          <w:rFonts w:eastAsiaTheme="majorEastAsia"/>
          <w:color w:val="000000" w:themeColor="text1"/>
        </w:rPr>
        <w:t>C. auriculata</w:t>
      </w:r>
      <w:r w:rsidRPr="004221A9">
        <w:rPr>
          <w:color w:val="000000" w:themeColor="text1"/>
        </w:rPr>
        <w:t xml:space="preserve"> flowers and suggest that the plant may serve as a valuable source of naturally occurring CNS stimulant compounds. However, further studies involving isolation and characterization of the active phytoconstituents, neurochemical investigations, receptor-binding studies, and chronic toxicity evaluations are required to elucidate the precise mechanism of action and establish its therapeutic potential. The present study lays a scientific foundation for future investigations aimed at developing safe and effective plant-derived CNS stimulant agents.</w:t>
      </w:r>
    </w:p>
    <w:p w14:paraId="1406DEBB" w14:textId="77777777" w:rsidR="00600AEE" w:rsidRDefault="00600AEE" w:rsidP="00A756BD">
      <w:pPr>
        <w:pStyle w:val="NormalWeb"/>
        <w:spacing w:before="0" w:beforeAutospacing="0" w:after="160" w:afterAutospacing="0"/>
        <w:jc w:val="both"/>
        <w:rPr>
          <w:color w:val="000000" w:themeColor="text1"/>
        </w:rPr>
      </w:pPr>
    </w:p>
    <w:p w14:paraId="2E2FA95C" w14:textId="77777777" w:rsidR="00600AEE" w:rsidRPr="00600AEE" w:rsidRDefault="00600AEE" w:rsidP="00600AEE">
      <w:pPr>
        <w:spacing w:after="0" w:line="240" w:lineRule="auto"/>
        <w:rPr>
          <w:rFonts w:ascii="Times New Roman" w:eastAsia="Calibri" w:hAnsi="Times New Roman" w:cs="Times New Roman"/>
          <w:b/>
        </w:rPr>
      </w:pPr>
      <w:r w:rsidRPr="00600AEE">
        <w:rPr>
          <w:rFonts w:ascii="Times New Roman" w:eastAsia="Calibri" w:hAnsi="Times New Roman" w:cs="Times New Roman"/>
          <w:b/>
        </w:rPr>
        <w:t>Declaration of AI Use</w:t>
      </w:r>
    </w:p>
    <w:p w14:paraId="7580FC59" w14:textId="77777777" w:rsidR="00600AEE" w:rsidRPr="00600AEE" w:rsidRDefault="00600AEE" w:rsidP="00600AEE">
      <w:pPr>
        <w:spacing w:after="0" w:line="240" w:lineRule="auto"/>
        <w:rPr>
          <w:rFonts w:ascii="Times New Roman" w:eastAsia="Calibri" w:hAnsi="Times New Roman" w:cs="Times New Roman"/>
        </w:rPr>
      </w:pPr>
    </w:p>
    <w:p w14:paraId="705DCF93" w14:textId="77777777" w:rsidR="00600AEE" w:rsidRPr="00600AEE" w:rsidRDefault="00600AEE" w:rsidP="00600AEE">
      <w:pPr>
        <w:spacing w:after="0" w:line="240" w:lineRule="auto"/>
        <w:jc w:val="both"/>
        <w:rPr>
          <w:rFonts w:ascii="Times New Roman" w:eastAsia="Calibri" w:hAnsi="Times New Roman" w:cs="Times New Roman"/>
        </w:rPr>
      </w:pPr>
      <w:r w:rsidRPr="00600AEE">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9F1344F" w14:textId="77777777" w:rsidR="00600AEE" w:rsidRPr="00600AEE" w:rsidRDefault="00600AEE" w:rsidP="00600AEE">
      <w:pPr>
        <w:spacing w:after="0" w:line="240" w:lineRule="auto"/>
        <w:jc w:val="both"/>
        <w:rPr>
          <w:rFonts w:ascii="Times New Roman" w:eastAsia="Calibri" w:hAnsi="Times New Roman" w:cs="Times New Roman"/>
        </w:rPr>
      </w:pPr>
    </w:p>
    <w:p w14:paraId="1570A8EC" w14:textId="77777777" w:rsidR="00600AEE" w:rsidRPr="00600AEE" w:rsidRDefault="00600AEE" w:rsidP="00600AEE">
      <w:pPr>
        <w:spacing w:after="0" w:line="240" w:lineRule="auto"/>
        <w:jc w:val="both"/>
        <w:rPr>
          <w:rFonts w:ascii="Times New Roman" w:eastAsia="Calibri" w:hAnsi="Times New Roman" w:cs="Times New Roman"/>
        </w:rPr>
      </w:pPr>
    </w:p>
    <w:p w14:paraId="1E0D20A1" w14:textId="77777777" w:rsidR="00600AEE" w:rsidRPr="00600AEE" w:rsidRDefault="00600AEE" w:rsidP="00600AEE">
      <w:pPr>
        <w:spacing w:after="200" w:line="276" w:lineRule="auto"/>
        <w:rPr>
          <w:rFonts w:ascii="Cambria" w:eastAsia="Times New Roman" w:hAnsi="Cambria" w:cs="Arial"/>
          <w:b/>
          <w:bCs/>
          <w:lang w:val="en-GB" w:eastAsia="en-GB"/>
        </w:rPr>
      </w:pPr>
      <w:r w:rsidRPr="00600AEE">
        <w:rPr>
          <w:rFonts w:ascii="Cambria" w:eastAsia="Times New Roman" w:hAnsi="Cambria" w:cs="Arial"/>
          <w:b/>
          <w:bCs/>
          <w:lang w:val="en-GB" w:eastAsia="en-GB"/>
        </w:rPr>
        <w:t>COMPETING INTERESTS DISCLAIMER:</w:t>
      </w:r>
    </w:p>
    <w:p w14:paraId="78A9917C" w14:textId="77777777" w:rsidR="00600AEE" w:rsidRPr="00600AEE" w:rsidRDefault="00600AEE" w:rsidP="00600AEE">
      <w:pPr>
        <w:spacing w:after="200" w:line="276" w:lineRule="auto"/>
        <w:rPr>
          <w:rFonts w:ascii="Cambria" w:eastAsia="Times New Roman" w:hAnsi="Cambria" w:cs="Times New Roman"/>
          <w:lang w:val="en-GB" w:eastAsia="en-GB"/>
        </w:rPr>
      </w:pPr>
      <w:r w:rsidRPr="00600AEE">
        <w:rPr>
          <w:rFonts w:ascii="Cambria" w:eastAsia="Times New Roman" w:hAnsi="Cambria" w:cs="Arial"/>
          <w:lang w:val="en-GB" w:eastAsia="en-GB"/>
        </w:rPr>
        <w:t>Authors have declared that they have no known competing financial interests OR non-financial interests OR personal relationships that could have appeared to influence the work reported in this paper.</w:t>
      </w:r>
    </w:p>
    <w:p w14:paraId="707FFE22" w14:textId="77777777" w:rsidR="00600AEE" w:rsidRPr="004221A9" w:rsidRDefault="00600AEE" w:rsidP="00A756BD">
      <w:pPr>
        <w:pStyle w:val="NormalWeb"/>
        <w:spacing w:before="0" w:beforeAutospacing="0" w:after="160" w:afterAutospacing="0"/>
        <w:jc w:val="both"/>
        <w:rPr>
          <w:color w:val="000000" w:themeColor="text1"/>
        </w:rPr>
      </w:pPr>
    </w:p>
    <w:p w14:paraId="7C8BD8F5" w14:textId="420E4EE4" w:rsidR="00387007" w:rsidRPr="004221A9" w:rsidRDefault="00387007" w:rsidP="00A756BD">
      <w:pPr>
        <w:pStyle w:val="Titre2"/>
        <w:spacing w:after="160" w:afterAutospacing="0"/>
        <w:jc w:val="both"/>
        <w:rPr>
          <w:sz w:val="24"/>
          <w:szCs w:val="24"/>
        </w:rPr>
      </w:pPr>
      <w:r w:rsidRPr="004221A9">
        <w:rPr>
          <w:sz w:val="24"/>
          <w:szCs w:val="24"/>
        </w:rPr>
        <w:t xml:space="preserve">References </w:t>
      </w:r>
    </w:p>
    <w:p w14:paraId="09DBC3B5"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Akyuz E, Celik BR, Aslan FS, Sahin H, Angelopoulou E (2023) Exploring the role of neurotransmitters in multiple sclerosis: An expanded review. </w:t>
      </w:r>
      <w:r w:rsidRPr="004221A9">
        <w:rPr>
          <w:rStyle w:val="Accentuation"/>
          <w:rFonts w:ascii="Times New Roman" w:hAnsi="Times New Roman" w:cs="Times New Roman"/>
          <w:sz w:val="24"/>
          <w:szCs w:val="24"/>
        </w:rPr>
        <w:t>ACS Chemical Neuroscience</w:t>
      </w:r>
      <w:r w:rsidRPr="004221A9">
        <w:rPr>
          <w:rFonts w:ascii="Times New Roman" w:hAnsi="Times New Roman" w:cs="Times New Roman"/>
          <w:sz w:val="24"/>
          <w:szCs w:val="24"/>
        </w:rPr>
        <w:t xml:space="preserve"> 14(4):527–553. </w:t>
      </w:r>
      <w:hyperlink r:id="rId12" w:tgtFrame="_new" w:history="1">
        <w:r w:rsidRPr="004221A9">
          <w:rPr>
            <w:rStyle w:val="Lienhypertexte"/>
            <w:rFonts w:ascii="Times New Roman" w:hAnsi="Times New Roman" w:cs="Times New Roman"/>
            <w:sz w:val="24"/>
            <w:szCs w:val="24"/>
            <w:u w:val="none"/>
          </w:rPr>
          <w:t>https://doi.org/10.1021/acschemneuro.2c00589</w:t>
        </w:r>
      </w:hyperlink>
      <w:r w:rsidRPr="004221A9">
        <w:rPr>
          <w:rFonts w:ascii="Times New Roman" w:hAnsi="Times New Roman" w:cs="Times New Roman"/>
          <w:sz w:val="24"/>
          <w:szCs w:val="24"/>
        </w:rPr>
        <w:t xml:space="preserve"> </w:t>
      </w:r>
    </w:p>
    <w:p w14:paraId="4EEFBCE3" w14:textId="77777777" w:rsidR="008E1E99" w:rsidRPr="004221A9" w:rsidRDefault="008E1E99" w:rsidP="00A756BD">
      <w:pPr>
        <w:spacing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Archer J. Tests for emotionality in rats and mice: A review. </w:t>
      </w:r>
      <w:r w:rsidRPr="004221A9">
        <w:rPr>
          <w:rStyle w:val="Accentuation"/>
          <w:rFonts w:ascii="Times New Roman" w:hAnsi="Times New Roman" w:cs="Times New Roman"/>
          <w:sz w:val="24"/>
          <w:szCs w:val="24"/>
        </w:rPr>
        <w:t xml:space="preserve">Animal </w:t>
      </w:r>
      <w:proofErr w:type="spellStart"/>
      <w:r w:rsidRPr="004221A9">
        <w:rPr>
          <w:rStyle w:val="Accentuation"/>
          <w:rFonts w:ascii="Times New Roman" w:hAnsi="Times New Roman" w:cs="Times New Roman"/>
          <w:sz w:val="24"/>
          <w:szCs w:val="24"/>
        </w:rPr>
        <w:t>Behaviour</w:t>
      </w:r>
      <w:proofErr w:type="spellEnd"/>
      <w:r w:rsidRPr="004221A9">
        <w:rPr>
          <w:rFonts w:ascii="Times New Roman" w:hAnsi="Times New Roman" w:cs="Times New Roman"/>
          <w:sz w:val="24"/>
          <w:szCs w:val="24"/>
        </w:rPr>
        <w:t xml:space="preserve">. 1973;21(2):205–235. </w:t>
      </w:r>
      <w:hyperlink r:id="rId13" w:history="1">
        <w:r w:rsidRPr="004221A9">
          <w:rPr>
            <w:rStyle w:val="Lienhypertexte"/>
            <w:rFonts w:ascii="Times New Roman" w:hAnsi="Times New Roman" w:cs="Times New Roman"/>
            <w:sz w:val="24"/>
            <w:szCs w:val="24"/>
            <w:u w:val="none"/>
          </w:rPr>
          <w:t>https://doi.org/10.1016/S0003-3472(73)80065-X</w:t>
        </w:r>
      </w:hyperlink>
    </w:p>
    <w:p w14:paraId="5E2E2AE7"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Ariyarathna</w:t>
      </w:r>
      <w:proofErr w:type="spellEnd"/>
      <w:r w:rsidRPr="004221A9">
        <w:rPr>
          <w:rFonts w:ascii="Times New Roman" w:hAnsi="Times New Roman" w:cs="Times New Roman"/>
          <w:sz w:val="24"/>
          <w:szCs w:val="24"/>
        </w:rPr>
        <w:t xml:space="preserve"> P (2024) </w:t>
      </w:r>
      <w:r w:rsidRPr="004221A9">
        <w:rPr>
          <w:rStyle w:val="Accentuation"/>
          <w:rFonts w:ascii="Times New Roman" w:hAnsi="Times New Roman" w:cs="Times New Roman"/>
          <w:sz w:val="24"/>
          <w:szCs w:val="24"/>
        </w:rPr>
        <w:t>Cassia auriculata</w:t>
      </w:r>
      <w:r w:rsidRPr="004221A9">
        <w:rPr>
          <w:rFonts w:ascii="Times New Roman" w:hAnsi="Times New Roman" w:cs="Times New Roman"/>
          <w:sz w:val="24"/>
          <w:szCs w:val="24"/>
        </w:rPr>
        <w:t xml:space="preserve">: A comprehensive review of the nutritional, phytochemical and pharmacological properties. </w:t>
      </w:r>
      <w:r w:rsidRPr="004221A9">
        <w:rPr>
          <w:rStyle w:val="Accentuation"/>
          <w:rFonts w:ascii="Times New Roman" w:hAnsi="Times New Roman" w:cs="Times New Roman"/>
          <w:sz w:val="24"/>
          <w:szCs w:val="24"/>
        </w:rPr>
        <w:t>World Journal of Pharmaceutical Sciences</w:t>
      </w:r>
      <w:r w:rsidRPr="004221A9">
        <w:rPr>
          <w:rFonts w:ascii="Times New Roman" w:hAnsi="Times New Roman" w:cs="Times New Roman"/>
          <w:sz w:val="24"/>
          <w:szCs w:val="24"/>
        </w:rPr>
        <w:t xml:space="preserve"> 12(1):1–8. </w:t>
      </w:r>
    </w:p>
    <w:p w14:paraId="2C30C2FA"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Awuchi</w:t>
      </w:r>
      <w:proofErr w:type="spellEnd"/>
      <w:r w:rsidRPr="004221A9">
        <w:rPr>
          <w:rFonts w:ascii="Times New Roman" w:hAnsi="Times New Roman" w:cs="Times New Roman"/>
          <w:sz w:val="24"/>
          <w:szCs w:val="24"/>
        </w:rPr>
        <w:t xml:space="preserve"> CG (2023) Plants, phytochemicals, and natural practices in complementary and alternative system of medicine for treatment of central nervous system disorders. </w:t>
      </w:r>
      <w:r w:rsidRPr="004221A9">
        <w:rPr>
          <w:rStyle w:val="Accentuation"/>
          <w:rFonts w:ascii="Times New Roman" w:hAnsi="Times New Roman" w:cs="Times New Roman"/>
          <w:sz w:val="24"/>
          <w:szCs w:val="24"/>
        </w:rPr>
        <w:t>International Journal of Food Properties</w:t>
      </w:r>
      <w:r w:rsidRPr="004221A9">
        <w:rPr>
          <w:rFonts w:ascii="Times New Roman" w:hAnsi="Times New Roman" w:cs="Times New Roman"/>
          <w:sz w:val="24"/>
          <w:szCs w:val="24"/>
        </w:rPr>
        <w:t xml:space="preserve"> 26(1):1190–1213. </w:t>
      </w:r>
      <w:hyperlink r:id="rId14" w:tgtFrame="_new" w:history="1">
        <w:r w:rsidRPr="004221A9">
          <w:rPr>
            <w:rStyle w:val="Lienhypertexte"/>
            <w:rFonts w:ascii="Times New Roman" w:hAnsi="Times New Roman" w:cs="Times New Roman"/>
            <w:sz w:val="24"/>
            <w:szCs w:val="24"/>
            <w:u w:val="none"/>
          </w:rPr>
          <w:t>https://doi.org/10.1080/10942912.2023.2205039</w:t>
        </w:r>
      </w:hyperlink>
      <w:r w:rsidRPr="004221A9">
        <w:rPr>
          <w:rFonts w:ascii="Times New Roman" w:hAnsi="Times New Roman" w:cs="Times New Roman"/>
          <w:sz w:val="24"/>
          <w:szCs w:val="24"/>
        </w:rPr>
        <w:t xml:space="preserve"> </w:t>
      </w:r>
    </w:p>
    <w:p w14:paraId="65B4A93D"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lastRenderedPageBreak/>
        <w:t>Bellavite</w:t>
      </w:r>
      <w:proofErr w:type="spellEnd"/>
      <w:r w:rsidRPr="004221A9">
        <w:rPr>
          <w:rFonts w:ascii="Times New Roman" w:hAnsi="Times New Roman" w:cs="Times New Roman"/>
          <w:sz w:val="24"/>
          <w:szCs w:val="24"/>
        </w:rPr>
        <w:t xml:space="preserve"> P (2023) Neuroprotective potentials of flavonoids: Experimental studies and mechanisms of action. </w:t>
      </w:r>
      <w:r w:rsidRPr="004221A9">
        <w:rPr>
          <w:rStyle w:val="Accentuation"/>
          <w:rFonts w:ascii="Times New Roman" w:hAnsi="Times New Roman" w:cs="Times New Roman"/>
          <w:sz w:val="24"/>
          <w:szCs w:val="24"/>
        </w:rPr>
        <w:t>Antioxidants</w:t>
      </w:r>
      <w:r w:rsidRPr="004221A9">
        <w:rPr>
          <w:rFonts w:ascii="Times New Roman" w:hAnsi="Times New Roman" w:cs="Times New Roman"/>
          <w:sz w:val="24"/>
          <w:szCs w:val="24"/>
        </w:rPr>
        <w:t xml:space="preserve"> 12(2):280. </w:t>
      </w:r>
      <w:hyperlink r:id="rId15" w:tgtFrame="_new" w:history="1">
        <w:r w:rsidRPr="004221A9">
          <w:rPr>
            <w:rStyle w:val="Lienhypertexte"/>
            <w:rFonts w:ascii="Times New Roman" w:hAnsi="Times New Roman" w:cs="Times New Roman"/>
            <w:sz w:val="24"/>
            <w:szCs w:val="24"/>
            <w:u w:val="none"/>
          </w:rPr>
          <w:t>https://doi.org/10.3390/antiox12020280</w:t>
        </w:r>
      </w:hyperlink>
      <w:r w:rsidRPr="004221A9">
        <w:rPr>
          <w:rFonts w:ascii="Times New Roman" w:hAnsi="Times New Roman" w:cs="Times New Roman"/>
          <w:sz w:val="24"/>
          <w:szCs w:val="24"/>
        </w:rPr>
        <w:t xml:space="preserve"> </w:t>
      </w:r>
    </w:p>
    <w:p w14:paraId="5ECD80BF"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Bigbee JW (2023) Cells of the central nervous system: An overview of their structure and function. </w:t>
      </w:r>
      <w:r w:rsidRPr="004221A9">
        <w:rPr>
          <w:rStyle w:val="Accentuation"/>
          <w:rFonts w:ascii="Times New Roman" w:hAnsi="Times New Roman" w:cs="Times New Roman"/>
          <w:sz w:val="24"/>
          <w:szCs w:val="24"/>
        </w:rPr>
        <w:t>Advances in Neurobiology</w:t>
      </w:r>
      <w:r w:rsidRPr="004221A9">
        <w:rPr>
          <w:rFonts w:ascii="Times New Roman" w:hAnsi="Times New Roman" w:cs="Times New Roman"/>
          <w:sz w:val="24"/>
          <w:szCs w:val="24"/>
        </w:rPr>
        <w:t xml:space="preserve"> 29:41–64. </w:t>
      </w:r>
      <w:hyperlink r:id="rId16" w:tgtFrame="_new" w:history="1">
        <w:r w:rsidRPr="004221A9">
          <w:rPr>
            <w:rStyle w:val="Lienhypertexte"/>
            <w:rFonts w:ascii="Times New Roman" w:hAnsi="Times New Roman" w:cs="Times New Roman"/>
            <w:sz w:val="24"/>
            <w:szCs w:val="24"/>
            <w:u w:val="none"/>
          </w:rPr>
          <w:t>https://doi.org/10.1007/978-3-031-12390-0_2</w:t>
        </w:r>
      </w:hyperlink>
      <w:r w:rsidRPr="004221A9">
        <w:rPr>
          <w:rFonts w:ascii="Times New Roman" w:hAnsi="Times New Roman" w:cs="Times New Roman"/>
          <w:sz w:val="24"/>
          <w:szCs w:val="24"/>
        </w:rPr>
        <w:t xml:space="preserve"> </w:t>
      </w:r>
    </w:p>
    <w:p w14:paraId="0CD0F555"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Davis SE, Cirincione AB, Jimenez-Torres AC, Zhu J (2023) The impact of neurotransmitters on the neurobiology of neurodegenerative diseases. </w:t>
      </w:r>
      <w:r w:rsidRPr="004221A9">
        <w:rPr>
          <w:rStyle w:val="Accentuation"/>
          <w:rFonts w:ascii="Times New Roman" w:hAnsi="Times New Roman" w:cs="Times New Roman"/>
          <w:sz w:val="24"/>
          <w:szCs w:val="24"/>
        </w:rPr>
        <w:t>International Journal of Molecular Sciences</w:t>
      </w:r>
      <w:r w:rsidRPr="004221A9">
        <w:rPr>
          <w:rFonts w:ascii="Times New Roman" w:hAnsi="Times New Roman" w:cs="Times New Roman"/>
          <w:sz w:val="24"/>
          <w:szCs w:val="24"/>
        </w:rPr>
        <w:t xml:space="preserve"> 24(20):15340. </w:t>
      </w:r>
      <w:hyperlink r:id="rId17" w:tgtFrame="_new" w:history="1">
        <w:r w:rsidRPr="004221A9">
          <w:rPr>
            <w:rStyle w:val="Lienhypertexte"/>
            <w:rFonts w:ascii="Times New Roman" w:hAnsi="Times New Roman" w:cs="Times New Roman"/>
            <w:sz w:val="24"/>
            <w:szCs w:val="24"/>
            <w:u w:val="none"/>
          </w:rPr>
          <w:t>https://doi.org/10.3390/ijms242015340</w:t>
        </w:r>
      </w:hyperlink>
      <w:r w:rsidRPr="004221A9">
        <w:rPr>
          <w:rFonts w:ascii="Times New Roman" w:hAnsi="Times New Roman" w:cs="Times New Roman"/>
          <w:sz w:val="24"/>
          <w:szCs w:val="24"/>
        </w:rPr>
        <w:t xml:space="preserve"> </w:t>
      </w:r>
    </w:p>
    <w:p w14:paraId="47607E78"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Fredholm BB, </w:t>
      </w:r>
      <w:proofErr w:type="spellStart"/>
      <w:r w:rsidRPr="004221A9">
        <w:rPr>
          <w:rFonts w:ascii="Times New Roman" w:hAnsi="Times New Roman" w:cs="Times New Roman"/>
          <w:sz w:val="24"/>
          <w:szCs w:val="24"/>
        </w:rPr>
        <w:t>Bättig</w:t>
      </w:r>
      <w:proofErr w:type="spellEnd"/>
      <w:r w:rsidRPr="004221A9">
        <w:rPr>
          <w:rFonts w:ascii="Times New Roman" w:hAnsi="Times New Roman" w:cs="Times New Roman"/>
          <w:sz w:val="24"/>
          <w:szCs w:val="24"/>
        </w:rPr>
        <w:t xml:space="preserve"> K, </w:t>
      </w:r>
      <w:proofErr w:type="spellStart"/>
      <w:r w:rsidRPr="004221A9">
        <w:rPr>
          <w:rFonts w:ascii="Times New Roman" w:hAnsi="Times New Roman" w:cs="Times New Roman"/>
          <w:sz w:val="24"/>
          <w:szCs w:val="24"/>
        </w:rPr>
        <w:t>Holmén</w:t>
      </w:r>
      <w:proofErr w:type="spellEnd"/>
      <w:r w:rsidRPr="004221A9">
        <w:rPr>
          <w:rFonts w:ascii="Times New Roman" w:hAnsi="Times New Roman" w:cs="Times New Roman"/>
          <w:sz w:val="24"/>
          <w:szCs w:val="24"/>
        </w:rPr>
        <w:t xml:space="preserve"> J, Nehlig A, </w:t>
      </w:r>
      <w:proofErr w:type="spellStart"/>
      <w:r w:rsidRPr="004221A9">
        <w:rPr>
          <w:rFonts w:ascii="Times New Roman" w:hAnsi="Times New Roman" w:cs="Times New Roman"/>
          <w:sz w:val="24"/>
          <w:szCs w:val="24"/>
        </w:rPr>
        <w:t>Zvartau</w:t>
      </w:r>
      <w:proofErr w:type="spellEnd"/>
      <w:r w:rsidRPr="004221A9">
        <w:rPr>
          <w:rFonts w:ascii="Times New Roman" w:hAnsi="Times New Roman" w:cs="Times New Roman"/>
          <w:sz w:val="24"/>
          <w:szCs w:val="24"/>
        </w:rPr>
        <w:t xml:space="preserve"> EE (1999) Actions of caffeine in the brain with special reference to factors that contribute to its widespread use. </w:t>
      </w:r>
      <w:r w:rsidRPr="004221A9">
        <w:rPr>
          <w:rStyle w:val="Accentuation"/>
          <w:rFonts w:ascii="Times New Roman" w:hAnsi="Times New Roman" w:cs="Times New Roman"/>
          <w:sz w:val="24"/>
          <w:szCs w:val="24"/>
        </w:rPr>
        <w:t>Pharmacological Reviews</w:t>
      </w:r>
      <w:r w:rsidRPr="004221A9">
        <w:rPr>
          <w:rFonts w:ascii="Times New Roman" w:hAnsi="Times New Roman" w:cs="Times New Roman"/>
          <w:sz w:val="24"/>
          <w:szCs w:val="24"/>
        </w:rPr>
        <w:t xml:space="preserve"> 51(1):83–133. </w:t>
      </w:r>
    </w:p>
    <w:p w14:paraId="5BE08B19"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Guidolin</w:t>
      </w:r>
      <w:proofErr w:type="spellEnd"/>
      <w:r w:rsidRPr="004221A9">
        <w:rPr>
          <w:rFonts w:ascii="Times New Roman" w:hAnsi="Times New Roman" w:cs="Times New Roman"/>
          <w:sz w:val="24"/>
          <w:szCs w:val="24"/>
        </w:rPr>
        <w:t xml:space="preserve"> D, Tortorella C, </w:t>
      </w:r>
      <w:proofErr w:type="spellStart"/>
      <w:r w:rsidRPr="004221A9">
        <w:rPr>
          <w:rFonts w:ascii="Times New Roman" w:hAnsi="Times New Roman" w:cs="Times New Roman"/>
          <w:sz w:val="24"/>
          <w:szCs w:val="24"/>
        </w:rPr>
        <w:t>Marcoli</w:t>
      </w:r>
      <w:proofErr w:type="spellEnd"/>
      <w:r w:rsidRPr="004221A9">
        <w:rPr>
          <w:rFonts w:ascii="Times New Roman" w:hAnsi="Times New Roman" w:cs="Times New Roman"/>
          <w:sz w:val="24"/>
          <w:szCs w:val="24"/>
        </w:rPr>
        <w:t xml:space="preserve"> M, Maura G, </w:t>
      </w:r>
      <w:proofErr w:type="spellStart"/>
      <w:r w:rsidRPr="004221A9">
        <w:rPr>
          <w:rFonts w:ascii="Times New Roman" w:hAnsi="Times New Roman" w:cs="Times New Roman"/>
          <w:sz w:val="24"/>
          <w:szCs w:val="24"/>
        </w:rPr>
        <w:t>Agnati</w:t>
      </w:r>
      <w:proofErr w:type="spellEnd"/>
      <w:r w:rsidRPr="004221A9">
        <w:rPr>
          <w:rFonts w:ascii="Times New Roman" w:hAnsi="Times New Roman" w:cs="Times New Roman"/>
          <w:sz w:val="24"/>
          <w:szCs w:val="24"/>
        </w:rPr>
        <w:t xml:space="preserve"> LF (2022) Intercellular communication in the central nervous system. </w:t>
      </w:r>
      <w:r w:rsidRPr="004221A9">
        <w:rPr>
          <w:rStyle w:val="Accentuation"/>
          <w:rFonts w:ascii="Times New Roman" w:hAnsi="Times New Roman" w:cs="Times New Roman"/>
          <w:sz w:val="24"/>
          <w:szCs w:val="24"/>
        </w:rPr>
        <w:t>International Journal of Molecular Sciences</w:t>
      </w:r>
      <w:r w:rsidRPr="004221A9">
        <w:rPr>
          <w:rFonts w:ascii="Times New Roman" w:hAnsi="Times New Roman" w:cs="Times New Roman"/>
          <w:sz w:val="24"/>
          <w:szCs w:val="24"/>
        </w:rPr>
        <w:t xml:space="preserve"> 23(10):5805. </w:t>
      </w:r>
      <w:hyperlink r:id="rId18" w:tgtFrame="_new" w:history="1">
        <w:r w:rsidRPr="004221A9">
          <w:rPr>
            <w:rStyle w:val="Lienhypertexte"/>
            <w:rFonts w:ascii="Times New Roman" w:hAnsi="Times New Roman" w:cs="Times New Roman"/>
            <w:sz w:val="24"/>
            <w:szCs w:val="24"/>
            <w:u w:val="none"/>
          </w:rPr>
          <w:t>https://doi.org/10.3390/ijms23105805</w:t>
        </w:r>
      </w:hyperlink>
      <w:r w:rsidRPr="004221A9">
        <w:rPr>
          <w:rFonts w:ascii="Times New Roman" w:hAnsi="Times New Roman" w:cs="Times New Roman"/>
          <w:sz w:val="24"/>
          <w:szCs w:val="24"/>
        </w:rPr>
        <w:t xml:space="preserve"> </w:t>
      </w:r>
    </w:p>
    <w:p w14:paraId="50451F30"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Harborne JB (1998) </w:t>
      </w:r>
      <w:r w:rsidRPr="004221A9">
        <w:rPr>
          <w:rStyle w:val="Accentuation"/>
          <w:rFonts w:ascii="Times New Roman" w:hAnsi="Times New Roman" w:cs="Times New Roman"/>
          <w:sz w:val="24"/>
          <w:szCs w:val="24"/>
        </w:rPr>
        <w:t>Phytochemical Methods: A Guide to Modern Techniques of Plant Analysis</w:t>
      </w:r>
      <w:r w:rsidRPr="004221A9">
        <w:rPr>
          <w:rFonts w:ascii="Times New Roman" w:hAnsi="Times New Roman" w:cs="Times New Roman"/>
          <w:sz w:val="24"/>
          <w:szCs w:val="24"/>
        </w:rPr>
        <w:t xml:space="preserve">. 3rd edition. Chapman &amp; Hall, London. </w:t>
      </w:r>
    </w:p>
    <w:p w14:paraId="06CA5DDE" w14:textId="39192974"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Hersey M, Tanda G (2024) Modafinil, an atypical CNS stimulant? </w:t>
      </w:r>
      <w:r w:rsidRPr="004221A9">
        <w:rPr>
          <w:rStyle w:val="Accentuation"/>
          <w:rFonts w:ascii="Times New Roman" w:hAnsi="Times New Roman" w:cs="Times New Roman"/>
          <w:sz w:val="24"/>
          <w:szCs w:val="24"/>
        </w:rPr>
        <w:t>Advances in Pharmacology</w:t>
      </w:r>
      <w:r w:rsidRPr="004221A9">
        <w:rPr>
          <w:rFonts w:ascii="Times New Roman" w:hAnsi="Times New Roman" w:cs="Times New Roman"/>
          <w:sz w:val="24"/>
          <w:szCs w:val="24"/>
        </w:rPr>
        <w:t xml:space="preserve"> 99:287–326. </w:t>
      </w:r>
      <w:hyperlink r:id="rId19" w:tgtFrame="_new" w:history="1">
        <w:r w:rsidRPr="004221A9">
          <w:rPr>
            <w:rStyle w:val="Lienhypertexte"/>
            <w:rFonts w:ascii="Times New Roman" w:hAnsi="Times New Roman" w:cs="Times New Roman"/>
            <w:sz w:val="24"/>
            <w:szCs w:val="24"/>
            <w:u w:val="none"/>
          </w:rPr>
          <w:t>https://doi.org/10.1016/bs.apha.2023.10.006</w:t>
        </w:r>
      </w:hyperlink>
      <w:r w:rsidRPr="004221A9">
        <w:rPr>
          <w:rFonts w:ascii="Times New Roman" w:hAnsi="Times New Roman" w:cs="Times New Roman"/>
          <w:sz w:val="24"/>
          <w:szCs w:val="24"/>
        </w:rPr>
        <w:t xml:space="preserve"> </w:t>
      </w:r>
    </w:p>
    <w:p w14:paraId="155810DF" w14:textId="6E8C0AA8" w:rsidR="00C51CA2" w:rsidRPr="004221A9" w:rsidRDefault="00C51CA2"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Isfandnia</w:t>
      </w:r>
      <w:proofErr w:type="spellEnd"/>
      <w:r w:rsidRPr="004221A9">
        <w:rPr>
          <w:rFonts w:ascii="Times New Roman" w:hAnsi="Times New Roman" w:cs="Times New Roman"/>
          <w:sz w:val="24"/>
          <w:szCs w:val="24"/>
        </w:rPr>
        <w:t xml:space="preserve">, F., El Masri, S., </w:t>
      </w:r>
      <w:proofErr w:type="spellStart"/>
      <w:r w:rsidRPr="004221A9">
        <w:rPr>
          <w:rFonts w:ascii="Times New Roman" w:hAnsi="Times New Roman" w:cs="Times New Roman"/>
          <w:sz w:val="24"/>
          <w:szCs w:val="24"/>
        </w:rPr>
        <w:t>Radua</w:t>
      </w:r>
      <w:proofErr w:type="spellEnd"/>
      <w:r w:rsidRPr="004221A9">
        <w:rPr>
          <w:rFonts w:ascii="Times New Roman" w:hAnsi="Times New Roman" w:cs="Times New Roman"/>
          <w:sz w:val="24"/>
          <w:szCs w:val="24"/>
        </w:rPr>
        <w:t xml:space="preserve">, J. and Rubia, K. (2024) ‘The effects of chronic administration of stimulant and non-stimulant medications on executive functions in ADHD: A systematic review and meta-analysis’, </w:t>
      </w:r>
      <w:r w:rsidRPr="004221A9">
        <w:rPr>
          <w:rStyle w:val="Accentuation"/>
          <w:rFonts w:ascii="Times New Roman" w:hAnsi="Times New Roman" w:cs="Times New Roman"/>
          <w:sz w:val="24"/>
          <w:szCs w:val="24"/>
        </w:rPr>
        <w:t>Neuroscience and Biobehavioral Reviews</w:t>
      </w:r>
      <w:r w:rsidRPr="004221A9">
        <w:rPr>
          <w:rFonts w:ascii="Times New Roman" w:hAnsi="Times New Roman" w:cs="Times New Roman"/>
          <w:sz w:val="24"/>
          <w:szCs w:val="24"/>
        </w:rPr>
        <w:t xml:space="preserve">, 162, 105703. </w:t>
      </w:r>
      <w:hyperlink r:id="rId20" w:history="1">
        <w:r w:rsidRPr="004221A9">
          <w:rPr>
            <w:rStyle w:val="Lienhypertexte"/>
            <w:rFonts w:ascii="Times New Roman" w:hAnsi="Times New Roman" w:cs="Times New Roman"/>
            <w:sz w:val="24"/>
            <w:szCs w:val="24"/>
            <w:u w:val="none"/>
          </w:rPr>
          <w:t>https://doi.org/10.1016/j.neubiorev.2024.105703</w:t>
        </w:r>
      </w:hyperlink>
    </w:p>
    <w:p w14:paraId="1C7FB091"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Islam A, Mishra A, Ahsan R, Fareha S (2023) Phytopharmaceuticals and herbal approaches to target neurodegenerative disorders. </w:t>
      </w:r>
      <w:r w:rsidRPr="004221A9">
        <w:rPr>
          <w:rStyle w:val="Accentuation"/>
          <w:rFonts w:ascii="Times New Roman" w:hAnsi="Times New Roman" w:cs="Times New Roman"/>
          <w:sz w:val="24"/>
          <w:szCs w:val="24"/>
        </w:rPr>
        <w:t>Drug Research</w:t>
      </w:r>
      <w:r w:rsidRPr="004221A9">
        <w:rPr>
          <w:rFonts w:ascii="Times New Roman" w:hAnsi="Times New Roman" w:cs="Times New Roman"/>
          <w:sz w:val="24"/>
          <w:szCs w:val="24"/>
        </w:rPr>
        <w:t xml:space="preserve"> 73(7):388–407. </w:t>
      </w:r>
      <w:hyperlink r:id="rId21" w:tgtFrame="_new" w:history="1">
        <w:r w:rsidRPr="004221A9">
          <w:rPr>
            <w:rStyle w:val="Lienhypertexte"/>
            <w:rFonts w:ascii="Times New Roman" w:hAnsi="Times New Roman" w:cs="Times New Roman"/>
            <w:sz w:val="24"/>
            <w:szCs w:val="24"/>
            <w:u w:val="none"/>
          </w:rPr>
          <w:t>https://doi.org/10.1055/a-2076-7939</w:t>
        </w:r>
      </w:hyperlink>
      <w:r w:rsidRPr="004221A9">
        <w:rPr>
          <w:rFonts w:ascii="Times New Roman" w:hAnsi="Times New Roman" w:cs="Times New Roman"/>
          <w:sz w:val="24"/>
          <w:szCs w:val="24"/>
        </w:rPr>
        <w:t xml:space="preserve"> </w:t>
      </w:r>
    </w:p>
    <w:p w14:paraId="69A576E0"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Kirtikar</w:t>
      </w:r>
      <w:proofErr w:type="spellEnd"/>
      <w:r w:rsidRPr="004221A9">
        <w:rPr>
          <w:rFonts w:ascii="Times New Roman" w:hAnsi="Times New Roman" w:cs="Times New Roman"/>
          <w:sz w:val="24"/>
          <w:szCs w:val="24"/>
        </w:rPr>
        <w:t xml:space="preserve"> KR, Basu BD (2006) </w:t>
      </w:r>
      <w:r w:rsidRPr="004221A9">
        <w:rPr>
          <w:rStyle w:val="Accentuation"/>
          <w:rFonts w:ascii="Times New Roman" w:hAnsi="Times New Roman" w:cs="Times New Roman"/>
          <w:sz w:val="24"/>
          <w:szCs w:val="24"/>
        </w:rPr>
        <w:t>Indian Medicinal Plants</w:t>
      </w:r>
      <w:r w:rsidRPr="004221A9">
        <w:rPr>
          <w:rFonts w:ascii="Times New Roman" w:hAnsi="Times New Roman" w:cs="Times New Roman"/>
          <w:sz w:val="24"/>
          <w:szCs w:val="24"/>
        </w:rPr>
        <w:t xml:space="preserve">. International Book Distributors, Dehradun. </w:t>
      </w:r>
    </w:p>
    <w:p w14:paraId="0BCE652A"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Kokate CK, Purohit AP, Gokhale SB (2018) </w:t>
      </w:r>
      <w:r w:rsidRPr="004221A9">
        <w:rPr>
          <w:rStyle w:val="Accentuation"/>
          <w:rFonts w:ascii="Times New Roman" w:hAnsi="Times New Roman" w:cs="Times New Roman"/>
          <w:sz w:val="24"/>
          <w:szCs w:val="24"/>
        </w:rPr>
        <w:t>Pharmacognosy</w:t>
      </w:r>
      <w:r w:rsidRPr="004221A9">
        <w:rPr>
          <w:rFonts w:ascii="Times New Roman" w:hAnsi="Times New Roman" w:cs="Times New Roman"/>
          <w:sz w:val="24"/>
          <w:szCs w:val="24"/>
        </w:rPr>
        <w:t xml:space="preserve">. 56th edition. Nirali Prakashan, Pune. </w:t>
      </w:r>
    </w:p>
    <w:p w14:paraId="080BC46B"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Kulkarni SK (2016) </w:t>
      </w:r>
      <w:r w:rsidRPr="004221A9">
        <w:rPr>
          <w:rStyle w:val="Accentuation"/>
          <w:rFonts w:ascii="Times New Roman" w:hAnsi="Times New Roman" w:cs="Times New Roman"/>
          <w:sz w:val="24"/>
          <w:szCs w:val="24"/>
        </w:rPr>
        <w:t>Handbook of Experimental Pharmacology</w:t>
      </w:r>
      <w:r w:rsidRPr="004221A9">
        <w:rPr>
          <w:rFonts w:ascii="Times New Roman" w:hAnsi="Times New Roman" w:cs="Times New Roman"/>
          <w:sz w:val="24"/>
          <w:szCs w:val="24"/>
        </w:rPr>
        <w:t xml:space="preserve">. 4th edition. Vallabh Prakashan, New Delhi. </w:t>
      </w:r>
    </w:p>
    <w:p w14:paraId="467AED46"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Mukherjee PK (2019) </w:t>
      </w:r>
      <w:r w:rsidRPr="004221A9">
        <w:rPr>
          <w:rStyle w:val="Accentuation"/>
          <w:rFonts w:ascii="Times New Roman" w:hAnsi="Times New Roman" w:cs="Times New Roman"/>
          <w:sz w:val="24"/>
          <w:szCs w:val="24"/>
        </w:rPr>
        <w:t>Quality Control and Evaluation of Herbal Drugs</w:t>
      </w:r>
      <w:r w:rsidRPr="004221A9">
        <w:rPr>
          <w:rFonts w:ascii="Times New Roman" w:hAnsi="Times New Roman" w:cs="Times New Roman"/>
          <w:sz w:val="24"/>
          <w:szCs w:val="24"/>
        </w:rPr>
        <w:t xml:space="preserve">. 2nd edition. Elsevier India, New Delhi. </w:t>
      </w:r>
    </w:p>
    <w:p w14:paraId="74ED7D4E"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lastRenderedPageBreak/>
        <w:t xml:space="preserve">Nille GC, Mishra SK, Chaudhary AK, Reddy KRC (2021) Ethnopharmacological, phytochemical, pharmacological and toxicological review on </w:t>
      </w:r>
      <w:r w:rsidRPr="004221A9">
        <w:rPr>
          <w:rStyle w:val="Accentuation"/>
          <w:rFonts w:ascii="Times New Roman" w:hAnsi="Times New Roman" w:cs="Times New Roman"/>
          <w:sz w:val="24"/>
          <w:szCs w:val="24"/>
        </w:rPr>
        <w:t>Senna auriculata</w:t>
      </w:r>
      <w:r w:rsidRPr="004221A9">
        <w:rPr>
          <w:rFonts w:ascii="Times New Roman" w:hAnsi="Times New Roman" w:cs="Times New Roman"/>
          <w:sz w:val="24"/>
          <w:szCs w:val="24"/>
        </w:rPr>
        <w:t xml:space="preserve"> (L.) </w:t>
      </w:r>
      <w:proofErr w:type="spellStart"/>
      <w:r w:rsidRPr="004221A9">
        <w:rPr>
          <w:rFonts w:ascii="Times New Roman" w:hAnsi="Times New Roman" w:cs="Times New Roman"/>
          <w:sz w:val="24"/>
          <w:szCs w:val="24"/>
        </w:rPr>
        <w:t>Roxb</w:t>
      </w:r>
      <w:proofErr w:type="spellEnd"/>
      <w:r w:rsidRPr="004221A9">
        <w:rPr>
          <w:rFonts w:ascii="Times New Roman" w:hAnsi="Times New Roman" w:cs="Times New Roman"/>
          <w:sz w:val="24"/>
          <w:szCs w:val="24"/>
        </w:rPr>
        <w:t xml:space="preserve">. </w:t>
      </w:r>
      <w:r w:rsidRPr="004221A9">
        <w:rPr>
          <w:rStyle w:val="Accentuation"/>
          <w:rFonts w:ascii="Times New Roman" w:hAnsi="Times New Roman" w:cs="Times New Roman"/>
          <w:sz w:val="24"/>
          <w:szCs w:val="24"/>
        </w:rPr>
        <w:t>Frontiers in Pharmacology</w:t>
      </w:r>
      <w:r w:rsidRPr="004221A9">
        <w:rPr>
          <w:rFonts w:ascii="Times New Roman" w:hAnsi="Times New Roman" w:cs="Times New Roman"/>
          <w:sz w:val="24"/>
          <w:szCs w:val="24"/>
        </w:rPr>
        <w:t xml:space="preserve"> 12:647887. </w:t>
      </w:r>
      <w:hyperlink r:id="rId22" w:tgtFrame="_new" w:history="1">
        <w:r w:rsidRPr="004221A9">
          <w:rPr>
            <w:rStyle w:val="Lienhypertexte"/>
            <w:rFonts w:ascii="Times New Roman" w:hAnsi="Times New Roman" w:cs="Times New Roman"/>
            <w:sz w:val="24"/>
            <w:szCs w:val="24"/>
            <w:u w:val="none"/>
          </w:rPr>
          <w:t>https://doi.org/10.3389/fphar.2021.647887</w:t>
        </w:r>
      </w:hyperlink>
      <w:r w:rsidRPr="004221A9">
        <w:rPr>
          <w:rFonts w:ascii="Times New Roman" w:hAnsi="Times New Roman" w:cs="Times New Roman"/>
          <w:sz w:val="24"/>
          <w:szCs w:val="24"/>
        </w:rPr>
        <w:t xml:space="preserve"> </w:t>
      </w:r>
    </w:p>
    <w:p w14:paraId="55ED023C"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OECD (2001) </w:t>
      </w:r>
      <w:r w:rsidRPr="004221A9">
        <w:rPr>
          <w:rStyle w:val="Accentuation"/>
          <w:rFonts w:ascii="Times New Roman" w:hAnsi="Times New Roman" w:cs="Times New Roman"/>
          <w:sz w:val="24"/>
          <w:szCs w:val="24"/>
        </w:rPr>
        <w:t>OECD Guideline for the Testing of Chemicals No. 423: Acute Oral Toxicity – Acute Toxic Class Method</w:t>
      </w:r>
      <w:r w:rsidRPr="004221A9">
        <w:rPr>
          <w:rFonts w:ascii="Times New Roman" w:hAnsi="Times New Roman" w:cs="Times New Roman"/>
          <w:sz w:val="24"/>
          <w:szCs w:val="24"/>
        </w:rPr>
        <w:t xml:space="preserve">. </w:t>
      </w:r>
      <w:proofErr w:type="spellStart"/>
      <w:r w:rsidRPr="004221A9">
        <w:rPr>
          <w:rFonts w:ascii="Times New Roman" w:hAnsi="Times New Roman" w:cs="Times New Roman"/>
          <w:sz w:val="24"/>
          <w:szCs w:val="24"/>
        </w:rPr>
        <w:t>Organisation</w:t>
      </w:r>
      <w:proofErr w:type="spellEnd"/>
      <w:r w:rsidRPr="004221A9">
        <w:rPr>
          <w:rFonts w:ascii="Times New Roman" w:hAnsi="Times New Roman" w:cs="Times New Roman"/>
          <w:sz w:val="24"/>
          <w:szCs w:val="24"/>
        </w:rPr>
        <w:t xml:space="preserve"> for Economic Co-operation and Development, Paris. </w:t>
      </w:r>
    </w:p>
    <w:p w14:paraId="007B9D07"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Panche</w:t>
      </w:r>
      <w:proofErr w:type="spellEnd"/>
      <w:r w:rsidRPr="004221A9">
        <w:rPr>
          <w:rFonts w:ascii="Times New Roman" w:hAnsi="Times New Roman" w:cs="Times New Roman"/>
          <w:sz w:val="24"/>
          <w:szCs w:val="24"/>
        </w:rPr>
        <w:t xml:space="preserve"> AN, Diwan AD, Chandra SR (2016) Flavonoids: An overview. </w:t>
      </w:r>
      <w:r w:rsidRPr="004221A9">
        <w:rPr>
          <w:rStyle w:val="Accentuation"/>
          <w:rFonts w:ascii="Times New Roman" w:hAnsi="Times New Roman" w:cs="Times New Roman"/>
          <w:sz w:val="24"/>
          <w:szCs w:val="24"/>
        </w:rPr>
        <w:t>Journal of Nutritional Science</w:t>
      </w:r>
      <w:r w:rsidRPr="004221A9">
        <w:rPr>
          <w:rFonts w:ascii="Times New Roman" w:hAnsi="Times New Roman" w:cs="Times New Roman"/>
          <w:sz w:val="24"/>
          <w:szCs w:val="24"/>
        </w:rPr>
        <w:t xml:space="preserve"> 5:e47. </w:t>
      </w:r>
      <w:hyperlink r:id="rId23" w:tgtFrame="_new" w:history="1">
        <w:r w:rsidRPr="004221A9">
          <w:rPr>
            <w:rStyle w:val="Lienhypertexte"/>
            <w:rFonts w:ascii="Times New Roman" w:hAnsi="Times New Roman" w:cs="Times New Roman"/>
            <w:sz w:val="24"/>
            <w:szCs w:val="24"/>
            <w:u w:val="none"/>
          </w:rPr>
          <w:t>https://doi.org/10.1017/jns.2016.41</w:t>
        </w:r>
      </w:hyperlink>
      <w:r w:rsidRPr="004221A9">
        <w:rPr>
          <w:rFonts w:ascii="Times New Roman" w:hAnsi="Times New Roman" w:cs="Times New Roman"/>
          <w:sz w:val="24"/>
          <w:szCs w:val="24"/>
        </w:rPr>
        <w:t xml:space="preserve"> </w:t>
      </w:r>
    </w:p>
    <w:p w14:paraId="2143D83B"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Parlatini</w:t>
      </w:r>
      <w:proofErr w:type="spellEnd"/>
      <w:r w:rsidRPr="004221A9">
        <w:rPr>
          <w:rFonts w:ascii="Times New Roman" w:hAnsi="Times New Roman" w:cs="Times New Roman"/>
          <w:sz w:val="24"/>
          <w:szCs w:val="24"/>
        </w:rPr>
        <w:t xml:space="preserve"> V, </w:t>
      </w:r>
      <w:proofErr w:type="spellStart"/>
      <w:r w:rsidRPr="004221A9">
        <w:rPr>
          <w:rFonts w:ascii="Times New Roman" w:hAnsi="Times New Roman" w:cs="Times New Roman"/>
          <w:sz w:val="24"/>
          <w:szCs w:val="24"/>
        </w:rPr>
        <w:t>Bellato</w:t>
      </w:r>
      <w:proofErr w:type="spellEnd"/>
      <w:r w:rsidRPr="004221A9">
        <w:rPr>
          <w:rFonts w:ascii="Times New Roman" w:hAnsi="Times New Roman" w:cs="Times New Roman"/>
          <w:sz w:val="24"/>
          <w:szCs w:val="24"/>
        </w:rPr>
        <w:t xml:space="preserve"> A, Murphy D, Cortese S (2024) From neurons to brain networks, pharmacodynamics of stimulant medication for ADHD. </w:t>
      </w:r>
      <w:r w:rsidRPr="004221A9">
        <w:rPr>
          <w:rStyle w:val="Accentuation"/>
          <w:rFonts w:ascii="Times New Roman" w:hAnsi="Times New Roman" w:cs="Times New Roman"/>
          <w:sz w:val="24"/>
          <w:szCs w:val="24"/>
        </w:rPr>
        <w:t>Neuroscience &amp; Biobehavioral Reviews</w:t>
      </w:r>
      <w:r w:rsidRPr="004221A9">
        <w:rPr>
          <w:rFonts w:ascii="Times New Roman" w:hAnsi="Times New Roman" w:cs="Times New Roman"/>
          <w:sz w:val="24"/>
          <w:szCs w:val="24"/>
        </w:rPr>
        <w:t xml:space="preserve"> 164:105841. </w:t>
      </w:r>
      <w:hyperlink r:id="rId24" w:tgtFrame="_new" w:history="1">
        <w:r w:rsidRPr="004221A9">
          <w:rPr>
            <w:rStyle w:val="Lienhypertexte"/>
            <w:rFonts w:ascii="Times New Roman" w:hAnsi="Times New Roman" w:cs="Times New Roman"/>
            <w:sz w:val="24"/>
            <w:szCs w:val="24"/>
            <w:u w:val="none"/>
          </w:rPr>
          <w:t>https://doi.org/10.1016/j.neubiorev.2024.105841</w:t>
        </w:r>
      </w:hyperlink>
      <w:r w:rsidRPr="004221A9">
        <w:rPr>
          <w:rFonts w:ascii="Times New Roman" w:hAnsi="Times New Roman" w:cs="Times New Roman"/>
          <w:sz w:val="24"/>
          <w:szCs w:val="24"/>
        </w:rPr>
        <w:t xml:space="preserve"> </w:t>
      </w:r>
    </w:p>
    <w:p w14:paraId="42CB1C3D"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Revathi S, </w:t>
      </w:r>
      <w:proofErr w:type="spellStart"/>
      <w:r w:rsidRPr="004221A9">
        <w:rPr>
          <w:rFonts w:ascii="Times New Roman" w:hAnsi="Times New Roman" w:cs="Times New Roman"/>
          <w:sz w:val="24"/>
          <w:szCs w:val="24"/>
        </w:rPr>
        <w:t>Altemimi</w:t>
      </w:r>
      <w:proofErr w:type="spellEnd"/>
      <w:r w:rsidRPr="004221A9">
        <w:rPr>
          <w:rFonts w:ascii="Times New Roman" w:hAnsi="Times New Roman" w:cs="Times New Roman"/>
          <w:sz w:val="24"/>
          <w:szCs w:val="24"/>
        </w:rPr>
        <w:t xml:space="preserve"> AB, </w:t>
      </w:r>
      <w:proofErr w:type="spellStart"/>
      <w:r w:rsidRPr="004221A9">
        <w:rPr>
          <w:rFonts w:ascii="Times New Roman" w:hAnsi="Times New Roman" w:cs="Times New Roman"/>
          <w:sz w:val="24"/>
          <w:szCs w:val="24"/>
        </w:rPr>
        <w:t>Sutikno</w:t>
      </w:r>
      <w:proofErr w:type="spellEnd"/>
      <w:r w:rsidRPr="004221A9">
        <w:rPr>
          <w:rFonts w:ascii="Times New Roman" w:hAnsi="Times New Roman" w:cs="Times New Roman"/>
          <w:sz w:val="24"/>
          <w:szCs w:val="24"/>
        </w:rPr>
        <w:t xml:space="preserve"> S, Cacciola F (2025) Phytochemical screening along with </w:t>
      </w:r>
      <w:r w:rsidRPr="004221A9">
        <w:rPr>
          <w:rStyle w:val="Accentuation"/>
          <w:rFonts w:ascii="Times New Roman" w:hAnsi="Times New Roman" w:cs="Times New Roman"/>
          <w:sz w:val="24"/>
          <w:szCs w:val="24"/>
        </w:rPr>
        <w:t>in vitro</w:t>
      </w:r>
      <w:r w:rsidRPr="004221A9">
        <w:rPr>
          <w:rFonts w:ascii="Times New Roman" w:hAnsi="Times New Roman" w:cs="Times New Roman"/>
          <w:sz w:val="24"/>
          <w:szCs w:val="24"/>
        </w:rPr>
        <w:t xml:space="preserve"> antioxidant, antibacterial and anticancer activity of </w:t>
      </w:r>
      <w:r w:rsidRPr="004221A9">
        <w:rPr>
          <w:rStyle w:val="Accentuation"/>
          <w:rFonts w:ascii="Times New Roman" w:hAnsi="Times New Roman" w:cs="Times New Roman"/>
          <w:sz w:val="24"/>
          <w:szCs w:val="24"/>
        </w:rPr>
        <w:t>Senna auriculata</w:t>
      </w:r>
      <w:r w:rsidRPr="004221A9">
        <w:rPr>
          <w:rFonts w:ascii="Times New Roman" w:hAnsi="Times New Roman" w:cs="Times New Roman"/>
          <w:sz w:val="24"/>
          <w:szCs w:val="24"/>
        </w:rPr>
        <w:t xml:space="preserve"> (L.) bark extracts. </w:t>
      </w:r>
      <w:r w:rsidRPr="004221A9">
        <w:rPr>
          <w:rStyle w:val="Accentuation"/>
          <w:rFonts w:ascii="Times New Roman" w:hAnsi="Times New Roman" w:cs="Times New Roman"/>
          <w:sz w:val="24"/>
          <w:szCs w:val="24"/>
        </w:rPr>
        <w:t>International Journal of Environmental Health Research</w:t>
      </w:r>
      <w:r w:rsidRPr="004221A9">
        <w:rPr>
          <w:rFonts w:ascii="Times New Roman" w:hAnsi="Times New Roman" w:cs="Times New Roman"/>
          <w:sz w:val="24"/>
          <w:szCs w:val="24"/>
        </w:rPr>
        <w:t xml:space="preserve"> 35(6):1557–1570. </w:t>
      </w:r>
      <w:hyperlink r:id="rId25" w:tgtFrame="_new" w:history="1">
        <w:r w:rsidRPr="004221A9">
          <w:rPr>
            <w:rStyle w:val="Lienhypertexte"/>
            <w:rFonts w:ascii="Times New Roman" w:hAnsi="Times New Roman" w:cs="Times New Roman"/>
            <w:sz w:val="24"/>
            <w:szCs w:val="24"/>
            <w:u w:val="none"/>
          </w:rPr>
          <w:t>https://doi.org/10.1080/09603123.2024.2395446</w:t>
        </w:r>
      </w:hyperlink>
      <w:r w:rsidRPr="004221A9">
        <w:rPr>
          <w:rFonts w:ascii="Times New Roman" w:hAnsi="Times New Roman" w:cs="Times New Roman"/>
          <w:sz w:val="24"/>
          <w:szCs w:val="24"/>
        </w:rPr>
        <w:t xml:space="preserve"> </w:t>
      </w:r>
    </w:p>
    <w:p w14:paraId="0507161C"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Sheffler ZM, Reddy V, </w:t>
      </w:r>
      <w:proofErr w:type="spellStart"/>
      <w:r w:rsidRPr="004221A9">
        <w:rPr>
          <w:rFonts w:ascii="Times New Roman" w:hAnsi="Times New Roman" w:cs="Times New Roman"/>
          <w:sz w:val="24"/>
          <w:szCs w:val="24"/>
        </w:rPr>
        <w:t>Pillarisetty</w:t>
      </w:r>
      <w:proofErr w:type="spellEnd"/>
      <w:r w:rsidRPr="004221A9">
        <w:rPr>
          <w:rFonts w:ascii="Times New Roman" w:hAnsi="Times New Roman" w:cs="Times New Roman"/>
          <w:sz w:val="24"/>
          <w:szCs w:val="24"/>
        </w:rPr>
        <w:t xml:space="preserve"> LS (2023) Physiology, Neurotransmitters. </w:t>
      </w:r>
      <w:proofErr w:type="spellStart"/>
      <w:r w:rsidRPr="004221A9">
        <w:rPr>
          <w:rFonts w:ascii="Times New Roman" w:hAnsi="Times New Roman" w:cs="Times New Roman"/>
          <w:sz w:val="24"/>
          <w:szCs w:val="24"/>
        </w:rPr>
        <w:t>StatPearls</w:t>
      </w:r>
      <w:proofErr w:type="spellEnd"/>
      <w:r w:rsidRPr="004221A9">
        <w:rPr>
          <w:rFonts w:ascii="Times New Roman" w:hAnsi="Times New Roman" w:cs="Times New Roman"/>
          <w:sz w:val="24"/>
          <w:szCs w:val="24"/>
        </w:rPr>
        <w:t xml:space="preserve"> Publishing, Treasure Island, FL. </w:t>
      </w:r>
    </w:p>
    <w:p w14:paraId="7BE7E5F8"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Shoaib S, Ansari MA, </w:t>
      </w:r>
      <w:proofErr w:type="spellStart"/>
      <w:r w:rsidRPr="004221A9">
        <w:rPr>
          <w:rFonts w:ascii="Times New Roman" w:hAnsi="Times New Roman" w:cs="Times New Roman"/>
          <w:sz w:val="24"/>
          <w:szCs w:val="24"/>
        </w:rPr>
        <w:t>Fatease</w:t>
      </w:r>
      <w:proofErr w:type="spellEnd"/>
      <w:r w:rsidRPr="004221A9">
        <w:rPr>
          <w:rFonts w:ascii="Times New Roman" w:hAnsi="Times New Roman" w:cs="Times New Roman"/>
          <w:sz w:val="24"/>
          <w:szCs w:val="24"/>
        </w:rPr>
        <w:t xml:space="preserve"> AA </w:t>
      </w:r>
      <w:r w:rsidRPr="004221A9">
        <w:rPr>
          <w:rStyle w:val="Accentuation"/>
          <w:rFonts w:ascii="Times New Roman" w:hAnsi="Times New Roman" w:cs="Times New Roman"/>
          <w:sz w:val="24"/>
          <w:szCs w:val="24"/>
        </w:rPr>
        <w:t>et al.</w:t>
      </w:r>
      <w:r w:rsidRPr="004221A9">
        <w:rPr>
          <w:rFonts w:ascii="Times New Roman" w:hAnsi="Times New Roman" w:cs="Times New Roman"/>
          <w:sz w:val="24"/>
          <w:szCs w:val="24"/>
        </w:rPr>
        <w:t xml:space="preserve"> (2023) Plant-derived bioactive compounds in the management of neurodegenerative disorders. </w:t>
      </w:r>
      <w:r w:rsidRPr="004221A9">
        <w:rPr>
          <w:rStyle w:val="Accentuation"/>
          <w:rFonts w:ascii="Times New Roman" w:hAnsi="Times New Roman" w:cs="Times New Roman"/>
          <w:sz w:val="24"/>
          <w:szCs w:val="24"/>
        </w:rPr>
        <w:t>Pharmaceutics</w:t>
      </w:r>
      <w:r w:rsidRPr="004221A9">
        <w:rPr>
          <w:rFonts w:ascii="Times New Roman" w:hAnsi="Times New Roman" w:cs="Times New Roman"/>
          <w:sz w:val="24"/>
          <w:szCs w:val="24"/>
        </w:rPr>
        <w:t xml:space="preserve"> 15(3):749. </w:t>
      </w:r>
      <w:hyperlink r:id="rId26" w:tgtFrame="_new" w:history="1">
        <w:r w:rsidRPr="004221A9">
          <w:rPr>
            <w:rStyle w:val="Lienhypertexte"/>
            <w:rFonts w:ascii="Times New Roman" w:hAnsi="Times New Roman" w:cs="Times New Roman"/>
            <w:sz w:val="24"/>
            <w:szCs w:val="24"/>
            <w:u w:val="none"/>
          </w:rPr>
          <w:t>https://doi.org/10.3390/pharmaceutics15030749</w:t>
        </w:r>
      </w:hyperlink>
      <w:r w:rsidRPr="004221A9">
        <w:rPr>
          <w:rFonts w:ascii="Times New Roman" w:hAnsi="Times New Roman" w:cs="Times New Roman"/>
          <w:sz w:val="24"/>
          <w:szCs w:val="24"/>
        </w:rPr>
        <w:t xml:space="preserve"> </w:t>
      </w:r>
    </w:p>
    <w:p w14:paraId="0A6E44F9"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Spencer JPE (2008) Flavonoids: Modulators of brain function? </w:t>
      </w:r>
      <w:r w:rsidRPr="004221A9">
        <w:rPr>
          <w:rStyle w:val="Accentuation"/>
          <w:rFonts w:ascii="Times New Roman" w:hAnsi="Times New Roman" w:cs="Times New Roman"/>
          <w:sz w:val="24"/>
          <w:szCs w:val="24"/>
        </w:rPr>
        <w:t>British Journal of Nutrition</w:t>
      </w:r>
      <w:r w:rsidRPr="004221A9">
        <w:rPr>
          <w:rFonts w:ascii="Times New Roman" w:hAnsi="Times New Roman" w:cs="Times New Roman"/>
          <w:sz w:val="24"/>
          <w:szCs w:val="24"/>
        </w:rPr>
        <w:t xml:space="preserve"> 99(S1):S60–S77. </w:t>
      </w:r>
    </w:p>
    <w:p w14:paraId="4358AAE5"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Tietel</w:t>
      </w:r>
      <w:proofErr w:type="spellEnd"/>
      <w:r w:rsidRPr="004221A9">
        <w:rPr>
          <w:rFonts w:ascii="Times New Roman" w:hAnsi="Times New Roman" w:cs="Times New Roman"/>
          <w:sz w:val="24"/>
          <w:szCs w:val="24"/>
        </w:rPr>
        <w:t xml:space="preserve"> Z, Ananth DA, Sivasudha T, </w:t>
      </w:r>
      <w:proofErr w:type="spellStart"/>
      <w:r w:rsidRPr="004221A9">
        <w:rPr>
          <w:rFonts w:ascii="Times New Roman" w:hAnsi="Times New Roman" w:cs="Times New Roman"/>
          <w:sz w:val="24"/>
          <w:szCs w:val="24"/>
        </w:rPr>
        <w:t>Klipcan</w:t>
      </w:r>
      <w:proofErr w:type="spellEnd"/>
      <w:r w:rsidRPr="004221A9">
        <w:rPr>
          <w:rFonts w:ascii="Times New Roman" w:hAnsi="Times New Roman" w:cs="Times New Roman"/>
          <w:sz w:val="24"/>
          <w:szCs w:val="24"/>
        </w:rPr>
        <w:t xml:space="preserve"> L (2024) </w:t>
      </w:r>
      <w:r w:rsidRPr="004221A9">
        <w:rPr>
          <w:rStyle w:val="Accentuation"/>
          <w:rFonts w:ascii="Times New Roman" w:hAnsi="Times New Roman" w:cs="Times New Roman"/>
          <w:sz w:val="24"/>
          <w:szCs w:val="24"/>
        </w:rPr>
        <w:t>Cassia auriculata</w:t>
      </w:r>
      <w:r w:rsidRPr="004221A9">
        <w:rPr>
          <w:rFonts w:ascii="Times New Roman" w:hAnsi="Times New Roman" w:cs="Times New Roman"/>
          <w:sz w:val="24"/>
          <w:szCs w:val="24"/>
        </w:rPr>
        <w:t xml:space="preserve"> L.: A mini review of phytochemical compounds and their antidiabetic mechanisms. </w:t>
      </w:r>
      <w:r w:rsidRPr="004221A9">
        <w:rPr>
          <w:rStyle w:val="Accentuation"/>
          <w:rFonts w:ascii="Times New Roman" w:hAnsi="Times New Roman" w:cs="Times New Roman"/>
          <w:sz w:val="24"/>
          <w:szCs w:val="24"/>
        </w:rPr>
        <w:t>AIMS Agriculture and Food</w:t>
      </w:r>
      <w:r w:rsidRPr="004221A9">
        <w:rPr>
          <w:rFonts w:ascii="Times New Roman" w:hAnsi="Times New Roman" w:cs="Times New Roman"/>
          <w:sz w:val="24"/>
          <w:szCs w:val="24"/>
        </w:rPr>
        <w:t xml:space="preserve"> 9(1):374–392. </w:t>
      </w:r>
      <w:hyperlink r:id="rId27" w:tgtFrame="_new" w:history="1">
        <w:r w:rsidRPr="004221A9">
          <w:rPr>
            <w:rStyle w:val="Lienhypertexte"/>
            <w:rFonts w:ascii="Times New Roman" w:hAnsi="Times New Roman" w:cs="Times New Roman"/>
            <w:sz w:val="24"/>
            <w:szCs w:val="24"/>
            <w:u w:val="none"/>
          </w:rPr>
          <w:t>https://doi.org/10.3934/agrfood.2024022</w:t>
        </w:r>
      </w:hyperlink>
      <w:r w:rsidRPr="004221A9">
        <w:rPr>
          <w:rFonts w:ascii="Times New Roman" w:hAnsi="Times New Roman" w:cs="Times New Roman"/>
          <w:sz w:val="24"/>
          <w:szCs w:val="24"/>
        </w:rPr>
        <w:t xml:space="preserve"> </w:t>
      </w:r>
    </w:p>
    <w:p w14:paraId="3BA0F400"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Turner RA (1965) </w:t>
      </w:r>
      <w:r w:rsidRPr="004221A9">
        <w:rPr>
          <w:rStyle w:val="Accentuation"/>
          <w:rFonts w:ascii="Times New Roman" w:hAnsi="Times New Roman" w:cs="Times New Roman"/>
          <w:sz w:val="24"/>
          <w:szCs w:val="24"/>
        </w:rPr>
        <w:t>Screening Methods in Pharmacology</w:t>
      </w:r>
      <w:r w:rsidRPr="004221A9">
        <w:rPr>
          <w:rFonts w:ascii="Times New Roman" w:hAnsi="Times New Roman" w:cs="Times New Roman"/>
          <w:sz w:val="24"/>
          <w:szCs w:val="24"/>
        </w:rPr>
        <w:t xml:space="preserve">. Academic Press, New York. </w:t>
      </w:r>
    </w:p>
    <w:p w14:paraId="28BD718D"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Vogel HG (2008) </w:t>
      </w:r>
      <w:r w:rsidRPr="004221A9">
        <w:rPr>
          <w:rStyle w:val="Accentuation"/>
          <w:rFonts w:ascii="Times New Roman" w:hAnsi="Times New Roman" w:cs="Times New Roman"/>
          <w:sz w:val="24"/>
          <w:szCs w:val="24"/>
        </w:rPr>
        <w:t>Drug Discovery and Evaluation: Pharmacological Assays</w:t>
      </w:r>
      <w:r w:rsidRPr="004221A9">
        <w:rPr>
          <w:rFonts w:ascii="Times New Roman" w:hAnsi="Times New Roman" w:cs="Times New Roman"/>
          <w:sz w:val="24"/>
          <w:szCs w:val="24"/>
        </w:rPr>
        <w:t xml:space="preserve">. 3rd edition. Springer, Berlin. </w:t>
      </w:r>
    </w:p>
    <w:p w14:paraId="06BA07FE"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Walsh RN, Cummins RA (1976) The open-field test: A critical review. </w:t>
      </w:r>
      <w:r w:rsidRPr="004221A9">
        <w:rPr>
          <w:rStyle w:val="Accentuation"/>
          <w:rFonts w:ascii="Times New Roman" w:hAnsi="Times New Roman" w:cs="Times New Roman"/>
          <w:sz w:val="24"/>
          <w:szCs w:val="24"/>
        </w:rPr>
        <w:t>Psychological Bulletin</w:t>
      </w:r>
      <w:r w:rsidRPr="004221A9">
        <w:rPr>
          <w:rFonts w:ascii="Times New Roman" w:hAnsi="Times New Roman" w:cs="Times New Roman"/>
          <w:sz w:val="24"/>
          <w:szCs w:val="24"/>
        </w:rPr>
        <w:t xml:space="preserve"> 83(3):482–504. </w:t>
      </w:r>
    </w:p>
    <w:p w14:paraId="29D13F9E"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Wang C, Yang S, Deng J </w:t>
      </w:r>
      <w:r w:rsidRPr="004221A9">
        <w:rPr>
          <w:rStyle w:val="Accentuation"/>
          <w:rFonts w:ascii="Times New Roman" w:hAnsi="Times New Roman" w:cs="Times New Roman"/>
          <w:sz w:val="24"/>
          <w:szCs w:val="24"/>
        </w:rPr>
        <w:t>et al.</w:t>
      </w:r>
      <w:r w:rsidRPr="004221A9">
        <w:rPr>
          <w:rFonts w:ascii="Times New Roman" w:hAnsi="Times New Roman" w:cs="Times New Roman"/>
          <w:sz w:val="24"/>
          <w:szCs w:val="24"/>
        </w:rPr>
        <w:t xml:space="preserve"> (2023) The research progress on the anxiolytic effect of plant-derived flavonoids by regulating neurotransmitters. </w:t>
      </w:r>
      <w:r w:rsidRPr="004221A9">
        <w:rPr>
          <w:rStyle w:val="Accentuation"/>
          <w:rFonts w:ascii="Times New Roman" w:hAnsi="Times New Roman" w:cs="Times New Roman"/>
          <w:sz w:val="24"/>
          <w:szCs w:val="24"/>
        </w:rPr>
        <w:t>Drug Development Research</w:t>
      </w:r>
      <w:r w:rsidRPr="004221A9">
        <w:rPr>
          <w:rFonts w:ascii="Times New Roman" w:hAnsi="Times New Roman" w:cs="Times New Roman"/>
          <w:sz w:val="24"/>
          <w:szCs w:val="24"/>
        </w:rPr>
        <w:t xml:space="preserve"> 84(3):458–469. </w:t>
      </w:r>
      <w:hyperlink r:id="rId28" w:tgtFrame="_new" w:history="1">
        <w:r w:rsidRPr="004221A9">
          <w:rPr>
            <w:rStyle w:val="Lienhypertexte"/>
            <w:rFonts w:ascii="Times New Roman" w:hAnsi="Times New Roman" w:cs="Times New Roman"/>
            <w:sz w:val="24"/>
            <w:szCs w:val="24"/>
            <w:u w:val="none"/>
          </w:rPr>
          <w:t>https://doi.org/10.1002/ddr.22038</w:t>
        </w:r>
      </w:hyperlink>
      <w:r w:rsidRPr="004221A9">
        <w:rPr>
          <w:rFonts w:ascii="Times New Roman" w:hAnsi="Times New Roman" w:cs="Times New Roman"/>
          <w:sz w:val="24"/>
          <w:szCs w:val="24"/>
        </w:rPr>
        <w:t xml:space="preserve"> </w:t>
      </w:r>
    </w:p>
    <w:p w14:paraId="5B82478B" w14:textId="77777777" w:rsidR="008E1E99" w:rsidRPr="0034616F" w:rsidRDefault="008E1E99" w:rsidP="00A756BD">
      <w:pPr>
        <w:spacing w:before="100" w:beforeAutospacing="1" w:line="240" w:lineRule="auto"/>
        <w:ind w:left="360"/>
        <w:jc w:val="both"/>
        <w:rPr>
          <w:rFonts w:ascii="Times New Roman" w:hAnsi="Times New Roman" w:cs="Times New Roman"/>
          <w:sz w:val="24"/>
          <w:szCs w:val="24"/>
          <w:lang w:val="fr-CD"/>
        </w:rPr>
      </w:pPr>
      <w:r w:rsidRPr="004221A9">
        <w:rPr>
          <w:rFonts w:ascii="Times New Roman" w:hAnsi="Times New Roman" w:cs="Times New Roman"/>
          <w:sz w:val="24"/>
          <w:szCs w:val="24"/>
        </w:rPr>
        <w:lastRenderedPageBreak/>
        <w:t xml:space="preserve">Wu X, Zhou Y, Xi Y </w:t>
      </w:r>
      <w:r w:rsidRPr="004221A9">
        <w:rPr>
          <w:rStyle w:val="Accentuation"/>
          <w:rFonts w:ascii="Times New Roman" w:hAnsi="Times New Roman" w:cs="Times New Roman"/>
          <w:sz w:val="24"/>
          <w:szCs w:val="24"/>
        </w:rPr>
        <w:t>et al.</w:t>
      </w:r>
      <w:r w:rsidRPr="004221A9">
        <w:rPr>
          <w:rFonts w:ascii="Times New Roman" w:hAnsi="Times New Roman" w:cs="Times New Roman"/>
          <w:sz w:val="24"/>
          <w:szCs w:val="24"/>
        </w:rPr>
        <w:t xml:space="preserve"> (2024) Polyphenols: Natural food-grade biomolecules for the treatment of nervous system diseases from a multi-target perspective. </w:t>
      </w:r>
      <w:r w:rsidRPr="0034616F">
        <w:rPr>
          <w:rStyle w:val="Accentuation"/>
          <w:rFonts w:ascii="Times New Roman" w:hAnsi="Times New Roman" w:cs="Times New Roman"/>
          <w:sz w:val="24"/>
          <w:szCs w:val="24"/>
          <w:lang w:val="fr-CD"/>
        </w:rPr>
        <w:t>Pharmaceuticals</w:t>
      </w:r>
      <w:r w:rsidRPr="0034616F">
        <w:rPr>
          <w:rFonts w:ascii="Times New Roman" w:hAnsi="Times New Roman" w:cs="Times New Roman"/>
          <w:sz w:val="24"/>
          <w:szCs w:val="24"/>
          <w:lang w:val="fr-CD"/>
        </w:rPr>
        <w:t xml:space="preserve"> 17(6</w:t>
      </w:r>
      <w:proofErr w:type="gramStart"/>
      <w:r w:rsidRPr="0034616F">
        <w:rPr>
          <w:rFonts w:ascii="Times New Roman" w:hAnsi="Times New Roman" w:cs="Times New Roman"/>
          <w:sz w:val="24"/>
          <w:szCs w:val="24"/>
          <w:lang w:val="fr-CD"/>
        </w:rPr>
        <w:t>):</w:t>
      </w:r>
      <w:proofErr w:type="gramEnd"/>
      <w:r w:rsidRPr="0034616F">
        <w:rPr>
          <w:rFonts w:ascii="Times New Roman" w:hAnsi="Times New Roman" w:cs="Times New Roman"/>
          <w:sz w:val="24"/>
          <w:szCs w:val="24"/>
          <w:lang w:val="fr-CD"/>
        </w:rPr>
        <w:t xml:space="preserve">775. </w:t>
      </w:r>
      <w:hyperlink r:id="rId29" w:tgtFrame="_new" w:history="1">
        <w:r w:rsidRPr="0034616F">
          <w:rPr>
            <w:rStyle w:val="Lienhypertexte"/>
            <w:rFonts w:ascii="Times New Roman" w:hAnsi="Times New Roman" w:cs="Times New Roman"/>
            <w:sz w:val="24"/>
            <w:szCs w:val="24"/>
            <w:u w:val="none"/>
            <w:lang w:val="fr-CD"/>
          </w:rPr>
          <w:t>https://doi.org/10.3390/ph17060775</w:t>
        </w:r>
      </w:hyperlink>
      <w:r w:rsidRPr="0034616F">
        <w:rPr>
          <w:rFonts w:ascii="Times New Roman" w:hAnsi="Times New Roman" w:cs="Times New Roman"/>
          <w:sz w:val="24"/>
          <w:szCs w:val="24"/>
          <w:lang w:val="fr-CD"/>
        </w:rPr>
        <w:t xml:space="preserve"> </w:t>
      </w:r>
    </w:p>
    <w:p w14:paraId="2FFF93B6"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34616F">
        <w:rPr>
          <w:rFonts w:ascii="Times New Roman" w:hAnsi="Times New Roman" w:cs="Times New Roman"/>
          <w:sz w:val="24"/>
          <w:szCs w:val="24"/>
          <w:lang w:val="fr-CD"/>
        </w:rPr>
        <w:t>Zibaee</w:t>
      </w:r>
      <w:proofErr w:type="spellEnd"/>
      <w:r w:rsidRPr="0034616F">
        <w:rPr>
          <w:rFonts w:ascii="Times New Roman" w:hAnsi="Times New Roman" w:cs="Times New Roman"/>
          <w:sz w:val="24"/>
          <w:szCs w:val="24"/>
          <w:lang w:val="fr-CD"/>
        </w:rPr>
        <w:t xml:space="preserve"> E, Javadi B, Sobhani Z </w:t>
      </w:r>
      <w:r w:rsidRPr="0034616F">
        <w:rPr>
          <w:rStyle w:val="Accentuation"/>
          <w:rFonts w:ascii="Times New Roman" w:hAnsi="Times New Roman" w:cs="Times New Roman"/>
          <w:sz w:val="24"/>
          <w:szCs w:val="24"/>
          <w:lang w:val="fr-CD"/>
        </w:rPr>
        <w:t>et al.</w:t>
      </w:r>
      <w:r w:rsidRPr="0034616F">
        <w:rPr>
          <w:rFonts w:ascii="Times New Roman" w:hAnsi="Times New Roman" w:cs="Times New Roman"/>
          <w:sz w:val="24"/>
          <w:szCs w:val="24"/>
          <w:lang w:val="fr-CD"/>
        </w:rPr>
        <w:t xml:space="preserve"> </w:t>
      </w:r>
      <w:r w:rsidRPr="004221A9">
        <w:rPr>
          <w:rFonts w:ascii="Times New Roman" w:hAnsi="Times New Roman" w:cs="Times New Roman"/>
          <w:sz w:val="24"/>
          <w:szCs w:val="24"/>
        </w:rPr>
        <w:t xml:space="preserve">(2023) </w:t>
      </w:r>
      <w:r w:rsidRPr="004221A9">
        <w:rPr>
          <w:rStyle w:val="Accentuation"/>
          <w:rFonts w:ascii="Times New Roman" w:hAnsi="Times New Roman" w:cs="Times New Roman"/>
          <w:sz w:val="24"/>
          <w:szCs w:val="24"/>
        </w:rPr>
        <w:t>Cassia</w:t>
      </w:r>
      <w:r w:rsidRPr="004221A9">
        <w:rPr>
          <w:rFonts w:ascii="Times New Roman" w:hAnsi="Times New Roman" w:cs="Times New Roman"/>
          <w:sz w:val="24"/>
          <w:szCs w:val="24"/>
        </w:rPr>
        <w:t xml:space="preserve"> species: A review of traditional uses, phytochemistry and pharmacology. </w:t>
      </w:r>
      <w:r w:rsidRPr="004221A9">
        <w:rPr>
          <w:rStyle w:val="Accentuation"/>
          <w:rFonts w:ascii="Times New Roman" w:hAnsi="Times New Roman" w:cs="Times New Roman"/>
          <w:sz w:val="24"/>
          <w:szCs w:val="24"/>
        </w:rPr>
        <w:t>Pharmacological Research – Modern Chinese Medicine</w:t>
      </w:r>
      <w:r w:rsidRPr="004221A9">
        <w:rPr>
          <w:rFonts w:ascii="Times New Roman" w:hAnsi="Times New Roman" w:cs="Times New Roman"/>
          <w:sz w:val="24"/>
          <w:szCs w:val="24"/>
        </w:rPr>
        <w:t xml:space="preserve"> 9:100325. </w:t>
      </w:r>
      <w:hyperlink r:id="rId30" w:tgtFrame="_new" w:history="1">
        <w:r w:rsidRPr="004221A9">
          <w:rPr>
            <w:rStyle w:val="Lienhypertexte"/>
            <w:rFonts w:ascii="Times New Roman" w:hAnsi="Times New Roman" w:cs="Times New Roman"/>
            <w:sz w:val="24"/>
            <w:szCs w:val="24"/>
            <w:u w:val="none"/>
          </w:rPr>
          <w:t>https://doi.org/10.1016/j.prmcm.2023.100325</w:t>
        </w:r>
      </w:hyperlink>
    </w:p>
    <w:sectPr w:rsidR="008E1E99" w:rsidRPr="004221A9">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09CFC" w14:textId="77777777" w:rsidR="00212EDB" w:rsidRDefault="00212EDB" w:rsidP="008713BD">
      <w:pPr>
        <w:spacing w:after="0" w:line="240" w:lineRule="auto"/>
      </w:pPr>
      <w:r>
        <w:separator/>
      </w:r>
    </w:p>
  </w:endnote>
  <w:endnote w:type="continuationSeparator" w:id="0">
    <w:p w14:paraId="725C4EC7" w14:textId="77777777" w:rsidR="00212EDB" w:rsidRDefault="00212EDB" w:rsidP="0087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BA51" w14:textId="77777777" w:rsidR="008713BD" w:rsidRDefault="008713B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1477" w14:textId="77777777" w:rsidR="008713BD" w:rsidRDefault="008713B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3B2C" w14:textId="77777777" w:rsidR="008713BD" w:rsidRDefault="008713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F847C" w14:textId="77777777" w:rsidR="00212EDB" w:rsidRDefault="00212EDB" w:rsidP="008713BD">
      <w:pPr>
        <w:spacing w:after="0" w:line="240" w:lineRule="auto"/>
      </w:pPr>
      <w:r>
        <w:separator/>
      </w:r>
    </w:p>
  </w:footnote>
  <w:footnote w:type="continuationSeparator" w:id="0">
    <w:p w14:paraId="2A0231E4" w14:textId="77777777" w:rsidR="00212EDB" w:rsidRDefault="00212EDB" w:rsidP="00871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93EC" w14:textId="5414348C" w:rsidR="008713BD" w:rsidRDefault="00000000">
    <w:pPr>
      <w:pStyle w:val="En-tte"/>
    </w:pPr>
    <w:r>
      <w:rPr>
        <w:noProof/>
      </w:rPr>
      <w:pict w14:anchorId="6214D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495C" w14:textId="27F7006F" w:rsidR="008713BD" w:rsidRDefault="00000000">
    <w:pPr>
      <w:pStyle w:val="En-tte"/>
    </w:pPr>
    <w:r>
      <w:rPr>
        <w:noProof/>
      </w:rPr>
      <w:pict w14:anchorId="66FA36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959" w14:textId="0AEE07C6" w:rsidR="008713BD" w:rsidRDefault="00000000">
    <w:pPr>
      <w:pStyle w:val="En-tte"/>
    </w:pPr>
    <w:r>
      <w:rPr>
        <w:noProof/>
      </w:rPr>
      <w:pict w14:anchorId="7C70B5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C0112"/>
    <w:multiLevelType w:val="multilevel"/>
    <w:tmpl w:val="6428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FB560E"/>
    <w:multiLevelType w:val="multilevel"/>
    <w:tmpl w:val="4080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AD6CC9"/>
    <w:multiLevelType w:val="multilevel"/>
    <w:tmpl w:val="6E16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0002262">
    <w:abstractNumId w:val="0"/>
  </w:num>
  <w:num w:numId="2" w16cid:durableId="441876081">
    <w:abstractNumId w:val="2"/>
  </w:num>
  <w:num w:numId="3" w16cid:durableId="1703942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D8"/>
    <w:rsid w:val="000676C6"/>
    <w:rsid w:val="000A2D0D"/>
    <w:rsid w:val="000A7D3F"/>
    <w:rsid w:val="0016673D"/>
    <w:rsid w:val="00174837"/>
    <w:rsid w:val="001B0A2B"/>
    <w:rsid w:val="001F6337"/>
    <w:rsid w:val="00212EDB"/>
    <w:rsid w:val="002257AD"/>
    <w:rsid w:val="00231D51"/>
    <w:rsid w:val="002C4FBB"/>
    <w:rsid w:val="0034616F"/>
    <w:rsid w:val="0035669C"/>
    <w:rsid w:val="00387007"/>
    <w:rsid w:val="003C75D7"/>
    <w:rsid w:val="003E69C2"/>
    <w:rsid w:val="00403616"/>
    <w:rsid w:val="00403E8A"/>
    <w:rsid w:val="004221A9"/>
    <w:rsid w:val="00423DE9"/>
    <w:rsid w:val="00484AE9"/>
    <w:rsid w:val="005065A0"/>
    <w:rsid w:val="00521ED4"/>
    <w:rsid w:val="00526169"/>
    <w:rsid w:val="00555094"/>
    <w:rsid w:val="00593D5F"/>
    <w:rsid w:val="00600AEE"/>
    <w:rsid w:val="00610973"/>
    <w:rsid w:val="006B0E02"/>
    <w:rsid w:val="006E779D"/>
    <w:rsid w:val="00706A0A"/>
    <w:rsid w:val="00761FD8"/>
    <w:rsid w:val="007B72CD"/>
    <w:rsid w:val="007D08DF"/>
    <w:rsid w:val="00806781"/>
    <w:rsid w:val="008713BD"/>
    <w:rsid w:val="008844C7"/>
    <w:rsid w:val="008E1E99"/>
    <w:rsid w:val="00901EA1"/>
    <w:rsid w:val="009D6574"/>
    <w:rsid w:val="009E6D8C"/>
    <w:rsid w:val="00A756BD"/>
    <w:rsid w:val="00AA492B"/>
    <w:rsid w:val="00AC1FF2"/>
    <w:rsid w:val="00AE3A26"/>
    <w:rsid w:val="00B26E4F"/>
    <w:rsid w:val="00B4513E"/>
    <w:rsid w:val="00B548D7"/>
    <w:rsid w:val="00B910E7"/>
    <w:rsid w:val="00BB6F15"/>
    <w:rsid w:val="00BE3C68"/>
    <w:rsid w:val="00BF0E95"/>
    <w:rsid w:val="00BF5DBA"/>
    <w:rsid w:val="00C05FE0"/>
    <w:rsid w:val="00C2696B"/>
    <w:rsid w:val="00C51CA2"/>
    <w:rsid w:val="00C873FD"/>
    <w:rsid w:val="00CD40D0"/>
    <w:rsid w:val="00D63B67"/>
    <w:rsid w:val="00D66C09"/>
    <w:rsid w:val="00D939D0"/>
    <w:rsid w:val="00DA69E4"/>
    <w:rsid w:val="00DE1120"/>
    <w:rsid w:val="00DF7E21"/>
    <w:rsid w:val="00E12775"/>
    <w:rsid w:val="00E328CD"/>
    <w:rsid w:val="00E3769D"/>
    <w:rsid w:val="00E57604"/>
    <w:rsid w:val="00E606DD"/>
    <w:rsid w:val="00EF2BC0"/>
    <w:rsid w:val="00F1414E"/>
    <w:rsid w:val="00F81F64"/>
    <w:rsid w:val="00F8257F"/>
    <w:rsid w:val="00FA1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4BFA2"/>
  <w15:chartTrackingRefBased/>
  <w15:docId w15:val="{BDB00EEE-AEFB-4E6F-BB23-1C24C5975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775"/>
  </w:style>
  <w:style w:type="paragraph" w:styleId="Titre1">
    <w:name w:val="heading 1"/>
    <w:basedOn w:val="Normal"/>
    <w:next w:val="Normal"/>
    <w:link w:val="Titre1Car"/>
    <w:uiPriority w:val="9"/>
    <w:qFormat/>
    <w:rsid w:val="00CD40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BE3C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BE3C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BE3C6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E3C6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E3C68"/>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E3C68"/>
    <w:rPr>
      <w:i/>
      <w:iCs/>
    </w:rPr>
  </w:style>
  <w:style w:type="character" w:customStyle="1" w:styleId="Titre3Car">
    <w:name w:val="Titre 3 Car"/>
    <w:basedOn w:val="Policepardfaut"/>
    <w:link w:val="Titre3"/>
    <w:uiPriority w:val="9"/>
    <w:semiHidden/>
    <w:rsid w:val="00BE3C68"/>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BE3C68"/>
    <w:rPr>
      <w:rFonts w:asciiTheme="majorHAnsi" w:eastAsiaTheme="majorEastAsia" w:hAnsiTheme="majorHAnsi" w:cstheme="majorBidi"/>
      <w:i/>
      <w:iCs/>
      <w:color w:val="2F5496" w:themeColor="accent1" w:themeShade="BF"/>
    </w:rPr>
  </w:style>
  <w:style w:type="paragraph" w:customStyle="1" w:styleId="isselectedend">
    <w:name w:val="isselectedend"/>
    <w:basedOn w:val="Normal"/>
    <w:rsid w:val="006E779D"/>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6E779D"/>
    <w:rPr>
      <w:b/>
      <w:bCs/>
    </w:rPr>
  </w:style>
  <w:style w:type="table" w:styleId="Grilledutableau">
    <w:name w:val="Table Grid"/>
    <w:basedOn w:val="TableauNormal"/>
    <w:uiPriority w:val="39"/>
    <w:rsid w:val="00521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D40D0"/>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387007"/>
    <w:rPr>
      <w:color w:val="0563C1" w:themeColor="hyperlink"/>
      <w:u w:val="single"/>
    </w:rPr>
  </w:style>
  <w:style w:type="character" w:customStyle="1" w:styleId="UnresolvedMention1">
    <w:name w:val="Unresolved Mention1"/>
    <w:basedOn w:val="Policepardfaut"/>
    <w:uiPriority w:val="99"/>
    <w:semiHidden/>
    <w:unhideWhenUsed/>
    <w:rsid w:val="00387007"/>
    <w:rPr>
      <w:color w:val="605E5C"/>
      <w:shd w:val="clear" w:color="auto" w:fill="E1DFDD"/>
    </w:rPr>
  </w:style>
  <w:style w:type="paragraph" w:customStyle="1" w:styleId="pdq2pgselectionanchorcontainer">
    <w:name w:val="pdq2pg_selectionanchorcontainer"/>
    <w:basedOn w:val="Normal"/>
    <w:rsid w:val="008E1E99"/>
    <w:pPr>
      <w:spacing w:before="100" w:beforeAutospacing="1" w:after="100" w:afterAutospacing="1" w:line="240" w:lineRule="auto"/>
    </w:pPr>
    <w:rPr>
      <w:rFonts w:ascii="Times New Roman" w:eastAsia="Times New Roman" w:hAnsi="Times New Roman" w:cs="Times New Roman"/>
      <w:sz w:val="24"/>
      <w:szCs w:val="24"/>
    </w:rPr>
  </w:style>
  <w:style w:type="character" w:styleId="Mentionnonrsolue">
    <w:name w:val="Unresolved Mention"/>
    <w:basedOn w:val="Policepardfaut"/>
    <w:uiPriority w:val="99"/>
    <w:semiHidden/>
    <w:unhideWhenUsed/>
    <w:rsid w:val="009E6D8C"/>
    <w:rPr>
      <w:color w:val="605E5C"/>
      <w:shd w:val="clear" w:color="auto" w:fill="E1DFDD"/>
    </w:rPr>
  </w:style>
  <w:style w:type="paragraph" w:styleId="En-tte">
    <w:name w:val="header"/>
    <w:basedOn w:val="Normal"/>
    <w:link w:val="En-tteCar"/>
    <w:uiPriority w:val="99"/>
    <w:unhideWhenUsed/>
    <w:rsid w:val="008713BD"/>
    <w:pPr>
      <w:tabs>
        <w:tab w:val="center" w:pos="4513"/>
        <w:tab w:val="right" w:pos="9026"/>
      </w:tabs>
      <w:spacing w:after="0" w:line="240" w:lineRule="auto"/>
    </w:pPr>
  </w:style>
  <w:style w:type="character" w:customStyle="1" w:styleId="En-tteCar">
    <w:name w:val="En-tête Car"/>
    <w:basedOn w:val="Policepardfaut"/>
    <w:link w:val="En-tte"/>
    <w:uiPriority w:val="99"/>
    <w:rsid w:val="008713BD"/>
  </w:style>
  <w:style w:type="paragraph" w:styleId="Pieddepage">
    <w:name w:val="footer"/>
    <w:basedOn w:val="Normal"/>
    <w:link w:val="PieddepageCar"/>
    <w:uiPriority w:val="99"/>
    <w:unhideWhenUsed/>
    <w:rsid w:val="008713B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71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0123">
      <w:bodyDiv w:val="1"/>
      <w:marLeft w:val="0"/>
      <w:marRight w:val="0"/>
      <w:marTop w:val="0"/>
      <w:marBottom w:val="0"/>
      <w:divBdr>
        <w:top w:val="none" w:sz="0" w:space="0" w:color="auto"/>
        <w:left w:val="none" w:sz="0" w:space="0" w:color="auto"/>
        <w:bottom w:val="none" w:sz="0" w:space="0" w:color="auto"/>
        <w:right w:val="none" w:sz="0" w:space="0" w:color="auto"/>
      </w:divBdr>
    </w:div>
    <w:div w:id="191116860">
      <w:bodyDiv w:val="1"/>
      <w:marLeft w:val="0"/>
      <w:marRight w:val="0"/>
      <w:marTop w:val="0"/>
      <w:marBottom w:val="0"/>
      <w:divBdr>
        <w:top w:val="none" w:sz="0" w:space="0" w:color="auto"/>
        <w:left w:val="none" w:sz="0" w:space="0" w:color="auto"/>
        <w:bottom w:val="none" w:sz="0" w:space="0" w:color="auto"/>
        <w:right w:val="none" w:sz="0" w:space="0" w:color="auto"/>
      </w:divBdr>
    </w:div>
    <w:div w:id="191496517">
      <w:bodyDiv w:val="1"/>
      <w:marLeft w:val="0"/>
      <w:marRight w:val="0"/>
      <w:marTop w:val="0"/>
      <w:marBottom w:val="0"/>
      <w:divBdr>
        <w:top w:val="none" w:sz="0" w:space="0" w:color="auto"/>
        <w:left w:val="none" w:sz="0" w:space="0" w:color="auto"/>
        <w:bottom w:val="none" w:sz="0" w:space="0" w:color="auto"/>
        <w:right w:val="none" w:sz="0" w:space="0" w:color="auto"/>
      </w:divBdr>
    </w:div>
    <w:div w:id="257837231">
      <w:bodyDiv w:val="1"/>
      <w:marLeft w:val="0"/>
      <w:marRight w:val="0"/>
      <w:marTop w:val="0"/>
      <w:marBottom w:val="0"/>
      <w:divBdr>
        <w:top w:val="none" w:sz="0" w:space="0" w:color="auto"/>
        <w:left w:val="none" w:sz="0" w:space="0" w:color="auto"/>
        <w:bottom w:val="none" w:sz="0" w:space="0" w:color="auto"/>
        <w:right w:val="none" w:sz="0" w:space="0" w:color="auto"/>
      </w:divBdr>
    </w:div>
    <w:div w:id="356934145">
      <w:bodyDiv w:val="1"/>
      <w:marLeft w:val="0"/>
      <w:marRight w:val="0"/>
      <w:marTop w:val="0"/>
      <w:marBottom w:val="0"/>
      <w:divBdr>
        <w:top w:val="none" w:sz="0" w:space="0" w:color="auto"/>
        <w:left w:val="none" w:sz="0" w:space="0" w:color="auto"/>
        <w:bottom w:val="none" w:sz="0" w:space="0" w:color="auto"/>
        <w:right w:val="none" w:sz="0" w:space="0" w:color="auto"/>
      </w:divBdr>
    </w:div>
    <w:div w:id="416095220">
      <w:bodyDiv w:val="1"/>
      <w:marLeft w:val="0"/>
      <w:marRight w:val="0"/>
      <w:marTop w:val="0"/>
      <w:marBottom w:val="0"/>
      <w:divBdr>
        <w:top w:val="none" w:sz="0" w:space="0" w:color="auto"/>
        <w:left w:val="none" w:sz="0" w:space="0" w:color="auto"/>
        <w:bottom w:val="none" w:sz="0" w:space="0" w:color="auto"/>
        <w:right w:val="none" w:sz="0" w:space="0" w:color="auto"/>
      </w:divBdr>
    </w:div>
    <w:div w:id="508563687">
      <w:bodyDiv w:val="1"/>
      <w:marLeft w:val="0"/>
      <w:marRight w:val="0"/>
      <w:marTop w:val="0"/>
      <w:marBottom w:val="0"/>
      <w:divBdr>
        <w:top w:val="none" w:sz="0" w:space="0" w:color="auto"/>
        <w:left w:val="none" w:sz="0" w:space="0" w:color="auto"/>
        <w:bottom w:val="none" w:sz="0" w:space="0" w:color="auto"/>
        <w:right w:val="none" w:sz="0" w:space="0" w:color="auto"/>
      </w:divBdr>
    </w:div>
    <w:div w:id="539782564">
      <w:bodyDiv w:val="1"/>
      <w:marLeft w:val="0"/>
      <w:marRight w:val="0"/>
      <w:marTop w:val="0"/>
      <w:marBottom w:val="0"/>
      <w:divBdr>
        <w:top w:val="none" w:sz="0" w:space="0" w:color="auto"/>
        <w:left w:val="none" w:sz="0" w:space="0" w:color="auto"/>
        <w:bottom w:val="none" w:sz="0" w:space="0" w:color="auto"/>
        <w:right w:val="none" w:sz="0" w:space="0" w:color="auto"/>
      </w:divBdr>
    </w:div>
    <w:div w:id="704062785">
      <w:bodyDiv w:val="1"/>
      <w:marLeft w:val="0"/>
      <w:marRight w:val="0"/>
      <w:marTop w:val="0"/>
      <w:marBottom w:val="0"/>
      <w:divBdr>
        <w:top w:val="none" w:sz="0" w:space="0" w:color="auto"/>
        <w:left w:val="none" w:sz="0" w:space="0" w:color="auto"/>
        <w:bottom w:val="none" w:sz="0" w:space="0" w:color="auto"/>
        <w:right w:val="none" w:sz="0" w:space="0" w:color="auto"/>
      </w:divBdr>
    </w:div>
    <w:div w:id="766072759">
      <w:bodyDiv w:val="1"/>
      <w:marLeft w:val="0"/>
      <w:marRight w:val="0"/>
      <w:marTop w:val="0"/>
      <w:marBottom w:val="0"/>
      <w:divBdr>
        <w:top w:val="none" w:sz="0" w:space="0" w:color="auto"/>
        <w:left w:val="none" w:sz="0" w:space="0" w:color="auto"/>
        <w:bottom w:val="none" w:sz="0" w:space="0" w:color="auto"/>
        <w:right w:val="none" w:sz="0" w:space="0" w:color="auto"/>
      </w:divBdr>
    </w:div>
    <w:div w:id="861044056">
      <w:bodyDiv w:val="1"/>
      <w:marLeft w:val="0"/>
      <w:marRight w:val="0"/>
      <w:marTop w:val="0"/>
      <w:marBottom w:val="0"/>
      <w:divBdr>
        <w:top w:val="none" w:sz="0" w:space="0" w:color="auto"/>
        <w:left w:val="none" w:sz="0" w:space="0" w:color="auto"/>
        <w:bottom w:val="none" w:sz="0" w:space="0" w:color="auto"/>
        <w:right w:val="none" w:sz="0" w:space="0" w:color="auto"/>
      </w:divBdr>
    </w:div>
    <w:div w:id="1300309604">
      <w:bodyDiv w:val="1"/>
      <w:marLeft w:val="0"/>
      <w:marRight w:val="0"/>
      <w:marTop w:val="0"/>
      <w:marBottom w:val="0"/>
      <w:divBdr>
        <w:top w:val="none" w:sz="0" w:space="0" w:color="auto"/>
        <w:left w:val="none" w:sz="0" w:space="0" w:color="auto"/>
        <w:bottom w:val="none" w:sz="0" w:space="0" w:color="auto"/>
        <w:right w:val="none" w:sz="0" w:space="0" w:color="auto"/>
      </w:divBdr>
    </w:div>
    <w:div w:id="1578326769">
      <w:bodyDiv w:val="1"/>
      <w:marLeft w:val="0"/>
      <w:marRight w:val="0"/>
      <w:marTop w:val="0"/>
      <w:marBottom w:val="0"/>
      <w:divBdr>
        <w:top w:val="none" w:sz="0" w:space="0" w:color="auto"/>
        <w:left w:val="none" w:sz="0" w:space="0" w:color="auto"/>
        <w:bottom w:val="none" w:sz="0" w:space="0" w:color="auto"/>
        <w:right w:val="none" w:sz="0" w:space="0" w:color="auto"/>
      </w:divBdr>
    </w:div>
    <w:div w:id="1614092777">
      <w:bodyDiv w:val="1"/>
      <w:marLeft w:val="0"/>
      <w:marRight w:val="0"/>
      <w:marTop w:val="0"/>
      <w:marBottom w:val="0"/>
      <w:divBdr>
        <w:top w:val="none" w:sz="0" w:space="0" w:color="auto"/>
        <w:left w:val="none" w:sz="0" w:space="0" w:color="auto"/>
        <w:bottom w:val="none" w:sz="0" w:space="0" w:color="auto"/>
        <w:right w:val="none" w:sz="0" w:space="0" w:color="auto"/>
      </w:divBdr>
    </w:div>
    <w:div w:id="1774473713">
      <w:bodyDiv w:val="1"/>
      <w:marLeft w:val="0"/>
      <w:marRight w:val="0"/>
      <w:marTop w:val="0"/>
      <w:marBottom w:val="0"/>
      <w:divBdr>
        <w:top w:val="none" w:sz="0" w:space="0" w:color="auto"/>
        <w:left w:val="none" w:sz="0" w:space="0" w:color="auto"/>
        <w:bottom w:val="none" w:sz="0" w:space="0" w:color="auto"/>
        <w:right w:val="none" w:sz="0" w:space="0" w:color="auto"/>
      </w:divBdr>
    </w:div>
    <w:div w:id="1799686702">
      <w:bodyDiv w:val="1"/>
      <w:marLeft w:val="0"/>
      <w:marRight w:val="0"/>
      <w:marTop w:val="0"/>
      <w:marBottom w:val="0"/>
      <w:divBdr>
        <w:top w:val="none" w:sz="0" w:space="0" w:color="auto"/>
        <w:left w:val="none" w:sz="0" w:space="0" w:color="auto"/>
        <w:bottom w:val="none" w:sz="0" w:space="0" w:color="auto"/>
        <w:right w:val="none" w:sz="0" w:space="0" w:color="auto"/>
      </w:divBdr>
    </w:div>
    <w:div w:id="1800687521">
      <w:bodyDiv w:val="1"/>
      <w:marLeft w:val="0"/>
      <w:marRight w:val="0"/>
      <w:marTop w:val="0"/>
      <w:marBottom w:val="0"/>
      <w:divBdr>
        <w:top w:val="none" w:sz="0" w:space="0" w:color="auto"/>
        <w:left w:val="none" w:sz="0" w:space="0" w:color="auto"/>
        <w:bottom w:val="none" w:sz="0" w:space="0" w:color="auto"/>
        <w:right w:val="none" w:sz="0" w:space="0" w:color="auto"/>
      </w:divBdr>
    </w:div>
    <w:div w:id="19711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003-3472(73)80065-X" TargetMode="External"/><Relationship Id="rId18" Type="http://schemas.openxmlformats.org/officeDocument/2006/relationships/hyperlink" Target="https://doi.org/10.3390/ijms23105805" TargetMode="External"/><Relationship Id="rId26" Type="http://schemas.openxmlformats.org/officeDocument/2006/relationships/hyperlink" Target="https://doi.org/10.3390/pharmaceutics15030749" TargetMode="External"/><Relationship Id="rId21" Type="http://schemas.openxmlformats.org/officeDocument/2006/relationships/hyperlink" Target="https://doi.org/10.1055/a-2076-7939" TargetMode="External"/><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oi.org/10.1021/acschemneuro.2c00589" TargetMode="External"/><Relationship Id="rId17" Type="http://schemas.openxmlformats.org/officeDocument/2006/relationships/hyperlink" Target="https://doi.org/10.3390/ijms242015340" TargetMode="External"/><Relationship Id="rId25" Type="http://schemas.openxmlformats.org/officeDocument/2006/relationships/hyperlink" Target="https://doi.org/10.1080/09603123.2024.2395446"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07/978-3-031-12390-0_2" TargetMode="External"/><Relationship Id="rId20" Type="http://schemas.openxmlformats.org/officeDocument/2006/relationships/hyperlink" Target="https://doi.org/10.1016/j.neubiorev.2024.105703" TargetMode="External"/><Relationship Id="rId29" Type="http://schemas.openxmlformats.org/officeDocument/2006/relationships/hyperlink" Target="https://doi.org/10.3390/ph170607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Downloads/ChatGPT%20Image%20Jul%205,%202026,%2003_44_02%20PM.png" TargetMode="External"/><Relationship Id="rId24" Type="http://schemas.openxmlformats.org/officeDocument/2006/relationships/hyperlink" Target="https://doi.org/10.1016/j.neubiorev.2024.105841"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390/antiox12020280" TargetMode="External"/><Relationship Id="rId23" Type="http://schemas.openxmlformats.org/officeDocument/2006/relationships/hyperlink" Target="https://doi.org/10.1017/jns.2016.41" TargetMode="External"/><Relationship Id="rId28" Type="http://schemas.openxmlformats.org/officeDocument/2006/relationships/hyperlink" Target="https://doi.org/10.1002/ddr.22038" TargetMode="External"/><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doi.org/10.1016/bs.apha.2023.10.006"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80/10942912.2023.2205039" TargetMode="External"/><Relationship Id="rId22" Type="http://schemas.openxmlformats.org/officeDocument/2006/relationships/hyperlink" Target="https://doi.org/10.3389/fphar.2021.647887" TargetMode="External"/><Relationship Id="rId27" Type="http://schemas.openxmlformats.org/officeDocument/2006/relationships/hyperlink" Target="https://doi.org/10.3934/agrfood.2024022" TargetMode="External"/><Relationship Id="rId30" Type="http://schemas.openxmlformats.org/officeDocument/2006/relationships/hyperlink" Target="https://doi.org/10.1016/j.prmcm.2023.100325" TargetMode="External"/><Relationship Id="rId35" Type="http://schemas.openxmlformats.org/officeDocument/2006/relationships/header" Target="header3.xml"/><Relationship Id="rId8" Type="http://schemas.openxmlformats.org/officeDocument/2006/relationships/image" Target="../../../Downloads/ChatGPT%20Image%20Jul%205,%202026,%2003_25_34%20PM.p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1298</TotalTime>
  <Pages>15</Pages>
  <Words>5771</Words>
  <Characters>31742</Characters>
  <Application>Microsoft Office Word</Application>
  <DocSecurity>0</DocSecurity>
  <Lines>264</Lines>
  <Paragraphs>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 Nandyala</dc:creator>
  <cp:keywords/>
  <dc:description/>
  <cp:lastModifiedBy>Marsi Mbayo Kitambala</cp:lastModifiedBy>
  <cp:revision>36</cp:revision>
  <dcterms:created xsi:type="dcterms:W3CDTF">2026-07-19T04:16:00Z</dcterms:created>
  <dcterms:modified xsi:type="dcterms:W3CDTF">2026-07-26T17:18:00Z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88c5453c-50b1-40f5-a7e5-b9a7f945304c</vt:lpwstr>
  </property>
</Properties>
</file>