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E87CB">
      <w:pPr>
        <w:spacing w:line="360" w:lineRule="auto"/>
        <w:rPr>
          <w:rFonts w:ascii="Times New Roman" w:hAnsi="Times New Roman" w:cs="Times New Roman"/>
          <w:sz w:val="24"/>
          <w:szCs w:val="24"/>
          <w:u w:val="single"/>
        </w:rPr>
      </w:pPr>
      <w:r>
        <w:rPr>
          <w:rFonts w:ascii="Times New Roman" w:hAnsi="Times New Roman" w:cs="Times New Roman"/>
          <w:sz w:val="24"/>
          <w:szCs w:val="24"/>
          <w:u w:val="single"/>
        </w:rPr>
        <w:t>Original Research Article</w:t>
      </w:r>
    </w:p>
    <w:p w14:paraId="3FCD4BF0">
      <w:pPr>
        <w:spacing w:line="360" w:lineRule="auto"/>
        <w:jc w:val="center"/>
        <w:rPr>
          <w:rFonts w:ascii="Times New Roman" w:hAnsi="Times New Roman" w:cs="Times New Roman"/>
          <w:sz w:val="24"/>
          <w:szCs w:val="24"/>
        </w:rPr>
      </w:pPr>
      <w:r>
        <w:rPr>
          <w:rFonts w:ascii="Times New Roman" w:hAnsi="Times New Roman" w:cs="Times New Roman"/>
          <w:sz w:val="24"/>
          <w:szCs w:val="24"/>
        </w:rPr>
        <w:t>DIVERSITY OF SNAKES IN MANIPUR UNIVERSITY CAMPUS, CANCHIPUR, IMPHAL, MANIPUR</w:t>
      </w:r>
    </w:p>
    <w:p w14:paraId="5196F16B">
      <w:pPr>
        <w:spacing w:line="276" w:lineRule="auto"/>
        <w:jc w:val="center"/>
        <w:rPr>
          <w:rFonts w:ascii="Times New Roman" w:hAnsi="Times New Roman" w:cs="Times New Roman"/>
          <w:sz w:val="20"/>
          <w:szCs w:val="20"/>
        </w:rPr>
      </w:pPr>
    </w:p>
    <w:p w14:paraId="66D7E843">
      <w:pPr>
        <w:spacing w:line="276" w:lineRule="auto"/>
        <w:jc w:val="center"/>
        <w:rPr>
          <w:rFonts w:ascii="Times New Roman" w:hAnsi="Times New Roman" w:cs="Times New Roman"/>
          <w:sz w:val="20"/>
          <w:szCs w:val="20"/>
        </w:rPr>
      </w:pPr>
    </w:p>
    <w:p w14:paraId="6BECFCE4">
      <w:pPr>
        <w:spacing w:line="276" w:lineRule="auto"/>
        <w:jc w:val="center"/>
        <w:rPr>
          <w:rFonts w:ascii="Times New Roman" w:hAnsi="Times New Roman" w:cs="Times New Roman"/>
          <w:sz w:val="20"/>
          <w:szCs w:val="20"/>
        </w:rPr>
      </w:pPr>
    </w:p>
    <w:p w14:paraId="3466E193">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40C1D520">
      <w:pPr>
        <w:spacing w:line="360" w:lineRule="auto"/>
        <w:rPr>
          <w:rFonts w:ascii="Times New Roman" w:hAnsi="Times New Roman" w:cs="Times New Roman"/>
          <w:sz w:val="24"/>
          <w:szCs w:val="24"/>
        </w:rPr>
      </w:pPr>
      <w:commentRangeStart w:id="0"/>
      <w:r>
        <w:rPr>
          <w:rFonts w:ascii="Times New Roman" w:hAnsi="Times New Roman" w:cs="Times New Roman"/>
          <w:b/>
          <w:bCs/>
          <w:sz w:val="24"/>
          <w:szCs w:val="24"/>
        </w:rPr>
        <w:t>AIM</w:t>
      </w:r>
      <w:commentRangeEnd w:id="0"/>
      <w:r>
        <w:commentReference w:id="0"/>
      </w:r>
      <w:r>
        <w:rPr>
          <w:rFonts w:ascii="Times New Roman" w:hAnsi="Times New Roman" w:cs="Times New Roman"/>
          <w:sz w:val="24"/>
          <w:szCs w:val="24"/>
        </w:rPr>
        <w:t>: To prepare a checklist of snake species found in the Manipur University Campus, Canchipur, Manipur, India.</w:t>
      </w:r>
    </w:p>
    <w:p w14:paraId="52B4F534">
      <w:pPr>
        <w:spacing w:line="360" w:lineRule="auto"/>
        <w:rPr>
          <w:rFonts w:ascii="Times New Roman" w:hAnsi="Times New Roman" w:cs="Times New Roman"/>
          <w:sz w:val="24"/>
          <w:szCs w:val="24"/>
        </w:rPr>
      </w:pPr>
      <w:r>
        <w:rPr>
          <w:rFonts w:ascii="Times New Roman" w:hAnsi="Times New Roman" w:cs="Times New Roman"/>
          <w:b/>
          <w:bCs/>
          <w:sz w:val="24"/>
          <w:szCs w:val="24"/>
        </w:rPr>
        <w:t>Study Design</w:t>
      </w:r>
      <w:r>
        <w:rPr>
          <w:rFonts w:ascii="Times New Roman" w:hAnsi="Times New Roman" w:cs="Times New Roman"/>
          <w:sz w:val="24"/>
          <w:szCs w:val="24"/>
        </w:rPr>
        <w:t>:</w:t>
      </w:r>
      <w:r>
        <w:commentReference w:id="1"/>
      </w:r>
    </w:p>
    <w:p w14:paraId="70BC6959">
      <w:pPr>
        <w:spacing w:line="360" w:lineRule="auto"/>
        <w:rPr>
          <w:rFonts w:ascii="Times New Roman" w:hAnsi="Times New Roman" w:cs="Times New Roman"/>
          <w:sz w:val="24"/>
          <w:szCs w:val="24"/>
        </w:rPr>
      </w:pPr>
      <w:r>
        <w:rPr>
          <w:rFonts w:ascii="Times New Roman" w:hAnsi="Times New Roman" w:cs="Times New Roman"/>
          <w:b/>
          <w:bCs/>
          <w:sz w:val="24"/>
          <w:szCs w:val="24"/>
        </w:rPr>
        <w:t>Place &amp; Duration of Study:</w:t>
      </w:r>
      <w:r>
        <w:rPr>
          <w:rFonts w:ascii="Times New Roman" w:hAnsi="Times New Roman" w:cs="Times New Roman"/>
          <w:sz w:val="24"/>
          <w:szCs w:val="24"/>
        </w:rPr>
        <w:t xml:space="preserve"> Manipur University Campus, Canchipur, Manipur, India, and two years.</w:t>
      </w:r>
    </w:p>
    <w:p w14:paraId="574A2EDB">
      <w:pPr>
        <w:spacing w:line="360" w:lineRule="auto"/>
        <w:jc w:val="both"/>
        <w:rPr>
          <w:rFonts w:ascii="Times New Roman" w:hAnsi="Times New Roman" w:cs="Times New Roman"/>
          <w:sz w:val="24"/>
          <w:szCs w:val="24"/>
        </w:rPr>
      </w:pPr>
      <w:r>
        <w:rPr>
          <w:rFonts w:ascii="Times New Roman" w:hAnsi="Times New Roman" w:cs="Times New Roman"/>
          <w:b/>
          <w:bCs/>
          <w:sz w:val="24"/>
          <w:szCs w:val="24"/>
        </w:rPr>
        <w:t>Methodology:</w:t>
      </w:r>
      <w:r>
        <w:rPr>
          <w:rFonts w:ascii="Times New Roman" w:hAnsi="Times New Roman" w:cs="Times New Roman"/>
          <w:sz w:val="24"/>
          <w:szCs w:val="24"/>
        </w:rPr>
        <w:t xml:space="preserve"> 55 snake specimens were collected from campus through survey and rescue calls. Collected specimens were photographed, and morphometric and meristic data were collected. Snake identification was based solely on morphology, using available literature. </w:t>
      </w:r>
    </w:p>
    <w:p w14:paraId="1948160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Result:</w:t>
      </w:r>
      <w:r>
        <w:rPr>
          <w:rFonts w:ascii="Times New Roman" w:hAnsi="Times New Roman" w:cs="Times New Roman"/>
          <w:sz w:val="24"/>
          <w:szCs w:val="24"/>
        </w:rPr>
        <w:t xml:space="preserve"> Eight species belonging to three families of snakes were morphologically identified from the collected 55 specimens. Among them, six species were from the family Colubridae, and one each from the families Typhlopidae and Elapidae. Six species were non-venomous, and two were venomous, whereas only one species was both venomous and poisonous. One species was listed as Near Threatened on the IUCN Red List, six as Least Concern, and one hasn’t been assessed yet. Two species were listed in Schedule I of the Wildlife (Protection) Amendment Act, 2002, and the remaining six were listed in Schedule II. </w:t>
      </w:r>
    </w:p>
    <w:p w14:paraId="4D972EC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Conclusion:</w:t>
      </w:r>
      <w:r>
        <w:rPr>
          <w:rFonts w:ascii="Times New Roman" w:hAnsi="Times New Roman" w:cs="Times New Roman"/>
          <w:sz w:val="24"/>
          <w:szCs w:val="24"/>
        </w:rPr>
        <w:t xml:space="preserve"> The snake diversity of MU Campus is relatively lower than that of MZU, GU, TUC, etc. Despite the large number of venomous snakes on campus, human-snake conflict has been minimal to date. The campus also encourages snake conservation through cultural and religious practices. </w:t>
      </w:r>
    </w:p>
    <w:p w14:paraId="1B79E7B5">
      <w:p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Keyword: </w:t>
      </w:r>
      <w:r>
        <w:rPr>
          <w:rFonts w:ascii="Times New Roman" w:hAnsi="Times New Roman" w:cs="Times New Roman"/>
          <w:sz w:val="24"/>
          <w:szCs w:val="24"/>
        </w:rPr>
        <w:t>Snake diversity, Manipur University, Conservation</w:t>
      </w:r>
      <w:r>
        <w:commentReference w:id="2"/>
      </w:r>
    </w:p>
    <w:p w14:paraId="4C6E7720">
      <w:pPr>
        <w:spacing w:line="360" w:lineRule="auto"/>
        <w:rPr>
          <w:rFonts w:ascii="Times New Roman" w:hAnsi="Times New Roman" w:cs="Times New Roman"/>
          <w:b/>
          <w:bCs/>
          <w:sz w:val="24"/>
          <w:szCs w:val="24"/>
        </w:rPr>
      </w:pPr>
    </w:p>
    <w:p w14:paraId="4A7EC2E7">
      <w:pPr>
        <w:spacing w:line="360" w:lineRule="auto"/>
        <w:rPr>
          <w:rFonts w:ascii="Times New Roman" w:hAnsi="Times New Roman" w:cs="Times New Roman"/>
          <w:b/>
          <w:bCs/>
          <w:sz w:val="24"/>
          <w:szCs w:val="24"/>
        </w:rPr>
      </w:pPr>
    </w:p>
    <w:p w14:paraId="0EF66EF8">
      <w:pPr>
        <w:spacing w:line="360" w:lineRule="auto"/>
        <w:rPr>
          <w:rFonts w:ascii="Times New Roman" w:hAnsi="Times New Roman" w:cs="Times New Roman"/>
          <w:b/>
          <w:bCs/>
          <w:sz w:val="24"/>
          <w:szCs w:val="24"/>
        </w:rPr>
      </w:pPr>
      <w:r>
        <w:rPr>
          <w:rFonts w:ascii="Times New Roman" w:hAnsi="Times New Roman" w:cs="Times New Roman"/>
          <w:b/>
          <w:bCs/>
          <w:sz w:val="24"/>
          <w:szCs w:val="24"/>
        </w:rPr>
        <w:t>Introduction:</w:t>
      </w:r>
    </w:p>
    <w:p w14:paraId="4D710C1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Manipur is a state in northeastern India located on the country's eastern border. It is located at latitudes ranging from 23.83°N to 25.68°N and longitudes from 93.03°E to 94.78°E. The state is bordered by Myanmar, Nagaland, Assam and Mizoram. The altitude varies from about 40 meters at Jiribam to 2,994 meters at Mount Tempü near the Nagaland border. The region's landscape is defined by a central valley encircled by hills and mountains. It’s mix of hills, valleys, lakes and varied elevation also makes it one of the most ecologically diverse states in India spanning through approximately 22,327 square kilometres.</w:t>
      </w:r>
    </w:p>
    <w:p w14:paraId="4C87F48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Snakes belong to the Order Squamata of Class Reptilia. They are cold-blooded, limbless and have an elongated body covered by scales. They are devoid of external ear openings, although they can detect low-frequency sounds ranging from 200 to 500 Hz. The eye of a snake doesn’t have a movable eyelid, which is one of the important identifying characteristics of snakes, and most snakes are nearsighted, except for some groups, such as rat snakes and king cobras, which have good vision. The long and bifurcated tongue serves as one of the important sense organs for navigation as well as predation.  These animals are nocturnal, diurnal and crepuscular. They are both oviparous and ovoviviparous. Different species of this group can live in different habitats. Some are terrestrial or aquatic, while others are fossorial or arboreal. They can be broadly categorised into venomous and non-venomous snakes. It can also be noted that snakes act as predator and help control rodent populations, which otherwise may cause havoc in agricultural fields (Smith, 1943; Whitaker &amp; Captain, 2004). Snakes are among the most widely distributed animals in the world, found everywhere except Antarctica, Ireland, Iceland, Greenland and the islands of New Zealand and the smaller islands of the Atlantic and central Pacific oceans. As of January 2026, there are 4229 described snake species worldwide (Uetz et al., 2026). India represents 360 snake species belonging to 16 families (Mohapatra et al., 2025). While the northeastern states of India have 126 species of 12 families of snakes (Basfore et al., 2024). Basfore et al. (2024) summarized the number of snake species found in the northeastern states of India from published literature, where 29 species were reported from Manipur. </w:t>
      </w:r>
    </w:p>
    <w:p w14:paraId="10A86EB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Systematic studies on snakes in Manipur have been scarce, despite the diverse ecosystems and potential habitats for many snake species. Past studies on snakes in the state have focused solely on documenting the species present, without providing a checklist of the snakes in the state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{"citationID":"rZCOl7aV","properties":{"formattedCitation":"(Acharji &amp; Kripalani, 1951; P. Elangbam et al., 2022; P. S. Elangbam et al., 2023, 2024; Mathew, 2005; Sinate et al., 2021, 2022; Singh et al., 2025)","plainCitation":"(Acharji &amp; Kripalani, 1951; P. Elangbam et al., 2022; P. S. Elangbam et al., 2023, 2024; Mathew, 2005; Sinate et al., 2021, 2022; Singh et al., 2025)","noteIndex":0},"citationItems":[{"id":48,"uris":["http://zotero.org/users/12211509/items/RLRFUAND"],"itemData":{"id":48,"type":"article-journal","container-title":"Records of the Zoological Survey of India","ISSN":"2581-8686","issue":"2","journalAbbreviation":"Records of the Zoological Survey of India","page":"93-100","title":"Contributions to the Fauna of the Manipur State, Assam. IV. Reptilia","volume":"48","author":[{"family":"Acharji","given":"MN"},{"family":"Kripalani","given":"MB"}],"issued":{"date-parts":[["1951"]]}}},{"id":6,"uris":["http://zotero.org/users/12211509/items/UACCFQDG"],"itemData":{"id":6,"type":"article-journal","abstract":"First confirmation on the occurence of Lycodon jara from Manipur, India","container-title":"Herpetological Review","journalAbbreviation":"Herpetological Review","page":"631-632","source":"ResearchGate","title":"L.jara-Manipur","volume":"53","author":[{"family":"Elangbam","given":"Premjit"},{"family":"Decemson","given":"Ht"},{"family":"Biakzuala","given":"Lal"},{"family":"Lalremsanga","given":"H.T."}],"issued":{"date-parts":[["2022"]]}}},{"id":46,"uris":["http://zotero.org/users/12211509/items/4RMCYPFX"],"itemData":{"id":46,"type":"article-journal","abstract":"In spite of the potential richness in biodiversity, Manipur is still one of the least explored areas in northeastern India. In this work, we report on our finding of four pit viper species, namely, Trimeresurus mayaae, T. salazar, T. erythrurus, and Protobothrops jerdonii in Manipur during our herpetological surveys in 2022. We affirm the identity of these specimens based on the combination of standard morphological characters and mitochondrial cytochrome b gene. Our study not only reports four new records of pit vipers for the first time in Manipur, but also extends their respective known geographical ranges. This information calls for further dissemination especially to health care sector, as it is on venomous snakes that could be of medical importance as regards human snakebites.","container-title":"Journal of Threatened Taxa","DOI":"10.11609/jott.8486.15.6.23315-23326","ISSN":"0974-7907","issue":"6","language":"en","license":"Copyright (c) 2023 Premjit Singh Elangbam, Lal Biakzuala, Parag Shinde, Ht. Decemson, Mathipi Vabeiryureilai, Hmar Tlawmte Lalremsanga","note":"number: 6","page":"23315-23326","source":"threatenedtaxa.org","title":"Addition of four new records of pit vipers (Squamata: Crotalinae) to Manipur, India","title-short":"Addition of four new records of pit vipers (Squamata","volume":"15","author":[{"family":"Elangbam","given":"Premjit Singh"},{"family":"Biakzuala","given":"Lal"},{"family":"Shinde","given":"Parag"},{"family":"Decemson","given":"Ht"},{"family":"Vabeiryureilai","given":"Mathipi"},{"family":"Lalremsanga","given":"Hmar Tlawmte"}],"issued":{"date-parts":[["2023",6,27]]}}},{"id":3,"uris":["http://zotero.org/users/12211509/items/FSL9YYQ3"],"itemData":{"id":3,"type":"article-journal","container-title":"Reptiles &amp; Amphibians","DOI":"10.17161/randa.v31i1.21508","ISSN":"2332-4961","issue":"1","language":"en","license":"Copyright (c) 2024 Premjit Singh Elangbam; Hemeshwor Nongthombam,  N. Mohilal Meitei","note":"number: 1","page":"e21508-e21508","source":"journals.ku.edu","title":"First record of the Green Catsnake, Boiga cyanea Duméril, Bibron, and Duméril 1854 (Squamata: Colubridae), from Manipur, India","title-short":"First record of the Green Catsnake, Boiga cyanea Duméril, Bibron, and Duméril 1854 (Squamata","volume":"31","author":[{"family":"Elangbam","given":"Premjit Singh"},{"family":"Singh","given":"Nongthombam Hemeshwor"},{"family":"Naorem","given":"Mohilal Meitei"}],"issued":{"date-parts":[["2024",8,14]]}}},{"id":4,"uris":["http://zotero.org/users/12211509/items/SGXPA47P"],"itemData":{"id":4,"type":"article-journal","container-title":"Fauna of Manipur, State Fauna Series 10 (Part 1)","journalAbbreviation":"Fauna of Manipur, State Fauna Series 10 (Part 1)","page":"119-122","title":"Reptilia: Squamata","author":[{"family":"Mathew","given":"R"}],"issued":{"date-parts":[["2005"]]}}},{"id":41,"uris":["http://zotero.org/users/12211509/items/UL4AA48S"],"itemData":{"id":41,"type":"article-journal","abstract":"First record of Bungarus niger (Greater Black Krait) from Manipur, India.","container-title":"Herpetological Review","journalAbbreviation":"Herpetological Review","page":"797","source":"ResearchGate","title":"Bungarus niger (Greater Black Krait). India. Manipur. Geographic Distribution.","volume":"52","author":[{"family":"Sinate","given":"Ronald"},{"family":"Decemson","given":"Ht"},{"family":"Biakzuala","given":"Lal"},{"family":"Lalremsanga","given":"H.T."}],"issued":{"date-parts":[["2021",12,29]]}}},{"id":43,"uris":["http://zotero.org/users/12211509/items/V7D6NZNR"],"itemData":{"id":43,"type":"article-journal","abstract":"This note present the first record of Boiga quincunciata (Reptilia: Squamata: Colubridae) from the state of Manipur, Northeast India.","container-title":"Herpetological Review","journalAbbreviation":"Herpetological Review","page":"78-79","source":"ResearchGate","title":"Geographic Distribution Notes. Boiga quincunciata.","volume":"53","author":[{"family":"Sinate","given":"Ronald"},{"family":"Biakzuala","given":"Lal"},{"family":"Lalremsanga","given":"H.T."},{"family":"Decemson","given":"Ht"}],"issued":{"date-parts":[["2022",3,31]]}}},{"id":110,"uris":["http://zotero.org/users/12211509/items/5STNXFCU"],"itemData":{"id":110,"type":"article-journal","container-title":"Reptiles &amp; Amphibians","DOI":"10.17161/randa.v32i1.22517","ISSN":"2332-4961","issue":"1","language":"en","license":"Copyright (c) 2025 Elangbam Premjit Singh, Ht. Decemson, H.T. Lalremsanga, Khoyumthem Brajesh, Ayekpam Lanngamba Meitei, Jayaditya Purkayastha","page":"e22517-e22517","source":"journals.ku.edu","title":"Taxonomic notes on the Bella Ratsnake, Archelaphe bella (Stanley 1917) (Reptilia: Colubridae), and the first record of the species from Manipur, India","title-short":"Taxonomic notes on the Bella Ratsnake, Archelaphe bella (Stanley 1917) (Reptilia","volume":"32","author":[{"family":"Singh","given":"Elangbam Premjit"},{"family":"Decemson","given":"Ht"},{"family":"Lalremsanga","given":"H. T."},{"family":"Brajesh","given":"Khoyumthem"},{"family":"Meitei","given":"Ayekpam Lanngamba"},{"family":"Purkayastha","given":"Jayaditya"}],"issued":{"date-parts":[["2025",3,28]]}}}],"schema":"https://github.com/citation-style-language/schema/raw/master/csl-citation.json"}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(Acharji &amp; Kripalani, 1951;  Elangbam P. et al., 2022; Elangbam P. S. et al., 2023, 2024; Mathew, 2005; Sinate et al., 2021, 2022; Singh et al., 2025)</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7BB8C3F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present study aims to prepare a preliminary checklist of snake diversity present in the Manipur University Campus. Being a historically important place, the campus encourages conservation of wildlife through belief and culture. </w:t>
      </w:r>
      <w:commentRangeStart w:id="3"/>
      <w:r>
        <w:rPr>
          <w:rFonts w:ascii="Times New Roman" w:hAnsi="Times New Roman" w:cs="Times New Roman"/>
          <w:sz w:val="24"/>
          <w:szCs w:val="24"/>
        </w:rPr>
        <w:t>History records show that the present University campus has been Known as Langthabal and it is at this place that the royal palace existed at one time. The palace established in 1827 by Maharaja Gambhir Singh after liberation of Manipur from Burmese occupation, Langthabal (Canchipur) serves as the royal capital until 1844. It is a taboo to kill snakes at this area since the olden days. But with opening of the Manipur University Campus since the early 1980’s the place has undergone in several aspects thereby destroying the snake habitats.</w:t>
      </w:r>
      <w:commentRangeEnd w:id="3"/>
      <w:r>
        <w:commentReference w:id="3"/>
      </w:r>
      <w:r>
        <w:rPr>
          <w:rFonts w:ascii="Times New Roman" w:hAnsi="Times New Roman" w:cs="Times New Roman"/>
          <w:sz w:val="24"/>
          <w:szCs w:val="24"/>
        </w:rPr>
        <w:t xml:space="preserve"> The documentation of various species of snakes that occur on the campus will enhance human-snake conflict mitigation as well as their conservation efforts.</w:t>
      </w:r>
    </w:p>
    <w:p w14:paraId="016E595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Study area:</w:t>
      </w:r>
    </w:p>
    <w:p w14:paraId="01BD69EF">
      <w:pPr>
        <w:spacing w:line="360" w:lineRule="auto"/>
        <w:ind w:firstLine="720"/>
        <w:jc w:val="both"/>
        <w:rPr>
          <w:rFonts w:ascii="Times New Roman" w:hAnsi="Times New Roman" w:cs="Times New Roman"/>
          <w:b/>
          <w:bCs/>
          <w:sz w:val="24"/>
          <w:szCs w:val="24"/>
        </w:rPr>
      </w:pPr>
      <w:commentRangeStart w:id="4"/>
      <w:r>
        <w:rPr>
          <w:rFonts w:ascii="Times New Roman" w:hAnsi="Times New Roman" w:cs="Times New Roman"/>
          <w:sz w:val="24"/>
          <w:szCs w:val="24"/>
        </w:rPr>
        <w:t>The Manipur University Campus (MU Campus) spans across</w:t>
      </w:r>
      <w:r>
        <w:rPr>
          <w:rFonts w:hint="default" w:ascii="Times New Roman" w:hAnsi="Times New Roman" w:cs="Times New Roman"/>
          <w:sz w:val="24"/>
          <w:szCs w:val="24"/>
          <w:lang w:val="en-US"/>
        </w:rPr>
        <w:t xml:space="preserve"> </w:t>
      </w:r>
      <w:r>
        <w:rPr>
          <w:rFonts w:ascii="Times New Roman" w:hAnsi="Times New Roman" w:cs="Times New Roman"/>
          <w:sz w:val="24"/>
          <w:szCs w:val="24"/>
        </w:rPr>
        <w:t>287 acres</w:t>
      </w:r>
      <w:r>
        <w:commentReference w:id="5"/>
      </w:r>
      <w:r>
        <w:rPr>
          <w:rFonts w:ascii="Times New Roman" w:hAnsi="Times New Roman" w:cs="Times New Roman"/>
          <w:sz w:val="24"/>
          <w:szCs w:val="24"/>
        </w:rPr>
        <w:t>. The campus is located around 8 km from Imphal, the Capital city of Manipur, along the National Highway 102, also known as Imphal -Moreh Road. Apart from infrastructure such as departmental buildings, administrative buildings, quarters, hostels and other buildings, the campus has unused landscapes and various water bodies</w:t>
      </w:r>
      <w:commentRangeEnd w:id="4"/>
      <w:r>
        <w:commentReference w:id="4"/>
      </w:r>
      <w:r>
        <w:rPr>
          <w:rFonts w:ascii="Times New Roman" w:hAnsi="Times New Roman" w:cs="Times New Roman"/>
          <w:sz w:val="24"/>
          <w:szCs w:val="24"/>
        </w:rPr>
        <w:t>.</w:t>
      </w:r>
    </w:p>
    <w:p w14:paraId="04504B48">
      <w:pPr>
        <w:spacing w:line="36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Material &amp; Methods:</w:t>
      </w:r>
    </w:p>
    <w:p w14:paraId="5B16B49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 study was conducted from January 2023 to January 2025 to assess snake diversity of the Manipur University Campus. Visual encounter Survey (Crump &amp; Scott Jr., 1994) was employed for searching for snakes during day and night. Random searches at the potential habitats of the snakes by flipping rocks, wood logs, leaf litter and walking along edges of water bodies and paths were employed. Opportunistic collection of snakes from the residential areas as well as departmental buildings through rescue calls were also incorporated during the study. Dead snakes found inside the campus were also accounted in the study. The collected snakes were subjected to measurement, scalation and photography. Key meristic and morphometric characters were recorded from collected specimens. The collected dead specimens were washed thoroughly in the tap water, then fixed in 10% for 24 to 48 hours, depending on the size of the specimen, which were later transferred in to 70% ethanol. The preserved specimens were submitted to the Museum of Parasitology and Biodiversity laboratory, Department of Zoology, for future reference. The live specimens, which include both rescued and encountered, were released after photography and documentation of diagnostic characters. The measurement of Snout Vent Length (SVL) and Tail Length (TL) were conducted using a standard measuring tape to the nearest 0.1mm. Dowling (1951) was followed in recording the scalation data of the specimens, with the terminal scute excluded from the subcaudal scale count. The specimens were identified based on their morphological characters using relevant literature (Smith, 1943; Daniel, 2002; Whitaker &amp; Captain, 2004).</w:t>
      </w:r>
    </w:p>
    <w:p w14:paraId="6C65E3E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Result: </w:t>
      </w:r>
    </w:p>
    <w:p w14:paraId="22193412">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55 snake specimens, both dead and live, were collected from the Manipur University Campus during the study and identified as eight species belonging to three families. The identified species were </w:t>
      </w:r>
      <w:r>
        <w:rPr>
          <w:rFonts w:ascii="Times New Roman" w:hAnsi="Times New Roman" w:cs="Times New Roman"/>
          <w:i/>
          <w:iCs/>
          <w:sz w:val="24"/>
          <w:szCs w:val="24"/>
        </w:rPr>
        <w:t>Agryophis diardii, Ampheisma stolatum, Fowlea piscator, Ptyas korros, Ceolognathus radiatus, Oligodon albocinctus, Rhabdophis helleri and Naja kaouthia</w:t>
      </w:r>
      <w:r>
        <w:rPr>
          <w:rFonts w:ascii="Times New Roman" w:hAnsi="Times New Roman" w:cs="Times New Roman"/>
          <w:sz w:val="24"/>
          <w:szCs w:val="24"/>
        </w:rPr>
        <w:t xml:space="preserve">. A brief description containing scientific name, common name, family, morpho- meristic data, collection site, IUCN Red List status and Wildlife (Protection) Amendment Act 2022 had been shown below. A bar graph showing the number of live and dead specimens collected had been shown in Figure 1. Among the specimens, one species belonged to the family Typhlopidae, six to the family Colubridae and only one to the family Elapidae.  Only two species, </w:t>
      </w:r>
      <w:r>
        <w:rPr>
          <w:rFonts w:ascii="Times New Roman" w:hAnsi="Times New Roman" w:cs="Times New Roman"/>
          <w:i/>
          <w:iCs/>
          <w:sz w:val="24"/>
          <w:szCs w:val="24"/>
        </w:rPr>
        <w:t>R. helleri</w:t>
      </w:r>
      <w:r>
        <w:rPr>
          <w:rFonts w:ascii="Times New Roman" w:hAnsi="Times New Roman" w:cs="Times New Roman"/>
          <w:sz w:val="24"/>
          <w:szCs w:val="24"/>
        </w:rPr>
        <w:t xml:space="preserve"> and </w:t>
      </w:r>
      <w:r>
        <w:rPr>
          <w:rFonts w:ascii="Times New Roman" w:hAnsi="Times New Roman" w:cs="Times New Roman"/>
          <w:i/>
          <w:iCs/>
          <w:sz w:val="24"/>
          <w:szCs w:val="24"/>
        </w:rPr>
        <w:t>N. kaouthia</w:t>
      </w:r>
      <w:r>
        <w:rPr>
          <w:rFonts w:ascii="Times New Roman" w:hAnsi="Times New Roman" w:cs="Times New Roman"/>
          <w:sz w:val="24"/>
          <w:szCs w:val="24"/>
        </w:rPr>
        <w:t xml:space="preserve">, were venomous, while the other six were non-venomous. The monocled Cobra was the most abundant species, followed by the Red-necked keelback. A single species, namely </w:t>
      </w:r>
      <w:r>
        <w:rPr>
          <w:rFonts w:ascii="Times New Roman" w:hAnsi="Times New Roman" w:cs="Times New Roman"/>
          <w:i/>
          <w:iCs/>
          <w:sz w:val="24"/>
          <w:szCs w:val="24"/>
        </w:rPr>
        <w:t>Ptyas korros</w:t>
      </w:r>
      <w:r>
        <w:rPr>
          <w:rFonts w:ascii="Times New Roman" w:hAnsi="Times New Roman" w:cs="Times New Roman"/>
          <w:sz w:val="24"/>
          <w:szCs w:val="24"/>
        </w:rPr>
        <w:t xml:space="preserve">, had been only listed as “Near threatened”, whereas all other species were listed as “least concerned”. A single snake species, </w:t>
      </w:r>
      <w:r>
        <w:rPr>
          <w:rFonts w:ascii="Times New Roman" w:hAnsi="Times New Roman" w:cs="Times New Roman"/>
          <w:i/>
          <w:iCs/>
          <w:sz w:val="24"/>
          <w:szCs w:val="24"/>
        </w:rPr>
        <w:t>R. helleri</w:t>
      </w:r>
      <w:r>
        <w:rPr>
          <w:rFonts w:ascii="Times New Roman" w:hAnsi="Times New Roman" w:cs="Times New Roman"/>
          <w:sz w:val="24"/>
          <w:szCs w:val="24"/>
        </w:rPr>
        <w:t>, was found to be both venomous and poisonous. Most snakes were encountered during July -September.</w:t>
      </w:r>
    </w:p>
    <w:p w14:paraId="5A336F8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During the study, the snakes were sighted and collected from various areas of the Manipur University campus, including departmental and campus gardens, residential areas, the helipad, water bodies, and hostels. More snakes were rescued from the Working Women's Hostel and the Ladies Hostel 7. Numerous individuals of Monocled Cobra and Indo-Chinese Rat snakes were sighted inside the campus without being photographed or collected. Photographs of collected snake species were shown in figure 2. </w:t>
      </w:r>
    </w:p>
    <w:p w14:paraId="3D9D980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FAMILY: TYPHOLPIDAE</w:t>
      </w:r>
    </w:p>
    <w:p w14:paraId="32F46B26">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Argryophis diardi </w:t>
      </w:r>
      <w:r>
        <w:rPr>
          <w:rFonts w:ascii="Times New Roman" w:hAnsi="Times New Roman" w:cs="Times New Roman"/>
          <w:sz w:val="24"/>
          <w:szCs w:val="24"/>
        </w:rPr>
        <w:t>(Schlegel, 1839)</w:t>
      </w:r>
    </w:p>
    <w:p w14:paraId="20D32502">
      <w:pPr>
        <w:spacing w:line="360" w:lineRule="auto"/>
        <w:jc w:val="both"/>
        <w:rPr>
          <w:rFonts w:ascii="Times New Roman" w:hAnsi="Times New Roman" w:cs="Times New Roman"/>
          <w:sz w:val="24"/>
          <w:szCs w:val="24"/>
        </w:rPr>
      </w:pPr>
      <w:r>
        <w:rPr>
          <w:rFonts w:ascii="Times New Roman" w:hAnsi="Times New Roman" w:cs="Times New Roman"/>
          <w:sz w:val="24"/>
          <w:szCs w:val="24"/>
        </w:rPr>
        <w:t>Diard’s Blindsnake:</w:t>
      </w:r>
    </w:p>
    <w:p w14:paraId="218614E4">
      <w:pPr>
        <w:spacing w:line="360" w:lineRule="auto"/>
        <w:jc w:val="both"/>
        <w:rPr>
          <w:rFonts w:ascii="Times New Roman" w:hAnsi="Times New Roman" w:cs="Times New Roman"/>
          <w:sz w:val="24"/>
          <w:szCs w:val="24"/>
        </w:rPr>
      </w:pPr>
      <w:r>
        <w:rPr>
          <w:rFonts w:ascii="Times New Roman" w:hAnsi="Times New Roman" w:cs="Times New Roman"/>
          <w:sz w:val="24"/>
          <w:szCs w:val="24"/>
        </w:rPr>
        <w:t>Three specimens, including one dead, were collected. Collection site: roads in the campus</w:t>
      </w:r>
    </w:p>
    <w:p w14:paraId="77CE0D1D">
      <w:pPr>
        <w:spacing w:line="360" w:lineRule="auto"/>
        <w:jc w:val="both"/>
        <w:rPr>
          <w:rFonts w:ascii="Times New Roman" w:hAnsi="Times New Roman" w:cs="Times New Roman"/>
          <w:sz w:val="24"/>
          <w:szCs w:val="24"/>
        </w:rPr>
      </w:pPr>
      <w:r>
        <w:rPr>
          <w:rFonts w:ascii="Times New Roman" w:hAnsi="Times New Roman" w:cs="Times New Roman"/>
          <w:sz w:val="24"/>
          <w:szCs w:val="24"/>
        </w:rPr>
        <w:t>Total length 70-190 mm, 270-290 transverse scale rows and 24-25 midbody scales. According to the IUCN Redlist, the species is under Least Concern (Limbu et al., 2022) and Schedule II under the Wildlife (Protection) Amendment Act (WPAA), 2022</w:t>
      </w:r>
    </w:p>
    <w:p w14:paraId="685FE08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FAMILY: COLUBRIDAE</w:t>
      </w:r>
    </w:p>
    <w:p w14:paraId="33C60A1F">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Amphiesma stolatum </w:t>
      </w:r>
      <w:r>
        <w:rPr>
          <w:rFonts w:ascii="Times New Roman" w:hAnsi="Times New Roman" w:cs="Times New Roman"/>
          <w:sz w:val="24"/>
          <w:szCs w:val="24"/>
        </w:rPr>
        <w:t>(Linnaeus, 1758)</w:t>
      </w:r>
    </w:p>
    <w:p w14:paraId="382D1855">
      <w:pPr>
        <w:spacing w:line="360" w:lineRule="auto"/>
        <w:jc w:val="both"/>
        <w:rPr>
          <w:rFonts w:ascii="Times New Roman" w:hAnsi="Times New Roman" w:cs="Times New Roman"/>
          <w:sz w:val="24"/>
          <w:szCs w:val="24"/>
        </w:rPr>
      </w:pPr>
      <w:r>
        <w:rPr>
          <w:rFonts w:ascii="Times New Roman" w:hAnsi="Times New Roman" w:cs="Times New Roman"/>
          <w:sz w:val="24"/>
          <w:szCs w:val="24"/>
        </w:rPr>
        <w:t>Buff-striped Keelback</w:t>
      </w:r>
    </w:p>
    <w:p w14:paraId="3F9DA5B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Four specimens (2 live and 2 dead) were collected from type III quarters and shops near the Central library. SVL: 280-300 mm; TL: 70-120 mm; DSR – 19:19:17; VEN: 125-158; SC: 48-76; SL: 8+8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touching eye); IL: 7+7; LOR: 2; TEM: 1+2; PO: 3; PRO:1 and divided anal shield. According to the IUCN Redlist, the species is under Least Concern (Wogan et al., 2021) and Schedule II under WPAA 2022 </w:t>
      </w:r>
    </w:p>
    <w:p w14:paraId="5E061684">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Fowlea piscator </w:t>
      </w:r>
      <w:r>
        <w:rPr>
          <w:rFonts w:ascii="Times New Roman" w:hAnsi="Times New Roman" w:cs="Times New Roman"/>
          <w:sz w:val="24"/>
          <w:szCs w:val="24"/>
        </w:rPr>
        <w:t>(Schneider, 1799)</w:t>
      </w:r>
    </w:p>
    <w:p w14:paraId="405A91B6">
      <w:pPr>
        <w:spacing w:line="360" w:lineRule="auto"/>
        <w:jc w:val="both"/>
        <w:rPr>
          <w:rFonts w:ascii="Times New Roman" w:hAnsi="Times New Roman" w:cs="Times New Roman"/>
          <w:sz w:val="24"/>
          <w:szCs w:val="24"/>
        </w:rPr>
      </w:pPr>
      <w:r>
        <w:rPr>
          <w:rFonts w:ascii="Times New Roman" w:hAnsi="Times New Roman" w:cs="Times New Roman"/>
          <w:sz w:val="24"/>
          <w:szCs w:val="24"/>
        </w:rPr>
        <w:t>Checkered Keelback</w:t>
      </w:r>
    </w:p>
    <w:p w14:paraId="3D3DCC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Three live specimens were collected from ponds near Ladies Hostel number 3, Canchi Park and Men’s Hostel 6. SVL: 790-890 mm; TL: 175-290 mm; VEN: 135-148; SC: 75-86; DSR: 19:19:17; SL: 9+9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&amp;5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touching eye); IL: 9+9; LOR: 1; TEM: 2+2; PRO:1, PO: 3 and divided anal shield. According to the IUCN Redlist, the species is under Least Concern (Stuart et al., 2021) and Schedule I under WPAA 2022</w:t>
      </w:r>
    </w:p>
    <w:p w14:paraId="09FFDA08">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Ptyas korros </w:t>
      </w:r>
      <w:r>
        <w:rPr>
          <w:rFonts w:ascii="Times New Roman" w:hAnsi="Times New Roman" w:cs="Times New Roman"/>
          <w:sz w:val="24"/>
          <w:szCs w:val="24"/>
        </w:rPr>
        <w:t>(Schlegel, 1837)</w:t>
      </w:r>
    </w:p>
    <w:p w14:paraId="210C27FA">
      <w:pPr>
        <w:spacing w:line="360" w:lineRule="auto"/>
        <w:jc w:val="both"/>
        <w:rPr>
          <w:rFonts w:ascii="Times New Roman" w:hAnsi="Times New Roman" w:cs="Times New Roman"/>
          <w:sz w:val="24"/>
          <w:szCs w:val="24"/>
        </w:rPr>
      </w:pPr>
      <w:r>
        <w:rPr>
          <w:rFonts w:ascii="Times New Roman" w:hAnsi="Times New Roman" w:cs="Times New Roman"/>
          <w:sz w:val="24"/>
          <w:szCs w:val="24"/>
        </w:rPr>
        <w:t>Indo -Chinese Rat Snake</w:t>
      </w:r>
    </w:p>
    <w:p w14:paraId="295D6188">
      <w:pPr>
        <w:spacing w:line="360" w:lineRule="auto"/>
        <w:ind w:firstLine="720"/>
        <w:jc w:val="both"/>
        <w:rPr>
          <w:rFonts w:ascii="Times New Roman" w:hAnsi="Times New Roman" w:cs="Times New Roman"/>
          <w:b/>
          <w:bCs/>
          <w:sz w:val="24"/>
          <w:szCs w:val="24"/>
        </w:rPr>
      </w:pPr>
      <w:r>
        <w:rPr>
          <w:rFonts w:ascii="Times New Roman" w:hAnsi="Times New Roman" w:cs="Times New Roman"/>
          <w:sz w:val="24"/>
          <w:szCs w:val="24"/>
        </w:rPr>
        <w:t>Six specimens (one dead and five live) were collected; two were juveniles. The collected sites were New Social Science Block, Working Women Hostel and Manipur University Guest House. SVL: 180-1040 mm; TL: 20-120 mm; VEN: 162-178; SC: 122-148; SL: 8+8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&amp; 5</w:t>
      </w:r>
      <w:r>
        <w:rPr>
          <w:rFonts w:ascii="Times New Roman" w:hAnsi="Times New Roman" w:cs="Times New Roman"/>
          <w:sz w:val="24"/>
          <w:szCs w:val="24"/>
          <w:vertAlign w:val="superscript"/>
        </w:rPr>
        <w:t xml:space="preserve">th </w:t>
      </w:r>
      <w:r>
        <w:rPr>
          <w:rFonts w:ascii="Times New Roman" w:hAnsi="Times New Roman" w:cs="Times New Roman"/>
          <w:sz w:val="24"/>
          <w:szCs w:val="24"/>
        </w:rPr>
        <w:t xml:space="preserve">touching eye); IL: 10+10; LOR: 2; Tem: 2+2; PO: 2+2; PRO: 1+1 and Anal Shield divided. According to the IUCN Redlist, the species is under Near Threatened (Stuart et al., 2021) and Schedule II under WPAA 2022 </w:t>
      </w:r>
    </w:p>
    <w:p w14:paraId="0AC6A28C">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Coelognathus radiatus </w:t>
      </w:r>
      <w:r>
        <w:rPr>
          <w:rFonts w:ascii="Times New Roman" w:hAnsi="Times New Roman" w:cs="Times New Roman"/>
          <w:sz w:val="24"/>
          <w:szCs w:val="24"/>
        </w:rPr>
        <w:t>(Boie, 1827)</w:t>
      </w:r>
    </w:p>
    <w:p w14:paraId="52FDD9B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Copper -headed Trinket Snake </w:t>
      </w:r>
    </w:p>
    <w:p w14:paraId="00BC493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Ten specimens (three dead and seven live), including two juveniles, were collected from the campus Working Women Hostel, Manipur University Student’s Canteen, Ladies Hostel number 7 and Manipur University Guest House. SVL: 220-1280 mm; TL: 22-132 mm; DSR: 19:19:17; VEN: 210-245; SC: 85-100; SL: 9+9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-6</w:t>
      </w:r>
      <w:r>
        <w:rPr>
          <w:rFonts w:ascii="Times New Roman" w:hAnsi="Times New Roman" w:cs="Times New Roman"/>
          <w:sz w:val="24"/>
          <w:szCs w:val="24"/>
          <w:vertAlign w:val="superscript"/>
        </w:rPr>
        <w:t>th</w:t>
      </w:r>
      <w:r>
        <w:rPr>
          <w:rFonts w:ascii="Times New Roman" w:hAnsi="Times New Roman" w:cs="Times New Roman"/>
          <w:sz w:val="24"/>
          <w:szCs w:val="24"/>
        </w:rPr>
        <w:t xml:space="preserve"> touching eye); IL: 9+9; LOR: 1; TEM: 2+2; PO: 2; PRO: 1 and Anal Shield undivided. According to the IUCN Redlist, the species is under Least Concern (Nguyen et al., 2022) and Schedule II under WPAA 2022 </w:t>
      </w:r>
    </w:p>
    <w:p w14:paraId="1E55AB88">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Oligodon albocinctus </w:t>
      </w:r>
      <w:r>
        <w:rPr>
          <w:rFonts w:ascii="Times New Roman" w:hAnsi="Times New Roman" w:cs="Times New Roman"/>
          <w:sz w:val="24"/>
          <w:szCs w:val="24"/>
        </w:rPr>
        <w:t>(Cantor,1839)</w:t>
      </w:r>
    </w:p>
    <w:p w14:paraId="7E0B5747">
      <w:pPr>
        <w:spacing w:line="360" w:lineRule="auto"/>
        <w:jc w:val="both"/>
        <w:rPr>
          <w:rFonts w:ascii="Times New Roman" w:hAnsi="Times New Roman" w:cs="Times New Roman"/>
          <w:sz w:val="24"/>
          <w:szCs w:val="24"/>
        </w:rPr>
      </w:pPr>
      <w:r>
        <w:rPr>
          <w:rFonts w:ascii="Times New Roman" w:hAnsi="Times New Roman" w:cs="Times New Roman"/>
          <w:sz w:val="24"/>
          <w:szCs w:val="24"/>
        </w:rPr>
        <w:t>White-barred Kukri Snake</w:t>
      </w:r>
    </w:p>
    <w:p w14:paraId="45D0A01F">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Four specimens (two live and two dead) were collected from open gym and open space between the department of Zoology and biochemistry and anthropology. SVL: 382-412 mm; TL: 80-120 mm; DSR: 19:19:15; VEN: 182-202; SC: 52-65; SL: 7+7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&amp; 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touching eye); IL: 7+7; LOR: 1; PO: 2; PRO: 1 TEM: 1+1 and divided anal shield. According to the IUCN Redlist, the species is under Least Concern (Khan et al., 2021) and Schedule II under WPAA 2022 </w:t>
      </w:r>
    </w:p>
    <w:p w14:paraId="1E2ACD0C">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Rhabdophis helleri </w:t>
      </w:r>
      <w:r>
        <w:rPr>
          <w:rFonts w:ascii="Times New Roman" w:hAnsi="Times New Roman" w:cs="Times New Roman"/>
          <w:sz w:val="24"/>
          <w:szCs w:val="24"/>
        </w:rPr>
        <w:t>(Schmidt, 1925)</w:t>
      </w:r>
    </w:p>
    <w:p w14:paraId="21C2F212">
      <w:pPr>
        <w:spacing w:line="360" w:lineRule="auto"/>
        <w:jc w:val="both"/>
        <w:rPr>
          <w:rFonts w:ascii="Times New Roman" w:hAnsi="Times New Roman" w:cs="Times New Roman"/>
          <w:sz w:val="24"/>
          <w:szCs w:val="24"/>
        </w:rPr>
      </w:pPr>
      <w:r>
        <w:rPr>
          <w:rFonts w:ascii="Times New Roman" w:hAnsi="Times New Roman" w:cs="Times New Roman"/>
          <w:sz w:val="24"/>
          <w:szCs w:val="24"/>
        </w:rPr>
        <w:t>Heller’s Red-necked Keelback</w:t>
      </w:r>
    </w:p>
    <w:p w14:paraId="2244CBE0">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Twelve specimens, including two dead individuals, were collected from almost every part of the campus; most were from the Centenary Hall Complex and the Manipur University Students’ Canteen. SVL: 372-760 mm; TL: 150-198 mm; DSR: 17:19:17; VEN: 158-165; SC: 76-82; SL: 8+8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touching eye); IL: 8+8; LOR: 1; PO: 3; PRO: 1; TEM: 2+2. The species hasn’t and Schedule II under WPAA 2022</w:t>
      </w:r>
    </w:p>
    <w:p w14:paraId="043E59E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FAMILY: ELAPIDAE</w:t>
      </w:r>
    </w:p>
    <w:p w14:paraId="5D01B7F2">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Naja kaouthia </w:t>
      </w:r>
      <w:r>
        <w:rPr>
          <w:rFonts w:ascii="Times New Roman" w:hAnsi="Times New Roman" w:cs="Times New Roman"/>
          <w:sz w:val="24"/>
          <w:szCs w:val="24"/>
        </w:rPr>
        <w:t>(Lesson, 1831)</w:t>
      </w:r>
    </w:p>
    <w:p w14:paraId="3FBCC0DC">
      <w:pPr>
        <w:spacing w:line="360" w:lineRule="auto"/>
        <w:jc w:val="both"/>
        <w:rPr>
          <w:rFonts w:ascii="Times New Roman" w:hAnsi="Times New Roman" w:cs="Times New Roman"/>
          <w:sz w:val="24"/>
          <w:szCs w:val="24"/>
        </w:rPr>
      </w:pPr>
      <w:r>
        <w:rPr>
          <w:rFonts w:ascii="Times New Roman" w:hAnsi="Times New Roman" w:cs="Times New Roman"/>
          <w:sz w:val="24"/>
          <w:szCs w:val="24"/>
        </w:rPr>
        <w:t>Monocled Cobra</w:t>
      </w:r>
    </w:p>
    <w:p w14:paraId="64C9DDF4">
      <w:pPr>
        <w:spacing w:line="360" w:lineRule="auto"/>
        <w:jc w:val="both"/>
        <w:rPr>
          <w:rFonts w:ascii="Times New Roman" w:hAnsi="Times New Roman" w:cs="Times New Roman"/>
          <w:sz w:val="24"/>
          <w:szCs w:val="24"/>
        </w:rPr>
      </w:pPr>
      <w:r>
        <w:rPr>
          <w:rFonts w:ascii="Times New Roman" w:hAnsi="Times New Roman" w:cs="Times New Roman"/>
          <w:sz w:val="24"/>
          <w:szCs w:val="24"/>
        </w:rPr>
        <w:t>Thirteen specimens, including two dead and three juveniles, were collected from the campus area. Most of the specimen were collected from the Manipur University Guest House, Working Women's Hostel, etc. SVL: 176-1380 mm; TL: 80-220 mm; DSR: 25-31:18-20:16-17; VEN: 182-193; SC: 48-56 SL: 7+7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&amp;4</w:t>
      </w:r>
      <w:r>
        <w:rPr>
          <w:rFonts w:ascii="Times New Roman" w:hAnsi="Times New Roman" w:cs="Times New Roman"/>
          <w:sz w:val="24"/>
          <w:szCs w:val="24"/>
          <w:vertAlign w:val="superscript"/>
        </w:rPr>
        <w:t>th</w:t>
      </w:r>
      <w:r>
        <w:rPr>
          <w:rFonts w:ascii="Times New Roman" w:hAnsi="Times New Roman" w:cs="Times New Roman"/>
          <w:sz w:val="24"/>
          <w:szCs w:val="24"/>
        </w:rPr>
        <w:t xml:space="preserve"> touching eye); IL: 9+9; LOR: 0; PO: 3, PRO: 1; TEM: 2+3 and anal shield undivided. According to the IUCN Redlist, the species is under Least Concern (Stuart &amp; Wogan, 2012) and Schedule I under WPAA 2022</w:t>
      </w:r>
    </w:p>
    <w:p w14:paraId="31680602">
      <w:pPr>
        <w:jc w:val="both"/>
        <w:rPr>
          <w:rFonts w:ascii="Times New Roman" w:hAnsi="Times New Roman" w:cs="Times New Roman"/>
          <w:sz w:val="24"/>
          <w:szCs w:val="24"/>
        </w:rPr>
      </w:pPr>
    </w:p>
    <w:p w14:paraId="4911FC93">
      <w:pPr>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814060" cy="3200400"/>
            <wp:effectExtent l="0" t="0" r="15240" b="0"/>
            <wp:docPr id="110029456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cs="Times New Roman"/>
          <w:sz w:val="24"/>
          <w:szCs w:val="24"/>
        </w:rPr>
        <w:t xml:space="preserve"> </w:t>
      </w:r>
    </w:p>
    <w:p w14:paraId="29AFEE92">
      <w:pPr>
        <w:jc w:val="both"/>
        <w:rPr>
          <w:rFonts w:ascii="Times New Roman" w:hAnsi="Times New Roman" w:cs="Times New Roman"/>
          <w:sz w:val="24"/>
          <w:szCs w:val="24"/>
        </w:rPr>
      </w:pPr>
      <w:r>
        <w:rPr>
          <w:rFonts w:ascii="Times New Roman" w:hAnsi="Times New Roman" w:cs="Times New Roman"/>
          <w:sz w:val="24"/>
          <w:szCs w:val="24"/>
        </w:rPr>
        <w:t>Figure 1: Graph showing the number of live and dead specimen collected species wise</w:t>
      </w:r>
    </w:p>
    <w:p w14:paraId="4E11FB7B">
      <w:pPr>
        <w:jc w:val="both"/>
        <w:rPr>
          <w:rFonts w:ascii="Times New Roman" w:hAnsi="Times New Roman" w:cs="Times New Roman"/>
          <w:sz w:val="24"/>
          <w:szCs w:val="24"/>
        </w:rPr>
      </w:pPr>
    </w:p>
    <w:p w14:paraId="78E74FF0">
      <w:pPr>
        <w:jc w:val="both"/>
        <w:rPr>
          <w:rFonts w:ascii="Times New Roman" w:hAnsi="Times New Roman" w:cs="Times New Roman"/>
          <w:sz w:val="24"/>
          <w:szCs w:val="24"/>
        </w:rPr>
      </w:pPr>
      <w:r>
        <w:rPr>
          <w:rFonts w:ascii="Times New Roman" w:hAnsi="Times New Roman" w:cs="Times New Roman"/>
          <w:sz w:val="24"/>
          <w:szCs w:val="24"/>
        </w:rPr>
        <w:t>Discussion:</w:t>
      </w:r>
    </w:p>
    <w:p w14:paraId="27DCE2B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population of reptiles, including snakes, is declining globally due to habitat destruction and urbanisation (Purkayastha et al., 2011).  Human-snake conflict is a neglected problem worldwide. The human-snake conflict has coexisted since ancient times, and the fear of snakes is deeply embedded in humanity naturally, along with other primates (Öhman &amp; Mineka, 2003). Despite being a widely worshipped animal in India, snakes are being killed by people in fear of snakebite (Nair, 2017; Chinnasamy et al., 2014 &amp; Williams et al., 2017). Some studies have also found that closed-campus like university campuses can serve as favourable habitats for many wildlife, including snakes. This may be due to the conservation of natural habitats maintained for sustainable development (Ahsan et al., 2015; Shome et al., 2022; Janani &amp; Ganesh, 2024). Similar studies has been carried out in various campuses, namely, 15 species of snakes of four families has been reported from Tezpur University (TUC) Campus (Basumatary et al., 2025), 19 species of snakes of eight families are recorded from Guwahati University (GU) Campus (Gogoi et al., 2023), 23 snake species including venomous snakes like </w:t>
      </w:r>
      <w:r>
        <w:rPr>
          <w:rFonts w:ascii="Times New Roman" w:hAnsi="Times New Roman" w:cs="Times New Roman"/>
          <w:i/>
          <w:iCs/>
          <w:sz w:val="24"/>
          <w:szCs w:val="24"/>
        </w:rPr>
        <w:t>Naja</w:t>
      </w:r>
      <w:r>
        <w:rPr>
          <w:rFonts w:ascii="Times New Roman" w:hAnsi="Times New Roman" w:cs="Times New Roman"/>
          <w:sz w:val="24"/>
          <w:szCs w:val="24"/>
        </w:rPr>
        <w:t xml:space="preserve"> </w:t>
      </w:r>
      <w:r>
        <w:rPr>
          <w:rFonts w:ascii="Times New Roman" w:hAnsi="Times New Roman" w:cs="Times New Roman"/>
          <w:i/>
          <w:iCs/>
          <w:sz w:val="24"/>
          <w:szCs w:val="24"/>
        </w:rPr>
        <w:t>naja</w:t>
      </w:r>
      <w:r>
        <w:rPr>
          <w:rFonts w:ascii="Times New Roman" w:hAnsi="Times New Roman" w:cs="Times New Roman"/>
          <w:sz w:val="24"/>
          <w:szCs w:val="24"/>
        </w:rPr>
        <w:t xml:space="preserve">, </w:t>
      </w:r>
      <w:r>
        <w:rPr>
          <w:rFonts w:ascii="Times New Roman" w:hAnsi="Times New Roman" w:cs="Times New Roman"/>
          <w:i/>
          <w:iCs/>
          <w:sz w:val="24"/>
          <w:szCs w:val="24"/>
        </w:rPr>
        <w:t>Daboia russelii</w:t>
      </w:r>
      <w:r>
        <w:rPr>
          <w:rFonts w:ascii="Times New Roman" w:hAnsi="Times New Roman" w:cs="Times New Roman"/>
          <w:sz w:val="24"/>
          <w:szCs w:val="24"/>
        </w:rPr>
        <w:t xml:space="preserve">, </w:t>
      </w:r>
      <w:r>
        <w:rPr>
          <w:rFonts w:ascii="Times New Roman" w:hAnsi="Times New Roman" w:cs="Times New Roman"/>
          <w:i/>
          <w:iCs/>
          <w:sz w:val="24"/>
          <w:szCs w:val="24"/>
        </w:rPr>
        <w:t>Echis carinatus</w:t>
      </w:r>
      <w:r>
        <w:rPr>
          <w:rFonts w:ascii="Times New Roman" w:hAnsi="Times New Roman" w:cs="Times New Roman"/>
          <w:sz w:val="24"/>
          <w:szCs w:val="24"/>
        </w:rPr>
        <w:t xml:space="preserve"> and </w:t>
      </w:r>
      <w:r>
        <w:rPr>
          <w:rFonts w:ascii="Times New Roman" w:hAnsi="Times New Roman" w:cs="Times New Roman"/>
          <w:i/>
          <w:iCs/>
          <w:sz w:val="24"/>
          <w:szCs w:val="24"/>
        </w:rPr>
        <w:t>Bungarus caerelus</w:t>
      </w:r>
      <w:r>
        <w:rPr>
          <w:rFonts w:ascii="Times New Roman" w:hAnsi="Times New Roman" w:cs="Times New Roman"/>
          <w:sz w:val="24"/>
          <w:szCs w:val="24"/>
        </w:rPr>
        <w:t xml:space="preserve"> have been reported from Madras Christain College ( Janani &amp; Ganesh, 2024) etc. Highest number of snake diversity of any such campuses have been reported from Mizoram University Campus (MZU) with a total number of 42 snake species belonging to seven families (Vanlalhruaia et al., 2024). Similarly, 36 snake species belonging to five families have been reported from Chittagong University Campus (Ahsan et al., 2015). Despite Manipur University Campus having a lower diversity of snakes than other campuses like MZU, GU and TUC, the occurrence of venomous snakes within the campus is high, as evidenced with the presence of 13 individuals of </w:t>
      </w:r>
      <w:r>
        <w:rPr>
          <w:rFonts w:ascii="Times New Roman" w:hAnsi="Times New Roman" w:cs="Times New Roman"/>
          <w:i/>
          <w:iCs/>
          <w:sz w:val="24"/>
          <w:szCs w:val="24"/>
        </w:rPr>
        <w:t>N. kaouthia</w:t>
      </w:r>
      <w:r>
        <w:rPr>
          <w:rFonts w:ascii="Times New Roman" w:hAnsi="Times New Roman" w:cs="Times New Roman"/>
          <w:sz w:val="24"/>
          <w:szCs w:val="24"/>
        </w:rPr>
        <w:t xml:space="preserve"> and 12 individuals of </w:t>
      </w:r>
      <w:r>
        <w:rPr>
          <w:rFonts w:ascii="Times New Roman" w:hAnsi="Times New Roman" w:cs="Times New Roman"/>
          <w:i/>
          <w:iCs/>
          <w:sz w:val="24"/>
          <w:szCs w:val="24"/>
        </w:rPr>
        <w:t>R. helleri</w:t>
      </w:r>
      <w:r>
        <w:rPr>
          <w:rFonts w:ascii="Times New Roman" w:hAnsi="Times New Roman" w:cs="Times New Roman"/>
          <w:sz w:val="24"/>
          <w:szCs w:val="24"/>
        </w:rPr>
        <w:t xml:space="preserve"> at one time survey. Although the campus has a larger number of venomous snakes than other non-venomous snakes, snakebite cases within the campus have been minimal till date. A single case has been recorded at the Manipur University Health Centre during the study period. This signifies that the campus dwellers are fully aware and respect snakes due to religious and cultural significance, which promotes the conservation of snakes in the campus. </w:t>
      </w:r>
    </w:p>
    <w:p w14:paraId="155A5F61">
      <w:pPr>
        <w:spacing w:before="100" w:beforeAutospacing="1" w:after="100" w:afterAutospacing="1" w:line="240" w:lineRule="auto"/>
        <w:rPr>
          <w:rFonts w:ascii="Times New Roman" w:hAnsi="Times New Roman" w:eastAsia="Times New Roman" w:cs="Times New Roman"/>
          <w:kern w:val="0"/>
          <w:sz w:val="24"/>
          <w:szCs w:val="24"/>
          <w:lang w:val="en-US"/>
          <w14:ligatures w14:val="none"/>
        </w:rPr>
      </w:pPr>
      <w:r>
        <w:rPr>
          <w:rFonts w:ascii="Times New Roman" w:hAnsi="Times New Roman" w:eastAsia="Times New Roman" w:cs="Times New Roman"/>
          <w:b/>
          <w:bCs/>
          <w:kern w:val="0"/>
          <w:sz w:val="24"/>
          <w:szCs w:val="24"/>
          <w:lang w:val="en-US"/>
          <w14:ligatures w14:val="none"/>
        </w:rPr>
        <w:t>Conclusion</w:t>
      </w:r>
      <w:r>
        <w:rPr>
          <w:rFonts w:ascii="Times New Roman" w:hAnsi="Times New Roman" w:eastAsia="Times New Roman" w:cs="Times New Roman"/>
          <w:kern w:val="0"/>
          <w:sz w:val="24"/>
          <w:szCs w:val="24"/>
          <w:lang w:val="en-US"/>
          <w14:ligatures w14:val="none"/>
        </w:rPr>
        <w:br w:type="textWrapping"/>
      </w:r>
      <w:r>
        <w:rPr>
          <w:rFonts w:ascii="Times New Roman" w:hAnsi="Times New Roman" w:eastAsia="Times New Roman" w:cs="Times New Roman"/>
          <w:kern w:val="0"/>
          <w:sz w:val="24"/>
          <w:szCs w:val="24"/>
          <w:lang w:val="en-US"/>
          <w14:ligatures w14:val="none"/>
        </w:rPr>
        <w:t>The study recorded 55 snake specimens from Manipur University Campus during January 2023 to January 2025. These specimens were identified as eight species under three families, indicating that the campus supports a notable but relatively limited snake assemblage compared with some other university campuses. The occurrence of both non-venomous and venomous species highlights the importance of systematic documentation, safe rescue practices and awareness among campus residents. The findings provide a preliminary checklist for the campus and may support future monitoring, habitat management and human-snake coexistence initiatives.</w:t>
      </w:r>
    </w:p>
    <w:p w14:paraId="4709D24C">
      <w:pPr>
        <w:spacing w:before="100" w:beforeAutospacing="1" w:after="100" w:afterAutospacing="1" w:line="240" w:lineRule="auto"/>
        <w:rPr>
          <w:rFonts w:ascii="Times New Roman" w:hAnsi="Times New Roman" w:eastAsia="Times New Roman" w:cs="Times New Roman"/>
          <w:kern w:val="0"/>
          <w:sz w:val="24"/>
          <w:szCs w:val="24"/>
          <w:lang w:val="en-US"/>
          <w14:ligatures w14:val="none"/>
        </w:rPr>
      </w:pPr>
      <w:r>
        <w:rPr>
          <w:rFonts w:ascii="Times New Roman" w:hAnsi="Times New Roman" w:eastAsia="Times New Roman" w:cs="Times New Roman"/>
          <w:b/>
          <w:bCs/>
          <w:kern w:val="0"/>
          <w:sz w:val="24"/>
          <w:szCs w:val="24"/>
          <w:lang w:val="en-US"/>
          <w14:ligatures w14:val="none"/>
        </w:rPr>
        <w:t>Limitations</w:t>
      </w:r>
      <w:r>
        <w:rPr>
          <w:rFonts w:ascii="Times New Roman" w:hAnsi="Times New Roman" w:eastAsia="Times New Roman" w:cs="Times New Roman"/>
          <w:kern w:val="0"/>
          <w:sz w:val="24"/>
          <w:szCs w:val="24"/>
          <w:lang w:val="en-US"/>
          <w14:ligatures w14:val="none"/>
        </w:rPr>
        <w:br w:type="textWrapping"/>
      </w:r>
      <w:r>
        <w:rPr>
          <w:rFonts w:ascii="Times New Roman" w:hAnsi="Times New Roman" w:eastAsia="Times New Roman" w:cs="Times New Roman"/>
          <w:kern w:val="0"/>
          <w:sz w:val="24"/>
          <w:szCs w:val="24"/>
          <w:lang w:val="en-US"/>
          <w14:ligatures w14:val="none"/>
        </w:rPr>
        <w:t>This study was limited to one campus and combined active surveys, rescue calls and dead specimens, which may introduce sampling bias toward areas frequently used by people. Survey effort was not quantified in detail, and seasonal detectability may have influenced the records. Identification was based only on morphology. Future studies should include standardized survey effort, habitat-wise analysis, repeated seasonal monitoring and molecular confirmation where necessary.</w:t>
      </w:r>
    </w:p>
    <w:p w14:paraId="59D2595E">
      <w:pPr>
        <w:spacing w:line="240" w:lineRule="auto"/>
        <w:jc w:val="both"/>
        <w:rPr>
          <w:rFonts w:ascii="Times New Roman" w:hAnsi="Times New Roman" w:cs="Times New Roman"/>
          <w:sz w:val="24"/>
          <w:szCs w:val="24"/>
        </w:rPr>
      </w:pPr>
      <w:r>
        <w:rPr>
          <w:rFonts w:ascii="Times New Roman" w:hAnsi="Times New Roman" w:cs="Times New Roman"/>
          <w:b/>
          <w:bCs/>
          <w:sz w:val="24"/>
          <w:szCs w:val="24"/>
        </w:rPr>
        <w:drawing>
          <wp:anchor distT="0" distB="0" distL="114300" distR="114300" simplePos="0" relativeHeight="251659264" behindDoc="0" locked="0" layoutInCell="1" allowOverlap="1">
            <wp:simplePos x="0" y="0"/>
            <wp:positionH relativeFrom="column">
              <wp:posOffset>635</wp:posOffset>
            </wp:positionH>
            <wp:positionV relativeFrom="paragraph">
              <wp:posOffset>0</wp:posOffset>
            </wp:positionV>
            <wp:extent cx="5728970" cy="8104505"/>
            <wp:effectExtent l="0" t="0" r="5080" b="0"/>
            <wp:wrapTopAndBottom/>
            <wp:docPr id="956781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81536"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8970" cy="8104505"/>
                    </a:xfrm>
                    <a:prstGeom prst="rect">
                      <a:avLst/>
                    </a:prstGeom>
                    <a:noFill/>
                    <a:ln>
                      <a:noFill/>
                    </a:ln>
                  </pic:spPr>
                </pic:pic>
              </a:graphicData>
            </a:graphic>
          </wp:anchor>
        </w:drawing>
      </w:r>
      <w:r>
        <w:rPr>
          <w:rFonts w:ascii="Times New Roman" w:hAnsi="Times New Roman" w:cs="Times New Roman"/>
          <w:b/>
          <w:bCs/>
          <w:sz w:val="24"/>
          <w:szCs w:val="24"/>
        </w:rPr>
        <w:t>Figure 2</w:t>
      </w:r>
      <w:r>
        <w:rPr>
          <w:rFonts w:ascii="Times New Roman" w:hAnsi="Times New Roman" w:cs="Times New Roman"/>
          <w:sz w:val="24"/>
          <w:szCs w:val="24"/>
        </w:rPr>
        <w:t xml:space="preserve">.: Photographs of Snakes of Manipur University Campus; 1) </w:t>
      </w:r>
      <w:r>
        <w:rPr>
          <w:rFonts w:ascii="Times New Roman" w:hAnsi="Times New Roman" w:cs="Times New Roman"/>
          <w:i/>
          <w:iCs/>
          <w:sz w:val="24"/>
          <w:szCs w:val="24"/>
        </w:rPr>
        <w:t>A. diardii</w:t>
      </w:r>
      <w:r>
        <w:rPr>
          <w:rFonts w:ascii="Times New Roman" w:hAnsi="Times New Roman" w:cs="Times New Roman"/>
          <w:sz w:val="24"/>
          <w:szCs w:val="24"/>
        </w:rPr>
        <w:t xml:space="preserve">, 2) </w:t>
      </w:r>
      <w:r>
        <w:rPr>
          <w:rFonts w:ascii="Times New Roman" w:hAnsi="Times New Roman" w:cs="Times New Roman"/>
          <w:i/>
          <w:iCs/>
          <w:sz w:val="24"/>
          <w:szCs w:val="24"/>
        </w:rPr>
        <w:t>A. stolatum</w:t>
      </w:r>
      <w:r>
        <w:rPr>
          <w:rFonts w:ascii="Times New Roman" w:hAnsi="Times New Roman" w:cs="Times New Roman"/>
          <w:sz w:val="24"/>
          <w:szCs w:val="24"/>
        </w:rPr>
        <w:t xml:space="preserve">, 3) </w:t>
      </w:r>
      <w:r>
        <w:rPr>
          <w:rFonts w:ascii="Times New Roman" w:hAnsi="Times New Roman" w:cs="Times New Roman"/>
          <w:i/>
          <w:iCs/>
          <w:sz w:val="24"/>
          <w:szCs w:val="24"/>
        </w:rPr>
        <w:t>P. korros</w:t>
      </w:r>
      <w:r>
        <w:rPr>
          <w:rFonts w:ascii="Times New Roman" w:hAnsi="Times New Roman" w:cs="Times New Roman"/>
          <w:sz w:val="24"/>
          <w:szCs w:val="24"/>
        </w:rPr>
        <w:t xml:space="preserve">, 4) </w:t>
      </w:r>
      <w:r>
        <w:rPr>
          <w:rFonts w:ascii="Times New Roman" w:hAnsi="Times New Roman" w:cs="Times New Roman"/>
          <w:i/>
          <w:iCs/>
          <w:sz w:val="24"/>
          <w:szCs w:val="24"/>
        </w:rPr>
        <w:t>O. albocinctus</w:t>
      </w:r>
      <w:r>
        <w:rPr>
          <w:rFonts w:ascii="Times New Roman" w:hAnsi="Times New Roman" w:cs="Times New Roman"/>
          <w:sz w:val="24"/>
          <w:szCs w:val="24"/>
        </w:rPr>
        <w:t xml:space="preserve">, 5) </w:t>
      </w:r>
      <w:r>
        <w:rPr>
          <w:rFonts w:ascii="Times New Roman" w:hAnsi="Times New Roman" w:cs="Times New Roman"/>
          <w:i/>
          <w:iCs/>
          <w:sz w:val="24"/>
          <w:szCs w:val="24"/>
        </w:rPr>
        <w:t>F. piscator</w:t>
      </w:r>
      <w:r>
        <w:rPr>
          <w:rFonts w:ascii="Times New Roman" w:hAnsi="Times New Roman" w:cs="Times New Roman"/>
          <w:sz w:val="24"/>
          <w:szCs w:val="24"/>
        </w:rPr>
        <w:t xml:space="preserve">, 6) </w:t>
      </w:r>
      <w:r>
        <w:rPr>
          <w:rFonts w:ascii="Times New Roman" w:hAnsi="Times New Roman" w:cs="Times New Roman"/>
          <w:i/>
          <w:iCs/>
          <w:sz w:val="24"/>
          <w:szCs w:val="24"/>
        </w:rPr>
        <w:t>C. radiatus</w:t>
      </w:r>
      <w:r>
        <w:rPr>
          <w:rFonts w:ascii="Times New Roman" w:hAnsi="Times New Roman" w:cs="Times New Roman"/>
          <w:sz w:val="24"/>
          <w:szCs w:val="24"/>
        </w:rPr>
        <w:t xml:space="preserve">, 7) </w:t>
      </w:r>
      <w:r>
        <w:rPr>
          <w:rFonts w:ascii="Times New Roman" w:hAnsi="Times New Roman" w:cs="Times New Roman"/>
          <w:i/>
          <w:iCs/>
          <w:sz w:val="24"/>
          <w:szCs w:val="24"/>
        </w:rPr>
        <w:t xml:space="preserve">R. helleri </w:t>
      </w:r>
      <w:r>
        <w:rPr>
          <w:rFonts w:ascii="Times New Roman" w:hAnsi="Times New Roman" w:cs="Times New Roman"/>
          <w:sz w:val="24"/>
          <w:szCs w:val="24"/>
        </w:rPr>
        <w:t xml:space="preserve">&amp; 8) </w:t>
      </w:r>
      <w:r>
        <w:rPr>
          <w:rFonts w:ascii="Times New Roman" w:hAnsi="Times New Roman" w:cs="Times New Roman"/>
          <w:i/>
          <w:iCs/>
          <w:sz w:val="24"/>
          <w:szCs w:val="24"/>
        </w:rPr>
        <w:t xml:space="preserve">N. kaouthia. </w:t>
      </w:r>
      <w:r>
        <w:rPr>
          <w:rFonts w:ascii="Times New Roman" w:hAnsi="Times New Roman" w:cs="Times New Roman"/>
          <w:sz w:val="24"/>
          <w:szCs w:val="24"/>
        </w:rPr>
        <w:t>Photo Courtesy: (2,3,4,5 ,6 &amp;8) N. Hemeshwor Singh and Jenishkumar Thingujam (1 &amp;7)</w:t>
      </w:r>
    </w:p>
    <w:p w14:paraId="2EE1D219">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Abbreviation: </w:t>
      </w:r>
    </w:p>
    <w:p w14:paraId="6176D0E5">
      <w:pPr>
        <w:spacing w:line="480" w:lineRule="auto"/>
        <w:jc w:val="both"/>
        <w:rPr>
          <w:rFonts w:ascii="Times New Roman" w:hAnsi="Times New Roman" w:cs="Times New Roman"/>
          <w:sz w:val="24"/>
          <w:szCs w:val="24"/>
        </w:rPr>
      </w:pPr>
      <w:r>
        <w:rPr>
          <w:rFonts w:ascii="Times New Roman" w:hAnsi="Times New Roman" w:cs="Times New Roman"/>
          <w:sz w:val="24"/>
          <w:szCs w:val="24"/>
        </w:rPr>
        <w:t>VEN: Number of Ventral scales; SC: Number of Sub Caudal scales; DSR: Dorsal scale rows on neck, midbody and vent; SL: Number of Supralabial scales; IL: Number of Infralabial scales; PRE: Number of preorbital scales; PO: Number of postorbital scales; LOR: Number of loreal scales &amp; TEM: Number of Temporal Scales.</w:t>
      </w:r>
    </w:p>
    <w:p w14:paraId="30E943C3">
      <w:pPr>
        <w:spacing w:line="480" w:lineRule="auto"/>
        <w:jc w:val="both"/>
        <w:rPr>
          <w:rFonts w:ascii="Times New Roman" w:hAnsi="Times New Roman" w:cs="Times New Roman"/>
          <w:sz w:val="24"/>
          <w:szCs w:val="24"/>
        </w:rPr>
      </w:pPr>
    </w:p>
    <w:p w14:paraId="1547205B">
      <w:pPr>
        <w:spacing w:after="0" w:line="240" w:lineRule="auto"/>
        <w:rPr>
          <w:rFonts w:ascii="Times New Roman" w:hAnsi="Times New Roman" w:eastAsia="Calibri" w:cs="Times New Roman"/>
          <w:b/>
          <w:kern w:val="0"/>
          <w:lang w:val="en-US"/>
          <w14:ligatures w14:val="none"/>
        </w:rPr>
      </w:pPr>
      <w:r>
        <w:rPr>
          <w:rFonts w:ascii="Times New Roman" w:hAnsi="Times New Roman" w:eastAsia="Calibri" w:cs="Times New Roman"/>
          <w:b/>
          <w:kern w:val="0"/>
          <w:lang w:val="en-US"/>
          <w14:ligatures w14:val="none"/>
        </w:rPr>
        <w:t>Declaration of AI Use</w:t>
      </w:r>
    </w:p>
    <w:p w14:paraId="64B0FE7A">
      <w:pPr>
        <w:spacing w:after="0" w:line="240" w:lineRule="auto"/>
        <w:rPr>
          <w:rFonts w:ascii="Times New Roman" w:hAnsi="Times New Roman" w:eastAsia="Calibri" w:cs="Times New Roman"/>
          <w:kern w:val="0"/>
          <w:lang w:val="en-US"/>
          <w14:ligatures w14:val="none"/>
        </w:rPr>
      </w:pPr>
    </w:p>
    <w:p w14:paraId="751F69BB">
      <w:pPr>
        <w:spacing w:after="0" w:line="240" w:lineRule="auto"/>
        <w:jc w:val="both"/>
        <w:rPr>
          <w:rFonts w:ascii="Times New Roman" w:hAnsi="Times New Roman" w:eastAsia="Calibri" w:cs="Times New Roman"/>
          <w:kern w:val="0"/>
          <w:lang w:val="en-US"/>
          <w14:ligatures w14:val="none"/>
        </w:rPr>
      </w:pPr>
      <w:r>
        <w:rPr>
          <w:rFonts w:ascii="Times New Roman" w:hAnsi="Times New Roman" w:eastAsia="Calibri" w:cs="Times New Roman"/>
          <w:kern w:val="0"/>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9C6E490">
      <w:pPr>
        <w:spacing w:after="0" w:line="240" w:lineRule="auto"/>
        <w:jc w:val="both"/>
        <w:rPr>
          <w:rFonts w:ascii="Times New Roman" w:hAnsi="Times New Roman" w:eastAsia="Calibri" w:cs="Times New Roman"/>
          <w:kern w:val="0"/>
          <w:lang w:val="en-US"/>
          <w14:ligatures w14:val="none"/>
        </w:rPr>
      </w:pPr>
    </w:p>
    <w:p w14:paraId="5D5AF020">
      <w:pPr>
        <w:spacing w:after="200" w:line="276" w:lineRule="auto"/>
        <w:rPr>
          <w:rFonts w:ascii="Cambria" w:hAnsi="Cambria" w:eastAsia="Times New Roman" w:cs="Arial"/>
          <w:b/>
          <w:bCs/>
          <w:kern w:val="0"/>
          <w:lang w:val="en-GB" w:eastAsia="en-GB"/>
          <w14:ligatures w14:val="none"/>
        </w:rPr>
      </w:pPr>
      <w:r>
        <w:rPr>
          <w:rFonts w:ascii="Cambria" w:hAnsi="Cambria" w:eastAsia="Times New Roman" w:cs="Arial"/>
          <w:b/>
          <w:bCs/>
          <w:kern w:val="0"/>
          <w:lang w:val="en-GB" w:eastAsia="en-GB"/>
          <w14:ligatures w14:val="none"/>
        </w:rPr>
        <w:t>COMPETING INTERESTS DISCLAIMER:</w:t>
      </w:r>
    </w:p>
    <w:p w14:paraId="04BAD6E4">
      <w:pPr>
        <w:spacing w:after="200" w:line="276" w:lineRule="auto"/>
        <w:rPr>
          <w:rFonts w:ascii="Cambria" w:hAnsi="Cambria" w:eastAsia="Times New Roman" w:cs="Times New Roman"/>
          <w:kern w:val="0"/>
          <w:lang w:val="en-GB" w:eastAsia="en-GB"/>
          <w14:ligatures w14:val="none"/>
        </w:rPr>
      </w:pPr>
      <w:r>
        <w:rPr>
          <w:rFonts w:ascii="Cambria" w:hAnsi="Cambria" w:eastAsia="Times New Roman" w:cs="Arial"/>
          <w:kern w:val="0"/>
          <w:lang w:val="en-GB" w:eastAsia="en-GB"/>
          <w14:ligatures w14:val="none"/>
        </w:rPr>
        <w:t xml:space="preserve">Authors have declared that they have no known competing financial interests OR non-financial interests OR personal relationships that could have appeared to influence the work reported in </w:t>
      </w:r>
      <w:bookmarkStart w:id="0" w:name="_GoBack"/>
      <w:bookmarkEnd w:id="0"/>
      <w:r>
        <w:rPr>
          <w:rFonts w:ascii="Cambria" w:hAnsi="Cambria" w:eastAsia="Times New Roman" w:cs="Arial"/>
          <w:kern w:val="0"/>
          <w:lang w:val="en-GB" w:eastAsia="en-GB"/>
          <w14:ligatures w14:val="none"/>
        </w:rPr>
        <w:t>this paper.</w:t>
      </w:r>
    </w:p>
    <w:p w14:paraId="73A1D59C">
      <w:pPr>
        <w:spacing w:after="0" w:line="240" w:lineRule="auto"/>
        <w:jc w:val="both"/>
        <w:rPr>
          <w:rFonts w:ascii="Times New Roman" w:hAnsi="Times New Roman" w:eastAsia="Calibri" w:cs="Times New Roman"/>
          <w:kern w:val="0"/>
          <w:lang w:val="en-US"/>
          <w14:ligatures w14:val="none"/>
        </w:rPr>
      </w:pPr>
    </w:p>
    <w:p w14:paraId="503706B9">
      <w:pPr>
        <w:spacing w:line="480" w:lineRule="auto"/>
        <w:jc w:val="both"/>
        <w:rPr>
          <w:rFonts w:ascii="Times New Roman" w:hAnsi="Times New Roman" w:cs="Times New Roman"/>
          <w:sz w:val="24"/>
          <w:szCs w:val="24"/>
        </w:rPr>
      </w:pPr>
    </w:p>
    <w:p w14:paraId="7AC7884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References:</w:t>
      </w:r>
      <w:r>
        <w:commentReference w:id="6"/>
      </w:r>
    </w:p>
    <w:p w14:paraId="64D2F6A6">
      <w:pPr>
        <w:pStyle w:val="42"/>
        <w:spacing w:line="360" w:lineRule="auto"/>
        <w:ind w:left="709" w:hanging="709"/>
        <w:rPr>
          <w:rFonts w:ascii="Times New Roman" w:hAnsi="Times New Roman" w:cs="Times New Roman"/>
          <w:b/>
          <w:bCs/>
          <w:sz w:val="24"/>
          <w:szCs w:val="24"/>
        </w:rPr>
      </w:pPr>
      <w:r>
        <w:rPr>
          <w:rFonts w:ascii="Times New Roman" w:hAnsi="Times New Roman" w:cs="Times New Roman"/>
          <w:sz w:val="24"/>
          <w:szCs w:val="24"/>
        </w:rPr>
        <w:t>Acharji, M. N., &amp; Kripalani, M. B. (1951). Contributions to the Fauna of the Manipur State, Assam. IV. Reptilia. </w:t>
      </w:r>
      <w:r>
        <w:rPr>
          <w:rFonts w:ascii="Times New Roman" w:hAnsi="Times New Roman" w:cs="Times New Roman"/>
          <w:i/>
          <w:iCs/>
          <w:sz w:val="24"/>
          <w:szCs w:val="24"/>
        </w:rPr>
        <w:t>Records of the Zoological Survey of India</w:t>
      </w:r>
      <w:r>
        <w:rPr>
          <w:rFonts w:ascii="Times New Roman" w:hAnsi="Times New Roman" w:cs="Times New Roman"/>
          <w:sz w:val="24"/>
          <w:szCs w:val="24"/>
        </w:rPr>
        <w:t>, 93-100.</w:t>
      </w:r>
    </w:p>
    <w:p w14:paraId="0C4D32AC">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Ahsan, M. F., Haidar, I. K. A., &amp; Rahman, M. M. (2015). Status and diversity of snakes (Reptilia: Squamata: Serpentes) at the Chittagong University campus in Chittagong, Bangladesh. </w:t>
      </w:r>
      <w:r>
        <w:rPr>
          <w:rFonts w:ascii="Times New Roman" w:hAnsi="Times New Roman" w:cs="Times New Roman"/>
          <w:i/>
          <w:iCs/>
          <w:sz w:val="24"/>
          <w:szCs w:val="24"/>
        </w:rPr>
        <w:t>Journal of Threatened Taxa</w:t>
      </w:r>
      <w:r>
        <w:rPr>
          <w:rFonts w:ascii="Times New Roman" w:hAnsi="Times New Roman" w:cs="Times New Roman"/>
          <w:sz w:val="24"/>
          <w:szCs w:val="24"/>
        </w:rPr>
        <w:t>, </w:t>
      </w:r>
      <w:commentRangeStart w:id="7"/>
      <w:r>
        <w:rPr>
          <w:rFonts w:ascii="Times New Roman" w:hAnsi="Times New Roman" w:cs="Times New Roman"/>
          <w:i/>
          <w:iCs/>
          <w:sz w:val="24"/>
          <w:szCs w:val="24"/>
        </w:rPr>
        <w:t>7</w:t>
      </w:r>
      <w:r>
        <w:rPr>
          <w:rFonts w:ascii="Times New Roman" w:hAnsi="Times New Roman" w:cs="Times New Roman"/>
          <w:sz w:val="24"/>
          <w:szCs w:val="24"/>
        </w:rPr>
        <w:t>(14), 8159-8166.</w:t>
      </w:r>
      <w:commentRangeEnd w:id="7"/>
      <w:r>
        <w:commentReference w:id="7"/>
      </w:r>
    </w:p>
    <w:p w14:paraId="089DA756">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Basfore, B., M.J. Kalita, N. Sharma &amp; A.R. Boro (2024).</w:t>
      </w:r>
      <w:r>
        <w:rPr>
          <w:rFonts w:ascii="Times New Roman" w:hAnsi="Times New Roman" w:cs="Times New Roman"/>
          <w:b/>
          <w:bCs/>
          <w:sz w:val="24"/>
          <w:szCs w:val="24"/>
        </w:rPr>
        <w:t xml:space="preserve"> </w:t>
      </w:r>
      <w:r>
        <w:rPr>
          <w:rFonts w:ascii="Times New Roman" w:hAnsi="Times New Roman" w:cs="Times New Roman"/>
          <w:sz w:val="24"/>
          <w:szCs w:val="24"/>
        </w:rPr>
        <w:t xml:space="preserve">An updated checklist of snakes (Reptilia: Squamata) in northeastern India derived from a review of recent literature. </w:t>
      </w:r>
      <w:r>
        <w:rPr>
          <w:rFonts w:ascii="Times New Roman" w:hAnsi="Times New Roman" w:cs="Times New Roman"/>
          <w:i/>
          <w:iCs/>
          <w:sz w:val="24"/>
          <w:szCs w:val="24"/>
        </w:rPr>
        <w:t xml:space="preserve">Journal of Threatened Taxa </w:t>
      </w:r>
      <w:commentRangeStart w:id="8"/>
      <w:r>
        <w:rPr>
          <w:rFonts w:ascii="Times New Roman" w:hAnsi="Times New Roman" w:cs="Times New Roman"/>
          <w:sz w:val="24"/>
          <w:szCs w:val="24"/>
        </w:rPr>
        <w:t>16(11): 26131–26149.</w:t>
      </w:r>
      <w:commentRangeEnd w:id="8"/>
      <w:r>
        <w:commentReference w:id="8"/>
      </w:r>
      <w:r>
        <w:rPr>
          <w:rFonts w:ascii="Times New Roman" w:hAnsi="Times New Roman" w:cs="Times New Roman"/>
          <w:sz w:val="24"/>
          <w:szCs w:val="24"/>
        </w:rPr>
        <w:t xml:space="preserve"> https://doi.org/10.11609/ jott.8741.16.11.26131-26149 </w:t>
      </w:r>
    </w:p>
    <w:p w14:paraId="23294039">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Basumatary, M. J., Bhuyan, A., &amp; Doley, R. (2025). Diversity of snakes (Reptilia: Serpentes) in the Tezpur University Campus, Assam, India. </w:t>
      </w:r>
      <w:r>
        <w:rPr>
          <w:rFonts w:ascii="Times New Roman" w:hAnsi="Times New Roman" w:cs="Times New Roman"/>
          <w:i/>
          <w:iCs/>
          <w:sz w:val="24"/>
          <w:szCs w:val="24"/>
        </w:rPr>
        <w:t>Journal of Threatened Taxa</w:t>
      </w:r>
      <w:r>
        <w:rPr>
          <w:rFonts w:ascii="Times New Roman" w:hAnsi="Times New Roman" w:cs="Times New Roman"/>
          <w:sz w:val="24"/>
          <w:szCs w:val="24"/>
        </w:rPr>
        <w:t>, </w:t>
      </w:r>
      <w:r>
        <w:rPr>
          <w:rFonts w:ascii="Times New Roman" w:hAnsi="Times New Roman" w:cs="Times New Roman"/>
          <w:i/>
          <w:iCs/>
          <w:sz w:val="24"/>
          <w:szCs w:val="24"/>
        </w:rPr>
        <w:t>17</w:t>
      </w:r>
      <w:r>
        <w:rPr>
          <w:rFonts w:ascii="Times New Roman" w:hAnsi="Times New Roman" w:cs="Times New Roman"/>
          <w:sz w:val="24"/>
          <w:szCs w:val="24"/>
        </w:rPr>
        <w:t>(9), 27444-27455.</w:t>
      </w:r>
    </w:p>
    <w:p w14:paraId="0091841B">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Chinnasamy, R., Subramanian, S., &amp; Ponniah, T. (2014). Snakebites in Tamil Nadu, India. Clinical   Toxinology:   Clinical   Toxinology;  Gopalakrishnakone,   P.,   Faiz, SMA, Gnanathasan, CA, Habib, AG, Fernando, R., Yang, C.-C., Vogel, CW, Tambourgi, DV, Seifert, SA, Eds, 1-23</w:t>
      </w:r>
    </w:p>
    <w:p w14:paraId="6985B887">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Crump, M.L. &amp; N.J. Scott, Jr. (1994).</w:t>
      </w:r>
      <w:r>
        <w:rPr>
          <w:rFonts w:ascii="Times New Roman" w:hAnsi="Times New Roman" w:cs="Times New Roman"/>
          <w:b/>
          <w:bCs/>
          <w:sz w:val="24"/>
          <w:szCs w:val="24"/>
        </w:rPr>
        <w:t xml:space="preserve"> </w:t>
      </w:r>
      <w:r>
        <w:rPr>
          <w:rFonts w:ascii="Times New Roman" w:hAnsi="Times New Roman" w:cs="Times New Roman"/>
          <w:sz w:val="24"/>
          <w:szCs w:val="24"/>
        </w:rPr>
        <w:t xml:space="preserve">Visual encounter surveys. Chapter 2, pp. 84–92. In: Heyer, W.R., M.A. Donnelly, R.W. McDiarmid, L-A.C. Hayek &amp; M.S. Foster (eds.). </w:t>
      </w:r>
      <w:r>
        <w:rPr>
          <w:rFonts w:ascii="Times New Roman" w:hAnsi="Times New Roman" w:cs="Times New Roman"/>
          <w:i/>
          <w:iCs/>
          <w:sz w:val="24"/>
          <w:szCs w:val="24"/>
        </w:rPr>
        <w:t>Measuring and Monitoring Biological Diversity: Standard Methods for Amphibians</w:t>
      </w:r>
      <w:r>
        <w:rPr>
          <w:rFonts w:ascii="Times New Roman" w:hAnsi="Times New Roman" w:cs="Times New Roman"/>
          <w:sz w:val="24"/>
          <w:szCs w:val="24"/>
        </w:rPr>
        <w:t>. Smithsonian Institution Press, xix + 364pp.</w:t>
      </w:r>
    </w:p>
    <w:p w14:paraId="4A050024">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Daniel, J.C. (2002). The book of Indian reptiles and amphibians, Bombay Natural History Society, Oxford University Press.</w:t>
      </w:r>
    </w:p>
    <w:p w14:paraId="3CE33600">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Dowling, H. G. (1951). A proposed standard system of counting ventrals in snakes. </w:t>
      </w:r>
      <w:r>
        <w:rPr>
          <w:rFonts w:ascii="Times New Roman" w:hAnsi="Times New Roman" w:cs="Times New Roman"/>
          <w:i/>
          <w:iCs/>
          <w:sz w:val="24"/>
          <w:szCs w:val="24"/>
        </w:rPr>
        <w:t>British Journal of Herpetology</w:t>
      </w:r>
      <w:r>
        <w:rPr>
          <w:rFonts w:ascii="Times New Roman" w:hAnsi="Times New Roman" w:cs="Times New Roman"/>
          <w:sz w:val="24"/>
          <w:szCs w:val="24"/>
        </w:rPr>
        <w:t>, </w:t>
      </w:r>
      <w:r>
        <w:rPr>
          <w:rFonts w:ascii="Times New Roman" w:hAnsi="Times New Roman" w:cs="Times New Roman"/>
          <w:i/>
          <w:iCs/>
          <w:sz w:val="24"/>
          <w:szCs w:val="24"/>
        </w:rPr>
        <w:t>1</w:t>
      </w:r>
      <w:r>
        <w:rPr>
          <w:rFonts w:ascii="Times New Roman" w:hAnsi="Times New Roman" w:cs="Times New Roman"/>
          <w:sz w:val="24"/>
          <w:szCs w:val="24"/>
        </w:rPr>
        <w:t>, 97-99.</w:t>
      </w:r>
    </w:p>
    <w:p w14:paraId="739B7E6E">
      <w:pPr>
        <w:pStyle w:val="42"/>
        <w:spacing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Elangbam, P. S., Biakzuala, L., Shinde, P., Decemson, H., Vabeiryureilai, M., &amp; Lalremsanga, H. T. (2023). Addition of four new records of pit vipers (Squamata: Crotalinae) to Manipur, India. Journal of Threatened Taxa, 15(6), Article 6. </w:t>
      </w:r>
      <w:r>
        <w:fldChar w:fldCharType="begin"/>
      </w:r>
      <w:r>
        <w:instrText xml:space="preserve"> HYPERLINK "https://doi.org/10.11609/jott.8486.15.6.23315-23326" </w:instrText>
      </w:r>
      <w:r>
        <w:fldChar w:fldCharType="separate"/>
      </w:r>
      <w:r>
        <w:rPr>
          <w:rStyle w:val="17"/>
          <w:rFonts w:ascii="Times New Roman" w:hAnsi="Times New Roman" w:cs="Times New Roman"/>
          <w:sz w:val="24"/>
          <w:szCs w:val="24"/>
        </w:rPr>
        <w:t>https://doi.org/10.11609/jott.8486.15.6.23315-23326</w:t>
      </w:r>
      <w:r>
        <w:rPr>
          <w:rStyle w:val="17"/>
          <w:rFonts w:ascii="Times New Roman" w:hAnsi="Times New Roman" w:cs="Times New Roman"/>
          <w:sz w:val="24"/>
          <w:szCs w:val="24"/>
        </w:rPr>
        <w:fldChar w:fldCharType="end"/>
      </w:r>
    </w:p>
    <w:p w14:paraId="2F4E3966">
      <w:pPr>
        <w:pStyle w:val="42"/>
        <w:spacing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Elangbam, P. S., Singh, N. H., &amp; Naorem, M. M. (2024). First record of the Green Catsnake, Boiga cyanea Duméril, Bibron, and Duméril 1854 (Squamata: Colubridae), from Manipur, India. Reptiles &amp; Amphibians, 31(1), Article 1. </w:t>
      </w:r>
      <w:r>
        <w:fldChar w:fldCharType="begin"/>
      </w:r>
      <w:r>
        <w:instrText xml:space="preserve"> HYPERLINK "https://doi.org/10.17161/randa.v31i1.21508" </w:instrText>
      </w:r>
      <w:r>
        <w:fldChar w:fldCharType="separate"/>
      </w:r>
      <w:r>
        <w:rPr>
          <w:rStyle w:val="17"/>
          <w:rFonts w:ascii="Times New Roman" w:hAnsi="Times New Roman" w:cs="Times New Roman"/>
          <w:sz w:val="24"/>
          <w:szCs w:val="24"/>
        </w:rPr>
        <w:t>https://doi.org/10.17161/randa.v31i1.21508</w:t>
      </w:r>
      <w:r>
        <w:rPr>
          <w:rStyle w:val="17"/>
          <w:rFonts w:ascii="Times New Roman" w:hAnsi="Times New Roman" w:cs="Times New Roman"/>
          <w:sz w:val="24"/>
          <w:szCs w:val="24"/>
        </w:rPr>
        <w:fldChar w:fldCharType="end"/>
      </w:r>
    </w:p>
    <w:p w14:paraId="66FCC635">
      <w:pPr>
        <w:pStyle w:val="42"/>
        <w:spacing w:line="360" w:lineRule="auto"/>
        <w:ind w:left="709" w:hanging="709"/>
        <w:rPr>
          <w:rFonts w:ascii="Times New Roman" w:hAnsi="Times New Roman" w:cs="Times New Roman"/>
          <w:sz w:val="24"/>
          <w:szCs w:val="24"/>
        </w:rPr>
      </w:pPr>
      <w:r>
        <w:rPr>
          <w:rFonts w:ascii="Times New Roman" w:hAnsi="Times New Roman" w:cs="Times New Roman"/>
          <w:sz w:val="24"/>
          <w:szCs w:val="24"/>
        </w:rPr>
        <w:t>Elangbam, P., Decemson, H., Biakzuala, L., &amp; Lalremsanga, H. T. (2022). L.jara-Manipur. Herpetological Review, 53, 631–632.</w:t>
      </w:r>
    </w:p>
    <w:p w14:paraId="0A4CDC63">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Gogoi, T., S. Buragohain &amp; M.J. Kalita (2023). A preliminary study on diversity of snakes rescued from Gauhati University Campus, Assam. Biological Forum —An International Journal 15(6): 361–366.</w:t>
      </w:r>
    </w:p>
    <w:p w14:paraId="41AF827A">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Janani, S. &amp; S.R. Ganesh (2024). Urban college campuses as safer refuge for wildlife perceived as dangerous: a case study on snakes in Madras Christian College, Chennai, India. Journal of Fauna Biodiversity 1(2): 86–95. </w:t>
      </w:r>
      <w:r>
        <w:fldChar w:fldCharType="begin"/>
      </w:r>
      <w:r>
        <w:instrText xml:space="preserve"> HYPERLINK "https://doi.org/10.70206/jfb.v1i2.10635" </w:instrText>
      </w:r>
      <w:r>
        <w:fldChar w:fldCharType="separate"/>
      </w:r>
      <w:r>
        <w:rPr>
          <w:rStyle w:val="17"/>
          <w:rFonts w:ascii="Times New Roman" w:hAnsi="Times New Roman" w:cs="Times New Roman"/>
          <w:sz w:val="24"/>
          <w:szCs w:val="24"/>
        </w:rPr>
        <w:t>https://doi.org/10.70206/jfb.v1i2.10635</w:t>
      </w:r>
      <w:r>
        <w:rPr>
          <w:rStyle w:val="17"/>
          <w:rFonts w:ascii="Times New Roman" w:hAnsi="Times New Roman" w:cs="Times New Roman"/>
          <w:sz w:val="24"/>
          <w:szCs w:val="24"/>
        </w:rPr>
        <w:fldChar w:fldCharType="end"/>
      </w:r>
    </w:p>
    <w:p w14:paraId="052D6B39">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Khan, M., Ghosh, A., Hasan, M.K., Wangyal, J.T. &amp; Tshewang, S. (2021). </w:t>
      </w:r>
      <w:r>
        <w:rPr>
          <w:rFonts w:ascii="Times New Roman" w:hAnsi="Times New Roman" w:cs="Times New Roman"/>
          <w:i/>
          <w:iCs/>
          <w:sz w:val="24"/>
          <w:szCs w:val="24"/>
        </w:rPr>
        <w:t>Oligodon albocinctus</w:t>
      </w:r>
      <w:r>
        <w:rPr>
          <w:rFonts w:ascii="Times New Roman" w:hAnsi="Times New Roman" w:cs="Times New Roman"/>
          <w:sz w:val="24"/>
          <w:szCs w:val="24"/>
        </w:rPr>
        <w:t>. </w:t>
      </w:r>
      <w:r>
        <w:rPr>
          <w:rFonts w:ascii="Times New Roman" w:hAnsi="Times New Roman" w:cs="Times New Roman"/>
          <w:i/>
          <w:iCs/>
          <w:sz w:val="24"/>
          <w:szCs w:val="24"/>
        </w:rPr>
        <w:t>The IUCN Red List of Threatened Species</w:t>
      </w:r>
      <w:r>
        <w:rPr>
          <w:rFonts w:ascii="Times New Roman" w:hAnsi="Times New Roman" w:cs="Times New Roman"/>
          <w:sz w:val="24"/>
          <w:szCs w:val="24"/>
        </w:rPr>
        <w:t xml:space="preserve"> 2021:e.T191908A2014057.       </w:t>
      </w:r>
      <w:r>
        <w:fldChar w:fldCharType="begin"/>
      </w:r>
      <w:r>
        <w:instrText xml:space="preserve"> HYPERLINK "https://dx.doi.org/10.2305/IUCN.UK.20213.RLTS.T191908A2014057.en" </w:instrText>
      </w:r>
      <w:r>
        <w:fldChar w:fldCharType="separate"/>
      </w:r>
      <w:r>
        <w:rPr>
          <w:rStyle w:val="17"/>
          <w:rFonts w:ascii="Times New Roman" w:hAnsi="Times New Roman" w:cs="Times New Roman"/>
          <w:sz w:val="24"/>
          <w:szCs w:val="24"/>
        </w:rPr>
        <w:t>https://dx.doi.org/10.2305/IUCN.UK.20213.RLTS.T191908A2014057.en</w:t>
      </w:r>
      <w:r>
        <w:rPr>
          <w:rStyle w:val="17"/>
          <w:rFonts w:ascii="Times New Roman" w:hAnsi="Times New Roman" w:cs="Times New Roman"/>
          <w:sz w:val="24"/>
          <w:szCs w:val="24"/>
        </w:rPr>
        <w:fldChar w:fldCharType="end"/>
      </w:r>
      <w:r>
        <w:rPr>
          <w:rFonts w:ascii="Times New Roman" w:hAnsi="Times New Roman" w:cs="Times New Roman"/>
          <w:sz w:val="24"/>
          <w:szCs w:val="24"/>
        </w:rPr>
        <w:t>. Accessed on 30 April 2026.</w:t>
      </w:r>
    </w:p>
    <w:p w14:paraId="74BBD6E0">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Limbu, K.P., Ghosh, A. &amp; Das, A. (2022). </w:t>
      </w:r>
      <w:r>
        <w:rPr>
          <w:rFonts w:ascii="Times New Roman" w:hAnsi="Times New Roman" w:cs="Times New Roman"/>
          <w:i/>
          <w:iCs/>
          <w:sz w:val="24"/>
          <w:szCs w:val="24"/>
        </w:rPr>
        <w:t>Argyrophis diardii</w:t>
      </w:r>
      <w:r>
        <w:rPr>
          <w:rFonts w:ascii="Times New Roman" w:hAnsi="Times New Roman" w:cs="Times New Roman"/>
          <w:sz w:val="24"/>
          <w:szCs w:val="24"/>
        </w:rPr>
        <w:t> (amended version of 2021 assessment). </w:t>
      </w:r>
      <w:r>
        <w:rPr>
          <w:rFonts w:ascii="Times New Roman" w:hAnsi="Times New Roman" w:cs="Times New Roman"/>
          <w:i/>
          <w:iCs/>
          <w:sz w:val="24"/>
          <w:szCs w:val="24"/>
        </w:rPr>
        <w:t>The IUCN RedList of Threatened Species</w:t>
      </w:r>
      <w:r>
        <w:rPr>
          <w:rFonts w:ascii="Times New Roman" w:hAnsi="Times New Roman" w:cs="Times New Roman"/>
          <w:sz w:val="24"/>
          <w:szCs w:val="24"/>
        </w:rPr>
        <w:t xml:space="preserve"> 2022:e.T178696A219112311. </w:t>
      </w:r>
      <w:r>
        <w:fldChar w:fldCharType="begin"/>
      </w:r>
      <w:r>
        <w:instrText xml:space="preserve"> HYPERLINK "https://dx.doi.org/10.2305/IUCN.UK.20222.RLTS.T178696A219112311.en" </w:instrText>
      </w:r>
      <w:r>
        <w:fldChar w:fldCharType="separate"/>
      </w:r>
      <w:r>
        <w:rPr>
          <w:rStyle w:val="17"/>
          <w:rFonts w:ascii="Times New Roman" w:hAnsi="Times New Roman" w:cs="Times New Roman"/>
          <w:sz w:val="24"/>
          <w:szCs w:val="24"/>
        </w:rPr>
        <w:t>https://dx.doi.org/10.2305/IUCN.UK.20222.RLTS.T178696A219112311.en</w:t>
      </w:r>
      <w:r>
        <w:rPr>
          <w:rStyle w:val="17"/>
          <w:rFonts w:ascii="Times New Roman" w:hAnsi="Times New Roman" w:cs="Times New Roman"/>
          <w:sz w:val="24"/>
          <w:szCs w:val="24"/>
        </w:rPr>
        <w:fldChar w:fldCharType="end"/>
      </w:r>
      <w:r>
        <w:rPr>
          <w:rFonts w:ascii="Times New Roman" w:hAnsi="Times New Roman" w:cs="Times New Roman"/>
          <w:sz w:val="24"/>
          <w:szCs w:val="24"/>
        </w:rPr>
        <w:t>. Accessed on 30 April 2026.</w:t>
      </w:r>
    </w:p>
    <w:p w14:paraId="085C5218">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Mathew, R. (2005). Reptilia: Squamata. In: Alfred, J.R.B. (ed.). Fauna of Manipur. Part 1. Vertebrates and animal fossils. State fauna series 10. Zoological Survey of India, Kolkata. pp. 119-122. </w:t>
      </w:r>
    </w:p>
    <w:p w14:paraId="58C60928">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Mohapatra, P.P., S.Ray, B.Bhupathy, K.Deuti &amp; P.G.S. Sethy (2025). Checklist of Fauna of India: Reptilia. Version 2.0. Zoological Survey India. DOI: </w:t>
      </w:r>
      <w:r>
        <w:fldChar w:fldCharType="begin"/>
      </w:r>
      <w:r>
        <w:instrText xml:space="preserve"> HYPERLINK "https://doi.org/10.26515/Fauna/2/2025/Chordata" </w:instrText>
      </w:r>
      <w:r>
        <w:fldChar w:fldCharType="separate"/>
      </w:r>
      <w:r>
        <w:rPr>
          <w:rStyle w:val="17"/>
          <w:rFonts w:ascii="Times New Roman" w:hAnsi="Times New Roman" w:cs="Times New Roman"/>
          <w:sz w:val="24"/>
          <w:szCs w:val="24"/>
        </w:rPr>
        <w:t>https://doi.org/10.26515/Fauna/2/2025/Chordata</w:t>
      </w:r>
      <w:r>
        <w:rPr>
          <w:rStyle w:val="17"/>
          <w:rFonts w:ascii="Times New Roman" w:hAnsi="Times New Roman" w:cs="Times New Roman"/>
          <w:sz w:val="24"/>
          <w:szCs w:val="24"/>
        </w:rPr>
        <w:fldChar w:fldCharType="end"/>
      </w:r>
      <w:r>
        <w:rPr>
          <w:rFonts w:ascii="Times New Roman" w:hAnsi="Times New Roman" w:cs="Times New Roman"/>
          <w:sz w:val="24"/>
          <w:szCs w:val="24"/>
        </w:rPr>
        <w:t>: Reptilia</w:t>
      </w:r>
    </w:p>
    <w:p w14:paraId="405A2457">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Nair, G.R. (2017). Snake worship in India. Publications Division Ministry of Information &amp; Broadcasting, New Delhi, India. </w:t>
      </w:r>
    </w:p>
    <w:p w14:paraId="2740F0A8">
      <w:pPr>
        <w:pStyle w:val="42"/>
        <w:spacing w:line="360" w:lineRule="auto"/>
        <w:ind w:left="709" w:hanging="709"/>
        <w:rPr>
          <w:rFonts w:ascii="Times New Roman" w:hAnsi="Times New Roman" w:cs="Times New Roman"/>
          <w:sz w:val="24"/>
          <w:szCs w:val="24"/>
        </w:rPr>
      </w:pPr>
      <w:r>
        <w:rPr>
          <w:rFonts w:ascii="Times New Roman" w:hAnsi="Times New Roman" w:cs="Times New Roman"/>
          <w:sz w:val="24"/>
          <w:szCs w:val="24"/>
        </w:rPr>
        <w:t>Nguyen, T.Q., Thy, N., Chan-Ard, T., Srinivasulu, C., Srinivasulu, B., Das, A., &amp; Mohapatra, P. (2022). </w:t>
      </w:r>
      <w:r>
        <w:rPr>
          <w:rFonts w:ascii="Times New Roman" w:hAnsi="Times New Roman" w:cs="Times New Roman"/>
          <w:i/>
          <w:iCs/>
          <w:sz w:val="24"/>
          <w:szCs w:val="24"/>
        </w:rPr>
        <w:t>Coelognathus radiatus</w:t>
      </w:r>
      <w:r>
        <w:rPr>
          <w:rFonts w:ascii="Times New Roman" w:hAnsi="Times New Roman" w:cs="Times New Roman"/>
          <w:sz w:val="24"/>
          <w:szCs w:val="24"/>
        </w:rPr>
        <w:t> (amended version of 2014 assessment). </w:t>
      </w:r>
      <w:r>
        <w:rPr>
          <w:rFonts w:ascii="Times New Roman" w:hAnsi="Times New Roman" w:cs="Times New Roman"/>
          <w:i/>
          <w:iCs/>
          <w:sz w:val="24"/>
          <w:szCs w:val="24"/>
        </w:rPr>
        <w:t>The IUCN Red List of Threatened Species</w:t>
      </w:r>
      <w:r>
        <w:rPr>
          <w:rFonts w:ascii="Times New Roman" w:hAnsi="Times New Roman" w:cs="Times New Roman"/>
          <w:sz w:val="24"/>
          <w:szCs w:val="24"/>
        </w:rPr>
        <w:t> 2022:e.T191907A217765466.</w:t>
      </w:r>
    </w:p>
    <w:p w14:paraId="159DC4AB">
      <w:pPr>
        <w:pStyle w:val="42"/>
        <w:spacing w:line="360" w:lineRule="auto"/>
        <w:ind w:left="709"/>
        <w:rPr>
          <w:rFonts w:ascii="Times New Roman" w:hAnsi="Times New Roman" w:cs="Times New Roman"/>
          <w:sz w:val="24"/>
          <w:szCs w:val="24"/>
        </w:rPr>
      </w:pPr>
      <w:r>
        <w:fldChar w:fldCharType="begin"/>
      </w:r>
      <w:r>
        <w:instrText xml:space="preserve"> HYPERLINK "https://dx.doi.org/10.2305/IUCN.UK.2022-1.RLTS.T191907A217765466.en" </w:instrText>
      </w:r>
      <w:r>
        <w:fldChar w:fldCharType="separate"/>
      </w:r>
      <w:r>
        <w:rPr>
          <w:rStyle w:val="17"/>
          <w:rFonts w:ascii="Times New Roman" w:hAnsi="Times New Roman" w:cs="Times New Roman"/>
          <w:sz w:val="24"/>
          <w:szCs w:val="24"/>
        </w:rPr>
        <w:t>https://dx.doi.org/10.2305/IUCN.UK.2022-1.RLTS.T191907A217765466.en</w:t>
      </w:r>
      <w:r>
        <w:rPr>
          <w:rStyle w:val="17"/>
          <w:rFonts w:ascii="Times New Roman" w:hAnsi="Times New Roman" w:cs="Times New Roman"/>
          <w:sz w:val="24"/>
          <w:szCs w:val="24"/>
        </w:rPr>
        <w:fldChar w:fldCharType="end"/>
      </w:r>
      <w:r>
        <w:rPr>
          <w:rFonts w:ascii="Times New Roman" w:hAnsi="Times New Roman" w:cs="Times New Roman"/>
          <w:sz w:val="24"/>
          <w:szCs w:val="24"/>
        </w:rPr>
        <w:t>. Accessed on 30 April 2026.</w:t>
      </w:r>
    </w:p>
    <w:p w14:paraId="5D30EB28">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Öhman, A. &amp; S. Mineka (2003).</w:t>
      </w:r>
      <w:r>
        <w:rPr>
          <w:rFonts w:ascii="Times New Roman" w:hAnsi="Times New Roman" w:cs="Times New Roman"/>
          <w:b/>
          <w:bCs/>
          <w:sz w:val="24"/>
          <w:szCs w:val="24"/>
        </w:rPr>
        <w:t xml:space="preserve"> </w:t>
      </w:r>
      <w:r>
        <w:rPr>
          <w:rFonts w:ascii="Times New Roman" w:hAnsi="Times New Roman" w:cs="Times New Roman"/>
          <w:sz w:val="24"/>
          <w:szCs w:val="24"/>
        </w:rPr>
        <w:t xml:space="preserve">The malicious serpent: snakes as a prototypical stimulus for an evolved module of fear. </w:t>
      </w:r>
      <w:r>
        <w:rPr>
          <w:rFonts w:ascii="Times New Roman" w:hAnsi="Times New Roman" w:cs="Times New Roman"/>
          <w:i/>
          <w:iCs/>
          <w:sz w:val="24"/>
          <w:szCs w:val="24"/>
        </w:rPr>
        <w:t xml:space="preserve">Current Directions in Psychological Science </w:t>
      </w:r>
      <w:r>
        <w:rPr>
          <w:rFonts w:ascii="Times New Roman" w:hAnsi="Times New Roman" w:cs="Times New Roman"/>
          <w:sz w:val="24"/>
          <w:szCs w:val="24"/>
        </w:rPr>
        <w:t xml:space="preserve">12(1): 5–9. </w:t>
      </w:r>
    </w:p>
    <w:p w14:paraId="38BA374C">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Purkayastha, J., M. Das &amp; S. Sengupta (2011).</w:t>
      </w:r>
      <w:r>
        <w:rPr>
          <w:rFonts w:ascii="Times New Roman" w:hAnsi="Times New Roman" w:cs="Times New Roman"/>
          <w:b/>
          <w:bCs/>
          <w:sz w:val="24"/>
          <w:szCs w:val="24"/>
        </w:rPr>
        <w:t xml:space="preserve"> </w:t>
      </w:r>
      <w:r>
        <w:rPr>
          <w:rFonts w:ascii="Times New Roman" w:hAnsi="Times New Roman" w:cs="Times New Roman"/>
          <w:sz w:val="24"/>
          <w:szCs w:val="24"/>
        </w:rPr>
        <w:t xml:space="preserve">Urban herpetofauna: a case study in Guwahati City of Assam, India. </w:t>
      </w:r>
      <w:r>
        <w:rPr>
          <w:rFonts w:ascii="Times New Roman" w:hAnsi="Times New Roman" w:cs="Times New Roman"/>
          <w:i/>
          <w:iCs/>
          <w:sz w:val="24"/>
          <w:szCs w:val="24"/>
        </w:rPr>
        <w:t xml:space="preserve">Herpetology Notes </w:t>
      </w:r>
      <w:r>
        <w:rPr>
          <w:rFonts w:ascii="Times New Roman" w:hAnsi="Times New Roman" w:cs="Times New Roman"/>
          <w:sz w:val="24"/>
          <w:szCs w:val="24"/>
        </w:rPr>
        <w:t xml:space="preserve">4(2011): 195–202. </w:t>
      </w:r>
    </w:p>
    <w:p w14:paraId="5AE82950">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Shome, A.R., M.M. Alam, M.F. Rabbe, M.M. Rahman &amp; M.F. Jaman (2022).</w:t>
      </w:r>
      <w:r>
        <w:rPr>
          <w:rFonts w:ascii="Times New Roman" w:hAnsi="Times New Roman" w:cs="Times New Roman"/>
          <w:b/>
          <w:bCs/>
          <w:sz w:val="24"/>
          <w:szCs w:val="24"/>
        </w:rPr>
        <w:t xml:space="preserve"> </w:t>
      </w:r>
      <w:r>
        <w:rPr>
          <w:rFonts w:ascii="Times New Roman" w:hAnsi="Times New Roman" w:cs="Times New Roman"/>
          <w:sz w:val="24"/>
          <w:szCs w:val="24"/>
        </w:rPr>
        <w:t xml:space="preserve">Ecology and diversity of wildlife in Dhaka University Campus, Bangladesh. </w:t>
      </w:r>
      <w:r>
        <w:rPr>
          <w:rFonts w:ascii="Times New Roman" w:hAnsi="Times New Roman" w:cs="Times New Roman"/>
          <w:i/>
          <w:iCs/>
          <w:sz w:val="24"/>
          <w:szCs w:val="24"/>
        </w:rPr>
        <w:t xml:space="preserve">Dhaka University Journal of Biological Sciences </w:t>
      </w:r>
      <w:r>
        <w:rPr>
          <w:rFonts w:ascii="Times New Roman" w:hAnsi="Times New Roman" w:cs="Times New Roman"/>
          <w:sz w:val="24"/>
          <w:szCs w:val="24"/>
        </w:rPr>
        <w:t xml:space="preserve">30(3): 429–442. </w:t>
      </w:r>
      <w:r>
        <w:fldChar w:fldCharType="begin"/>
      </w:r>
      <w:r>
        <w:instrText xml:space="preserve"> HYPERLINK "https://doi.org/10.3329/dujbs.v30i3.59035" </w:instrText>
      </w:r>
      <w:r>
        <w:fldChar w:fldCharType="separate"/>
      </w:r>
      <w:r>
        <w:rPr>
          <w:rStyle w:val="17"/>
          <w:rFonts w:ascii="Times New Roman" w:hAnsi="Times New Roman" w:cs="Times New Roman"/>
          <w:sz w:val="24"/>
          <w:szCs w:val="24"/>
        </w:rPr>
        <w:t>https://doi.org/10.3329/dujbs.v30i3.59035</w:t>
      </w:r>
      <w:r>
        <w:rPr>
          <w:rStyle w:val="17"/>
          <w:rFonts w:ascii="Times New Roman" w:hAnsi="Times New Roman" w:cs="Times New Roman"/>
          <w:sz w:val="24"/>
          <w:szCs w:val="24"/>
        </w:rPr>
        <w:fldChar w:fldCharType="end"/>
      </w:r>
      <w:r>
        <w:rPr>
          <w:rFonts w:ascii="Times New Roman" w:hAnsi="Times New Roman" w:cs="Times New Roman"/>
          <w:sz w:val="24"/>
          <w:szCs w:val="24"/>
        </w:rPr>
        <w:t xml:space="preserve"> </w:t>
      </w:r>
    </w:p>
    <w:p w14:paraId="1785BF93">
      <w:pPr>
        <w:pStyle w:val="42"/>
        <w:spacing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Sinate, R., Biakzuala, L., Lalremsanga, H. T., &amp; Decemson, H. (2022). Geographic Distribution Notes. </w:t>
      </w:r>
      <w:r>
        <w:rPr>
          <w:rFonts w:ascii="Times New Roman" w:hAnsi="Times New Roman" w:cs="Times New Roman"/>
          <w:i/>
          <w:iCs/>
          <w:sz w:val="24"/>
          <w:szCs w:val="24"/>
        </w:rPr>
        <w:t>Boiga quincunciata</w:t>
      </w:r>
      <w:r>
        <w:rPr>
          <w:rFonts w:ascii="Times New Roman" w:hAnsi="Times New Roman" w:cs="Times New Roman"/>
          <w:sz w:val="24"/>
          <w:szCs w:val="24"/>
        </w:rPr>
        <w:t>. Herpetological Review, 53, 78–79.</w:t>
      </w:r>
    </w:p>
    <w:p w14:paraId="01133842">
      <w:pPr>
        <w:pStyle w:val="42"/>
        <w:spacing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Sinate, R., Decemson, H., Biakzuala, L., &amp; Lalremsanga, H. T. (2021). </w:t>
      </w:r>
      <w:r>
        <w:rPr>
          <w:rFonts w:ascii="Times New Roman" w:hAnsi="Times New Roman" w:cs="Times New Roman"/>
          <w:i/>
          <w:iCs/>
          <w:sz w:val="24"/>
          <w:szCs w:val="24"/>
        </w:rPr>
        <w:t>Bungarus niger</w:t>
      </w:r>
      <w:r>
        <w:rPr>
          <w:rFonts w:ascii="Times New Roman" w:hAnsi="Times New Roman" w:cs="Times New Roman"/>
          <w:sz w:val="24"/>
          <w:szCs w:val="24"/>
        </w:rPr>
        <w:t xml:space="preserve"> (Greater Black Krait). India. Manipur. Geographic Distribution. Herpetological Review, 52, 797</w:t>
      </w:r>
    </w:p>
    <w:p w14:paraId="5961E4E3">
      <w:pPr>
        <w:pStyle w:val="42"/>
        <w:spacing w:line="360" w:lineRule="auto"/>
        <w:ind w:left="709" w:hanging="709"/>
        <w:rPr>
          <w:rFonts w:ascii="Times New Roman" w:hAnsi="Times New Roman" w:cs="Times New Roman"/>
          <w:sz w:val="24"/>
          <w:szCs w:val="24"/>
        </w:rPr>
      </w:pPr>
      <w:r>
        <w:rPr>
          <w:rFonts w:ascii="Times New Roman" w:hAnsi="Times New Roman" w:cs="Times New Roman"/>
          <w:sz w:val="24"/>
          <w:szCs w:val="24"/>
        </w:rPr>
        <w:t xml:space="preserve">Singh, E. P., Decemson, H., Lalremsanga, H. T., Brajesh, K., Meitei, A. L., &amp; Purkayastha, J. (2025). Taxonomic notes on the Bella Ratsnake, </w:t>
      </w:r>
      <w:r>
        <w:rPr>
          <w:rFonts w:ascii="Times New Roman" w:hAnsi="Times New Roman" w:cs="Times New Roman"/>
          <w:i/>
          <w:iCs/>
          <w:sz w:val="24"/>
          <w:szCs w:val="24"/>
        </w:rPr>
        <w:t>Archelaphe bella</w:t>
      </w:r>
      <w:r>
        <w:rPr>
          <w:rFonts w:ascii="Times New Roman" w:hAnsi="Times New Roman" w:cs="Times New Roman"/>
          <w:sz w:val="24"/>
          <w:szCs w:val="24"/>
        </w:rPr>
        <w:t xml:space="preserve"> (Stanley 1917) (Reptilia: Colubridae), and the first record of the species from Manipur, India. Reptiles &amp; Amphibians, 32(1), e22517–e22517. </w:t>
      </w:r>
      <w:r>
        <w:fldChar w:fldCharType="begin"/>
      </w:r>
      <w:r>
        <w:instrText xml:space="preserve"> HYPERLINK "https://doi.org/10.17161/randa.v32i1.22517" </w:instrText>
      </w:r>
      <w:r>
        <w:fldChar w:fldCharType="separate"/>
      </w:r>
      <w:r>
        <w:rPr>
          <w:rStyle w:val="17"/>
          <w:rFonts w:ascii="Times New Roman" w:hAnsi="Times New Roman" w:cs="Times New Roman"/>
          <w:sz w:val="24"/>
          <w:szCs w:val="24"/>
        </w:rPr>
        <w:t>https://doi.org/10.17161/randa.v32i1.22517</w:t>
      </w:r>
      <w:r>
        <w:rPr>
          <w:rStyle w:val="17"/>
          <w:rFonts w:ascii="Times New Roman" w:hAnsi="Times New Roman" w:cs="Times New Roman"/>
          <w:sz w:val="24"/>
          <w:szCs w:val="24"/>
        </w:rPr>
        <w:fldChar w:fldCharType="end"/>
      </w:r>
    </w:p>
    <w:p w14:paraId="1B96B90D">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Smith, M. A. (1943). </w:t>
      </w:r>
      <w:r>
        <w:rPr>
          <w:rFonts w:ascii="Times New Roman" w:hAnsi="Times New Roman" w:cs="Times New Roman"/>
          <w:i/>
          <w:iCs/>
          <w:sz w:val="24"/>
          <w:szCs w:val="24"/>
        </w:rPr>
        <w:t>The Fauna of British India, Ceylon and Burma, Including the Whole of the Indo-Chinese Sub-region: Reptilia and Amphibia, Vol. III—Serpentes</w:t>
      </w:r>
      <w:r>
        <w:rPr>
          <w:rFonts w:ascii="Times New Roman" w:hAnsi="Times New Roman" w:cs="Times New Roman"/>
          <w:sz w:val="24"/>
          <w:szCs w:val="24"/>
        </w:rPr>
        <w:t>. London: Taylor &amp; Francis.</w:t>
      </w:r>
    </w:p>
    <w:p w14:paraId="0045EBD6">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Stuart, B. &amp; Wogan, G. (2012). </w:t>
      </w:r>
      <w:r>
        <w:rPr>
          <w:rFonts w:ascii="Times New Roman" w:hAnsi="Times New Roman" w:cs="Times New Roman"/>
          <w:i/>
          <w:iCs/>
          <w:sz w:val="24"/>
          <w:szCs w:val="24"/>
        </w:rPr>
        <w:t>Naja kaouthia</w:t>
      </w:r>
      <w:r>
        <w:rPr>
          <w:rFonts w:ascii="Times New Roman" w:hAnsi="Times New Roman" w:cs="Times New Roman"/>
          <w:sz w:val="24"/>
          <w:szCs w:val="24"/>
        </w:rPr>
        <w:t>. </w:t>
      </w:r>
      <w:r>
        <w:rPr>
          <w:rFonts w:ascii="Times New Roman" w:hAnsi="Times New Roman" w:cs="Times New Roman"/>
          <w:i/>
          <w:iCs/>
          <w:sz w:val="24"/>
          <w:szCs w:val="24"/>
        </w:rPr>
        <w:t>The IUCN Red List of Threatened Species</w:t>
      </w:r>
      <w:r>
        <w:rPr>
          <w:rFonts w:ascii="Times New Roman" w:hAnsi="Times New Roman" w:cs="Times New Roman"/>
          <w:sz w:val="24"/>
          <w:szCs w:val="24"/>
        </w:rPr>
        <w:t> 2012: e.T177487A1488122. </w:t>
      </w:r>
      <w:r>
        <w:fldChar w:fldCharType="begin"/>
      </w:r>
      <w:r>
        <w:instrText xml:space="preserve"> HYPERLINK "https://dx.doi.org/10.2305/IUCN.UK.20121.RLTS.T177487A1488122.en" </w:instrText>
      </w:r>
      <w:r>
        <w:fldChar w:fldCharType="separate"/>
      </w:r>
      <w:r>
        <w:rPr>
          <w:rStyle w:val="17"/>
          <w:rFonts w:ascii="Times New Roman" w:hAnsi="Times New Roman" w:cs="Times New Roman"/>
          <w:sz w:val="24"/>
          <w:szCs w:val="24"/>
        </w:rPr>
        <w:t>https://dx.doi.org/10.2305/IUCN.UK.20121.RLTS.T177487A1488122.en</w:t>
      </w:r>
      <w:r>
        <w:rPr>
          <w:rStyle w:val="17"/>
          <w:rFonts w:ascii="Times New Roman" w:hAnsi="Times New Roman" w:cs="Times New Roman"/>
          <w:sz w:val="24"/>
          <w:szCs w:val="24"/>
        </w:rPr>
        <w:fldChar w:fldCharType="end"/>
      </w:r>
      <w:r>
        <w:rPr>
          <w:rFonts w:ascii="Times New Roman" w:hAnsi="Times New Roman" w:cs="Times New Roman"/>
          <w:sz w:val="24"/>
          <w:szCs w:val="24"/>
        </w:rPr>
        <w:t xml:space="preserve">. Accessed on 30 April 2026. </w:t>
      </w:r>
    </w:p>
    <w:p w14:paraId="1575287E">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Stuart, B.L., Grismer, L., Thy, N., Chan-Ard, T., Nguyen, T.Q., Ghosh, A., Khan, M., &amp; Tshewang, S. (2021). </w:t>
      </w:r>
      <w:r>
        <w:rPr>
          <w:rFonts w:ascii="Times New Roman" w:hAnsi="Times New Roman" w:cs="Times New Roman"/>
          <w:i/>
          <w:iCs/>
          <w:sz w:val="24"/>
          <w:szCs w:val="24"/>
        </w:rPr>
        <w:t>Ptyas korros</w:t>
      </w:r>
      <w:r>
        <w:rPr>
          <w:rFonts w:ascii="Times New Roman" w:hAnsi="Times New Roman" w:cs="Times New Roman"/>
          <w:sz w:val="24"/>
          <w:szCs w:val="24"/>
        </w:rPr>
        <w:t>. </w:t>
      </w:r>
      <w:r>
        <w:rPr>
          <w:rFonts w:ascii="Times New Roman" w:hAnsi="Times New Roman" w:cs="Times New Roman"/>
          <w:i/>
          <w:iCs/>
          <w:sz w:val="24"/>
          <w:szCs w:val="24"/>
        </w:rPr>
        <w:t>The IUCN Red List of Threatened Species</w:t>
      </w:r>
      <w:r>
        <w:rPr>
          <w:rFonts w:ascii="Times New Roman" w:hAnsi="Times New Roman" w:cs="Times New Roman"/>
          <w:sz w:val="24"/>
          <w:szCs w:val="24"/>
        </w:rPr>
        <w:t> 2021: e.T192131A2044529. </w:t>
      </w:r>
      <w:r>
        <w:fldChar w:fldCharType="begin"/>
      </w:r>
      <w:r>
        <w:instrText xml:space="preserve"> HYPERLINK "https://dx.doi.org/10.2305/IUCN.UK.20213.RLTS.T19213A2044529.en" </w:instrText>
      </w:r>
      <w:r>
        <w:fldChar w:fldCharType="separate"/>
      </w:r>
      <w:r>
        <w:rPr>
          <w:rStyle w:val="17"/>
          <w:rFonts w:ascii="Times New Roman" w:hAnsi="Times New Roman" w:cs="Times New Roman"/>
          <w:sz w:val="24"/>
          <w:szCs w:val="24"/>
        </w:rPr>
        <w:t>https://dx.doi.org/10.2305/IUCN.UK.20213.RLTS.T19213A2044529.en</w:t>
      </w:r>
      <w:r>
        <w:rPr>
          <w:rStyle w:val="17"/>
          <w:rFonts w:ascii="Times New Roman" w:hAnsi="Times New Roman" w:cs="Times New Roman"/>
          <w:sz w:val="24"/>
          <w:szCs w:val="24"/>
        </w:rPr>
        <w:fldChar w:fldCharType="end"/>
      </w:r>
      <w:r>
        <w:rPr>
          <w:rFonts w:ascii="Times New Roman" w:hAnsi="Times New Roman" w:cs="Times New Roman"/>
          <w:sz w:val="24"/>
          <w:szCs w:val="24"/>
        </w:rPr>
        <w:t>. Accessed on 30 April 2026.</w:t>
      </w:r>
    </w:p>
    <w:p w14:paraId="4A9F22A5">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Stuart, B.L., Wogan, G., Thy, N., Nguyen, T.Q., Vogel, G., Srinivasulu, C., Srinivasulu, B., Shankar, G., Mohapatra, P., Thakur, S. &amp; Papenfuss, T. </w:t>
      </w:r>
      <w:commentRangeStart w:id="9"/>
      <w:r>
        <w:rPr>
          <w:rFonts w:ascii="Times New Roman" w:hAnsi="Times New Roman" w:cs="Times New Roman"/>
          <w:sz w:val="24"/>
          <w:szCs w:val="24"/>
        </w:rPr>
        <w:t>(2021</w:t>
      </w:r>
      <w:commentRangeEnd w:id="9"/>
      <w:r>
        <w:commentReference w:id="9"/>
      </w:r>
      <w:r>
        <w:rPr>
          <w:rFonts w:ascii="Times New Roman" w:hAnsi="Times New Roman" w:cs="Times New Roman"/>
          <w:sz w:val="24"/>
          <w:szCs w:val="24"/>
        </w:rPr>
        <w:t>). </w:t>
      </w:r>
      <w:r>
        <w:rPr>
          <w:rFonts w:ascii="Times New Roman" w:hAnsi="Times New Roman" w:cs="Times New Roman"/>
          <w:i/>
          <w:iCs/>
          <w:sz w:val="24"/>
          <w:szCs w:val="24"/>
        </w:rPr>
        <w:t>Fowlea piscator</w:t>
      </w:r>
      <w:r>
        <w:rPr>
          <w:rFonts w:ascii="Times New Roman" w:hAnsi="Times New Roman" w:cs="Times New Roman"/>
          <w:sz w:val="24"/>
          <w:szCs w:val="24"/>
        </w:rPr>
        <w:t>. </w:t>
      </w:r>
      <w:r>
        <w:rPr>
          <w:rFonts w:ascii="Times New Roman" w:hAnsi="Times New Roman" w:cs="Times New Roman"/>
          <w:i/>
          <w:iCs/>
          <w:sz w:val="24"/>
          <w:szCs w:val="24"/>
        </w:rPr>
        <w:t>The IUCN Red List of Threatened Species</w:t>
      </w:r>
      <w:r>
        <w:rPr>
          <w:rFonts w:ascii="Times New Roman" w:hAnsi="Times New Roman" w:cs="Times New Roman"/>
          <w:sz w:val="24"/>
          <w:szCs w:val="24"/>
        </w:rPr>
        <w:t> 2021:e.T172646A1358305.</w:t>
      </w:r>
      <w:r>
        <w:fldChar w:fldCharType="begin"/>
      </w:r>
      <w:r>
        <w:instrText xml:space="preserve"> HYPERLINK "https://dx.doi.org/10.2305/IUCN.UK.20213.RLTS.T172646A1358305.en" </w:instrText>
      </w:r>
      <w:r>
        <w:fldChar w:fldCharType="separate"/>
      </w:r>
      <w:r>
        <w:rPr>
          <w:rStyle w:val="17"/>
          <w:rFonts w:ascii="Times New Roman" w:hAnsi="Times New Roman" w:cs="Times New Roman"/>
          <w:sz w:val="24"/>
          <w:szCs w:val="24"/>
        </w:rPr>
        <w:t>https://dx.doi.org/10.2305/IUCN.UK.20213.RLTS.T172646A1358305.en</w:t>
      </w:r>
      <w:r>
        <w:rPr>
          <w:rStyle w:val="17"/>
          <w:rFonts w:ascii="Times New Roman" w:hAnsi="Times New Roman" w:cs="Times New Roman"/>
          <w:sz w:val="24"/>
          <w:szCs w:val="24"/>
        </w:rPr>
        <w:fldChar w:fldCharType="end"/>
      </w:r>
      <w:r>
        <w:rPr>
          <w:rFonts w:ascii="Times New Roman" w:hAnsi="Times New Roman" w:cs="Times New Roman"/>
          <w:sz w:val="24"/>
          <w:szCs w:val="24"/>
        </w:rPr>
        <w:t>. Accessed on 30 April 2026.</w:t>
      </w:r>
    </w:p>
    <w:p w14:paraId="5600F6FA">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Uetz, P., Freed, P, Aguilar, R., Reyes, F., Kudera, J. &amp; Hošek, J. (eds.) (2026) The Reptile Database, http://www.reptile-database.org, accessed [15 March 2026]</w:t>
      </w:r>
    </w:p>
    <w:p w14:paraId="7E0FBB78">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Vanlalhruaia, P.C., Malsawmsangi, Ht. Decemson &amp; H.T. Lalremsanga (2024).</w:t>
      </w:r>
      <w:r>
        <w:rPr>
          <w:rFonts w:ascii="Times New Roman" w:hAnsi="Times New Roman" w:cs="Times New Roman"/>
          <w:b/>
          <w:bCs/>
          <w:sz w:val="24"/>
          <w:szCs w:val="24"/>
        </w:rPr>
        <w:t xml:space="preserve"> </w:t>
      </w:r>
      <w:r>
        <w:rPr>
          <w:rFonts w:ascii="Times New Roman" w:hAnsi="Times New Roman" w:cs="Times New Roman"/>
          <w:sz w:val="24"/>
          <w:szCs w:val="24"/>
        </w:rPr>
        <w:t xml:space="preserve">An updated checklist of snakes in the Mizoram University Campus, Mizoram. Conference: National Seminar on Recent Trends in Biodiversity Status and Conservation. Held on 27–28 March 2024 at the Department of Zoology, Assam Don Bosco University, Guwahati, Abstract PP1: 34. </w:t>
      </w:r>
      <w:r>
        <w:fldChar w:fldCharType="begin"/>
      </w:r>
      <w:r>
        <w:instrText xml:space="preserve"> HYPERLINK "https://doi.org/10.13140/RG.2.2.27741.22245" </w:instrText>
      </w:r>
      <w:r>
        <w:fldChar w:fldCharType="separate"/>
      </w:r>
      <w:r>
        <w:rPr>
          <w:rStyle w:val="17"/>
          <w:rFonts w:ascii="Times New Roman" w:hAnsi="Times New Roman" w:cs="Times New Roman"/>
          <w:sz w:val="24"/>
          <w:szCs w:val="24"/>
        </w:rPr>
        <w:t>https://doi.org/10.13140/RG.2.2.27741.22245</w:t>
      </w:r>
      <w:r>
        <w:rPr>
          <w:rStyle w:val="17"/>
          <w:rFonts w:ascii="Times New Roman" w:hAnsi="Times New Roman" w:cs="Times New Roman"/>
          <w:sz w:val="24"/>
          <w:szCs w:val="24"/>
        </w:rPr>
        <w:fldChar w:fldCharType="end"/>
      </w:r>
      <w:r>
        <w:rPr>
          <w:rFonts w:ascii="Times New Roman" w:hAnsi="Times New Roman" w:cs="Times New Roman"/>
          <w:sz w:val="24"/>
          <w:szCs w:val="24"/>
        </w:rPr>
        <w:t xml:space="preserve"> </w:t>
      </w:r>
    </w:p>
    <w:p w14:paraId="3C97E4F4">
      <w:pPr>
        <w:pStyle w:val="42"/>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Whitaker, R. &amp; Captain, A. (2004). </w:t>
      </w:r>
      <w:r>
        <w:rPr>
          <w:rFonts w:ascii="Times New Roman" w:hAnsi="Times New Roman" w:cs="Times New Roman"/>
          <w:i/>
          <w:iCs/>
          <w:sz w:val="24"/>
          <w:szCs w:val="24"/>
        </w:rPr>
        <w:t>Snakes of India. The Field Guide.</w:t>
      </w:r>
      <w:r>
        <w:rPr>
          <w:rFonts w:ascii="Times New Roman" w:hAnsi="Times New Roman" w:cs="Times New Roman"/>
          <w:sz w:val="24"/>
          <w:szCs w:val="24"/>
        </w:rPr>
        <w:t> Draco Books, Chennai, India. </w:t>
      </w:r>
    </w:p>
    <w:p w14:paraId="2A372FF2">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Williams, H. F., Vaiyapuri, R., Gajjeraman, P., Hutchinson, G., Gibbins, J. M., Bicknell, A. B., &amp; Vaiyapuri, S. (2017). Challenges in diagnosing and treating snakebites in a rural population of Tamil Nadu, India: The views of clinicians. Toxicon, 130, 44-46.</w:t>
      </w:r>
    </w:p>
    <w:p w14:paraId="22371F72">
      <w:pPr>
        <w:pStyle w:val="42"/>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Wogan, G., Nguyen, T.Q., Srinivasulu, C., Srinivasulu, B., Shankar, G., Mohapatra, P., Diesmos, A.C. &amp; Gonzalez, J.C. (2021). </w:t>
      </w:r>
      <w:r>
        <w:rPr>
          <w:rFonts w:ascii="Times New Roman" w:hAnsi="Times New Roman" w:cs="Times New Roman"/>
          <w:i/>
          <w:iCs/>
          <w:sz w:val="24"/>
          <w:szCs w:val="24"/>
        </w:rPr>
        <w:t>Amphiesma stolatum</w:t>
      </w:r>
      <w:r>
        <w:rPr>
          <w:rFonts w:ascii="Times New Roman" w:hAnsi="Times New Roman" w:cs="Times New Roman"/>
          <w:sz w:val="24"/>
          <w:szCs w:val="24"/>
        </w:rPr>
        <w:t>. </w:t>
      </w:r>
      <w:r>
        <w:rPr>
          <w:rFonts w:ascii="Times New Roman" w:hAnsi="Times New Roman" w:cs="Times New Roman"/>
          <w:i/>
          <w:iCs/>
          <w:sz w:val="24"/>
          <w:szCs w:val="24"/>
        </w:rPr>
        <w:t>The IUCN Red List of Threatened Species</w:t>
      </w:r>
      <w:r>
        <w:rPr>
          <w:rFonts w:ascii="Times New Roman" w:hAnsi="Times New Roman" w:cs="Times New Roman"/>
          <w:sz w:val="24"/>
          <w:szCs w:val="24"/>
        </w:rPr>
        <w:t xml:space="preserve"> 2021:e.T172661A1361618. https://dx.doi.org/10.2305/IUCN.UK.20213.RLTS.T172661A1361618.en. Accessed on 30 April 2026. </w:t>
      </w:r>
    </w:p>
    <w:p w14:paraId="78B26642">
      <w:pPr>
        <w:spacing w:line="480" w:lineRule="auto"/>
        <w:jc w:val="both"/>
        <w:rPr>
          <w:rFonts w:ascii="Times New Roman" w:hAnsi="Times New Roman" w:cs="Times New Roman"/>
          <w:sz w:val="24"/>
          <w:szCs w:val="24"/>
        </w:rPr>
      </w:pPr>
    </w:p>
    <w:sectPr>
      <w:headerReference r:id="rId9" w:type="first"/>
      <w:footerReference r:id="rId12" w:type="first"/>
      <w:headerReference r:id="rId7" w:type="default"/>
      <w:footerReference r:id="rId10" w:type="default"/>
      <w:headerReference r:id="rId8" w:type="even"/>
      <w:footerReference r:id="rId11" w:type="even"/>
      <w:pgSz w:w="11906" w:h="16838"/>
      <w:pgMar w:top="1440" w:right="1440" w:bottom="1440" w:left="1440" w:header="708" w:footer="708" w:gutter="0"/>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Dr. Jitendra Kumar" w:date="2026-07-21T21:17:21Z" w:initials="">
    <w:p w14:paraId="6F90ED7A">
      <w:pPr>
        <w:pStyle w:val="13"/>
        <w:rPr>
          <w:rFonts w:hint="default"/>
          <w:lang w:val="en-US"/>
        </w:rPr>
      </w:pPr>
      <w:r>
        <w:rPr>
          <w:rFonts w:hint="default"/>
          <w:lang w:val="en-US"/>
        </w:rPr>
        <w:t>Replace “AIM” with “Objective” to align with standard scientific writing.</w:t>
      </w:r>
    </w:p>
  </w:comment>
  <w:comment w:id="1" w:author="Dr. Jitendra Kumar" w:date="2026-07-21T21:20:40Z" w:initials="">
    <w:p w14:paraId="218332EB">
      <w:pPr>
        <w:pStyle w:val="13"/>
      </w:pPr>
      <w:r>
        <w:rPr>
          <w:rFonts w:hint="default"/>
        </w:rPr>
        <w:t>The “Study Design” section is incomplete and should be clearly stated.</w:t>
      </w:r>
    </w:p>
  </w:comment>
  <w:comment w:id="2" w:author="Dr. Jitendra Kumar" w:date="2026-07-21T21:24:02Z" w:initials="">
    <w:p w14:paraId="08EA9B8B">
      <w:pPr>
        <w:pStyle w:val="13"/>
        <w:rPr>
          <w:rFonts w:hint="default"/>
          <w:lang w:val="en-US"/>
        </w:rPr>
      </w:pPr>
      <w:r>
        <w:rPr>
          <w:rFonts w:hint="default"/>
          <w:lang w:val="en-US"/>
        </w:rPr>
        <w:t>Add some keywords</w:t>
      </w:r>
    </w:p>
  </w:comment>
  <w:comment w:id="3" w:author="Dr. Jitendra Kumar" w:date="2026-07-21T22:01:55Z" w:initials="">
    <w:p w14:paraId="0932FECB">
      <w:pPr>
        <w:pStyle w:val="13"/>
        <w:rPr>
          <w:rFonts w:hint="default"/>
          <w:lang w:val="en-US"/>
        </w:rPr>
      </w:pPr>
      <w:r>
        <w:rPr>
          <w:rFonts w:hint="default"/>
          <w:lang w:val="en-US"/>
        </w:rPr>
        <w:t>Add Reference</w:t>
      </w:r>
    </w:p>
  </w:comment>
  <w:comment w:id="5" w:author="Dr. Jitendra Kumar" w:date="2026-07-21T21:27:35Z" w:initials="">
    <w:p w14:paraId="6C4D4A9E">
      <w:pPr>
        <w:pStyle w:val="13"/>
        <w:rPr>
          <w:rFonts w:hint="default"/>
          <w:lang w:val="en-US"/>
        </w:rPr>
      </w:pPr>
      <w:r>
        <w:rPr>
          <w:rFonts w:hint="default"/>
          <w:lang w:val="en-US"/>
        </w:rPr>
        <w:t>Altitude and Latitude</w:t>
      </w:r>
    </w:p>
  </w:comment>
  <w:comment w:id="4" w:author="Dr. Jitendra Kumar" w:date="2026-07-21T22:02:40Z" w:initials="">
    <w:p w14:paraId="00CE4FF8">
      <w:pPr>
        <w:pStyle w:val="13"/>
        <w:rPr>
          <w:rFonts w:hint="default"/>
          <w:lang w:val="en-US"/>
        </w:rPr>
      </w:pPr>
      <w:r>
        <w:rPr>
          <w:rFonts w:hint="default"/>
          <w:lang w:val="en-US"/>
        </w:rPr>
        <w:t>Add reference</w:t>
      </w:r>
    </w:p>
  </w:comment>
  <w:comment w:id="6" w:author="Dr. Jitendra Kumar" w:date="2026-07-21T22:20:33Z" w:initials="">
    <w:p w14:paraId="4623C5B7">
      <w:pPr>
        <w:pStyle w:val="13"/>
        <w:rPr>
          <w:rFonts w:hint="default"/>
          <w:lang w:val="en-US"/>
        </w:rPr>
      </w:pPr>
      <w:r>
        <w:rPr>
          <w:rFonts w:hint="default"/>
          <w:lang w:val="en-US"/>
        </w:rPr>
        <w:t>Recheck all references</w:t>
      </w:r>
    </w:p>
  </w:comment>
  <w:comment w:id="7" w:author="Dr. Jitendra Kumar" w:date="2026-07-21T22:18:40Z" w:initials="">
    <w:p w14:paraId="4228FAD2">
      <w:pPr>
        <w:pStyle w:val="13"/>
        <w:rPr>
          <w:rFonts w:hint="default"/>
          <w:lang w:val="en-US"/>
        </w:rPr>
      </w:pPr>
      <w:r>
        <w:rPr>
          <w:rFonts w:hint="default"/>
          <w:lang w:val="en-US"/>
        </w:rPr>
        <w:t>References should be in accordance of journal guidelines</w:t>
      </w:r>
    </w:p>
  </w:comment>
  <w:comment w:id="8" w:author="Dr. Jitendra Kumar" w:date="2026-07-21T22:19:50Z" w:initials="">
    <w:p w14:paraId="6B274253">
      <w:pPr>
        <w:pStyle w:val="13"/>
      </w:pPr>
      <w:r>
        <w:rPr>
          <w:rFonts w:hint="default"/>
          <w:lang w:val="en-US"/>
        </w:rPr>
        <w:t>References should be in accordance of journal guidelines</w:t>
      </w:r>
    </w:p>
  </w:comment>
  <w:comment w:id="9" w:author="Dr. Jitendra Kumar" w:date="2026-07-21T22:16:13Z" w:initials="">
    <w:p w14:paraId="232EB352">
      <w:pPr>
        <w:pStyle w:val="13"/>
        <w:rPr>
          <w:rFonts w:hint="default"/>
          <w:lang w:val="en-US"/>
        </w:rPr>
      </w:pPr>
      <w:r>
        <w:rPr>
          <w:rFonts w:hint="default"/>
          <w:lang w:val="en-US"/>
        </w:rPr>
        <w:t>Should be 2012</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F90ED7A" w15:done="0"/>
  <w15:commentEx w15:paraId="218332EB" w15:done="0"/>
  <w15:commentEx w15:paraId="08EA9B8B" w15:done="0"/>
  <w15:commentEx w15:paraId="0932FECB" w15:done="0"/>
  <w15:commentEx w15:paraId="6C4D4A9E" w15:done="0"/>
  <w15:commentEx w15:paraId="00CE4FF8" w15:done="0"/>
  <w15:commentEx w15:paraId="4623C5B7" w15:done="0"/>
  <w15:commentEx w15:paraId="4228FAD2" w15:done="0"/>
  <w15:commentEx w15:paraId="6B274253" w15:done="0"/>
  <w15:commentEx w15:paraId="232EB35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7C986">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3372D">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FCD2A">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1D3E9">
    <w:pPr>
      <w:pStyle w:val="16"/>
    </w:pPr>
    <w:r>
      <w:pict>
        <v:shape id="PowerPlusWaterMarkObject442108595" o:spid="_x0000_s1027" o:spt="136" type="#_x0000_t136" style="position:absolute;left:0pt;height:100.45pt;width:535.8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UNDER PEER REVIEW" style="font-family:Calibri;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53EC7E">
    <w:pPr>
      <w:pStyle w:val="16"/>
    </w:pPr>
    <w:r>
      <w:pict>
        <v:shape id="PowerPlusWaterMarkObject442108594" o:spid="_x0000_s1026" o:spt="136" type="#_x0000_t136" style="position:absolute;left:0pt;height:100.45pt;width:535.8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path="t" trim="f" xscale="f" string="UNDER PEER REVIEW" style="font-family:Calibri;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48EA4">
    <w:pPr>
      <w:pStyle w:val="16"/>
    </w:pPr>
    <w:r>
      <w:pict>
        <v:shape id="PowerPlusWaterMarkObject442108593" o:spid="_x0000_s1025" o:spt="136" type="#_x0000_t136" style="position:absolute;left:0pt;height:100.45pt;width:535.8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path="t" trim="f" xscale="f" string="UNDER PEER REVIEW" style="font-family:Calibri;font-size:1pt;v-text-align:center;"/>
        </v:shape>
      </w:pic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r. Jitendra Kumar">
    <w15:presenceInfo w15:providerId="WPS Office" w15:userId="6122600608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hdrShapeDefaults>
    <o:shapelayout v:ext="edit">
      <o:idmap v:ext="edit" data="1"/>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A11"/>
    <w:rsid w:val="000009A0"/>
    <w:rsid w:val="0001427F"/>
    <w:rsid w:val="00024706"/>
    <w:rsid w:val="00075116"/>
    <w:rsid w:val="000775E5"/>
    <w:rsid w:val="00091A91"/>
    <w:rsid w:val="000949E1"/>
    <w:rsid w:val="000E64F3"/>
    <w:rsid w:val="000F0BF5"/>
    <w:rsid w:val="000F37F9"/>
    <w:rsid w:val="000F7899"/>
    <w:rsid w:val="001001ED"/>
    <w:rsid w:val="0011498C"/>
    <w:rsid w:val="00125383"/>
    <w:rsid w:val="00144C42"/>
    <w:rsid w:val="001720F8"/>
    <w:rsid w:val="001900BA"/>
    <w:rsid w:val="00196A04"/>
    <w:rsid w:val="001A47A1"/>
    <w:rsid w:val="001B0B64"/>
    <w:rsid w:val="001C148A"/>
    <w:rsid w:val="002010BB"/>
    <w:rsid w:val="002171A1"/>
    <w:rsid w:val="002246F8"/>
    <w:rsid w:val="00224DF2"/>
    <w:rsid w:val="002311C6"/>
    <w:rsid w:val="00245257"/>
    <w:rsid w:val="002461AF"/>
    <w:rsid w:val="002570CD"/>
    <w:rsid w:val="0027770D"/>
    <w:rsid w:val="00283DE0"/>
    <w:rsid w:val="00295C4D"/>
    <w:rsid w:val="002A2064"/>
    <w:rsid w:val="002A3A74"/>
    <w:rsid w:val="002B31BE"/>
    <w:rsid w:val="002C00CC"/>
    <w:rsid w:val="002F6D06"/>
    <w:rsid w:val="00302FBD"/>
    <w:rsid w:val="00313857"/>
    <w:rsid w:val="00326719"/>
    <w:rsid w:val="0033308D"/>
    <w:rsid w:val="00334D19"/>
    <w:rsid w:val="00350A47"/>
    <w:rsid w:val="00364BC1"/>
    <w:rsid w:val="0037055F"/>
    <w:rsid w:val="00371658"/>
    <w:rsid w:val="00381265"/>
    <w:rsid w:val="00392C01"/>
    <w:rsid w:val="003A100D"/>
    <w:rsid w:val="003A57A0"/>
    <w:rsid w:val="003F60C8"/>
    <w:rsid w:val="003F7939"/>
    <w:rsid w:val="00403ECF"/>
    <w:rsid w:val="00455407"/>
    <w:rsid w:val="00463E62"/>
    <w:rsid w:val="00472AA3"/>
    <w:rsid w:val="004B0F53"/>
    <w:rsid w:val="004B12E7"/>
    <w:rsid w:val="004B6462"/>
    <w:rsid w:val="004D557B"/>
    <w:rsid w:val="004E34E4"/>
    <w:rsid w:val="005029D5"/>
    <w:rsid w:val="00503BFE"/>
    <w:rsid w:val="00533915"/>
    <w:rsid w:val="0054531F"/>
    <w:rsid w:val="00545BFA"/>
    <w:rsid w:val="005572CE"/>
    <w:rsid w:val="00562AF1"/>
    <w:rsid w:val="00567FC8"/>
    <w:rsid w:val="005738DA"/>
    <w:rsid w:val="005771CD"/>
    <w:rsid w:val="00577F88"/>
    <w:rsid w:val="005921DE"/>
    <w:rsid w:val="00595C0A"/>
    <w:rsid w:val="005A18AE"/>
    <w:rsid w:val="005B2C29"/>
    <w:rsid w:val="005C0EFA"/>
    <w:rsid w:val="005E40E8"/>
    <w:rsid w:val="005F0CA7"/>
    <w:rsid w:val="005F1A11"/>
    <w:rsid w:val="00606F76"/>
    <w:rsid w:val="00612F17"/>
    <w:rsid w:val="00615532"/>
    <w:rsid w:val="00622565"/>
    <w:rsid w:val="006237B1"/>
    <w:rsid w:val="006611F5"/>
    <w:rsid w:val="006619B0"/>
    <w:rsid w:val="00662F55"/>
    <w:rsid w:val="0066368C"/>
    <w:rsid w:val="00674502"/>
    <w:rsid w:val="00680196"/>
    <w:rsid w:val="0068091B"/>
    <w:rsid w:val="0068317B"/>
    <w:rsid w:val="00683684"/>
    <w:rsid w:val="006908C1"/>
    <w:rsid w:val="006B4307"/>
    <w:rsid w:val="006D07AB"/>
    <w:rsid w:val="006D45B2"/>
    <w:rsid w:val="006E4327"/>
    <w:rsid w:val="00700462"/>
    <w:rsid w:val="007145B8"/>
    <w:rsid w:val="00730FE0"/>
    <w:rsid w:val="007362C0"/>
    <w:rsid w:val="007508B6"/>
    <w:rsid w:val="00762D9A"/>
    <w:rsid w:val="00763A87"/>
    <w:rsid w:val="00770263"/>
    <w:rsid w:val="007A2325"/>
    <w:rsid w:val="007A3F4F"/>
    <w:rsid w:val="007B37F9"/>
    <w:rsid w:val="007C61AD"/>
    <w:rsid w:val="007D114B"/>
    <w:rsid w:val="007E18A3"/>
    <w:rsid w:val="007E1ED2"/>
    <w:rsid w:val="007E2E1A"/>
    <w:rsid w:val="00807D8F"/>
    <w:rsid w:val="00822D4A"/>
    <w:rsid w:val="00822E6C"/>
    <w:rsid w:val="0082602B"/>
    <w:rsid w:val="00830974"/>
    <w:rsid w:val="008319BD"/>
    <w:rsid w:val="00841B30"/>
    <w:rsid w:val="00852114"/>
    <w:rsid w:val="008777EF"/>
    <w:rsid w:val="00893E1F"/>
    <w:rsid w:val="008B013F"/>
    <w:rsid w:val="008B5D47"/>
    <w:rsid w:val="008F2C0F"/>
    <w:rsid w:val="00904733"/>
    <w:rsid w:val="00922D7A"/>
    <w:rsid w:val="00925BF3"/>
    <w:rsid w:val="009319D0"/>
    <w:rsid w:val="00942CD4"/>
    <w:rsid w:val="0094636A"/>
    <w:rsid w:val="00950B28"/>
    <w:rsid w:val="00963FE4"/>
    <w:rsid w:val="00992FA6"/>
    <w:rsid w:val="009973DC"/>
    <w:rsid w:val="009A059D"/>
    <w:rsid w:val="009A415F"/>
    <w:rsid w:val="009D1A3A"/>
    <w:rsid w:val="009D1A50"/>
    <w:rsid w:val="009D4BDE"/>
    <w:rsid w:val="009E2AA2"/>
    <w:rsid w:val="009E4BED"/>
    <w:rsid w:val="009E5C1B"/>
    <w:rsid w:val="009F0A38"/>
    <w:rsid w:val="009F3B3B"/>
    <w:rsid w:val="00A01F3F"/>
    <w:rsid w:val="00A122A2"/>
    <w:rsid w:val="00A42D02"/>
    <w:rsid w:val="00A43519"/>
    <w:rsid w:val="00A53DAE"/>
    <w:rsid w:val="00A54092"/>
    <w:rsid w:val="00A635D8"/>
    <w:rsid w:val="00A75DFA"/>
    <w:rsid w:val="00AD2FE7"/>
    <w:rsid w:val="00AE4A5B"/>
    <w:rsid w:val="00AF4375"/>
    <w:rsid w:val="00B220C6"/>
    <w:rsid w:val="00B46E7F"/>
    <w:rsid w:val="00B62DC8"/>
    <w:rsid w:val="00B67647"/>
    <w:rsid w:val="00B87CD9"/>
    <w:rsid w:val="00B924AB"/>
    <w:rsid w:val="00B92E91"/>
    <w:rsid w:val="00B93AA6"/>
    <w:rsid w:val="00B93DD0"/>
    <w:rsid w:val="00BB7ADC"/>
    <w:rsid w:val="00C073F3"/>
    <w:rsid w:val="00C14230"/>
    <w:rsid w:val="00C1534A"/>
    <w:rsid w:val="00C5260D"/>
    <w:rsid w:val="00C603BE"/>
    <w:rsid w:val="00C6099D"/>
    <w:rsid w:val="00C67740"/>
    <w:rsid w:val="00C71795"/>
    <w:rsid w:val="00C7339E"/>
    <w:rsid w:val="00C80435"/>
    <w:rsid w:val="00C92488"/>
    <w:rsid w:val="00CA5F59"/>
    <w:rsid w:val="00CF38AA"/>
    <w:rsid w:val="00CF45D0"/>
    <w:rsid w:val="00CF4B95"/>
    <w:rsid w:val="00D062DF"/>
    <w:rsid w:val="00D156A5"/>
    <w:rsid w:val="00D22F54"/>
    <w:rsid w:val="00D24832"/>
    <w:rsid w:val="00D3343E"/>
    <w:rsid w:val="00D419AE"/>
    <w:rsid w:val="00D554F9"/>
    <w:rsid w:val="00D8077F"/>
    <w:rsid w:val="00D80CBE"/>
    <w:rsid w:val="00DA142B"/>
    <w:rsid w:val="00DC3649"/>
    <w:rsid w:val="00DE16C0"/>
    <w:rsid w:val="00DE2A00"/>
    <w:rsid w:val="00DE74DC"/>
    <w:rsid w:val="00DF2AA2"/>
    <w:rsid w:val="00E34D63"/>
    <w:rsid w:val="00E42CDA"/>
    <w:rsid w:val="00E47B2E"/>
    <w:rsid w:val="00E6581F"/>
    <w:rsid w:val="00E82D2F"/>
    <w:rsid w:val="00EB4F5F"/>
    <w:rsid w:val="00EB7ABC"/>
    <w:rsid w:val="00EB7B34"/>
    <w:rsid w:val="00EC0D11"/>
    <w:rsid w:val="00EC6D8D"/>
    <w:rsid w:val="00F26C78"/>
    <w:rsid w:val="00F3408F"/>
    <w:rsid w:val="00F43067"/>
    <w:rsid w:val="00F57AE7"/>
    <w:rsid w:val="00F90B8F"/>
    <w:rsid w:val="00F92524"/>
    <w:rsid w:val="00FD29F1"/>
    <w:rsid w:val="00FD5A58"/>
    <w:rsid w:val="00FE0E0C"/>
    <w:rsid w:val="00FF21FF"/>
    <w:rsid w:val="18B753BC"/>
    <w:rsid w:val="44B77EA1"/>
    <w:rsid w:val="54016E61"/>
    <w:rsid w:val="69F000DA"/>
    <w:rsid w:val="7D6A2E6F"/>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IN" w:eastAsia="en-US" w:bidi="ar-SA"/>
      <w14:ligatures w14:val="standardContextual"/>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annotation text"/>
    <w:basedOn w:val="1"/>
    <w:semiHidden/>
    <w:unhideWhenUsed/>
    <w:uiPriority w:val="99"/>
    <w:pPr>
      <w:jc w:val="left"/>
    </w:pPr>
  </w:style>
  <w:style w:type="character" w:styleId="14">
    <w:name w:val="FollowedHyperlink"/>
    <w:basedOn w:val="11"/>
    <w:semiHidden/>
    <w:unhideWhenUsed/>
    <w:qFormat/>
    <w:uiPriority w:val="99"/>
    <w:rPr>
      <w:color w:val="954F72" w:themeColor="followedHyperlink"/>
      <w:u w:val="single"/>
      <w14:textFill>
        <w14:solidFill>
          <w14:schemeClr w14:val="folHlink"/>
        </w14:solidFill>
      </w14:textFill>
    </w:rPr>
  </w:style>
  <w:style w:type="paragraph" w:styleId="15">
    <w:name w:val="footer"/>
    <w:basedOn w:val="1"/>
    <w:link w:val="41"/>
    <w:unhideWhenUsed/>
    <w:uiPriority w:val="99"/>
    <w:pPr>
      <w:tabs>
        <w:tab w:val="center" w:pos="4513"/>
        <w:tab w:val="right" w:pos="9026"/>
      </w:tabs>
      <w:spacing w:after="0" w:line="240" w:lineRule="auto"/>
    </w:pPr>
  </w:style>
  <w:style w:type="paragraph" w:styleId="16">
    <w:name w:val="header"/>
    <w:basedOn w:val="1"/>
    <w:link w:val="40"/>
    <w:unhideWhenUsed/>
    <w:uiPriority w:val="99"/>
    <w:pPr>
      <w:tabs>
        <w:tab w:val="center" w:pos="4513"/>
        <w:tab w:val="right" w:pos="9026"/>
      </w:tabs>
      <w:spacing w:after="0" w:line="240" w:lineRule="auto"/>
    </w:pPr>
  </w:style>
  <w:style w:type="character" w:styleId="17">
    <w:name w:val="Hyperlink"/>
    <w:basedOn w:val="11"/>
    <w:unhideWhenUsed/>
    <w:qFormat/>
    <w:uiPriority w:val="99"/>
    <w:rPr>
      <w:color w:val="0563C1" w:themeColor="hyperlink"/>
      <w:u w:val="single"/>
      <w14:textFill>
        <w14:solidFill>
          <w14:schemeClr w14:val="hlink"/>
        </w14:solidFill>
      </w14:textFill>
    </w:rPr>
  </w:style>
  <w:style w:type="paragraph" w:styleId="18">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9">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1">
    <w:name w:val="Heading 1 Ch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22">
    <w:name w:val="Heading 2 Ch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23">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4">
    <w:name w:val="Heading 4 Char"/>
    <w:basedOn w:val="11"/>
    <w:link w:val="5"/>
    <w:semiHidden/>
    <w:qFormat/>
    <w:uiPriority w:val="9"/>
    <w:rPr>
      <w:rFonts w:eastAsiaTheme="majorEastAsia" w:cstheme="majorBidi"/>
      <w:i/>
      <w:iCs/>
      <w:color w:val="2F5597" w:themeColor="accent1" w:themeShade="BF"/>
    </w:rPr>
  </w:style>
  <w:style w:type="character" w:customStyle="1" w:styleId="25">
    <w:name w:val="Heading 5 Char"/>
    <w:basedOn w:val="11"/>
    <w:link w:val="6"/>
    <w:semiHidden/>
    <w:qFormat/>
    <w:uiPriority w:val="9"/>
    <w:rPr>
      <w:rFonts w:eastAsiaTheme="majorEastAsia" w:cstheme="majorBidi"/>
      <w:color w:val="2F5597" w:themeColor="accent1" w:themeShade="BF"/>
    </w:rPr>
  </w:style>
  <w:style w:type="character" w:customStyle="1" w:styleId="26">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le Char"/>
    <w:basedOn w:val="11"/>
    <w:link w:val="20"/>
    <w:qFormat/>
    <w:uiPriority w:val="10"/>
    <w:rPr>
      <w:rFonts w:asciiTheme="majorHAnsi" w:hAnsiTheme="majorHAnsi" w:eastAsiaTheme="majorEastAsia" w:cstheme="majorBidi"/>
      <w:spacing w:val="-10"/>
      <w:kern w:val="28"/>
      <w:sz w:val="56"/>
      <w:szCs w:val="56"/>
    </w:rPr>
  </w:style>
  <w:style w:type="character" w:customStyle="1" w:styleId="31">
    <w:name w:val="Subtitle Char"/>
    <w:basedOn w:val="11"/>
    <w:link w:val="1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Quote Char"/>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1"/>
    <w:qFormat/>
    <w:uiPriority w:val="21"/>
    <w:rPr>
      <w:i/>
      <w:iCs/>
      <w:color w:val="2F5597" w:themeColor="accent1" w:themeShade="BF"/>
    </w:rPr>
  </w:style>
  <w:style w:type="paragraph" w:styleId="36">
    <w:name w:val="Intense Quote"/>
    <w:basedOn w:val="1"/>
    <w:next w:val="1"/>
    <w:link w:val="37"/>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7">
    <w:name w:val="Intense Quote Char"/>
    <w:basedOn w:val="11"/>
    <w:link w:val="36"/>
    <w:qFormat/>
    <w:uiPriority w:val="30"/>
    <w:rPr>
      <w:i/>
      <w:iCs/>
      <w:color w:val="2F5597" w:themeColor="accent1" w:themeShade="BF"/>
    </w:rPr>
  </w:style>
  <w:style w:type="character" w:customStyle="1" w:styleId="38">
    <w:name w:val="Intense Reference"/>
    <w:basedOn w:val="11"/>
    <w:qFormat/>
    <w:uiPriority w:val="32"/>
    <w:rPr>
      <w:b/>
      <w:bCs/>
      <w:smallCaps/>
      <w:color w:val="2F5597" w:themeColor="accent1" w:themeShade="BF"/>
      <w:spacing w:val="5"/>
    </w:rPr>
  </w:style>
  <w:style w:type="character" w:customStyle="1" w:styleId="39">
    <w:name w:val="Unresolved Mention"/>
    <w:basedOn w:val="11"/>
    <w:semiHidden/>
    <w:unhideWhenUsed/>
    <w:uiPriority w:val="99"/>
    <w:rPr>
      <w:color w:val="605E5C"/>
      <w:shd w:val="clear" w:color="auto" w:fill="E1DFDD"/>
    </w:rPr>
  </w:style>
  <w:style w:type="character" w:customStyle="1" w:styleId="40">
    <w:name w:val="Header Char"/>
    <w:basedOn w:val="11"/>
    <w:link w:val="16"/>
    <w:uiPriority w:val="99"/>
  </w:style>
  <w:style w:type="character" w:customStyle="1" w:styleId="41">
    <w:name w:val="Footer Char"/>
    <w:basedOn w:val="11"/>
    <w:link w:val="15"/>
    <w:uiPriority w:val="99"/>
  </w:style>
  <w:style w:type="paragraph" w:styleId="42">
    <w:name w:val="No Spacing"/>
    <w:qFormat/>
    <w:uiPriority w:val="1"/>
    <w:pPr>
      <w:spacing w:after="0" w:line="240" w:lineRule="auto"/>
    </w:pPr>
    <w:rPr>
      <w:rFonts w:asciiTheme="minorHAnsi" w:hAnsiTheme="minorHAnsi" w:eastAsiaTheme="minorHAnsi" w:cstheme="minorBidi"/>
      <w:kern w:val="2"/>
      <w:sz w:val="22"/>
      <w:szCs w:val="22"/>
      <w:lang w:val="en-IN" w:eastAsia="en-US" w:bidi="ar-SA"/>
      <w14:ligatures w14:val="standardContextual"/>
    </w:rPr>
  </w:style>
  <w:style w:type="paragraph" w:customStyle="1" w:styleId="43">
    <w:name w:val="Bibliography"/>
    <w:basedOn w:val="1"/>
    <w:next w:val="1"/>
    <w:unhideWhenUsed/>
    <w:uiPriority w:val="37"/>
    <w:pPr>
      <w:spacing w:after="0" w:line="480" w:lineRule="auto"/>
      <w:ind w:left="720" w:hanging="72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9" Type="http://schemas.microsoft.com/office/2011/relationships/people" Target="people.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customXml" Target="../customXml/item1.xml"/><Relationship Id="rId15" Type="http://schemas.openxmlformats.org/officeDocument/2006/relationships/image" Target="media/image1.jpeg"/><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Live</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3"/>
              <c:layout/>
              <c:tx>
                <c:rich>
                  <a:bodyPr rot="0" spcFirstLastPara="1" vertOverflow="ellipsis" vert="horz" wrap="square" lIns="38100" tIns="19050" rIns="38100" bIns="19050" anchor="ctr" anchorCtr="1"/>
                  <a:lstStyle/>
                  <a:p>
                    <a:pPr>
                      <a:defRPr lang="en-US" sz="900" b="0" i="1" u="none" strike="noStrike" kern="1200" baseline="0">
                        <a:solidFill>
                          <a:schemeClr val="tx2"/>
                        </a:solidFill>
                        <a:latin typeface="+mn-lt"/>
                        <a:ea typeface="+mn-ea"/>
                        <a:cs typeface="+mn-cs"/>
                      </a:defRPr>
                    </a:pPr>
                    <a:r>
                      <a:rPr lang="en-US"/>
                      <a:t>5</a:t>
                    </a:r>
                    <a:endParaRPr lang="en-US"/>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lstStyle/>
              <a:p>
                <a:pPr>
                  <a:defRPr lang="en-US" sz="900" b="0" i="1" u="none" strike="noStrike" kern="1200" baseline="0">
                    <a:solidFill>
                      <a:schemeClr val="tx2"/>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Sheet1!$A$2:$A$9</c:f>
              <c:strCache>
                <c:ptCount val="8"/>
                <c:pt idx="0">
                  <c:v>A. diardii</c:v>
                </c:pt>
                <c:pt idx="1">
                  <c:v>A. stolatum</c:v>
                </c:pt>
                <c:pt idx="2">
                  <c:v>F. piscator</c:v>
                </c:pt>
                <c:pt idx="3">
                  <c:v>P. korros</c:v>
                </c:pt>
                <c:pt idx="4">
                  <c:v>C. radiatus</c:v>
                </c:pt>
                <c:pt idx="5">
                  <c:v>O. albocinctus</c:v>
                </c:pt>
                <c:pt idx="6">
                  <c:v>R. helleri</c:v>
                </c:pt>
                <c:pt idx="7">
                  <c:v>N. kaouthia</c:v>
                </c:pt>
              </c:strCache>
            </c:strRef>
          </c:cat>
          <c:val>
            <c:numRef>
              <c:f>Sheet1!$B$2:$B$9</c:f>
              <c:numCache>
                <c:formatCode>General</c:formatCode>
                <c:ptCount val="8"/>
                <c:pt idx="0">
                  <c:v>2</c:v>
                </c:pt>
                <c:pt idx="1">
                  <c:v>2</c:v>
                </c:pt>
                <c:pt idx="2">
                  <c:v>3</c:v>
                </c:pt>
                <c:pt idx="3">
                  <c:v>5</c:v>
                </c:pt>
                <c:pt idx="4">
                  <c:v>7</c:v>
                </c:pt>
                <c:pt idx="5">
                  <c:v>2</c:v>
                </c:pt>
                <c:pt idx="6">
                  <c:v>10</c:v>
                </c:pt>
                <c:pt idx="7">
                  <c:v>11</c:v>
                </c:pt>
              </c:numCache>
            </c:numRef>
          </c:val>
        </c:ser>
        <c:ser>
          <c:idx val="1"/>
          <c:order val="1"/>
          <c:tx>
            <c:strRef>
              <c:f>Sheet1!$C$1</c:f>
              <c:strCache>
                <c:ptCount val="1"/>
                <c:pt idx="0">
                  <c:v>Dead</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en-US" sz="900" b="0" i="1" u="none" strike="noStrike" kern="1200" baseline="0">
                    <a:solidFill>
                      <a:schemeClr val="tx2"/>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2">
                          <a:lumMod val="35000"/>
                          <a:lumOff val="65000"/>
                        </a:schemeClr>
                      </a:solidFill>
                    </a:ln>
                    <a:effectLst/>
                  </c:spPr>
                </c15:leaderLines>
              </c:ext>
            </c:extLst>
          </c:dLbls>
          <c:cat>
            <c:strRef>
              <c:f>Sheet1!$A$2:$A$9</c:f>
              <c:strCache>
                <c:ptCount val="8"/>
                <c:pt idx="0">
                  <c:v>A. diardii</c:v>
                </c:pt>
                <c:pt idx="1">
                  <c:v>A. stolatum</c:v>
                </c:pt>
                <c:pt idx="2">
                  <c:v>F. piscator</c:v>
                </c:pt>
                <c:pt idx="3">
                  <c:v>P. korros</c:v>
                </c:pt>
                <c:pt idx="4">
                  <c:v>C. radiatus</c:v>
                </c:pt>
                <c:pt idx="5">
                  <c:v>O. albocinctus</c:v>
                </c:pt>
                <c:pt idx="6">
                  <c:v>R. helleri</c:v>
                </c:pt>
                <c:pt idx="7">
                  <c:v>N. kaouthia</c:v>
                </c:pt>
              </c:strCache>
            </c:strRef>
          </c:cat>
          <c:val>
            <c:numRef>
              <c:f>Sheet1!$C$2:$C$9</c:f>
              <c:numCache>
                <c:formatCode>General</c:formatCode>
                <c:ptCount val="8"/>
                <c:pt idx="0">
                  <c:v>1</c:v>
                </c:pt>
                <c:pt idx="1">
                  <c:v>2</c:v>
                </c:pt>
                <c:pt idx="2">
                  <c:v>0</c:v>
                </c:pt>
                <c:pt idx="3">
                  <c:v>1</c:v>
                </c:pt>
                <c:pt idx="4">
                  <c:v>3</c:v>
                </c:pt>
                <c:pt idx="5">
                  <c:v>2</c:v>
                </c:pt>
                <c:pt idx="6">
                  <c:v>2</c:v>
                </c:pt>
                <c:pt idx="7">
                  <c:v>2</c:v>
                </c:pt>
              </c:numCache>
            </c:numRef>
          </c:val>
        </c:ser>
        <c:dLbls>
          <c:showLegendKey val="0"/>
          <c:showVal val="1"/>
          <c:showCatName val="0"/>
          <c:showSerName val="0"/>
          <c:showPercent val="0"/>
          <c:showBubbleSize val="0"/>
        </c:dLbls>
        <c:gapWidth val="150"/>
        <c:overlap val="100"/>
        <c:axId val="275636367"/>
        <c:axId val="275642607"/>
      </c:barChart>
      <c:catAx>
        <c:axId val="275636367"/>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lang="en-US" sz="900" b="0" i="1" u="none" strike="noStrike" kern="1200" baseline="0">
                <a:solidFill>
                  <a:schemeClr val="tx2"/>
                </a:solidFill>
                <a:latin typeface="+mn-lt"/>
                <a:ea typeface="+mn-ea"/>
                <a:cs typeface="+mn-cs"/>
              </a:defRPr>
            </a:pPr>
          </a:p>
        </c:txPr>
        <c:crossAx val="275642607"/>
        <c:crosses val="autoZero"/>
        <c:auto val="1"/>
        <c:lblAlgn val="ctr"/>
        <c:lblOffset val="100"/>
        <c:noMultiLvlLbl val="0"/>
      </c:catAx>
      <c:valAx>
        <c:axId val="275642607"/>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1" u="none" strike="noStrike" kern="1200" baseline="0">
                <a:solidFill>
                  <a:schemeClr val="tx2"/>
                </a:solidFill>
                <a:latin typeface="+mn-lt"/>
                <a:ea typeface="+mn-ea"/>
                <a:cs typeface="+mn-cs"/>
              </a:defRPr>
            </a:pPr>
          </a:p>
        </c:txPr>
        <c:crossAx val="275636367"/>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en-US" sz="900" b="0" i="1"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4229b80b-ac3c-48b6-b7dc-2401cae356f2}"/>
      </c:ext>
    </c:extLst>
  </c:chart>
  <c:spPr>
    <a:solidFill>
      <a:schemeClr val="bg1"/>
    </a:solidFill>
    <a:ln w="9525" cap="flat" cmpd="sng" algn="ctr">
      <a:solidFill>
        <a:schemeClr val="tx2">
          <a:lumMod val="15000"/>
          <a:lumOff val="85000"/>
        </a:schemeClr>
      </a:solidFill>
      <a:round/>
    </a:ln>
    <a:effectLst/>
  </c:spPr>
  <c:txPr>
    <a:bodyPr/>
    <a:lstStyle/>
    <a:p>
      <a:pPr>
        <a:defRPr lang="en-US" b="0" i="1" baseline="0"/>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7496AE-74AE-40CD-B022-A18335604141}">
  <ds:schemaRefs/>
</ds:datastoreItem>
</file>

<file path=docProps/app.xml><?xml version="1.0" encoding="utf-8"?>
<Properties xmlns="http://schemas.openxmlformats.org/officeDocument/2006/extended-properties" xmlns:vt="http://schemas.openxmlformats.org/officeDocument/2006/docPropsVTypes">
  <Template>Normal</Template>
  <Pages>15</Pages>
  <Words>1330</Words>
  <Characters>7346</Characters>
  <Lines>239</Lines>
  <Paragraphs>67</Paragraphs>
  <TotalTime>2</TotalTime>
  <ScaleCrop>false</ScaleCrop>
  <LinksUpToDate>false</LinksUpToDate>
  <CharactersWithSpaces>8665</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2026-02-09T16:13:00Z</dcterms:created>
  <dc:creator>Unknown</dc:creator>
  <cp:lastModifiedBy>Dr. Jitendra Kumar</cp:lastModifiedBy>
  <cp:lastPrinted>2026-05-05T06:36:00Z</cp:lastPrinted>
  <dcterms:modified xsi:type="dcterms:W3CDTF">2026-07-21T16:50:57Z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85a29343-8e45-43d5-8e3c-c11aaabebeeb</vt:lpwstr>
  </property>
  <property fmtid="{D5CDD505-2E9C-101B-9397-08002B2CF9AE}" pid="3" name="ZOTERO_PREF_1">
    <vt:lpwstr>&lt;data data-version="3" zotero-version="7.0.32"&gt;&lt;session id="w2TF4xao"/&gt;&lt;style id="http://www.zotero.org/styles/apa" locale="en-US" hasBibliography="1" bibliographyStyleHasBeenSet="1"/&gt;&lt;prefs&gt;&lt;pref name="fieldType" value="Field"/&gt;&lt;/prefs&gt;&lt;/data&gt;</vt:lpwstr>
  </property>
  <property fmtid="{D5CDD505-2E9C-101B-9397-08002B2CF9AE}" pid="4" name="KSOTemplateDocerSaveRecord">
    <vt:lpwstr>eyJoZGlkIjoiNjkxZjYzOTgwMTBhYmE3OTJiZTc4NWIxOGU2ZTAwMzAiLCJ1c2VySWQiOiI1NjcyMTUyNDUxMTYifQ==</vt:lpwstr>
  </property>
  <property fmtid="{D5CDD505-2E9C-101B-9397-08002B2CF9AE}" pid="5" name="KSOProductBuildVer">
    <vt:lpwstr>1033-12.1.0.26880</vt:lpwstr>
  </property>
  <property fmtid="{D5CDD505-2E9C-101B-9397-08002B2CF9AE}" pid="6" name="ICV">
    <vt:lpwstr>E76BBCB6F63E45E585711CA5AC4A2781_12</vt:lpwstr>
  </property>
</Properties>
</file>