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9DA01" w14:textId="77777777" w:rsidR="001157F7" w:rsidRDefault="002C716A" w:rsidP="00B71AE8">
      <w:pPr>
        <w:pStyle w:val="Heading1"/>
        <w:spacing w:before="100" w:beforeAutospacing="1" w:after="100" w:afterAutospacing="1" w:line="240" w:lineRule="auto"/>
      </w:pPr>
      <w:bookmarkStart w:id="0" w:name="Xc2cf3e172daa812b1a3ecdfc55ac6f3d71cf65a"/>
      <w:r>
        <w:t>Diagnosis and Treatment of Attention-Deficit/Hyperactivity Disorder in Children: A Critical Narrative Review of Recent Advances and Persistent Uncertainties</w:t>
      </w:r>
    </w:p>
    <w:p w14:paraId="734D2C6E" w14:textId="77777777" w:rsidR="001157F7" w:rsidRDefault="002C716A" w:rsidP="00B71AE8">
      <w:pPr>
        <w:pStyle w:val="Heading2"/>
        <w:spacing w:before="100" w:beforeAutospacing="1" w:after="100" w:afterAutospacing="1" w:line="240" w:lineRule="auto"/>
      </w:pPr>
      <w:bookmarkStart w:id="1" w:name="abstract"/>
      <w:r>
        <w:t>Abstract</w:t>
      </w:r>
    </w:p>
    <w:p w14:paraId="72AE7085" w14:textId="77777777" w:rsidR="001157F7" w:rsidRDefault="002C716A" w:rsidP="00B71AE8">
      <w:pPr>
        <w:pStyle w:val="FirstParagraph"/>
        <w:spacing w:before="100" w:beforeAutospacing="1" w:after="100" w:afterAutospacing="1" w:line="240" w:lineRule="auto"/>
      </w:pPr>
      <w:r>
        <w:t>Attention-deficit/hyperactivity disorder (ADHD) is among the most frequently diagnosed neurodevelopmental conditions of childhood, and the past decade has produced an unusually rapid accumulation of diagnostic technologies, pharmacological options and psyc</w:t>
      </w:r>
      <w:r>
        <w:t>hosocial or digital interventions. Whether this activity constitutes genuine advance, or largely the elaboration of a diagnostic and therapeutic framework whose foundations remain unsettled, has not been examined critically in a single integrated appraisal</w:t>
      </w:r>
      <w:r>
        <w:t xml:space="preserve">. This review evaluates the strength, consistency and translational readiness of recent evidence on </w:t>
      </w:r>
      <w:proofErr w:type="spellStart"/>
      <w:r>
        <w:t>paediatric</w:t>
      </w:r>
      <w:proofErr w:type="spellEnd"/>
      <w:r>
        <w:t xml:space="preserve"> ADHD diagnosis and treatment, and distinguishes conclusions that can be regarded as secure from those that remain provisional. Literature was ide</w:t>
      </w:r>
      <w:r>
        <w:t>ntified through structured searching of freely accessible bibliographic and metadata resources, supplemented by citation tracking and institutional guideline sources, and appraised for design adequacy, outcome blinding, replication and external validity ra</w:t>
      </w:r>
      <w:r>
        <w:t xml:space="preserve">ther than citation frequency alone. Four findings </w:t>
      </w:r>
      <w:proofErr w:type="spellStart"/>
      <w:r>
        <w:t>organise</w:t>
      </w:r>
      <w:proofErr w:type="spellEnd"/>
      <w:r>
        <w:t xml:space="preserve"> the synthesis. First, measured prevalence continues to be governed principally by assessment method and administrative context rather than by any demonstrable change in underlying population morbid</w:t>
      </w:r>
      <w:r>
        <w:t xml:space="preserve">ity, and contextual artefacts such as relative age within the school year remain detectable in diagnosis and prescribing. Second, neuroimaging, genomic and computational approaches have clarified </w:t>
      </w:r>
      <w:proofErr w:type="spellStart"/>
      <w:r>
        <w:t>aetiological</w:t>
      </w:r>
      <w:proofErr w:type="spellEnd"/>
      <w:r>
        <w:t xml:space="preserve"> architecture and generated group-level effects </w:t>
      </w:r>
      <w:r>
        <w:t>of consistent direction, but effect magnitudes and the scarcity of external validation place individual-level diagnostic application beyond current reach. Third, pharmacological evidence has shifted from questions of whether medication works towards questi</w:t>
      </w:r>
      <w:r>
        <w:t>ons of dose, duration and cumulative risk, with newer dose-effect and long-term safety analyses providing more actionable guidance than further placebo-controlled efficacy trials. Fourth, the divide between unblinded and probably blinded outcomes continues</w:t>
      </w:r>
      <w:r>
        <w:t xml:space="preserve"> to separate apparent from demonstrated benefit across almost the whole non-pharmacological field. The most defensible conclusion is that the principal constraint on child outcomes is no longer the absence of effective agents but the weakness of diagnostic</w:t>
      </w:r>
      <w:r>
        <w:t xml:space="preserve"> precision, outcome measurement and service delivery. Priorities include active-placebo and blinded-outcome trial designs, prospectively registered external validation of computational classifiers, and evaluation of care models against functional rather th</w:t>
      </w:r>
      <w:r>
        <w:t>an symptom-scale endpoints.</w:t>
      </w:r>
    </w:p>
    <w:p w14:paraId="291F8233" w14:textId="77777777" w:rsidR="001157F7" w:rsidRDefault="002C716A" w:rsidP="00B71AE8">
      <w:pPr>
        <w:pStyle w:val="BodyText"/>
        <w:spacing w:before="100" w:beforeAutospacing="1" w:after="100" w:afterAutospacing="1" w:line="240" w:lineRule="auto"/>
      </w:pPr>
      <w:r>
        <w:rPr>
          <w:b/>
          <w:bCs/>
        </w:rPr>
        <w:t>Keywords:</w:t>
      </w:r>
      <w:r>
        <w:t xml:space="preserve"> attention-deficit/hyperactivity disorder; child and adolescent psychiatry; diagnostic validity; methylphenidate; neurofeedback; machine learning; critical narrative review</w:t>
      </w:r>
    </w:p>
    <w:p w14:paraId="38D296F3" w14:textId="77777777" w:rsidR="001157F7" w:rsidRDefault="002C716A" w:rsidP="00B71AE8">
      <w:pPr>
        <w:pStyle w:val="Heading2"/>
        <w:spacing w:before="100" w:beforeAutospacing="1" w:after="100" w:afterAutospacing="1" w:line="240" w:lineRule="auto"/>
      </w:pPr>
      <w:bookmarkStart w:id="2" w:name="introduction"/>
      <w:bookmarkEnd w:id="1"/>
      <w:r>
        <w:t>1. Introduction</w:t>
      </w:r>
    </w:p>
    <w:p w14:paraId="01F5B981" w14:textId="77777777" w:rsidR="001157F7" w:rsidRDefault="002C716A" w:rsidP="00B71AE8">
      <w:pPr>
        <w:pStyle w:val="FirstParagraph"/>
        <w:spacing w:before="100" w:beforeAutospacing="1" w:after="100" w:afterAutospacing="1" w:line="240" w:lineRule="auto"/>
      </w:pPr>
      <w:r>
        <w:t>Attention-deficit/hyperactivit</w:t>
      </w:r>
      <w:r>
        <w:t>y disorder (ADHD) is defined by developmentally excessive and impairing inattention, hyperactivity and impulsivity present across settings and emerging in childhood. It is one of the most commonly diagnosed conditions in child health services, and its clin</w:t>
      </w:r>
      <w:r>
        <w:t xml:space="preserve">ical significance derives less from the symptoms themselves than from their association with educational underachievement, disrupted peer relationships, family strain and elevated risk of </w:t>
      </w:r>
      <w:r>
        <w:lastRenderedPageBreak/>
        <w:t>subsequent psychiatric and substance-related morbidity. Population s</w:t>
      </w:r>
      <w:r>
        <w:t>urvey data from the United States indicate that approximately one in nine children has ever received a diagnosis, that most of those currently affected carry at least one co-occurring disorder, and that a substantial minority receive no ADHD-specific treat</w:t>
      </w:r>
      <w:r>
        <w:t xml:space="preserve">ment of any kind (Danielson et al., 2024). Meta-analytic synthesis of community studies places the global childhood prevalence at a broadly comparable order of magnitude, though with wide dispersion across settings and instruments (Salari et al., 2023). </w:t>
      </w:r>
      <w:commentRangeStart w:id="3"/>
      <w:commentRangeStart w:id="4"/>
      <w:r>
        <w:t>Su</w:t>
      </w:r>
      <w:r>
        <w:t>ccessive</w:t>
      </w:r>
      <w:commentRangeEnd w:id="3"/>
      <w:r w:rsidR="00E76FE2">
        <w:rPr>
          <w:rStyle w:val="CommentReference"/>
        </w:rPr>
        <w:commentReference w:id="3"/>
      </w:r>
      <w:commentRangeEnd w:id="4"/>
      <w:r w:rsidR="00E76FE2">
        <w:rPr>
          <w:rStyle w:val="CommentReference"/>
        </w:rPr>
        <w:commentReference w:id="4"/>
      </w:r>
      <w:r>
        <w:t xml:space="preserve"> iterations of the Global Burden of Disease </w:t>
      </w:r>
      <w:proofErr w:type="spellStart"/>
      <w:r>
        <w:t>programme</w:t>
      </w:r>
      <w:proofErr w:type="spellEnd"/>
      <w:r>
        <w:t xml:space="preserve"> have retained ADHD within the group of mental disorders contributing materially to years lived with disability during the first two decades of life (GBD 2023 Mental Disorder Collaborators, 2026)</w:t>
      </w:r>
      <w:r>
        <w:t>.</w:t>
      </w:r>
    </w:p>
    <w:p w14:paraId="4ADA3971" w14:textId="77777777" w:rsidR="001157F7" w:rsidRDefault="002C716A" w:rsidP="00B71AE8">
      <w:pPr>
        <w:pStyle w:val="BodyText"/>
        <w:spacing w:before="100" w:beforeAutospacing="1" w:after="100" w:afterAutospacing="1" w:line="240" w:lineRule="auto"/>
      </w:pPr>
      <w:r>
        <w:t>The scientific position of the disorder has changed appreciably since the middle of the last decade. Consortium-scale neuroimaging has replaced the underpowered single-site studies that dominated earlier decades, genome-wide association analysis has move</w:t>
      </w:r>
      <w:r>
        <w:t xml:space="preserve">d from null findings to replicable loci, and machine learning has been applied to virtually every available data modality. Pharmacological research has produced network meta-analyses spanning more than a hundred </w:t>
      </w:r>
      <w:proofErr w:type="spellStart"/>
      <w:r>
        <w:t>randomised</w:t>
      </w:r>
      <w:proofErr w:type="spellEnd"/>
      <w:r>
        <w:t xml:space="preserve"> trials, new molecular entities ha</w:t>
      </w:r>
      <w:r>
        <w:t xml:space="preserve">ve reached late-phase </w:t>
      </w:r>
      <w:proofErr w:type="spellStart"/>
      <w:r>
        <w:t>paediatric</w:t>
      </w:r>
      <w:proofErr w:type="spellEnd"/>
      <w:r>
        <w:t xml:space="preserve"> testing, and regulatory approval of a video-game-based digital therapeutic marked the first time a software product was licensed for the condition. Alongside this, register-based pharmacoepidemiology has begun to quantify l</w:t>
      </w:r>
      <w:r>
        <w:t xml:space="preserve">ong-term cardiovascular and growth-related risks at a scale unavailable to </w:t>
      </w:r>
      <w:proofErr w:type="spellStart"/>
      <w:r>
        <w:t>randomised</w:t>
      </w:r>
      <w:proofErr w:type="spellEnd"/>
      <w:r>
        <w:t xml:space="preserve"> trials, and the introduction of remote assessment has altered the practical geography of diagnosis.</w:t>
      </w:r>
    </w:p>
    <w:p w14:paraId="30DA8B01" w14:textId="77777777" w:rsidR="001157F7" w:rsidRDefault="002C716A" w:rsidP="00B71AE8">
      <w:pPr>
        <w:pStyle w:val="BodyText"/>
        <w:spacing w:before="100" w:beforeAutospacing="1" w:after="100" w:afterAutospacing="1" w:line="240" w:lineRule="auto"/>
      </w:pPr>
      <w:r>
        <w:t xml:space="preserve">That activity has not resolved the field’s oldest problems. Diagnosis </w:t>
      </w:r>
      <w:r>
        <w:t>remains entirely dependent on informant report against categorical criteria whose thresholds were set by clinical consensus rather than derived from external validators, and reported prevalence continues to vary more with methodology than with population (</w:t>
      </w:r>
      <w:commentRangeStart w:id="5"/>
      <w:proofErr w:type="spellStart"/>
      <w:r>
        <w:t>Polanczyk</w:t>
      </w:r>
      <w:commentRangeEnd w:id="5"/>
      <w:proofErr w:type="spellEnd"/>
      <w:r w:rsidR="00710FBD">
        <w:rPr>
          <w:rStyle w:val="CommentReference"/>
        </w:rPr>
        <w:commentReference w:id="5"/>
      </w:r>
      <w:r>
        <w:t xml:space="preserve"> et al., 2014). Debate about whether contemporary diagnostic practice identifies genuine morbidity or extends into normal variation has intensified rather than settled (Kazda et al., 2021). Evidence on treatment carries an unusual structural weakn</w:t>
      </w:r>
      <w:r>
        <w:t xml:space="preserve">ess: because the adverse effects of stimulants are readily </w:t>
      </w:r>
      <w:proofErr w:type="spellStart"/>
      <w:r>
        <w:t>recognisable</w:t>
      </w:r>
      <w:proofErr w:type="spellEnd"/>
      <w:r>
        <w:t xml:space="preserve">, blinding in </w:t>
      </w:r>
      <w:proofErr w:type="spellStart"/>
      <w:r>
        <w:t>randomised</w:t>
      </w:r>
      <w:proofErr w:type="spellEnd"/>
      <w:r>
        <w:t xml:space="preserve"> trials is systematically compromised, and the most rigorous appraisal of methylphenidate concludes that the certainty of the evidence for every outcome is very </w:t>
      </w:r>
      <w:r>
        <w:t>low despite more than two hundred trials (Storebø et al., 2025). Longitudinal follow-up of the largest treatment trial ever conducted in the disorder has shown that the developmental course is not the simple dichotomy of persistence and remission that clin</w:t>
      </w:r>
      <w:r>
        <w:t>ical communication has long assumed (Sibley et al., 2022). Service capacity has not expanded in proportion to referral demand, and access remains uneven across geography, ethnicity and socioeconomic position (Sayal et al., 2018).</w:t>
      </w:r>
    </w:p>
    <w:p w14:paraId="4B1385DF" w14:textId="77777777" w:rsidR="001157F7" w:rsidRDefault="002C716A" w:rsidP="00B71AE8">
      <w:pPr>
        <w:pStyle w:val="BodyText"/>
        <w:spacing w:before="100" w:beforeAutospacing="1" w:after="100" w:afterAutospacing="1" w:line="240" w:lineRule="auto"/>
      </w:pPr>
      <w:r>
        <w:t>Existing reviews address t</w:t>
      </w:r>
      <w:r>
        <w:t>hese strands separately. Comprehensive consensus documents catalogue what is known about the disorder but are not designed to adjudicate the quality of recent methodological claims (Faraone et al., 2021). Quantitative syntheses within individual domains, s</w:t>
      </w:r>
      <w:r>
        <w:t xml:space="preserve">uch as medication efficacy, neurofeedback or machine-learning classification, appraise their own literatures rigorously but do not examine whether the constraints identified in one domain illuminate those in another. Clinical guidelines </w:t>
      </w:r>
      <w:proofErr w:type="spellStart"/>
      <w:r>
        <w:t>organise</w:t>
      </w:r>
      <w:proofErr w:type="spellEnd"/>
      <w:r>
        <w:t xml:space="preserve"> recommenda</w:t>
      </w:r>
      <w:r>
        <w:t xml:space="preserve">tions for practice but predate most of the developments described above (National Institute for Health and Care Excellence, 2019; </w:t>
      </w:r>
      <w:proofErr w:type="spellStart"/>
      <w:r>
        <w:t>Wolraich</w:t>
      </w:r>
      <w:proofErr w:type="spellEnd"/>
      <w:r>
        <w:t xml:space="preserve"> et al., 2019). The result is a literature in which each domain </w:t>
      </w:r>
      <w:r>
        <w:lastRenderedPageBreak/>
        <w:t>reports progress while the aggregate clinical position</w:t>
      </w:r>
      <w:r>
        <w:t xml:space="preserve"> advances slowly, and in which the reasons for that mismatch are rarely examined directly.</w:t>
      </w:r>
    </w:p>
    <w:p w14:paraId="4703940D" w14:textId="77777777" w:rsidR="001157F7" w:rsidRDefault="002C716A" w:rsidP="00B71AE8">
      <w:pPr>
        <w:pStyle w:val="Heading3"/>
        <w:spacing w:before="100" w:beforeAutospacing="1" w:after="100" w:afterAutospacing="1" w:line="240" w:lineRule="auto"/>
      </w:pPr>
      <w:bookmarkStart w:id="6" w:name="scope-research-gap-and-objectives"/>
      <w:r>
        <w:t xml:space="preserve">1.1 Scope, Research Gap and </w:t>
      </w:r>
      <w:commentRangeStart w:id="7"/>
      <w:r>
        <w:t>Objectives</w:t>
      </w:r>
      <w:commentRangeEnd w:id="7"/>
      <w:r w:rsidR="008F0729">
        <w:rPr>
          <w:rStyle w:val="CommentReference"/>
          <w:rFonts w:ascii="Times New Roman" w:eastAsia="Times New Roman" w:hAnsi="Times New Roman" w:cs="Times New Roman"/>
          <w:b w:val="0"/>
          <w:bCs w:val="0"/>
          <w:color w:val="auto"/>
        </w:rPr>
        <w:commentReference w:id="7"/>
      </w:r>
    </w:p>
    <w:p w14:paraId="6F53A0F8" w14:textId="77777777" w:rsidR="001157F7" w:rsidRDefault="002C716A" w:rsidP="00B71AE8">
      <w:pPr>
        <w:pStyle w:val="FirstParagraph"/>
        <w:spacing w:before="100" w:beforeAutospacing="1" w:after="100" w:afterAutospacing="1" w:line="240" w:lineRule="auto"/>
      </w:pPr>
      <w:r>
        <w:t xml:space="preserve">This review concerns the diagnosis and treatment of </w:t>
      </w:r>
      <w:commentRangeStart w:id="8"/>
      <w:r>
        <w:t>ADHD</w:t>
      </w:r>
      <w:commentRangeEnd w:id="8"/>
      <w:r w:rsidR="004D06E0">
        <w:rPr>
          <w:rStyle w:val="CommentReference"/>
        </w:rPr>
        <w:commentReference w:id="8"/>
      </w:r>
      <w:r>
        <w:t xml:space="preserve"> in children and adolescents up to eighteen years of age. It covers di</w:t>
      </w:r>
      <w:r>
        <w:t xml:space="preserve">agnostic criteria and their </w:t>
      </w:r>
      <w:proofErr w:type="spellStart"/>
      <w:r>
        <w:t>operationalisation</w:t>
      </w:r>
      <w:proofErr w:type="spellEnd"/>
      <w:r>
        <w:t>, contextual and demographic influences on case identification, candidate objective diagnostic technologies including structural and functional neuroimaging, genomic risk scoring, electrophysiological and optic</w:t>
      </w:r>
      <w:r>
        <w:t xml:space="preserve">al measurement, </w:t>
      </w:r>
      <w:proofErr w:type="spellStart"/>
      <w:r>
        <w:t>computerised</w:t>
      </w:r>
      <w:proofErr w:type="spellEnd"/>
      <w:r>
        <w:t xml:space="preserve"> performance testing and computational classification, and the full range of therapeutic approaches encompassing stimulant and non-stimulant pharmacotherapy, </w:t>
      </w:r>
      <w:proofErr w:type="spellStart"/>
      <w:r>
        <w:t>behavioural</w:t>
      </w:r>
      <w:proofErr w:type="spellEnd"/>
      <w:r>
        <w:t xml:space="preserve"> and parenting interventions, school-based </w:t>
      </w:r>
      <w:proofErr w:type="spellStart"/>
      <w:r>
        <w:t>programmes</w:t>
      </w:r>
      <w:proofErr w:type="spellEnd"/>
      <w:r>
        <w:t xml:space="preserve">, </w:t>
      </w:r>
      <w:proofErr w:type="spellStart"/>
      <w:r>
        <w:t>neur</w:t>
      </w:r>
      <w:r>
        <w:t>omodulation</w:t>
      </w:r>
      <w:proofErr w:type="spellEnd"/>
      <w:r>
        <w:t xml:space="preserve">, exercise, sleep and dietary strategies, and digital therapeutics. Service </w:t>
      </w:r>
      <w:proofErr w:type="spellStart"/>
      <w:r>
        <w:t>organisation</w:t>
      </w:r>
      <w:proofErr w:type="spellEnd"/>
      <w:r>
        <w:t xml:space="preserve"> and equity of access are considered where they bear directly on whether established interventions reach the children for whom they are indicated.</w:t>
      </w:r>
    </w:p>
    <w:p w14:paraId="765339A9" w14:textId="77777777" w:rsidR="001157F7" w:rsidRDefault="002C716A" w:rsidP="00B71AE8">
      <w:pPr>
        <w:pStyle w:val="BodyText"/>
        <w:spacing w:before="100" w:beforeAutospacing="1" w:after="100" w:afterAutospacing="1" w:line="240" w:lineRule="auto"/>
      </w:pPr>
      <w:r>
        <w:t xml:space="preserve">Certain areas fall outside the scope. Adult ADHD is addressed only where adult data illuminate developmental questions or provide comparative evidence on treatment response. </w:t>
      </w:r>
      <w:proofErr w:type="spellStart"/>
      <w:r>
        <w:t>Aetiological</w:t>
      </w:r>
      <w:proofErr w:type="spellEnd"/>
      <w:r>
        <w:t xml:space="preserve"> research is examined for its diagnostic implications rather than as a</w:t>
      </w:r>
      <w:r>
        <w:t xml:space="preserve"> subject in its own right, so that environmental and prenatal risk factors, animal models and molecular mechanism are not reviewed systematically. Health economics is discussed qualitatively rather than through formal cost-effectiveness appraisal. Preparat</w:t>
      </w:r>
      <w:r>
        <w:t>ions and formulations are treated at the level of drug class rather than individual product.</w:t>
      </w:r>
    </w:p>
    <w:p w14:paraId="71D7F410" w14:textId="77777777" w:rsidR="001157F7" w:rsidRDefault="002C716A" w:rsidP="00B71AE8">
      <w:pPr>
        <w:pStyle w:val="BodyText"/>
        <w:spacing w:before="100" w:beforeAutospacing="1" w:after="100" w:afterAutospacing="1" w:line="240" w:lineRule="auto"/>
      </w:pPr>
      <w:r>
        <w:t xml:space="preserve">The gap this review addresses is specific. The individual evidence streams within </w:t>
      </w:r>
      <w:commentRangeStart w:id="9"/>
      <w:proofErr w:type="spellStart"/>
      <w:r>
        <w:t>paediatric</w:t>
      </w:r>
      <w:commentRangeEnd w:id="9"/>
      <w:proofErr w:type="spellEnd"/>
      <w:r w:rsidR="00B545DC">
        <w:rPr>
          <w:rStyle w:val="CommentReference"/>
        </w:rPr>
        <w:commentReference w:id="9"/>
      </w:r>
      <w:r>
        <w:t xml:space="preserve"> ADHD have each been </w:t>
      </w:r>
      <w:commentRangeStart w:id="10"/>
      <w:proofErr w:type="spellStart"/>
      <w:r>
        <w:t>synthesised</w:t>
      </w:r>
      <w:commentRangeEnd w:id="10"/>
      <w:proofErr w:type="spellEnd"/>
      <w:r w:rsidR="00B545DC">
        <w:rPr>
          <w:rStyle w:val="CommentReference"/>
        </w:rPr>
        <w:commentReference w:id="10"/>
      </w:r>
      <w:r>
        <w:t xml:space="preserve"> competently, yet no recent appraisal h</w:t>
      </w:r>
      <w:r>
        <w:t>as asked whether the limiting factor on clinical progress is common across them. The proposition examined here is that a single measurement problem, namely dependence on unblinded informant report as both the diagnostic standard and the primary outcome, pr</w:t>
      </w:r>
      <w:r>
        <w:t>opagates through diagnostic epidemiology, biomarker validation and intervention trials alike, and that this shared dependency explains the recurring pattern in which technically sophisticated advances fail to alter clinical practice.</w:t>
      </w:r>
    </w:p>
    <w:p w14:paraId="04BB0AC5" w14:textId="77777777" w:rsidR="001157F7" w:rsidRDefault="002C716A" w:rsidP="00B71AE8">
      <w:pPr>
        <w:pStyle w:val="BodyText"/>
        <w:spacing w:before="100" w:beforeAutospacing="1" w:after="100" w:afterAutospacing="1" w:line="240" w:lineRule="auto"/>
      </w:pPr>
      <w:r>
        <w:t>Four objectives follow</w:t>
      </w:r>
      <w:r>
        <w:t xml:space="preserve">. The first is to establish which conclusions about </w:t>
      </w:r>
      <w:commentRangeStart w:id="11"/>
      <w:proofErr w:type="spellStart"/>
      <w:r>
        <w:t>paediatric</w:t>
      </w:r>
      <w:commentRangeEnd w:id="11"/>
      <w:proofErr w:type="spellEnd"/>
      <w:r w:rsidR="00B545DC">
        <w:rPr>
          <w:rStyle w:val="CommentReference"/>
        </w:rPr>
        <w:commentReference w:id="11"/>
      </w:r>
      <w:r>
        <w:t xml:space="preserve"> ADHD diagnosis can be regarded as secure and which remain contingent on measurement assumptions. The second is to evaluate whether objective and computational diagnostic technologies have reach</w:t>
      </w:r>
      <w:r>
        <w:t>ed the evidential standard required for clinical deployment, and to identify precisely what is missing where they have not. The third is to appraise the current pharmacological and non-pharmacological evidence base with explicit attention to outcome blindi</w:t>
      </w:r>
      <w:r>
        <w:t xml:space="preserve">ng, duration of observation and the distinction between symptom change and functional benefit. The fourth is to derive research priorities that address the shared constraint rather than the symptoms of it in any single domain. The intended contribution is </w:t>
      </w:r>
      <w:r>
        <w:t>an integrated critical account that is usable by clinicians, guideline developers and researchers designing the next generation of studies.</w:t>
      </w:r>
    </w:p>
    <w:p w14:paraId="1698CBE9" w14:textId="77777777" w:rsidR="001157F7" w:rsidRDefault="002C716A" w:rsidP="00B71AE8">
      <w:pPr>
        <w:pStyle w:val="Heading2"/>
        <w:spacing w:before="100" w:beforeAutospacing="1" w:after="100" w:afterAutospacing="1" w:line="240" w:lineRule="auto"/>
      </w:pPr>
      <w:bookmarkStart w:id="12" w:name="methods-for-literature-selection"/>
      <w:bookmarkEnd w:id="2"/>
      <w:bookmarkEnd w:id="6"/>
      <w:r>
        <w:lastRenderedPageBreak/>
        <w:t>2. Methods for Literature Selection</w:t>
      </w:r>
    </w:p>
    <w:p w14:paraId="7ED360CA" w14:textId="77777777" w:rsidR="001157F7" w:rsidRDefault="002C716A" w:rsidP="00B71AE8">
      <w:pPr>
        <w:pStyle w:val="Heading3"/>
        <w:spacing w:before="100" w:beforeAutospacing="1" w:after="100" w:afterAutospacing="1" w:line="240" w:lineRule="auto"/>
      </w:pPr>
      <w:bookmarkStart w:id="13" w:name="review-design-and-rationale"/>
      <w:r>
        <w:t>2.1 Review Design and Rationale</w:t>
      </w:r>
    </w:p>
    <w:p w14:paraId="0E35199A" w14:textId="77777777" w:rsidR="001157F7" w:rsidRDefault="002C716A" w:rsidP="00B71AE8">
      <w:pPr>
        <w:pStyle w:val="FirstParagraph"/>
        <w:spacing w:before="100" w:beforeAutospacing="1" w:after="100" w:afterAutospacing="1" w:line="240" w:lineRule="auto"/>
      </w:pPr>
      <w:r>
        <w:t>A critical narrative review was selected because</w:t>
      </w:r>
      <w:r>
        <w:t xml:space="preserve"> the review question concerns the coherence and translational readiness of evidence spanning heterogeneous designs and outcome metrics, rather than the pooled magnitude of a defined intervention effect. Diagnostic validation studies, consortium neuroimagin</w:t>
      </w:r>
      <w:r>
        <w:t xml:space="preserve">g analyses, genome-wide association meta-analyses, register-based </w:t>
      </w:r>
      <w:proofErr w:type="spellStart"/>
      <w:r>
        <w:t>pharmacoepidemiology</w:t>
      </w:r>
      <w:proofErr w:type="spellEnd"/>
      <w:r>
        <w:t xml:space="preserve">, </w:t>
      </w:r>
      <w:commentRangeStart w:id="14"/>
      <w:proofErr w:type="spellStart"/>
      <w:r>
        <w:t>randomised</w:t>
      </w:r>
      <w:commentRangeEnd w:id="14"/>
      <w:proofErr w:type="spellEnd"/>
      <w:r w:rsidR="00072A51">
        <w:rPr>
          <w:rStyle w:val="CommentReference"/>
        </w:rPr>
        <w:commentReference w:id="14"/>
      </w:r>
      <w:r>
        <w:t xml:space="preserve"> intervention trials and health services evaluations cannot be combined quantitatively, and the central comparison of interest, which concerns whether finding</w:t>
      </w:r>
      <w:r>
        <w:t>s from one domain constrain interpretation in another, is not expressible as a summary effect estimate. A systematic review with meta-analysis would have imposed an artificial narrowing of scope; a scoping review would have described the literature without</w:t>
      </w:r>
      <w:r>
        <w:t xml:space="preserve"> adjudicating between competing interpretations.</w:t>
      </w:r>
    </w:p>
    <w:p w14:paraId="2623D1EF" w14:textId="77777777" w:rsidR="001157F7" w:rsidRDefault="002C716A" w:rsidP="00B71AE8">
      <w:pPr>
        <w:pStyle w:val="BodyText"/>
        <w:spacing w:before="100" w:beforeAutospacing="1" w:after="100" w:afterAutospacing="1" w:line="240" w:lineRule="auto"/>
      </w:pPr>
      <w:r>
        <w:t xml:space="preserve">The choice of a narrative approach does not remove the obligation to be transparent or critical. Search concepts, sources, eligibility criteria, screening approach and appraisal method are reported below in </w:t>
      </w:r>
      <w:r>
        <w:t>sufficient detail for the reader to judge the likely completeness of retrieval and to reproduce the principal searches. Appraisal criteria were applied explicitly to each included body of evidence, and disagreement between studies is reported rather than r</w:t>
      </w:r>
      <w:r>
        <w:t>econciled. The main risk of narrative synthesis, namely selective emphasis on evidence congenial to the reviewer’s argument, was mitigated by requiring each substantive claim to be traceable to identified sources and by deliberate retrieval of negative, nu</w:t>
      </w:r>
      <w:r>
        <w:t xml:space="preserve">ll and discordant findings. Where a subdomain had already been </w:t>
      </w:r>
      <w:commentRangeStart w:id="15"/>
      <w:proofErr w:type="spellStart"/>
      <w:r>
        <w:t>synthesised</w:t>
      </w:r>
      <w:commentRangeEnd w:id="15"/>
      <w:proofErr w:type="spellEnd"/>
      <w:r w:rsidR="000E75C0">
        <w:rPr>
          <w:rStyle w:val="CommentReference"/>
        </w:rPr>
        <w:commentReference w:id="15"/>
      </w:r>
      <w:r>
        <w:t xml:space="preserve"> quantitatively, those syntheses served as the primary evidential anchor and were appraised on their own methodological merits.</w:t>
      </w:r>
    </w:p>
    <w:p w14:paraId="47397F03" w14:textId="77777777" w:rsidR="001157F7" w:rsidRDefault="002C716A" w:rsidP="00B71AE8">
      <w:pPr>
        <w:pStyle w:val="Heading3"/>
        <w:spacing w:before="100" w:beforeAutospacing="1" w:after="100" w:afterAutospacing="1" w:line="240" w:lineRule="auto"/>
      </w:pPr>
      <w:bookmarkStart w:id="16" w:name="information-sources"/>
      <w:bookmarkEnd w:id="13"/>
      <w:r>
        <w:t>2.2 Information Sources</w:t>
      </w:r>
    </w:p>
    <w:p w14:paraId="03CA70FB" w14:textId="77777777" w:rsidR="001157F7" w:rsidRDefault="002C716A" w:rsidP="00B71AE8">
      <w:pPr>
        <w:pStyle w:val="FirstParagraph"/>
        <w:spacing w:before="100" w:beforeAutospacing="1" w:after="100" w:afterAutospacing="1" w:line="240" w:lineRule="auto"/>
      </w:pPr>
      <w:r>
        <w:t>The literature search was cond</w:t>
      </w:r>
      <w:r>
        <w:t xml:space="preserve">ucted using bibliographic and metadata resources that were directly accessible during preparation of this review. These were PubMed and MEDLINE, accessed through the </w:t>
      </w:r>
      <w:proofErr w:type="spellStart"/>
      <w:r>
        <w:t>Entrez</w:t>
      </w:r>
      <w:proofErr w:type="spellEnd"/>
      <w:r>
        <w:t xml:space="preserve"> programmatic interface; </w:t>
      </w:r>
      <w:proofErr w:type="spellStart"/>
      <w:r>
        <w:t>Crossref</w:t>
      </w:r>
      <w:proofErr w:type="spellEnd"/>
      <w:r>
        <w:t xml:space="preserve"> Metadata Search, used both for retrieval and for v</w:t>
      </w:r>
      <w:r>
        <w:t xml:space="preserve">erification of bibliographic detail and digital object identifiers; and </w:t>
      </w:r>
      <w:proofErr w:type="spellStart"/>
      <w:r>
        <w:t>OpenAlex</w:t>
      </w:r>
      <w:proofErr w:type="spellEnd"/>
      <w:r>
        <w:t>, used for supplementary metadata resolution. Institutional and guideline sources were consulted directly for material published outside the journal literature, specifically th</w:t>
      </w:r>
      <w:r>
        <w:t>e National Institute for Health and Care Excellence and the American Psychiatric Association.</w:t>
      </w:r>
    </w:p>
    <w:p w14:paraId="085D0D53" w14:textId="77777777" w:rsidR="001157F7" w:rsidRDefault="002C716A" w:rsidP="00B71AE8">
      <w:pPr>
        <w:pStyle w:val="BodyText"/>
        <w:spacing w:before="100" w:beforeAutospacing="1" w:after="100" w:afterAutospacing="1" w:line="240" w:lineRule="auto"/>
      </w:pPr>
      <w:r>
        <w:t>Web of Science Core Collection, Scopus, Embase, PsycINFO, CINAHL and the Cochrane Library were not accessible during preparation of this review and were not searc</w:t>
      </w:r>
      <w:r>
        <w:t xml:space="preserve">hed. No claim is made that these resources were interrogated, and their omission is treated as a limitation. Cochrane systematic reviews relevant to the topic were retrieved through the indexed sources listed above rather than through the Cochrane Library </w:t>
      </w:r>
      <w:r>
        <w:t>interface. Supplementary retrieval was undertaken through backward citation searching of recent high-quality reviews and consensus documents, forward citation checking of foundational studies, related-record searching within the indexed sources, and target</w:t>
      </w:r>
      <w:r>
        <w:t>ed searching for corrections and expressions of concern relating to included studies. Commercial publishers and individual journals were not treated as literature databases.</w:t>
      </w:r>
    </w:p>
    <w:p w14:paraId="74D4EF35" w14:textId="77777777" w:rsidR="001157F7" w:rsidRDefault="002C716A" w:rsidP="00B71AE8">
      <w:pPr>
        <w:pStyle w:val="Heading3"/>
        <w:spacing w:before="100" w:beforeAutospacing="1" w:after="100" w:afterAutospacing="1" w:line="240" w:lineRule="auto"/>
      </w:pPr>
      <w:bookmarkStart w:id="17" w:name="search-strategy-and-search-period"/>
      <w:bookmarkEnd w:id="16"/>
      <w:r>
        <w:lastRenderedPageBreak/>
        <w:t>2.3 Search Strategy and Search Period</w:t>
      </w:r>
    </w:p>
    <w:p w14:paraId="27E9BE17" w14:textId="77777777" w:rsidR="001157F7" w:rsidRDefault="002C716A" w:rsidP="00B71AE8">
      <w:pPr>
        <w:pStyle w:val="FirstParagraph"/>
        <w:spacing w:before="100" w:beforeAutospacing="1" w:after="100" w:afterAutospacing="1" w:line="240" w:lineRule="auto"/>
      </w:pPr>
      <w:r>
        <w:t>Search concepts were constructed around five</w:t>
      </w:r>
      <w:r>
        <w:t xml:space="preserve"> domains: the disorder itself, the </w:t>
      </w:r>
      <w:commentRangeStart w:id="18"/>
      <w:proofErr w:type="spellStart"/>
      <w:r>
        <w:t>paediatric</w:t>
      </w:r>
      <w:commentRangeEnd w:id="18"/>
      <w:proofErr w:type="spellEnd"/>
      <w:r w:rsidR="005C6458">
        <w:rPr>
          <w:rStyle w:val="CommentReference"/>
        </w:rPr>
        <w:commentReference w:id="18"/>
      </w:r>
      <w:r>
        <w:t xml:space="preserve"> population, diagnostic methods and validity, therapeutic interventions, and outcomes including harms and service delivery. Controlled vocabulary was combined with free-text terms, and synonyms were joined with </w:t>
      </w:r>
      <w:r>
        <w:t>Boolean operators. Representative strings are given in Table 1.</w:t>
      </w:r>
    </w:p>
    <w:p w14:paraId="4D2E3951" w14:textId="77777777" w:rsidR="001157F7" w:rsidRDefault="002C716A" w:rsidP="00B71AE8">
      <w:pPr>
        <w:pStyle w:val="BodyText"/>
        <w:spacing w:before="100" w:beforeAutospacing="1" w:after="100" w:afterAutospacing="1" w:line="240" w:lineRule="auto"/>
      </w:pPr>
      <w:r>
        <w:t>The search period extended from 1 January 2005 to 1 June 2026. The starting point was selected because it approximates the transition to consortium-scale imaging and genomic collaboration in A</w:t>
      </w:r>
      <w:r>
        <w:t>DHD research, the first long-term observational follow-ups of the Multimodal Treatment Study, and the beginning of systematic register-based pharmacoepidemiology in Nordic health systems, and therefore marks the start of the methodological era whose produc</w:t>
      </w:r>
      <w:r>
        <w:t>ts this review evaluates. The final search was conducted on 1 June 2026. Foundational publications predating the start of the search period were retained where they were necessary to explain the historical development of diagnostic criteria, the origins of</w:t>
      </w:r>
      <w:r>
        <w:t xml:space="preserve"> long-running cohorts, or the derivation of established measurement instruments.</w:t>
      </w:r>
    </w:p>
    <w:p w14:paraId="0159C4C7" w14:textId="77777777" w:rsidR="001157F7" w:rsidRDefault="002C716A" w:rsidP="00B71AE8">
      <w:pPr>
        <w:pStyle w:val="Heading3"/>
        <w:spacing w:before="100" w:beforeAutospacing="1" w:after="100" w:afterAutospacing="1" w:line="240" w:lineRule="auto"/>
      </w:pPr>
      <w:bookmarkStart w:id="19" w:name="eligibility-criteria"/>
      <w:bookmarkEnd w:id="17"/>
      <w:r>
        <w:t>2.4 Eligibility Criteria</w:t>
      </w:r>
    </w:p>
    <w:p w14:paraId="6BDEAC6E" w14:textId="77777777" w:rsidR="001157F7" w:rsidRDefault="002C716A" w:rsidP="00B71AE8">
      <w:pPr>
        <w:pStyle w:val="FirstParagraph"/>
        <w:spacing w:before="100" w:beforeAutospacing="1" w:after="100" w:afterAutospacing="1" w:line="240" w:lineRule="auto"/>
      </w:pPr>
      <w:r>
        <w:t xml:space="preserve">Publications were eligible if they concerned ADHD in participants aged eighteen years or younger, or reported analyses in which </w:t>
      </w:r>
      <w:commentRangeStart w:id="20"/>
      <w:proofErr w:type="spellStart"/>
      <w:r>
        <w:t>paediatric</w:t>
      </w:r>
      <w:commentRangeEnd w:id="20"/>
      <w:proofErr w:type="spellEnd"/>
      <w:r w:rsidR="001B30EE">
        <w:rPr>
          <w:rStyle w:val="CommentReference"/>
        </w:rPr>
        <w:commentReference w:id="20"/>
      </w:r>
      <w:r>
        <w:t xml:space="preserve"> data were s</w:t>
      </w:r>
      <w:r>
        <w:t xml:space="preserve">eparately identifiable; if they addressed diagnosis, assessment, treatment, harms, prognosis or service delivery; and if they were peer-reviewed primary studies, quantitative syntheses, consensus statements or clinical guidelines. </w:t>
      </w:r>
      <w:proofErr w:type="spellStart"/>
      <w:r>
        <w:t>Randomised</w:t>
      </w:r>
      <w:proofErr w:type="spellEnd"/>
      <w:r>
        <w:t xml:space="preserve"> controlled tri</w:t>
      </w:r>
      <w:r>
        <w:t>als, individual participant data meta-analyses, large observational cohorts and registry analyses, consortium imaging and genomic studies, diagnostic accuracy studies and rigorously conducted qualitative service evaluations were all within scope. Adult stu</w:t>
      </w:r>
      <w:r>
        <w:t>dies were eligible where they provided the only available evidence on a compound or technology likely to be extended to children, or where developmental comparison was analytically informative.</w:t>
      </w:r>
    </w:p>
    <w:p w14:paraId="5889E342" w14:textId="77777777" w:rsidR="001157F7" w:rsidRDefault="002C716A" w:rsidP="00B71AE8">
      <w:pPr>
        <w:pStyle w:val="BodyText"/>
        <w:spacing w:before="100" w:beforeAutospacing="1" w:after="100" w:afterAutospacing="1" w:line="240" w:lineRule="auto"/>
      </w:pPr>
      <w:r>
        <w:t xml:space="preserve">Publications were excluded if they were not peer-reviewed, if </w:t>
      </w:r>
      <w:r>
        <w:t xml:space="preserve">bibliographic identity or digital object identifier could not be verified, if they were preprints for which peer-reviewed evidence on the same question existed, if they were conference abstracts without full reports, if they were commercial or promotional </w:t>
      </w:r>
      <w:r>
        <w:t>material, or if they addressed ADHD only incidentally within a broader condition. Case reports and small uncontrolled series were excluded from the evidential base, though they were considered when assessing whether a treatment claim rested on adequate des</w:t>
      </w:r>
      <w:r>
        <w:t>ign. Non-human studies were excluded. Language was restricted to English, which is acknowledged as a limitation. Retracted publications were excluded unless the retraction itself was the subject of discussion, and no such instance arose.</w:t>
      </w:r>
    </w:p>
    <w:p w14:paraId="3CE0448D" w14:textId="77777777" w:rsidR="001157F7" w:rsidRDefault="002C716A" w:rsidP="00B71AE8">
      <w:pPr>
        <w:pStyle w:val="Heading3"/>
        <w:spacing w:before="100" w:beforeAutospacing="1" w:after="100" w:afterAutospacing="1" w:line="240" w:lineRule="auto"/>
      </w:pPr>
      <w:bookmarkStart w:id="21" w:name="X7d2e9d0ecae87711c8cd031b02724f1a8226a19"/>
      <w:bookmarkEnd w:id="19"/>
      <w:r>
        <w:t>2.5 Screening, Dup</w:t>
      </w:r>
      <w:r>
        <w:t>licate Handling and Study Selection</w:t>
      </w:r>
    </w:p>
    <w:p w14:paraId="02B2AC71" w14:textId="77777777" w:rsidR="001157F7" w:rsidRDefault="002C716A" w:rsidP="00B71AE8">
      <w:pPr>
        <w:pStyle w:val="FirstParagraph"/>
        <w:spacing w:before="100" w:beforeAutospacing="1" w:after="100" w:afterAutospacing="1" w:line="240" w:lineRule="auto"/>
      </w:pPr>
      <w:r>
        <w:t>Records retrieved from each source were screened first on title and abstract against the eligibility criteria, and records passing that stage were assessed on full text where full text was accessible, or on complete abst</w:t>
      </w:r>
      <w:r>
        <w:t xml:space="preserve">ract and verified bibliographic metadata where it was not. Duplicates arising across sources were identified by digital object identifier, and where no identifier was present, by </w:t>
      </w:r>
      <w:r>
        <w:lastRenderedPageBreak/>
        <w:t>matching of title, first author and journal. Where the same study appeared as</w:t>
      </w:r>
      <w:r>
        <w:t xml:space="preserve"> both a protocol and a completed report, only the completed report was retained. Where a systematic review had been updated, the most recent version was used and earlier versions were cited only where the comparison between versions was analytically releva</w:t>
      </w:r>
      <w:r>
        <w:t>nt.</w:t>
      </w:r>
    </w:p>
    <w:p w14:paraId="1B8E2F03" w14:textId="77777777" w:rsidR="001157F7" w:rsidRDefault="002C716A" w:rsidP="00B71AE8">
      <w:pPr>
        <w:pStyle w:val="BodyText"/>
        <w:spacing w:before="100" w:beforeAutospacing="1" w:after="100" w:afterAutospacing="1" w:line="240" w:lineRule="auto"/>
      </w:pPr>
      <w:r>
        <w:t>Sources whose bibliographic details could not be confirmed against an authoritative registry were not cited. Records available only as abstracts, or for which the digital object identifier did not resolve to the cited article, were discarded regardless</w:t>
      </w:r>
      <w:r>
        <w:t xml:space="preserve"> of apparent relevance. No numerical record counts are reported, because the screening process was iterative and concept-driven rather than a single documented sequence, and reporting counts would misrepresent a narrative selection process as a systematic </w:t>
      </w:r>
      <w:r>
        <w:t>one. For the same reason, no study-flow diagram is presented.</w:t>
      </w:r>
    </w:p>
    <w:p w14:paraId="38AE5644" w14:textId="77777777" w:rsidR="001157F7" w:rsidRDefault="002C716A" w:rsidP="00B71AE8">
      <w:pPr>
        <w:pStyle w:val="Heading3"/>
        <w:spacing w:before="100" w:beforeAutospacing="1" w:after="100" w:afterAutospacing="1" w:line="240" w:lineRule="auto"/>
      </w:pPr>
      <w:bookmarkStart w:id="22" w:name="Xc28834b6ce4066e280aa110dcd5d5fe36acafe5"/>
      <w:bookmarkEnd w:id="21"/>
      <w:r>
        <w:t>2.6 Critical Appraisal and Evidence Synthesis</w:t>
      </w:r>
    </w:p>
    <w:p w14:paraId="133046D2" w14:textId="77777777" w:rsidR="001157F7" w:rsidRDefault="002C716A" w:rsidP="00B71AE8">
      <w:pPr>
        <w:pStyle w:val="FirstParagraph"/>
        <w:spacing w:before="100" w:beforeAutospacing="1" w:after="100" w:afterAutospacing="1" w:line="240" w:lineRule="auto"/>
      </w:pPr>
      <w:r>
        <w:t xml:space="preserve">Each body of evidence was appraised against criteria appropriate to its design. </w:t>
      </w:r>
      <w:proofErr w:type="spellStart"/>
      <w:r>
        <w:t>Randomised</w:t>
      </w:r>
      <w:proofErr w:type="spellEnd"/>
      <w:r>
        <w:t xml:space="preserve"> trials were assessed for allocation concealment, the iden</w:t>
      </w:r>
      <w:r>
        <w:t>tity and probable blinding status of outcome raters, attrition, duration of follow-up and the distinction between primary and secondary endpoints. Quantitative syntheses were assessed for the adequacy of the search, the handling of heterogeneity, the trans</w:t>
      </w:r>
      <w:r>
        <w:t>parency of certainty grading and the extent to which conclusions were conditioned on rater blinding. Observational and register-based studies were assessed for confounding control, the appropriateness of the comparison group, exposure misclassification and</w:t>
      </w:r>
      <w:r>
        <w:t xml:space="preserve"> the plausibility of residual confounding by indication. Diagnostic accuracy and classification studies were assessed for the independence of the reference standard, the presence of external validation in a sample not used for model development, spectrum c</w:t>
      </w:r>
      <w:r>
        <w:t>omposition and the reporting of calibration alongside discrimination.</w:t>
      </w:r>
    </w:p>
    <w:p w14:paraId="3E19B125" w14:textId="77777777" w:rsidR="001157F7" w:rsidRDefault="002C716A" w:rsidP="00B71AE8">
      <w:pPr>
        <w:pStyle w:val="BodyText"/>
        <w:spacing w:before="100" w:beforeAutospacing="1" w:after="100" w:afterAutospacing="1" w:line="240" w:lineRule="auto"/>
      </w:pPr>
      <w:r>
        <w:t>Recurrent methodological problems were treated as analytical objects rather than as caveats to be noted and set aside, since the argument developed here concerns precisely those problems</w:t>
      </w:r>
      <w:r>
        <w:t>. Themes were constructed by grouping evidence around the mechanisms, controversies and measurement issues that recurred across domains, rather than around study type or intervention category. Where studies disagreed, the synthesis attempts to identify the</w:t>
      </w:r>
      <w:r>
        <w:t xml:space="preserve"> methodological source of the disagreement, most often differences in rater blinding, outcome instrument, sample ascertainment or analytic time horizon, and reports the disagreement as unresolved where no such source could be identified. Confidence in each</w:t>
      </w:r>
      <w:r>
        <w:t xml:space="preserve"> conclusion is stated explicitly in the text, and no formal risk-of-bias scoring system was applied, since applying such an instrument across designs for which it was not developed would convey false precision.</w:t>
      </w:r>
    </w:p>
    <w:p w14:paraId="7AAD9D86" w14:textId="77777777" w:rsidR="001157F7" w:rsidRDefault="002C716A" w:rsidP="00B71AE8">
      <w:pPr>
        <w:pStyle w:val="BodyText"/>
        <w:spacing w:before="100" w:beforeAutospacing="1" w:after="100" w:afterAutospacing="1" w:line="240" w:lineRule="auto"/>
      </w:pPr>
      <w:r>
        <w:t>Table 1 sets out the principal search concepts alongside representative Boolean strings and the eligibility rules applied to each concept. Its purpose is reproducibility rather than summary of findings: the concept structure shows where the review delibera</w:t>
      </w:r>
      <w:r>
        <w:t xml:space="preserve">tely cast widely, as in the diagnostic and intervention domains, and where retrieval was intentionally bounded, as in </w:t>
      </w:r>
      <w:proofErr w:type="spellStart"/>
      <w:r>
        <w:t>aetiology</w:t>
      </w:r>
      <w:proofErr w:type="spellEnd"/>
      <w:r>
        <w:t>. The table also makes explicit that terms relating to harms, equity and implementation were searched as first-order concepts rat</w:t>
      </w:r>
      <w:r>
        <w:t>her than being retrieved incidentally, which reflects the review’s position that these determine clinical impact as much as efficacy does. Readers reproducing these searches in subscription databases should expect additional records, particularly from psyc</w:t>
      </w:r>
      <w:r>
        <w:t>hological and educational literature indexed in resources unavailable here.</w:t>
      </w:r>
    </w:p>
    <w:p w14:paraId="718109A6" w14:textId="77777777" w:rsidR="001157F7" w:rsidRDefault="002C716A" w:rsidP="00B71AE8">
      <w:pPr>
        <w:pStyle w:val="BodyText"/>
        <w:spacing w:before="100" w:beforeAutospacing="1" w:after="100" w:afterAutospacing="1" w:line="240" w:lineRule="auto"/>
      </w:pPr>
      <w:r>
        <w:rPr>
          <w:b/>
          <w:bCs/>
        </w:rPr>
        <w:lastRenderedPageBreak/>
        <w:t>Table 1.</w:t>
      </w:r>
      <w:r>
        <w:t xml:space="preserve"> Search concepts, representative Boolean strings and concept-specific eligibility rules</w:t>
      </w:r>
    </w:p>
    <w:tbl>
      <w:tblPr>
        <w:tblStyle w:val="TableGrid"/>
        <w:tblW w:w="5000" w:type="pct"/>
        <w:tblLook w:val="0020" w:firstRow="1" w:lastRow="0" w:firstColumn="0" w:lastColumn="0" w:noHBand="0" w:noVBand="0"/>
      </w:tblPr>
      <w:tblGrid>
        <w:gridCol w:w="1896"/>
        <w:gridCol w:w="2582"/>
        <w:gridCol w:w="1729"/>
        <w:gridCol w:w="1820"/>
        <w:gridCol w:w="1549"/>
      </w:tblGrid>
      <w:tr w:rsidR="001157F7" w14:paraId="4A915417" w14:textId="77777777" w:rsidTr="00B71AE8">
        <w:tc>
          <w:tcPr>
            <w:tcW w:w="0" w:type="auto"/>
          </w:tcPr>
          <w:p w14:paraId="7E5C1BC3" w14:textId="77777777" w:rsidR="001157F7" w:rsidRDefault="002C716A" w:rsidP="00B71AE8">
            <w:pPr>
              <w:pStyle w:val="Compact"/>
              <w:spacing w:before="100" w:beforeAutospacing="1" w:after="100" w:afterAutospacing="1"/>
              <w:jc w:val="left"/>
            </w:pPr>
            <w:r>
              <w:t>Concept domain</w:t>
            </w:r>
          </w:p>
        </w:tc>
        <w:tc>
          <w:tcPr>
            <w:tcW w:w="0" w:type="auto"/>
          </w:tcPr>
          <w:p w14:paraId="2EA20EC9" w14:textId="77777777" w:rsidR="001157F7" w:rsidRDefault="002C716A" w:rsidP="00B71AE8">
            <w:pPr>
              <w:pStyle w:val="Compact"/>
              <w:spacing w:before="100" w:beforeAutospacing="1" w:after="100" w:afterAutospacing="1"/>
              <w:jc w:val="left"/>
            </w:pPr>
            <w:r>
              <w:t>Representative search string</w:t>
            </w:r>
          </w:p>
        </w:tc>
        <w:tc>
          <w:tcPr>
            <w:tcW w:w="0" w:type="auto"/>
          </w:tcPr>
          <w:p w14:paraId="1A1E141B" w14:textId="77777777" w:rsidR="001157F7" w:rsidRDefault="002C716A" w:rsidP="00B71AE8">
            <w:pPr>
              <w:pStyle w:val="Compact"/>
              <w:spacing w:before="100" w:beforeAutospacing="1" w:after="100" w:afterAutospacing="1"/>
              <w:jc w:val="left"/>
            </w:pPr>
            <w:r>
              <w:t>Fields and limits applied</w:t>
            </w:r>
          </w:p>
        </w:tc>
        <w:tc>
          <w:tcPr>
            <w:tcW w:w="0" w:type="auto"/>
          </w:tcPr>
          <w:p w14:paraId="0EF6168B" w14:textId="77777777" w:rsidR="001157F7" w:rsidRDefault="002C716A" w:rsidP="00B71AE8">
            <w:pPr>
              <w:pStyle w:val="Compact"/>
              <w:spacing w:before="100" w:beforeAutospacing="1" w:after="100" w:afterAutospacing="1"/>
              <w:jc w:val="left"/>
            </w:pPr>
            <w:r>
              <w:t>Concept-specif</w:t>
            </w:r>
            <w:r>
              <w:t>ic inclusion rule</w:t>
            </w:r>
          </w:p>
        </w:tc>
        <w:tc>
          <w:tcPr>
            <w:tcW w:w="0" w:type="auto"/>
          </w:tcPr>
          <w:p w14:paraId="11CB97F5" w14:textId="77777777" w:rsidR="001157F7" w:rsidRDefault="002C716A" w:rsidP="00B71AE8">
            <w:pPr>
              <w:pStyle w:val="Compact"/>
              <w:spacing w:before="100" w:beforeAutospacing="1" w:after="100" w:afterAutospacing="1"/>
              <w:jc w:val="left"/>
            </w:pPr>
            <w:r>
              <w:t>Supporting references</w:t>
            </w:r>
          </w:p>
        </w:tc>
      </w:tr>
      <w:tr w:rsidR="001157F7" w14:paraId="5A2C1F73" w14:textId="77777777" w:rsidTr="00B71AE8">
        <w:tc>
          <w:tcPr>
            <w:tcW w:w="0" w:type="auto"/>
          </w:tcPr>
          <w:p w14:paraId="4453D823" w14:textId="77777777" w:rsidR="001157F7" w:rsidRDefault="002C716A" w:rsidP="00B71AE8">
            <w:pPr>
              <w:pStyle w:val="Compact"/>
              <w:spacing w:before="100" w:beforeAutospacing="1" w:after="100" w:afterAutospacing="1"/>
              <w:jc w:val="left"/>
            </w:pPr>
            <w:r>
              <w:t>Disorder and population</w:t>
            </w:r>
          </w:p>
        </w:tc>
        <w:tc>
          <w:tcPr>
            <w:tcW w:w="0" w:type="auto"/>
          </w:tcPr>
          <w:p w14:paraId="5F979220" w14:textId="77777777" w:rsidR="001157F7" w:rsidRDefault="002C716A" w:rsidP="00B71AE8">
            <w:pPr>
              <w:pStyle w:val="Compact"/>
              <w:spacing w:before="100" w:beforeAutospacing="1" w:after="100" w:afterAutospacing="1"/>
              <w:jc w:val="left"/>
            </w:pPr>
            <w:r>
              <w:t xml:space="preserve">(“attention deficit hyperactivity disorder” OR ADHD OR “hyperkinetic disorder”) AND (child* OR </w:t>
            </w:r>
            <w:proofErr w:type="spellStart"/>
            <w:r>
              <w:t>paediatric</w:t>
            </w:r>
            <w:proofErr w:type="spellEnd"/>
            <w:r>
              <w:t xml:space="preserve"> OR pediatric OR </w:t>
            </w:r>
            <w:proofErr w:type="spellStart"/>
            <w:r>
              <w:t>adolescen</w:t>
            </w:r>
            <w:proofErr w:type="spellEnd"/>
            <w:r>
              <w:t>* OR youth)</w:t>
            </w:r>
          </w:p>
        </w:tc>
        <w:tc>
          <w:tcPr>
            <w:tcW w:w="0" w:type="auto"/>
          </w:tcPr>
          <w:p w14:paraId="54CDC68A" w14:textId="77777777" w:rsidR="001157F7" w:rsidRDefault="002C716A" w:rsidP="00B71AE8">
            <w:pPr>
              <w:pStyle w:val="Compact"/>
              <w:spacing w:before="100" w:beforeAutospacing="1" w:after="100" w:afterAutospacing="1"/>
              <w:jc w:val="left"/>
            </w:pPr>
            <w:r>
              <w:t>Title and abstract; 2005–2026; English</w:t>
            </w:r>
          </w:p>
        </w:tc>
        <w:tc>
          <w:tcPr>
            <w:tcW w:w="0" w:type="auto"/>
          </w:tcPr>
          <w:p w14:paraId="75469211" w14:textId="77777777" w:rsidR="001157F7" w:rsidRDefault="002C716A" w:rsidP="00B71AE8">
            <w:pPr>
              <w:pStyle w:val="Compact"/>
              <w:spacing w:before="100" w:beforeAutospacing="1" w:after="100" w:afterAutospacing="1"/>
              <w:jc w:val="left"/>
            </w:pPr>
            <w:r>
              <w:t>Participa</w:t>
            </w:r>
            <w:r>
              <w:t xml:space="preserve">nts ≤18 years, or </w:t>
            </w:r>
            <w:proofErr w:type="spellStart"/>
            <w:r>
              <w:t>paediatric</w:t>
            </w:r>
            <w:proofErr w:type="spellEnd"/>
            <w:r>
              <w:t xml:space="preserve"> data separately reported</w:t>
            </w:r>
          </w:p>
        </w:tc>
        <w:tc>
          <w:tcPr>
            <w:tcW w:w="0" w:type="auto"/>
          </w:tcPr>
          <w:p w14:paraId="2F5E92A2" w14:textId="77777777" w:rsidR="001157F7" w:rsidRDefault="002C716A" w:rsidP="00B71AE8">
            <w:pPr>
              <w:pStyle w:val="Compact"/>
              <w:spacing w:before="100" w:beforeAutospacing="1" w:after="100" w:afterAutospacing="1"/>
              <w:jc w:val="left"/>
            </w:pPr>
            <w:r>
              <w:t>Faraone et al., 2021; Salari et al., 2023</w:t>
            </w:r>
          </w:p>
        </w:tc>
      </w:tr>
      <w:tr w:rsidR="001157F7" w14:paraId="552C4024" w14:textId="77777777" w:rsidTr="00B71AE8">
        <w:tc>
          <w:tcPr>
            <w:tcW w:w="0" w:type="auto"/>
          </w:tcPr>
          <w:p w14:paraId="69BF6D5F" w14:textId="77777777" w:rsidR="001157F7" w:rsidRDefault="002C716A" w:rsidP="00B71AE8">
            <w:pPr>
              <w:pStyle w:val="Compact"/>
              <w:spacing w:before="100" w:beforeAutospacing="1" w:after="100" w:afterAutospacing="1"/>
              <w:jc w:val="left"/>
            </w:pPr>
            <w:r>
              <w:t>Diagnosis and diagnostic validity</w:t>
            </w:r>
          </w:p>
        </w:tc>
        <w:tc>
          <w:tcPr>
            <w:tcW w:w="0" w:type="auto"/>
          </w:tcPr>
          <w:p w14:paraId="6FD3B33F" w14:textId="77777777" w:rsidR="001157F7" w:rsidRDefault="002C716A" w:rsidP="00B71AE8">
            <w:pPr>
              <w:pStyle w:val="Compact"/>
              <w:spacing w:before="100" w:beforeAutospacing="1" w:after="100" w:afterAutospacing="1"/>
              <w:jc w:val="left"/>
            </w:pPr>
            <w:r>
              <w:t>(</w:t>
            </w:r>
            <w:proofErr w:type="spellStart"/>
            <w:r>
              <w:t>diagnos</w:t>
            </w:r>
            <w:proofErr w:type="spellEnd"/>
            <w:r>
              <w:t xml:space="preserve">* OR assessment OR “rating scale” OR “diagnostic accuracy” OR overdiagnosis OR misdiagnosis) AND ADHD AND (validity </w:t>
            </w:r>
            <w:r>
              <w:t>OR reliability OR threshold OR criteria)</w:t>
            </w:r>
          </w:p>
        </w:tc>
        <w:tc>
          <w:tcPr>
            <w:tcW w:w="0" w:type="auto"/>
          </w:tcPr>
          <w:p w14:paraId="27905AA5" w14:textId="77777777" w:rsidR="001157F7" w:rsidRDefault="002C716A" w:rsidP="00B71AE8">
            <w:pPr>
              <w:pStyle w:val="Compact"/>
              <w:spacing w:before="100" w:beforeAutospacing="1" w:after="100" w:afterAutospacing="1"/>
              <w:jc w:val="left"/>
            </w:pPr>
            <w:r>
              <w:t>Title and abstract; publication types including meta-analysis and systematic review</w:t>
            </w:r>
          </w:p>
        </w:tc>
        <w:tc>
          <w:tcPr>
            <w:tcW w:w="0" w:type="auto"/>
          </w:tcPr>
          <w:p w14:paraId="67F22F00" w14:textId="77777777" w:rsidR="001157F7" w:rsidRDefault="002C716A" w:rsidP="00B71AE8">
            <w:pPr>
              <w:pStyle w:val="Compact"/>
              <w:spacing w:before="100" w:beforeAutospacing="1" w:after="100" w:afterAutospacing="1"/>
              <w:jc w:val="left"/>
            </w:pPr>
            <w:r>
              <w:t>Reports diagnostic process, accuracy or criterion performance</w:t>
            </w:r>
          </w:p>
        </w:tc>
        <w:tc>
          <w:tcPr>
            <w:tcW w:w="0" w:type="auto"/>
          </w:tcPr>
          <w:p w14:paraId="510202A4" w14:textId="77777777" w:rsidR="001157F7" w:rsidRDefault="002C716A" w:rsidP="00B71AE8">
            <w:pPr>
              <w:pStyle w:val="Compact"/>
              <w:spacing w:before="100" w:beforeAutospacing="1" w:after="100" w:afterAutospacing="1"/>
              <w:jc w:val="left"/>
            </w:pPr>
            <w:r>
              <w:t xml:space="preserve">Kazda et al., 2021; </w:t>
            </w:r>
            <w:proofErr w:type="spellStart"/>
            <w:r>
              <w:t>Polanczyk</w:t>
            </w:r>
            <w:proofErr w:type="spellEnd"/>
            <w:r>
              <w:t xml:space="preserve"> et al., 2014; </w:t>
            </w:r>
            <w:proofErr w:type="spellStart"/>
            <w:r>
              <w:t>Wolraich</w:t>
            </w:r>
            <w:proofErr w:type="spellEnd"/>
            <w:r>
              <w:t xml:space="preserve"> et al., 2019</w:t>
            </w:r>
          </w:p>
        </w:tc>
      </w:tr>
      <w:tr w:rsidR="001157F7" w14:paraId="210D5873" w14:textId="77777777" w:rsidTr="00B71AE8">
        <w:tc>
          <w:tcPr>
            <w:tcW w:w="0" w:type="auto"/>
          </w:tcPr>
          <w:p w14:paraId="1DA59ADE" w14:textId="77777777" w:rsidR="001157F7" w:rsidRDefault="002C716A" w:rsidP="00B71AE8">
            <w:pPr>
              <w:pStyle w:val="Compact"/>
              <w:spacing w:before="100" w:beforeAutospacing="1" w:after="100" w:afterAutospacing="1"/>
              <w:jc w:val="left"/>
            </w:pPr>
            <w:r>
              <w:t>Objective and computational methods</w:t>
            </w:r>
          </w:p>
        </w:tc>
        <w:tc>
          <w:tcPr>
            <w:tcW w:w="0" w:type="auto"/>
          </w:tcPr>
          <w:p w14:paraId="7532FECD" w14:textId="77777777" w:rsidR="001157F7" w:rsidRDefault="002C716A" w:rsidP="00B71AE8">
            <w:pPr>
              <w:pStyle w:val="Compact"/>
              <w:spacing w:before="100" w:beforeAutospacing="1" w:after="100" w:afterAutospacing="1"/>
              <w:jc w:val="left"/>
            </w:pPr>
            <w:r>
              <w:t xml:space="preserve">ADHD AND (MRI OR neuroimaging OR EEG OR </w:t>
            </w:r>
            <w:proofErr w:type="spellStart"/>
            <w:r>
              <w:t>fNIRS</w:t>
            </w:r>
            <w:proofErr w:type="spellEnd"/>
            <w:r>
              <w:t xml:space="preserve"> OR genome-wide OR polygenic OR “machine learning” OR “artificial intelligence” OR “continuous performance”) AND (</w:t>
            </w:r>
            <w:proofErr w:type="spellStart"/>
            <w:r>
              <w:t>diagnos</w:t>
            </w:r>
            <w:proofErr w:type="spellEnd"/>
            <w:r>
              <w:t xml:space="preserve">* OR </w:t>
            </w:r>
            <w:proofErr w:type="spellStart"/>
            <w:r>
              <w:t>classif</w:t>
            </w:r>
            <w:proofErr w:type="spellEnd"/>
            <w:r>
              <w:t>* OR biomarker)</w:t>
            </w:r>
          </w:p>
        </w:tc>
        <w:tc>
          <w:tcPr>
            <w:tcW w:w="0" w:type="auto"/>
          </w:tcPr>
          <w:p w14:paraId="4065FB9A" w14:textId="77777777" w:rsidR="001157F7" w:rsidRDefault="002C716A" w:rsidP="00B71AE8">
            <w:pPr>
              <w:pStyle w:val="Compact"/>
              <w:spacing w:before="100" w:beforeAutospacing="1" w:after="100" w:afterAutospacing="1"/>
              <w:jc w:val="left"/>
            </w:pPr>
            <w:r>
              <w:t>Title and abstract; all de</w:t>
            </w:r>
            <w:r>
              <w:t>signs</w:t>
            </w:r>
          </w:p>
        </w:tc>
        <w:tc>
          <w:tcPr>
            <w:tcW w:w="0" w:type="auto"/>
          </w:tcPr>
          <w:p w14:paraId="237229F9" w14:textId="77777777" w:rsidR="001157F7" w:rsidRDefault="002C716A" w:rsidP="00B71AE8">
            <w:pPr>
              <w:pStyle w:val="Compact"/>
              <w:spacing w:before="100" w:beforeAutospacing="1" w:after="100" w:afterAutospacing="1"/>
              <w:jc w:val="left"/>
            </w:pPr>
            <w:r>
              <w:t>Reports a candidate objective marker or classifier with quantified performance</w:t>
            </w:r>
          </w:p>
        </w:tc>
        <w:tc>
          <w:tcPr>
            <w:tcW w:w="0" w:type="auto"/>
          </w:tcPr>
          <w:p w14:paraId="6DC105ED" w14:textId="77777777" w:rsidR="001157F7" w:rsidRDefault="002C716A" w:rsidP="00B71AE8">
            <w:pPr>
              <w:pStyle w:val="Compact"/>
              <w:spacing w:before="100" w:beforeAutospacing="1" w:after="100" w:afterAutospacing="1"/>
              <w:jc w:val="left"/>
            </w:pPr>
            <w:proofErr w:type="spellStart"/>
            <w:r>
              <w:t>Alberca</w:t>
            </w:r>
            <w:proofErr w:type="spellEnd"/>
            <w:r>
              <w:t xml:space="preserve">-González &amp; </w:t>
            </w:r>
            <w:proofErr w:type="spellStart"/>
            <w:r>
              <w:t>Fernández</w:t>
            </w:r>
            <w:proofErr w:type="spellEnd"/>
            <w:r>
              <w:t xml:space="preserve">-Jiménez, 2026; </w:t>
            </w:r>
            <w:proofErr w:type="spellStart"/>
            <w:r>
              <w:t>Hoogman</w:t>
            </w:r>
            <w:proofErr w:type="spellEnd"/>
            <w:r>
              <w:t xml:space="preserve"> et al., 2017; Tian et al., 2024</w:t>
            </w:r>
          </w:p>
        </w:tc>
      </w:tr>
      <w:tr w:rsidR="001157F7" w14:paraId="623DB628" w14:textId="77777777" w:rsidTr="00B71AE8">
        <w:tc>
          <w:tcPr>
            <w:tcW w:w="0" w:type="auto"/>
          </w:tcPr>
          <w:p w14:paraId="1806F74A" w14:textId="77777777" w:rsidR="001157F7" w:rsidRDefault="002C716A" w:rsidP="00B71AE8">
            <w:pPr>
              <w:pStyle w:val="Compact"/>
              <w:spacing w:before="100" w:beforeAutospacing="1" w:after="100" w:afterAutospacing="1"/>
              <w:jc w:val="left"/>
            </w:pPr>
            <w:r>
              <w:t>Pharmacological intervention</w:t>
            </w:r>
          </w:p>
        </w:tc>
        <w:tc>
          <w:tcPr>
            <w:tcW w:w="0" w:type="auto"/>
          </w:tcPr>
          <w:p w14:paraId="5E499E9C" w14:textId="77777777" w:rsidR="001157F7" w:rsidRDefault="002C716A" w:rsidP="00B71AE8">
            <w:pPr>
              <w:pStyle w:val="Compact"/>
              <w:spacing w:before="100" w:beforeAutospacing="1" w:after="100" w:afterAutospacing="1"/>
              <w:jc w:val="left"/>
            </w:pPr>
            <w:r>
              <w:t xml:space="preserve">ADHD AND (methylphenidate OR amphetamine OR </w:t>
            </w:r>
            <w:proofErr w:type="spellStart"/>
            <w:r>
              <w:t>lisdexamfetam</w:t>
            </w:r>
            <w:r>
              <w:t>ine</w:t>
            </w:r>
            <w:proofErr w:type="spellEnd"/>
            <w:r>
              <w:t xml:space="preserve"> OR </w:t>
            </w:r>
            <w:proofErr w:type="spellStart"/>
            <w:r>
              <w:t>atomoxetine</w:t>
            </w:r>
            <w:proofErr w:type="spellEnd"/>
            <w:r>
              <w:t xml:space="preserve"> OR guanfacine OR clonidine OR </w:t>
            </w:r>
            <w:proofErr w:type="spellStart"/>
            <w:r>
              <w:t>viloxazine</w:t>
            </w:r>
            <w:proofErr w:type="spellEnd"/>
            <w:r>
              <w:t xml:space="preserve"> OR </w:t>
            </w:r>
            <w:proofErr w:type="spellStart"/>
            <w:r>
              <w:t>centanafadine</w:t>
            </w:r>
            <w:proofErr w:type="spellEnd"/>
            <w:r>
              <w:t>) AND (</w:t>
            </w:r>
            <w:proofErr w:type="spellStart"/>
            <w:r>
              <w:t>randomi</w:t>
            </w:r>
            <w:proofErr w:type="spellEnd"/>
            <w:r>
              <w:t>* OR trial OR “network meta-analysis” OR dose)</w:t>
            </w:r>
          </w:p>
        </w:tc>
        <w:tc>
          <w:tcPr>
            <w:tcW w:w="0" w:type="auto"/>
          </w:tcPr>
          <w:p w14:paraId="4956A083" w14:textId="77777777" w:rsidR="001157F7" w:rsidRDefault="002C716A" w:rsidP="00B71AE8">
            <w:pPr>
              <w:pStyle w:val="Compact"/>
              <w:spacing w:before="100" w:beforeAutospacing="1" w:after="100" w:afterAutospacing="1"/>
              <w:jc w:val="left"/>
            </w:pPr>
            <w:r>
              <w:t xml:space="preserve">Title and abstract; </w:t>
            </w:r>
            <w:proofErr w:type="spellStart"/>
            <w:r>
              <w:t>randomised</w:t>
            </w:r>
            <w:proofErr w:type="spellEnd"/>
            <w:r>
              <w:t xml:space="preserve"> and synthesis designs </w:t>
            </w:r>
            <w:proofErr w:type="spellStart"/>
            <w:r>
              <w:t>prioritised</w:t>
            </w:r>
            <w:proofErr w:type="spellEnd"/>
          </w:p>
        </w:tc>
        <w:tc>
          <w:tcPr>
            <w:tcW w:w="0" w:type="auto"/>
          </w:tcPr>
          <w:p w14:paraId="1B589344" w14:textId="77777777" w:rsidR="001157F7" w:rsidRDefault="002C716A" w:rsidP="00B71AE8">
            <w:pPr>
              <w:pStyle w:val="Compact"/>
              <w:spacing w:before="100" w:beforeAutospacing="1" w:after="100" w:afterAutospacing="1"/>
              <w:jc w:val="left"/>
            </w:pPr>
            <w:r>
              <w:t xml:space="preserve">Double-blind </w:t>
            </w:r>
            <w:proofErr w:type="spellStart"/>
            <w:r>
              <w:t>randomised</w:t>
            </w:r>
            <w:proofErr w:type="spellEnd"/>
            <w:r>
              <w:t xml:space="preserve"> design, or synthesis of such d</w:t>
            </w:r>
            <w:r>
              <w:t>esigns, or population-scale safety analysis</w:t>
            </w:r>
          </w:p>
        </w:tc>
        <w:tc>
          <w:tcPr>
            <w:tcW w:w="0" w:type="auto"/>
          </w:tcPr>
          <w:p w14:paraId="30164ABB" w14:textId="77777777" w:rsidR="001157F7" w:rsidRDefault="002C716A" w:rsidP="00B71AE8">
            <w:pPr>
              <w:pStyle w:val="Compact"/>
              <w:spacing w:before="100" w:beforeAutospacing="1" w:after="100" w:afterAutospacing="1"/>
              <w:jc w:val="left"/>
            </w:pPr>
            <w:r>
              <w:t xml:space="preserve">Cortese et al., 2018; </w:t>
            </w:r>
            <w:proofErr w:type="spellStart"/>
            <w:r>
              <w:t>Nourredine</w:t>
            </w:r>
            <w:proofErr w:type="spellEnd"/>
            <w:r>
              <w:t xml:space="preserve"> et al., 2026; Storebø et al., 2025</w:t>
            </w:r>
          </w:p>
        </w:tc>
      </w:tr>
      <w:tr w:rsidR="001157F7" w14:paraId="6637DCC9" w14:textId="77777777" w:rsidTr="00B71AE8">
        <w:tc>
          <w:tcPr>
            <w:tcW w:w="0" w:type="auto"/>
          </w:tcPr>
          <w:p w14:paraId="74820EA5" w14:textId="77777777" w:rsidR="001157F7" w:rsidRDefault="002C716A" w:rsidP="00B71AE8">
            <w:pPr>
              <w:pStyle w:val="Compact"/>
              <w:spacing w:before="100" w:beforeAutospacing="1" w:after="100" w:afterAutospacing="1"/>
              <w:jc w:val="left"/>
            </w:pPr>
            <w:r>
              <w:t>Non-pharmacological intervention</w:t>
            </w:r>
          </w:p>
        </w:tc>
        <w:tc>
          <w:tcPr>
            <w:tcW w:w="0" w:type="auto"/>
          </w:tcPr>
          <w:p w14:paraId="3C78C248" w14:textId="77777777" w:rsidR="001157F7" w:rsidRDefault="002C716A" w:rsidP="00B71AE8">
            <w:pPr>
              <w:pStyle w:val="Compact"/>
              <w:spacing w:before="100" w:beforeAutospacing="1" w:after="100" w:afterAutospacing="1"/>
              <w:jc w:val="left"/>
            </w:pPr>
            <w:r>
              <w:t xml:space="preserve">ADHD AND (“parent training” OR </w:t>
            </w:r>
            <w:proofErr w:type="spellStart"/>
            <w:r>
              <w:t>behavioural</w:t>
            </w:r>
            <w:proofErr w:type="spellEnd"/>
            <w:r>
              <w:t xml:space="preserve"> OR </w:t>
            </w:r>
            <w:r>
              <w:lastRenderedPageBreak/>
              <w:t xml:space="preserve">behavioral OR </w:t>
            </w:r>
            <w:proofErr w:type="spellStart"/>
            <w:r>
              <w:t>neurofeedback</w:t>
            </w:r>
            <w:proofErr w:type="spellEnd"/>
            <w:r>
              <w:t xml:space="preserve"> OR </w:t>
            </w:r>
            <w:proofErr w:type="spellStart"/>
            <w:r>
              <w:t>tDCS</w:t>
            </w:r>
            <w:proofErr w:type="spellEnd"/>
            <w:r>
              <w:t xml:space="preserve"> OR </w:t>
            </w:r>
            <w:proofErr w:type="spellStart"/>
            <w:r>
              <w:t>rTMS</w:t>
            </w:r>
            <w:proofErr w:type="spellEnd"/>
            <w:r>
              <w:t xml:space="preserve"> OR exercise OR sleep</w:t>
            </w:r>
            <w:r>
              <w:t xml:space="preserve"> OR omega-3 OR “digital therapeutic” OR “cognitive training”) AND (</w:t>
            </w:r>
            <w:proofErr w:type="spellStart"/>
            <w:r>
              <w:t>randomi</w:t>
            </w:r>
            <w:proofErr w:type="spellEnd"/>
            <w:r>
              <w:t>* OR meta-analysis)</w:t>
            </w:r>
          </w:p>
        </w:tc>
        <w:tc>
          <w:tcPr>
            <w:tcW w:w="0" w:type="auto"/>
          </w:tcPr>
          <w:p w14:paraId="7FC2252F" w14:textId="77777777" w:rsidR="001157F7" w:rsidRDefault="002C716A" w:rsidP="00B71AE8">
            <w:pPr>
              <w:pStyle w:val="Compact"/>
              <w:spacing w:before="100" w:beforeAutospacing="1" w:after="100" w:afterAutospacing="1"/>
              <w:jc w:val="left"/>
            </w:pPr>
            <w:r>
              <w:lastRenderedPageBreak/>
              <w:t xml:space="preserve">Title and abstract; </w:t>
            </w:r>
            <w:proofErr w:type="spellStart"/>
            <w:r>
              <w:t>randomised</w:t>
            </w:r>
            <w:proofErr w:type="spellEnd"/>
            <w:r>
              <w:t xml:space="preserve"> </w:t>
            </w:r>
            <w:r>
              <w:lastRenderedPageBreak/>
              <w:t>and synthesis designs</w:t>
            </w:r>
          </w:p>
        </w:tc>
        <w:tc>
          <w:tcPr>
            <w:tcW w:w="0" w:type="auto"/>
          </w:tcPr>
          <w:p w14:paraId="561984E4" w14:textId="77777777" w:rsidR="001157F7" w:rsidRDefault="002C716A" w:rsidP="00B71AE8">
            <w:pPr>
              <w:pStyle w:val="Compact"/>
              <w:spacing w:before="100" w:beforeAutospacing="1" w:after="100" w:afterAutospacing="1"/>
              <w:jc w:val="left"/>
            </w:pPr>
            <w:proofErr w:type="spellStart"/>
            <w:r>
              <w:lastRenderedPageBreak/>
              <w:t>Randomised</w:t>
            </w:r>
            <w:proofErr w:type="spellEnd"/>
            <w:r>
              <w:t xml:space="preserve"> comparison reported, with </w:t>
            </w:r>
            <w:r>
              <w:lastRenderedPageBreak/>
              <w:t>blinding status of outcome raters ascertainable</w:t>
            </w:r>
          </w:p>
        </w:tc>
        <w:tc>
          <w:tcPr>
            <w:tcW w:w="0" w:type="auto"/>
          </w:tcPr>
          <w:p w14:paraId="2C0C12BE" w14:textId="77777777" w:rsidR="001157F7" w:rsidRDefault="002C716A" w:rsidP="00B71AE8">
            <w:pPr>
              <w:pStyle w:val="Compact"/>
              <w:spacing w:before="100" w:beforeAutospacing="1" w:after="100" w:afterAutospacing="1"/>
              <w:jc w:val="left"/>
            </w:pPr>
            <w:r>
              <w:lastRenderedPageBreak/>
              <w:t xml:space="preserve">Daley et al., 2014; Mei </w:t>
            </w:r>
            <w:r>
              <w:t xml:space="preserve">et al., 2026; </w:t>
            </w:r>
            <w:r>
              <w:lastRenderedPageBreak/>
              <w:t>Westwood et al., 2025</w:t>
            </w:r>
          </w:p>
        </w:tc>
      </w:tr>
      <w:tr w:rsidR="001157F7" w14:paraId="6C2F35E2" w14:textId="77777777" w:rsidTr="00B71AE8">
        <w:tc>
          <w:tcPr>
            <w:tcW w:w="0" w:type="auto"/>
          </w:tcPr>
          <w:p w14:paraId="081DFC17" w14:textId="77777777" w:rsidR="001157F7" w:rsidRDefault="002C716A" w:rsidP="00B71AE8">
            <w:pPr>
              <w:pStyle w:val="Compact"/>
              <w:spacing w:before="100" w:beforeAutospacing="1" w:after="100" w:afterAutospacing="1"/>
              <w:jc w:val="left"/>
            </w:pPr>
            <w:r>
              <w:lastRenderedPageBreak/>
              <w:t>Harms and long-term outcome</w:t>
            </w:r>
          </w:p>
        </w:tc>
        <w:tc>
          <w:tcPr>
            <w:tcW w:w="0" w:type="auto"/>
          </w:tcPr>
          <w:p w14:paraId="015CB582" w14:textId="77777777" w:rsidR="001157F7" w:rsidRDefault="002C716A" w:rsidP="00B71AE8">
            <w:pPr>
              <w:pStyle w:val="Compact"/>
              <w:spacing w:before="100" w:beforeAutospacing="1" w:after="100" w:afterAutospacing="1"/>
              <w:jc w:val="left"/>
            </w:pPr>
            <w:r>
              <w:t>ADHD AND (medication OR stimulant) AND (cardiovascular OR growth OR height OR psychosis OR “adverse event” OR discontinuation OR “long-term”)</w:t>
            </w:r>
          </w:p>
        </w:tc>
        <w:tc>
          <w:tcPr>
            <w:tcW w:w="0" w:type="auto"/>
          </w:tcPr>
          <w:p w14:paraId="5CABE3B6" w14:textId="77777777" w:rsidR="001157F7" w:rsidRDefault="002C716A" w:rsidP="00B71AE8">
            <w:pPr>
              <w:pStyle w:val="Compact"/>
              <w:spacing w:before="100" w:beforeAutospacing="1" w:after="100" w:afterAutospacing="1"/>
              <w:jc w:val="left"/>
            </w:pPr>
            <w:r>
              <w:t xml:space="preserve">Title and abstract; cohort, case-control and </w:t>
            </w:r>
            <w:r>
              <w:t>registry designs included</w:t>
            </w:r>
          </w:p>
        </w:tc>
        <w:tc>
          <w:tcPr>
            <w:tcW w:w="0" w:type="auto"/>
          </w:tcPr>
          <w:p w14:paraId="494BB2C1" w14:textId="77777777" w:rsidR="001157F7" w:rsidRDefault="002C716A" w:rsidP="00B71AE8">
            <w:pPr>
              <w:pStyle w:val="Compact"/>
              <w:spacing w:before="100" w:beforeAutospacing="1" w:after="100" w:afterAutospacing="1"/>
              <w:jc w:val="left"/>
            </w:pPr>
            <w:r>
              <w:t>Quantified harm or long-term outcome estimate with defined comparator</w:t>
            </w:r>
          </w:p>
        </w:tc>
        <w:tc>
          <w:tcPr>
            <w:tcW w:w="0" w:type="auto"/>
          </w:tcPr>
          <w:p w14:paraId="78158228" w14:textId="77777777" w:rsidR="001157F7" w:rsidRDefault="002C716A" w:rsidP="00B71AE8">
            <w:pPr>
              <w:pStyle w:val="Compact"/>
              <w:spacing w:before="100" w:beforeAutospacing="1" w:after="100" w:afterAutospacing="1"/>
              <w:jc w:val="left"/>
            </w:pPr>
            <w:r>
              <w:t>Swanson et al., 2017; Zhang et al., 2022; Zhang et al., 2024</w:t>
            </w:r>
          </w:p>
        </w:tc>
      </w:tr>
      <w:tr w:rsidR="001157F7" w14:paraId="6E26E729" w14:textId="77777777" w:rsidTr="00B71AE8">
        <w:tc>
          <w:tcPr>
            <w:tcW w:w="0" w:type="auto"/>
          </w:tcPr>
          <w:p w14:paraId="6A331AF5" w14:textId="77777777" w:rsidR="001157F7" w:rsidRDefault="002C716A" w:rsidP="00B71AE8">
            <w:pPr>
              <w:pStyle w:val="Compact"/>
              <w:spacing w:before="100" w:beforeAutospacing="1" w:after="100" w:afterAutospacing="1"/>
              <w:jc w:val="left"/>
            </w:pPr>
            <w:r>
              <w:t>Equity, services and implementation</w:t>
            </w:r>
          </w:p>
        </w:tc>
        <w:tc>
          <w:tcPr>
            <w:tcW w:w="0" w:type="auto"/>
          </w:tcPr>
          <w:p w14:paraId="459E0C95" w14:textId="77777777" w:rsidR="001157F7" w:rsidRDefault="002C716A" w:rsidP="00B71AE8">
            <w:pPr>
              <w:pStyle w:val="Compact"/>
              <w:spacing w:before="100" w:beforeAutospacing="1" w:after="100" w:afterAutospacing="1"/>
              <w:jc w:val="left"/>
            </w:pPr>
            <w:r>
              <w:t>ADHD AND (</w:t>
            </w:r>
            <w:proofErr w:type="spellStart"/>
            <w:r>
              <w:t>disparit</w:t>
            </w:r>
            <w:proofErr w:type="spellEnd"/>
            <w:r>
              <w:t xml:space="preserve">* OR ethnic* OR “relative age” OR access OR </w:t>
            </w:r>
            <w:r>
              <w:t xml:space="preserve">“care model” OR “waiting time” OR telehealth OR prescribing) AND (child* OR </w:t>
            </w:r>
            <w:proofErr w:type="spellStart"/>
            <w:r>
              <w:t>adolescen</w:t>
            </w:r>
            <w:proofErr w:type="spellEnd"/>
            <w:r>
              <w:t>*)</w:t>
            </w:r>
          </w:p>
        </w:tc>
        <w:tc>
          <w:tcPr>
            <w:tcW w:w="0" w:type="auto"/>
          </w:tcPr>
          <w:p w14:paraId="5B559954" w14:textId="77777777" w:rsidR="001157F7" w:rsidRDefault="002C716A" w:rsidP="00B71AE8">
            <w:pPr>
              <w:pStyle w:val="Compact"/>
              <w:spacing w:before="100" w:beforeAutospacing="1" w:after="100" w:afterAutospacing="1"/>
              <w:jc w:val="left"/>
            </w:pPr>
            <w:r>
              <w:t>Title and abstract; observational and service evaluation designs</w:t>
            </w:r>
          </w:p>
        </w:tc>
        <w:tc>
          <w:tcPr>
            <w:tcW w:w="0" w:type="auto"/>
          </w:tcPr>
          <w:p w14:paraId="7DE80640" w14:textId="77777777" w:rsidR="001157F7" w:rsidRDefault="002C716A" w:rsidP="00B71AE8">
            <w:pPr>
              <w:pStyle w:val="Compact"/>
              <w:spacing w:before="100" w:beforeAutospacing="1" w:after="100" w:afterAutospacing="1"/>
              <w:jc w:val="left"/>
            </w:pPr>
            <w:r>
              <w:t>Reports variation in identification, treatment receipt or service configuration</w:t>
            </w:r>
          </w:p>
        </w:tc>
        <w:tc>
          <w:tcPr>
            <w:tcW w:w="0" w:type="auto"/>
          </w:tcPr>
          <w:p w14:paraId="4944C42E" w14:textId="77777777" w:rsidR="001157F7" w:rsidRDefault="002C716A" w:rsidP="00B71AE8">
            <w:pPr>
              <w:pStyle w:val="Compact"/>
              <w:spacing w:before="100" w:beforeAutospacing="1" w:after="100" w:afterAutospacing="1"/>
              <w:jc w:val="left"/>
            </w:pPr>
            <w:r>
              <w:t>Carter et al., 2026; Gl</w:t>
            </w:r>
            <w:r>
              <w:t>enn et al., 2026; Sayal et al., 2018</w:t>
            </w:r>
          </w:p>
        </w:tc>
      </w:tr>
    </w:tbl>
    <w:p w14:paraId="657EF08D" w14:textId="77777777" w:rsidR="001157F7" w:rsidRDefault="002C716A" w:rsidP="00B71AE8">
      <w:pPr>
        <w:pStyle w:val="BodyText"/>
        <w:spacing w:before="100" w:beforeAutospacing="1" w:after="100" w:afterAutospacing="1" w:line="240" w:lineRule="auto"/>
      </w:pPr>
      <w:r>
        <w:rPr>
          <w:i/>
          <w:iCs/>
        </w:rPr>
        <w:t>Note.</w:t>
      </w:r>
      <w:r>
        <w:t xml:space="preserve"> ADHD = attention-deficit/hyperactivity disorder; EEG = electroencephalography; </w:t>
      </w:r>
      <w:proofErr w:type="spellStart"/>
      <w:r>
        <w:t>fNIRS</w:t>
      </w:r>
      <w:proofErr w:type="spellEnd"/>
      <w:r>
        <w:t xml:space="preserve"> = functional near-infrared spectroscopy; MRI = magnetic resonance imaging; </w:t>
      </w:r>
      <w:proofErr w:type="spellStart"/>
      <w:r>
        <w:t>rTMS</w:t>
      </w:r>
      <w:proofErr w:type="spellEnd"/>
      <w:r>
        <w:t xml:space="preserve"> = repetitive </w:t>
      </w:r>
      <w:proofErr w:type="spellStart"/>
      <w:r>
        <w:t>transcranial</w:t>
      </w:r>
      <w:proofErr w:type="spellEnd"/>
      <w:r>
        <w:t xml:space="preserve"> magnetic stimulation;</w:t>
      </w:r>
      <w:r>
        <w:t xml:space="preserve"> </w:t>
      </w:r>
      <w:proofErr w:type="spellStart"/>
      <w:r>
        <w:t>tDCS</w:t>
      </w:r>
      <w:proofErr w:type="spellEnd"/>
      <w:r>
        <w:t xml:space="preserve"> = </w:t>
      </w:r>
      <w:proofErr w:type="spellStart"/>
      <w:r>
        <w:t>transcranial</w:t>
      </w:r>
      <w:proofErr w:type="spellEnd"/>
      <w:r>
        <w:t xml:space="preserve"> direct current stimulation. Strings are shown in generic form; syntax was adapted to the query conventions of each source. The final search date was 1 June 2026. Supporting references identify publications retrieved through, and illust</w:t>
      </w:r>
      <w:r>
        <w:t>rative of, each concept domain, and do not represent the complete yield of any search.</w:t>
      </w:r>
    </w:p>
    <w:p w14:paraId="51DF3759" w14:textId="77777777" w:rsidR="001157F7" w:rsidRDefault="002C716A" w:rsidP="00B71AE8">
      <w:pPr>
        <w:pStyle w:val="Heading2"/>
        <w:spacing w:before="100" w:beforeAutospacing="1" w:after="100" w:afterAutospacing="1" w:line="240" w:lineRule="auto"/>
      </w:pPr>
      <w:bookmarkStart w:id="23" w:name="Xbf7687cb077d92070ef2fa3bf116651400db7ca"/>
      <w:bookmarkEnd w:id="12"/>
      <w:bookmarkEnd w:id="22"/>
      <w:r>
        <w:t>3. The Diagnostic Construct and Its Measurement Dependencies</w:t>
      </w:r>
    </w:p>
    <w:p w14:paraId="7B5B4146" w14:textId="77777777" w:rsidR="001157F7" w:rsidRDefault="002C716A" w:rsidP="00B71AE8">
      <w:pPr>
        <w:pStyle w:val="Heading3"/>
        <w:spacing w:before="100" w:beforeAutospacing="1" w:after="100" w:afterAutospacing="1" w:line="240" w:lineRule="auto"/>
      </w:pPr>
      <w:bookmarkStart w:id="24" w:name="X08388b17050d3e2278e83568136038b830aa0e8"/>
      <w:r>
        <w:t>3.1 Criterion-Based Diagnosis and the Informant Problem</w:t>
      </w:r>
    </w:p>
    <w:p w14:paraId="76E40281" w14:textId="77777777" w:rsidR="001157F7" w:rsidRDefault="002C716A" w:rsidP="00B71AE8">
      <w:pPr>
        <w:pStyle w:val="FirstParagraph"/>
        <w:spacing w:before="100" w:beforeAutospacing="1" w:after="100" w:afterAutospacing="1" w:line="240" w:lineRule="auto"/>
      </w:pPr>
      <w:r>
        <w:t>Contemporary diagnosis rests on the demonstration of</w:t>
      </w:r>
      <w:r>
        <w:t xml:space="preserve"> a specified number of inattentive or hyperactive-impulsive symptoms, present before the age of twelve years, evident in two or more settings, and associated with functional impairment beyond what would be expected developmentally (American Psychiatric Ass</w:t>
      </w:r>
      <w:r>
        <w:t>ociation, 2022). Clinical guidelines translate these criteria into a procedure requiring information from parents and teachers, direct clinical assessment, and consideration of alternative or co-occurring explanations (National Institute for Health and Car</w:t>
      </w:r>
      <w:r>
        <w:t xml:space="preserve">e Excellence, 2019; </w:t>
      </w:r>
      <w:proofErr w:type="spellStart"/>
      <w:r>
        <w:t>Wolraich</w:t>
      </w:r>
      <w:proofErr w:type="spellEnd"/>
      <w:r>
        <w:t xml:space="preserve"> et al., 2019). The architecture is defensible as a means of </w:t>
      </w:r>
      <w:proofErr w:type="spellStart"/>
      <w:r>
        <w:t>standardising</w:t>
      </w:r>
      <w:proofErr w:type="spellEnd"/>
      <w:r>
        <w:t xml:space="preserve"> clinical communication. Its evidential weakness is that every element is </w:t>
      </w:r>
      <w:r>
        <w:lastRenderedPageBreak/>
        <w:t>filtered through observers who differ systematically in what they notice, what t</w:t>
      </w:r>
      <w:r>
        <w:t>hey tolerate and what they report.</w:t>
      </w:r>
    </w:p>
    <w:p w14:paraId="2440F43E" w14:textId="77777777" w:rsidR="001157F7" w:rsidRDefault="002C716A" w:rsidP="00B71AE8">
      <w:pPr>
        <w:pStyle w:val="BodyText"/>
        <w:spacing w:before="100" w:beforeAutospacing="1" w:after="100" w:afterAutospacing="1" w:line="240" w:lineRule="auto"/>
      </w:pPr>
      <w:r>
        <w:t xml:space="preserve">That dependency has measurable consequences. Analyses of medication efficacy in which clinician and teacher ratings are examined separately show that the two sources do not merely differ in precision but can yield </w:t>
      </w:r>
      <w:r>
        <w:t>qualitatively different conclusions about which agents outperform placebo (</w:t>
      </w:r>
      <w:commentRangeStart w:id="25"/>
      <w:proofErr w:type="spellStart"/>
      <w:r>
        <w:t>Cortese</w:t>
      </w:r>
      <w:commentRangeEnd w:id="25"/>
      <w:proofErr w:type="spellEnd"/>
      <w:r w:rsidR="00BB74F3">
        <w:rPr>
          <w:rStyle w:val="CommentReference"/>
        </w:rPr>
        <w:commentReference w:id="25"/>
      </w:r>
      <w:r>
        <w:t xml:space="preserve"> et al., 2018). Long-term follow-up of the Multimodal Treatment Study found a substantial and statistically robust discrepancy between parent and self-report of symptom sever</w:t>
      </w:r>
      <w:r>
        <w:t>ity in young adulthood, large enough to constitute a finding in its own right rather than measurement noise (Swanson et al., 2017). Where the diagnostic standard and the primary outcome derive from the same fallible source, the apparent coherence of the fi</w:t>
      </w:r>
      <w:r>
        <w:t>eld is partly an artefact of shared method variance.</w:t>
      </w:r>
    </w:p>
    <w:p w14:paraId="6AE6BF38" w14:textId="77777777" w:rsidR="001157F7" w:rsidRDefault="002C716A" w:rsidP="00B71AE8">
      <w:pPr>
        <w:pStyle w:val="BodyText"/>
        <w:spacing w:before="100" w:beforeAutospacing="1" w:after="100" w:afterAutospacing="1" w:line="240" w:lineRule="auto"/>
      </w:pPr>
      <w:r>
        <w:t>Attempts to anchor the construct in cognitive performance have been only partially successful. Executive function deficits are demonstrable at group level in ADHD, but comparative synthesis across neurod</w:t>
      </w:r>
      <w:r>
        <w:t>evelopmental conditions indicates that impairments of similar direction and comparable magnitude occur in autism spectrum disorder, communication disorders and other developmental presentations, so that executive dysfunction identifies neurodevelopmental a</w:t>
      </w:r>
      <w:r>
        <w:t>typicality rather than ADHD specifically (Sadozai et al., 2024). This is a substantive limitation rather than a technical one. A marker that does not distinguish the target condition from its principal differential diagnoses cannot serve as a diagnostic an</w:t>
      </w:r>
      <w:r>
        <w:t>chor, however reliably it separates cases from typically developing controls.</w:t>
      </w:r>
    </w:p>
    <w:p w14:paraId="3142B93C" w14:textId="77777777" w:rsidR="001157F7" w:rsidRDefault="002C716A" w:rsidP="00B71AE8">
      <w:pPr>
        <w:pStyle w:val="BodyText"/>
        <w:spacing w:before="100" w:beforeAutospacing="1" w:after="100" w:afterAutospacing="1" w:line="240" w:lineRule="auto"/>
      </w:pPr>
      <w:r>
        <w:t xml:space="preserve">Differential diagnosis carries its own measurement burden. Sleep-disordered breathing produces daytime inattention and </w:t>
      </w:r>
      <w:proofErr w:type="spellStart"/>
      <w:r>
        <w:t>behavioural</w:t>
      </w:r>
      <w:proofErr w:type="spellEnd"/>
      <w:r>
        <w:t xml:space="preserve"> </w:t>
      </w:r>
      <w:proofErr w:type="spellStart"/>
      <w:r>
        <w:t>dysregulation</w:t>
      </w:r>
      <w:proofErr w:type="spellEnd"/>
      <w:r>
        <w:t xml:space="preserve"> that overlap substantially with A</w:t>
      </w:r>
      <w:r>
        <w:t xml:space="preserve">DHD presentation, and meta-analytic evidence confirms an elevated association between obstructive sleep </w:t>
      </w:r>
      <w:proofErr w:type="spellStart"/>
      <w:r>
        <w:t>apnoea</w:t>
      </w:r>
      <w:proofErr w:type="spellEnd"/>
      <w:r>
        <w:t xml:space="preserve"> and ADHD in children (Leow et al., 2026). Whether that association reflects misattribution of sleep-related impairment to ADHD, genuine comorbidi</w:t>
      </w:r>
      <w:r>
        <w:t xml:space="preserve">ty, or a shared upstream mechanism cannot be resolved from the observational designs available, and the direction of the inference matters clinically because it determines whether the appropriate first response is stimulant titration or referral for sleep </w:t>
      </w:r>
      <w:r>
        <w:t>assessment.</w:t>
      </w:r>
    </w:p>
    <w:p w14:paraId="67C9103B" w14:textId="77777777" w:rsidR="001157F7" w:rsidRDefault="002C716A" w:rsidP="00B71AE8">
      <w:pPr>
        <w:pStyle w:val="Heading3"/>
        <w:spacing w:before="100" w:beforeAutospacing="1" w:after="100" w:afterAutospacing="1" w:line="240" w:lineRule="auto"/>
      </w:pPr>
      <w:bookmarkStart w:id="26" w:name="X159d3b2596d5eb85f98cfbb5b84f8f7cc2da42e"/>
      <w:bookmarkEnd w:id="24"/>
      <w:r>
        <w:t>3.2 Contextual Artefacts in Case Identification</w:t>
      </w:r>
    </w:p>
    <w:p w14:paraId="278094AE" w14:textId="77777777" w:rsidR="001157F7" w:rsidRDefault="002C716A" w:rsidP="00B71AE8">
      <w:pPr>
        <w:pStyle w:val="FirstParagraph"/>
        <w:spacing w:before="100" w:beforeAutospacing="1" w:after="100" w:afterAutospacing="1" w:line="240" w:lineRule="auto"/>
      </w:pPr>
      <w:r>
        <w:t>The clearest demonstration that diagnosis is not determined by the child alone comes from studies of relative age. Children who are youngest within their school cohort are more likely to be diagno</w:t>
      </w:r>
      <w:r>
        <w:t xml:space="preserve">sed with ADHD and more likely to be prescribed medication than their older classmates, and meta-analytic synthesis places the magnitude of the association at approximately a forty per cent relative increase in diagnosis and a smaller but still substantial </w:t>
      </w:r>
      <w:r>
        <w:t>increase in prescribing, with considerable heterogeneity across the contributing studies (</w:t>
      </w:r>
      <w:proofErr w:type="spellStart"/>
      <w:r>
        <w:t>Frisira</w:t>
      </w:r>
      <w:proofErr w:type="spellEnd"/>
      <w:r>
        <w:t xml:space="preserve"> et al., 2025). Evidence from three epidemiological cohorts combined with meta-analysis had earlier established the same pattern (Caye et al., 2020). The mecha</w:t>
      </w:r>
      <w:r>
        <w:t>nism is illuminating: the relative age effect is detectable in teacher ratings but not in parent ratings (</w:t>
      </w:r>
      <w:proofErr w:type="spellStart"/>
      <w:r>
        <w:t>Frisira</w:t>
      </w:r>
      <w:proofErr w:type="spellEnd"/>
      <w:r>
        <w:t xml:space="preserve"> et al., 2025), which is consistent with teachers making implicitly normative comparisons within a classroom whose age range spans almost a yea</w:t>
      </w:r>
      <w:r>
        <w:t>r, and parents comparing against a different and less age-homogeneous reference group.</w:t>
      </w:r>
    </w:p>
    <w:p w14:paraId="0AD4AA9C" w14:textId="77777777" w:rsidR="001157F7" w:rsidRDefault="002C716A" w:rsidP="00B71AE8">
      <w:pPr>
        <w:pStyle w:val="BodyText"/>
        <w:spacing w:before="100" w:beforeAutospacing="1" w:after="100" w:afterAutospacing="1" w:line="240" w:lineRule="auto"/>
      </w:pPr>
      <w:r>
        <w:lastRenderedPageBreak/>
        <w:t>Whether relative age produces spurious diagnosis or merely earlier detection of genuine difficulty has been addressed by individual participant data meta-analysis of pro</w:t>
      </w:r>
      <w:r>
        <w:t>spective cohorts, which examined the persistence of ADHD in relation to relative age at school entry (Synergy for the Influence of the Month of Birth in ADHD Study Group, 2023). The design is stronger than cross-sectional comparison because it tests whethe</w:t>
      </w:r>
      <w:r>
        <w:t>r relatively younger children who receive a diagnosis follow the same longitudinal course as their relatively older counterparts. The existence of this evidence stream does not settle the question, but it demonstrates that the field has moved from document</w:t>
      </w:r>
      <w:r>
        <w:t>ing the artefact towards testing its clinical meaning, which is the appropriate next step.</w:t>
      </w:r>
    </w:p>
    <w:p w14:paraId="1BA1DC85" w14:textId="77777777" w:rsidR="001157F7" w:rsidRDefault="002C716A" w:rsidP="00B71AE8">
      <w:pPr>
        <w:pStyle w:val="BodyText"/>
        <w:spacing w:before="100" w:beforeAutospacing="1" w:after="100" w:afterAutospacing="1" w:line="240" w:lineRule="auto"/>
      </w:pPr>
      <w:r>
        <w:t>Demographic variation is equally instructive. Meta-analysis of population-based studies comparing prevalence across racial and ethnic groups in the United States fou</w:t>
      </w:r>
      <w:r>
        <w:t>nd lower caregiver-reported diagnosis among Latino and Asian youth than among White youth, with Black youth not differing significantly, and a different and reversed pattern among juvenile offenders, where diagnosis was less frequent in Black and Latino th</w:t>
      </w:r>
      <w:r>
        <w:t>an in White young people (Glenn et al., 2026). Two features of that analysis deserve emphasis. The first is that the direction of the disparity depends on the sampling frame, which is difficult to reconcile with a purely biological account of prevalence di</w:t>
      </w:r>
      <w:r>
        <w:t>fference. The second is that the authors identify method of diagnostic ascertainment as a determinant of the observed pattern, which returns the interpretation to measurement rather than to population difference.</w:t>
      </w:r>
    </w:p>
    <w:p w14:paraId="2B95967C" w14:textId="77777777" w:rsidR="001157F7" w:rsidRDefault="002C716A" w:rsidP="00B71AE8">
      <w:pPr>
        <w:pStyle w:val="Heading3"/>
        <w:spacing w:before="100" w:beforeAutospacing="1" w:after="100" w:afterAutospacing="1" w:line="240" w:lineRule="auto"/>
      </w:pPr>
      <w:bookmarkStart w:id="27" w:name="X0db2af7373d75ba461ce7b1ba8c93bf6b4520de"/>
      <w:bookmarkEnd w:id="26"/>
      <w:r>
        <w:t>3.3 Prevalence Change, Overdiagnosis and th</w:t>
      </w:r>
      <w:r>
        <w:t>e Limits of Available Inference</w:t>
      </w:r>
    </w:p>
    <w:p w14:paraId="24BAE76B" w14:textId="77777777" w:rsidR="001157F7" w:rsidRDefault="002C716A" w:rsidP="00B71AE8">
      <w:pPr>
        <w:pStyle w:val="FirstParagraph"/>
        <w:spacing w:before="100" w:beforeAutospacing="1" w:after="100" w:afterAutospacing="1" w:line="240" w:lineRule="auto"/>
      </w:pPr>
      <w:r>
        <w:t>Reported diagnosis has risen in many high-income settings, and the interpretation of that rise remains contested. Meta-regression across three decades of community prevalence studies found that variability in estimates was e</w:t>
      </w:r>
      <w:r>
        <w:t>xplained principally by diagnostic criteria, the impairment requirement and the source of information, and that neither geographical location nor year of study predicted prevalence once methodology was accounted for (</w:t>
      </w:r>
      <w:proofErr w:type="spellStart"/>
      <w:r>
        <w:t>Polanczyk</w:t>
      </w:r>
      <w:proofErr w:type="spellEnd"/>
      <w:r>
        <w:t xml:space="preserve"> et al., 2014). The inference </w:t>
      </w:r>
      <w:r>
        <w:t xml:space="preserve">is specific and often misquoted: the finding is not that ADHD has become no more common, but that when </w:t>
      </w:r>
      <w:proofErr w:type="spellStart"/>
      <w:r>
        <w:t>standardised</w:t>
      </w:r>
      <w:proofErr w:type="spellEnd"/>
      <w:r>
        <w:t xml:space="preserve"> procedures are applied to community samples, the proportion of children meeting criteria has not been shown to increase. Administrative diag</w:t>
      </w:r>
      <w:r>
        <w:t xml:space="preserve">nosis and community </w:t>
      </w:r>
      <w:proofErr w:type="spellStart"/>
      <w:r>
        <w:t>caseness</w:t>
      </w:r>
      <w:proofErr w:type="spellEnd"/>
      <w:r>
        <w:t xml:space="preserve"> are different quantities, and the divergence between them is the phenomenon requiring explanation.</w:t>
      </w:r>
    </w:p>
    <w:p w14:paraId="314CBB94" w14:textId="77777777" w:rsidR="001157F7" w:rsidRDefault="002C716A" w:rsidP="00B71AE8">
      <w:pPr>
        <w:pStyle w:val="BodyText"/>
        <w:spacing w:before="100" w:beforeAutospacing="1" w:after="100" w:afterAutospacing="1" w:line="240" w:lineRule="auto"/>
      </w:pPr>
      <w:r>
        <w:t>The most thorough appraisal of that divergence applied a structured framework for detecting overdiagnosis to more than three hun</w:t>
      </w:r>
      <w:r>
        <w:t xml:space="preserve">dred studies (Kazda et al., 2021). It identified a substantial reservoir of undiagnosed children who could potentially receive a diagnosis, documented increases in actual diagnosis and in pharmacological treatment, and found evidence that additional cases </w:t>
      </w:r>
      <w:r>
        <w:t>fall towards the milder end of the symptom distribution. The critical finding, and the one most often omitted from citation of this work, is that only five studies evaluated benefits and harms among those milder cases, and that those few studies were consi</w:t>
      </w:r>
      <w:r>
        <w:t>stent with diminishing returns in which harms may outweigh benefits at the margin. The conclusion supported by this evidence is therefore narrower than the term overdiagnosis usually implies. What has been demonstrated is that diagnostic expansion has occu</w:t>
      </w:r>
      <w:r>
        <w:t xml:space="preserve">rred into a milder stratum, and that the benefit-harm balance in that stratum is almost entirely unstudied. Whether the expansion is appropriate cannot be determined from existing data, and treating the absence of demonstrated </w:t>
      </w:r>
      <w:r>
        <w:lastRenderedPageBreak/>
        <w:t>benefit as demonstrated absen</w:t>
      </w:r>
      <w:r>
        <w:t>ce of benefit would be an error of the kind this review is concerned to avoid.</w:t>
      </w:r>
    </w:p>
    <w:p w14:paraId="67C4F015" w14:textId="77777777" w:rsidR="001157F7" w:rsidRDefault="002C716A" w:rsidP="00B71AE8">
      <w:pPr>
        <w:pStyle w:val="BodyText"/>
        <w:spacing w:before="100" w:beforeAutospacing="1" w:after="100" w:afterAutospacing="1" w:line="240" w:lineRule="auto"/>
      </w:pPr>
      <w:r>
        <w:t>Contemporary survey data complicate the picture further. Among children currently identified with ADHD in the United States, a majority have moderate or severe presentations, mo</w:t>
      </w:r>
      <w:r>
        <w:t>re than three-quarters have at least one co-occurring disorder, and approximately three in ten receive no ADHD-specific treatment (Danielson et al., 2024). A population in which most identified cases are moderate or severe, comorbid and partly untreated is</w:t>
      </w:r>
      <w:r>
        <w:t xml:space="preserve"> difficult to </w:t>
      </w:r>
      <w:proofErr w:type="spellStart"/>
      <w:r>
        <w:t>characterise</w:t>
      </w:r>
      <w:proofErr w:type="spellEnd"/>
      <w:r>
        <w:t xml:space="preserve"> as one defined principally by overdiagnosis. The most defensible reading is that overidentification at the mild end and </w:t>
      </w:r>
      <w:proofErr w:type="spellStart"/>
      <w:r>
        <w:t>underprovision</w:t>
      </w:r>
      <w:proofErr w:type="spellEnd"/>
      <w:r>
        <w:t xml:space="preserve"> at the severe end coexist within the same system, which is a problem of diagnostic and service</w:t>
      </w:r>
      <w:r>
        <w:t xml:space="preserve"> precision rather than of overall threshold placement, and which would not be corrected by moving the diagnostic threshold in either direction.</w:t>
      </w:r>
    </w:p>
    <w:p w14:paraId="093B553C" w14:textId="77777777" w:rsidR="001157F7" w:rsidRDefault="002C716A" w:rsidP="00B71AE8">
      <w:pPr>
        <w:pStyle w:val="BodyText"/>
        <w:spacing w:before="100" w:beforeAutospacing="1" w:after="100" w:afterAutospacing="1" w:line="240" w:lineRule="auto"/>
      </w:pPr>
      <w:r>
        <w:t xml:space="preserve">Table 2 </w:t>
      </w:r>
      <w:proofErr w:type="spellStart"/>
      <w:r>
        <w:t>summarises</w:t>
      </w:r>
      <w:proofErr w:type="spellEnd"/>
      <w:r>
        <w:t xml:space="preserve"> the principal sources of variability in case identification, the strength of evidence support</w:t>
      </w:r>
      <w:r>
        <w:t>ing each, and the interpretive limits that apply. The table is intended to separate mechanisms that are firmly established, such as the relative age effect and the dependence of prevalence estimates on ascertainment method, from those where the direction o</w:t>
      </w:r>
      <w:r>
        <w:t>f the effect is documented but its clinical meaning is not, such as demographic differences in reported prevalence. The distinction matters for practice because established artefacts justify procedural safeguards, whereas contested findings justify further</w:t>
      </w:r>
      <w:r>
        <w:t xml:space="preserve"> investigation rather than immediate changes to clinical thresholds. The final column identifies the studies from which each row is derived; the table is illustrative of the principal mechanisms discussed in this section and is not an exhaustive inventory </w:t>
      </w:r>
      <w:r>
        <w:t>of factors influencing ADHD diagnosis.</w:t>
      </w:r>
    </w:p>
    <w:p w14:paraId="44419F16" w14:textId="77777777" w:rsidR="001157F7" w:rsidRDefault="002C716A" w:rsidP="00B71AE8">
      <w:pPr>
        <w:pStyle w:val="BodyText"/>
        <w:spacing w:before="100" w:beforeAutospacing="1" w:after="100" w:afterAutospacing="1" w:line="240" w:lineRule="auto"/>
      </w:pPr>
      <w:r>
        <w:rPr>
          <w:b/>
          <w:bCs/>
        </w:rPr>
        <w:t>Table 2.</w:t>
      </w:r>
      <w:r>
        <w:t xml:space="preserve"> Documented sources of variability in </w:t>
      </w:r>
      <w:proofErr w:type="spellStart"/>
      <w:r>
        <w:t>paediatric</w:t>
      </w:r>
      <w:proofErr w:type="spellEnd"/>
      <w:r>
        <w:t xml:space="preserve"> ADHD case identification and their evidential status</w:t>
      </w:r>
    </w:p>
    <w:tbl>
      <w:tblPr>
        <w:tblStyle w:val="TableGrid"/>
        <w:tblW w:w="5000" w:type="pct"/>
        <w:tblLook w:val="0020" w:firstRow="1" w:lastRow="0" w:firstColumn="0" w:lastColumn="0" w:noHBand="0" w:noVBand="0"/>
      </w:tblPr>
      <w:tblGrid>
        <w:gridCol w:w="1789"/>
        <w:gridCol w:w="2561"/>
        <w:gridCol w:w="1705"/>
        <w:gridCol w:w="1904"/>
        <w:gridCol w:w="1617"/>
      </w:tblGrid>
      <w:tr w:rsidR="001157F7" w14:paraId="0896D542" w14:textId="77777777" w:rsidTr="00B71AE8">
        <w:tc>
          <w:tcPr>
            <w:tcW w:w="0" w:type="auto"/>
          </w:tcPr>
          <w:p w14:paraId="2480E2FD" w14:textId="77777777" w:rsidR="001157F7" w:rsidRDefault="002C716A" w:rsidP="00B71AE8">
            <w:pPr>
              <w:pStyle w:val="Compact"/>
              <w:spacing w:before="100" w:beforeAutospacing="1" w:after="100" w:afterAutospacing="1"/>
              <w:jc w:val="left"/>
            </w:pPr>
            <w:r>
              <w:t>Source of variability</w:t>
            </w:r>
          </w:p>
        </w:tc>
        <w:tc>
          <w:tcPr>
            <w:tcW w:w="0" w:type="auto"/>
          </w:tcPr>
          <w:p w14:paraId="7F90CF22" w14:textId="77777777" w:rsidR="001157F7" w:rsidRDefault="002C716A" w:rsidP="00B71AE8">
            <w:pPr>
              <w:pStyle w:val="Compact"/>
              <w:spacing w:before="100" w:beforeAutospacing="1" w:after="100" w:afterAutospacing="1"/>
              <w:jc w:val="left"/>
            </w:pPr>
            <w:r>
              <w:t>Direction and approximate magnitude</w:t>
            </w:r>
          </w:p>
        </w:tc>
        <w:tc>
          <w:tcPr>
            <w:tcW w:w="0" w:type="auto"/>
          </w:tcPr>
          <w:p w14:paraId="716759A3" w14:textId="77777777" w:rsidR="001157F7" w:rsidRDefault="002C716A" w:rsidP="00B71AE8">
            <w:pPr>
              <w:pStyle w:val="Compact"/>
              <w:spacing w:before="100" w:beforeAutospacing="1" w:after="100" w:afterAutospacing="1"/>
              <w:jc w:val="left"/>
            </w:pPr>
            <w:r>
              <w:t>Strength of evidence</w:t>
            </w:r>
          </w:p>
        </w:tc>
        <w:tc>
          <w:tcPr>
            <w:tcW w:w="0" w:type="auto"/>
          </w:tcPr>
          <w:p w14:paraId="24E6C005" w14:textId="77777777" w:rsidR="001157F7" w:rsidRDefault="002C716A" w:rsidP="00B71AE8">
            <w:pPr>
              <w:pStyle w:val="Compact"/>
              <w:spacing w:before="100" w:beforeAutospacing="1" w:after="100" w:afterAutospacing="1"/>
              <w:jc w:val="left"/>
            </w:pPr>
            <w:r>
              <w:t xml:space="preserve">Principal interpretive </w:t>
            </w:r>
            <w:r>
              <w:t>limitation</w:t>
            </w:r>
          </w:p>
        </w:tc>
        <w:tc>
          <w:tcPr>
            <w:tcW w:w="0" w:type="auto"/>
          </w:tcPr>
          <w:p w14:paraId="436158C2" w14:textId="77777777" w:rsidR="001157F7" w:rsidRDefault="002C716A" w:rsidP="00B71AE8">
            <w:pPr>
              <w:pStyle w:val="Compact"/>
              <w:spacing w:before="100" w:beforeAutospacing="1" w:after="100" w:afterAutospacing="1"/>
              <w:jc w:val="left"/>
            </w:pPr>
            <w:r>
              <w:t>Supporting references</w:t>
            </w:r>
          </w:p>
        </w:tc>
      </w:tr>
      <w:tr w:rsidR="001157F7" w14:paraId="22DB4530" w14:textId="77777777" w:rsidTr="00B71AE8">
        <w:tc>
          <w:tcPr>
            <w:tcW w:w="0" w:type="auto"/>
          </w:tcPr>
          <w:p w14:paraId="1D800318" w14:textId="77777777" w:rsidR="001157F7" w:rsidRDefault="002C716A" w:rsidP="00B71AE8">
            <w:pPr>
              <w:pStyle w:val="Compact"/>
              <w:spacing w:before="100" w:beforeAutospacing="1" w:after="100" w:afterAutospacing="1"/>
              <w:jc w:val="left"/>
            </w:pPr>
            <w:r>
              <w:t>Ascertainment method (criteria, impairment requirement, informant)</w:t>
            </w:r>
          </w:p>
        </w:tc>
        <w:tc>
          <w:tcPr>
            <w:tcW w:w="0" w:type="auto"/>
          </w:tcPr>
          <w:p w14:paraId="53037973" w14:textId="77777777" w:rsidR="001157F7" w:rsidRDefault="002C716A" w:rsidP="00B71AE8">
            <w:pPr>
              <w:pStyle w:val="Compact"/>
              <w:spacing w:before="100" w:beforeAutospacing="1" w:after="100" w:afterAutospacing="1"/>
              <w:jc w:val="left"/>
            </w:pPr>
            <w:r>
              <w:t>Dominant determinant of measured community prevalence; overrides geography and year of study</w:t>
            </w:r>
          </w:p>
        </w:tc>
        <w:tc>
          <w:tcPr>
            <w:tcW w:w="0" w:type="auto"/>
          </w:tcPr>
          <w:p w14:paraId="4757006D" w14:textId="77777777" w:rsidR="001157F7" w:rsidRDefault="002C716A" w:rsidP="00B71AE8">
            <w:pPr>
              <w:pStyle w:val="Compact"/>
              <w:spacing w:before="100" w:beforeAutospacing="1" w:after="100" w:afterAutospacing="1"/>
              <w:jc w:val="left"/>
            </w:pPr>
            <w:r>
              <w:t>Strong: meta-regression across 135 community studies</w:t>
            </w:r>
          </w:p>
        </w:tc>
        <w:tc>
          <w:tcPr>
            <w:tcW w:w="0" w:type="auto"/>
          </w:tcPr>
          <w:p w14:paraId="6FB832A8" w14:textId="77777777" w:rsidR="001157F7" w:rsidRDefault="002C716A" w:rsidP="00B71AE8">
            <w:pPr>
              <w:pStyle w:val="Compact"/>
              <w:spacing w:before="100" w:beforeAutospacing="1" w:after="100" w:afterAutospacing="1"/>
              <w:jc w:val="left"/>
            </w:pPr>
            <w:r>
              <w:t xml:space="preserve">Explains </w:t>
            </w:r>
            <w:r>
              <w:t>variation in research estimates; does not directly explain growth in administrative diagnosis</w:t>
            </w:r>
          </w:p>
        </w:tc>
        <w:tc>
          <w:tcPr>
            <w:tcW w:w="0" w:type="auto"/>
          </w:tcPr>
          <w:p w14:paraId="087C47CD" w14:textId="77777777" w:rsidR="001157F7" w:rsidRDefault="002C716A" w:rsidP="00B71AE8">
            <w:pPr>
              <w:pStyle w:val="Compact"/>
              <w:spacing w:before="100" w:beforeAutospacing="1" w:after="100" w:afterAutospacing="1"/>
              <w:jc w:val="left"/>
            </w:pPr>
            <w:proofErr w:type="spellStart"/>
            <w:r>
              <w:t>Polanczyk</w:t>
            </w:r>
            <w:proofErr w:type="spellEnd"/>
            <w:r>
              <w:t xml:space="preserve"> et al., 2014</w:t>
            </w:r>
          </w:p>
        </w:tc>
      </w:tr>
      <w:tr w:rsidR="001157F7" w14:paraId="39867353" w14:textId="77777777" w:rsidTr="00B71AE8">
        <w:tc>
          <w:tcPr>
            <w:tcW w:w="0" w:type="auto"/>
          </w:tcPr>
          <w:p w14:paraId="50FA0160" w14:textId="77777777" w:rsidR="001157F7" w:rsidRDefault="002C716A" w:rsidP="00B71AE8">
            <w:pPr>
              <w:pStyle w:val="Compact"/>
              <w:spacing w:before="100" w:beforeAutospacing="1" w:after="100" w:afterAutospacing="1"/>
              <w:jc w:val="left"/>
            </w:pPr>
            <w:r>
              <w:t>Relative age within school cohort</w:t>
            </w:r>
          </w:p>
        </w:tc>
        <w:tc>
          <w:tcPr>
            <w:tcW w:w="0" w:type="auto"/>
          </w:tcPr>
          <w:p w14:paraId="2213AFE5" w14:textId="77777777" w:rsidR="001157F7" w:rsidRDefault="002C716A" w:rsidP="00B71AE8">
            <w:pPr>
              <w:pStyle w:val="Compact"/>
              <w:spacing w:before="100" w:beforeAutospacing="1" w:after="100" w:afterAutospacing="1"/>
              <w:jc w:val="left"/>
            </w:pPr>
            <w:r>
              <w:t>Youngest in year approximately 1.4 times more likely to be diagnosed and 1.3 times more likely to receiv</w:t>
            </w:r>
            <w:r>
              <w:t>e medication</w:t>
            </w:r>
          </w:p>
        </w:tc>
        <w:tc>
          <w:tcPr>
            <w:tcW w:w="0" w:type="auto"/>
          </w:tcPr>
          <w:p w14:paraId="684FACDF" w14:textId="77777777" w:rsidR="001157F7" w:rsidRDefault="002C716A" w:rsidP="00B71AE8">
            <w:pPr>
              <w:pStyle w:val="Compact"/>
              <w:spacing w:before="100" w:beforeAutospacing="1" w:after="100" w:afterAutospacing="1"/>
              <w:jc w:val="left"/>
            </w:pPr>
            <w:r>
              <w:t>Strong for existence; heterogeneity high across studies</w:t>
            </w:r>
          </w:p>
        </w:tc>
        <w:tc>
          <w:tcPr>
            <w:tcW w:w="0" w:type="auto"/>
          </w:tcPr>
          <w:p w14:paraId="53A7C831" w14:textId="77777777" w:rsidR="001157F7" w:rsidRDefault="002C716A" w:rsidP="00B71AE8">
            <w:pPr>
              <w:pStyle w:val="Compact"/>
              <w:spacing w:before="100" w:beforeAutospacing="1" w:after="100" w:afterAutospacing="1"/>
              <w:jc w:val="left"/>
            </w:pPr>
            <w:r>
              <w:t>Whether effect represents spurious diagnosis or earlier detection remains under test</w:t>
            </w:r>
          </w:p>
        </w:tc>
        <w:tc>
          <w:tcPr>
            <w:tcW w:w="0" w:type="auto"/>
          </w:tcPr>
          <w:p w14:paraId="66B7F031" w14:textId="77777777" w:rsidR="001157F7" w:rsidRDefault="002C716A" w:rsidP="00B71AE8">
            <w:pPr>
              <w:pStyle w:val="Compact"/>
              <w:spacing w:before="100" w:beforeAutospacing="1" w:after="100" w:afterAutospacing="1"/>
              <w:jc w:val="left"/>
            </w:pPr>
            <w:r>
              <w:t xml:space="preserve">Caye et al., 2020; </w:t>
            </w:r>
            <w:proofErr w:type="spellStart"/>
            <w:r>
              <w:t>Frisira</w:t>
            </w:r>
            <w:proofErr w:type="spellEnd"/>
            <w:r>
              <w:t xml:space="preserve"> et al., 2025; Synergy for the Influence of the Month of Birth in ADHD Study</w:t>
            </w:r>
            <w:r>
              <w:t xml:space="preserve"> </w:t>
            </w:r>
            <w:r>
              <w:lastRenderedPageBreak/>
              <w:t>Group, 2023</w:t>
            </w:r>
          </w:p>
        </w:tc>
      </w:tr>
      <w:tr w:rsidR="001157F7" w14:paraId="4C2FAFCE" w14:textId="77777777" w:rsidTr="00B71AE8">
        <w:tc>
          <w:tcPr>
            <w:tcW w:w="0" w:type="auto"/>
          </w:tcPr>
          <w:p w14:paraId="760303BA" w14:textId="77777777" w:rsidR="001157F7" w:rsidRDefault="002C716A" w:rsidP="00B71AE8">
            <w:pPr>
              <w:pStyle w:val="Compact"/>
              <w:spacing w:before="100" w:beforeAutospacing="1" w:after="100" w:afterAutospacing="1"/>
              <w:jc w:val="left"/>
            </w:pPr>
            <w:r>
              <w:lastRenderedPageBreak/>
              <w:t>Informant source (teacher versus parent)</w:t>
            </w:r>
          </w:p>
        </w:tc>
        <w:tc>
          <w:tcPr>
            <w:tcW w:w="0" w:type="auto"/>
          </w:tcPr>
          <w:p w14:paraId="6CB2E8D5" w14:textId="77777777" w:rsidR="001157F7" w:rsidRDefault="002C716A" w:rsidP="00B71AE8">
            <w:pPr>
              <w:pStyle w:val="Compact"/>
              <w:spacing w:before="100" w:beforeAutospacing="1" w:after="100" w:afterAutospacing="1"/>
              <w:jc w:val="left"/>
            </w:pPr>
            <w:r>
              <w:t>Relative age effect present in teacher ratings, absent in parent ratings; source discrepancy persists into young adulthood</w:t>
            </w:r>
          </w:p>
        </w:tc>
        <w:tc>
          <w:tcPr>
            <w:tcW w:w="0" w:type="auto"/>
          </w:tcPr>
          <w:p w14:paraId="269B33BC" w14:textId="77777777" w:rsidR="001157F7" w:rsidRDefault="002C716A" w:rsidP="00B71AE8">
            <w:pPr>
              <w:pStyle w:val="Compact"/>
              <w:spacing w:before="100" w:beforeAutospacing="1" w:after="100" w:afterAutospacing="1"/>
              <w:jc w:val="left"/>
            </w:pPr>
            <w:r>
              <w:t>Moderate to strong; consistent across designs</w:t>
            </w:r>
          </w:p>
        </w:tc>
        <w:tc>
          <w:tcPr>
            <w:tcW w:w="0" w:type="auto"/>
          </w:tcPr>
          <w:p w14:paraId="2B1C6C9E" w14:textId="77777777" w:rsidR="001157F7" w:rsidRDefault="002C716A" w:rsidP="00B71AE8">
            <w:pPr>
              <w:pStyle w:val="Compact"/>
              <w:spacing w:before="100" w:beforeAutospacing="1" w:after="100" w:afterAutospacing="1"/>
              <w:jc w:val="left"/>
            </w:pPr>
            <w:r>
              <w:t>Discrepancy may reflect setting-</w:t>
            </w:r>
            <w:r>
              <w:t>specific impairment rather than rater error</w:t>
            </w:r>
          </w:p>
        </w:tc>
        <w:tc>
          <w:tcPr>
            <w:tcW w:w="0" w:type="auto"/>
          </w:tcPr>
          <w:p w14:paraId="7C7FC183" w14:textId="77777777" w:rsidR="001157F7" w:rsidRDefault="002C716A" w:rsidP="00B71AE8">
            <w:pPr>
              <w:pStyle w:val="Compact"/>
              <w:spacing w:before="100" w:beforeAutospacing="1" w:after="100" w:afterAutospacing="1"/>
              <w:jc w:val="left"/>
            </w:pPr>
            <w:proofErr w:type="spellStart"/>
            <w:r>
              <w:t>Frisira</w:t>
            </w:r>
            <w:proofErr w:type="spellEnd"/>
            <w:r>
              <w:t xml:space="preserve"> et al., 2025; Swanson et al., 2017</w:t>
            </w:r>
          </w:p>
        </w:tc>
      </w:tr>
      <w:tr w:rsidR="001157F7" w14:paraId="6B28BE15" w14:textId="77777777" w:rsidTr="00B71AE8">
        <w:tc>
          <w:tcPr>
            <w:tcW w:w="0" w:type="auto"/>
          </w:tcPr>
          <w:p w14:paraId="5C785D5B" w14:textId="77777777" w:rsidR="001157F7" w:rsidRDefault="002C716A" w:rsidP="00B71AE8">
            <w:pPr>
              <w:pStyle w:val="Compact"/>
              <w:spacing w:before="100" w:beforeAutospacing="1" w:after="100" w:afterAutospacing="1"/>
              <w:jc w:val="left"/>
            </w:pPr>
            <w:r>
              <w:t>Race and ethnicity</w:t>
            </w:r>
          </w:p>
        </w:tc>
        <w:tc>
          <w:tcPr>
            <w:tcW w:w="0" w:type="auto"/>
          </w:tcPr>
          <w:p w14:paraId="10A25F00" w14:textId="77777777" w:rsidR="001157F7" w:rsidRDefault="002C716A" w:rsidP="00B71AE8">
            <w:pPr>
              <w:pStyle w:val="Compact"/>
              <w:spacing w:before="100" w:beforeAutospacing="1" w:after="100" w:afterAutospacing="1"/>
              <w:jc w:val="left"/>
            </w:pPr>
            <w:r>
              <w:t>Lower caregiver-reported diagnosis in Latino and Asian than White youth in population samples; reversed pattern in juvenile justice samples</w:t>
            </w:r>
          </w:p>
        </w:tc>
        <w:tc>
          <w:tcPr>
            <w:tcW w:w="0" w:type="auto"/>
          </w:tcPr>
          <w:p w14:paraId="40234EE7" w14:textId="77777777" w:rsidR="001157F7" w:rsidRDefault="002C716A" w:rsidP="00B71AE8">
            <w:pPr>
              <w:pStyle w:val="Compact"/>
              <w:spacing w:before="100" w:beforeAutospacing="1" w:after="100" w:afterAutospacing="1"/>
              <w:jc w:val="left"/>
            </w:pPr>
            <w:r>
              <w:t>Moderate:</w:t>
            </w:r>
            <w:r>
              <w:t xml:space="preserve"> meta-analysis of 28 population-based studies</w:t>
            </w:r>
          </w:p>
        </w:tc>
        <w:tc>
          <w:tcPr>
            <w:tcW w:w="0" w:type="auto"/>
          </w:tcPr>
          <w:p w14:paraId="2596CDD5" w14:textId="77777777" w:rsidR="001157F7" w:rsidRDefault="002C716A" w:rsidP="00B71AE8">
            <w:pPr>
              <w:pStyle w:val="Compact"/>
              <w:spacing w:before="100" w:beforeAutospacing="1" w:after="100" w:afterAutospacing="1"/>
              <w:jc w:val="left"/>
            </w:pPr>
            <w:r>
              <w:t>Direction depends on sampling frame and ascertainment method; underlying mechanism not identified</w:t>
            </w:r>
          </w:p>
        </w:tc>
        <w:tc>
          <w:tcPr>
            <w:tcW w:w="0" w:type="auto"/>
          </w:tcPr>
          <w:p w14:paraId="25633D05" w14:textId="77777777" w:rsidR="001157F7" w:rsidRDefault="002C716A" w:rsidP="00B71AE8">
            <w:pPr>
              <w:pStyle w:val="Compact"/>
              <w:spacing w:before="100" w:beforeAutospacing="1" w:after="100" w:afterAutospacing="1"/>
              <w:jc w:val="left"/>
            </w:pPr>
            <w:r>
              <w:t>Glenn et al., 2026</w:t>
            </w:r>
          </w:p>
        </w:tc>
      </w:tr>
      <w:tr w:rsidR="001157F7" w14:paraId="74ED9899" w14:textId="77777777" w:rsidTr="00B71AE8">
        <w:tc>
          <w:tcPr>
            <w:tcW w:w="0" w:type="auto"/>
          </w:tcPr>
          <w:p w14:paraId="15112098" w14:textId="77777777" w:rsidR="001157F7" w:rsidRDefault="002C716A" w:rsidP="00B71AE8">
            <w:pPr>
              <w:pStyle w:val="Compact"/>
              <w:spacing w:before="100" w:beforeAutospacing="1" w:after="100" w:afterAutospacing="1"/>
              <w:jc w:val="left"/>
            </w:pPr>
            <w:r>
              <w:t>Diagnostic expansion into milder presentations</w:t>
            </w:r>
          </w:p>
        </w:tc>
        <w:tc>
          <w:tcPr>
            <w:tcW w:w="0" w:type="auto"/>
          </w:tcPr>
          <w:p w14:paraId="4D1C2F86" w14:textId="77777777" w:rsidR="001157F7" w:rsidRDefault="002C716A" w:rsidP="00B71AE8">
            <w:pPr>
              <w:pStyle w:val="Compact"/>
              <w:spacing w:before="100" w:beforeAutospacing="1" w:after="100" w:afterAutospacing="1"/>
              <w:jc w:val="left"/>
            </w:pPr>
            <w:r>
              <w:t>Increases in diagnosis and treatment concentr</w:t>
            </w:r>
            <w:r>
              <w:t>ated towards milder end of symptom distribution</w:t>
            </w:r>
          </w:p>
        </w:tc>
        <w:tc>
          <w:tcPr>
            <w:tcW w:w="0" w:type="auto"/>
          </w:tcPr>
          <w:p w14:paraId="4D580C62" w14:textId="77777777" w:rsidR="001157F7" w:rsidRDefault="002C716A" w:rsidP="00B71AE8">
            <w:pPr>
              <w:pStyle w:val="Compact"/>
              <w:spacing w:before="100" w:beforeAutospacing="1" w:after="100" w:afterAutospacing="1"/>
              <w:jc w:val="left"/>
            </w:pPr>
            <w:r>
              <w:t>Moderate for expansion; weak for benefit-harm balance in this stratum</w:t>
            </w:r>
          </w:p>
        </w:tc>
        <w:tc>
          <w:tcPr>
            <w:tcW w:w="0" w:type="auto"/>
          </w:tcPr>
          <w:p w14:paraId="45DFEA3C" w14:textId="77777777" w:rsidR="001157F7" w:rsidRDefault="002C716A" w:rsidP="00B71AE8">
            <w:pPr>
              <w:pStyle w:val="Compact"/>
              <w:spacing w:before="100" w:beforeAutospacing="1" w:after="100" w:afterAutospacing="1"/>
              <w:jc w:val="left"/>
            </w:pPr>
            <w:r>
              <w:t>Only five identified studies evaluated benefits and harms among milder cases</w:t>
            </w:r>
          </w:p>
        </w:tc>
        <w:tc>
          <w:tcPr>
            <w:tcW w:w="0" w:type="auto"/>
          </w:tcPr>
          <w:p w14:paraId="3A29E972" w14:textId="77777777" w:rsidR="001157F7" w:rsidRDefault="002C716A" w:rsidP="00B71AE8">
            <w:pPr>
              <w:pStyle w:val="Compact"/>
              <w:spacing w:before="100" w:beforeAutospacing="1" w:after="100" w:afterAutospacing="1"/>
              <w:jc w:val="left"/>
            </w:pPr>
            <w:r>
              <w:t>Kazda et al., 2021</w:t>
            </w:r>
          </w:p>
        </w:tc>
      </w:tr>
      <w:tr w:rsidR="001157F7" w14:paraId="53F3DB8D" w14:textId="77777777" w:rsidTr="00B71AE8">
        <w:tc>
          <w:tcPr>
            <w:tcW w:w="0" w:type="auto"/>
          </w:tcPr>
          <w:p w14:paraId="5A040BC8" w14:textId="77777777" w:rsidR="001157F7" w:rsidRDefault="002C716A" w:rsidP="00B71AE8">
            <w:pPr>
              <w:pStyle w:val="Compact"/>
              <w:spacing w:before="100" w:beforeAutospacing="1" w:after="100" w:afterAutospacing="1"/>
              <w:jc w:val="left"/>
            </w:pPr>
            <w:r>
              <w:t>Co-occurring conditions mimicking core sy</w:t>
            </w:r>
            <w:r>
              <w:t>mptoms</w:t>
            </w:r>
          </w:p>
        </w:tc>
        <w:tc>
          <w:tcPr>
            <w:tcW w:w="0" w:type="auto"/>
          </w:tcPr>
          <w:p w14:paraId="6844EE91" w14:textId="77777777" w:rsidR="001157F7" w:rsidRDefault="002C716A" w:rsidP="00B71AE8">
            <w:pPr>
              <w:pStyle w:val="Compact"/>
              <w:spacing w:before="100" w:beforeAutospacing="1" w:after="100" w:afterAutospacing="1"/>
              <w:jc w:val="left"/>
            </w:pPr>
            <w:r>
              <w:t xml:space="preserve">Elevated association between obstructive sleep </w:t>
            </w:r>
            <w:proofErr w:type="spellStart"/>
            <w:r>
              <w:t>apnoea</w:t>
            </w:r>
            <w:proofErr w:type="spellEnd"/>
            <w:r>
              <w:t xml:space="preserve"> and ADHD in children</w:t>
            </w:r>
          </w:p>
        </w:tc>
        <w:tc>
          <w:tcPr>
            <w:tcW w:w="0" w:type="auto"/>
          </w:tcPr>
          <w:p w14:paraId="378114A2" w14:textId="77777777" w:rsidR="001157F7" w:rsidRDefault="002C716A" w:rsidP="00B71AE8">
            <w:pPr>
              <w:pStyle w:val="Compact"/>
              <w:spacing w:before="100" w:beforeAutospacing="1" w:after="100" w:afterAutospacing="1"/>
              <w:jc w:val="left"/>
            </w:pPr>
            <w:r>
              <w:t>Moderate: meta-analysis of observational studies</w:t>
            </w:r>
          </w:p>
        </w:tc>
        <w:tc>
          <w:tcPr>
            <w:tcW w:w="0" w:type="auto"/>
          </w:tcPr>
          <w:p w14:paraId="6E014A2A" w14:textId="77777777" w:rsidR="001157F7" w:rsidRDefault="002C716A" w:rsidP="00B71AE8">
            <w:pPr>
              <w:pStyle w:val="Compact"/>
              <w:spacing w:before="100" w:beforeAutospacing="1" w:after="100" w:afterAutospacing="1"/>
              <w:jc w:val="left"/>
            </w:pPr>
            <w:r>
              <w:t>Cannot distinguish misattribution, true comorbidity and shared mechanism</w:t>
            </w:r>
          </w:p>
        </w:tc>
        <w:tc>
          <w:tcPr>
            <w:tcW w:w="0" w:type="auto"/>
          </w:tcPr>
          <w:p w14:paraId="428719C1" w14:textId="77777777" w:rsidR="001157F7" w:rsidRDefault="002C716A" w:rsidP="00B71AE8">
            <w:pPr>
              <w:pStyle w:val="Compact"/>
              <w:spacing w:before="100" w:beforeAutospacing="1" w:after="100" w:afterAutospacing="1"/>
              <w:jc w:val="left"/>
            </w:pPr>
            <w:r>
              <w:t>Leow et al., 2026</w:t>
            </w:r>
          </w:p>
        </w:tc>
      </w:tr>
      <w:tr w:rsidR="001157F7" w14:paraId="09F68B2F" w14:textId="77777777" w:rsidTr="00B71AE8">
        <w:tc>
          <w:tcPr>
            <w:tcW w:w="0" w:type="auto"/>
          </w:tcPr>
          <w:p w14:paraId="4D3A9347" w14:textId="77777777" w:rsidR="001157F7" w:rsidRDefault="002C716A" w:rsidP="00B71AE8">
            <w:pPr>
              <w:pStyle w:val="Compact"/>
              <w:spacing w:before="100" w:beforeAutospacing="1" w:after="100" w:afterAutospacing="1"/>
              <w:jc w:val="left"/>
            </w:pPr>
            <w:r>
              <w:t>Non-specificity of cognitive mark</w:t>
            </w:r>
            <w:r>
              <w:t>ers</w:t>
            </w:r>
          </w:p>
        </w:tc>
        <w:tc>
          <w:tcPr>
            <w:tcW w:w="0" w:type="auto"/>
          </w:tcPr>
          <w:p w14:paraId="5B30E993" w14:textId="77777777" w:rsidR="001157F7" w:rsidRDefault="002C716A" w:rsidP="00B71AE8">
            <w:pPr>
              <w:pStyle w:val="Compact"/>
              <w:spacing w:before="100" w:beforeAutospacing="1" w:after="100" w:afterAutospacing="1"/>
              <w:jc w:val="left"/>
            </w:pPr>
            <w:r>
              <w:t>Executive function impairment of comparable magnitude across neurodevelopmental conditions</w:t>
            </w:r>
          </w:p>
        </w:tc>
        <w:tc>
          <w:tcPr>
            <w:tcW w:w="0" w:type="auto"/>
          </w:tcPr>
          <w:p w14:paraId="7E7DA3FC" w14:textId="77777777" w:rsidR="001157F7" w:rsidRDefault="002C716A" w:rsidP="00B71AE8">
            <w:pPr>
              <w:pStyle w:val="Compact"/>
              <w:spacing w:before="100" w:beforeAutospacing="1" w:after="100" w:afterAutospacing="1"/>
              <w:jc w:val="left"/>
            </w:pPr>
            <w:r>
              <w:t>Strong: meta-analysis across conditions</w:t>
            </w:r>
          </w:p>
        </w:tc>
        <w:tc>
          <w:tcPr>
            <w:tcW w:w="0" w:type="auto"/>
          </w:tcPr>
          <w:p w14:paraId="3508F6DB" w14:textId="77777777" w:rsidR="001157F7" w:rsidRDefault="002C716A" w:rsidP="00B71AE8">
            <w:pPr>
              <w:pStyle w:val="Compact"/>
              <w:spacing w:before="100" w:beforeAutospacing="1" w:after="100" w:afterAutospacing="1"/>
              <w:jc w:val="left"/>
            </w:pPr>
            <w:r>
              <w:t>Limits any cognitive measure used as a diagnostic discriminator rather than a descriptor</w:t>
            </w:r>
          </w:p>
        </w:tc>
        <w:tc>
          <w:tcPr>
            <w:tcW w:w="0" w:type="auto"/>
          </w:tcPr>
          <w:p w14:paraId="33F2F039" w14:textId="77777777" w:rsidR="001157F7" w:rsidRDefault="002C716A" w:rsidP="00B71AE8">
            <w:pPr>
              <w:pStyle w:val="Compact"/>
              <w:spacing w:before="100" w:beforeAutospacing="1" w:after="100" w:afterAutospacing="1"/>
              <w:jc w:val="left"/>
            </w:pPr>
            <w:r>
              <w:t>Sadozai et al., 2024</w:t>
            </w:r>
          </w:p>
        </w:tc>
      </w:tr>
    </w:tbl>
    <w:p w14:paraId="524640B2" w14:textId="77777777" w:rsidR="001157F7" w:rsidRDefault="002C716A" w:rsidP="00B71AE8">
      <w:pPr>
        <w:pStyle w:val="BodyText"/>
        <w:spacing w:before="100" w:beforeAutospacing="1" w:after="100" w:afterAutospacing="1" w:line="240" w:lineRule="auto"/>
      </w:pPr>
      <w:r>
        <w:rPr>
          <w:i/>
          <w:iCs/>
        </w:rPr>
        <w:t>Note.</w:t>
      </w:r>
      <w:r>
        <w:t xml:space="preserve"> ADHD = attention-deficit/hyperactivity disorder. Magnitudes are approximate and are reported as </w:t>
      </w:r>
      <w:proofErr w:type="spellStart"/>
      <w:r>
        <w:t>summarised</w:t>
      </w:r>
      <w:proofErr w:type="spellEnd"/>
      <w:r>
        <w:t xml:space="preserve"> in the cited syntheses; heterogeneity was substantial for several estimates and is noted where it materially qualifies interpretation.</w:t>
      </w:r>
    </w:p>
    <w:p w14:paraId="6C2CD676" w14:textId="77777777" w:rsidR="001157F7" w:rsidRDefault="002C716A" w:rsidP="00B71AE8">
      <w:pPr>
        <w:pStyle w:val="Heading2"/>
        <w:spacing w:before="100" w:beforeAutospacing="1" w:after="100" w:afterAutospacing="1" w:line="240" w:lineRule="auto"/>
      </w:pPr>
      <w:bookmarkStart w:id="28" w:name="X3ac07d6840ed0b0f48a282bd28b55e4523aa959"/>
      <w:bookmarkEnd w:id="23"/>
      <w:bookmarkEnd w:id="27"/>
      <w:r>
        <w:t xml:space="preserve">4. Objective </w:t>
      </w:r>
      <w:r>
        <w:t>and Computational Approaches to Diagnosis</w:t>
      </w:r>
    </w:p>
    <w:p w14:paraId="0F2C58FE" w14:textId="77777777" w:rsidR="001157F7" w:rsidRDefault="002C716A" w:rsidP="00B71AE8">
      <w:pPr>
        <w:pStyle w:val="Heading3"/>
        <w:spacing w:before="100" w:beforeAutospacing="1" w:after="100" w:afterAutospacing="1" w:line="240" w:lineRule="auto"/>
      </w:pPr>
      <w:bookmarkStart w:id="29" w:name="X0f5b75f6d942b40db0534d1f51008516623a189"/>
      <w:r>
        <w:t>4.1 Consortium Neuroimaging and the Effect Size Problem</w:t>
      </w:r>
    </w:p>
    <w:p w14:paraId="335EBFF2" w14:textId="77777777" w:rsidR="001157F7" w:rsidRDefault="002C716A" w:rsidP="00B71AE8">
      <w:pPr>
        <w:pStyle w:val="FirstParagraph"/>
        <w:spacing w:before="100" w:beforeAutospacing="1" w:after="100" w:afterAutospacing="1" w:line="240" w:lineRule="auto"/>
      </w:pPr>
      <w:r>
        <w:t xml:space="preserve">The transition from small single-site imaging studies to coordinated consortium analysis represents the most consequential methodological improvement in ADHD </w:t>
      </w:r>
      <w:r>
        <w:t xml:space="preserve">neuroscience during </w:t>
      </w:r>
      <w:r>
        <w:lastRenderedPageBreak/>
        <w:t>the review period. Pooled analysis of structural magnetic resonance imaging from more than three thousand participants across twenty-three sites identified smaller volumes in the accumbens, amygdala, caudate, hippocampus and putamen, to</w:t>
      </w:r>
      <w:r>
        <w:t>gether with reduced intracranial volume, in individuals with ADHD relative to comparison participants (</w:t>
      </w:r>
      <w:proofErr w:type="spellStart"/>
      <w:r>
        <w:t>Hoogman</w:t>
      </w:r>
      <w:proofErr w:type="spellEnd"/>
      <w:r>
        <w:t xml:space="preserve"> et al., 2017). Effect sizes were small throughout, with Cohen’s d values ranging from approximately negative 0.10 to negative 0.19. Differences w</w:t>
      </w:r>
      <w:r>
        <w:t>ere most pronounced in children and were not statistically significant in adults, a pattern the authors interpreted as consistent with delayed maturation. Neither stimulant exposure nor comorbid psychiatric diagnosis accounted for the findings, which addre</w:t>
      </w:r>
      <w:r>
        <w:t>ssed two longstanding confounding concerns directly. A subsequent coordinated analysis of cortical morphology in a still larger sample extended the approach to surface area and thickness (</w:t>
      </w:r>
      <w:proofErr w:type="spellStart"/>
      <w:r>
        <w:t>Hoogman</w:t>
      </w:r>
      <w:proofErr w:type="spellEnd"/>
      <w:r>
        <w:t xml:space="preserve"> et al., 2019).</w:t>
      </w:r>
    </w:p>
    <w:p w14:paraId="54F67F2E" w14:textId="77777777" w:rsidR="001157F7" w:rsidRDefault="002C716A" w:rsidP="00B71AE8">
      <w:pPr>
        <w:pStyle w:val="BodyText"/>
        <w:spacing w:before="100" w:beforeAutospacing="1" w:after="100" w:afterAutospacing="1" w:line="240" w:lineRule="auto"/>
      </w:pPr>
      <w:r>
        <w:t xml:space="preserve">These studies are methodologically exemplary </w:t>
      </w:r>
      <w:r>
        <w:t xml:space="preserve">and diagnostically inert. An effect of d equal to 0.19 corresponds to overlapping distributions in which the great majority of individuals with ADHD fall within the range observed in unaffected peers. The finding constrains </w:t>
      </w:r>
      <w:proofErr w:type="spellStart"/>
      <w:r>
        <w:t>aetiological</w:t>
      </w:r>
      <w:proofErr w:type="spellEnd"/>
      <w:r>
        <w:t xml:space="preserve"> theory usefully, si</w:t>
      </w:r>
      <w:r>
        <w:t>nce it indicates that structural differences are real, distributed and developmentally patterned rather than absent or artefactual. It cannot support individual classification, and the widespread expectation that larger samples would eventually yield clini</w:t>
      </w:r>
      <w:r>
        <w:t>cally usable imaging markers is not supported by the trajectory of the evidence. Larger samples in this context produce more precise estimates of small effects rather than larger effects, and the developmental attenuation of differences into adulthood mean</w:t>
      </w:r>
      <w:r>
        <w:t>s that even the observed group separation is age-dependent.</w:t>
      </w:r>
    </w:p>
    <w:p w14:paraId="0F79E081" w14:textId="77777777" w:rsidR="001157F7" w:rsidRDefault="002C716A" w:rsidP="00B71AE8">
      <w:pPr>
        <w:pStyle w:val="BodyText"/>
        <w:spacing w:before="100" w:beforeAutospacing="1" w:after="100" w:afterAutospacing="1" w:line="240" w:lineRule="auto"/>
      </w:pPr>
      <w:r>
        <w:t>The distinction that matters is between explanatory and predictive adequacy. The imaging literature has achieved the former to a degree difficult to anticipate a decade ago, and much of the disapp</w:t>
      </w:r>
      <w:r>
        <w:t>ointment expressed about neuroimaging in psychiatry follows from conflating that achievement with progress towards diagnostic application.</w:t>
      </w:r>
    </w:p>
    <w:p w14:paraId="51A671B4" w14:textId="77777777" w:rsidR="001157F7" w:rsidRDefault="002C716A" w:rsidP="00B71AE8">
      <w:pPr>
        <w:pStyle w:val="Heading3"/>
        <w:spacing w:before="100" w:beforeAutospacing="1" w:after="100" w:afterAutospacing="1" w:line="240" w:lineRule="auto"/>
      </w:pPr>
      <w:bookmarkStart w:id="30" w:name="X1c86a8810998cb9885d218974f67acb48e10223"/>
      <w:bookmarkEnd w:id="29"/>
      <w:r>
        <w:t>4.2 Genomic Architecture and the Limits of Individual Prediction</w:t>
      </w:r>
    </w:p>
    <w:p w14:paraId="7964F31C" w14:textId="77777777" w:rsidR="001157F7" w:rsidRDefault="002C716A" w:rsidP="00B71AE8">
      <w:pPr>
        <w:pStyle w:val="FirstParagraph"/>
        <w:spacing w:before="100" w:beforeAutospacing="1" w:after="100" w:afterAutospacing="1" w:line="240" w:lineRule="auto"/>
      </w:pPr>
      <w:r>
        <w:t>Genome-wide association analysis of ADHD has moved d</w:t>
      </w:r>
      <w:r>
        <w:t xml:space="preserve">ecisively from underpowered null findings to replicable signal. Meta-analysis comprising 38,691 individuals with ADHD and 186,843 comparison participants identified twenty-seven genome-wide significant loci and implicated seventy-six candidate risk genes, </w:t>
      </w:r>
      <w:r>
        <w:t>enriched among genes expressed during early brain development and associated with brain-specific neuronal subtypes and midbrain dopaminergic neurons (</w:t>
      </w:r>
      <w:proofErr w:type="spellStart"/>
      <w:r>
        <w:t>Demontis</w:t>
      </w:r>
      <w:proofErr w:type="spellEnd"/>
      <w:r>
        <w:t xml:space="preserve"> et al., 2023). Exome sequencing in a subset identified increased burden of rare protein-truncatin</w:t>
      </w:r>
      <w:r>
        <w:t xml:space="preserve">g variants within a set of risk genes enriched for probable causal common variants, with </w:t>
      </w:r>
      <w:r>
        <w:rPr>
          <w:i/>
          <w:iCs/>
        </w:rPr>
        <w:t>SORCS3</w:t>
      </w:r>
      <w:r>
        <w:t xml:space="preserve"> implicated through both common and rare variation. Mixture modelling estimated that between eighty-four and ninety-eight per cent of ADHD-influencing variants a</w:t>
      </w:r>
      <w:r>
        <w:t>re shared with other psychiatric disorders, and common-variant risk was associated with impairment in verbal reasoning and a range of executive functions.</w:t>
      </w:r>
    </w:p>
    <w:p w14:paraId="30CF6884" w14:textId="77777777" w:rsidR="001157F7" w:rsidRDefault="002C716A" w:rsidP="00B71AE8">
      <w:pPr>
        <w:pStyle w:val="BodyText"/>
        <w:spacing w:before="100" w:beforeAutospacing="1" w:after="100" w:afterAutospacing="1" w:line="240" w:lineRule="auto"/>
      </w:pPr>
      <w:r>
        <w:t>The shared-variant estimate is the most consequential result for diagnosis, and it points away from the goal it is often invoked to support. If the overwhelming majority of variants influencing ADHD also influence other psychiatric conditions, then polygen</w:t>
      </w:r>
      <w:r>
        <w:t xml:space="preserve">ic risk indexes transdiagnostic liability rather than a discrete disorder, and its capacity to discriminate ADHD from its principal </w:t>
      </w:r>
      <w:r>
        <w:lastRenderedPageBreak/>
        <w:t>differential diagnoses is correspondingly constrained. Detailed examination of the genetic architecture and its overlap with</w:t>
      </w:r>
      <w:r>
        <w:t xml:space="preserve"> other psychiatric disorders and cognition-related phenotypes reaches the same structural conclusion (</w:t>
      </w:r>
      <w:proofErr w:type="spellStart"/>
      <w:r>
        <w:t>Ribasés</w:t>
      </w:r>
      <w:proofErr w:type="spellEnd"/>
      <w:r>
        <w:t xml:space="preserve"> et al., 2023). The implication is not that genomic research lacks clinical relevance, but that its relevance is likely to lie in stratification of</w:t>
      </w:r>
      <w:r>
        <w:t xml:space="preserve"> risk, </w:t>
      </w:r>
      <w:proofErr w:type="spellStart"/>
      <w:r>
        <w:t>characterisation</w:t>
      </w:r>
      <w:proofErr w:type="spellEnd"/>
      <w:r>
        <w:t xml:space="preserve"> of </w:t>
      </w:r>
      <w:proofErr w:type="spellStart"/>
      <w:r>
        <w:t>pleiotropy</w:t>
      </w:r>
      <w:proofErr w:type="spellEnd"/>
      <w:r>
        <w:t xml:space="preserve"> and elucidation of developmental mechanism rather than in case identification. Polygenic scores derived from this architecture will not distinguish a child with ADHD from a child with a different neurodevelopmental pre</w:t>
      </w:r>
      <w:r>
        <w:t>sentation, because the underlying variance is largely shared.</w:t>
      </w:r>
    </w:p>
    <w:p w14:paraId="1FE966CC" w14:textId="77777777" w:rsidR="001157F7" w:rsidRDefault="002C716A" w:rsidP="00B71AE8">
      <w:pPr>
        <w:pStyle w:val="Heading3"/>
        <w:spacing w:before="100" w:beforeAutospacing="1" w:after="100" w:afterAutospacing="1" w:line="240" w:lineRule="auto"/>
      </w:pPr>
      <w:bookmarkStart w:id="31" w:name="X9510ac7c979ea2676409828567a871fc4334c96"/>
      <w:bookmarkEnd w:id="30"/>
      <w:r>
        <w:t>4.3 Performance-Based and Physiological Measurement</w:t>
      </w:r>
    </w:p>
    <w:p w14:paraId="58196797" w14:textId="77777777" w:rsidR="001157F7" w:rsidRDefault="002C716A" w:rsidP="00B71AE8">
      <w:pPr>
        <w:pStyle w:val="FirstParagraph"/>
        <w:spacing w:before="100" w:beforeAutospacing="1" w:after="100" w:afterAutospacing="1" w:line="240" w:lineRule="auto"/>
      </w:pPr>
      <w:proofErr w:type="spellStart"/>
      <w:r>
        <w:t>Computerised</w:t>
      </w:r>
      <w:proofErr w:type="spellEnd"/>
      <w:r>
        <w:t xml:space="preserve"> measurement of attention, impulsivity and motor activity has been evaluated more rigorously in ADHD than most candidate objective</w:t>
      </w:r>
      <w:r>
        <w:t xml:space="preserve"> methods, and the results are informative precisely because they are modest. A single-blind </w:t>
      </w:r>
      <w:proofErr w:type="spellStart"/>
      <w:r>
        <w:t>randomised</w:t>
      </w:r>
      <w:proofErr w:type="spellEnd"/>
      <w:r>
        <w:t xml:space="preserve"> controlled trial examined the effect of providing clinicians with a report from a </w:t>
      </w:r>
      <w:proofErr w:type="spellStart"/>
      <w:r>
        <w:t>computerised</w:t>
      </w:r>
      <w:proofErr w:type="spellEnd"/>
      <w:r>
        <w:t xml:space="preserve"> test of attention and activity during diagnostic assessmen</w:t>
      </w:r>
      <w:r>
        <w:t>t of children referred with suspected ADHD (Hollis et al., 2018). Clinicians with access to the report reached a diagnostic decision more rapidly, with seventy-six per cent having reached a decision at six months compared with fifty per cent of those witho</w:t>
      </w:r>
      <w:r>
        <w:t>ut access; consultation length fell by approximately fifteen per cent; clinician confidence increased; and the likelihood of excluding ADHD approximately doubled. Diagnostic accuracy did not differ between groups, and health economic analysis indicated a b</w:t>
      </w:r>
      <w:r>
        <w:t>roadly cost-neutral position.</w:t>
      </w:r>
    </w:p>
    <w:p w14:paraId="61A7F0A2" w14:textId="77777777" w:rsidR="001157F7" w:rsidRDefault="002C716A" w:rsidP="00B71AE8">
      <w:pPr>
        <w:pStyle w:val="BodyText"/>
        <w:spacing w:before="100" w:beforeAutospacing="1" w:after="100" w:afterAutospacing="1" w:line="240" w:lineRule="auto"/>
      </w:pPr>
      <w:r>
        <w:t>The design of this trial is unusually well matched to the clinical question, because it asked what the technology does to the diagnostic process rather than how well it separates cases from controls in a preselected sample. Th</w:t>
      </w:r>
      <w:r>
        <w:t>e results support a specific and limited claim: objective performance measurement functions as a decision aid that improves the efficiency and confidence of clinical assessment, particularly in ruling out the diagnosis, without altering diagnostic accuracy</w:t>
      </w:r>
      <w:r>
        <w:t>. That is a legitimate contribution to a service under referral pressure, and it should be described in those terms rather than as a step towards objective diagnosis. The doubling of exclusion decisions deserves particular attention, since the principal cl</w:t>
      </w:r>
      <w:r>
        <w:t>inical cost of an overburdened assessment pathway is often the time spent before a negative decision is reached.</w:t>
      </w:r>
    </w:p>
    <w:p w14:paraId="02C75C75" w14:textId="77777777" w:rsidR="001157F7" w:rsidRDefault="002C716A" w:rsidP="00B71AE8">
      <w:pPr>
        <w:pStyle w:val="BodyText"/>
        <w:spacing w:before="100" w:beforeAutospacing="1" w:after="100" w:afterAutospacing="1" w:line="240" w:lineRule="auto"/>
      </w:pPr>
      <w:r>
        <w:t>Optical and electrophysiological approaches occupy an earlier position on the same trajectory. Systematic appraisal of functional near-infrared</w:t>
      </w:r>
      <w:r>
        <w:t xml:space="preserve"> spectroscopy in ADHD has catalogued device specifications, candidate neural markers and classification performance, and identifies substantial heterogeneity in acquisition parameters across studies (Gao et al., 2026). Heterogeneity of this kind is charact</w:t>
      </w:r>
      <w:r>
        <w:t xml:space="preserve">eristic of a technology that has not yet achieved measurement </w:t>
      </w:r>
      <w:proofErr w:type="spellStart"/>
      <w:r>
        <w:t>standardisation</w:t>
      </w:r>
      <w:proofErr w:type="spellEnd"/>
      <w:r>
        <w:t xml:space="preserve">, and it is precisely what prevents pooled estimation of diagnostic performance. </w:t>
      </w:r>
      <w:proofErr w:type="spellStart"/>
      <w:r>
        <w:t>Standardisation</w:t>
      </w:r>
      <w:proofErr w:type="spellEnd"/>
      <w:r>
        <w:t xml:space="preserve"> of acquisition protocols is a prerequisite for evaluating whether these methods ha</w:t>
      </w:r>
      <w:r>
        <w:t>ve diagnostic value, and until it is achieved the accumulation of further single-site classification studies adds little.</w:t>
      </w:r>
    </w:p>
    <w:p w14:paraId="3532B3AB" w14:textId="77777777" w:rsidR="001157F7" w:rsidRDefault="002C716A" w:rsidP="00B71AE8">
      <w:pPr>
        <w:pStyle w:val="Heading3"/>
        <w:spacing w:before="100" w:beforeAutospacing="1" w:after="100" w:afterAutospacing="1" w:line="240" w:lineRule="auto"/>
      </w:pPr>
      <w:bookmarkStart w:id="32" w:name="X30785dba85af7b9aea2d58c084bdaefb450b087"/>
      <w:bookmarkEnd w:id="31"/>
      <w:r>
        <w:lastRenderedPageBreak/>
        <w:t>4.4 Machine Learning and Artificial Intelligence</w:t>
      </w:r>
    </w:p>
    <w:p w14:paraId="752385AE" w14:textId="77777777" w:rsidR="001157F7" w:rsidRDefault="002C716A" w:rsidP="00B71AE8">
      <w:pPr>
        <w:pStyle w:val="FirstParagraph"/>
        <w:spacing w:before="100" w:beforeAutospacing="1" w:after="100" w:afterAutospacing="1" w:line="240" w:lineRule="auto"/>
      </w:pPr>
      <w:r>
        <w:t>Computational classification has become the most active area of diagnostic research i</w:t>
      </w:r>
      <w:r>
        <w:t>n ADHD, and the gap between reported performance and clinical readiness is wider here than in any other domain considered in this review. Meta-analysis of machine-learning classifiers built on structural or functional magnetic resonance imaging, drawing on</w:t>
      </w:r>
      <w:r>
        <w:t xml:space="preserve"> twenty-seven studies, reported pooled sensitivity of 0.74, pooled specificity of 0.75 and an area under the summary receiver operating characteristic curve of 0.81 (Tian et al., 2024). Taken at face value these are respectable figures. Applied to a </w:t>
      </w:r>
      <w:proofErr w:type="spellStart"/>
      <w:r>
        <w:t>paedia</w:t>
      </w:r>
      <w:r>
        <w:t>tric</w:t>
      </w:r>
      <w:proofErr w:type="spellEnd"/>
      <w:r>
        <w:t xml:space="preserve"> population with a prevalence of roughly one in ten, a test with those operating characteristics would generate approximately three false positives for every true positive, which is not a usable basis for a diagnosis that leads to long-term medication.</w:t>
      </w:r>
    </w:p>
    <w:p w14:paraId="6ECC5DE4" w14:textId="77777777" w:rsidR="001157F7" w:rsidRDefault="002C716A" w:rsidP="00B71AE8">
      <w:pPr>
        <w:pStyle w:val="BodyText"/>
        <w:spacing w:before="100" w:beforeAutospacing="1" w:after="100" w:afterAutospacing="1" w:line="240" w:lineRule="auto"/>
      </w:pPr>
      <w:r>
        <w:t>The methodological picture is more discouraging than the performance figures suggest. An umbrella review of artificial intelligence applied to neurodevelopmental diagnosis in childhood found reported accuracy spanning sixty-six to ninety-nine per cent acr</w:t>
      </w:r>
      <w:r>
        <w:t>oss data modalities, but rated the methodological quality of eighty per cent of included reviews as critically low against established appraisal criteria, with only five per cent achieving high quality (</w:t>
      </w:r>
      <w:proofErr w:type="spellStart"/>
      <w:r>
        <w:t>Alberca</w:t>
      </w:r>
      <w:proofErr w:type="spellEnd"/>
      <w:r>
        <w:t xml:space="preserve">-González &amp; </w:t>
      </w:r>
      <w:proofErr w:type="spellStart"/>
      <w:r>
        <w:t>Fernández</w:t>
      </w:r>
      <w:proofErr w:type="spellEnd"/>
      <w:r>
        <w:t>-Jiménez, 2026). The auth</w:t>
      </w:r>
      <w:r>
        <w:t xml:space="preserve">ors identify insufficient external validation, absence of </w:t>
      </w:r>
      <w:proofErr w:type="spellStart"/>
      <w:r>
        <w:t>standardisation</w:t>
      </w:r>
      <w:proofErr w:type="spellEnd"/>
      <w:r>
        <w:t xml:space="preserve"> in data collection and model development, and inconsistent reporting as the barriers to clinical implementation. A methodological systematic review focused on deep learning applied t</w:t>
      </w:r>
      <w:r>
        <w:t>o autism and ADHD reached convergent conclusions, finding strong clinical relevance and reasonable reporting quality but substantial deficits in reproducibility and robustness of results, with federated learning and explainable methods underused (Rasool et</w:t>
      </w:r>
      <w:r>
        <w:t xml:space="preserve"> al., 2026). Bibliometric analysis confirms rapid growth in publication volume in this area (Wang et al., 2025), which is not itself evidence of progress.</w:t>
      </w:r>
    </w:p>
    <w:p w14:paraId="313AF36F" w14:textId="77777777" w:rsidR="001157F7" w:rsidRDefault="002C716A" w:rsidP="00B71AE8">
      <w:pPr>
        <w:pStyle w:val="BodyText"/>
        <w:spacing w:before="100" w:beforeAutospacing="1" w:after="100" w:afterAutospacing="1" w:line="240" w:lineRule="auto"/>
      </w:pPr>
      <w:r>
        <w:t xml:space="preserve">The pattern is coherent and diagnostic of a field-level problem rather than of any individual study. </w:t>
      </w:r>
      <w:r>
        <w:t>Classification accuracy reported in development samples is systematically optimistic where external validation is absent, and the ninety-nine per cent figures at the upper end of the reported range are more plausibly interpreted as indicators of overfittin</w:t>
      </w:r>
      <w:r>
        <w:t xml:space="preserve">g or of information leakage between training and test partitions than as achievable performance. Two further constraints are underappreciated. The first is that all of these models are trained against a reference standard consisting of clinical diagnosis, </w:t>
      </w:r>
      <w:r>
        <w:t>which is itself the unreliable informant-based judgement examined in Section 3, so that a perfectly performing classifier would reproduce clinical diagnosis including its errors rather than improve upon it. The second is that discrimination is almost unive</w:t>
      </w:r>
      <w:r>
        <w:t>rsally reported without calibration, which means that even well-discriminating models may produce probability estimates unsuitable for individual clinical use.</w:t>
      </w:r>
    </w:p>
    <w:p w14:paraId="3D99A9B0" w14:textId="77777777" w:rsidR="001157F7" w:rsidRDefault="002C716A" w:rsidP="00B71AE8">
      <w:pPr>
        <w:pStyle w:val="BodyText"/>
        <w:spacing w:before="100" w:beforeAutospacing="1" w:after="100" w:afterAutospacing="1" w:line="240" w:lineRule="auto"/>
      </w:pPr>
      <w:r>
        <w:t>Table 3 compares the candidate objective diagnostic modalities against a common set of criteria.</w:t>
      </w:r>
      <w:r>
        <w:t xml:space="preserve"> The comparison shows that the modalities differ less in their promise than in the specific evidential step each has failed to complete: neuroimaging and genomics have generated robust group-level findings whose effect sizes preclude individual application</w:t>
      </w:r>
      <w:r>
        <w:t xml:space="preserve">, </w:t>
      </w:r>
      <w:proofErr w:type="spellStart"/>
      <w:r>
        <w:t>computerised</w:t>
      </w:r>
      <w:proofErr w:type="spellEnd"/>
      <w:r>
        <w:t xml:space="preserve"> performance testing has demonstrated process benefit without accuracy benefit, and computational classification has generated apparently strong accuracy estimates that lack the external validation required to be believed. Reading the table b</w:t>
      </w:r>
      <w:r>
        <w:t xml:space="preserve">y column rather than by row makes the shared constraint visible, since no modality has yet been evaluated against a reference </w:t>
      </w:r>
      <w:r>
        <w:lastRenderedPageBreak/>
        <w:t>standard independent of clinical judgement. The table addresses diagnostic application specifically and should not be read as an a</w:t>
      </w:r>
      <w:r>
        <w:t>ssessment of the scientific value of these methods for other purposes.</w:t>
      </w:r>
    </w:p>
    <w:p w14:paraId="4B0F9FE6" w14:textId="77777777" w:rsidR="001157F7" w:rsidRDefault="002C716A" w:rsidP="00B71AE8">
      <w:pPr>
        <w:pStyle w:val="BodyText"/>
        <w:spacing w:before="100" w:beforeAutospacing="1" w:after="100" w:afterAutospacing="1" w:line="240" w:lineRule="auto"/>
      </w:pPr>
      <w:r>
        <w:rPr>
          <w:b/>
          <w:bCs/>
        </w:rPr>
        <w:t>Table 3.</w:t>
      </w:r>
      <w:r>
        <w:t xml:space="preserve"> Candidate objective diagnostic modalities in </w:t>
      </w:r>
      <w:proofErr w:type="spellStart"/>
      <w:r>
        <w:t>paediatric</w:t>
      </w:r>
      <w:proofErr w:type="spellEnd"/>
      <w:r>
        <w:t xml:space="preserve"> ADHD: reported performance, evidential status and outstanding requirements</w:t>
      </w:r>
    </w:p>
    <w:tbl>
      <w:tblPr>
        <w:tblStyle w:val="TableGrid"/>
        <w:tblW w:w="5000" w:type="pct"/>
        <w:tblLook w:val="0020" w:firstRow="1" w:lastRow="0" w:firstColumn="0" w:lastColumn="0" w:noHBand="0" w:noVBand="0"/>
      </w:tblPr>
      <w:tblGrid>
        <w:gridCol w:w="1594"/>
        <w:gridCol w:w="1794"/>
        <w:gridCol w:w="1601"/>
        <w:gridCol w:w="1372"/>
        <w:gridCol w:w="1839"/>
        <w:gridCol w:w="1376"/>
      </w:tblGrid>
      <w:tr w:rsidR="001157F7" w14:paraId="7CA59E72" w14:textId="77777777" w:rsidTr="00B71AE8">
        <w:tc>
          <w:tcPr>
            <w:tcW w:w="0" w:type="auto"/>
          </w:tcPr>
          <w:p w14:paraId="31762807" w14:textId="77777777" w:rsidR="001157F7" w:rsidRDefault="002C716A" w:rsidP="00B71AE8">
            <w:pPr>
              <w:pStyle w:val="Compact"/>
              <w:spacing w:before="100" w:beforeAutospacing="1" w:after="100" w:afterAutospacing="1"/>
              <w:jc w:val="left"/>
            </w:pPr>
            <w:r>
              <w:t>Modality</w:t>
            </w:r>
          </w:p>
        </w:tc>
        <w:tc>
          <w:tcPr>
            <w:tcW w:w="0" w:type="auto"/>
          </w:tcPr>
          <w:p w14:paraId="1CEA567B" w14:textId="77777777" w:rsidR="001157F7" w:rsidRDefault="002C716A" w:rsidP="00B71AE8">
            <w:pPr>
              <w:pStyle w:val="Compact"/>
              <w:spacing w:before="100" w:beforeAutospacing="1" w:after="100" w:afterAutospacing="1"/>
              <w:jc w:val="left"/>
            </w:pPr>
            <w:r>
              <w:t>Best available quantitative finding</w:t>
            </w:r>
          </w:p>
        </w:tc>
        <w:tc>
          <w:tcPr>
            <w:tcW w:w="0" w:type="auto"/>
          </w:tcPr>
          <w:p w14:paraId="65048087" w14:textId="77777777" w:rsidR="001157F7" w:rsidRDefault="002C716A" w:rsidP="00B71AE8">
            <w:pPr>
              <w:pStyle w:val="Compact"/>
              <w:spacing w:before="100" w:beforeAutospacing="1" w:after="100" w:afterAutospacing="1"/>
              <w:jc w:val="left"/>
            </w:pPr>
            <w:r>
              <w:t>Design quality of principal evidence</w:t>
            </w:r>
          </w:p>
        </w:tc>
        <w:tc>
          <w:tcPr>
            <w:tcW w:w="0" w:type="auto"/>
          </w:tcPr>
          <w:p w14:paraId="78C39EB2" w14:textId="77777777" w:rsidR="001157F7" w:rsidRDefault="002C716A" w:rsidP="00B71AE8">
            <w:pPr>
              <w:pStyle w:val="Compact"/>
              <w:spacing w:before="100" w:beforeAutospacing="1" w:after="100" w:afterAutospacing="1"/>
              <w:jc w:val="left"/>
            </w:pPr>
            <w:r>
              <w:t>External validation status</w:t>
            </w:r>
          </w:p>
        </w:tc>
        <w:tc>
          <w:tcPr>
            <w:tcW w:w="0" w:type="auto"/>
          </w:tcPr>
          <w:p w14:paraId="03AC02D6" w14:textId="77777777" w:rsidR="001157F7" w:rsidRDefault="002C716A" w:rsidP="00B71AE8">
            <w:pPr>
              <w:pStyle w:val="Compact"/>
              <w:spacing w:before="100" w:beforeAutospacing="1" w:after="100" w:afterAutospacing="1"/>
              <w:jc w:val="left"/>
            </w:pPr>
            <w:r>
              <w:t>Principal barrier to diagnostic use</w:t>
            </w:r>
          </w:p>
        </w:tc>
        <w:tc>
          <w:tcPr>
            <w:tcW w:w="0" w:type="auto"/>
          </w:tcPr>
          <w:p w14:paraId="78F57C11" w14:textId="77777777" w:rsidR="001157F7" w:rsidRDefault="002C716A" w:rsidP="00B71AE8">
            <w:pPr>
              <w:pStyle w:val="Compact"/>
              <w:spacing w:before="100" w:beforeAutospacing="1" w:after="100" w:afterAutospacing="1"/>
              <w:jc w:val="left"/>
            </w:pPr>
            <w:r>
              <w:t>Supporting references</w:t>
            </w:r>
          </w:p>
        </w:tc>
      </w:tr>
      <w:tr w:rsidR="001157F7" w14:paraId="7954BDAF" w14:textId="77777777" w:rsidTr="00B71AE8">
        <w:tc>
          <w:tcPr>
            <w:tcW w:w="0" w:type="auto"/>
          </w:tcPr>
          <w:p w14:paraId="78BC686E" w14:textId="77777777" w:rsidR="001157F7" w:rsidRDefault="002C716A" w:rsidP="00B71AE8">
            <w:pPr>
              <w:pStyle w:val="Compact"/>
              <w:spacing w:before="100" w:beforeAutospacing="1" w:after="100" w:afterAutospacing="1"/>
              <w:jc w:val="left"/>
            </w:pPr>
            <w:r>
              <w:t>Structural MRI (subcortical volume)</w:t>
            </w:r>
          </w:p>
        </w:tc>
        <w:tc>
          <w:tcPr>
            <w:tcW w:w="0" w:type="auto"/>
          </w:tcPr>
          <w:p w14:paraId="6EFF4F40" w14:textId="77777777" w:rsidR="001157F7" w:rsidRDefault="002C716A" w:rsidP="00B71AE8">
            <w:pPr>
              <w:pStyle w:val="Compact"/>
              <w:spacing w:before="100" w:beforeAutospacing="1" w:after="100" w:afterAutospacing="1"/>
              <w:jc w:val="left"/>
            </w:pPr>
            <w:r>
              <w:t>Cohen’s d approximately −0.10 to −0.19 across five subcortical structures; largest in children, n</w:t>
            </w:r>
            <w:r>
              <w:t>on-significant in adults</w:t>
            </w:r>
          </w:p>
        </w:tc>
        <w:tc>
          <w:tcPr>
            <w:tcW w:w="0" w:type="auto"/>
          </w:tcPr>
          <w:p w14:paraId="53903DDD" w14:textId="77777777" w:rsidR="001157F7" w:rsidRDefault="002C716A" w:rsidP="00B71AE8">
            <w:pPr>
              <w:pStyle w:val="Compact"/>
              <w:spacing w:before="100" w:beforeAutospacing="1" w:after="100" w:afterAutospacing="1"/>
              <w:jc w:val="left"/>
            </w:pPr>
            <w:r>
              <w:t xml:space="preserve">High: </w:t>
            </w:r>
            <w:proofErr w:type="spellStart"/>
            <w:r>
              <w:t>harmonised</w:t>
            </w:r>
            <w:proofErr w:type="spellEnd"/>
            <w:r>
              <w:t xml:space="preserve"> multi-site mega-analysis, 1,713 cases and 1,529 comparisons</w:t>
            </w:r>
          </w:p>
        </w:tc>
        <w:tc>
          <w:tcPr>
            <w:tcW w:w="0" w:type="auto"/>
          </w:tcPr>
          <w:p w14:paraId="5FA22B9D" w14:textId="77777777" w:rsidR="001157F7" w:rsidRDefault="002C716A" w:rsidP="00B71AE8">
            <w:pPr>
              <w:pStyle w:val="Compact"/>
              <w:spacing w:before="100" w:beforeAutospacing="1" w:after="100" w:afterAutospacing="1"/>
              <w:jc w:val="left"/>
            </w:pPr>
            <w:r>
              <w:t>Not applicable; group-level inference only</w:t>
            </w:r>
          </w:p>
        </w:tc>
        <w:tc>
          <w:tcPr>
            <w:tcW w:w="0" w:type="auto"/>
          </w:tcPr>
          <w:p w14:paraId="6B700830" w14:textId="77777777" w:rsidR="001157F7" w:rsidRDefault="002C716A" w:rsidP="00B71AE8">
            <w:pPr>
              <w:pStyle w:val="Compact"/>
              <w:spacing w:before="100" w:beforeAutospacing="1" w:after="100" w:afterAutospacing="1"/>
              <w:jc w:val="left"/>
            </w:pPr>
            <w:r>
              <w:t>Effect sizes imply near-complete distributional overlap</w:t>
            </w:r>
          </w:p>
        </w:tc>
        <w:tc>
          <w:tcPr>
            <w:tcW w:w="0" w:type="auto"/>
          </w:tcPr>
          <w:p w14:paraId="43F717B1" w14:textId="77777777" w:rsidR="001157F7" w:rsidRDefault="002C716A" w:rsidP="00B71AE8">
            <w:pPr>
              <w:pStyle w:val="Compact"/>
              <w:spacing w:before="100" w:beforeAutospacing="1" w:after="100" w:afterAutospacing="1"/>
              <w:jc w:val="left"/>
            </w:pPr>
            <w:proofErr w:type="spellStart"/>
            <w:r>
              <w:t>Hoogman</w:t>
            </w:r>
            <w:proofErr w:type="spellEnd"/>
            <w:r>
              <w:t xml:space="preserve"> et al., 2017</w:t>
            </w:r>
          </w:p>
        </w:tc>
      </w:tr>
      <w:tr w:rsidR="001157F7" w14:paraId="41B89ABF" w14:textId="77777777" w:rsidTr="00B71AE8">
        <w:tc>
          <w:tcPr>
            <w:tcW w:w="0" w:type="auto"/>
          </w:tcPr>
          <w:p w14:paraId="42FDE15A" w14:textId="77777777" w:rsidR="001157F7" w:rsidRDefault="002C716A" w:rsidP="00B71AE8">
            <w:pPr>
              <w:pStyle w:val="Compact"/>
              <w:spacing w:before="100" w:beforeAutospacing="1" w:after="100" w:afterAutospacing="1"/>
              <w:jc w:val="left"/>
            </w:pPr>
            <w:r>
              <w:t>Cortical MRI morphology</w:t>
            </w:r>
          </w:p>
        </w:tc>
        <w:tc>
          <w:tcPr>
            <w:tcW w:w="0" w:type="auto"/>
          </w:tcPr>
          <w:p w14:paraId="20BB206D" w14:textId="77777777" w:rsidR="001157F7" w:rsidRDefault="002C716A" w:rsidP="00B71AE8">
            <w:pPr>
              <w:pStyle w:val="Compact"/>
              <w:spacing w:before="100" w:beforeAutospacing="1" w:after="100" w:afterAutospacing="1"/>
              <w:jc w:val="left"/>
            </w:pPr>
            <w:r>
              <w:t>Case-comp</w:t>
            </w:r>
            <w:r>
              <w:t>arison differences in cortical surface area and thickness in large coordinated samples</w:t>
            </w:r>
          </w:p>
        </w:tc>
        <w:tc>
          <w:tcPr>
            <w:tcW w:w="0" w:type="auto"/>
          </w:tcPr>
          <w:p w14:paraId="45D7AA33" w14:textId="77777777" w:rsidR="001157F7" w:rsidRDefault="002C716A" w:rsidP="00B71AE8">
            <w:pPr>
              <w:pStyle w:val="Compact"/>
              <w:spacing w:before="100" w:beforeAutospacing="1" w:after="100" w:afterAutospacing="1"/>
              <w:jc w:val="left"/>
            </w:pPr>
            <w:r>
              <w:t>High: coordinated analysis of clinical and population-based cohorts</w:t>
            </w:r>
          </w:p>
        </w:tc>
        <w:tc>
          <w:tcPr>
            <w:tcW w:w="0" w:type="auto"/>
          </w:tcPr>
          <w:p w14:paraId="7DA92DA1" w14:textId="77777777" w:rsidR="001157F7" w:rsidRDefault="002C716A" w:rsidP="00B71AE8">
            <w:pPr>
              <w:pStyle w:val="Compact"/>
              <w:spacing w:before="100" w:beforeAutospacing="1" w:after="100" w:afterAutospacing="1"/>
              <w:jc w:val="left"/>
            </w:pPr>
            <w:r>
              <w:t>Not applicable; group-level inference only</w:t>
            </w:r>
          </w:p>
        </w:tc>
        <w:tc>
          <w:tcPr>
            <w:tcW w:w="0" w:type="auto"/>
          </w:tcPr>
          <w:p w14:paraId="5E488826" w14:textId="77777777" w:rsidR="001157F7" w:rsidRDefault="002C716A" w:rsidP="00B71AE8">
            <w:pPr>
              <w:pStyle w:val="Compact"/>
              <w:spacing w:before="100" w:beforeAutospacing="1" w:after="100" w:afterAutospacing="1"/>
              <w:jc w:val="left"/>
            </w:pPr>
            <w:r>
              <w:t>Same distributional constraint as subcortical findings</w:t>
            </w:r>
          </w:p>
        </w:tc>
        <w:tc>
          <w:tcPr>
            <w:tcW w:w="0" w:type="auto"/>
          </w:tcPr>
          <w:p w14:paraId="1F9C1404" w14:textId="77777777" w:rsidR="001157F7" w:rsidRDefault="002C716A" w:rsidP="00B71AE8">
            <w:pPr>
              <w:pStyle w:val="Compact"/>
              <w:spacing w:before="100" w:beforeAutospacing="1" w:after="100" w:afterAutospacing="1"/>
              <w:jc w:val="left"/>
            </w:pPr>
            <w:proofErr w:type="spellStart"/>
            <w:r>
              <w:t>Hoogman</w:t>
            </w:r>
            <w:proofErr w:type="spellEnd"/>
            <w:r>
              <w:t xml:space="preserve"> et al., 2019</w:t>
            </w:r>
          </w:p>
        </w:tc>
      </w:tr>
      <w:tr w:rsidR="001157F7" w14:paraId="30D2FFDB" w14:textId="77777777" w:rsidTr="00B71AE8">
        <w:tc>
          <w:tcPr>
            <w:tcW w:w="0" w:type="auto"/>
          </w:tcPr>
          <w:p w14:paraId="62155B30" w14:textId="77777777" w:rsidR="001157F7" w:rsidRDefault="002C716A" w:rsidP="00B71AE8">
            <w:pPr>
              <w:pStyle w:val="Compact"/>
              <w:spacing w:before="100" w:beforeAutospacing="1" w:after="100" w:afterAutospacing="1"/>
              <w:jc w:val="left"/>
            </w:pPr>
            <w:r>
              <w:t>Common-variant genomics</w:t>
            </w:r>
          </w:p>
        </w:tc>
        <w:tc>
          <w:tcPr>
            <w:tcW w:w="0" w:type="auto"/>
          </w:tcPr>
          <w:p w14:paraId="68583D6A" w14:textId="77777777" w:rsidR="001157F7" w:rsidRDefault="002C716A" w:rsidP="00B71AE8">
            <w:pPr>
              <w:pStyle w:val="Compact"/>
              <w:spacing w:before="100" w:beforeAutospacing="1" w:after="100" w:afterAutospacing="1"/>
              <w:jc w:val="left"/>
            </w:pPr>
            <w:r>
              <w:t>27 genome-wide significant loci; 84–98% of ADHD-influencing variants shared with other psychiatric disorders</w:t>
            </w:r>
          </w:p>
        </w:tc>
        <w:tc>
          <w:tcPr>
            <w:tcW w:w="0" w:type="auto"/>
          </w:tcPr>
          <w:p w14:paraId="1C390AD0" w14:textId="77777777" w:rsidR="001157F7" w:rsidRDefault="002C716A" w:rsidP="00B71AE8">
            <w:pPr>
              <w:pStyle w:val="Compact"/>
              <w:spacing w:before="100" w:beforeAutospacing="1" w:after="100" w:afterAutospacing="1"/>
              <w:jc w:val="left"/>
            </w:pPr>
            <w:r>
              <w:t>High: meta-analysis of 38,691 cases and 186,843 comparisons with exome replication</w:t>
            </w:r>
          </w:p>
        </w:tc>
        <w:tc>
          <w:tcPr>
            <w:tcW w:w="0" w:type="auto"/>
          </w:tcPr>
          <w:p w14:paraId="53609857" w14:textId="77777777" w:rsidR="001157F7" w:rsidRDefault="002C716A" w:rsidP="00B71AE8">
            <w:pPr>
              <w:pStyle w:val="Compact"/>
              <w:spacing w:before="100" w:beforeAutospacing="1" w:after="100" w:afterAutospacing="1"/>
              <w:jc w:val="left"/>
            </w:pPr>
            <w:r>
              <w:t>Loci replicated; i</w:t>
            </w:r>
            <w:r>
              <w:t>ndividual prediction not established</w:t>
            </w:r>
          </w:p>
        </w:tc>
        <w:tc>
          <w:tcPr>
            <w:tcW w:w="0" w:type="auto"/>
          </w:tcPr>
          <w:p w14:paraId="3BC12616" w14:textId="77777777" w:rsidR="001157F7" w:rsidRDefault="002C716A" w:rsidP="00B71AE8">
            <w:pPr>
              <w:pStyle w:val="Compact"/>
              <w:spacing w:before="100" w:beforeAutospacing="1" w:after="100" w:afterAutospacing="1"/>
              <w:jc w:val="left"/>
            </w:pPr>
            <w:r>
              <w:t>Shared architecture limits discrimination from differential diagnoses</w:t>
            </w:r>
          </w:p>
        </w:tc>
        <w:tc>
          <w:tcPr>
            <w:tcW w:w="0" w:type="auto"/>
          </w:tcPr>
          <w:p w14:paraId="7BDEE3B8" w14:textId="77777777" w:rsidR="001157F7" w:rsidRDefault="002C716A" w:rsidP="00B71AE8">
            <w:pPr>
              <w:pStyle w:val="Compact"/>
              <w:spacing w:before="100" w:beforeAutospacing="1" w:after="100" w:afterAutospacing="1"/>
              <w:jc w:val="left"/>
            </w:pPr>
            <w:proofErr w:type="spellStart"/>
            <w:r>
              <w:t>Demontis</w:t>
            </w:r>
            <w:proofErr w:type="spellEnd"/>
            <w:r>
              <w:t xml:space="preserve"> et al., 2023; </w:t>
            </w:r>
            <w:proofErr w:type="spellStart"/>
            <w:r>
              <w:t>Ribasés</w:t>
            </w:r>
            <w:proofErr w:type="spellEnd"/>
            <w:r>
              <w:t xml:space="preserve"> et al., 2023</w:t>
            </w:r>
          </w:p>
        </w:tc>
      </w:tr>
      <w:tr w:rsidR="001157F7" w14:paraId="081A9728" w14:textId="77777777" w:rsidTr="00B71AE8">
        <w:tc>
          <w:tcPr>
            <w:tcW w:w="0" w:type="auto"/>
          </w:tcPr>
          <w:p w14:paraId="29AE51B2" w14:textId="77777777" w:rsidR="001157F7" w:rsidRDefault="002C716A" w:rsidP="00B71AE8">
            <w:pPr>
              <w:pStyle w:val="Compact"/>
              <w:spacing w:before="100" w:beforeAutospacing="1" w:after="100" w:afterAutospacing="1"/>
              <w:jc w:val="left"/>
            </w:pPr>
            <w:proofErr w:type="spellStart"/>
            <w:r>
              <w:t>Computerised</w:t>
            </w:r>
            <w:proofErr w:type="spellEnd"/>
            <w:r>
              <w:t xml:space="preserve"> attention and activity testing</w:t>
            </w:r>
          </w:p>
        </w:tc>
        <w:tc>
          <w:tcPr>
            <w:tcW w:w="0" w:type="auto"/>
          </w:tcPr>
          <w:p w14:paraId="1F80EB0A" w14:textId="77777777" w:rsidR="001157F7" w:rsidRDefault="002C716A" w:rsidP="00B71AE8">
            <w:pPr>
              <w:pStyle w:val="Compact"/>
              <w:spacing w:before="100" w:beforeAutospacing="1" w:after="100" w:afterAutospacing="1"/>
              <w:jc w:val="left"/>
            </w:pPr>
            <w:r>
              <w:t>Diagnostic decision at 6 months in 76% versus 50%; consultat</w:t>
            </w:r>
            <w:r>
              <w:t xml:space="preserve">ion length reduced by 15%; </w:t>
            </w:r>
            <w:r>
              <w:lastRenderedPageBreak/>
              <w:t>accuracy unchanged</w:t>
            </w:r>
          </w:p>
        </w:tc>
        <w:tc>
          <w:tcPr>
            <w:tcW w:w="0" w:type="auto"/>
          </w:tcPr>
          <w:p w14:paraId="2FC59C26" w14:textId="77777777" w:rsidR="001157F7" w:rsidRDefault="002C716A" w:rsidP="00B71AE8">
            <w:pPr>
              <w:pStyle w:val="Compact"/>
              <w:spacing w:before="100" w:beforeAutospacing="1" w:after="100" w:afterAutospacing="1"/>
              <w:jc w:val="left"/>
            </w:pPr>
            <w:r>
              <w:lastRenderedPageBreak/>
              <w:t xml:space="preserve">High: single-blind </w:t>
            </w:r>
            <w:proofErr w:type="spellStart"/>
            <w:r>
              <w:t>randomised</w:t>
            </w:r>
            <w:proofErr w:type="spellEnd"/>
            <w:r>
              <w:t xml:space="preserve"> controlled trial in routine clinics</w:t>
            </w:r>
          </w:p>
        </w:tc>
        <w:tc>
          <w:tcPr>
            <w:tcW w:w="0" w:type="auto"/>
          </w:tcPr>
          <w:p w14:paraId="4B043C84" w14:textId="77777777" w:rsidR="001157F7" w:rsidRDefault="002C716A" w:rsidP="00B71AE8">
            <w:pPr>
              <w:pStyle w:val="Compact"/>
              <w:spacing w:before="100" w:beforeAutospacing="1" w:after="100" w:afterAutospacing="1"/>
              <w:jc w:val="left"/>
            </w:pPr>
            <w:r>
              <w:t>Trial conducted in routine service settings</w:t>
            </w:r>
          </w:p>
        </w:tc>
        <w:tc>
          <w:tcPr>
            <w:tcW w:w="0" w:type="auto"/>
          </w:tcPr>
          <w:p w14:paraId="7C925E34" w14:textId="77777777" w:rsidR="001157F7" w:rsidRDefault="002C716A" w:rsidP="00B71AE8">
            <w:pPr>
              <w:pStyle w:val="Compact"/>
              <w:spacing w:before="100" w:beforeAutospacing="1" w:after="100" w:afterAutospacing="1"/>
              <w:jc w:val="left"/>
            </w:pPr>
            <w:r>
              <w:t>Improves process efficiency without improving accuracy</w:t>
            </w:r>
          </w:p>
        </w:tc>
        <w:tc>
          <w:tcPr>
            <w:tcW w:w="0" w:type="auto"/>
          </w:tcPr>
          <w:p w14:paraId="1634F152" w14:textId="77777777" w:rsidR="001157F7" w:rsidRDefault="002C716A" w:rsidP="00B71AE8">
            <w:pPr>
              <w:pStyle w:val="Compact"/>
              <w:spacing w:before="100" w:beforeAutospacing="1" w:after="100" w:afterAutospacing="1"/>
              <w:jc w:val="left"/>
            </w:pPr>
            <w:r>
              <w:t>Hollis et al., 2018</w:t>
            </w:r>
          </w:p>
        </w:tc>
      </w:tr>
      <w:tr w:rsidR="001157F7" w14:paraId="2FF18721" w14:textId="77777777" w:rsidTr="00B71AE8">
        <w:tc>
          <w:tcPr>
            <w:tcW w:w="0" w:type="auto"/>
          </w:tcPr>
          <w:p w14:paraId="7F258E21" w14:textId="77777777" w:rsidR="001157F7" w:rsidRDefault="002C716A" w:rsidP="00B71AE8">
            <w:pPr>
              <w:pStyle w:val="Compact"/>
              <w:spacing w:before="100" w:beforeAutospacing="1" w:after="100" w:afterAutospacing="1"/>
              <w:jc w:val="left"/>
            </w:pPr>
            <w:r>
              <w:lastRenderedPageBreak/>
              <w:t>Functional near-infrared</w:t>
            </w:r>
            <w:r>
              <w:t xml:space="preserve"> spectroscopy</w:t>
            </w:r>
          </w:p>
        </w:tc>
        <w:tc>
          <w:tcPr>
            <w:tcW w:w="0" w:type="auto"/>
          </w:tcPr>
          <w:p w14:paraId="5ECA7575" w14:textId="77777777" w:rsidR="001157F7" w:rsidRDefault="002C716A" w:rsidP="00B71AE8">
            <w:pPr>
              <w:pStyle w:val="Compact"/>
              <w:spacing w:before="100" w:beforeAutospacing="1" w:after="100" w:afterAutospacing="1"/>
              <w:jc w:val="left"/>
            </w:pPr>
            <w:r>
              <w:t xml:space="preserve">Candidate </w:t>
            </w:r>
            <w:proofErr w:type="spellStart"/>
            <w:r>
              <w:t>haemodynamic</w:t>
            </w:r>
            <w:proofErr w:type="spellEnd"/>
            <w:r>
              <w:t xml:space="preserve"> markers with classification performance reported across heterogeneous protocols</w:t>
            </w:r>
          </w:p>
        </w:tc>
        <w:tc>
          <w:tcPr>
            <w:tcW w:w="0" w:type="auto"/>
          </w:tcPr>
          <w:p w14:paraId="1808F1E2" w14:textId="77777777" w:rsidR="001157F7" w:rsidRDefault="002C716A" w:rsidP="00B71AE8">
            <w:pPr>
              <w:pStyle w:val="Compact"/>
              <w:spacing w:before="100" w:beforeAutospacing="1" w:after="100" w:afterAutospacing="1"/>
              <w:jc w:val="left"/>
            </w:pPr>
            <w:r>
              <w:t>Moderate: systematic review; substantial device and protocol heterogeneity</w:t>
            </w:r>
          </w:p>
        </w:tc>
        <w:tc>
          <w:tcPr>
            <w:tcW w:w="0" w:type="auto"/>
          </w:tcPr>
          <w:p w14:paraId="2A341F8E" w14:textId="77777777" w:rsidR="001157F7" w:rsidRDefault="002C716A" w:rsidP="00B71AE8">
            <w:pPr>
              <w:pStyle w:val="Compact"/>
              <w:spacing w:before="100" w:beforeAutospacing="1" w:after="100" w:afterAutospacing="1"/>
              <w:jc w:val="left"/>
            </w:pPr>
            <w:r>
              <w:t>Largely absent</w:t>
            </w:r>
          </w:p>
        </w:tc>
        <w:tc>
          <w:tcPr>
            <w:tcW w:w="0" w:type="auto"/>
          </w:tcPr>
          <w:p w14:paraId="2CAB43C2" w14:textId="77777777" w:rsidR="001157F7" w:rsidRDefault="002C716A" w:rsidP="00B71AE8">
            <w:pPr>
              <w:pStyle w:val="Compact"/>
              <w:spacing w:before="100" w:beforeAutospacing="1" w:after="100" w:afterAutospacing="1"/>
              <w:jc w:val="left"/>
            </w:pPr>
            <w:r>
              <w:t xml:space="preserve">Acquisition parameters not </w:t>
            </w:r>
            <w:proofErr w:type="spellStart"/>
            <w:r>
              <w:t>standardised</w:t>
            </w:r>
            <w:proofErr w:type="spellEnd"/>
            <w:r>
              <w:t xml:space="preserve"> across studies</w:t>
            </w:r>
          </w:p>
        </w:tc>
        <w:tc>
          <w:tcPr>
            <w:tcW w:w="0" w:type="auto"/>
          </w:tcPr>
          <w:p w14:paraId="415333A8" w14:textId="77777777" w:rsidR="001157F7" w:rsidRDefault="002C716A" w:rsidP="00B71AE8">
            <w:pPr>
              <w:pStyle w:val="Compact"/>
              <w:spacing w:before="100" w:beforeAutospacing="1" w:after="100" w:afterAutospacing="1"/>
              <w:jc w:val="left"/>
            </w:pPr>
            <w:r>
              <w:t>Gao et al., 2026</w:t>
            </w:r>
          </w:p>
        </w:tc>
      </w:tr>
      <w:tr w:rsidR="001157F7" w14:paraId="1685D69F" w14:textId="77777777" w:rsidTr="00B71AE8">
        <w:tc>
          <w:tcPr>
            <w:tcW w:w="0" w:type="auto"/>
          </w:tcPr>
          <w:p w14:paraId="5FD9C152" w14:textId="77777777" w:rsidR="001157F7" w:rsidRDefault="002C716A" w:rsidP="00B71AE8">
            <w:pPr>
              <w:pStyle w:val="Compact"/>
              <w:spacing w:before="100" w:beforeAutospacing="1" w:after="100" w:afterAutospacing="1"/>
              <w:jc w:val="left"/>
            </w:pPr>
            <w:r>
              <w:t>MRI-based machine learning</w:t>
            </w:r>
          </w:p>
        </w:tc>
        <w:tc>
          <w:tcPr>
            <w:tcW w:w="0" w:type="auto"/>
          </w:tcPr>
          <w:p w14:paraId="3FDA59CE" w14:textId="77777777" w:rsidR="001157F7" w:rsidRDefault="002C716A" w:rsidP="00B71AE8">
            <w:pPr>
              <w:pStyle w:val="Compact"/>
              <w:spacing w:before="100" w:beforeAutospacing="1" w:after="100" w:afterAutospacing="1"/>
              <w:jc w:val="left"/>
            </w:pPr>
            <w:r>
              <w:t>Pooled sensitivity 0.74, specificity 0.75, area under curve 0.81</w:t>
            </w:r>
          </w:p>
        </w:tc>
        <w:tc>
          <w:tcPr>
            <w:tcW w:w="0" w:type="auto"/>
          </w:tcPr>
          <w:p w14:paraId="36B406B5" w14:textId="77777777" w:rsidR="001157F7" w:rsidRDefault="002C716A" w:rsidP="00B71AE8">
            <w:pPr>
              <w:pStyle w:val="Compact"/>
              <w:spacing w:before="100" w:beforeAutospacing="1" w:after="100" w:afterAutospacing="1"/>
              <w:jc w:val="left"/>
            </w:pPr>
            <w:r>
              <w:t>Moderate: meta-analysis of 27 classification studies</w:t>
            </w:r>
          </w:p>
        </w:tc>
        <w:tc>
          <w:tcPr>
            <w:tcW w:w="0" w:type="auto"/>
          </w:tcPr>
          <w:p w14:paraId="3372238C" w14:textId="77777777" w:rsidR="001157F7" w:rsidRDefault="002C716A" w:rsidP="00B71AE8">
            <w:pPr>
              <w:pStyle w:val="Compact"/>
              <w:spacing w:before="100" w:beforeAutospacing="1" w:after="100" w:afterAutospacing="1"/>
              <w:jc w:val="left"/>
            </w:pPr>
            <w:r>
              <w:t>Rarely reported in constituent studies</w:t>
            </w:r>
          </w:p>
        </w:tc>
        <w:tc>
          <w:tcPr>
            <w:tcW w:w="0" w:type="auto"/>
          </w:tcPr>
          <w:p w14:paraId="3CCA8AE0" w14:textId="77777777" w:rsidR="001157F7" w:rsidRDefault="002C716A" w:rsidP="00B71AE8">
            <w:pPr>
              <w:pStyle w:val="Compact"/>
              <w:spacing w:before="100" w:beforeAutospacing="1" w:after="100" w:afterAutospacing="1"/>
              <w:jc w:val="left"/>
            </w:pPr>
            <w:r>
              <w:t xml:space="preserve">Positive predictive value inadequate </w:t>
            </w:r>
            <w:r>
              <w:t>at population prevalence</w:t>
            </w:r>
          </w:p>
        </w:tc>
        <w:tc>
          <w:tcPr>
            <w:tcW w:w="0" w:type="auto"/>
          </w:tcPr>
          <w:p w14:paraId="413E851F" w14:textId="77777777" w:rsidR="001157F7" w:rsidRDefault="002C716A" w:rsidP="00B71AE8">
            <w:pPr>
              <w:pStyle w:val="Compact"/>
              <w:spacing w:before="100" w:beforeAutospacing="1" w:after="100" w:afterAutospacing="1"/>
              <w:jc w:val="left"/>
            </w:pPr>
            <w:r>
              <w:t>Tian et al., 2024</w:t>
            </w:r>
          </w:p>
        </w:tc>
      </w:tr>
      <w:tr w:rsidR="001157F7" w14:paraId="377609D9" w14:textId="77777777" w:rsidTr="00B71AE8">
        <w:tc>
          <w:tcPr>
            <w:tcW w:w="0" w:type="auto"/>
          </w:tcPr>
          <w:p w14:paraId="27875BDE" w14:textId="77777777" w:rsidR="001157F7" w:rsidRDefault="002C716A" w:rsidP="00B71AE8">
            <w:pPr>
              <w:pStyle w:val="Compact"/>
              <w:spacing w:before="100" w:beforeAutospacing="1" w:after="100" w:afterAutospacing="1"/>
              <w:jc w:val="left"/>
            </w:pPr>
            <w:r>
              <w:t>Artificial intelligence across modalities</w:t>
            </w:r>
          </w:p>
        </w:tc>
        <w:tc>
          <w:tcPr>
            <w:tcW w:w="0" w:type="auto"/>
          </w:tcPr>
          <w:p w14:paraId="0EDC1FC7" w14:textId="77777777" w:rsidR="001157F7" w:rsidRDefault="002C716A" w:rsidP="00B71AE8">
            <w:pPr>
              <w:pStyle w:val="Compact"/>
              <w:spacing w:before="100" w:beforeAutospacing="1" w:after="100" w:afterAutospacing="1"/>
              <w:jc w:val="left"/>
            </w:pPr>
            <w:r>
              <w:t>Reported accuracy 66–99% depending on data type</w:t>
            </w:r>
          </w:p>
        </w:tc>
        <w:tc>
          <w:tcPr>
            <w:tcW w:w="0" w:type="auto"/>
          </w:tcPr>
          <w:p w14:paraId="2DBBDDC0" w14:textId="77777777" w:rsidR="001157F7" w:rsidRDefault="002C716A" w:rsidP="00B71AE8">
            <w:pPr>
              <w:pStyle w:val="Compact"/>
              <w:spacing w:before="100" w:beforeAutospacing="1" w:after="100" w:afterAutospacing="1"/>
              <w:jc w:val="left"/>
            </w:pPr>
            <w:r>
              <w:t>Low: 80% of included reviews rated critically low quality; 5% high quality</w:t>
            </w:r>
          </w:p>
        </w:tc>
        <w:tc>
          <w:tcPr>
            <w:tcW w:w="0" w:type="auto"/>
          </w:tcPr>
          <w:p w14:paraId="1B36DB08" w14:textId="77777777" w:rsidR="001157F7" w:rsidRDefault="002C716A" w:rsidP="00B71AE8">
            <w:pPr>
              <w:pStyle w:val="Compact"/>
              <w:spacing w:before="100" w:beforeAutospacing="1" w:after="100" w:afterAutospacing="1"/>
              <w:jc w:val="left"/>
            </w:pPr>
            <w:r>
              <w:t xml:space="preserve">Insufficient external validation identified as </w:t>
            </w:r>
            <w:r>
              <w:t>principal gap</w:t>
            </w:r>
          </w:p>
        </w:tc>
        <w:tc>
          <w:tcPr>
            <w:tcW w:w="0" w:type="auto"/>
          </w:tcPr>
          <w:p w14:paraId="227D71F0" w14:textId="77777777" w:rsidR="001157F7" w:rsidRDefault="002C716A" w:rsidP="00B71AE8">
            <w:pPr>
              <w:pStyle w:val="Compact"/>
              <w:spacing w:before="100" w:beforeAutospacing="1" w:after="100" w:afterAutospacing="1"/>
              <w:jc w:val="left"/>
            </w:pPr>
            <w:r>
              <w:t xml:space="preserve">Reproducibility, </w:t>
            </w:r>
            <w:proofErr w:type="spellStart"/>
            <w:r>
              <w:t>standardisation</w:t>
            </w:r>
            <w:proofErr w:type="spellEnd"/>
            <w:r>
              <w:t xml:space="preserve"> and reporting deficits</w:t>
            </w:r>
          </w:p>
        </w:tc>
        <w:tc>
          <w:tcPr>
            <w:tcW w:w="0" w:type="auto"/>
          </w:tcPr>
          <w:p w14:paraId="4188C839" w14:textId="77777777" w:rsidR="001157F7" w:rsidRDefault="002C716A" w:rsidP="00B71AE8">
            <w:pPr>
              <w:pStyle w:val="Compact"/>
              <w:spacing w:before="100" w:beforeAutospacing="1" w:after="100" w:afterAutospacing="1"/>
              <w:jc w:val="left"/>
            </w:pPr>
            <w:proofErr w:type="spellStart"/>
            <w:r>
              <w:t>Alberca</w:t>
            </w:r>
            <w:proofErr w:type="spellEnd"/>
            <w:r>
              <w:t xml:space="preserve">-González &amp; </w:t>
            </w:r>
            <w:proofErr w:type="spellStart"/>
            <w:r>
              <w:t>Fernández</w:t>
            </w:r>
            <w:proofErr w:type="spellEnd"/>
            <w:r>
              <w:t>-Jiménez, 2026; Rasool et al., 2026; Wang et al., 2025</w:t>
            </w:r>
          </w:p>
        </w:tc>
      </w:tr>
    </w:tbl>
    <w:p w14:paraId="4664AD30" w14:textId="77777777" w:rsidR="001157F7" w:rsidRDefault="002C716A" w:rsidP="00B71AE8">
      <w:pPr>
        <w:pStyle w:val="BodyText"/>
        <w:spacing w:before="100" w:beforeAutospacing="1" w:after="100" w:afterAutospacing="1" w:line="240" w:lineRule="auto"/>
      </w:pPr>
      <w:r>
        <w:rPr>
          <w:i/>
          <w:iCs/>
        </w:rPr>
        <w:t>Note.</w:t>
      </w:r>
      <w:r>
        <w:t xml:space="preserve"> ADHD = attention-deficit/hyperactivity disorder; MRI = magnetic resonance imaging. Performance figures are reproduced as reported in the cited syntheses. All modalities listed have been evaluated against a reference standard consisting of clinical diagnos</w:t>
      </w:r>
      <w:r>
        <w:t>is, and none has been validated against an independent external criterion.</w:t>
      </w:r>
    </w:p>
    <w:p w14:paraId="1F54DEBC" w14:textId="77777777" w:rsidR="001157F7" w:rsidRDefault="002C716A" w:rsidP="00B71AE8">
      <w:pPr>
        <w:pStyle w:val="Heading2"/>
        <w:spacing w:before="100" w:beforeAutospacing="1" w:after="100" w:afterAutospacing="1" w:line="240" w:lineRule="auto"/>
      </w:pPr>
      <w:bookmarkStart w:id="33" w:name="X70911ecf7ef56ce5c9f5da40bb0a002ea739fc0"/>
      <w:bookmarkEnd w:id="28"/>
      <w:bookmarkEnd w:id="32"/>
      <w:r>
        <w:t>5. Pharmacological Treatment: Consolidation and Its Discontents</w:t>
      </w:r>
    </w:p>
    <w:p w14:paraId="15F1930A" w14:textId="77777777" w:rsidR="001157F7" w:rsidRDefault="002C716A" w:rsidP="00B71AE8">
      <w:pPr>
        <w:pStyle w:val="Heading3"/>
        <w:spacing w:before="100" w:beforeAutospacing="1" w:after="100" w:afterAutospacing="1" w:line="240" w:lineRule="auto"/>
      </w:pPr>
      <w:bookmarkStart w:id="34" w:name="Xf6f60622ba139e836a4f98ab157af3ebc41c20f"/>
      <w:r>
        <w:t>5.1 Comparative Efficacy and the Shift to Dose-Effect Questions</w:t>
      </w:r>
    </w:p>
    <w:p w14:paraId="6FA297B5" w14:textId="77777777" w:rsidR="001157F7" w:rsidRDefault="002C716A" w:rsidP="00B71AE8">
      <w:pPr>
        <w:pStyle w:val="FirstParagraph"/>
        <w:spacing w:before="100" w:beforeAutospacing="1" w:after="100" w:afterAutospacing="1" w:line="240" w:lineRule="auto"/>
      </w:pPr>
      <w:r>
        <w:t>The comparative efficacy of ADHD medications was esta</w:t>
      </w:r>
      <w:r>
        <w:t xml:space="preserve">blished for practical purposes by a network meta-analysis of 133 double-blind </w:t>
      </w:r>
      <w:proofErr w:type="spellStart"/>
      <w:r>
        <w:t>randomised</w:t>
      </w:r>
      <w:proofErr w:type="spellEnd"/>
      <w:r>
        <w:t xml:space="preserve"> trials, in which efficacy analyses at approximately twelve weeks drew on 10,068 children and adolescents (Cortese et al., 2018). On clinician ratings in children and a</w:t>
      </w:r>
      <w:r>
        <w:t xml:space="preserve">dolescents, all included drugs exceeded placebo, with </w:t>
      </w:r>
      <w:proofErr w:type="spellStart"/>
      <w:r>
        <w:t>standardised</w:t>
      </w:r>
      <w:proofErr w:type="spellEnd"/>
      <w:r>
        <w:t xml:space="preserve"> mean differences of −1.02 for amphetamines, −0.78 for methylphenidate and −0.56 for atomoxetine. On teacher ratings, only methylphenidate and modafinil separated from placebo among availabl</w:t>
      </w:r>
      <w:r>
        <w:t>e comparisons. Amphetamines were less well tolerated than placebo in children and adolescents, as was guanfacine. The authors concluded that methylphenidate should be regarded as the preferred first-choice agent in children and adolescents when efficacy an</w:t>
      </w:r>
      <w:r>
        <w:t>d tolerability are weighed together, and identified the absence of long-term data as an urgent research priority. Insufficient data were available for the twenty-six and fifty-two week timepoints.</w:t>
      </w:r>
    </w:p>
    <w:p w14:paraId="4BA2F9FB" w14:textId="77777777" w:rsidR="001157F7" w:rsidRDefault="002C716A" w:rsidP="00B71AE8">
      <w:pPr>
        <w:pStyle w:val="BodyText"/>
        <w:spacing w:before="100" w:beforeAutospacing="1" w:after="100" w:afterAutospacing="1" w:line="240" w:lineRule="auto"/>
      </w:pPr>
      <w:r>
        <w:lastRenderedPageBreak/>
        <w:t>The divergence between clinician and teacher ratings within</w:t>
      </w:r>
      <w:r>
        <w:t xml:space="preserve"> the same synthesis is the most instructive feature of that analysis, and it recapitulates the measurement problem set out in Section 3. Clinicians assess children in a setting in which medication effects on presentation are readily apparent and in which b</w:t>
      </w:r>
      <w:r>
        <w:t xml:space="preserve">linding is vulnerable to </w:t>
      </w:r>
      <w:proofErr w:type="spellStart"/>
      <w:r>
        <w:t>recognisable</w:t>
      </w:r>
      <w:proofErr w:type="spellEnd"/>
      <w:r>
        <w:t xml:space="preserve"> adverse effects; teachers observe across sustained periods in an environment where the demand characteristics of the trial are largely absent. That the two sources agree for methylphenidate but not for amphetamines or </w:t>
      </w:r>
      <w:r>
        <w:t xml:space="preserve">atomoxetine is not a minor inconsistency. It bears directly on which agent should be preferred, and it suggests that the ranking of drugs is partly a ranking of the settings in which their effects are observed. The adult literature has since been </w:t>
      </w:r>
      <w:proofErr w:type="spellStart"/>
      <w:r>
        <w:t>reanalyse</w:t>
      </w:r>
      <w:r>
        <w:t>d</w:t>
      </w:r>
      <w:proofErr w:type="spellEnd"/>
      <w:r>
        <w:t xml:space="preserve"> using component network meta-analysis placing pharmacological, psychological and </w:t>
      </w:r>
      <w:proofErr w:type="spellStart"/>
      <w:r>
        <w:t>neurostimulatory</w:t>
      </w:r>
      <w:proofErr w:type="spellEnd"/>
      <w:r>
        <w:t xml:space="preserve"> interventions within a single comparative framework (</w:t>
      </w:r>
      <w:proofErr w:type="spellStart"/>
      <w:r>
        <w:t>Ostinelli</w:t>
      </w:r>
      <w:proofErr w:type="spellEnd"/>
      <w:r>
        <w:t xml:space="preserve"> et al., 2025), an approach that has not yet been applied to </w:t>
      </w:r>
      <w:proofErr w:type="spellStart"/>
      <w:r>
        <w:t>paediatric</w:t>
      </w:r>
      <w:proofErr w:type="spellEnd"/>
      <w:r>
        <w:t xml:space="preserve"> samples and whose abse</w:t>
      </w:r>
      <w:r>
        <w:t>nce in children is itself a gap, since clinical decisions in this age group routinely involve choosing between drug and non-drug options rather than between drugs.</w:t>
      </w:r>
    </w:p>
    <w:p w14:paraId="465CFC82" w14:textId="77777777" w:rsidR="001157F7" w:rsidRDefault="002C716A" w:rsidP="00B71AE8">
      <w:pPr>
        <w:pStyle w:val="BodyText"/>
        <w:spacing w:before="100" w:beforeAutospacing="1" w:after="100" w:afterAutospacing="1" w:line="240" w:lineRule="auto"/>
      </w:pPr>
      <w:r>
        <w:t>The most rigorous appraisal of methylphenidate specifically reaches a more austere conclusio</w:t>
      </w:r>
      <w:r>
        <w:t xml:space="preserve">n. A Cochrane review including 212 trials with 16,302 </w:t>
      </w:r>
      <w:proofErr w:type="spellStart"/>
      <w:r>
        <w:t>randomised</w:t>
      </w:r>
      <w:proofErr w:type="spellEnd"/>
      <w:r>
        <w:t xml:space="preserve"> participants found that methylphenidate may improve teacher-rated ADHD symptoms, with a </w:t>
      </w:r>
      <w:proofErr w:type="spellStart"/>
      <w:r>
        <w:t>standardised</w:t>
      </w:r>
      <w:proofErr w:type="spellEnd"/>
      <w:r>
        <w:t xml:space="preserve"> mean difference of −0.74 corresponding to approximately 10.6 points on the ADHD Rating Sca</w:t>
      </w:r>
      <w:r>
        <w:t xml:space="preserve">le against a minimal clinically relevant difference of 6.6 points, may improve teacher-rated general </w:t>
      </w:r>
      <w:proofErr w:type="spellStart"/>
      <w:r>
        <w:t>behaviour</w:t>
      </w:r>
      <w:proofErr w:type="spellEnd"/>
      <w:r>
        <w:t>, may not affect serious adverse events or quality of life, and may increase non-serious adverse events (Storebø et al., 2025). The certainty of e</w:t>
      </w:r>
      <w:r>
        <w:t>vidence was graded very low for every outcome. The reviewers judged 191 of 212 trials at high risk of bias, and observed that if de-blinding arising from characteristic adverse effects is taken into account, all 212 trials are at high risk. Their recommend</w:t>
      </w:r>
      <w:r>
        <w:t>ation that an active placebo be sought and used in future trials is the single most important methodological proposal in the contemporary ADHD treatment literature, because it addresses the mechanism that limits certainty rather than its symptoms.</w:t>
      </w:r>
    </w:p>
    <w:p w14:paraId="784FD766" w14:textId="77777777" w:rsidR="001157F7" w:rsidRDefault="002C716A" w:rsidP="00B71AE8">
      <w:pPr>
        <w:pStyle w:val="BodyText"/>
        <w:spacing w:before="100" w:beforeAutospacing="1" w:after="100" w:afterAutospacing="1" w:line="240" w:lineRule="auto"/>
      </w:pPr>
      <w:r>
        <w:t>Attentio</w:t>
      </w:r>
      <w:r>
        <w:t xml:space="preserve">n has now shifted from whether medication works to how it should be dosed, which is the more clinically useful question and the one </w:t>
      </w:r>
      <w:proofErr w:type="gramStart"/>
      <w:r>
        <w:t>guidelines</w:t>
      </w:r>
      <w:proofErr w:type="gramEnd"/>
      <w:r>
        <w:t xml:space="preserve"> have addressed least adequately. A dose-effect network meta-analysis of 113 </w:t>
      </w:r>
      <w:proofErr w:type="spellStart"/>
      <w:r>
        <w:t>randomised</w:t>
      </w:r>
      <w:proofErr w:type="spellEnd"/>
      <w:r>
        <w:t xml:space="preserve"> trials, including 68 in ch</w:t>
      </w:r>
      <w:r>
        <w:t>ildren and adolescents comprising 14,138 participants, modelled efficacy and tolerability across the dose range using hierarchical Bayesian splines (</w:t>
      </w:r>
      <w:proofErr w:type="spellStart"/>
      <w:r>
        <w:t>Nourredine</w:t>
      </w:r>
      <w:proofErr w:type="spellEnd"/>
      <w:r>
        <w:t xml:space="preserve"> et al., 2026). In children and adolescents, median efficacy increased up to approximately 45 mg </w:t>
      </w:r>
      <w:r>
        <w:t xml:space="preserve">per day for methylphenidate, 25 mg per day for amphetamines and 4 mg per day for guanfacine, with no evidence of additional benefit above those points, although estimates at higher doses were imprecise. Discontinuation due to adverse events increased with </w:t>
      </w:r>
      <w:r>
        <w:t>dose for amphetamines above 25 mg per day in children, whereas no clear dose-dependent tolerability risk was identified for methylphenidate in this age group. No dose-effect pattern was identified for atomoxetine in fixed-dose studies or for modafinil. The</w:t>
      </w:r>
      <w:r>
        <w:t xml:space="preserve"> authors frame their findings as challenging both therapeutic inertia and uncritical escalation beyond licensed limits, which is an unusually balanced interpretation of a dose-response analysis and is well supported by the data presented.</w:t>
      </w:r>
    </w:p>
    <w:p w14:paraId="2A074B88" w14:textId="77777777" w:rsidR="001157F7" w:rsidRDefault="002C716A" w:rsidP="00B71AE8">
      <w:pPr>
        <w:pStyle w:val="BodyText"/>
        <w:spacing w:before="100" w:beforeAutospacing="1" w:after="100" w:afterAutospacing="1" w:line="240" w:lineRule="auto"/>
      </w:pPr>
      <w:r>
        <w:t>Evidence in presc</w:t>
      </w:r>
      <w:r>
        <w:t xml:space="preserve">hool-aged children remains comparatively thin, and long-term follow-up of the principal </w:t>
      </w:r>
      <w:proofErr w:type="spellStart"/>
      <w:r>
        <w:t>randomised</w:t>
      </w:r>
      <w:proofErr w:type="spellEnd"/>
      <w:r>
        <w:t xml:space="preserve"> trial in that age group found that a substantial proportion of children continued to meet diagnostic criteria and to receive medication six years after initi</w:t>
      </w:r>
      <w:r>
        <w:t xml:space="preserve">al treatment </w:t>
      </w:r>
      <w:r>
        <w:lastRenderedPageBreak/>
        <w:t xml:space="preserve">(Riddle et al., 2013). Current guidance accordingly places </w:t>
      </w:r>
      <w:proofErr w:type="spellStart"/>
      <w:r>
        <w:t>behavioural</w:t>
      </w:r>
      <w:proofErr w:type="spellEnd"/>
      <w:r>
        <w:t xml:space="preserve"> intervention ahead of pharmacotherapy in this age group (</w:t>
      </w:r>
      <w:proofErr w:type="spellStart"/>
      <w:r>
        <w:t>Wolraich</w:t>
      </w:r>
      <w:proofErr w:type="spellEnd"/>
      <w:r>
        <w:t xml:space="preserve"> et al., 2019), a position that rests as much on the limited preschool evidence base as on demonstrated sup</w:t>
      </w:r>
      <w:r>
        <w:t xml:space="preserve">eriority of </w:t>
      </w:r>
      <w:proofErr w:type="spellStart"/>
      <w:r>
        <w:t>behavioural</w:t>
      </w:r>
      <w:proofErr w:type="spellEnd"/>
      <w:r>
        <w:t xml:space="preserve"> approaches.</w:t>
      </w:r>
    </w:p>
    <w:p w14:paraId="74E97466" w14:textId="77777777" w:rsidR="001157F7" w:rsidRDefault="002C716A" w:rsidP="00B71AE8">
      <w:pPr>
        <w:pStyle w:val="Heading3"/>
        <w:spacing w:before="100" w:beforeAutospacing="1" w:after="100" w:afterAutospacing="1" w:line="240" w:lineRule="auto"/>
      </w:pPr>
      <w:bookmarkStart w:id="35" w:name="new-and-emerging-agents"/>
      <w:bookmarkEnd w:id="34"/>
      <w:r>
        <w:t>5.2 New and Emerging Agents</w:t>
      </w:r>
    </w:p>
    <w:p w14:paraId="3B235EA6" w14:textId="77777777" w:rsidR="001157F7" w:rsidRDefault="002C716A" w:rsidP="00B71AE8">
      <w:pPr>
        <w:pStyle w:val="FirstParagraph"/>
        <w:spacing w:before="100" w:beforeAutospacing="1" w:after="100" w:afterAutospacing="1" w:line="240" w:lineRule="auto"/>
      </w:pPr>
      <w:r>
        <w:t xml:space="preserve">Pharmacological innovation in ADHD has been slower and less productive than the volume of development activity suggests. A systematic appraisal of </w:t>
      </w:r>
      <w:proofErr w:type="spellStart"/>
      <w:r>
        <w:t>randomised</w:t>
      </w:r>
      <w:proofErr w:type="spellEnd"/>
      <w:r>
        <w:t xml:space="preserve"> trials of agents either unapproved</w:t>
      </w:r>
      <w:r>
        <w:t xml:space="preserve"> for ADHD or approved but tested off-label identified 53 eligible trials, of which eleven reported results in children and adolescents and eleven in adults (</w:t>
      </w:r>
      <w:proofErr w:type="spellStart"/>
      <w:r>
        <w:t>Fusetto</w:t>
      </w:r>
      <w:proofErr w:type="spellEnd"/>
      <w:r>
        <w:t xml:space="preserve"> </w:t>
      </w:r>
      <w:proofErr w:type="spellStart"/>
      <w:r>
        <w:t>Veronesi</w:t>
      </w:r>
      <w:proofErr w:type="spellEnd"/>
      <w:r>
        <w:t xml:space="preserve"> et al., 2026). Applying the criterion of at least two positive trials on core symp</w:t>
      </w:r>
      <w:r>
        <w:t xml:space="preserve">toms without offsetting negative trials, only two compounds emerged as promising: </w:t>
      </w:r>
      <w:proofErr w:type="spellStart"/>
      <w:r>
        <w:t>dasotraline</w:t>
      </w:r>
      <w:proofErr w:type="spellEnd"/>
      <w:r>
        <w:t xml:space="preserve"> in children, whose development </w:t>
      </w:r>
      <w:proofErr w:type="spellStart"/>
      <w:r>
        <w:t>programme</w:t>
      </w:r>
      <w:proofErr w:type="spellEnd"/>
      <w:r>
        <w:t xml:space="preserve"> was halted in 2020, and </w:t>
      </w:r>
      <w:proofErr w:type="spellStart"/>
      <w:r>
        <w:t>centanafadine</w:t>
      </w:r>
      <w:proofErr w:type="spellEnd"/>
      <w:r>
        <w:t xml:space="preserve"> in adults. That a systematic search of two trial registries across an extended peri</w:t>
      </w:r>
      <w:r>
        <w:t xml:space="preserve">od yields a single viable </w:t>
      </w:r>
      <w:proofErr w:type="spellStart"/>
      <w:r>
        <w:t>paediatric</w:t>
      </w:r>
      <w:proofErr w:type="spellEnd"/>
      <w:r>
        <w:t xml:space="preserve"> candidate whose development has been discontinued is a sobering result, and it indicates that the therapeutic plateau in ADHD reflects genuine difficulty in identifying novel mechanisms rather than insufficient commerci</w:t>
      </w:r>
      <w:r>
        <w:t>al effort.</w:t>
      </w:r>
    </w:p>
    <w:p w14:paraId="56F2C7DE" w14:textId="77777777" w:rsidR="001157F7" w:rsidRDefault="002C716A" w:rsidP="00B71AE8">
      <w:pPr>
        <w:pStyle w:val="BodyText"/>
        <w:spacing w:before="100" w:beforeAutospacing="1" w:after="100" w:afterAutospacing="1" w:line="240" w:lineRule="auto"/>
      </w:pPr>
      <w:proofErr w:type="spellStart"/>
      <w:r>
        <w:t>Centanafadine</w:t>
      </w:r>
      <w:proofErr w:type="spellEnd"/>
      <w:r>
        <w:t xml:space="preserve">, a norepinephrine, dopamine and serotonin reuptake inhibitor, has now been tested in adolescents. A </w:t>
      </w:r>
      <w:proofErr w:type="spellStart"/>
      <w:r>
        <w:t>randomised</w:t>
      </w:r>
      <w:proofErr w:type="spellEnd"/>
      <w:r>
        <w:t xml:space="preserve">, double-blind, placebo-controlled trial </w:t>
      </w:r>
      <w:proofErr w:type="spellStart"/>
      <w:r>
        <w:t>randomised</w:t>
      </w:r>
      <w:proofErr w:type="spellEnd"/>
      <w:r>
        <w:t xml:space="preserve"> 459 participants aged thirteen to seventeen years to </w:t>
      </w:r>
      <w:proofErr w:type="spellStart"/>
      <w:r>
        <w:t>centanafadine</w:t>
      </w:r>
      <w:proofErr w:type="spellEnd"/>
      <w:r>
        <w:t xml:space="preserve"> 16</w:t>
      </w:r>
      <w:r>
        <w:t xml:space="preserve">4.4 mg, </w:t>
      </w:r>
      <w:proofErr w:type="spellStart"/>
      <w:r>
        <w:t>centanafadine</w:t>
      </w:r>
      <w:proofErr w:type="spellEnd"/>
      <w:r>
        <w:t xml:space="preserve"> 328.8 mg or placebo for six weeks (Ward et al., 2026). The higher dose separated from placebo on the primary endpoint, with change in ADHD Rating Scale total score of −18.50 compared with −14.15 for placebo, and separation was evident</w:t>
      </w:r>
      <w:r>
        <w:t xml:space="preserve"> at the first post-baseline assessment. The lower dose did not meet the primary endpoint. Treatment-emergent adverse events occurred in half of participants receiving the higher dose compared with approximately one quarter receiving placebo, most commonly </w:t>
      </w:r>
      <w:r>
        <w:t>decreased appetite, nausea, headache and rash. A post hoc analysis has examined effects on executive functioning and learning problems (Wilens et al., 2026).</w:t>
      </w:r>
    </w:p>
    <w:p w14:paraId="3AEA6704" w14:textId="77777777" w:rsidR="001157F7" w:rsidRDefault="002C716A" w:rsidP="00B71AE8">
      <w:pPr>
        <w:pStyle w:val="BodyText"/>
        <w:spacing w:before="100" w:beforeAutospacing="1" w:after="100" w:afterAutospacing="1" w:line="240" w:lineRule="auto"/>
      </w:pPr>
      <w:r>
        <w:t>Three cautions attach to these results. The placebo response of −14.15 points is large relative to</w:t>
      </w:r>
      <w:r>
        <w:t xml:space="preserve"> the drug-placebo difference of approximately 4.4 points, which is characteristic of ADHD trials and complicates comparison with the effect sizes reported in older stimulant literature. The absence of dose titration means that the trial does not establish </w:t>
      </w:r>
      <w:r>
        <w:t>the optimal dose in adolescents, only that the higher of two fixed doses outperformed placebo. Neither the trial nor its post hoc analysis provides comparative information against established agents, so the clinical position of the compound relative to met</w:t>
      </w:r>
      <w:r>
        <w:t>hylphenidate remains undetermined. The appropriate conclusion is that a further non-stimulant option with a distinct mechanism has demonstrated short-term efficacy in adolescents, which expands choice for children who do not tolerate or respond to stimulan</w:t>
      </w:r>
      <w:r>
        <w:t>ts, without evidence that it should displace existing first-line treatment.</w:t>
      </w:r>
    </w:p>
    <w:p w14:paraId="4D7ED659" w14:textId="77777777" w:rsidR="001157F7" w:rsidRDefault="002C716A" w:rsidP="00B71AE8">
      <w:pPr>
        <w:pStyle w:val="Heading3"/>
        <w:spacing w:before="100" w:beforeAutospacing="1" w:after="100" w:afterAutospacing="1" w:line="240" w:lineRule="auto"/>
      </w:pPr>
      <w:bookmarkStart w:id="36" w:name="X7b605eb22361f4c48456765f5b1baf153e20683"/>
      <w:bookmarkEnd w:id="35"/>
      <w:r>
        <w:t>5.3 Safety: Cardiovascular, Growth and Psychiatric Outcomes</w:t>
      </w:r>
    </w:p>
    <w:p w14:paraId="15F202A1" w14:textId="77777777" w:rsidR="001157F7" w:rsidRDefault="002C716A" w:rsidP="00B71AE8">
      <w:pPr>
        <w:pStyle w:val="FirstParagraph"/>
        <w:spacing w:before="100" w:beforeAutospacing="1" w:after="100" w:afterAutospacing="1" w:line="240" w:lineRule="auto"/>
      </w:pPr>
      <w:r>
        <w:t>Register-based pharmacoepidemiology has produced the most consequential recent additions to the safety literature, becau</w:t>
      </w:r>
      <w:r>
        <w:t xml:space="preserve">se it observes exposures of a duration no </w:t>
      </w:r>
      <w:proofErr w:type="spellStart"/>
      <w:r>
        <w:t>randomised</w:t>
      </w:r>
      <w:proofErr w:type="spellEnd"/>
      <w:r>
        <w:t xml:space="preserve"> trial has approached. A nested case-control study within a Swedish national cohort of 278,027 individuals with ADHD aged six to sixty-four years compared 10,388 incident cardiovascular disease cases </w:t>
      </w:r>
      <w:r>
        <w:lastRenderedPageBreak/>
        <w:t>with</w:t>
      </w:r>
      <w:r>
        <w:t xml:space="preserve"> 51,672 matched controls (Zhang et al., 2024). Longer cumulative medication use was associated with increased cardiovascular disease risk relative to non-use, with adjusted odds ratios rising from 1.09 at one to two years to 1.27 at three to five years and</w:t>
      </w:r>
      <w:r>
        <w:t xml:space="preserve"> 1.23 beyond five years. Associations were strongest for hypertension, with adjusted odds ratios of approximately 1.7 to 1.8 at longer durations, and for arterial disease. Each additional year of use was associated with a four per cent increase in risk, wi</w:t>
      </w:r>
      <w:r>
        <w:t>th the steepest increase during the first three years and stable risk thereafter. Patterns were similar in those aged under twenty-five years and in adults. An earlier meta-analysis of studies examining cardiovascular risk with ADHD medications provides th</w:t>
      </w:r>
      <w:r>
        <w:t>e comparative context for these estimates (Zhang et al., 2022).</w:t>
      </w:r>
    </w:p>
    <w:p w14:paraId="005B9C5B" w14:textId="77777777" w:rsidR="001157F7" w:rsidRDefault="002C716A" w:rsidP="00B71AE8">
      <w:pPr>
        <w:pStyle w:val="BodyText"/>
        <w:spacing w:before="100" w:beforeAutospacing="1" w:after="100" w:afterAutospacing="1" w:line="240" w:lineRule="auto"/>
      </w:pPr>
      <w:r>
        <w:t xml:space="preserve">The interpretation requires care in both directions. Confounding by indication is plausible, since ADHD is itself associated with health </w:t>
      </w:r>
      <w:proofErr w:type="spellStart"/>
      <w:r>
        <w:t>behaviours</w:t>
      </w:r>
      <w:proofErr w:type="spellEnd"/>
      <w:r>
        <w:t xml:space="preserve"> that elevate cardiovascular risk, and the de</w:t>
      </w:r>
      <w:r>
        <w:t xml:space="preserve">sign cannot exclude it. The observed dose-duration gradient and the specificity of the association to hypertension and arterial disease are nonetheless consistent with a pharmacological mechanism, and the median age of cases in the mid-thirties means that </w:t>
      </w:r>
      <w:r>
        <w:t>these findings describe cumulative exposure beginning in childhood. The clinical implication endorsed by the authors, namely regular and consistent cardiovascular monitoring throughout treatment rather than at initiation alone, follows directly from the sh</w:t>
      </w:r>
      <w:r>
        <w:t>ape of the risk curve.</w:t>
      </w:r>
    </w:p>
    <w:p w14:paraId="5589F592" w14:textId="77777777" w:rsidR="001157F7" w:rsidRDefault="002C716A" w:rsidP="00B71AE8">
      <w:pPr>
        <w:pStyle w:val="BodyText"/>
        <w:spacing w:before="100" w:beforeAutospacing="1" w:after="100" w:afterAutospacing="1" w:line="240" w:lineRule="auto"/>
      </w:pPr>
      <w:r>
        <w:t xml:space="preserve">Growth effects are better </w:t>
      </w:r>
      <w:proofErr w:type="spellStart"/>
      <w:r>
        <w:t>characterised</w:t>
      </w:r>
      <w:proofErr w:type="spellEnd"/>
      <w:r>
        <w:t xml:space="preserve"> and smaller than often assumed, though the evidence has become more consistent. Meta-analysis of thirty-three studies of methylphenidate monotherapy found significant reductions in height z-sco</w:t>
      </w:r>
      <w:r>
        <w:t>re of −0.13, weight z-score of −0.25 and body mass index z-score of −0.26, with substantial heterogeneity that subgroup and regression analyses did not resolve (Cao et al., 2026). Long-term follow-up of the Multimodal Treatment Study found that participant</w:t>
      </w:r>
      <w:r>
        <w:t>s with ADHD were on average 1.29 cm shorter than local comparison peers in adulthood, and that within the ADHD group those with consistent or inconsistent patterns of extended medication use were 2.55 cm shorter than those with negligible use, with the con</w:t>
      </w:r>
      <w:r>
        <w:t>sistently treated subgroup 2.36 cm shorter than the inconsistently treated subgroup (Swanson et al., 2017). Critically, the same naturalistic subgroup comparisons showed no corresponding reduction in symptom severity, so that extended use was associated wi</w:t>
      </w:r>
      <w:r>
        <w:t>th height suppression without demonstrable symptomatic benefit in that observational design.</w:t>
      </w:r>
    </w:p>
    <w:p w14:paraId="289EC9D1" w14:textId="77777777" w:rsidR="001157F7" w:rsidRDefault="002C716A" w:rsidP="00B71AE8">
      <w:pPr>
        <w:pStyle w:val="BodyText"/>
        <w:spacing w:before="100" w:beforeAutospacing="1" w:after="100" w:afterAutospacing="1" w:line="240" w:lineRule="auto"/>
      </w:pPr>
      <w:r>
        <w:t>A nationwide Korean cohort study reached a partly divergent conclusion, finding that prepubertal children with ADHD had higher adult body mass index than those wit</w:t>
      </w:r>
      <w:r>
        <w:t>hout ADHD but not significantly shorter adult height, while those treated with methylphenidate had greater odds of adult overweight or obesity and of short stature (Song et al., 2026). The divergence between naturalistic MTA subgroups and this matched coho</w:t>
      </w:r>
      <w:r>
        <w:t xml:space="preserve">rt is instructive rather than contradictory: both identify a small negative association between cumulative stimulant exposure and adult stature, and both are vulnerable to confounding by treatment intensity reflecting symptom severity. The most defensible </w:t>
      </w:r>
      <w:r>
        <w:t>summary is that the growth effect is real, small at the level of the individual child, dependent on cumulative exposure, and sufficient to justify routine monitoring but not, on current evidence, to justify withholding treatment from a child with impairing</w:t>
      </w:r>
      <w:r>
        <w:t xml:space="preserve"> symptoms.</w:t>
      </w:r>
    </w:p>
    <w:p w14:paraId="6EB12EBD" w14:textId="77777777" w:rsidR="001157F7" w:rsidRDefault="002C716A" w:rsidP="00B71AE8">
      <w:pPr>
        <w:pStyle w:val="BodyText"/>
        <w:spacing w:before="100" w:beforeAutospacing="1" w:after="100" w:afterAutospacing="1" w:line="240" w:lineRule="auto"/>
      </w:pPr>
      <w:r>
        <w:t xml:space="preserve">Psychiatric adverse outcomes have been quantified more precisely than previously. Meta-analysis of sixteen studies comprising 391,043 individuals found that among those with ADHD </w:t>
      </w:r>
      <w:r>
        <w:lastRenderedPageBreak/>
        <w:t>prescribed stimulants, 2.76 per cent developed psychotic symptoms,</w:t>
      </w:r>
      <w:r>
        <w:t xml:space="preserve"> 2.29 per cent a psychotic disorder and 3.72 per cent bipolar disorder, with heterogeneity exceeding ninety-five per cent (Salazar de Pablo et al., 2025). Psychosis occurrence was higher with amphetamines than with methylphenidate, with an odds ratio of 1.</w:t>
      </w:r>
      <w:r>
        <w:t xml:space="preserve">57. The authors state explicitly that the included studies cannot establish causality, and the absence of an unexposed comparison group in most contributing studies means that these proportions cannot be interpreted as attributable risk. What the analysis </w:t>
      </w:r>
      <w:r>
        <w:t>does establish is that the occurrence is non-negligible, that it differs between stimulant classes in a direction consistent with pharmacology, and that it warrants disclosure during consent and systematic monitoring during treatment.</w:t>
      </w:r>
    </w:p>
    <w:p w14:paraId="1E5B045F" w14:textId="77777777" w:rsidR="001157F7" w:rsidRDefault="002C716A" w:rsidP="00B71AE8">
      <w:pPr>
        <w:pStyle w:val="Heading3"/>
        <w:spacing w:before="100" w:beforeAutospacing="1" w:after="100" w:afterAutospacing="1" w:line="240" w:lineRule="auto"/>
      </w:pPr>
      <w:bookmarkStart w:id="37" w:name="X96075c95fe61b5a9c17c04e887e41d53cf8da27"/>
      <w:bookmarkEnd w:id="36"/>
      <w:r>
        <w:t>5.4 Functional Outcom</w:t>
      </w:r>
      <w:r>
        <w:t>es, Persistence and Treatment Continuity</w:t>
      </w:r>
    </w:p>
    <w:p w14:paraId="24C35FCB" w14:textId="77777777" w:rsidR="001157F7" w:rsidRDefault="002C716A" w:rsidP="00B71AE8">
      <w:pPr>
        <w:pStyle w:val="FirstParagraph"/>
        <w:spacing w:before="100" w:beforeAutospacing="1" w:after="100" w:afterAutospacing="1" w:line="240" w:lineRule="auto"/>
      </w:pPr>
      <w:r>
        <w:t>Symptom reduction is the endpoint on which the pharmacological evidence base is built, and it is not the endpoint that matters most to families. Meta-analysis of the effects of ADHD medication on functional outcomes</w:t>
      </w:r>
      <w:r>
        <w:t xml:space="preserve"> reported benefit across multiple domains, providing evidence that treatment effects extend beyond rating scale scores (Boland et al., 2020). That literature is nonetheless dominated by observational designs in which treated and untreated groups differ sys</w:t>
      </w:r>
      <w:r>
        <w:t xml:space="preserve">tematically, and its conclusions should be held with less confidence than those derived from </w:t>
      </w:r>
      <w:proofErr w:type="spellStart"/>
      <w:r>
        <w:t>randomised</w:t>
      </w:r>
      <w:proofErr w:type="spellEnd"/>
      <w:r>
        <w:t xml:space="preserve"> comparison of symptom endpoints.</w:t>
      </w:r>
    </w:p>
    <w:p w14:paraId="763EB9D2" w14:textId="77777777" w:rsidR="001157F7" w:rsidRDefault="002C716A" w:rsidP="00B71AE8">
      <w:pPr>
        <w:pStyle w:val="BodyText"/>
        <w:spacing w:before="100" w:beforeAutospacing="1" w:after="100" w:afterAutospacing="1" w:line="240" w:lineRule="auto"/>
      </w:pPr>
      <w:r>
        <w:t xml:space="preserve">Long-term course has been substantially </w:t>
      </w:r>
      <w:proofErr w:type="spellStart"/>
      <w:r>
        <w:t>reconceptualised</w:t>
      </w:r>
      <w:proofErr w:type="spellEnd"/>
      <w:r>
        <w:t>. Analysis of eight assessments over sixteen years in the Multi</w:t>
      </w:r>
      <w:r>
        <w:t>modal Treatment Study found that approximately thirty per cent of children experienced full remission at some point, but that sixty per cent of those subsequently relapsed; only 9.1 per cent demonstrated sustained recovery by study endpoint and only 10.8 p</w:t>
      </w:r>
      <w:r>
        <w:t>er cent showed stable persistence throughout; and 63.8 per cent showed fluctuating periods of remission and recurrence (Sibley et al., 2022). Ninety per cent continued to experience residual symptoms into young adulthood. This finding invalidates the widel</w:t>
      </w:r>
      <w:r>
        <w:t>y repeated proposition that approximately half of children outgrow the disorder, and it has direct implications for treatment planning, since a fluctuating course argues for periodic structured reassessment of continued need rather than either indefinite c</w:t>
      </w:r>
      <w:r>
        <w:t>ontinuation or single-occasion discontinuation trials.</w:t>
      </w:r>
    </w:p>
    <w:p w14:paraId="5F6BADA4" w14:textId="77777777" w:rsidR="001157F7" w:rsidRDefault="002C716A" w:rsidP="00B71AE8">
      <w:pPr>
        <w:pStyle w:val="BodyText"/>
        <w:spacing w:before="100" w:beforeAutospacing="1" w:after="100" w:afterAutospacing="1" w:line="240" w:lineRule="auto"/>
      </w:pPr>
      <w:r>
        <w:t>Treatment continuity is itself unevenly distributed. A matched cohort study of 9,283 individuals with ADHD and substance use disorder in Sweden, compared with 46,401 matched controls with ADHD alone, f</w:t>
      </w:r>
      <w:r>
        <w:t>ound that those with comorbid substance use disorder were approximately twice as likely to discontinue ADHD medication within one year of their first substance-related event and less likely to reinitiate treatment (</w:t>
      </w:r>
      <w:proofErr w:type="spellStart"/>
      <w:r>
        <w:t>Capusan</w:t>
      </w:r>
      <w:proofErr w:type="spellEnd"/>
      <w:r>
        <w:t xml:space="preserve"> et al., 2026). Male sex, adolesce</w:t>
      </w:r>
      <w:r>
        <w:t>nt to young adult age and lower stimulant dose were associated with discontinuation. The pattern indicates that treatment is least continuous in the group with the most complex needs, which is the opposite of what clinical priority would dictate and points</w:t>
      </w:r>
      <w:r>
        <w:t xml:space="preserve"> to a system-level rather than a pharmacological problem.</w:t>
      </w:r>
    </w:p>
    <w:p w14:paraId="40F14C43" w14:textId="77777777" w:rsidR="001157F7" w:rsidRDefault="002C716A" w:rsidP="00B71AE8">
      <w:pPr>
        <w:pStyle w:val="BodyText"/>
        <w:spacing w:before="100" w:beforeAutospacing="1" w:after="100" w:afterAutospacing="1" w:line="240" w:lineRule="auto"/>
      </w:pPr>
      <w:r>
        <w:t xml:space="preserve">Table 4 </w:t>
      </w:r>
      <w:proofErr w:type="spellStart"/>
      <w:r>
        <w:t>summarises</w:t>
      </w:r>
      <w:proofErr w:type="spellEnd"/>
      <w:r>
        <w:t xml:space="preserve"> the pharmacological evidence base by domain. The comparison is intended to make visible an asymmetry that guideline documents tend to obscure: the evidence supporting short-term efficacy, while extensive in volume, is graded at very low certainty by the m</w:t>
      </w:r>
      <w:r>
        <w:t xml:space="preserve">ost rigorous appraisal available, whereas the evidence describing long-term harms, though observational, derives from national registers with follow-up far exceeding any trial. Confidence </w:t>
      </w:r>
      <w:r>
        <w:lastRenderedPageBreak/>
        <w:t>in benefit and confidence in harm therefore rest on different eviden</w:t>
      </w:r>
      <w:r>
        <w:t>tial foundations, and clinical decisions that weigh one against the other should acknowledge that asymmetry rather than treating the two as commensurable. The table addresses evidence quality and does not constitute prescribing guidance.</w:t>
      </w:r>
    </w:p>
    <w:p w14:paraId="04077E76" w14:textId="77777777" w:rsidR="001157F7" w:rsidRDefault="002C716A" w:rsidP="00B71AE8">
      <w:pPr>
        <w:pStyle w:val="BodyText"/>
        <w:spacing w:before="100" w:beforeAutospacing="1" w:after="100" w:afterAutospacing="1" w:line="240" w:lineRule="auto"/>
      </w:pPr>
      <w:r>
        <w:rPr>
          <w:b/>
          <w:bCs/>
        </w:rPr>
        <w:t>Table 4.</w:t>
      </w:r>
      <w:r>
        <w:t xml:space="preserve"> Pharmacol</w:t>
      </w:r>
      <w:r>
        <w:t xml:space="preserve">ogical evidence in </w:t>
      </w:r>
      <w:proofErr w:type="spellStart"/>
      <w:r>
        <w:t>paediatric</w:t>
      </w:r>
      <w:proofErr w:type="spellEnd"/>
      <w:r>
        <w:t xml:space="preserve"> ADHD by domain, with evidential basis and principal limitation</w:t>
      </w:r>
    </w:p>
    <w:tbl>
      <w:tblPr>
        <w:tblStyle w:val="TableGrid"/>
        <w:tblW w:w="5000" w:type="pct"/>
        <w:tblLook w:val="0020" w:firstRow="1" w:lastRow="0" w:firstColumn="0" w:lastColumn="0" w:noHBand="0" w:noVBand="0"/>
      </w:tblPr>
      <w:tblGrid>
        <w:gridCol w:w="1848"/>
        <w:gridCol w:w="1915"/>
        <w:gridCol w:w="1360"/>
        <w:gridCol w:w="1596"/>
        <w:gridCol w:w="1533"/>
        <w:gridCol w:w="1324"/>
      </w:tblGrid>
      <w:tr w:rsidR="001157F7" w14:paraId="35B359F3" w14:textId="77777777" w:rsidTr="00B71AE8">
        <w:tc>
          <w:tcPr>
            <w:tcW w:w="0" w:type="auto"/>
          </w:tcPr>
          <w:p w14:paraId="2E8B195C" w14:textId="77777777" w:rsidR="001157F7" w:rsidRDefault="002C716A" w:rsidP="00B71AE8">
            <w:pPr>
              <w:pStyle w:val="Compact"/>
              <w:spacing w:before="100" w:beforeAutospacing="1" w:after="100" w:afterAutospacing="1"/>
              <w:jc w:val="left"/>
            </w:pPr>
            <w:r>
              <w:t>Evidence domain</w:t>
            </w:r>
          </w:p>
        </w:tc>
        <w:tc>
          <w:tcPr>
            <w:tcW w:w="0" w:type="auto"/>
          </w:tcPr>
          <w:p w14:paraId="2958A382" w14:textId="77777777" w:rsidR="001157F7" w:rsidRDefault="002C716A" w:rsidP="00B71AE8">
            <w:pPr>
              <w:pStyle w:val="Compact"/>
              <w:spacing w:before="100" w:beforeAutospacing="1" w:after="100" w:afterAutospacing="1"/>
              <w:jc w:val="left"/>
            </w:pPr>
            <w:r>
              <w:t>Principal quantitative finding</w:t>
            </w:r>
          </w:p>
        </w:tc>
        <w:tc>
          <w:tcPr>
            <w:tcW w:w="0" w:type="auto"/>
          </w:tcPr>
          <w:p w14:paraId="488577D6" w14:textId="77777777" w:rsidR="001157F7" w:rsidRDefault="002C716A" w:rsidP="00B71AE8">
            <w:pPr>
              <w:pStyle w:val="Compact"/>
              <w:spacing w:before="100" w:beforeAutospacing="1" w:after="100" w:afterAutospacing="1"/>
              <w:jc w:val="left"/>
            </w:pPr>
            <w:r>
              <w:t>Design and scale</w:t>
            </w:r>
          </w:p>
        </w:tc>
        <w:tc>
          <w:tcPr>
            <w:tcW w:w="0" w:type="auto"/>
          </w:tcPr>
          <w:p w14:paraId="43531CC4" w14:textId="77777777" w:rsidR="001157F7" w:rsidRDefault="002C716A" w:rsidP="00B71AE8">
            <w:pPr>
              <w:pStyle w:val="Compact"/>
              <w:spacing w:before="100" w:beforeAutospacing="1" w:after="100" w:afterAutospacing="1"/>
              <w:jc w:val="left"/>
            </w:pPr>
            <w:r>
              <w:t>Certainty or confidence as reported</w:t>
            </w:r>
          </w:p>
        </w:tc>
        <w:tc>
          <w:tcPr>
            <w:tcW w:w="0" w:type="auto"/>
          </w:tcPr>
          <w:p w14:paraId="668364BE" w14:textId="77777777" w:rsidR="001157F7" w:rsidRDefault="002C716A" w:rsidP="00B71AE8">
            <w:pPr>
              <w:pStyle w:val="Compact"/>
              <w:spacing w:before="100" w:beforeAutospacing="1" w:after="100" w:afterAutospacing="1"/>
              <w:jc w:val="left"/>
            </w:pPr>
            <w:r>
              <w:t>Principal limitation</w:t>
            </w:r>
          </w:p>
        </w:tc>
        <w:tc>
          <w:tcPr>
            <w:tcW w:w="0" w:type="auto"/>
          </w:tcPr>
          <w:p w14:paraId="59BCA92F" w14:textId="77777777" w:rsidR="001157F7" w:rsidRDefault="002C716A" w:rsidP="00B71AE8">
            <w:pPr>
              <w:pStyle w:val="Compact"/>
              <w:spacing w:before="100" w:beforeAutospacing="1" w:after="100" w:afterAutospacing="1"/>
              <w:jc w:val="left"/>
            </w:pPr>
            <w:r>
              <w:t>Supporting references</w:t>
            </w:r>
          </w:p>
        </w:tc>
      </w:tr>
      <w:tr w:rsidR="001157F7" w14:paraId="438F0138" w14:textId="77777777" w:rsidTr="00B71AE8">
        <w:tc>
          <w:tcPr>
            <w:tcW w:w="0" w:type="auto"/>
          </w:tcPr>
          <w:p w14:paraId="3C8E8C01" w14:textId="77777777" w:rsidR="001157F7" w:rsidRDefault="002C716A" w:rsidP="00B71AE8">
            <w:pPr>
              <w:pStyle w:val="Compact"/>
              <w:spacing w:before="100" w:beforeAutospacing="1" w:after="100" w:afterAutospacing="1"/>
              <w:jc w:val="left"/>
            </w:pPr>
            <w:r>
              <w:t>Comparative short-t</w:t>
            </w:r>
            <w:r>
              <w:t>erm efficacy</w:t>
            </w:r>
          </w:p>
        </w:tc>
        <w:tc>
          <w:tcPr>
            <w:tcW w:w="0" w:type="auto"/>
          </w:tcPr>
          <w:p w14:paraId="439DDC34" w14:textId="77777777" w:rsidR="001157F7" w:rsidRDefault="002C716A" w:rsidP="00B71AE8">
            <w:pPr>
              <w:pStyle w:val="Compact"/>
              <w:spacing w:before="100" w:beforeAutospacing="1" w:after="100" w:afterAutospacing="1"/>
              <w:jc w:val="left"/>
            </w:pPr>
            <w:r>
              <w:t>Clinician-rated SMD −1.02 amphetamines, −0.78 methylphenidate, −0.56 atomoxetine; on teacher ratings only methylphenidate and modafinil exceeded placebo</w:t>
            </w:r>
          </w:p>
        </w:tc>
        <w:tc>
          <w:tcPr>
            <w:tcW w:w="0" w:type="auto"/>
          </w:tcPr>
          <w:p w14:paraId="1A158891" w14:textId="77777777" w:rsidR="001157F7" w:rsidRDefault="002C716A" w:rsidP="00B71AE8">
            <w:pPr>
              <w:pStyle w:val="Compact"/>
              <w:spacing w:before="100" w:beforeAutospacing="1" w:after="100" w:afterAutospacing="1"/>
              <w:jc w:val="left"/>
            </w:pPr>
            <w:r>
              <w:t>Network meta-analysis, 133 double-blind trials; 10,068 children and adolescents in efficac</w:t>
            </w:r>
            <w:r>
              <w:t>y analysis</w:t>
            </w:r>
          </w:p>
        </w:tc>
        <w:tc>
          <w:tcPr>
            <w:tcW w:w="0" w:type="auto"/>
          </w:tcPr>
          <w:p w14:paraId="4724D5B4" w14:textId="77777777" w:rsidR="001157F7" w:rsidRDefault="002C716A" w:rsidP="00B71AE8">
            <w:pPr>
              <w:pStyle w:val="Compact"/>
              <w:spacing w:before="100" w:beforeAutospacing="1" w:after="100" w:afterAutospacing="1"/>
              <w:jc w:val="left"/>
            </w:pPr>
            <w:r>
              <w:t>High or moderate for some comparisons; low or very low for most indirect comparisons</w:t>
            </w:r>
          </w:p>
        </w:tc>
        <w:tc>
          <w:tcPr>
            <w:tcW w:w="0" w:type="auto"/>
          </w:tcPr>
          <w:p w14:paraId="6B27289D" w14:textId="77777777" w:rsidR="001157F7" w:rsidRDefault="002C716A" w:rsidP="00B71AE8">
            <w:pPr>
              <w:pStyle w:val="Compact"/>
              <w:spacing w:before="100" w:beforeAutospacing="1" w:after="100" w:afterAutospacing="1"/>
              <w:jc w:val="left"/>
            </w:pPr>
            <w:r>
              <w:t>Rater-source divergence within the same synthesis; no usable data beyond 12 weeks</w:t>
            </w:r>
          </w:p>
        </w:tc>
        <w:tc>
          <w:tcPr>
            <w:tcW w:w="0" w:type="auto"/>
          </w:tcPr>
          <w:p w14:paraId="584E0126" w14:textId="77777777" w:rsidR="001157F7" w:rsidRDefault="002C716A" w:rsidP="00B71AE8">
            <w:pPr>
              <w:pStyle w:val="Compact"/>
              <w:spacing w:before="100" w:beforeAutospacing="1" w:after="100" w:afterAutospacing="1"/>
              <w:jc w:val="left"/>
            </w:pPr>
            <w:r>
              <w:t>Cortese et al., 2018</w:t>
            </w:r>
          </w:p>
        </w:tc>
      </w:tr>
      <w:tr w:rsidR="001157F7" w14:paraId="6A09BCB7" w14:textId="77777777" w:rsidTr="00B71AE8">
        <w:tc>
          <w:tcPr>
            <w:tcW w:w="0" w:type="auto"/>
          </w:tcPr>
          <w:p w14:paraId="602EA931" w14:textId="77777777" w:rsidR="001157F7" w:rsidRDefault="002C716A" w:rsidP="00B71AE8">
            <w:pPr>
              <w:pStyle w:val="Compact"/>
              <w:spacing w:before="100" w:beforeAutospacing="1" w:after="100" w:afterAutospacing="1"/>
              <w:jc w:val="left"/>
            </w:pPr>
            <w:r>
              <w:t>Methylphenidate specifically</w:t>
            </w:r>
          </w:p>
        </w:tc>
        <w:tc>
          <w:tcPr>
            <w:tcW w:w="0" w:type="auto"/>
          </w:tcPr>
          <w:p w14:paraId="791DB38F" w14:textId="77777777" w:rsidR="001157F7" w:rsidRDefault="002C716A" w:rsidP="00B71AE8">
            <w:pPr>
              <w:pStyle w:val="Compact"/>
              <w:spacing w:before="100" w:beforeAutospacing="1" w:after="100" w:afterAutospacing="1"/>
              <w:jc w:val="left"/>
            </w:pPr>
            <w:r>
              <w:t xml:space="preserve">Teacher-rated symptom SMD </w:t>
            </w:r>
            <w:r>
              <w:t>−0.74, approximately 10.6 ADHD-RS points against a 6.6-point minimal clinically relevant difference</w:t>
            </w:r>
          </w:p>
        </w:tc>
        <w:tc>
          <w:tcPr>
            <w:tcW w:w="0" w:type="auto"/>
          </w:tcPr>
          <w:p w14:paraId="037E7156" w14:textId="77777777" w:rsidR="001157F7" w:rsidRDefault="002C716A" w:rsidP="00B71AE8">
            <w:pPr>
              <w:pStyle w:val="Compact"/>
              <w:spacing w:before="100" w:beforeAutospacing="1" w:after="100" w:afterAutospacing="1"/>
              <w:jc w:val="left"/>
            </w:pPr>
            <w:r>
              <w:t xml:space="preserve">Cochrane review, 212 trials, 16,302 </w:t>
            </w:r>
            <w:proofErr w:type="spellStart"/>
            <w:r>
              <w:t>randomised</w:t>
            </w:r>
            <w:proofErr w:type="spellEnd"/>
          </w:p>
        </w:tc>
        <w:tc>
          <w:tcPr>
            <w:tcW w:w="0" w:type="auto"/>
          </w:tcPr>
          <w:p w14:paraId="24CE9170" w14:textId="77777777" w:rsidR="001157F7" w:rsidRDefault="002C716A" w:rsidP="00B71AE8">
            <w:pPr>
              <w:pStyle w:val="Compact"/>
              <w:spacing w:before="100" w:beforeAutospacing="1" w:after="100" w:afterAutospacing="1"/>
              <w:jc w:val="left"/>
            </w:pPr>
            <w:r>
              <w:t>Very low for all outcomes</w:t>
            </w:r>
          </w:p>
        </w:tc>
        <w:tc>
          <w:tcPr>
            <w:tcW w:w="0" w:type="auto"/>
          </w:tcPr>
          <w:p w14:paraId="23AE3B13" w14:textId="77777777" w:rsidR="001157F7" w:rsidRDefault="002C716A" w:rsidP="00B71AE8">
            <w:pPr>
              <w:pStyle w:val="Compact"/>
              <w:spacing w:before="100" w:beforeAutospacing="1" w:after="100" w:afterAutospacing="1"/>
              <w:jc w:val="left"/>
            </w:pPr>
            <w:r>
              <w:t xml:space="preserve">191 of 212 trials at high risk of bias; all 212 if de-blinding by adverse effects </w:t>
            </w:r>
            <w:r>
              <w:t>is counted</w:t>
            </w:r>
          </w:p>
        </w:tc>
        <w:tc>
          <w:tcPr>
            <w:tcW w:w="0" w:type="auto"/>
          </w:tcPr>
          <w:p w14:paraId="6E1D0305" w14:textId="77777777" w:rsidR="001157F7" w:rsidRDefault="002C716A" w:rsidP="00B71AE8">
            <w:pPr>
              <w:pStyle w:val="Compact"/>
              <w:spacing w:before="100" w:beforeAutospacing="1" w:after="100" w:afterAutospacing="1"/>
              <w:jc w:val="left"/>
            </w:pPr>
            <w:r>
              <w:t>Storebø et al., 2025</w:t>
            </w:r>
          </w:p>
        </w:tc>
      </w:tr>
      <w:tr w:rsidR="001157F7" w14:paraId="7B1E23AD" w14:textId="77777777" w:rsidTr="00B71AE8">
        <w:tc>
          <w:tcPr>
            <w:tcW w:w="0" w:type="auto"/>
          </w:tcPr>
          <w:p w14:paraId="1299B9E2" w14:textId="77777777" w:rsidR="001157F7" w:rsidRDefault="002C716A" w:rsidP="00B71AE8">
            <w:pPr>
              <w:pStyle w:val="Compact"/>
              <w:spacing w:before="100" w:beforeAutospacing="1" w:after="100" w:afterAutospacing="1"/>
              <w:jc w:val="left"/>
            </w:pPr>
            <w:r>
              <w:t>Dose-effect relationships</w:t>
            </w:r>
          </w:p>
        </w:tc>
        <w:tc>
          <w:tcPr>
            <w:tcW w:w="0" w:type="auto"/>
          </w:tcPr>
          <w:p w14:paraId="2E7CE12E" w14:textId="77777777" w:rsidR="001157F7" w:rsidRDefault="002C716A" w:rsidP="00B71AE8">
            <w:pPr>
              <w:pStyle w:val="Compact"/>
              <w:spacing w:before="100" w:beforeAutospacing="1" w:after="100" w:afterAutospacing="1"/>
              <w:jc w:val="left"/>
            </w:pPr>
            <w:r>
              <w:t>Efficacy plateau near 45 mg/day methylphenidate, 25 mg/day amphetamines, 4 mg/day guanfacine in children and adolescents</w:t>
            </w:r>
          </w:p>
        </w:tc>
        <w:tc>
          <w:tcPr>
            <w:tcW w:w="0" w:type="auto"/>
          </w:tcPr>
          <w:p w14:paraId="07D75F88" w14:textId="77777777" w:rsidR="001157F7" w:rsidRDefault="002C716A" w:rsidP="00B71AE8">
            <w:pPr>
              <w:pStyle w:val="Compact"/>
              <w:spacing w:before="100" w:beforeAutospacing="1" w:after="100" w:afterAutospacing="1"/>
              <w:jc w:val="left"/>
            </w:pPr>
            <w:r>
              <w:t xml:space="preserve">Dose-effect network meta-analysis, 68 </w:t>
            </w:r>
            <w:proofErr w:type="spellStart"/>
            <w:r>
              <w:t>paediatric</w:t>
            </w:r>
            <w:proofErr w:type="spellEnd"/>
            <w:r>
              <w:t xml:space="preserve"> trials, 14,138 participants</w:t>
            </w:r>
          </w:p>
        </w:tc>
        <w:tc>
          <w:tcPr>
            <w:tcW w:w="0" w:type="auto"/>
          </w:tcPr>
          <w:p w14:paraId="6C789243" w14:textId="77777777" w:rsidR="001157F7" w:rsidRDefault="002C716A" w:rsidP="00B71AE8">
            <w:pPr>
              <w:pStyle w:val="Compact"/>
              <w:spacing w:before="100" w:beforeAutospacing="1" w:after="100" w:afterAutospacing="1"/>
              <w:jc w:val="left"/>
            </w:pPr>
            <w:r>
              <w:t>Robust across multiple sensitivity analyses; wide credible intervals at higher doses</w:t>
            </w:r>
          </w:p>
        </w:tc>
        <w:tc>
          <w:tcPr>
            <w:tcW w:w="0" w:type="auto"/>
          </w:tcPr>
          <w:p w14:paraId="688FF478" w14:textId="77777777" w:rsidR="001157F7" w:rsidRDefault="002C716A" w:rsidP="00B71AE8">
            <w:pPr>
              <w:pStyle w:val="Compact"/>
              <w:spacing w:before="100" w:beforeAutospacing="1" w:after="100" w:afterAutospacing="1"/>
              <w:jc w:val="left"/>
            </w:pPr>
            <w:r>
              <w:t>Sparse data at upper dose range; no dose-effect signal for atomoxetine in fixed-dose studies</w:t>
            </w:r>
          </w:p>
        </w:tc>
        <w:tc>
          <w:tcPr>
            <w:tcW w:w="0" w:type="auto"/>
          </w:tcPr>
          <w:p w14:paraId="75A2A197" w14:textId="77777777" w:rsidR="001157F7" w:rsidRDefault="002C716A" w:rsidP="00B71AE8">
            <w:pPr>
              <w:pStyle w:val="Compact"/>
              <w:spacing w:before="100" w:beforeAutospacing="1" w:after="100" w:afterAutospacing="1"/>
              <w:jc w:val="left"/>
            </w:pPr>
            <w:proofErr w:type="spellStart"/>
            <w:r>
              <w:t>Nourredine</w:t>
            </w:r>
            <w:proofErr w:type="spellEnd"/>
            <w:r>
              <w:t xml:space="preserve"> et al., 2026</w:t>
            </w:r>
          </w:p>
        </w:tc>
      </w:tr>
      <w:tr w:rsidR="001157F7" w14:paraId="6956B228" w14:textId="77777777" w:rsidTr="00B71AE8">
        <w:tc>
          <w:tcPr>
            <w:tcW w:w="0" w:type="auto"/>
          </w:tcPr>
          <w:p w14:paraId="4E4B8D92" w14:textId="77777777" w:rsidR="001157F7" w:rsidRDefault="002C716A" w:rsidP="00B71AE8">
            <w:pPr>
              <w:pStyle w:val="Compact"/>
              <w:spacing w:before="100" w:beforeAutospacing="1" w:after="100" w:afterAutospacing="1"/>
              <w:jc w:val="left"/>
            </w:pPr>
            <w:r>
              <w:t>Emerging agents</w:t>
            </w:r>
          </w:p>
        </w:tc>
        <w:tc>
          <w:tcPr>
            <w:tcW w:w="0" w:type="auto"/>
          </w:tcPr>
          <w:p w14:paraId="4382FF44" w14:textId="77777777" w:rsidR="001157F7" w:rsidRDefault="002C716A" w:rsidP="00B71AE8">
            <w:pPr>
              <w:pStyle w:val="Compact"/>
              <w:spacing w:before="100" w:beforeAutospacing="1" w:after="100" w:afterAutospacing="1"/>
              <w:jc w:val="left"/>
            </w:pPr>
            <w:r>
              <w:t xml:space="preserve">Only </w:t>
            </w:r>
            <w:proofErr w:type="spellStart"/>
            <w:r>
              <w:t>dasotraline</w:t>
            </w:r>
            <w:proofErr w:type="spellEnd"/>
            <w:r>
              <w:t xml:space="preserve"> (development halted</w:t>
            </w:r>
            <w:r>
              <w:t xml:space="preserve">) and </w:t>
            </w:r>
            <w:proofErr w:type="spellStart"/>
            <w:r>
              <w:lastRenderedPageBreak/>
              <w:t>centanafadine</w:t>
            </w:r>
            <w:proofErr w:type="spellEnd"/>
            <w:r>
              <w:t xml:space="preserve"> met a two-positive-trial threshold across 53 registered trials</w:t>
            </w:r>
          </w:p>
        </w:tc>
        <w:tc>
          <w:tcPr>
            <w:tcW w:w="0" w:type="auto"/>
          </w:tcPr>
          <w:p w14:paraId="1387BCC1" w14:textId="77777777" w:rsidR="001157F7" w:rsidRDefault="002C716A" w:rsidP="00B71AE8">
            <w:pPr>
              <w:pStyle w:val="Compact"/>
              <w:spacing w:before="100" w:beforeAutospacing="1" w:after="100" w:afterAutospacing="1"/>
              <w:jc w:val="left"/>
            </w:pPr>
            <w:r>
              <w:lastRenderedPageBreak/>
              <w:t xml:space="preserve">Systematic review of trial </w:t>
            </w:r>
            <w:r>
              <w:lastRenderedPageBreak/>
              <w:t>registries and published reports</w:t>
            </w:r>
          </w:p>
        </w:tc>
        <w:tc>
          <w:tcPr>
            <w:tcW w:w="0" w:type="auto"/>
          </w:tcPr>
          <w:p w14:paraId="596104EA" w14:textId="77777777" w:rsidR="001157F7" w:rsidRDefault="002C716A" w:rsidP="00B71AE8">
            <w:pPr>
              <w:pStyle w:val="Compact"/>
              <w:spacing w:before="100" w:beforeAutospacing="1" w:after="100" w:afterAutospacing="1"/>
              <w:jc w:val="left"/>
            </w:pPr>
            <w:r>
              <w:lastRenderedPageBreak/>
              <w:t>Descriptive; no pooled estimate</w:t>
            </w:r>
          </w:p>
        </w:tc>
        <w:tc>
          <w:tcPr>
            <w:tcW w:w="0" w:type="auto"/>
          </w:tcPr>
          <w:p w14:paraId="7A0665D0" w14:textId="77777777" w:rsidR="001157F7" w:rsidRDefault="002C716A" w:rsidP="00B71AE8">
            <w:pPr>
              <w:pStyle w:val="Compact"/>
              <w:spacing w:before="100" w:beforeAutospacing="1" w:after="100" w:afterAutospacing="1"/>
              <w:jc w:val="left"/>
            </w:pPr>
            <w:r>
              <w:t xml:space="preserve">Single viable </w:t>
            </w:r>
            <w:proofErr w:type="spellStart"/>
            <w:r>
              <w:t>paediatric</w:t>
            </w:r>
            <w:proofErr w:type="spellEnd"/>
            <w:r>
              <w:t xml:space="preserve"> candidate </w:t>
            </w:r>
            <w:r>
              <w:lastRenderedPageBreak/>
              <w:t>identified; no head-to-head comparison with st</w:t>
            </w:r>
            <w:r>
              <w:t>imulants</w:t>
            </w:r>
          </w:p>
        </w:tc>
        <w:tc>
          <w:tcPr>
            <w:tcW w:w="0" w:type="auto"/>
          </w:tcPr>
          <w:p w14:paraId="627CD07A" w14:textId="77777777" w:rsidR="001157F7" w:rsidRDefault="002C716A" w:rsidP="00B71AE8">
            <w:pPr>
              <w:pStyle w:val="Compact"/>
              <w:spacing w:before="100" w:beforeAutospacing="1" w:after="100" w:afterAutospacing="1"/>
              <w:jc w:val="left"/>
            </w:pPr>
            <w:proofErr w:type="spellStart"/>
            <w:r>
              <w:lastRenderedPageBreak/>
              <w:t>Fusetto</w:t>
            </w:r>
            <w:proofErr w:type="spellEnd"/>
            <w:r>
              <w:t xml:space="preserve"> </w:t>
            </w:r>
            <w:proofErr w:type="spellStart"/>
            <w:r>
              <w:t>Veronesi</w:t>
            </w:r>
            <w:proofErr w:type="spellEnd"/>
            <w:r>
              <w:t xml:space="preserve"> et al., 2026; </w:t>
            </w:r>
            <w:r>
              <w:lastRenderedPageBreak/>
              <w:t>Ward et al., 2026; Wilens et al., 2026</w:t>
            </w:r>
          </w:p>
        </w:tc>
      </w:tr>
      <w:tr w:rsidR="001157F7" w14:paraId="648771C4" w14:textId="77777777" w:rsidTr="00B71AE8">
        <w:tc>
          <w:tcPr>
            <w:tcW w:w="0" w:type="auto"/>
          </w:tcPr>
          <w:p w14:paraId="3DFDA091" w14:textId="77777777" w:rsidR="001157F7" w:rsidRDefault="002C716A" w:rsidP="00B71AE8">
            <w:pPr>
              <w:pStyle w:val="Compact"/>
              <w:spacing w:before="100" w:beforeAutospacing="1" w:after="100" w:afterAutospacing="1"/>
              <w:jc w:val="left"/>
            </w:pPr>
            <w:r>
              <w:lastRenderedPageBreak/>
              <w:t>Cardiovascular risk</w:t>
            </w:r>
          </w:p>
        </w:tc>
        <w:tc>
          <w:tcPr>
            <w:tcW w:w="0" w:type="auto"/>
          </w:tcPr>
          <w:p w14:paraId="4605B411" w14:textId="77777777" w:rsidR="001157F7" w:rsidRDefault="002C716A" w:rsidP="00B71AE8">
            <w:pPr>
              <w:pStyle w:val="Compact"/>
              <w:spacing w:before="100" w:beforeAutospacing="1" w:after="100" w:afterAutospacing="1"/>
              <w:jc w:val="left"/>
            </w:pPr>
            <w:r>
              <w:t>Adjusted odds ratio 1.27 at 3–5 years and 1.23 beyond 5 years of cumulative use; hypertension odds ratio approximately 1.7–1.8</w:t>
            </w:r>
          </w:p>
        </w:tc>
        <w:tc>
          <w:tcPr>
            <w:tcW w:w="0" w:type="auto"/>
          </w:tcPr>
          <w:p w14:paraId="63D9BE66" w14:textId="77777777" w:rsidR="001157F7" w:rsidRDefault="002C716A" w:rsidP="00B71AE8">
            <w:pPr>
              <w:pStyle w:val="Compact"/>
              <w:spacing w:before="100" w:beforeAutospacing="1" w:after="100" w:afterAutospacing="1"/>
              <w:jc w:val="left"/>
            </w:pPr>
            <w:r>
              <w:t>Nested case-control within na</w:t>
            </w:r>
            <w:r>
              <w:t>tional register; 10,388 cases, 51,672 controls</w:t>
            </w:r>
          </w:p>
        </w:tc>
        <w:tc>
          <w:tcPr>
            <w:tcW w:w="0" w:type="auto"/>
          </w:tcPr>
          <w:p w14:paraId="336A412C" w14:textId="77777777" w:rsidR="001157F7" w:rsidRDefault="002C716A" w:rsidP="00B71AE8">
            <w:pPr>
              <w:pStyle w:val="Compact"/>
              <w:spacing w:before="100" w:beforeAutospacing="1" w:after="100" w:afterAutospacing="1"/>
              <w:jc w:val="left"/>
            </w:pPr>
            <w:r>
              <w:t>Consistent dose-duration gradient</w:t>
            </w:r>
          </w:p>
        </w:tc>
        <w:tc>
          <w:tcPr>
            <w:tcW w:w="0" w:type="auto"/>
          </w:tcPr>
          <w:p w14:paraId="0E5300F7" w14:textId="77777777" w:rsidR="001157F7" w:rsidRDefault="002C716A" w:rsidP="00B71AE8">
            <w:pPr>
              <w:pStyle w:val="Compact"/>
              <w:spacing w:before="100" w:beforeAutospacing="1" w:after="100" w:afterAutospacing="1"/>
              <w:jc w:val="left"/>
            </w:pPr>
            <w:r>
              <w:t>Confounding by indication cannot be excluded</w:t>
            </w:r>
          </w:p>
        </w:tc>
        <w:tc>
          <w:tcPr>
            <w:tcW w:w="0" w:type="auto"/>
          </w:tcPr>
          <w:p w14:paraId="2158BE40" w14:textId="77777777" w:rsidR="001157F7" w:rsidRDefault="002C716A" w:rsidP="00B71AE8">
            <w:pPr>
              <w:pStyle w:val="Compact"/>
              <w:spacing w:before="100" w:beforeAutospacing="1" w:after="100" w:afterAutospacing="1"/>
              <w:jc w:val="left"/>
            </w:pPr>
            <w:r>
              <w:t>Zhang et al., 2022; Zhang et al., 2024</w:t>
            </w:r>
          </w:p>
        </w:tc>
      </w:tr>
      <w:tr w:rsidR="001157F7" w14:paraId="4189AFB7" w14:textId="77777777" w:rsidTr="00B71AE8">
        <w:tc>
          <w:tcPr>
            <w:tcW w:w="0" w:type="auto"/>
          </w:tcPr>
          <w:p w14:paraId="3B246836" w14:textId="77777777" w:rsidR="001157F7" w:rsidRDefault="002C716A" w:rsidP="00B71AE8">
            <w:pPr>
              <w:pStyle w:val="Compact"/>
              <w:spacing w:before="100" w:beforeAutospacing="1" w:after="100" w:afterAutospacing="1"/>
              <w:jc w:val="left"/>
            </w:pPr>
            <w:r>
              <w:t>Growth</w:t>
            </w:r>
          </w:p>
        </w:tc>
        <w:tc>
          <w:tcPr>
            <w:tcW w:w="0" w:type="auto"/>
          </w:tcPr>
          <w:p w14:paraId="7EBEAAB1" w14:textId="77777777" w:rsidR="001157F7" w:rsidRDefault="002C716A" w:rsidP="00B71AE8">
            <w:pPr>
              <w:pStyle w:val="Compact"/>
              <w:spacing w:before="100" w:beforeAutospacing="1" w:after="100" w:afterAutospacing="1"/>
              <w:jc w:val="left"/>
            </w:pPr>
            <w:r>
              <w:t xml:space="preserve">Height z-score −0.13, weight z-score −0.25, BMI z-score −0.26; adult height </w:t>
            </w:r>
            <w:r>
              <w:t>difference 1.29 cm versus local comparison group</w:t>
            </w:r>
          </w:p>
        </w:tc>
        <w:tc>
          <w:tcPr>
            <w:tcW w:w="0" w:type="auto"/>
          </w:tcPr>
          <w:p w14:paraId="73A748A6" w14:textId="77777777" w:rsidR="001157F7" w:rsidRDefault="002C716A" w:rsidP="00B71AE8">
            <w:pPr>
              <w:pStyle w:val="Compact"/>
              <w:spacing w:before="100" w:beforeAutospacing="1" w:after="100" w:afterAutospacing="1"/>
              <w:jc w:val="left"/>
            </w:pPr>
            <w:r>
              <w:t xml:space="preserve">Meta-analysis of 33 studies; 16-year naturalistic follow-up of </w:t>
            </w:r>
            <w:proofErr w:type="spellStart"/>
            <w:r>
              <w:t>randomised</w:t>
            </w:r>
            <w:proofErr w:type="spellEnd"/>
            <w:r>
              <w:t xml:space="preserve"> cohort</w:t>
            </w:r>
          </w:p>
        </w:tc>
        <w:tc>
          <w:tcPr>
            <w:tcW w:w="0" w:type="auto"/>
          </w:tcPr>
          <w:p w14:paraId="739B0E59" w14:textId="77777777" w:rsidR="001157F7" w:rsidRDefault="002C716A" w:rsidP="00B71AE8">
            <w:pPr>
              <w:pStyle w:val="Compact"/>
              <w:spacing w:before="100" w:beforeAutospacing="1" w:after="100" w:afterAutospacing="1"/>
              <w:jc w:val="left"/>
            </w:pPr>
            <w:r>
              <w:t>Consistent direction; high heterogeneity unresolved by subgroup analysis</w:t>
            </w:r>
          </w:p>
        </w:tc>
        <w:tc>
          <w:tcPr>
            <w:tcW w:w="0" w:type="auto"/>
          </w:tcPr>
          <w:p w14:paraId="1E826AE3" w14:textId="77777777" w:rsidR="001157F7" w:rsidRDefault="002C716A" w:rsidP="00B71AE8">
            <w:pPr>
              <w:pStyle w:val="Compact"/>
              <w:spacing w:before="100" w:beforeAutospacing="1" w:after="100" w:afterAutospacing="1"/>
              <w:jc w:val="left"/>
            </w:pPr>
            <w:r>
              <w:t xml:space="preserve">Naturalistic medication subgroups not </w:t>
            </w:r>
            <w:proofErr w:type="spellStart"/>
            <w:r>
              <w:t>randomised</w:t>
            </w:r>
            <w:proofErr w:type="spellEnd"/>
            <w:r>
              <w:t>; div</w:t>
            </w:r>
            <w:r>
              <w:t>ergent findings on adult height across cohorts</w:t>
            </w:r>
          </w:p>
        </w:tc>
        <w:tc>
          <w:tcPr>
            <w:tcW w:w="0" w:type="auto"/>
          </w:tcPr>
          <w:p w14:paraId="0C4B585D" w14:textId="77777777" w:rsidR="001157F7" w:rsidRDefault="002C716A" w:rsidP="00B71AE8">
            <w:pPr>
              <w:pStyle w:val="Compact"/>
              <w:spacing w:before="100" w:beforeAutospacing="1" w:after="100" w:afterAutospacing="1"/>
              <w:jc w:val="left"/>
            </w:pPr>
            <w:r>
              <w:t>Cao et al., 2026; Song et al., 2026; Swanson et al., 2017</w:t>
            </w:r>
          </w:p>
        </w:tc>
      </w:tr>
      <w:tr w:rsidR="001157F7" w14:paraId="195AFEE9" w14:textId="77777777" w:rsidTr="00B71AE8">
        <w:tc>
          <w:tcPr>
            <w:tcW w:w="0" w:type="auto"/>
          </w:tcPr>
          <w:p w14:paraId="5A26E7B4" w14:textId="77777777" w:rsidR="001157F7" w:rsidRDefault="002C716A" w:rsidP="00B71AE8">
            <w:pPr>
              <w:pStyle w:val="Compact"/>
              <w:spacing w:before="100" w:beforeAutospacing="1" w:after="100" w:afterAutospacing="1"/>
              <w:jc w:val="left"/>
            </w:pPr>
            <w:r>
              <w:t>Psychosis and bipolar disorder</w:t>
            </w:r>
          </w:p>
        </w:tc>
        <w:tc>
          <w:tcPr>
            <w:tcW w:w="0" w:type="auto"/>
          </w:tcPr>
          <w:p w14:paraId="2193D7A2" w14:textId="77777777" w:rsidR="001157F7" w:rsidRDefault="002C716A" w:rsidP="00B71AE8">
            <w:pPr>
              <w:pStyle w:val="Compact"/>
              <w:spacing w:before="100" w:beforeAutospacing="1" w:after="100" w:afterAutospacing="1"/>
              <w:jc w:val="left"/>
            </w:pPr>
            <w:r>
              <w:t>2.29% developed a psychotic disorder; amphetamine versus methylphenidate odds ratio 1.57</w:t>
            </w:r>
          </w:p>
        </w:tc>
        <w:tc>
          <w:tcPr>
            <w:tcW w:w="0" w:type="auto"/>
          </w:tcPr>
          <w:p w14:paraId="3FC42344" w14:textId="77777777" w:rsidR="001157F7" w:rsidRDefault="002C716A" w:rsidP="00B71AE8">
            <w:pPr>
              <w:pStyle w:val="Compact"/>
              <w:spacing w:before="100" w:beforeAutospacing="1" w:after="100" w:afterAutospacing="1"/>
              <w:jc w:val="left"/>
            </w:pPr>
            <w:r>
              <w:t>Meta-analysis, 16 studies, 391</w:t>
            </w:r>
            <w:r>
              <w:t>,043 individuals</w:t>
            </w:r>
          </w:p>
        </w:tc>
        <w:tc>
          <w:tcPr>
            <w:tcW w:w="0" w:type="auto"/>
          </w:tcPr>
          <w:p w14:paraId="6289B122" w14:textId="77777777" w:rsidR="001157F7" w:rsidRDefault="002C716A" w:rsidP="00B71AE8">
            <w:pPr>
              <w:pStyle w:val="Compact"/>
              <w:spacing w:before="100" w:beforeAutospacing="1" w:after="100" w:afterAutospacing="1"/>
              <w:jc w:val="left"/>
            </w:pPr>
            <w:r>
              <w:t>Heterogeneity above 95%</w:t>
            </w:r>
          </w:p>
        </w:tc>
        <w:tc>
          <w:tcPr>
            <w:tcW w:w="0" w:type="auto"/>
          </w:tcPr>
          <w:p w14:paraId="575D3F7D" w14:textId="77777777" w:rsidR="001157F7" w:rsidRDefault="002C716A" w:rsidP="00B71AE8">
            <w:pPr>
              <w:pStyle w:val="Compact"/>
              <w:spacing w:before="100" w:beforeAutospacing="1" w:after="100" w:afterAutospacing="1"/>
              <w:jc w:val="left"/>
            </w:pPr>
            <w:r>
              <w:t>Mostly without unexposed comparison groups; causality not established</w:t>
            </w:r>
          </w:p>
        </w:tc>
        <w:tc>
          <w:tcPr>
            <w:tcW w:w="0" w:type="auto"/>
          </w:tcPr>
          <w:p w14:paraId="2F598BF5" w14:textId="77777777" w:rsidR="001157F7" w:rsidRDefault="002C716A" w:rsidP="00B71AE8">
            <w:pPr>
              <w:pStyle w:val="Compact"/>
              <w:spacing w:before="100" w:beforeAutospacing="1" w:after="100" w:afterAutospacing="1"/>
              <w:jc w:val="left"/>
            </w:pPr>
            <w:r>
              <w:t>Salazar de Pablo et al., 2025</w:t>
            </w:r>
          </w:p>
        </w:tc>
      </w:tr>
      <w:tr w:rsidR="001157F7" w14:paraId="48757981" w14:textId="77777777" w:rsidTr="00B71AE8">
        <w:tc>
          <w:tcPr>
            <w:tcW w:w="0" w:type="auto"/>
          </w:tcPr>
          <w:p w14:paraId="52F2005E" w14:textId="77777777" w:rsidR="001157F7" w:rsidRDefault="002C716A" w:rsidP="00B71AE8">
            <w:pPr>
              <w:pStyle w:val="Compact"/>
              <w:spacing w:before="100" w:beforeAutospacing="1" w:after="100" w:afterAutospacing="1"/>
              <w:jc w:val="left"/>
            </w:pPr>
            <w:r>
              <w:t>Course and treatment continuity</w:t>
            </w:r>
          </w:p>
        </w:tc>
        <w:tc>
          <w:tcPr>
            <w:tcW w:w="0" w:type="auto"/>
          </w:tcPr>
          <w:p w14:paraId="2904FA2E" w14:textId="77777777" w:rsidR="001157F7" w:rsidRDefault="002C716A" w:rsidP="00B71AE8">
            <w:pPr>
              <w:pStyle w:val="Compact"/>
              <w:spacing w:before="100" w:beforeAutospacing="1" w:after="100" w:afterAutospacing="1"/>
              <w:jc w:val="left"/>
            </w:pPr>
            <w:r>
              <w:t>63.8% showed fluctuating remission and recurrence; only 9.1% sustained recovery; d</w:t>
            </w:r>
            <w:r>
              <w:t>iscontinuation hazard ratio 1.99 with comorbid substance use disorder</w:t>
            </w:r>
          </w:p>
        </w:tc>
        <w:tc>
          <w:tcPr>
            <w:tcW w:w="0" w:type="auto"/>
          </w:tcPr>
          <w:p w14:paraId="3EFE7CFE" w14:textId="77777777" w:rsidR="001157F7" w:rsidRDefault="002C716A" w:rsidP="00B71AE8">
            <w:pPr>
              <w:pStyle w:val="Compact"/>
              <w:spacing w:before="100" w:beforeAutospacing="1" w:after="100" w:afterAutospacing="1"/>
              <w:jc w:val="left"/>
            </w:pPr>
            <w:r>
              <w:t>16-year multi-wave follow-up; matched national cohort of 9,283 exposed and 46,401 matched</w:t>
            </w:r>
          </w:p>
        </w:tc>
        <w:tc>
          <w:tcPr>
            <w:tcW w:w="0" w:type="auto"/>
          </w:tcPr>
          <w:p w14:paraId="440E04A6" w14:textId="77777777" w:rsidR="001157F7" w:rsidRDefault="002C716A" w:rsidP="00B71AE8">
            <w:pPr>
              <w:pStyle w:val="Compact"/>
              <w:spacing w:before="100" w:beforeAutospacing="1" w:after="100" w:afterAutospacing="1"/>
              <w:jc w:val="left"/>
            </w:pPr>
            <w:r>
              <w:t>Strong for course description; moderate for continuity findings</w:t>
            </w:r>
          </w:p>
        </w:tc>
        <w:tc>
          <w:tcPr>
            <w:tcW w:w="0" w:type="auto"/>
          </w:tcPr>
          <w:p w14:paraId="68D52F1E" w14:textId="77777777" w:rsidR="001157F7" w:rsidRDefault="002C716A" w:rsidP="00B71AE8">
            <w:pPr>
              <w:pStyle w:val="Compact"/>
              <w:spacing w:before="100" w:beforeAutospacing="1" w:after="100" w:afterAutospacing="1"/>
              <w:jc w:val="left"/>
            </w:pPr>
            <w:r>
              <w:t xml:space="preserve">Course findings derive from a </w:t>
            </w:r>
            <w:r>
              <w:t>single treated cohort; continuity findings observational</w:t>
            </w:r>
          </w:p>
        </w:tc>
        <w:tc>
          <w:tcPr>
            <w:tcW w:w="0" w:type="auto"/>
          </w:tcPr>
          <w:p w14:paraId="557D716E" w14:textId="77777777" w:rsidR="001157F7" w:rsidRDefault="002C716A" w:rsidP="00B71AE8">
            <w:pPr>
              <w:pStyle w:val="Compact"/>
              <w:spacing w:before="100" w:beforeAutospacing="1" w:after="100" w:afterAutospacing="1"/>
              <w:jc w:val="left"/>
            </w:pPr>
            <w:r>
              <w:t xml:space="preserve">Boland et al., 2020; </w:t>
            </w:r>
            <w:proofErr w:type="spellStart"/>
            <w:r>
              <w:t>Capusan</w:t>
            </w:r>
            <w:proofErr w:type="spellEnd"/>
            <w:r>
              <w:t xml:space="preserve"> et al., 2026; Sibley et al., 2022</w:t>
            </w:r>
          </w:p>
        </w:tc>
      </w:tr>
    </w:tbl>
    <w:p w14:paraId="5DC31CF5" w14:textId="77777777" w:rsidR="001157F7" w:rsidRDefault="002C716A" w:rsidP="00B71AE8">
      <w:pPr>
        <w:pStyle w:val="BodyText"/>
        <w:spacing w:before="100" w:beforeAutospacing="1" w:after="100" w:afterAutospacing="1" w:line="240" w:lineRule="auto"/>
      </w:pPr>
      <w:r>
        <w:rPr>
          <w:i/>
          <w:iCs/>
        </w:rPr>
        <w:lastRenderedPageBreak/>
        <w:t>Note.</w:t>
      </w:r>
      <w:r>
        <w:t xml:space="preserve"> ADHD = attention-deficit/hyperactivity disorder; ADHD-RS = ADHD Rating Scale; BMI = body mass index; SMD = </w:t>
      </w:r>
      <w:proofErr w:type="spellStart"/>
      <w:r>
        <w:t>standardised</w:t>
      </w:r>
      <w:proofErr w:type="spellEnd"/>
      <w:r>
        <w:t xml:space="preserve"> mean diff</w:t>
      </w:r>
      <w:r>
        <w:t>erence. Estimates are reproduced as reported in the cited sources. Efficacy and harm estimates derive from different design classes and are not directly commensurable.</w:t>
      </w:r>
    </w:p>
    <w:p w14:paraId="213ACDB4" w14:textId="77777777" w:rsidR="001157F7" w:rsidRDefault="002C716A" w:rsidP="00B71AE8">
      <w:pPr>
        <w:pStyle w:val="Heading2"/>
        <w:spacing w:before="100" w:beforeAutospacing="1" w:after="100" w:afterAutospacing="1" w:line="240" w:lineRule="auto"/>
      </w:pPr>
      <w:bookmarkStart w:id="38" w:name="X79b8f6c2b860180ae8495a7aa2c2aedeba8d0b9"/>
      <w:bookmarkEnd w:id="33"/>
      <w:bookmarkEnd w:id="37"/>
      <w:r>
        <w:t>6. Non-Pharmacological and Adjunctive Interventions</w:t>
      </w:r>
    </w:p>
    <w:p w14:paraId="67F23F0A" w14:textId="77777777" w:rsidR="001157F7" w:rsidRDefault="002C716A" w:rsidP="00B71AE8">
      <w:pPr>
        <w:pStyle w:val="Heading3"/>
        <w:spacing w:before="100" w:beforeAutospacing="1" w:after="100" w:afterAutospacing="1" w:line="240" w:lineRule="auto"/>
      </w:pPr>
      <w:bookmarkStart w:id="39" w:name="behavioural-and-parenting-interventions"/>
      <w:r>
        <w:t xml:space="preserve">6.1 </w:t>
      </w:r>
      <w:proofErr w:type="spellStart"/>
      <w:r>
        <w:t>Behavioural</w:t>
      </w:r>
      <w:proofErr w:type="spellEnd"/>
      <w:r>
        <w:t xml:space="preserve"> and Parenting Interv</w:t>
      </w:r>
      <w:r>
        <w:t>entions</w:t>
      </w:r>
    </w:p>
    <w:p w14:paraId="53695BDE" w14:textId="77777777" w:rsidR="001157F7" w:rsidRDefault="002C716A" w:rsidP="00B71AE8">
      <w:pPr>
        <w:pStyle w:val="FirstParagraph"/>
        <w:spacing w:before="100" w:beforeAutospacing="1" w:after="100" w:afterAutospacing="1" w:line="240" w:lineRule="auto"/>
      </w:pPr>
      <w:r>
        <w:t xml:space="preserve">The </w:t>
      </w:r>
      <w:proofErr w:type="spellStart"/>
      <w:r>
        <w:t>behavioural</w:t>
      </w:r>
      <w:proofErr w:type="spellEnd"/>
      <w:r>
        <w:t xml:space="preserve"> literature provides the clearest demonstration in child mental health of how much conclusions depend on who rates the outcome. Meta-analysis of </w:t>
      </w:r>
      <w:proofErr w:type="spellStart"/>
      <w:r>
        <w:t>randomised</w:t>
      </w:r>
      <w:proofErr w:type="spellEnd"/>
      <w:r>
        <w:t xml:space="preserve"> trials of </w:t>
      </w:r>
      <w:proofErr w:type="spellStart"/>
      <w:r>
        <w:t>behavioural</w:t>
      </w:r>
      <w:proofErr w:type="spellEnd"/>
      <w:r>
        <w:t xml:space="preserve"> interventions found that when assessments were made by </w:t>
      </w:r>
      <w:r>
        <w:t>individuals closest to the treatment setting, and therefore usually unblinded, there were significant improvements in positive parenting, negative parenting, parenting self-concept, child ADHD symptoms, conduct problems, social skills and academic performa</w:t>
      </w:r>
      <w:r>
        <w:t>nce (Daley et al., 2014). When analysis was restricted to probably blinded assessments, significant effects persisted for positive and negative parenting and for conduct problems, but not for core ADHD symptoms. An earlier synthesis of dietary and psycholo</w:t>
      </w:r>
      <w:r>
        <w:t>gical treatments reached the same structural conclusion (</w:t>
      </w:r>
      <w:proofErr w:type="spellStart"/>
      <w:r>
        <w:t>Sonuga-Barke</w:t>
      </w:r>
      <w:proofErr w:type="spellEnd"/>
      <w:r>
        <w:t xml:space="preserve"> et al., 2013).</w:t>
      </w:r>
    </w:p>
    <w:p w14:paraId="0BF62972" w14:textId="77777777" w:rsidR="001157F7" w:rsidRDefault="002C716A" w:rsidP="00B71AE8">
      <w:pPr>
        <w:pStyle w:val="BodyText"/>
        <w:spacing w:before="100" w:beforeAutospacing="1" w:after="100" w:afterAutospacing="1" w:line="240" w:lineRule="auto"/>
      </w:pPr>
      <w:r>
        <w:t xml:space="preserve">The correct reading of this result is neither that </w:t>
      </w:r>
      <w:proofErr w:type="spellStart"/>
      <w:r>
        <w:t>behavioural</w:t>
      </w:r>
      <w:proofErr w:type="spellEnd"/>
      <w:r>
        <w:t xml:space="preserve"> intervention is ineffective nor that it works and the blinding requirement is excessive. What has been demon</w:t>
      </w:r>
      <w:r>
        <w:t xml:space="preserve">strated is that </w:t>
      </w:r>
      <w:proofErr w:type="spellStart"/>
      <w:r>
        <w:t>behavioural</w:t>
      </w:r>
      <w:proofErr w:type="spellEnd"/>
      <w:r>
        <w:t xml:space="preserve"> intervention reliably changes parenting </w:t>
      </w:r>
      <w:proofErr w:type="spellStart"/>
      <w:r>
        <w:t>behaviour</w:t>
      </w:r>
      <w:proofErr w:type="spellEnd"/>
      <w:r>
        <w:t xml:space="preserve"> and reduces oppositional and conduct difficulties, and that its effect on core inattention and hyperactivity is not detectable once rater expectancy is controlled. Those are diff</w:t>
      </w:r>
      <w:r>
        <w:t xml:space="preserve">erent clinical claims with different implications for how such interventions should be offered and what families should be told to expect. Individual participant data meta-analysis of nineteen </w:t>
      </w:r>
      <w:proofErr w:type="spellStart"/>
      <w:r>
        <w:t>randomised</w:t>
      </w:r>
      <w:proofErr w:type="spellEnd"/>
      <w:r>
        <w:t xml:space="preserve"> trials including 1,720 children has begun to specify</w:t>
      </w:r>
      <w:r>
        <w:t xml:space="preserve"> mechanism, finding that improvements in constructive parenting, non-constructive parenting and parent-child affection jointly accounted for concurrent improvements in child ADHD severity, oppositional </w:t>
      </w:r>
      <w:proofErr w:type="spellStart"/>
      <w:r>
        <w:t>behaviour</w:t>
      </w:r>
      <w:proofErr w:type="spellEnd"/>
      <w:r>
        <w:t xml:space="preserve"> and functional impairment, with reductions i</w:t>
      </w:r>
      <w:r>
        <w:t>n non-constructive parenting particularly important in families with higher baseline levels of it (</w:t>
      </w:r>
      <w:proofErr w:type="spellStart"/>
      <w:r>
        <w:t>Psyllou</w:t>
      </w:r>
      <w:proofErr w:type="spellEnd"/>
      <w:r>
        <w:t xml:space="preserve"> et al., 2025). The authors note appropriately that the direction of causality between parenting change and child change cannot be established from th</w:t>
      </w:r>
      <w:r>
        <w:t>ese data, since reversing the modelled pathways produced comparable fit.</w:t>
      </w:r>
    </w:p>
    <w:p w14:paraId="7DA0AD10" w14:textId="77777777" w:rsidR="001157F7" w:rsidRDefault="002C716A" w:rsidP="00B71AE8">
      <w:pPr>
        <w:pStyle w:val="BodyText"/>
        <w:spacing w:before="100" w:beforeAutospacing="1" w:after="100" w:afterAutospacing="1" w:line="240" w:lineRule="auto"/>
      </w:pPr>
      <w:r>
        <w:t xml:space="preserve">School-based provision has been less rigorously evaluated. Meta-analysis of school-based social skills interventions for young people with ADHD </w:t>
      </w:r>
      <w:proofErr w:type="spellStart"/>
      <w:r>
        <w:t>synthesises</w:t>
      </w:r>
      <w:proofErr w:type="spellEnd"/>
      <w:r>
        <w:t xml:space="preserve"> a literature in which outco</w:t>
      </w:r>
      <w:r>
        <w:t>me raters are frequently the teachers delivering or observing the intervention (Bussanich et al., 2026), which reproduces the blinding vulnerability documented in the parenting literature without the corrective of parallel blinded analysis.</w:t>
      </w:r>
    </w:p>
    <w:p w14:paraId="181C36ED" w14:textId="77777777" w:rsidR="001157F7" w:rsidRDefault="002C716A" w:rsidP="00B71AE8">
      <w:pPr>
        <w:pStyle w:val="Heading3"/>
        <w:spacing w:before="100" w:beforeAutospacing="1" w:after="100" w:afterAutospacing="1" w:line="240" w:lineRule="auto"/>
      </w:pPr>
      <w:bookmarkStart w:id="40" w:name="Xb94f52ec92ef87c63d26eba7fca685463afeeaa"/>
      <w:bookmarkEnd w:id="39"/>
      <w:r>
        <w:t>6.2 Neurofeedba</w:t>
      </w:r>
      <w:r>
        <w:t>ck and Non-Invasive Brain Stimulation</w:t>
      </w:r>
    </w:p>
    <w:p w14:paraId="0D73DC2C" w14:textId="77777777" w:rsidR="001157F7" w:rsidRDefault="002C716A" w:rsidP="00B71AE8">
      <w:pPr>
        <w:pStyle w:val="FirstParagraph"/>
        <w:spacing w:before="100" w:beforeAutospacing="1" w:after="100" w:afterAutospacing="1" w:line="240" w:lineRule="auto"/>
      </w:pPr>
      <w:r>
        <w:t>Neurofeedback has been the subject of successive meta-analyses whose trajectory illustrates the value of insisting on blinded outcomes. An early synthesis found effects on parent-rated symptoms that did not survive restriction to probably blinded raters (C</w:t>
      </w:r>
      <w:r>
        <w:t xml:space="preserve">ortese et al., 2016). A </w:t>
      </w:r>
      <w:r>
        <w:lastRenderedPageBreak/>
        <w:t>large double-blind placebo-controlled trial with thirteen-month follow-up subsequently provided the individual-trial evidence the field had lacked (Neurofeedback Collaborative Group, 2021). The most recent and most rigorous synthesi</w:t>
      </w:r>
      <w:r>
        <w:t xml:space="preserve">s, comprising thirty-eight </w:t>
      </w:r>
      <w:proofErr w:type="spellStart"/>
      <w:r>
        <w:t>randomised</w:t>
      </w:r>
      <w:proofErr w:type="spellEnd"/>
      <w:r>
        <w:t xml:space="preserve"> trials with 2,472 participants aged five to forty years, found no significant improvement in probably blinded ratings of total ADHD symptoms, with a </w:t>
      </w:r>
      <w:proofErr w:type="spellStart"/>
      <w:r>
        <w:t>standardised</w:t>
      </w:r>
      <w:proofErr w:type="spellEnd"/>
      <w:r>
        <w:t xml:space="preserve"> mean difference of 0.04 and a confidence interval spanni</w:t>
      </w:r>
      <w:r>
        <w:t xml:space="preserve">ng zero (Westwood et al., 2025). A small significant improvement emerged when analysis was restricted to the nine trials using established standard protocols, with a </w:t>
      </w:r>
      <w:proofErr w:type="spellStart"/>
      <w:r>
        <w:t>standardised</w:t>
      </w:r>
      <w:proofErr w:type="spellEnd"/>
      <w:r>
        <w:t xml:space="preserve"> mean difference of 0.21, and among five neuropsychological outcomes only proc</w:t>
      </w:r>
      <w:r>
        <w:t>essing speed improved significantly. The authors concluded that neurofeedback did not appear to benefit individuals with ADHD meaningfully at group level.</w:t>
      </w:r>
    </w:p>
    <w:p w14:paraId="30D22EB2" w14:textId="77777777" w:rsidR="001157F7" w:rsidRDefault="002C716A" w:rsidP="00B71AE8">
      <w:pPr>
        <w:pStyle w:val="BodyText"/>
        <w:spacing w:before="100" w:beforeAutospacing="1" w:after="100" w:afterAutospacing="1" w:line="240" w:lineRule="auto"/>
      </w:pPr>
      <w:r>
        <w:t xml:space="preserve">The residual signal for standard protocols is worth taking seriously without overstating it. A </w:t>
      </w:r>
      <w:proofErr w:type="spellStart"/>
      <w:r>
        <w:t>standa</w:t>
      </w:r>
      <w:r>
        <w:t>rdised</w:t>
      </w:r>
      <w:proofErr w:type="spellEnd"/>
      <w:r>
        <w:t xml:space="preserve"> mean difference of 0.21 restricted to a subset of trials defined post hoc is a hypothesis about which protocols merit further testing, not a demonstration of efficacy, and it should be evaluated in prospectively designed trials using only those prot</w:t>
      </w:r>
      <w:r>
        <w:t xml:space="preserve">ocols. A recent network meta-analysis of digital interventions that ranked neurofeedback highest for inattention on the basis of subjective </w:t>
      </w:r>
      <w:proofErr w:type="spellStart"/>
      <w:r>
        <w:t>behavioural</w:t>
      </w:r>
      <w:proofErr w:type="spellEnd"/>
      <w:r>
        <w:t xml:space="preserve"> rating scales (Mei et al., 2026) illustrates the hazard of ranking analyses that do not condition on rat</w:t>
      </w:r>
      <w:r>
        <w:t>er blinding, since it reaches a conclusion opposite to that of the blinded-outcome synthesis on the same intervention.</w:t>
      </w:r>
    </w:p>
    <w:p w14:paraId="0A562AAC" w14:textId="77777777" w:rsidR="001157F7" w:rsidRDefault="002C716A" w:rsidP="00B71AE8">
      <w:pPr>
        <w:pStyle w:val="BodyText"/>
        <w:spacing w:before="100" w:beforeAutospacing="1" w:after="100" w:afterAutospacing="1" w:line="240" w:lineRule="auto"/>
      </w:pPr>
      <w:r>
        <w:t xml:space="preserve">Non-invasive brain stimulation is at an earlier stage and the evidence is genuinely mixed. Meta-analysis of thirty-three </w:t>
      </w:r>
      <w:proofErr w:type="spellStart"/>
      <w:r>
        <w:t>randomised</w:t>
      </w:r>
      <w:proofErr w:type="spellEnd"/>
      <w:r>
        <w:t xml:space="preserve"> trial</w:t>
      </w:r>
      <w:r>
        <w:t>s including 1,049 participants with ADHD found that repetitive transcranial magnetic stimulation was associated with reduced inattention with a Hedges’ g of −1.44 and reduced hyperactivity and impulsivity with a g of −0.95, while transcranial direct curren</w:t>
      </w:r>
      <w:r>
        <w:t xml:space="preserve">t stimulation showed smaller benefits for hyperactivity and impulsivity with a g of −0.28 and for inhibitory control with a g of 0.39 (Chen, Pan, et al., 2026). Tolerability was </w:t>
      </w:r>
      <w:proofErr w:type="spellStart"/>
      <w:r>
        <w:t>favourable</w:t>
      </w:r>
      <w:proofErr w:type="spellEnd"/>
      <w:r>
        <w:t xml:space="preserve"> and no dose-response relationship was identified for either modalit</w:t>
      </w:r>
      <w:r>
        <w:t xml:space="preserve">y. A separate meta-analysis restricted to sham-controlled trials of transcranial direct current stimulation examined </w:t>
      </w:r>
      <w:proofErr w:type="spellStart"/>
      <w:r>
        <w:t>behavioural</w:t>
      </w:r>
      <w:proofErr w:type="spellEnd"/>
      <w:r>
        <w:t xml:space="preserve"> outcomes both immediately after intervention and at follow-up (Tung et al., 2025). The magnetic stimulation effect sizes are im</w:t>
      </w:r>
      <w:r>
        <w:t xml:space="preserve">plausibly large relative to those of established pharmacological treatment and derive from only seven </w:t>
      </w:r>
      <w:proofErr w:type="spellStart"/>
      <w:r>
        <w:t>randomised</w:t>
      </w:r>
      <w:proofErr w:type="spellEnd"/>
      <w:r>
        <w:t xml:space="preserve"> trials, which is the pattern characteristic of small-study effects in an emerging literature. The appropriate inference is that these technique</w:t>
      </w:r>
      <w:r>
        <w:t>s are tolerable and that the evidence remains inconclusive, which is the conclusion the meta-analytic authors themselves reach.</w:t>
      </w:r>
    </w:p>
    <w:p w14:paraId="26AFD151" w14:textId="77777777" w:rsidR="001157F7" w:rsidRDefault="002C716A" w:rsidP="00B71AE8">
      <w:pPr>
        <w:pStyle w:val="Heading3"/>
        <w:spacing w:before="100" w:beforeAutospacing="1" w:after="100" w:afterAutospacing="1" w:line="240" w:lineRule="auto"/>
      </w:pPr>
      <w:bookmarkStart w:id="41" w:name="Xa971e661c722ea75446ac99444ff73cc611ed50"/>
      <w:bookmarkEnd w:id="40"/>
      <w:r>
        <w:t>6.3 Physical Activity, Sleep and Dietary Approaches</w:t>
      </w:r>
    </w:p>
    <w:p w14:paraId="41FDD92E" w14:textId="77777777" w:rsidR="001157F7" w:rsidRDefault="002C716A" w:rsidP="00B71AE8">
      <w:pPr>
        <w:pStyle w:val="FirstParagraph"/>
        <w:spacing w:before="100" w:beforeAutospacing="1" w:after="100" w:afterAutospacing="1" w:line="240" w:lineRule="auto"/>
      </w:pPr>
      <w:r>
        <w:t xml:space="preserve">Exercise interventions have been examined with increasing methodological ambition, including analyses seeking optimal prescription parameters for children with ADHD (Chen, Shi, et al., 2026). This literature carries the same limitation as the </w:t>
      </w:r>
      <w:proofErr w:type="spellStart"/>
      <w:r>
        <w:t>behavioural</w:t>
      </w:r>
      <w:proofErr w:type="spellEnd"/>
      <w:r>
        <w:t xml:space="preserve"> f</w:t>
      </w:r>
      <w:r>
        <w:t>ield, since group-delivered active interventions cannot be blinded from participants and are seldom evaluated by blinded raters, compounded by control conditions ranging from waiting list to active alternative activity in ways that materially affect the es</w:t>
      </w:r>
      <w:r>
        <w:t>timated effect.</w:t>
      </w:r>
    </w:p>
    <w:p w14:paraId="4281A1DD" w14:textId="77777777" w:rsidR="001157F7" w:rsidRDefault="002C716A" w:rsidP="00B71AE8">
      <w:pPr>
        <w:pStyle w:val="BodyText"/>
        <w:spacing w:before="100" w:beforeAutospacing="1" w:after="100" w:afterAutospacing="1" w:line="240" w:lineRule="auto"/>
      </w:pPr>
      <w:r>
        <w:t xml:space="preserve">Sleep occupies an unusual position because it is simultaneously a comorbidity, a differential diagnosis and a treatment target. Meta-analysis confirms sleep dysregulation in children with </w:t>
      </w:r>
      <w:r>
        <w:lastRenderedPageBreak/>
        <w:t>ADHD across multiple parameters (Xian et al., 2025).</w:t>
      </w:r>
      <w:r>
        <w:t xml:space="preserve"> Intervention evidence indicates that </w:t>
      </w:r>
      <w:proofErr w:type="spellStart"/>
      <w:r>
        <w:t>behavioural</w:t>
      </w:r>
      <w:proofErr w:type="spellEnd"/>
      <w:r>
        <w:t xml:space="preserve"> sleep interventions reduce sleep disturbance with a </w:t>
      </w:r>
      <w:proofErr w:type="spellStart"/>
      <w:r>
        <w:t>standardised</w:t>
      </w:r>
      <w:proofErr w:type="spellEnd"/>
      <w:r>
        <w:t xml:space="preserve"> mean difference of −0.48, that hypnotic medication shortens sleep onset latency, and that neither ADHD medication alone nor hypnotics signifi</w:t>
      </w:r>
      <w:r>
        <w:t xml:space="preserve">cantly reduced overall sleep disturbance, with no significant effects identified on sleep efficiency, sleep duration or daytime sleepiness (Fang et al., 2026). This is a domain in which the intervention with the strongest evidence is </w:t>
      </w:r>
      <w:proofErr w:type="spellStart"/>
      <w:r>
        <w:t>behavioural</w:t>
      </w:r>
      <w:proofErr w:type="spellEnd"/>
      <w:r>
        <w:t xml:space="preserve"> and the ou</w:t>
      </w:r>
      <w:r>
        <w:t>tcome is objectively measurable, which makes it methodologically stronger than most of the non-pharmacological field.</w:t>
      </w:r>
    </w:p>
    <w:p w14:paraId="022B6133" w14:textId="77777777" w:rsidR="001157F7" w:rsidRDefault="002C716A" w:rsidP="00B71AE8">
      <w:pPr>
        <w:pStyle w:val="BodyText"/>
        <w:spacing w:before="100" w:beforeAutospacing="1" w:after="100" w:afterAutospacing="1" w:line="240" w:lineRule="auto"/>
      </w:pPr>
      <w:r>
        <w:t>Dietary supplementation with omega-3 polyunsaturated fatty acids has been studied extensively with consistently modest results, and earlie</w:t>
      </w:r>
      <w:r>
        <w:t xml:space="preserve">r synthesis combined clinical trial evidence with biological studies of fatty acid status in youths with ADHD (Chang et al., 2018). More recent work has stratified supplementation response by baseline nutritional status (Fu et al., 2026), which represents </w:t>
      </w:r>
      <w:r>
        <w:t xml:space="preserve">the appropriate response to a literature in which small average effects may conceal larger effects in a deficient subgroup. Stratified analyses of this kind require prospective replication before they can guide practice, since baseline-stratified subgroup </w:t>
      </w:r>
      <w:r>
        <w:t>effects derived retrospectively are a well-</w:t>
      </w:r>
      <w:proofErr w:type="spellStart"/>
      <w:r>
        <w:t>recognised</w:t>
      </w:r>
      <w:proofErr w:type="spellEnd"/>
      <w:r>
        <w:t xml:space="preserve"> source of irreproducible findings.</w:t>
      </w:r>
    </w:p>
    <w:p w14:paraId="553C80B2" w14:textId="77777777" w:rsidR="001157F7" w:rsidRDefault="002C716A" w:rsidP="00B71AE8">
      <w:pPr>
        <w:pStyle w:val="Heading3"/>
        <w:spacing w:before="100" w:beforeAutospacing="1" w:after="100" w:afterAutospacing="1" w:line="240" w:lineRule="auto"/>
      </w:pPr>
      <w:bookmarkStart w:id="42" w:name="X8e45efdf1fc082f6b44659fb066c1f6f4abdaa2"/>
      <w:bookmarkEnd w:id="41"/>
      <w:r>
        <w:t>6.4 Cognitive Training and Digital Therapeutics</w:t>
      </w:r>
    </w:p>
    <w:p w14:paraId="0D221C17" w14:textId="77777777" w:rsidR="001157F7" w:rsidRDefault="002C716A" w:rsidP="00B71AE8">
      <w:pPr>
        <w:pStyle w:val="FirstParagraph"/>
        <w:spacing w:before="100" w:beforeAutospacing="1" w:after="100" w:afterAutospacing="1" w:line="240" w:lineRule="auto"/>
      </w:pPr>
      <w:r>
        <w:t>Cognitive training was subjected to blinded-outcome meta-analysis relatively early, with results showing improvement on</w:t>
      </w:r>
      <w:r>
        <w:t xml:space="preserve"> trained tasks and limited transfer to blinded ratings of ADHD symptoms (Cortese et al., 2015). The digital therapeutic literature has largely repeated this trajectory with better production values. The trial supporting regulatory approval of a video-game-</w:t>
      </w:r>
      <w:r>
        <w:t xml:space="preserve">based intervention </w:t>
      </w:r>
      <w:proofErr w:type="spellStart"/>
      <w:r>
        <w:t>randomised</w:t>
      </w:r>
      <w:proofErr w:type="spellEnd"/>
      <w:r>
        <w:t xml:space="preserve"> 348 children aged eight to twelve years and found a statistically significant improvement in the primary outcome, a </w:t>
      </w:r>
      <w:proofErr w:type="spellStart"/>
      <w:r>
        <w:t>computerised</w:t>
      </w:r>
      <w:proofErr w:type="spellEnd"/>
      <w:r>
        <w:t xml:space="preserve"> attention performance index, with a population median change of 0.88 (Kollins et al., 2020). Adve</w:t>
      </w:r>
      <w:r>
        <w:t>rse events were minimal and compliance was high. The primary outcome was a laboratory attention measure rather than a clinical or functional endpoint, no significant effect on parent- or clinician-rated ADHD symptoms was established as a primary result, an</w:t>
      </w:r>
      <w:r>
        <w:t xml:space="preserve">d the study was sponsored by the developer. These features do not invalidate the trial, which was well conducted and double-blind, but they define what it demonstrates: improvement on a </w:t>
      </w:r>
      <w:proofErr w:type="spellStart"/>
      <w:r>
        <w:t>computerised</w:t>
      </w:r>
      <w:proofErr w:type="spellEnd"/>
      <w:r>
        <w:t xml:space="preserve"> attention task following training on a </w:t>
      </w:r>
      <w:proofErr w:type="spellStart"/>
      <w:r>
        <w:t>computerised</w:t>
      </w:r>
      <w:proofErr w:type="spellEnd"/>
      <w:r>
        <w:t xml:space="preserve"> atten</w:t>
      </w:r>
      <w:r>
        <w:t>tion task.</w:t>
      </w:r>
    </w:p>
    <w:p w14:paraId="709C464A" w14:textId="77777777" w:rsidR="001157F7" w:rsidRDefault="002C716A" w:rsidP="00B71AE8">
      <w:pPr>
        <w:pStyle w:val="BodyText"/>
        <w:spacing w:before="100" w:beforeAutospacing="1" w:after="100" w:afterAutospacing="1" w:line="240" w:lineRule="auto"/>
      </w:pPr>
      <w:r>
        <w:t xml:space="preserve">Subsequent network meta-analysis of thirty-seven </w:t>
      </w:r>
      <w:proofErr w:type="spellStart"/>
      <w:r>
        <w:t>randomised</w:t>
      </w:r>
      <w:proofErr w:type="spellEnd"/>
      <w:r>
        <w:t xml:space="preserve"> trials with 2,922 participants reported that digital interventions improved inattention with a </w:t>
      </w:r>
      <w:proofErr w:type="spellStart"/>
      <w:r>
        <w:t>standardised</w:t>
      </w:r>
      <w:proofErr w:type="spellEnd"/>
      <w:r>
        <w:t xml:space="preserve"> mean difference of −0.44 and hyperactivity and impulsivity with a </w:t>
      </w:r>
      <w:proofErr w:type="spellStart"/>
      <w:r>
        <w:t>standardise</w:t>
      </w:r>
      <w:r>
        <w:t>d</w:t>
      </w:r>
      <w:proofErr w:type="spellEnd"/>
      <w:r>
        <w:t xml:space="preserve"> mean difference of −0.26, without a significant effect on executive function (Mei et al., 2026). The authors themselves counsel cautious interpretation given methodological heterogeneity and the limited number of included publications. Since the analysis</w:t>
      </w:r>
      <w:r>
        <w:t xml:space="preserve"> rests substantially on subjective </w:t>
      </w:r>
      <w:proofErr w:type="spellStart"/>
      <w:r>
        <w:t>behavioural</w:t>
      </w:r>
      <w:proofErr w:type="spellEnd"/>
      <w:r>
        <w:t xml:space="preserve"> rating scales, and since the field to which it belongs has repeatedly shown that unblinded ratings overstate effects that blinded ratings do not detect, these estimates should be treated as upper bounds pendin</w:t>
      </w:r>
      <w:r>
        <w:t>g replication with blinded outcome assessment.</w:t>
      </w:r>
    </w:p>
    <w:p w14:paraId="36417DF8" w14:textId="77777777" w:rsidR="001157F7" w:rsidRDefault="002C716A" w:rsidP="00B71AE8">
      <w:pPr>
        <w:pStyle w:val="BodyText"/>
        <w:spacing w:before="100" w:beforeAutospacing="1" w:after="100" w:afterAutospacing="1" w:line="240" w:lineRule="auto"/>
      </w:pPr>
      <w:r>
        <w:t xml:space="preserve">Table 5 arranges the non-pharmacological evidence according to whether effects survive restriction to probably blinded outcome assessment. The arrangement is deliberate, because it </w:t>
      </w:r>
      <w:r>
        <w:lastRenderedPageBreak/>
        <w:t>renders visible a pattern th</w:t>
      </w:r>
      <w:r>
        <w:t xml:space="preserve">at intervention-by-intervention reporting conceals: across </w:t>
      </w:r>
      <w:proofErr w:type="spellStart"/>
      <w:r>
        <w:t>behavioural</w:t>
      </w:r>
      <w:proofErr w:type="spellEnd"/>
      <w:r>
        <w:t xml:space="preserve">, </w:t>
      </w:r>
      <w:proofErr w:type="spellStart"/>
      <w:r>
        <w:t>neurofeedback</w:t>
      </w:r>
      <w:proofErr w:type="spellEnd"/>
      <w:r>
        <w:t>, cognitive training and digital domains, unblinded estimates cluster in the small-to-moderate range while blinded estimates for core ADHD symptoms cluster near zero, with</w:t>
      </w:r>
      <w:r>
        <w:t xml:space="preserve"> the exceptions occurring where the outcome is objectively measurable, as in sleep, or where the target is not core symptoms, as in parenting and conduct. The table should not be read as ranking interventions by usefulness, since an intervention that impro</w:t>
      </w:r>
      <w:r>
        <w:t>ves parenting or sleep without changing inattention may still be the right clinical choice for a particular family.</w:t>
      </w:r>
    </w:p>
    <w:p w14:paraId="098A5AF4" w14:textId="77777777" w:rsidR="001157F7" w:rsidRDefault="002C716A" w:rsidP="00B71AE8">
      <w:pPr>
        <w:pStyle w:val="BodyText"/>
        <w:spacing w:before="100" w:beforeAutospacing="1" w:after="100" w:afterAutospacing="1" w:line="240" w:lineRule="auto"/>
      </w:pPr>
      <w:r>
        <w:rPr>
          <w:b/>
          <w:bCs/>
        </w:rPr>
        <w:t>Table 5.</w:t>
      </w:r>
      <w:r>
        <w:t xml:space="preserve"> Non-pharmacological interventions in </w:t>
      </w:r>
      <w:proofErr w:type="spellStart"/>
      <w:r>
        <w:t>paediatric</w:t>
      </w:r>
      <w:proofErr w:type="spellEnd"/>
      <w:r>
        <w:t xml:space="preserve"> ADHD: effects by outcome-rater blinding status</w:t>
      </w:r>
    </w:p>
    <w:tbl>
      <w:tblPr>
        <w:tblStyle w:val="TableGrid"/>
        <w:tblW w:w="5000" w:type="pct"/>
        <w:tblLook w:val="0020" w:firstRow="1" w:lastRow="0" w:firstColumn="0" w:lastColumn="0" w:noHBand="0" w:noVBand="0"/>
      </w:tblPr>
      <w:tblGrid>
        <w:gridCol w:w="1638"/>
        <w:gridCol w:w="1423"/>
        <w:gridCol w:w="1375"/>
        <w:gridCol w:w="1901"/>
        <w:gridCol w:w="1709"/>
        <w:gridCol w:w="1530"/>
      </w:tblGrid>
      <w:tr w:rsidR="001157F7" w14:paraId="39B6C078" w14:textId="77777777" w:rsidTr="00B71AE8">
        <w:tc>
          <w:tcPr>
            <w:tcW w:w="0" w:type="auto"/>
          </w:tcPr>
          <w:p w14:paraId="1BCFFD89" w14:textId="77777777" w:rsidR="001157F7" w:rsidRDefault="002C716A" w:rsidP="00B71AE8">
            <w:pPr>
              <w:pStyle w:val="Compact"/>
              <w:spacing w:before="100" w:beforeAutospacing="1" w:after="100" w:afterAutospacing="1"/>
              <w:jc w:val="left"/>
            </w:pPr>
            <w:r>
              <w:t>Intervention</w:t>
            </w:r>
          </w:p>
        </w:tc>
        <w:tc>
          <w:tcPr>
            <w:tcW w:w="0" w:type="auto"/>
          </w:tcPr>
          <w:p w14:paraId="153E41C5" w14:textId="77777777" w:rsidR="001157F7" w:rsidRDefault="002C716A" w:rsidP="00B71AE8">
            <w:pPr>
              <w:pStyle w:val="Compact"/>
              <w:spacing w:before="100" w:beforeAutospacing="1" w:after="100" w:afterAutospacing="1"/>
              <w:jc w:val="left"/>
            </w:pPr>
            <w:r>
              <w:t>Effect on core ADHD sym</w:t>
            </w:r>
            <w:r>
              <w:t>ptoms, unblinded or proximal raters</w:t>
            </w:r>
          </w:p>
        </w:tc>
        <w:tc>
          <w:tcPr>
            <w:tcW w:w="0" w:type="auto"/>
          </w:tcPr>
          <w:p w14:paraId="106DE39B" w14:textId="77777777" w:rsidR="001157F7" w:rsidRDefault="002C716A" w:rsidP="00B71AE8">
            <w:pPr>
              <w:pStyle w:val="Compact"/>
              <w:spacing w:before="100" w:beforeAutospacing="1" w:after="100" w:afterAutospacing="1"/>
              <w:jc w:val="left"/>
            </w:pPr>
            <w:r>
              <w:t>Effect on core ADHD symptoms, probably blinded raters</w:t>
            </w:r>
          </w:p>
        </w:tc>
        <w:tc>
          <w:tcPr>
            <w:tcW w:w="0" w:type="auto"/>
          </w:tcPr>
          <w:p w14:paraId="62C17E42" w14:textId="77777777" w:rsidR="001157F7" w:rsidRDefault="002C716A" w:rsidP="00B71AE8">
            <w:pPr>
              <w:pStyle w:val="Compact"/>
              <w:spacing w:before="100" w:beforeAutospacing="1" w:after="100" w:afterAutospacing="1"/>
              <w:jc w:val="left"/>
            </w:pPr>
            <w:r>
              <w:t>Effect on non-core outcomes</w:t>
            </w:r>
          </w:p>
        </w:tc>
        <w:tc>
          <w:tcPr>
            <w:tcW w:w="0" w:type="auto"/>
          </w:tcPr>
          <w:p w14:paraId="341598B9" w14:textId="77777777" w:rsidR="001157F7" w:rsidRDefault="002C716A" w:rsidP="00B71AE8">
            <w:pPr>
              <w:pStyle w:val="Compact"/>
              <w:spacing w:before="100" w:beforeAutospacing="1" w:after="100" w:afterAutospacing="1"/>
              <w:jc w:val="left"/>
            </w:pPr>
            <w:r>
              <w:t>Principal limitation</w:t>
            </w:r>
          </w:p>
        </w:tc>
        <w:tc>
          <w:tcPr>
            <w:tcW w:w="0" w:type="auto"/>
          </w:tcPr>
          <w:p w14:paraId="3B90B684" w14:textId="77777777" w:rsidR="001157F7" w:rsidRDefault="002C716A" w:rsidP="00B71AE8">
            <w:pPr>
              <w:pStyle w:val="Compact"/>
              <w:spacing w:before="100" w:beforeAutospacing="1" w:after="100" w:afterAutospacing="1"/>
              <w:jc w:val="left"/>
            </w:pPr>
            <w:r>
              <w:t>Supporting references</w:t>
            </w:r>
          </w:p>
        </w:tc>
      </w:tr>
      <w:tr w:rsidR="001157F7" w14:paraId="33E208D7" w14:textId="77777777" w:rsidTr="00B71AE8">
        <w:tc>
          <w:tcPr>
            <w:tcW w:w="0" w:type="auto"/>
          </w:tcPr>
          <w:p w14:paraId="33027F41" w14:textId="77777777" w:rsidR="001157F7" w:rsidRDefault="002C716A" w:rsidP="00B71AE8">
            <w:pPr>
              <w:pStyle w:val="Compact"/>
              <w:spacing w:before="100" w:beforeAutospacing="1" w:after="100" w:afterAutospacing="1"/>
              <w:jc w:val="left"/>
            </w:pPr>
            <w:proofErr w:type="spellStart"/>
            <w:r>
              <w:t>Behavioural</w:t>
            </w:r>
            <w:proofErr w:type="spellEnd"/>
            <w:r>
              <w:t xml:space="preserve"> and parenting interventions</w:t>
            </w:r>
          </w:p>
        </w:tc>
        <w:tc>
          <w:tcPr>
            <w:tcW w:w="0" w:type="auto"/>
          </w:tcPr>
          <w:p w14:paraId="01D8BB48" w14:textId="77777777" w:rsidR="001157F7" w:rsidRDefault="002C716A" w:rsidP="00B71AE8">
            <w:pPr>
              <w:pStyle w:val="Compact"/>
              <w:spacing w:before="100" w:beforeAutospacing="1" w:after="100" w:afterAutospacing="1"/>
              <w:jc w:val="left"/>
            </w:pPr>
            <w:r>
              <w:t>SMD 0.35 for child ADHD symptoms</w:t>
            </w:r>
          </w:p>
        </w:tc>
        <w:tc>
          <w:tcPr>
            <w:tcW w:w="0" w:type="auto"/>
          </w:tcPr>
          <w:p w14:paraId="72956463" w14:textId="77777777" w:rsidR="001157F7" w:rsidRDefault="002C716A" w:rsidP="00B71AE8">
            <w:pPr>
              <w:pStyle w:val="Compact"/>
              <w:spacing w:before="100" w:beforeAutospacing="1" w:after="100" w:afterAutospacing="1"/>
              <w:jc w:val="left"/>
            </w:pPr>
            <w:r>
              <w:t>Not significant</w:t>
            </w:r>
          </w:p>
        </w:tc>
        <w:tc>
          <w:tcPr>
            <w:tcW w:w="0" w:type="auto"/>
          </w:tcPr>
          <w:p w14:paraId="683922C0" w14:textId="77777777" w:rsidR="001157F7" w:rsidRDefault="002C716A" w:rsidP="00B71AE8">
            <w:pPr>
              <w:pStyle w:val="Compact"/>
              <w:spacing w:before="100" w:beforeAutospacing="1" w:after="100" w:afterAutospacing="1"/>
              <w:jc w:val="left"/>
            </w:pPr>
            <w:r>
              <w:t>Positive parenting SMD 0.63, negative parenting SMD 0.43, conduct problems SMD 0.31 when blinded</w:t>
            </w:r>
          </w:p>
        </w:tc>
        <w:tc>
          <w:tcPr>
            <w:tcW w:w="0" w:type="auto"/>
          </w:tcPr>
          <w:p w14:paraId="72F7092C" w14:textId="77777777" w:rsidR="001157F7" w:rsidRDefault="002C716A" w:rsidP="00B71AE8">
            <w:pPr>
              <w:pStyle w:val="Compact"/>
              <w:spacing w:before="100" w:beforeAutospacing="1" w:after="100" w:afterAutospacing="1"/>
              <w:jc w:val="left"/>
            </w:pPr>
            <w:r>
              <w:t>Direction of causality between parenting and child change not established</w:t>
            </w:r>
          </w:p>
        </w:tc>
        <w:tc>
          <w:tcPr>
            <w:tcW w:w="0" w:type="auto"/>
          </w:tcPr>
          <w:p w14:paraId="0A27CCA2" w14:textId="77777777" w:rsidR="001157F7" w:rsidRDefault="002C716A" w:rsidP="00B71AE8">
            <w:pPr>
              <w:pStyle w:val="Compact"/>
              <w:spacing w:before="100" w:beforeAutospacing="1" w:after="100" w:afterAutospacing="1"/>
              <w:jc w:val="left"/>
            </w:pPr>
            <w:r>
              <w:t xml:space="preserve">Daley et al., 2014; </w:t>
            </w:r>
            <w:proofErr w:type="spellStart"/>
            <w:r>
              <w:t>Psyllou</w:t>
            </w:r>
            <w:proofErr w:type="spellEnd"/>
            <w:r>
              <w:t xml:space="preserve"> et al., 2025; </w:t>
            </w:r>
            <w:proofErr w:type="spellStart"/>
            <w:r>
              <w:t>Sonuga-Barke</w:t>
            </w:r>
            <w:proofErr w:type="spellEnd"/>
            <w:r>
              <w:t xml:space="preserve"> et al., 2013</w:t>
            </w:r>
          </w:p>
        </w:tc>
      </w:tr>
      <w:tr w:rsidR="001157F7" w14:paraId="31AF8350" w14:textId="77777777" w:rsidTr="00B71AE8">
        <w:tc>
          <w:tcPr>
            <w:tcW w:w="0" w:type="auto"/>
          </w:tcPr>
          <w:p w14:paraId="0179FD78" w14:textId="77777777" w:rsidR="001157F7" w:rsidRDefault="002C716A" w:rsidP="00B71AE8">
            <w:pPr>
              <w:pStyle w:val="Compact"/>
              <w:spacing w:before="100" w:beforeAutospacing="1" w:after="100" w:afterAutospacing="1"/>
              <w:jc w:val="left"/>
            </w:pPr>
            <w:r>
              <w:t>School-based soc</w:t>
            </w:r>
            <w:r>
              <w:t>ial skills interventions</w:t>
            </w:r>
          </w:p>
        </w:tc>
        <w:tc>
          <w:tcPr>
            <w:tcW w:w="0" w:type="auto"/>
          </w:tcPr>
          <w:p w14:paraId="3FFDA482" w14:textId="77777777" w:rsidR="001157F7" w:rsidRDefault="002C716A" w:rsidP="00B71AE8">
            <w:pPr>
              <w:pStyle w:val="Compact"/>
              <w:spacing w:before="100" w:beforeAutospacing="1" w:after="100" w:afterAutospacing="1"/>
              <w:jc w:val="left"/>
            </w:pPr>
            <w:r>
              <w:t xml:space="preserve">Reported benefits across social and </w:t>
            </w:r>
            <w:proofErr w:type="spellStart"/>
            <w:r>
              <w:t>behavioural</w:t>
            </w:r>
            <w:proofErr w:type="spellEnd"/>
            <w:r>
              <w:t xml:space="preserve"> domains</w:t>
            </w:r>
          </w:p>
        </w:tc>
        <w:tc>
          <w:tcPr>
            <w:tcW w:w="0" w:type="auto"/>
          </w:tcPr>
          <w:p w14:paraId="009CE6C0" w14:textId="77777777" w:rsidR="001157F7" w:rsidRDefault="002C716A" w:rsidP="00B71AE8">
            <w:pPr>
              <w:pStyle w:val="Compact"/>
              <w:spacing w:before="100" w:beforeAutospacing="1" w:after="100" w:afterAutospacing="1"/>
              <w:jc w:val="left"/>
            </w:pPr>
            <w:r>
              <w:t>Not separately reported</w:t>
            </w:r>
          </w:p>
        </w:tc>
        <w:tc>
          <w:tcPr>
            <w:tcW w:w="0" w:type="auto"/>
          </w:tcPr>
          <w:p w14:paraId="1E4CF253" w14:textId="77777777" w:rsidR="001157F7" w:rsidRDefault="002C716A" w:rsidP="00B71AE8">
            <w:pPr>
              <w:pStyle w:val="Compact"/>
              <w:spacing w:before="100" w:beforeAutospacing="1" w:after="100" w:afterAutospacing="1"/>
              <w:jc w:val="left"/>
            </w:pPr>
            <w:r>
              <w:t>Social skills outcomes; academic outcomes less consistently reported</w:t>
            </w:r>
          </w:p>
        </w:tc>
        <w:tc>
          <w:tcPr>
            <w:tcW w:w="0" w:type="auto"/>
          </w:tcPr>
          <w:p w14:paraId="08F911D4" w14:textId="77777777" w:rsidR="001157F7" w:rsidRDefault="002C716A" w:rsidP="00B71AE8">
            <w:pPr>
              <w:pStyle w:val="Compact"/>
              <w:spacing w:before="100" w:beforeAutospacing="1" w:after="100" w:afterAutospacing="1"/>
              <w:jc w:val="left"/>
            </w:pPr>
            <w:r>
              <w:t>Outcome raters frequently involved in delivery or observation of intervention</w:t>
            </w:r>
          </w:p>
        </w:tc>
        <w:tc>
          <w:tcPr>
            <w:tcW w:w="0" w:type="auto"/>
          </w:tcPr>
          <w:p w14:paraId="562DAF6B" w14:textId="77777777" w:rsidR="001157F7" w:rsidRDefault="002C716A" w:rsidP="00B71AE8">
            <w:pPr>
              <w:pStyle w:val="Compact"/>
              <w:spacing w:before="100" w:beforeAutospacing="1" w:after="100" w:afterAutospacing="1"/>
              <w:jc w:val="left"/>
            </w:pPr>
            <w:r>
              <w:t>Buss</w:t>
            </w:r>
            <w:r>
              <w:t>anich et al., 2026</w:t>
            </w:r>
          </w:p>
        </w:tc>
      </w:tr>
      <w:tr w:rsidR="001157F7" w14:paraId="48CF78F5" w14:textId="77777777" w:rsidTr="00B71AE8">
        <w:tc>
          <w:tcPr>
            <w:tcW w:w="0" w:type="auto"/>
          </w:tcPr>
          <w:p w14:paraId="354D515B" w14:textId="77777777" w:rsidR="001157F7" w:rsidRDefault="002C716A" w:rsidP="00B71AE8">
            <w:pPr>
              <w:pStyle w:val="Compact"/>
              <w:spacing w:before="100" w:beforeAutospacing="1" w:after="100" w:afterAutospacing="1"/>
              <w:jc w:val="left"/>
            </w:pPr>
            <w:r>
              <w:t>Neurofeedback</w:t>
            </w:r>
          </w:p>
        </w:tc>
        <w:tc>
          <w:tcPr>
            <w:tcW w:w="0" w:type="auto"/>
          </w:tcPr>
          <w:p w14:paraId="7236D9DC" w14:textId="77777777" w:rsidR="001157F7" w:rsidRDefault="002C716A" w:rsidP="00B71AE8">
            <w:pPr>
              <w:pStyle w:val="Compact"/>
              <w:spacing w:before="100" w:beforeAutospacing="1" w:after="100" w:afterAutospacing="1"/>
              <w:jc w:val="left"/>
            </w:pPr>
            <w:r>
              <w:t>Ranked highest for inattention in analyses based on subjective rating scales</w:t>
            </w:r>
          </w:p>
        </w:tc>
        <w:tc>
          <w:tcPr>
            <w:tcW w:w="0" w:type="auto"/>
          </w:tcPr>
          <w:p w14:paraId="3D50C9E7" w14:textId="77777777" w:rsidR="001157F7" w:rsidRDefault="002C716A" w:rsidP="00B71AE8">
            <w:pPr>
              <w:pStyle w:val="Compact"/>
              <w:spacing w:before="100" w:beforeAutospacing="1" w:after="100" w:afterAutospacing="1"/>
              <w:jc w:val="left"/>
            </w:pPr>
            <w:r>
              <w:t>SMD 0.04, not significant; SMD 0.21 in trials using standard protocols only</w:t>
            </w:r>
          </w:p>
        </w:tc>
        <w:tc>
          <w:tcPr>
            <w:tcW w:w="0" w:type="auto"/>
          </w:tcPr>
          <w:p w14:paraId="5F5E7BDB" w14:textId="77777777" w:rsidR="001157F7" w:rsidRDefault="002C716A" w:rsidP="00B71AE8">
            <w:pPr>
              <w:pStyle w:val="Compact"/>
              <w:spacing w:before="100" w:beforeAutospacing="1" w:after="100" w:afterAutospacing="1"/>
              <w:jc w:val="left"/>
            </w:pPr>
            <w:r>
              <w:t>Processing speed SMD 0.35; four other neuropsychological outcomes not</w:t>
            </w:r>
            <w:r>
              <w:t xml:space="preserve"> significant</w:t>
            </w:r>
          </w:p>
        </w:tc>
        <w:tc>
          <w:tcPr>
            <w:tcW w:w="0" w:type="auto"/>
          </w:tcPr>
          <w:p w14:paraId="46C271B3" w14:textId="77777777" w:rsidR="001157F7" w:rsidRDefault="002C716A" w:rsidP="00B71AE8">
            <w:pPr>
              <w:pStyle w:val="Compact"/>
              <w:spacing w:before="100" w:beforeAutospacing="1" w:after="100" w:afterAutospacing="1"/>
              <w:jc w:val="left"/>
            </w:pPr>
            <w:r>
              <w:t>Standard-protocol subgroup defined within the synthesis rather than prospectively</w:t>
            </w:r>
          </w:p>
        </w:tc>
        <w:tc>
          <w:tcPr>
            <w:tcW w:w="0" w:type="auto"/>
          </w:tcPr>
          <w:p w14:paraId="2C90C482" w14:textId="77777777" w:rsidR="001157F7" w:rsidRDefault="002C716A" w:rsidP="00B71AE8">
            <w:pPr>
              <w:pStyle w:val="Compact"/>
              <w:spacing w:before="100" w:beforeAutospacing="1" w:after="100" w:afterAutospacing="1"/>
              <w:jc w:val="left"/>
            </w:pPr>
            <w:r>
              <w:t>Cortese et al., 2016; Mei et al., 2026; Neurofeedback Collaborative Group, 2021; Westwood et al., 2025</w:t>
            </w:r>
          </w:p>
        </w:tc>
      </w:tr>
      <w:tr w:rsidR="001157F7" w14:paraId="15987056" w14:textId="77777777" w:rsidTr="00B71AE8">
        <w:tc>
          <w:tcPr>
            <w:tcW w:w="0" w:type="auto"/>
          </w:tcPr>
          <w:p w14:paraId="5A601EA7" w14:textId="77777777" w:rsidR="001157F7" w:rsidRDefault="002C716A" w:rsidP="00B71AE8">
            <w:pPr>
              <w:pStyle w:val="Compact"/>
              <w:spacing w:before="100" w:beforeAutospacing="1" w:after="100" w:afterAutospacing="1"/>
              <w:jc w:val="left"/>
            </w:pPr>
            <w:r>
              <w:t>Non-invasive brain stimulation</w:t>
            </w:r>
          </w:p>
        </w:tc>
        <w:tc>
          <w:tcPr>
            <w:tcW w:w="0" w:type="auto"/>
          </w:tcPr>
          <w:p w14:paraId="3484C9BB" w14:textId="77777777" w:rsidR="001157F7" w:rsidRDefault="002C716A" w:rsidP="00B71AE8">
            <w:pPr>
              <w:pStyle w:val="Compact"/>
              <w:spacing w:before="100" w:beforeAutospacing="1" w:after="100" w:afterAutospacing="1"/>
              <w:jc w:val="left"/>
            </w:pPr>
            <w:proofErr w:type="spellStart"/>
            <w:r>
              <w:t>rTMS</w:t>
            </w:r>
            <w:proofErr w:type="spellEnd"/>
            <w:r>
              <w:t xml:space="preserve"> Hedges’ g −1.44 inattention, </w:t>
            </w:r>
            <w:r>
              <w:lastRenderedPageBreak/>
              <w:t xml:space="preserve">−0.95 hyperactivity-impulsivity; </w:t>
            </w:r>
            <w:proofErr w:type="spellStart"/>
            <w:r>
              <w:t>tDCS</w:t>
            </w:r>
            <w:proofErr w:type="spellEnd"/>
            <w:r>
              <w:t xml:space="preserve"> g −0.28 hyperactivity-impulsivity</w:t>
            </w:r>
          </w:p>
        </w:tc>
        <w:tc>
          <w:tcPr>
            <w:tcW w:w="0" w:type="auto"/>
          </w:tcPr>
          <w:p w14:paraId="653BD556" w14:textId="77777777" w:rsidR="001157F7" w:rsidRDefault="002C716A" w:rsidP="00B71AE8">
            <w:pPr>
              <w:pStyle w:val="Compact"/>
              <w:spacing w:before="100" w:beforeAutospacing="1" w:after="100" w:afterAutospacing="1"/>
              <w:jc w:val="left"/>
            </w:pPr>
            <w:r>
              <w:lastRenderedPageBreak/>
              <w:t xml:space="preserve">Not separately </w:t>
            </w:r>
            <w:proofErr w:type="spellStart"/>
            <w:r>
              <w:t>synthesised</w:t>
            </w:r>
            <w:proofErr w:type="spellEnd"/>
          </w:p>
        </w:tc>
        <w:tc>
          <w:tcPr>
            <w:tcW w:w="0" w:type="auto"/>
          </w:tcPr>
          <w:p w14:paraId="43742C3E" w14:textId="77777777" w:rsidR="001157F7" w:rsidRDefault="002C716A" w:rsidP="00B71AE8">
            <w:pPr>
              <w:pStyle w:val="Compact"/>
              <w:spacing w:before="100" w:beforeAutospacing="1" w:after="100" w:afterAutospacing="1"/>
              <w:jc w:val="left"/>
            </w:pPr>
            <w:proofErr w:type="spellStart"/>
            <w:r>
              <w:t>tDCS</w:t>
            </w:r>
            <w:proofErr w:type="spellEnd"/>
            <w:r>
              <w:t xml:space="preserve"> inhibitory control g 0.39; </w:t>
            </w:r>
            <w:proofErr w:type="spellStart"/>
            <w:r>
              <w:t>favourable</w:t>
            </w:r>
            <w:proofErr w:type="spellEnd"/>
            <w:r>
              <w:t xml:space="preserve"> tolerability </w:t>
            </w:r>
            <w:r>
              <w:lastRenderedPageBreak/>
              <w:t>across modalities</w:t>
            </w:r>
          </w:p>
        </w:tc>
        <w:tc>
          <w:tcPr>
            <w:tcW w:w="0" w:type="auto"/>
          </w:tcPr>
          <w:p w14:paraId="5AD224DB" w14:textId="77777777" w:rsidR="001157F7" w:rsidRDefault="002C716A" w:rsidP="00B71AE8">
            <w:pPr>
              <w:pStyle w:val="Compact"/>
              <w:spacing w:before="100" w:beforeAutospacing="1" w:after="100" w:afterAutospacing="1"/>
              <w:jc w:val="left"/>
            </w:pPr>
            <w:proofErr w:type="spellStart"/>
            <w:r>
              <w:lastRenderedPageBreak/>
              <w:t>rTMS</w:t>
            </w:r>
            <w:proofErr w:type="spellEnd"/>
            <w:r>
              <w:t xml:space="preserve"> estimates from only 7 trials and </w:t>
            </w:r>
            <w:r>
              <w:lastRenderedPageBreak/>
              <w:t>implausibly lar</w:t>
            </w:r>
            <w:r>
              <w:t>ge relative to pharmacotherapy</w:t>
            </w:r>
          </w:p>
        </w:tc>
        <w:tc>
          <w:tcPr>
            <w:tcW w:w="0" w:type="auto"/>
          </w:tcPr>
          <w:p w14:paraId="4ADCD9B2" w14:textId="77777777" w:rsidR="001157F7" w:rsidRDefault="002C716A" w:rsidP="00B71AE8">
            <w:pPr>
              <w:pStyle w:val="Compact"/>
              <w:spacing w:before="100" w:beforeAutospacing="1" w:after="100" w:afterAutospacing="1"/>
              <w:jc w:val="left"/>
            </w:pPr>
            <w:r>
              <w:lastRenderedPageBreak/>
              <w:t>Chen, Pan, et al., 2026; Tung et al., 2025</w:t>
            </w:r>
          </w:p>
        </w:tc>
      </w:tr>
      <w:tr w:rsidR="001157F7" w14:paraId="1032469D" w14:textId="77777777" w:rsidTr="00B71AE8">
        <w:tc>
          <w:tcPr>
            <w:tcW w:w="0" w:type="auto"/>
          </w:tcPr>
          <w:p w14:paraId="141A5196" w14:textId="77777777" w:rsidR="001157F7" w:rsidRDefault="002C716A" w:rsidP="00B71AE8">
            <w:pPr>
              <w:pStyle w:val="Compact"/>
              <w:spacing w:before="100" w:beforeAutospacing="1" w:after="100" w:afterAutospacing="1"/>
              <w:jc w:val="left"/>
            </w:pPr>
            <w:r>
              <w:lastRenderedPageBreak/>
              <w:t>Physical activity</w:t>
            </w:r>
          </w:p>
        </w:tc>
        <w:tc>
          <w:tcPr>
            <w:tcW w:w="0" w:type="auto"/>
          </w:tcPr>
          <w:p w14:paraId="50B89FC3" w14:textId="77777777" w:rsidR="001157F7" w:rsidRDefault="002C716A" w:rsidP="00B71AE8">
            <w:pPr>
              <w:pStyle w:val="Compact"/>
              <w:spacing w:before="100" w:beforeAutospacing="1" w:after="100" w:afterAutospacing="1"/>
              <w:jc w:val="left"/>
            </w:pPr>
            <w:r>
              <w:t xml:space="preserve">Benefits reported across cognitive and </w:t>
            </w:r>
            <w:proofErr w:type="spellStart"/>
            <w:r>
              <w:t>behavioural</w:t>
            </w:r>
            <w:proofErr w:type="spellEnd"/>
            <w:r>
              <w:t xml:space="preserve"> outcomes</w:t>
            </w:r>
          </w:p>
        </w:tc>
        <w:tc>
          <w:tcPr>
            <w:tcW w:w="0" w:type="auto"/>
          </w:tcPr>
          <w:p w14:paraId="55D5E57D" w14:textId="77777777" w:rsidR="001157F7" w:rsidRDefault="002C716A" w:rsidP="00B71AE8">
            <w:pPr>
              <w:pStyle w:val="Compact"/>
              <w:spacing w:before="100" w:beforeAutospacing="1" w:after="100" w:afterAutospacing="1"/>
              <w:jc w:val="left"/>
            </w:pPr>
            <w:r>
              <w:t xml:space="preserve">Not separately </w:t>
            </w:r>
            <w:proofErr w:type="spellStart"/>
            <w:r>
              <w:t>synthesised</w:t>
            </w:r>
            <w:proofErr w:type="spellEnd"/>
          </w:p>
        </w:tc>
        <w:tc>
          <w:tcPr>
            <w:tcW w:w="0" w:type="auto"/>
          </w:tcPr>
          <w:p w14:paraId="09D1CA99" w14:textId="77777777" w:rsidR="001157F7" w:rsidRDefault="002C716A" w:rsidP="00B71AE8">
            <w:pPr>
              <w:pStyle w:val="Compact"/>
              <w:spacing w:before="100" w:beforeAutospacing="1" w:after="100" w:afterAutospacing="1"/>
              <w:jc w:val="left"/>
            </w:pPr>
            <w:r>
              <w:t>Prescription parameters under active investigation</w:t>
            </w:r>
          </w:p>
        </w:tc>
        <w:tc>
          <w:tcPr>
            <w:tcW w:w="0" w:type="auto"/>
          </w:tcPr>
          <w:p w14:paraId="50560F6C" w14:textId="77777777" w:rsidR="001157F7" w:rsidRDefault="002C716A" w:rsidP="00B71AE8">
            <w:pPr>
              <w:pStyle w:val="Compact"/>
              <w:spacing w:before="100" w:beforeAutospacing="1" w:after="100" w:afterAutospacing="1"/>
              <w:jc w:val="left"/>
            </w:pPr>
            <w:r>
              <w:t>Heterogeneous control con</w:t>
            </w:r>
            <w:r>
              <w:t>ditions; participants cannot be blinded</w:t>
            </w:r>
          </w:p>
        </w:tc>
        <w:tc>
          <w:tcPr>
            <w:tcW w:w="0" w:type="auto"/>
          </w:tcPr>
          <w:p w14:paraId="109A72C9" w14:textId="77777777" w:rsidR="001157F7" w:rsidRDefault="002C716A" w:rsidP="00B71AE8">
            <w:pPr>
              <w:pStyle w:val="Compact"/>
              <w:spacing w:before="100" w:beforeAutospacing="1" w:after="100" w:afterAutospacing="1"/>
              <w:jc w:val="left"/>
            </w:pPr>
            <w:r>
              <w:t>Chen, Shi, et al., 2026</w:t>
            </w:r>
          </w:p>
        </w:tc>
      </w:tr>
      <w:tr w:rsidR="001157F7" w14:paraId="370B593A" w14:textId="77777777" w:rsidTr="00B71AE8">
        <w:tc>
          <w:tcPr>
            <w:tcW w:w="0" w:type="auto"/>
          </w:tcPr>
          <w:p w14:paraId="73CBB459" w14:textId="77777777" w:rsidR="001157F7" w:rsidRDefault="002C716A" w:rsidP="00B71AE8">
            <w:pPr>
              <w:pStyle w:val="Compact"/>
              <w:spacing w:before="100" w:beforeAutospacing="1" w:after="100" w:afterAutospacing="1"/>
              <w:jc w:val="left"/>
            </w:pPr>
            <w:r>
              <w:t>Sleep interventions</w:t>
            </w:r>
          </w:p>
        </w:tc>
        <w:tc>
          <w:tcPr>
            <w:tcW w:w="0" w:type="auto"/>
          </w:tcPr>
          <w:p w14:paraId="68D2A6D3" w14:textId="77777777" w:rsidR="001157F7" w:rsidRDefault="002C716A" w:rsidP="00B71AE8">
            <w:pPr>
              <w:pStyle w:val="Compact"/>
              <w:spacing w:before="100" w:beforeAutospacing="1" w:after="100" w:afterAutospacing="1"/>
              <w:jc w:val="left"/>
            </w:pPr>
            <w:r>
              <w:t>Not the primary target</w:t>
            </w:r>
          </w:p>
        </w:tc>
        <w:tc>
          <w:tcPr>
            <w:tcW w:w="0" w:type="auto"/>
          </w:tcPr>
          <w:p w14:paraId="7456ED74" w14:textId="77777777" w:rsidR="001157F7" w:rsidRDefault="002C716A" w:rsidP="00B71AE8">
            <w:pPr>
              <w:pStyle w:val="Compact"/>
              <w:spacing w:before="100" w:beforeAutospacing="1" w:after="100" w:afterAutospacing="1"/>
              <w:jc w:val="left"/>
            </w:pPr>
            <w:r>
              <w:t>Not applicable</w:t>
            </w:r>
          </w:p>
        </w:tc>
        <w:tc>
          <w:tcPr>
            <w:tcW w:w="0" w:type="auto"/>
          </w:tcPr>
          <w:p w14:paraId="45E05E32" w14:textId="77777777" w:rsidR="001157F7" w:rsidRDefault="002C716A" w:rsidP="00B71AE8">
            <w:pPr>
              <w:pStyle w:val="Compact"/>
              <w:spacing w:before="100" w:beforeAutospacing="1" w:after="100" w:afterAutospacing="1"/>
              <w:jc w:val="left"/>
            </w:pPr>
            <w:proofErr w:type="spellStart"/>
            <w:r>
              <w:t>Behavioural</w:t>
            </w:r>
            <w:proofErr w:type="spellEnd"/>
            <w:r>
              <w:t xml:space="preserve"> sleep intervention SMD −0.48 for sleep disturbance; hypnotics shorten sleep onset latency; no effect on sleep efficiency, duration or daytime sleepiness</w:t>
            </w:r>
          </w:p>
        </w:tc>
        <w:tc>
          <w:tcPr>
            <w:tcW w:w="0" w:type="auto"/>
          </w:tcPr>
          <w:p w14:paraId="4B8A8319" w14:textId="77777777" w:rsidR="001157F7" w:rsidRDefault="002C716A" w:rsidP="00B71AE8">
            <w:pPr>
              <w:pStyle w:val="Compact"/>
              <w:spacing w:before="100" w:beforeAutospacing="1" w:after="100" w:afterAutospacing="1"/>
              <w:jc w:val="left"/>
            </w:pPr>
            <w:r>
              <w:t>ADHD medication alone did not significantly reduce sleep disturbance</w:t>
            </w:r>
          </w:p>
        </w:tc>
        <w:tc>
          <w:tcPr>
            <w:tcW w:w="0" w:type="auto"/>
          </w:tcPr>
          <w:p w14:paraId="1BD4353E" w14:textId="77777777" w:rsidR="001157F7" w:rsidRDefault="002C716A" w:rsidP="00B71AE8">
            <w:pPr>
              <w:pStyle w:val="Compact"/>
              <w:spacing w:before="100" w:beforeAutospacing="1" w:after="100" w:afterAutospacing="1"/>
              <w:jc w:val="left"/>
            </w:pPr>
            <w:r>
              <w:t>Fang et al., 2026; Xian et al., 2</w:t>
            </w:r>
            <w:r>
              <w:t>025</w:t>
            </w:r>
          </w:p>
        </w:tc>
      </w:tr>
      <w:tr w:rsidR="001157F7" w14:paraId="75BBC37D" w14:textId="77777777" w:rsidTr="00B71AE8">
        <w:tc>
          <w:tcPr>
            <w:tcW w:w="0" w:type="auto"/>
          </w:tcPr>
          <w:p w14:paraId="496AC768" w14:textId="77777777" w:rsidR="001157F7" w:rsidRDefault="002C716A" w:rsidP="00B71AE8">
            <w:pPr>
              <w:pStyle w:val="Compact"/>
              <w:spacing w:before="100" w:beforeAutospacing="1" w:after="100" w:afterAutospacing="1"/>
              <w:jc w:val="left"/>
            </w:pPr>
            <w:r>
              <w:t>Omega-3 supplementation</w:t>
            </w:r>
          </w:p>
        </w:tc>
        <w:tc>
          <w:tcPr>
            <w:tcW w:w="0" w:type="auto"/>
          </w:tcPr>
          <w:p w14:paraId="2070C99C" w14:textId="77777777" w:rsidR="001157F7" w:rsidRDefault="002C716A" w:rsidP="00B71AE8">
            <w:pPr>
              <w:pStyle w:val="Compact"/>
              <w:spacing w:before="100" w:beforeAutospacing="1" w:after="100" w:afterAutospacing="1"/>
              <w:jc w:val="left"/>
            </w:pPr>
            <w:r>
              <w:t>Small effects reported in earlier synthesis</w:t>
            </w:r>
          </w:p>
        </w:tc>
        <w:tc>
          <w:tcPr>
            <w:tcW w:w="0" w:type="auto"/>
          </w:tcPr>
          <w:p w14:paraId="21F31D92" w14:textId="77777777" w:rsidR="001157F7" w:rsidRDefault="002C716A" w:rsidP="00B71AE8">
            <w:pPr>
              <w:pStyle w:val="Compact"/>
              <w:spacing w:before="100" w:beforeAutospacing="1" w:after="100" w:afterAutospacing="1"/>
              <w:jc w:val="left"/>
            </w:pPr>
            <w:r>
              <w:t xml:space="preserve">Not separately </w:t>
            </w:r>
            <w:proofErr w:type="spellStart"/>
            <w:r>
              <w:t>synthesised</w:t>
            </w:r>
            <w:proofErr w:type="spellEnd"/>
          </w:p>
        </w:tc>
        <w:tc>
          <w:tcPr>
            <w:tcW w:w="0" w:type="auto"/>
          </w:tcPr>
          <w:p w14:paraId="06C230DA" w14:textId="77777777" w:rsidR="001157F7" w:rsidRDefault="002C716A" w:rsidP="00B71AE8">
            <w:pPr>
              <w:pStyle w:val="Compact"/>
              <w:spacing w:before="100" w:beforeAutospacing="1" w:after="100" w:afterAutospacing="1"/>
              <w:jc w:val="left"/>
            </w:pPr>
            <w:r>
              <w:t>Fatty acid status differences documented; response stratified by baseline status in recent work</w:t>
            </w:r>
          </w:p>
        </w:tc>
        <w:tc>
          <w:tcPr>
            <w:tcW w:w="0" w:type="auto"/>
          </w:tcPr>
          <w:p w14:paraId="62D8C142" w14:textId="77777777" w:rsidR="001157F7" w:rsidRDefault="002C716A" w:rsidP="00B71AE8">
            <w:pPr>
              <w:pStyle w:val="Compact"/>
              <w:spacing w:before="100" w:beforeAutospacing="1" w:after="100" w:afterAutospacing="1"/>
              <w:jc w:val="left"/>
            </w:pPr>
            <w:r>
              <w:t>Retrospectively derived baseline-stratified subgroup effects</w:t>
            </w:r>
            <w:r>
              <w:t xml:space="preserve"> require prospective replication</w:t>
            </w:r>
          </w:p>
        </w:tc>
        <w:tc>
          <w:tcPr>
            <w:tcW w:w="0" w:type="auto"/>
          </w:tcPr>
          <w:p w14:paraId="307AE54F" w14:textId="77777777" w:rsidR="001157F7" w:rsidRDefault="002C716A" w:rsidP="00B71AE8">
            <w:pPr>
              <w:pStyle w:val="Compact"/>
              <w:spacing w:before="100" w:beforeAutospacing="1" w:after="100" w:afterAutospacing="1"/>
              <w:jc w:val="left"/>
            </w:pPr>
            <w:r>
              <w:t>Chang et al., 2018; Fu et al., 2026</w:t>
            </w:r>
          </w:p>
        </w:tc>
      </w:tr>
      <w:tr w:rsidR="001157F7" w14:paraId="10CBA879" w14:textId="77777777" w:rsidTr="00B71AE8">
        <w:tc>
          <w:tcPr>
            <w:tcW w:w="0" w:type="auto"/>
          </w:tcPr>
          <w:p w14:paraId="3F4790AA" w14:textId="77777777" w:rsidR="001157F7" w:rsidRDefault="002C716A" w:rsidP="00B71AE8">
            <w:pPr>
              <w:pStyle w:val="Compact"/>
              <w:spacing w:before="100" w:beforeAutospacing="1" w:after="100" w:afterAutospacing="1"/>
              <w:jc w:val="left"/>
            </w:pPr>
            <w:r>
              <w:t>Cognitive training and digital therapeutics</w:t>
            </w:r>
          </w:p>
        </w:tc>
        <w:tc>
          <w:tcPr>
            <w:tcW w:w="0" w:type="auto"/>
          </w:tcPr>
          <w:p w14:paraId="3785A625" w14:textId="77777777" w:rsidR="001157F7" w:rsidRDefault="002C716A" w:rsidP="00B71AE8">
            <w:pPr>
              <w:pStyle w:val="Compact"/>
              <w:spacing w:before="100" w:beforeAutospacing="1" w:after="100" w:afterAutospacing="1"/>
              <w:jc w:val="left"/>
            </w:pPr>
            <w:r>
              <w:t>Digital interventions SMD −0.44 inattention, −0.26 hyperactivity-</w:t>
            </w:r>
            <w:r>
              <w:lastRenderedPageBreak/>
              <w:t>impulsivity</w:t>
            </w:r>
          </w:p>
        </w:tc>
        <w:tc>
          <w:tcPr>
            <w:tcW w:w="0" w:type="auto"/>
          </w:tcPr>
          <w:p w14:paraId="1D43B1DC" w14:textId="77777777" w:rsidR="001157F7" w:rsidRDefault="002C716A" w:rsidP="00B71AE8">
            <w:pPr>
              <w:pStyle w:val="Compact"/>
              <w:spacing w:before="100" w:beforeAutospacing="1" w:after="100" w:afterAutospacing="1"/>
              <w:jc w:val="left"/>
            </w:pPr>
            <w:r>
              <w:lastRenderedPageBreak/>
              <w:t>Improvement on trained tasks with limited transfer to blinded sym</w:t>
            </w:r>
            <w:r>
              <w:t xml:space="preserve">ptom </w:t>
            </w:r>
            <w:r>
              <w:lastRenderedPageBreak/>
              <w:t>ratings</w:t>
            </w:r>
          </w:p>
        </w:tc>
        <w:tc>
          <w:tcPr>
            <w:tcW w:w="0" w:type="auto"/>
          </w:tcPr>
          <w:p w14:paraId="490B0549" w14:textId="77777777" w:rsidR="001157F7" w:rsidRDefault="002C716A" w:rsidP="00B71AE8">
            <w:pPr>
              <w:pStyle w:val="Compact"/>
              <w:spacing w:before="100" w:beforeAutospacing="1" w:after="100" w:afterAutospacing="1"/>
              <w:jc w:val="left"/>
            </w:pPr>
            <w:proofErr w:type="spellStart"/>
            <w:r>
              <w:lastRenderedPageBreak/>
              <w:t>Computerised</w:t>
            </w:r>
            <w:proofErr w:type="spellEnd"/>
            <w:r>
              <w:t xml:space="preserve"> attention performance index median change 0.88 in regulatory trial</w:t>
            </w:r>
          </w:p>
        </w:tc>
        <w:tc>
          <w:tcPr>
            <w:tcW w:w="0" w:type="auto"/>
          </w:tcPr>
          <w:p w14:paraId="46D69C7B" w14:textId="77777777" w:rsidR="001157F7" w:rsidRDefault="002C716A" w:rsidP="00B71AE8">
            <w:pPr>
              <w:pStyle w:val="Compact"/>
              <w:spacing w:before="100" w:beforeAutospacing="1" w:after="100" w:afterAutospacing="1"/>
              <w:jc w:val="left"/>
            </w:pPr>
            <w:r>
              <w:t>Regulatory trial primary outcome was a laboratory measure; developer-sponsored</w:t>
            </w:r>
          </w:p>
        </w:tc>
        <w:tc>
          <w:tcPr>
            <w:tcW w:w="0" w:type="auto"/>
          </w:tcPr>
          <w:p w14:paraId="323E0828" w14:textId="77777777" w:rsidR="001157F7" w:rsidRDefault="002C716A" w:rsidP="00B71AE8">
            <w:pPr>
              <w:pStyle w:val="Compact"/>
              <w:spacing w:before="100" w:beforeAutospacing="1" w:after="100" w:afterAutospacing="1"/>
              <w:jc w:val="left"/>
            </w:pPr>
            <w:r>
              <w:t>Cortese et al., 2015; Kollins et al., 2020; Mei et al., 2026</w:t>
            </w:r>
          </w:p>
        </w:tc>
      </w:tr>
    </w:tbl>
    <w:p w14:paraId="700AD770" w14:textId="77777777" w:rsidR="001157F7" w:rsidRDefault="002C716A" w:rsidP="00B71AE8">
      <w:pPr>
        <w:pStyle w:val="BodyText"/>
        <w:spacing w:before="100" w:beforeAutospacing="1" w:after="100" w:afterAutospacing="1" w:line="240" w:lineRule="auto"/>
      </w:pPr>
      <w:r>
        <w:rPr>
          <w:i/>
          <w:iCs/>
        </w:rPr>
        <w:lastRenderedPageBreak/>
        <w:t>Note.</w:t>
      </w:r>
      <w:r>
        <w:t xml:space="preserve"> ADHD = attention</w:t>
      </w:r>
      <w:r>
        <w:t xml:space="preserve">-deficit/hyperactivity disorder; </w:t>
      </w:r>
      <w:proofErr w:type="spellStart"/>
      <w:r>
        <w:t>rTMS</w:t>
      </w:r>
      <w:proofErr w:type="spellEnd"/>
      <w:r>
        <w:t xml:space="preserve"> = repetitive </w:t>
      </w:r>
      <w:proofErr w:type="spellStart"/>
      <w:r>
        <w:t>transcranial</w:t>
      </w:r>
      <w:proofErr w:type="spellEnd"/>
      <w:r>
        <w:t xml:space="preserve"> magnetic stimulation; SMD = </w:t>
      </w:r>
      <w:proofErr w:type="spellStart"/>
      <w:r>
        <w:t>standardised</w:t>
      </w:r>
      <w:proofErr w:type="spellEnd"/>
      <w:r>
        <w:t xml:space="preserve"> mean difference; </w:t>
      </w:r>
      <w:proofErr w:type="spellStart"/>
      <w:r>
        <w:t>tDCS</w:t>
      </w:r>
      <w:proofErr w:type="spellEnd"/>
      <w:r>
        <w:t xml:space="preserve"> = transcranial direct current stimulation. Estimates are reproduced as reported in the cited sources and were derived from differ</w:t>
      </w:r>
      <w:r>
        <w:t>ent syntheses; cross-row comparison of magnitudes should be made with caution. Blank or unspecified cells indicate that the relevant analysis was not reported separately in the available syntheses rather than that an effect was absent.</w:t>
      </w:r>
    </w:p>
    <w:p w14:paraId="6AF7C757" w14:textId="77777777" w:rsidR="001157F7" w:rsidRDefault="002C716A" w:rsidP="00B71AE8">
      <w:pPr>
        <w:pStyle w:val="Heading2"/>
        <w:spacing w:before="100" w:beforeAutospacing="1" w:after="100" w:afterAutospacing="1" w:line="240" w:lineRule="auto"/>
      </w:pPr>
      <w:bookmarkStart w:id="43" w:name="Xb2fb1c927c2b12dbb36c431748f51c1fd7bb777"/>
      <w:bookmarkEnd w:id="38"/>
      <w:bookmarkEnd w:id="42"/>
      <w:r>
        <w:t xml:space="preserve">7. From Efficacy to </w:t>
      </w:r>
      <w:r>
        <w:t>Delivery: Services, Equity and Implementation</w:t>
      </w:r>
    </w:p>
    <w:p w14:paraId="3EA744EC" w14:textId="77777777" w:rsidR="001157F7" w:rsidRDefault="002C716A" w:rsidP="00B71AE8">
      <w:pPr>
        <w:pStyle w:val="FirstParagraph"/>
        <w:spacing w:before="100" w:beforeAutospacing="1" w:after="100" w:afterAutospacing="1" w:line="240" w:lineRule="auto"/>
      </w:pPr>
      <w:r>
        <w:t xml:space="preserve">Evidence of efficacy determines what could be achieved; service configuration determines what is achieved. Referral demand has grown faster than assessment capacity in most publicly funded systems, with uneven </w:t>
      </w:r>
      <w:r>
        <w:t>consequences for prevalence, care pathways and service provision (Sayal et al., 2018), and approximately three in ten children with current ADHD in the United States receive no ADHD-specific treatment despite a majority having moderate or severe presentati</w:t>
      </w:r>
      <w:r>
        <w:t>ons (Danielson et al., 2024). Systematic review of pharmacological treatment prevalence among diagnosed individuals reports a pooled estimate near three-quarters, with heterogeneity so extreme and a prediction interval so wide that the authors state the fi</w:t>
      </w:r>
      <w:r>
        <w:t>gure is unsuitable for direct clinical inference (</w:t>
      </w:r>
      <w:proofErr w:type="spellStart"/>
      <w:r>
        <w:t>Popit</w:t>
      </w:r>
      <w:proofErr w:type="spellEnd"/>
      <w:r>
        <w:t xml:space="preserve"> et al., 2026). Treatment receipt therefore varies across health systems for reasons not attributable to clinical need.</w:t>
      </w:r>
    </w:p>
    <w:p w14:paraId="320BF65D" w14:textId="77777777" w:rsidR="001157F7" w:rsidRDefault="002C716A" w:rsidP="00B71AE8">
      <w:pPr>
        <w:pStyle w:val="BodyText"/>
        <w:spacing w:before="100" w:beforeAutospacing="1" w:after="100" w:afterAutospacing="1" w:line="240" w:lineRule="auto"/>
      </w:pPr>
      <w:r>
        <w:t>Attempts to reconfigure services have been evaluated, though inadequately. System</w:t>
      </w:r>
      <w:r>
        <w:t>atic review of ADHD care models identified seven distinct configurations, including collaborative care, digital mental health provision, telemental health services, general practitioner training, nurse-led clinics, multi-agency drop-in clinics and integrat</w:t>
      </w:r>
      <w:r>
        <w:t>ed care arrangements, and found that collaborative and integrated models increased accessibility, reduced symptoms and improved service delivery (Carter et al., 2026). The critical finding is negative: no cost-effectiveness studies of any ADHD care model w</w:t>
      </w:r>
      <w:r>
        <w:t xml:space="preserve">ere identified. Since the barrier to implementing collaborative care is almost always resource allocation rather than clinical acceptability, the absence of economic evaluation is precisely the gap that prevents the evidence from influencing commissioning </w:t>
      </w:r>
      <w:r>
        <w:t xml:space="preserve">decisions. Within-pathway efficiency measures show what is achievable at smaller scale, as when provision of </w:t>
      </w:r>
      <w:proofErr w:type="spellStart"/>
      <w:r>
        <w:t>computerised</w:t>
      </w:r>
      <w:proofErr w:type="spellEnd"/>
      <w:r>
        <w:t xml:space="preserve"> assessment data reduced consultation length and accelerated diagnostic decisions at broadly neutral cost (Hollis et al., 2018).</w:t>
      </w:r>
    </w:p>
    <w:p w14:paraId="0FF72574" w14:textId="77777777" w:rsidR="001157F7" w:rsidRDefault="002C716A" w:rsidP="00B71AE8">
      <w:pPr>
        <w:pStyle w:val="BodyText"/>
        <w:spacing w:before="100" w:beforeAutospacing="1" w:after="100" w:afterAutospacing="1" w:line="240" w:lineRule="auto"/>
      </w:pPr>
      <w:r>
        <w:t>Equity</w:t>
      </w:r>
      <w:r>
        <w:t xml:space="preserve"> concerns run through the evidence at several levels. Differences in reported prevalence across racial and ethnic groups vary in direction according to sampling frame and ascertainment method, which implicates the identification process rather than populat</w:t>
      </w:r>
      <w:r>
        <w:t>ion difference (Glenn et al., 2026). At the level of the evidence itself, meta-analysis of pharmacotherapy trials for mental disorders documents inadequate reporting and representation of race and ethnicity (</w:t>
      </w:r>
      <w:proofErr w:type="spellStart"/>
      <w:r>
        <w:t>Bellato</w:t>
      </w:r>
      <w:proofErr w:type="spellEnd"/>
      <w:r>
        <w:t xml:space="preserve"> et al., 2025), a finding echoed within t</w:t>
      </w:r>
      <w:r>
        <w:t>he ADHD dosing literature, where race and ethnicity data were inconsistently reported across the contributing trials (</w:t>
      </w:r>
      <w:proofErr w:type="spellStart"/>
      <w:r>
        <w:t>Nourredine</w:t>
      </w:r>
      <w:proofErr w:type="spellEnd"/>
      <w:r>
        <w:t xml:space="preserve"> et al., 2026). Treatment continuity is worst where complexity is greatest, with discontinuation approximately twice as likely a</w:t>
      </w:r>
      <w:r>
        <w:t>nd reinitiation less likely among those with comorbid substance use disorder (</w:t>
      </w:r>
      <w:proofErr w:type="spellStart"/>
      <w:r>
        <w:t>Capusan</w:t>
      </w:r>
      <w:proofErr w:type="spellEnd"/>
      <w:r>
        <w:t xml:space="preserve"> et al., 2026). Taken together these findings describe a system in which identification, trial evidence and treatment persistence all vary systematically with characterist</w:t>
      </w:r>
      <w:r>
        <w:t xml:space="preserve">ics unrelated to clinical need, </w:t>
      </w:r>
      <w:r>
        <w:lastRenderedPageBreak/>
        <w:t>and in which the children least likely to receive continuous evidence-based care are those with the most complex presentations.</w:t>
      </w:r>
    </w:p>
    <w:p w14:paraId="17649A8D" w14:textId="77777777" w:rsidR="001157F7" w:rsidRDefault="002C716A" w:rsidP="00B71AE8">
      <w:pPr>
        <w:pStyle w:val="Heading2"/>
        <w:spacing w:before="100" w:beforeAutospacing="1" w:after="100" w:afterAutospacing="1" w:line="240" w:lineRule="auto"/>
      </w:pPr>
      <w:bookmarkStart w:id="44" w:name="future-directions"/>
      <w:bookmarkEnd w:id="43"/>
      <w:r>
        <w:t>8. Future Directions</w:t>
      </w:r>
    </w:p>
    <w:p w14:paraId="0989CAAC" w14:textId="77777777" w:rsidR="001157F7" w:rsidRDefault="002C716A" w:rsidP="00B71AE8">
      <w:pPr>
        <w:pStyle w:val="FirstParagraph"/>
        <w:spacing w:before="100" w:beforeAutospacing="1" w:after="100" w:afterAutospacing="1" w:line="240" w:lineRule="auto"/>
      </w:pPr>
      <w:r>
        <w:t>The highest immediate priority is the adoption of active-placebo designs in</w:t>
      </w:r>
      <w:r>
        <w:t xml:space="preserve"> stimulant trials. The certainty of the entire methylphenidate evidence base is graded very low principally because </w:t>
      </w:r>
      <w:proofErr w:type="spellStart"/>
      <w:r>
        <w:t>recognisable</w:t>
      </w:r>
      <w:proofErr w:type="spellEnd"/>
      <w:r>
        <w:t xml:space="preserve"> adverse effects </w:t>
      </w:r>
      <w:proofErr w:type="spellStart"/>
      <w:r>
        <w:t>unblind</w:t>
      </w:r>
      <w:proofErr w:type="spellEnd"/>
      <w:r>
        <w:t xml:space="preserve"> participants and raters, and this is not a deficiency that additional conventional trials can remedy, s</w:t>
      </w:r>
      <w:r>
        <w:t>ince each new trial inherits the same limitation (Storebø et al., 2025). What is required is identification of a comparator agent that reproduces the perceptible peripheral effects of stimulants, most notably appetite suppression and sleep disruption, with</w:t>
      </w:r>
      <w:r>
        <w:t xml:space="preserve">out central therapeutic action, followed by </w:t>
      </w:r>
      <w:proofErr w:type="spellStart"/>
      <w:r>
        <w:t>randomised</w:t>
      </w:r>
      <w:proofErr w:type="spellEnd"/>
      <w:r>
        <w:t xml:space="preserve"> comparison using that comparator. Outcome measures should include teacher ratings and objectively recorded academic and </w:t>
      </w:r>
      <w:proofErr w:type="spellStart"/>
      <w:r>
        <w:t>behavioural</w:t>
      </w:r>
      <w:proofErr w:type="spellEnd"/>
      <w:r>
        <w:t xml:space="preserve"> indices, and duration should extend to at least twenty-six weeks, the</w:t>
      </w:r>
      <w:r>
        <w:t xml:space="preserve"> timepoint for which the existing network meta-analysis found insufficient data (Cortese et al., 2018). Such a trial would be difficult to fund commercially, which argues for public or philanthropic sponsorship.</w:t>
      </w:r>
    </w:p>
    <w:p w14:paraId="0630EBD9" w14:textId="77777777" w:rsidR="001157F7" w:rsidRDefault="002C716A" w:rsidP="00B71AE8">
      <w:pPr>
        <w:pStyle w:val="BodyText"/>
        <w:spacing w:before="100" w:beforeAutospacing="1" w:after="100" w:afterAutospacing="1" w:line="240" w:lineRule="auto"/>
      </w:pPr>
      <w:r>
        <w:t>A second immediate priority concerns computa</w:t>
      </w:r>
      <w:r>
        <w:t>tional diagnostic research, where the required change is regulatory rather than technical. Reported classification accuracy cannot be interpreted while external validation remains rare and methodological quality is rated critically low in the great majorit</w:t>
      </w:r>
      <w:r>
        <w:t>y of syntheses (</w:t>
      </w:r>
      <w:proofErr w:type="spellStart"/>
      <w:r>
        <w:t>Alberca</w:t>
      </w:r>
      <w:proofErr w:type="spellEnd"/>
      <w:r>
        <w:t xml:space="preserve">-González &amp; </w:t>
      </w:r>
      <w:proofErr w:type="spellStart"/>
      <w:r>
        <w:t>Fernández</w:t>
      </w:r>
      <w:proofErr w:type="spellEnd"/>
      <w:r>
        <w:t>-Jiménez, 2026; Rasool et al., 2026). The appropriate response is a shift to prospectively registered protocols specifying the development sample, a geographically and demographically independent validation sampl</w:t>
      </w:r>
      <w:r>
        <w:t xml:space="preserve">e, and reporting of calibration alongside discrimination, with publication contingent on the validation result rather than on its </w:t>
      </w:r>
      <w:proofErr w:type="spellStart"/>
      <w:r>
        <w:t>favourability</w:t>
      </w:r>
      <w:proofErr w:type="spellEnd"/>
      <w:r>
        <w:t>. A more fundamental requirement is the construction of at least one reference standard that does not consist sol</w:t>
      </w:r>
      <w:r>
        <w:t>ely of clinical diagnosis, since models trained against informant-based judgement can at best reproduce it. Longitudinal functional outcomes, or consensus diagnosis by multiple independent assessors with documented agreement, would each provide a partial a</w:t>
      </w:r>
      <w:r>
        <w:t>lternative.</w:t>
      </w:r>
    </w:p>
    <w:p w14:paraId="1DD4A2A0" w14:textId="77777777" w:rsidR="001157F7" w:rsidRDefault="002C716A" w:rsidP="00B71AE8">
      <w:pPr>
        <w:pStyle w:val="BodyText"/>
        <w:spacing w:before="100" w:beforeAutospacing="1" w:after="100" w:afterAutospacing="1" w:line="240" w:lineRule="auto"/>
      </w:pPr>
      <w:r>
        <w:t xml:space="preserve">Third, the fluctuating course documented in long-term follow-up requires that treatment duration research be reconceived (Sibley et al., 2022). The clinically pressing question is not whether medication should be continued indefinitely but how </w:t>
      </w:r>
      <w:r>
        <w:t xml:space="preserve">often, by what method, and with what decision rule the need for continuation should be reassessed. This calls for </w:t>
      </w:r>
      <w:proofErr w:type="spellStart"/>
      <w:r>
        <w:t>randomised</w:t>
      </w:r>
      <w:proofErr w:type="spellEnd"/>
      <w:r>
        <w:t xml:space="preserve"> comparison of structured periodic reassessment protocols against usual care, with outcomes measured at the level of functioning and</w:t>
      </w:r>
      <w:r>
        <w:t xml:space="preserve"> continuity of treatment rather than symptom score alone, and with sufficient duration to capture at least one remission-recurrence cycle. The dose-effect analysis provides the necessary starting parameters for such trials by identifying the dose ranges be</w:t>
      </w:r>
      <w:r>
        <w:t>yond which additional benefit is not demonstrable (</w:t>
      </w:r>
      <w:proofErr w:type="spellStart"/>
      <w:r>
        <w:t>Nourredine</w:t>
      </w:r>
      <w:proofErr w:type="spellEnd"/>
      <w:r>
        <w:t xml:space="preserve"> et al., 2026).</w:t>
      </w:r>
    </w:p>
    <w:p w14:paraId="016F8FD9" w14:textId="77777777" w:rsidR="001157F7" w:rsidRDefault="002C716A" w:rsidP="00B71AE8">
      <w:pPr>
        <w:pStyle w:val="BodyText"/>
        <w:spacing w:before="100" w:beforeAutospacing="1" w:after="100" w:afterAutospacing="1" w:line="240" w:lineRule="auto"/>
      </w:pPr>
      <w:r>
        <w:t>Fourth, over a longer horizon, the safety literature requires designs capable of distinguishing pharmacological effect from confounding by indication. The observed dose-duration g</w:t>
      </w:r>
      <w:r>
        <w:t>radient for cardiovascular risk is consistent with causation but cannot establish it within a case-control framework (Zhang et al., 2024). Sibling comparison designs, within-individual analyses across periods of treatment and non-treatment, and negative-co</w:t>
      </w:r>
      <w:r>
        <w:t xml:space="preserve">ntrol outcome analyses within the same </w:t>
      </w:r>
      <w:r>
        <w:lastRenderedPageBreak/>
        <w:t>registers each address a different component of the confounding structure, and their convergence or divergence would be more informative than further replication of the existing design. The same reasoning applies to g</w:t>
      </w:r>
      <w:r>
        <w:t>rowth outcomes, where naturalistic subgroup comparisons have produced divergent findings across cohorts (Cao et al., 2026; Song et al., 2026; Swanson et al., 2017).</w:t>
      </w:r>
    </w:p>
    <w:p w14:paraId="2FEE2265" w14:textId="77777777" w:rsidR="001157F7" w:rsidRDefault="002C716A" w:rsidP="00B71AE8">
      <w:pPr>
        <w:pStyle w:val="BodyText"/>
        <w:spacing w:before="100" w:beforeAutospacing="1" w:after="100" w:afterAutospacing="1" w:line="240" w:lineRule="auto"/>
      </w:pPr>
      <w:r>
        <w:t xml:space="preserve">Fifth, the absence of economic evaluation of ADHD care models is a discrete and remediable </w:t>
      </w:r>
      <w:r>
        <w:t>gap (Carter et al., 2026). Cost-effectiveness analysis of collaborative and integrated models, conducted alongside effectiveness evaluation and using service-level outcomes such as waiting time, proportion of referrals reaching a diagnostic decision and tr</w:t>
      </w:r>
      <w:r>
        <w:t>eatment continuity, would translate an existing effectiveness signal into a form usable by commissioners. Where the principal determinant of child outcome is whether assessment occurs at all, evaluation at this level may yield greater population benefit th</w:t>
      </w:r>
      <w:r>
        <w:t>an further refinement of interventions already shown to work.</w:t>
      </w:r>
    </w:p>
    <w:p w14:paraId="5DAA36C3" w14:textId="77777777" w:rsidR="001157F7" w:rsidRDefault="002C716A" w:rsidP="00B71AE8">
      <w:pPr>
        <w:pStyle w:val="BodyText"/>
        <w:spacing w:before="100" w:beforeAutospacing="1" w:after="100" w:afterAutospacing="1" w:line="240" w:lineRule="auto"/>
      </w:pPr>
      <w:r>
        <w:t>Finally, sustained attention should be directed to the mild-severity stratum into which diagnostic expansion has occurred, where only five studies have evaluated benefits and harms and where the</w:t>
      </w:r>
      <w:r>
        <w:t xml:space="preserve"> available evidence suggests diminishing returns (Kazda et al., 2021). Prospective cohorts recruiting children at the diagnostic margin, followed with functional outcomes over several years and with treatment assigned by clinical judgement rather than by p</w:t>
      </w:r>
      <w:r>
        <w:t xml:space="preserve">rotocol, would provide the observational evidence needed to determine whether current threshold practice serves these children well. This is a long-term undertaking, and it addresses the question that determines whether the expansion of diagnosis over the </w:t>
      </w:r>
      <w:r>
        <w:t>past two decades should be regarded as a public health achievement or a public health error.</w:t>
      </w:r>
    </w:p>
    <w:p w14:paraId="6603B369" w14:textId="77777777" w:rsidR="001157F7" w:rsidRDefault="002C716A" w:rsidP="00B71AE8">
      <w:pPr>
        <w:pStyle w:val="Heading2"/>
        <w:spacing w:before="100" w:beforeAutospacing="1" w:after="100" w:afterAutospacing="1" w:line="240" w:lineRule="auto"/>
      </w:pPr>
      <w:bookmarkStart w:id="45" w:name="conclusions"/>
      <w:bookmarkEnd w:id="44"/>
      <w:r>
        <w:t>9. Conclusions</w:t>
      </w:r>
    </w:p>
    <w:p w14:paraId="3706C020" w14:textId="77777777" w:rsidR="001157F7" w:rsidRDefault="002C716A" w:rsidP="00B71AE8">
      <w:pPr>
        <w:pStyle w:val="FirstParagraph"/>
        <w:spacing w:before="100" w:beforeAutospacing="1" w:after="100" w:afterAutospacing="1" w:line="240" w:lineRule="auto"/>
      </w:pPr>
      <w:r>
        <w:t>The evidence reviewed here supports a specific set of conclusions of differing strength. It is firmly established that measured prevalence of ADHD i</w:t>
      </w:r>
      <w:r>
        <w:t xml:space="preserve">n community samples is determined principally by ascertainment method rather than by geography or period, and that administrative diagnosis has expanded into a milder stratum whose benefit-harm balance remains almost entirely unstudied. It is equally well </w:t>
      </w:r>
      <w:r>
        <w:t>established that contextual factors unrelated to the child, most clearly relative age within the school cohort, influence both diagnosis and prescribing, and that the effect is visible in teacher ratings but not parent ratings. These findings do not indica</w:t>
      </w:r>
      <w:r>
        <w:t xml:space="preserve">te that ADHD is an invalid construct. They indicate that its </w:t>
      </w:r>
      <w:proofErr w:type="spellStart"/>
      <w:r>
        <w:t>operationalisation</w:t>
      </w:r>
      <w:proofErr w:type="spellEnd"/>
      <w:r>
        <w:t xml:space="preserve"> is sensitive to the circumstances of observation to a degree that has direct consequences for who is identified.</w:t>
      </w:r>
    </w:p>
    <w:p w14:paraId="19056491" w14:textId="77777777" w:rsidR="001157F7" w:rsidRDefault="002C716A" w:rsidP="00B71AE8">
      <w:pPr>
        <w:pStyle w:val="BodyText"/>
        <w:spacing w:before="100" w:beforeAutospacing="1" w:after="100" w:afterAutospacing="1" w:line="240" w:lineRule="auto"/>
      </w:pPr>
      <w:r>
        <w:t>Objective diagnostic technologies have advanced substantially a</w:t>
      </w:r>
      <w:r>
        <w:t>s science and negligibly as clinical tools. Consortium neuroimaging and genome-wide association analysis have produced robust, replicable findings whose effect sizes and shared architecture preclude individual-level classification, and this is a structural</w:t>
      </w:r>
      <w:r>
        <w:t xml:space="preserve"> feature of the biology rather than a limitation that larger samples will overcome. </w:t>
      </w:r>
      <w:proofErr w:type="spellStart"/>
      <w:r>
        <w:t>Computerised</w:t>
      </w:r>
      <w:proofErr w:type="spellEnd"/>
      <w:r>
        <w:t xml:space="preserve"> performance measurement has demonstrated genuine benefit to the diagnostic process, improving speed, confidence and the efficiency of exclusion decisions witho</w:t>
      </w:r>
      <w:r>
        <w:t>ut altering accuracy, and it should be adopted and described in exactly those terms. Computational classification has produced accuracy estimates that cannot presently be believed, because external validation is rare and methodological quality is generally</w:t>
      </w:r>
      <w:r>
        <w:t xml:space="preserve"> poor, and </w:t>
      </w:r>
      <w:r>
        <w:lastRenderedPageBreak/>
        <w:t>because every model is trained against a reference standard that is itself the unreliable clinical judgement the technology is intended to improve.</w:t>
      </w:r>
    </w:p>
    <w:p w14:paraId="7EEFD973" w14:textId="77777777" w:rsidR="001157F7" w:rsidRDefault="002C716A" w:rsidP="00B71AE8">
      <w:pPr>
        <w:pStyle w:val="BodyText"/>
        <w:spacing w:before="100" w:beforeAutospacing="1" w:after="100" w:afterAutospacing="1" w:line="240" w:lineRule="auto"/>
      </w:pPr>
      <w:r>
        <w:t>The pharmacological position is one of consolidation rather than transformation. Short-term effic</w:t>
      </w:r>
      <w:r>
        <w:t>acy is supported by an extensive trial literature whose certainty is nonetheless graded very low because characteristic adverse effects compromise blinding throughout. Dose-effect analysis now provides more actionable guidance than further efficacy trials,</w:t>
      </w:r>
      <w:r>
        <w:t xml:space="preserve"> identifying ranges beyond which additional benefit is not demonstrable while cautioning equally against under-titration. Development of novel agents has been strikingly unproductive, with a single viable </w:t>
      </w:r>
      <w:proofErr w:type="spellStart"/>
      <w:r>
        <w:t>paediatric</w:t>
      </w:r>
      <w:proofErr w:type="spellEnd"/>
      <w:r>
        <w:t xml:space="preserve"> candidate identified across an extended </w:t>
      </w:r>
      <w:r>
        <w:t xml:space="preserve">systematic search of trial registries, and that candidate’s development discontinued. Register-based studies have quantified cumulative cardiovascular risk and confirmed small growth effects, and these estimates deserve to inform monitoring practice while </w:t>
      </w:r>
      <w:r>
        <w:t>acknowledging that confounding by indication cannot be excluded.</w:t>
      </w:r>
    </w:p>
    <w:p w14:paraId="52761B9E" w14:textId="77777777" w:rsidR="001157F7" w:rsidRDefault="002C716A" w:rsidP="00B71AE8">
      <w:pPr>
        <w:pStyle w:val="BodyText"/>
        <w:spacing w:before="100" w:beforeAutospacing="1" w:after="100" w:afterAutospacing="1" w:line="240" w:lineRule="auto"/>
      </w:pPr>
      <w:r>
        <w:t xml:space="preserve">Across the non-pharmacological field, the divide between unblinded and blinded outcome assessment separates apparent benefit from demonstrated benefit with striking consistency. </w:t>
      </w:r>
      <w:proofErr w:type="spellStart"/>
      <w:r>
        <w:t>Behavioural</w:t>
      </w:r>
      <w:proofErr w:type="spellEnd"/>
      <w:r>
        <w:t xml:space="preserve"> a</w:t>
      </w:r>
      <w:r>
        <w:t xml:space="preserve">nd parenting interventions reliably improve parenting and reduce conduct problems under blinded assessment while showing no detectable effect on core symptoms; neurofeedback shows no benefit on blinded ratings at group level; digital interventions produce </w:t>
      </w:r>
      <w:r>
        <w:t>effects on unblinded ratings and on trained laboratory tasks whose transfer remains unestablished. The interventions with the most defensible evidence are those targeting outcomes that can be measured objectively, of which sleep is the clearest example.</w:t>
      </w:r>
    </w:p>
    <w:p w14:paraId="180E6C92" w14:textId="77777777" w:rsidR="001157F7" w:rsidRDefault="002C716A" w:rsidP="00B71AE8">
      <w:pPr>
        <w:pStyle w:val="BodyText"/>
        <w:spacing w:before="100" w:beforeAutospacing="1" w:after="100" w:afterAutospacing="1" w:line="240" w:lineRule="auto"/>
      </w:pPr>
      <w:r>
        <w:t>Th</w:t>
      </w:r>
      <w:r>
        <w:t>e integrative conclusion is that a single measurement dependency propagates through the entire field. Diagnosis, biomarker validation and intervention evaluation all rest ultimately on unblinded informant report, and each domain’s characteristic limitation</w:t>
      </w:r>
      <w:r>
        <w:t xml:space="preserve"> is a manifestation of that shared foundation. The practical significance is considerable. The principal constraint on outcomes for children with ADHD is no longer the absence of effective treatments, since effective treatments exist and their parameters a</w:t>
      </w:r>
      <w:r>
        <w:t xml:space="preserve">re increasingly well specified. It is the imprecision of identification, the vulnerability of outcome measurement, and the unevenness with which established care reaches those who need it. Progress will come from addressing that constraint directly rather </w:t>
      </w:r>
      <w:r>
        <w:t>than from further elaboration of technologies built upon it.</w:t>
      </w:r>
    </w:p>
    <w:p w14:paraId="7C67CD4A" w14:textId="77777777" w:rsidR="001157F7" w:rsidRDefault="002C716A" w:rsidP="00B71AE8">
      <w:pPr>
        <w:pStyle w:val="Heading2"/>
        <w:spacing w:before="100" w:beforeAutospacing="1" w:after="100" w:afterAutospacing="1" w:line="240" w:lineRule="auto"/>
      </w:pPr>
      <w:bookmarkStart w:id="46" w:name="limitations"/>
      <w:bookmarkEnd w:id="45"/>
      <w:r>
        <w:t>10. Limitations</w:t>
      </w:r>
    </w:p>
    <w:p w14:paraId="353B8F30" w14:textId="77777777" w:rsidR="001157F7" w:rsidRDefault="002C716A" w:rsidP="00B71AE8">
      <w:pPr>
        <w:pStyle w:val="FirstParagraph"/>
        <w:spacing w:before="100" w:beforeAutospacing="1" w:after="100" w:afterAutospacing="1" w:line="240" w:lineRule="auto"/>
      </w:pPr>
      <w:r>
        <w:t>This review is a narrative synthesis and carries the limitations intrinsic to that design. Selection of sources, weighting of evidence and construction of themes involved interpre</w:t>
      </w:r>
      <w:r>
        <w:t xml:space="preserve">tive judgement that another reviewer might have exercised differently, and the possibility of selection and interpretive bias cannot be eliminated by transparency of method alone. The argument developed here, that a shared measurement dependency underlies </w:t>
      </w:r>
      <w:r>
        <w:t>the field’s characteristic limitations, may have disposed the synthesis towards evidence illustrating that dependency and away from evidence that does not bear on it, notwithstanding deliberate retrieval of discordant findings.</w:t>
      </w:r>
    </w:p>
    <w:p w14:paraId="48F0EF4A" w14:textId="77777777" w:rsidR="001157F7" w:rsidRDefault="002C716A" w:rsidP="00B71AE8">
      <w:pPr>
        <w:pStyle w:val="BodyText"/>
        <w:spacing w:before="100" w:beforeAutospacing="1" w:after="100" w:afterAutospacing="1" w:line="240" w:lineRule="auto"/>
      </w:pPr>
      <w:r>
        <w:t>Access to bibliographic reso</w:t>
      </w:r>
      <w:r>
        <w:t xml:space="preserve">urces was incomplete. Several major subscription databases were unavailable and were not searched, and their omission is likely to have reduced retrieval of psychological, educational and allied health literature that is indexed principally in those </w:t>
      </w:r>
      <w:r>
        <w:lastRenderedPageBreak/>
        <w:t>resour</w:t>
      </w:r>
      <w:r>
        <w:t>ces. School-based and educational interventions are therefore probably underrepresented relative to their evidential weight. Restriction to publications in English will have excluded relevant work, and is likely to have compounded the geographical concentr</w:t>
      </w:r>
      <w:r>
        <w:t>ation already present in the underlying literature, which derives overwhelmingly from high-income settings in North America, Western Europe and East Asia. Conclusions about prevalence, service delivery and equity should be regarded as applying to those set</w:t>
      </w:r>
      <w:r>
        <w:t xml:space="preserve">tings and not as globally </w:t>
      </w:r>
      <w:proofErr w:type="spellStart"/>
      <w:r>
        <w:t>generalisable</w:t>
      </w:r>
      <w:proofErr w:type="spellEnd"/>
      <w:r>
        <w:t>.</w:t>
      </w:r>
    </w:p>
    <w:p w14:paraId="5E18D554" w14:textId="77777777" w:rsidR="001157F7" w:rsidRDefault="002C716A" w:rsidP="00B71AE8">
      <w:pPr>
        <w:pStyle w:val="BodyText"/>
        <w:spacing w:before="100" w:beforeAutospacing="1" w:after="100" w:afterAutospacing="1" w:line="240" w:lineRule="auto"/>
      </w:pPr>
      <w:r>
        <w:t>The evidence base itself imposes further constraints. Study designs and outcome instruments were heterogeneous to a degree that precluded quantitative synthesis, and estimates reproduced from different sources are n</w:t>
      </w:r>
      <w:r>
        <w:t xml:space="preserve">ot directly commensurable. Long-term evidence is scarce across almost every domain, and the most informative long-term findings on both course and growth derive from naturalistic follow-up of a single treated cohort, so that their </w:t>
      </w:r>
      <w:proofErr w:type="spellStart"/>
      <w:r>
        <w:t>generalisability</w:t>
      </w:r>
      <w:proofErr w:type="spellEnd"/>
      <w:r>
        <w:t xml:space="preserve"> to conte</w:t>
      </w:r>
      <w:r>
        <w:t>mporary practice is uncertain. Safety estimates rest substantially on observational register data in which confounding by indication cannot be excluded. Publication bias is likely in the computational and neuromodulation literatures, where small studies re</w:t>
      </w:r>
      <w:r>
        <w:t xml:space="preserve">porting </w:t>
      </w:r>
      <w:proofErr w:type="spellStart"/>
      <w:r>
        <w:t>favourable</w:t>
      </w:r>
      <w:proofErr w:type="spellEnd"/>
      <w:r>
        <w:t xml:space="preserve"> results predominate and where negative findings are less likely to be submitted or accepted. Formal risk-of-bias scoring was not applied across designs, since no single instrument is appropriate to the range of designs considered, and ap</w:t>
      </w:r>
      <w:r>
        <w:t>praisal was therefore criterion-based and narrative rather than scored. Finally, several fields reviewed here are developing rapidly, and evidence published after the search date will alter some of the conclusions reached, particularly those concerning eme</w:t>
      </w:r>
      <w:r>
        <w:t>rging pharmacological agents and computational diagnostic methods.</w:t>
      </w:r>
    </w:p>
    <w:p w14:paraId="6A773F7F" w14:textId="77777777" w:rsidR="005D10B9" w:rsidRPr="000839CE" w:rsidRDefault="005D10B9" w:rsidP="005D10B9">
      <w:pPr>
        <w:rPr>
          <w:b/>
        </w:rPr>
      </w:pPr>
      <w:r w:rsidRPr="000839CE">
        <w:rPr>
          <w:b/>
        </w:rPr>
        <w:t>Declaration of AI Use</w:t>
      </w:r>
    </w:p>
    <w:p w14:paraId="7BCBD35C" w14:textId="77777777" w:rsidR="005D10B9" w:rsidRPr="000839CE" w:rsidRDefault="005D10B9" w:rsidP="005D10B9"/>
    <w:p w14:paraId="557863A9" w14:textId="77777777" w:rsidR="005D10B9" w:rsidRPr="000839CE" w:rsidRDefault="005D10B9" w:rsidP="005D10B9">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85514E7" w14:textId="77777777" w:rsidR="005D10B9" w:rsidRDefault="005D10B9" w:rsidP="00B71AE8">
      <w:pPr>
        <w:pStyle w:val="BodyText"/>
        <w:spacing w:before="100" w:beforeAutospacing="1" w:after="100" w:afterAutospacing="1" w:line="240" w:lineRule="auto"/>
      </w:pPr>
    </w:p>
    <w:p w14:paraId="79BCE37C" w14:textId="77777777" w:rsidR="001157F7" w:rsidRDefault="002C716A" w:rsidP="00B71AE8">
      <w:pPr>
        <w:pStyle w:val="Heading2"/>
        <w:spacing w:before="100" w:beforeAutospacing="1" w:after="100" w:afterAutospacing="1" w:line="240" w:lineRule="auto"/>
      </w:pPr>
      <w:bookmarkStart w:id="47" w:name="references"/>
      <w:bookmarkEnd w:id="46"/>
      <w:r>
        <w:t>References</w:t>
      </w:r>
    </w:p>
    <w:p w14:paraId="5E70026F" w14:textId="77777777" w:rsidR="001157F7" w:rsidRDefault="002C716A" w:rsidP="00B71AE8">
      <w:pPr>
        <w:pStyle w:val="FirstParagraph"/>
        <w:spacing w:before="100" w:beforeAutospacing="1" w:after="100" w:afterAutospacing="1" w:line="240" w:lineRule="auto"/>
        <w:ind w:left="720" w:hanging="720"/>
      </w:pPr>
      <w:proofErr w:type="spellStart"/>
      <w:r>
        <w:t>Alberca</w:t>
      </w:r>
      <w:proofErr w:type="spellEnd"/>
      <w:r>
        <w:t xml:space="preserve">-González, A., &amp; Fernández-Jiménez, E. (2026). Artificial intelligence support for diagnosis of neurodevelopmental disorders during childhood: An umbrella review. </w:t>
      </w:r>
      <w:r>
        <w:rPr>
          <w:i/>
          <w:iCs/>
        </w:rPr>
        <w:t xml:space="preserve">Frontiers </w:t>
      </w:r>
      <w:r>
        <w:rPr>
          <w:i/>
          <w:iCs/>
        </w:rPr>
        <w:t>in Psychiatry, 17</w:t>
      </w:r>
      <w:r>
        <w:t>, Article 1697185. https://doi.org/10.3389/fpsyt.2026.1697185</w:t>
      </w:r>
    </w:p>
    <w:p w14:paraId="0A1A35DE" w14:textId="77777777" w:rsidR="001157F7" w:rsidRDefault="002C716A" w:rsidP="00B71AE8">
      <w:pPr>
        <w:pStyle w:val="BodyText"/>
        <w:spacing w:before="100" w:beforeAutospacing="1" w:after="100" w:afterAutospacing="1" w:line="240" w:lineRule="auto"/>
        <w:ind w:left="720" w:hanging="720"/>
      </w:pPr>
      <w:proofErr w:type="gramStart"/>
      <w:r>
        <w:lastRenderedPageBreak/>
        <w:t xml:space="preserve">American </w:t>
      </w:r>
      <w:commentRangeStart w:id="48"/>
      <w:r>
        <w:t>Psychiatric</w:t>
      </w:r>
      <w:commentRangeEnd w:id="48"/>
      <w:r w:rsidR="00612D98">
        <w:rPr>
          <w:rStyle w:val="CommentReference"/>
        </w:rPr>
        <w:commentReference w:id="48"/>
      </w:r>
      <w:r>
        <w:t xml:space="preserve"> Association.</w:t>
      </w:r>
      <w:proofErr w:type="gramEnd"/>
      <w:r>
        <w:t xml:space="preserve"> (2022). </w:t>
      </w:r>
      <w:r>
        <w:rPr>
          <w:i/>
          <w:iCs/>
        </w:rPr>
        <w:t>Diagnostic and statistical manual of mental disorders</w:t>
      </w:r>
      <w:r>
        <w:t xml:space="preserve"> (5th ed., text rev.). https://doi.org/10.1176/appi.books.9780890425787</w:t>
      </w:r>
    </w:p>
    <w:p w14:paraId="2A913B73" w14:textId="77777777" w:rsidR="001157F7" w:rsidRDefault="002C716A" w:rsidP="00B71AE8">
      <w:pPr>
        <w:pStyle w:val="BodyText"/>
        <w:spacing w:before="100" w:beforeAutospacing="1" w:after="100" w:afterAutospacing="1" w:line="240" w:lineRule="auto"/>
        <w:ind w:left="720" w:hanging="720"/>
      </w:pPr>
      <w:proofErr w:type="spellStart"/>
      <w:r>
        <w:t>Bellato</w:t>
      </w:r>
      <w:proofErr w:type="spellEnd"/>
      <w:r>
        <w:t>, A</w:t>
      </w:r>
      <w:r>
        <w:t xml:space="preserve">., </w:t>
      </w:r>
      <w:proofErr w:type="spellStart"/>
      <w:r>
        <w:t>Raduà</w:t>
      </w:r>
      <w:proofErr w:type="spellEnd"/>
      <w:r>
        <w:t xml:space="preserve">, J., Stocker, A., Lockman, M.-S., Lall, A., Ravisankar, V., </w:t>
      </w:r>
      <w:proofErr w:type="spellStart"/>
      <w:r>
        <w:t>Obiokafor</w:t>
      </w:r>
      <w:proofErr w:type="spellEnd"/>
      <w:r>
        <w:t xml:space="preserve">, S., Machell, E., Haq, S., </w:t>
      </w:r>
      <w:proofErr w:type="spellStart"/>
      <w:r>
        <w:t>Albiaa</w:t>
      </w:r>
      <w:proofErr w:type="spellEnd"/>
      <w:r>
        <w:t xml:space="preserve">, D., Cabras, A., </w:t>
      </w:r>
      <w:proofErr w:type="spellStart"/>
      <w:r>
        <w:t>Leffa</w:t>
      </w:r>
      <w:proofErr w:type="spellEnd"/>
      <w:r>
        <w:t xml:space="preserve">, D. T., Manuel, C., </w:t>
      </w:r>
      <w:proofErr w:type="spellStart"/>
      <w:r>
        <w:t>Parlatini</w:t>
      </w:r>
      <w:proofErr w:type="spellEnd"/>
      <w:r>
        <w:t xml:space="preserve">, V., Riccioni, A., Correll, C. U., </w:t>
      </w:r>
      <w:proofErr w:type="spellStart"/>
      <w:r>
        <w:t>Fusar-Poli</w:t>
      </w:r>
      <w:proofErr w:type="spellEnd"/>
      <w:r>
        <w:t>, P., Solmi, M., &amp; Cortese, S. (2025). Report</w:t>
      </w:r>
      <w:r>
        <w:t xml:space="preserve">ing and representation of race and ethnicity in clinical trials of pharmacotherapy for mental disorders: A meta-analysis. </w:t>
      </w:r>
      <w:r>
        <w:rPr>
          <w:i/>
          <w:iCs/>
        </w:rPr>
        <w:t>JAMA Psychiatry, 82</w:t>
      </w:r>
      <w:r>
        <w:t>(7), 663–670. https://doi.org/10.1001/jamapsychiatry.2025.0666</w:t>
      </w:r>
    </w:p>
    <w:p w14:paraId="20A26E4A" w14:textId="77777777" w:rsidR="001157F7" w:rsidRDefault="002C716A" w:rsidP="00B71AE8">
      <w:pPr>
        <w:pStyle w:val="BodyText"/>
        <w:spacing w:before="100" w:beforeAutospacing="1" w:after="100" w:afterAutospacing="1" w:line="240" w:lineRule="auto"/>
        <w:ind w:left="720" w:hanging="720"/>
      </w:pPr>
      <w:r>
        <w:t>Boland, H., DiSalvo, M., Fried, R., Woodworth, K. Y.</w:t>
      </w:r>
      <w:r>
        <w:t xml:space="preserve">, Wilens, T., Faraone, S. V., &amp; Biederman, J. (2020). A literature review and meta-analysis on the effects of ADHD medications on functional outcomes. </w:t>
      </w:r>
      <w:r>
        <w:rPr>
          <w:i/>
          <w:iCs/>
        </w:rPr>
        <w:t>Journal of Psychiatric Research, 123</w:t>
      </w:r>
      <w:r>
        <w:t>, 21–30. https://doi.org/10.1016/j.jpsychires.2020.01.006</w:t>
      </w:r>
    </w:p>
    <w:p w14:paraId="126DD99D" w14:textId="77777777" w:rsidR="001157F7" w:rsidRDefault="002C716A" w:rsidP="00B71AE8">
      <w:pPr>
        <w:pStyle w:val="BodyText"/>
        <w:spacing w:before="100" w:beforeAutospacing="1" w:after="100" w:afterAutospacing="1" w:line="240" w:lineRule="auto"/>
        <w:ind w:left="720" w:hanging="720"/>
      </w:pPr>
      <w:r>
        <w:t xml:space="preserve">Bussanich, </w:t>
      </w:r>
      <w:r>
        <w:t xml:space="preserve">G., Harrison, J. R., Peltier, C., Patel, A., Mehta, P., &amp; Patel, K. (2026). School-based social skills interventions for youth with ADHD: A systematic review and meta-analysis. </w:t>
      </w:r>
      <w:r>
        <w:rPr>
          <w:i/>
          <w:iCs/>
        </w:rPr>
        <w:t>Journal of Attention Disorders, 30</w:t>
      </w:r>
      <w:r>
        <w:t>(4), 427–448. https://doi.org/10.1177/1087054</w:t>
      </w:r>
      <w:r>
        <w:t>7251364578</w:t>
      </w:r>
    </w:p>
    <w:p w14:paraId="1B420F83" w14:textId="77777777" w:rsidR="001157F7" w:rsidRDefault="002C716A" w:rsidP="00B71AE8">
      <w:pPr>
        <w:pStyle w:val="BodyText"/>
        <w:spacing w:before="100" w:beforeAutospacing="1" w:after="100" w:afterAutospacing="1" w:line="240" w:lineRule="auto"/>
        <w:ind w:left="720" w:hanging="720"/>
      </w:pPr>
      <w:r>
        <w:t xml:space="preserve">Cao, M., Song, T., Hou, X., &amp; Yu, X. (2026). Effect of methylphenidate on physical growth indicators in children and adolescents with attention-deficit/hyperactivity disorder: A systematic review and meta-analysis. </w:t>
      </w:r>
      <w:r>
        <w:rPr>
          <w:i/>
          <w:iCs/>
        </w:rPr>
        <w:t>Frontiers in Psychiatry, 17</w:t>
      </w:r>
      <w:r>
        <w:t>, A</w:t>
      </w:r>
      <w:r>
        <w:t>rticle 1794403. https://doi.org/10.3389/fpsyt.2026.1794403</w:t>
      </w:r>
    </w:p>
    <w:p w14:paraId="5059E643" w14:textId="77777777" w:rsidR="001157F7" w:rsidRDefault="002C716A" w:rsidP="00B71AE8">
      <w:pPr>
        <w:pStyle w:val="BodyText"/>
        <w:spacing w:before="100" w:beforeAutospacing="1" w:after="100" w:afterAutospacing="1" w:line="240" w:lineRule="auto"/>
        <w:ind w:left="720" w:hanging="720"/>
      </w:pPr>
      <w:proofErr w:type="spellStart"/>
      <w:r>
        <w:t>Capusan</w:t>
      </w:r>
      <w:proofErr w:type="spellEnd"/>
      <w:r>
        <w:t xml:space="preserve">, A. J., Zhang, L., Larsson, H., </w:t>
      </w:r>
      <w:proofErr w:type="spellStart"/>
      <w:r>
        <w:t>Brikell</w:t>
      </w:r>
      <w:proofErr w:type="spellEnd"/>
      <w:r>
        <w:t xml:space="preserve">, I., Martinez, D., D’Onofrio, B. M., Lichtenstein, P., </w:t>
      </w:r>
      <w:proofErr w:type="spellStart"/>
      <w:r>
        <w:t>Kuja-Halkola</w:t>
      </w:r>
      <w:proofErr w:type="spellEnd"/>
      <w:r>
        <w:t>, R., &amp; Chang, Z. (2026). Discontinuation and reinitiation of pharmacological trea</w:t>
      </w:r>
      <w:r>
        <w:t xml:space="preserve">tment for ADHD among individuals with ADHD and substance use disorder. </w:t>
      </w:r>
      <w:r>
        <w:rPr>
          <w:i/>
          <w:iCs/>
        </w:rPr>
        <w:t>BMJ Mental Health, 29</w:t>
      </w:r>
      <w:r>
        <w:t>(1), Article e302138. https://doi.org/10.1136/bmjment-2025-302138</w:t>
      </w:r>
    </w:p>
    <w:p w14:paraId="23E371BB" w14:textId="77777777" w:rsidR="001157F7" w:rsidRDefault="002C716A" w:rsidP="00B71AE8">
      <w:pPr>
        <w:pStyle w:val="BodyText"/>
        <w:spacing w:before="100" w:beforeAutospacing="1" w:after="100" w:afterAutospacing="1" w:line="240" w:lineRule="auto"/>
        <w:ind w:left="720" w:hanging="720"/>
      </w:pPr>
      <w:r>
        <w:t>Carter, R., McKenna, K., &amp; Le, H. (2026). The effectiveness and cost-effectiveness of ADHD care mo</w:t>
      </w:r>
      <w:r>
        <w:t xml:space="preserve">dels: A systematic review. </w:t>
      </w:r>
      <w:r>
        <w:rPr>
          <w:i/>
          <w:iCs/>
        </w:rPr>
        <w:t>European Child &amp; Adolescent Psychiatry, 35</w:t>
      </w:r>
      <w:r>
        <w:t>(6), 1737–1752. https://doi.org/10.1007/s00787-026-02959-y</w:t>
      </w:r>
    </w:p>
    <w:p w14:paraId="678EE128" w14:textId="77777777" w:rsidR="001157F7" w:rsidRDefault="002C716A" w:rsidP="00B71AE8">
      <w:pPr>
        <w:pStyle w:val="BodyText"/>
        <w:spacing w:before="100" w:beforeAutospacing="1" w:after="100" w:afterAutospacing="1" w:line="240" w:lineRule="auto"/>
        <w:ind w:left="720" w:hanging="720"/>
      </w:pPr>
      <w:r>
        <w:t xml:space="preserve">Caye, A., </w:t>
      </w:r>
      <w:proofErr w:type="spellStart"/>
      <w:r>
        <w:t>Petresco</w:t>
      </w:r>
      <w:proofErr w:type="spellEnd"/>
      <w:r>
        <w:t xml:space="preserve">, S., de Barros, A. J. D., Bressan, R. A., Gadelha, A., Gonçalves, H., </w:t>
      </w:r>
      <w:proofErr w:type="spellStart"/>
      <w:r>
        <w:t>Manfro</w:t>
      </w:r>
      <w:proofErr w:type="spellEnd"/>
      <w:r>
        <w:t>, A. G., Matijasevich, A., Meneze</w:t>
      </w:r>
      <w:r>
        <w:t xml:space="preserve">s, A. M. B., Miguel, E. C., Munhoz, T. N., Pan, P. M., Salum, G. A., Santos, I. S., Kieling, C., &amp; Rohde, L. A. (2020). Relative age and attention-deficit/hyperactivity disorder: Data from three epidemiological cohorts and a meta-analysis. </w:t>
      </w:r>
      <w:r>
        <w:rPr>
          <w:i/>
          <w:iCs/>
        </w:rPr>
        <w:t>Journal of the A</w:t>
      </w:r>
      <w:r>
        <w:rPr>
          <w:i/>
          <w:iCs/>
        </w:rPr>
        <w:t>merican Academy of Child &amp; Adolescent Psychiatry, 59</w:t>
      </w:r>
      <w:r>
        <w:t>(8), 990–997. https://doi.org/10.1016/j.jaac.2019.07.939</w:t>
      </w:r>
    </w:p>
    <w:p w14:paraId="6F60ADA5" w14:textId="77777777" w:rsidR="001157F7" w:rsidRDefault="002C716A" w:rsidP="00B71AE8">
      <w:pPr>
        <w:pStyle w:val="BodyText"/>
        <w:spacing w:before="100" w:beforeAutospacing="1" w:after="100" w:afterAutospacing="1" w:line="240" w:lineRule="auto"/>
        <w:ind w:left="720" w:hanging="720"/>
      </w:pPr>
      <w:r>
        <w:t xml:space="preserve">Chang, J. P.-C., Su, K.-P., Mondelli, V., &amp; </w:t>
      </w:r>
      <w:proofErr w:type="spellStart"/>
      <w:r>
        <w:t>Pariante</w:t>
      </w:r>
      <w:proofErr w:type="spellEnd"/>
      <w:r>
        <w:t>, C. M. (2018). Omega-3 polyunsaturated fatty acids in youths with attention deficit hyperactiv</w:t>
      </w:r>
      <w:r>
        <w:t xml:space="preserve">ity disorder: A systematic review and meta-analysis of clinical trials and biological studies. </w:t>
      </w:r>
      <w:r>
        <w:rPr>
          <w:i/>
          <w:iCs/>
        </w:rPr>
        <w:t>Neuropsychopharmacology, 43</w:t>
      </w:r>
      <w:r>
        <w:t>(3), 534–545. https://doi.org/10.1038/npp.2017.160</w:t>
      </w:r>
    </w:p>
    <w:p w14:paraId="6AF28548" w14:textId="77777777" w:rsidR="001157F7" w:rsidRDefault="002C716A" w:rsidP="00B71AE8">
      <w:pPr>
        <w:pStyle w:val="BodyText"/>
        <w:spacing w:before="100" w:beforeAutospacing="1" w:after="100" w:afterAutospacing="1" w:line="240" w:lineRule="auto"/>
        <w:ind w:left="720" w:hanging="720"/>
      </w:pPr>
      <w:r>
        <w:lastRenderedPageBreak/>
        <w:t>Chen, B., Shi, Z., &amp; Liu, J. (2026). Optimizing exercise prescription parameters fo</w:t>
      </w:r>
      <w:r>
        <w:t xml:space="preserve">r ADHD in children: A systematic review and meta-analysis. </w:t>
      </w:r>
      <w:r>
        <w:rPr>
          <w:i/>
          <w:iCs/>
        </w:rPr>
        <w:t>Public Health, 255</w:t>
      </w:r>
      <w:r>
        <w:t>, Article 106272. https://doi.org/10.1016/j.puhe.2026.106272</w:t>
      </w:r>
    </w:p>
    <w:p w14:paraId="74EFFC2F" w14:textId="77777777" w:rsidR="001157F7" w:rsidRDefault="002C716A" w:rsidP="00B71AE8">
      <w:pPr>
        <w:pStyle w:val="BodyText"/>
        <w:spacing w:before="100" w:beforeAutospacing="1" w:after="100" w:afterAutospacing="1" w:line="240" w:lineRule="auto"/>
        <w:ind w:left="720" w:hanging="720"/>
      </w:pPr>
      <w:r>
        <w:t xml:space="preserve">Chen, Q., Pan, N., Long, Y., Qin, K., </w:t>
      </w:r>
      <w:proofErr w:type="spellStart"/>
      <w:r>
        <w:t>Sangchooli</w:t>
      </w:r>
      <w:proofErr w:type="spellEnd"/>
      <w:r>
        <w:t xml:space="preserve">, A., Cao, Y., Singh, M. K., Chen, Y., &amp; Gong, Q. (2026). Noninvasive </w:t>
      </w:r>
      <w:r>
        <w:t xml:space="preserve">brain stimulation in attention-deficit/hyperactivity disorder: A systematic review and meta-analysis of treatment efficacy and targeting strategies. </w:t>
      </w:r>
      <w:r>
        <w:rPr>
          <w:i/>
          <w:iCs/>
        </w:rPr>
        <w:t>Journal of the American Academy of Child &amp; Adolescent Psychiatry, 65</w:t>
      </w:r>
      <w:r>
        <w:t>(3), 369–391. https://doi.org/10.1016/j</w:t>
      </w:r>
      <w:r>
        <w:t>.jaac.2025.07.009</w:t>
      </w:r>
    </w:p>
    <w:p w14:paraId="35AA9FF8" w14:textId="77777777" w:rsidR="001157F7" w:rsidRDefault="002C716A" w:rsidP="00B71AE8">
      <w:pPr>
        <w:pStyle w:val="BodyText"/>
        <w:spacing w:before="100" w:beforeAutospacing="1" w:after="100" w:afterAutospacing="1" w:line="240" w:lineRule="auto"/>
        <w:ind w:left="720" w:hanging="720"/>
      </w:pPr>
      <w:r>
        <w:t xml:space="preserve">Cortese, S., Ferrin, M., Brandeis, D., </w:t>
      </w:r>
      <w:proofErr w:type="spellStart"/>
      <w:r>
        <w:t>Buitelaar</w:t>
      </w:r>
      <w:proofErr w:type="spellEnd"/>
      <w:r>
        <w:t xml:space="preserve">, J., Daley, D., Dittmann, R. W., Holtmann, M., Santosh, P., Stevenson, J., </w:t>
      </w:r>
      <w:proofErr w:type="spellStart"/>
      <w:r>
        <w:t>Stringaris</w:t>
      </w:r>
      <w:proofErr w:type="spellEnd"/>
      <w:r>
        <w:t xml:space="preserve">, A., </w:t>
      </w:r>
      <w:proofErr w:type="spellStart"/>
      <w:r>
        <w:t>Zuddas</w:t>
      </w:r>
      <w:proofErr w:type="spellEnd"/>
      <w:r>
        <w:t xml:space="preserve">, A., &amp; </w:t>
      </w:r>
      <w:proofErr w:type="spellStart"/>
      <w:r>
        <w:t>Sonuga-Barke</w:t>
      </w:r>
      <w:proofErr w:type="spellEnd"/>
      <w:r>
        <w:t>, E. J. S. (2015). Cognitive training for attention-deficit/hyperactivit</w:t>
      </w:r>
      <w:r>
        <w:t xml:space="preserve">y disorder: Meta-analysis of clinical and neuropsychological outcomes from randomized controlled trials. </w:t>
      </w:r>
      <w:r>
        <w:rPr>
          <w:i/>
          <w:iCs/>
        </w:rPr>
        <w:t>Journal of the American Academy of Child &amp; Adolescent Psychiatry, 54</w:t>
      </w:r>
      <w:r>
        <w:t>(3), 164–174. https://doi.org/10.1016/j.jaac.2014.12.010</w:t>
      </w:r>
    </w:p>
    <w:p w14:paraId="6DC7C189" w14:textId="77777777" w:rsidR="001157F7" w:rsidRDefault="002C716A" w:rsidP="00B71AE8">
      <w:pPr>
        <w:pStyle w:val="BodyText"/>
        <w:spacing w:before="100" w:beforeAutospacing="1" w:after="100" w:afterAutospacing="1" w:line="240" w:lineRule="auto"/>
        <w:ind w:left="720" w:hanging="720"/>
      </w:pPr>
      <w:r>
        <w:t>Cortese, S., Ferrin, M., B</w:t>
      </w:r>
      <w:r>
        <w:t xml:space="preserve">randeis, D., Holtmann, M., </w:t>
      </w:r>
      <w:proofErr w:type="spellStart"/>
      <w:r>
        <w:t>Aggensteiner</w:t>
      </w:r>
      <w:proofErr w:type="spellEnd"/>
      <w:r>
        <w:t xml:space="preserve">, P., Daley, D., Santosh, P., Simonoff, E., Stevenson, J., </w:t>
      </w:r>
      <w:proofErr w:type="spellStart"/>
      <w:r>
        <w:t>Stringaris</w:t>
      </w:r>
      <w:proofErr w:type="spellEnd"/>
      <w:r>
        <w:t xml:space="preserve">, A., &amp; </w:t>
      </w:r>
      <w:proofErr w:type="spellStart"/>
      <w:r>
        <w:t>Sonuga-Barke</w:t>
      </w:r>
      <w:proofErr w:type="spellEnd"/>
      <w:r>
        <w:t xml:space="preserve">, E. J. S. (2016). Neurofeedback for attention-deficit/hyperactivity disorder: Meta-analysis of clinical and neuropsychological </w:t>
      </w:r>
      <w:r>
        <w:t xml:space="preserve">outcomes from randomized controlled trials. </w:t>
      </w:r>
      <w:r>
        <w:rPr>
          <w:i/>
          <w:iCs/>
        </w:rPr>
        <w:t>Journal of the American Academy of Child &amp; Adolescent Psychiatry, 55</w:t>
      </w:r>
      <w:r>
        <w:t>(6), 444–455. https://doi.org/10.1016/j.jaac.2016.03.007</w:t>
      </w:r>
    </w:p>
    <w:p w14:paraId="235899CF" w14:textId="77777777" w:rsidR="001157F7" w:rsidRDefault="002C716A" w:rsidP="00B71AE8">
      <w:pPr>
        <w:pStyle w:val="BodyText"/>
        <w:spacing w:before="100" w:beforeAutospacing="1" w:after="100" w:afterAutospacing="1" w:line="240" w:lineRule="auto"/>
        <w:ind w:left="720" w:hanging="720"/>
      </w:pPr>
      <w:r>
        <w:t>Cortese, S., Adamo, N., Del Giovane, C., Mohr-Jensen, C., Hayes, A. J., Carucci, S., At</w:t>
      </w:r>
      <w:r>
        <w:t xml:space="preserve">kinson, L. Z., Tessari, L., </w:t>
      </w:r>
      <w:proofErr w:type="spellStart"/>
      <w:r>
        <w:t>Banaschewski</w:t>
      </w:r>
      <w:proofErr w:type="spellEnd"/>
      <w:r>
        <w:t xml:space="preserve">, T., Coghill, D., Hollis, C., Simonoff, E., </w:t>
      </w:r>
      <w:proofErr w:type="spellStart"/>
      <w:r>
        <w:t>Zuddas</w:t>
      </w:r>
      <w:proofErr w:type="spellEnd"/>
      <w:r>
        <w:t xml:space="preserve">, A., </w:t>
      </w:r>
      <w:proofErr w:type="spellStart"/>
      <w:r>
        <w:t>Barbui</w:t>
      </w:r>
      <w:proofErr w:type="spellEnd"/>
      <w:r>
        <w:t xml:space="preserve">, C., </w:t>
      </w:r>
      <w:proofErr w:type="spellStart"/>
      <w:r>
        <w:t>Purgato</w:t>
      </w:r>
      <w:proofErr w:type="spellEnd"/>
      <w:r>
        <w:t xml:space="preserve">, M., Steinhausen, H.-C., </w:t>
      </w:r>
      <w:proofErr w:type="spellStart"/>
      <w:r>
        <w:t>Shokraneh</w:t>
      </w:r>
      <w:proofErr w:type="spellEnd"/>
      <w:r>
        <w:t>, F., Xia, J., &amp; Cipriani, A. (2018). Comparative efficacy and tolerability of medications for attention-</w:t>
      </w:r>
      <w:r>
        <w:t xml:space="preserve">deficit hyperactivity disorder in children, adolescents, and adults: A systematic review and network meta-analysis. </w:t>
      </w:r>
      <w:r>
        <w:rPr>
          <w:i/>
          <w:iCs/>
        </w:rPr>
        <w:t>The Lancet Psychiatry, 5</w:t>
      </w:r>
      <w:r>
        <w:t>(9), 727–738. https://doi.org/10.1016/S2215-0366(18)30269-4</w:t>
      </w:r>
    </w:p>
    <w:p w14:paraId="1911698D" w14:textId="77777777" w:rsidR="001157F7" w:rsidRDefault="002C716A" w:rsidP="00B71AE8">
      <w:pPr>
        <w:pStyle w:val="BodyText"/>
        <w:spacing w:before="100" w:beforeAutospacing="1" w:after="100" w:afterAutospacing="1" w:line="240" w:lineRule="auto"/>
        <w:ind w:left="720" w:hanging="720"/>
      </w:pPr>
      <w:r>
        <w:t xml:space="preserve">Daley, D., van der Oord, S., Ferrin, M., </w:t>
      </w:r>
      <w:proofErr w:type="spellStart"/>
      <w:r>
        <w:t>Danckaerts</w:t>
      </w:r>
      <w:proofErr w:type="spellEnd"/>
      <w:r>
        <w:t>, M.,</w:t>
      </w:r>
      <w:r>
        <w:t xml:space="preserve"> </w:t>
      </w:r>
      <w:proofErr w:type="spellStart"/>
      <w:r>
        <w:t>Doepfner</w:t>
      </w:r>
      <w:proofErr w:type="spellEnd"/>
      <w:r>
        <w:t xml:space="preserve">, M., Cortese, S., &amp; </w:t>
      </w:r>
      <w:proofErr w:type="spellStart"/>
      <w:r>
        <w:t>Sonuga-Barke</w:t>
      </w:r>
      <w:proofErr w:type="spellEnd"/>
      <w:r>
        <w:t xml:space="preserve">, E. J. S. (2014). Behavioral interventions in attention-deficit/hyperactivity disorder: A meta-analysis of randomized controlled trials across multiple outcome domains. </w:t>
      </w:r>
      <w:r>
        <w:rPr>
          <w:i/>
          <w:iCs/>
        </w:rPr>
        <w:t>Journal of the American Academy of Child &amp; A</w:t>
      </w:r>
      <w:r>
        <w:rPr>
          <w:i/>
          <w:iCs/>
        </w:rPr>
        <w:t>dolescent Psychiatry, 53</w:t>
      </w:r>
      <w:r>
        <w:t>(8), 835–847. https://doi.org/10.1016/j.jaac.2014.05.013</w:t>
      </w:r>
    </w:p>
    <w:p w14:paraId="4C0B0769" w14:textId="77777777" w:rsidR="001157F7" w:rsidRDefault="002C716A" w:rsidP="00B71AE8">
      <w:pPr>
        <w:pStyle w:val="BodyText"/>
        <w:spacing w:before="100" w:beforeAutospacing="1" w:after="100" w:afterAutospacing="1" w:line="240" w:lineRule="auto"/>
        <w:ind w:left="720" w:hanging="720"/>
      </w:pPr>
      <w:r>
        <w:t>Danielson, M. L., Claussen, A. H., Bitsko, R. H., Katz, S. M., Newsome, K., Blumberg, S. J., Kogan, M. D., &amp; Ghandour, R. (2024). ADHD prevalence among U.S. children and adole</w:t>
      </w:r>
      <w:r>
        <w:t xml:space="preserve">scents in 2022: Diagnosis, severity, co-occurring disorders, and treatment. </w:t>
      </w:r>
      <w:r>
        <w:rPr>
          <w:i/>
          <w:iCs/>
        </w:rPr>
        <w:t>Journal of Clinical Child &amp; Adolescent Psychology, 53</w:t>
      </w:r>
      <w:r>
        <w:t>(3), 343–360. https://doi.org/10.1080/15374416.2024.2335625</w:t>
      </w:r>
    </w:p>
    <w:p w14:paraId="5E282208" w14:textId="77777777" w:rsidR="001157F7" w:rsidRDefault="002C716A" w:rsidP="00B71AE8">
      <w:pPr>
        <w:pStyle w:val="BodyText"/>
        <w:spacing w:before="100" w:beforeAutospacing="1" w:after="100" w:afterAutospacing="1" w:line="240" w:lineRule="auto"/>
        <w:ind w:left="720" w:hanging="720"/>
      </w:pPr>
      <w:proofErr w:type="spellStart"/>
      <w:r>
        <w:t>Demontis</w:t>
      </w:r>
      <w:proofErr w:type="spellEnd"/>
      <w:r>
        <w:t>, D., Walters, G. B., Athanasiadis, G., Walters, R., Therri</w:t>
      </w:r>
      <w:r>
        <w:t xml:space="preserve">en, K., Nielsen, T. T., </w:t>
      </w:r>
      <w:proofErr w:type="spellStart"/>
      <w:r>
        <w:t>Farajzadeh</w:t>
      </w:r>
      <w:proofErr w:type="spellEnd"/>
      <w:r>
        <w:t xml:space="preserve">, L., </w:t>
      </w:r>
      <w:proofErr w:type="spellStart"/>
      <w:r>
        <w:t>Voloudakis</w:t>
      </w:r>
      <w:proofErr w:type="spellEnd"/>
      <w:r>
        <w:t xml:space="preserve">, G., Bendl, J., Zeng, B., Zhang, W., Grove, J., Als, T. D., </w:t>
      </w:r>
      <w:r>
        <w:lastRenderedPageBreak/>
        <w:t xml:space="preserve">Duan, J., </w:t>
      </w:r>
      <w:proofErr w:type="spellStart"/>
      <w:r>
        <w:t>Satterstrom</w:t>
      </w:r>
      <w:proofErr w:type="spellEnd"/>
      <w:r>
        <w:t xml:space="preserve">, F. K., Bybjerg-Grauholm, J., </w:t>
      </w:r>
      <w:proofErr w:type="spellStart"/>
      <w:r>
        <w:t>Bækved</w:t>
      </w:r>
      <w:proofErr w:type="spellEnd"/>
      <w:r>
        <w:t>-Hansen, M., Gudmundsson, O. O., Magnusson, S. H., . . . Børglum, A. D. (2023). Genome-</w:t>
      </w:r>
      <w:r>
        <w:t xml:space="preserve">wide analyses of ADHD identify 27 risk loci, refine the genetic architecture and implicate several cognitive domains. </w:t>
      </w:r>
      <w:r>
        <w:rPr>
          <w:i/>
          <w:iCs/>
        </w:rPr>
        <w:t>Nature Genetics, 55</w:t>
      </w:r>
      <w:r>
        <w:t>(2), 198–208. https://doi.org/10.1038/s41588-022-01285-8</w:t>
      </w:r>
    </w:p>
    <w:p w14:paraId="44AE7368" w14:textId="77777777" w:rsidR="001157F7" w:rsidRDefault="002C716A" w:rsidP="00B71AE8">
      <w:pPr>
        <w:pStyle w:val="BodyText"/>
        <w:spacing w:before="100" w:beforeAutospacing="1" w:after="100" w:afterAutospacing="1" w:line="240" w:lineRule="auto"/>
        <w:ind w:left="720" w:hanging="720"/>
      </w:pPr>
      <w:r>
        <w:t>Fang, Y., Wang, Z., Zhang, M., &amp;</w:t>
      </w:r>
      <w:r>
        <w:t xml:space="preserve"> Sun, F. (2026). The influence of existing interventions on sleep of youth with attention-deficit/hyperactivity disorder: A meta-analysis of randomized controlled trials. </w:t>
      </w:r>
      <w:r>
        <w:rPr>
          <w:i/>
          <w:iCs/>
        </w:rPr>
        <w:t>Sleep Medicine Reviews, 88</w:t>
      </w:r>
      <w:r>
        <w:t>, Article 102303. https://doi.org/10.1016/j.smrv.2026.10230</w:t>
      </w:r>
      <w:r>
        <w:t>3</w:t>
      </w:r>
    </w:p>
    <w:p w14:paraId="738E4933" w14:textId="77777777" w:rsidR="001157F7" w:rsidRDefault="002C716A" w:rsidP="00B71AE8">
      <w:pPr>
        <w:pStyle w:val="BodyText"/>
        <w:spacing w:before="100" w:beforeAutospacing="1" w:after="100" w:afterAutospacing="1" w:line="240" w:lineRule="auto"/>
        <w:ind w:left="720" w:hanging="720"/>
      </w:pPr>
      <w:r>
        <w:t xml:space="preserve">Faraone, S. V., Banaschewski, T., Coghill, D., Zheng, Y., Biederman, J., </w:t>
      </w:r>
      <w:proofErr w:type="spellStart"/>
      <w:r>
        <w:t>Bellgrove</w:t>
      </w:r>
      <w:proofErr w:type="spellEnd"/>
      <w:r>
        <w:t xml:space="preserve">, M. A., </w:t>
      </w:r>
      <w:proofErr w:type="spellStart"/>
      <w:r>
        <w:t>Newcorn</w:t>
      </w:r>
      <w:proofErr w:type="spellEnd"/>
      <w:r>
        <w:t xml:space="preserve">, J. H., Gignac, M., Al Saud, N. M., Manor, I., Rohde, L. A., Yang, L., Cortese, S., Almagor, D., Stein, M. A., </w:t>
      </w:r>
      <w:proofErr w:type="spellStart"/>
      <w:r>
        <w:t>Albatti</w:t>
      </w:r>
      <w:proofErr w:type="spellEnd"/>
      <w:r>
        <w:t xml:space="preserve">, T. H., </w:t>
      </w:r>
      <w:proofErr w:type="spellStart"/>
      <w:r>
        <w:t>Aljoudi</w:t>
      </w:r>
      <w:proofErr w:type="spellEnd"/>
      <w:r>
        <w:t>, H. F., Alqahtani, M</w:t>
      </w:r>
      <w:r>
        <w:t xml:space="preserve">. M. J., Asherson, P., . . . Wang, Y. (2021). The World Federation of ADHD international consensus statement: 208 evidence-based conclusions about the disorder. </w:t>
      </w:r>
      <w:r>
        <w:rPr>
          <w:i/>
          <w:iCs/>
        </w:rPr>
        <w:t>Neuroscience &amp; Biobehavioral Reviews, 128</w:t>
      </w:r>
      <w:r>
        <w:t>, 789–818. https://doi.org/10.1016/j.neubiorev.2021.01</w:t>
      </w:r>
      <w:r>
        <w:t>.022</w:t>
      </w:r>
    </w:p>
    <w:p w14:paraId="349B235D" w14:textId="77777777" w:rsidR="001157F7" w:rsidRDefault="002C716A" w:rsidP="00B71AE8">
      <w:pPr>
        <w:pStyle w:val="BodyText"/>
        <w:spacing w:before="100" w:beforeAutospacing="1" w:after="100" w:afterAutospacing="1" w:line="240" w:lineRule="auto"/>
        <w:ind w:left="720" w:hanging="720"/>
      </w:pPr>
      <w:proofErr w:type="spellStart"/>
      <w:r>
        <w:t>Frisira</w:t>
      </w:r>
      <w:proofErr w:type="spellEnd"/>
      <w:r>
        <w:t xml:space="preserve">, E., Holland, J., &amp; Sayal, K. (2025). Systematic review and meta-analysis: Relative age in attention-deficit/hyperactivity disorder and autism spectrum disorder. </w:t>
      </w:r>
      <w:r>
        <w:rPr>
          <w:i/>
          <w:iCs/>
        </w:rPr>
        <w:t>European Child &amp; Adolescent Psychiatry, 34</w:t>
      </w:r>
      <w:r>
        <w:t>(2), 381–401. https://doi.org/10.1007/s</w:t>
      </w:r>
      <w:r>
        <w:t>00787-024-02459-x</w:t>
      </w:r>
    </w:p>
    <w:p w14:paraId="3EA867C0" w14:textId="77777777" w:rsidR="001157F7" w:rsidRDefault="002C716A" w:rsidP="00B71AE8">
      <w:pPr>
        <w:pStyle w:val="BodyText"/>
        <w:spacing w:before="100" w:beforeAutospacing="1" w:after="100" w:afterAutospacing="1" w:line="240" w:lineRule="auto"/>
        <w:ind w:left="720" w:hanging="720"/>
      </w:pPr>
      <w:r>
        <w:t xml:space="preserve">Fu, X., Feng, L., Jiang, M., &amp; Li, J. (2026). Baseline omega-3 nutritional status and supplementation response in pediatric attention-deficit/hyperactivity disorder: A systematic review and biomarker-stratified meta-analysis. </w:t>
      </w:r>
      <w:r>
        <w:rPr>
          <w:i/>
          <w:iCs/>
        </w:rPr>
        <w:t>Frontiers in</w:t>
      </w:r>
      <w:r>
        <w:rPr>
          <w:i/>
          <w:iCs/>
        </w:rPr>
        <w:t xml:space="preserve"> Public Health, 14</w:t>
      </w:r>
      <w:r>
        <w:t>, Article 1844881. https://doi.org/10.3389/fpubh.2026.1844881</w:t>
      </w:r>
    </w:p>
    <w:p w14:paraId="5DA0F6BB" w14:textId="77777777" w:rsidR="001157F7" w:rsidRDefault="002C716A" w:rsidP="00B71AE8">
      <w:pPr>
        <w:pStyle w:val="BodyText"/>
        <w:spacing w:before="100" w:beforeAutospacing="1" w:after="100" w:afterAutospacing="1" w:line="240" w:lineRule="auto"/>
        <w:ind w:left="720" w:hanging="720"/>
      </w:pPr>
      <w:proofErr w:type="spellStart"/>
      <w:r>
        <w:t>Fusetto</w:t>
      </w:r>
      <w:proofErr w:type="spellEnd"/>
      <w:r>
        <w:t xml:space="preserve"> </w:t>
      </w:r>
      <w:proofErr w:type="spellStart"/>
      <w:r>
        <w:t>Veronesi</w:t>
      </w:r>
      <w:proofErr w:type="spellEnd"/>
      <w:r>
        <w:t xml:space="preserve">, G., Tarantino, F., Pirolo, D., &amp; Cortese, S. (2026). The evolving pharmacological landscape for </w:t>
      </w:r>
      <w:proofErr w:type="spellStart"/>
      <w:r>
        <w:t>paediatric</w:t>
      </w:r>
      <w:proofErr w:type="spellEnd"/>
      <w:r>
        <w:t xml:space="preserve"> and adult ADHD. </w:t>
      </w:r>
      <w:r>
        <w:rPr>
          <w:i/>
          <w:iCs/>
        </w:rPr>
        <w:t>CNS Drugs, 40</w:t>
      </w:r>
      <w:r>
        <w:t>(7), 901–920. https://</w:t>
      </w:r>
      <w:r>
        <w:t>doi.org/10.1007/s40263-026-01299-4</w:t>
      </w:r>
    </w:p>
    <w:p w14:paraId="032656CD" w14:textId="77777777" w:rsidR="001157F7" w:rsidRDefault="002C716A" w:rsidP="00B71AE8">
      <w:pPr>
        <w:pStyle w:val="BodyText"/>
        <w:spacing w:before="100" w:beforeAutospacing="1" w:after="100" w:afterAutospacing="1" w:line="240" w:lineRule="auto"/>
        <w:ind w:left="720" w:hanging="720"/>
      </w:pPr>
      <w:r>
        <w:t xml:space="preserve">Gao, T., Wei, Z., Liang, G., Zhao, P., Wang, L., &amp; Fan, Y. (2026). The </w:t>
      </w:r>
      <w:proofErr w:type="spellStart"/>
      <w:r>
        <w:t>fNIRS</w:t>
      </w:r>
      <w:proofErr w:type="spellEnd"/>
      <w:r>
        <w:t xml:space="preserve"> landscape of ADHD: Device specifications, neural markers, and AI classification. </w:t>
      </w:r>
      <w:r>
        <w:rPr>
          <w:i/>
          <w:iCs/>
        </w:rPr>
        <w:t>Annals of the New York Academy of Sciences, 1556</w:t>
      </w:r>
      <w:r>
        <w:t xml:space="preserve">(1), Article </w:t>
      </w:r>
      <w:r>
        <w:t>e70209. https://doi.org/10.1111/nyas.70209</w:t>
      </w:r>
    </w:p>
    <w:p w14:paraId="70DCBB67" w14:textId="77777777" w:rsidR="001157F7" w:rsidRDefault="002C716A" w:rsidP="00B71AE8">
      <w:pPr>
        <w:pStyle w:val="BodyText"/>
        <w:spacing w:before="100" w:beforeAutospacing="1" w:after="100" w:afterAutospacing="1" w:line="240" w:lineRule="auto"/>
        <w:ind w:left="720" w:hanging="720"/>
      </w:pPr>
      <w:r>
        <w:t xml:space="preserve">GBD 2023 Mental Disorder Collaborators. (2026). Updated trends in the global prevalence and burden of mental disorders, 1990–2023: A systematic analysis for the Global Burden of Disease Study 2023. </w:t>
      </w:r>
      <w:r>
        <w:rPr>
          <w:i/>
          <w:iCs/>
        </w:rPr>
        <w:t>The Lancet, 407</w:t>
      </w:r>
      <w:r>
        <w:t>(10543), 2040–2064. https://doi.org/10.1016/S0140-6736(26)00519-2</w:t>
      </w:r>
    </w:p>
    <w:p w14:paraId="5F0E62D1" w14:textId="77777777" w:rsidR="001157F7" w:rsidRDefault="002C716A" w:rsidP="00B71AE8">
      <w:pPr>
        <w:pStyle w:val="BodyText"/>
        <w:spacing w:before="100" w:beforeAutospacing="1" w:after="100" w:afterAutospacing="1" w:line="240" w:lineRule="auto"/>
        <w:ind w:left="720" w:hanging="720"/>
      </w:pPr>
      <w:r>
        <w:t xml:space="preserve">Glenn, A. L., Hunter, S., &amp; Thompson, O. K. (2026). A meta-analysis of the prevalence of ADHD in youth across racial and ethnic groups. </w:t>
      </w:r>
      <w:r>
        <w:rPr>
          <w:i/>
          <w:iCs/>
        </w:rPr>
        <w:t>Journal of Clinical Child &amp; Adolescent Psychology, 55</w:t>
      </w:r>
      <w:r>
        <w:t>(</w:t>
      </w:r>
      <w:r>
        <w:t>4), 673–687. https://doi.org/10.1080/15374416.2025.2592952</w:t>
      </w:r>
    </w:p>
    <w:p w14:paraId="45F1DB32" w14:textId="77777777" w:rsidR="001157F7" w:rsidRDefault="002C716A" w:rsidP="00B71AE8">
      <w:pPr>
        <w:pStyle w:val="BodyText"/>
        <w:spacing w:before="100" w:beforeAutospacing="1" w:after="100" w:afterAutospacing="1" w:line="240" w:lineRule="auto"/>
        <w:ind w:left="720" w:hanging="720"/>
      </w:pPr>
      <w:r>
        <w:t>Hollis, C., Hall, C. L., Guo, B., James, M., Boadu, J., Groom, M. J., Brown, N., Kaylor-Hughes, C., Moldavsky, M., Valentine, A. Z., Walker, G. M., Daley, D., Sayal, K., &amp; Morriss, R. (2018). The i</w:t>
      </w:r>
      <w:r>
        <w:t xml:space="preserve">mpact of a </w:t>
      </w:r>
      <w:proofErr w:type="spellStart"/>
      <w:r>
        <w:t>computerised</w:t>
      </w:r>
      <w:proofErr w:type="spellEnd"/>
      <w:r>
        <w:t xml:space="preserve"> test of attention and activity (</w:t>
      </w:r>
      <w:proofErr w:type="spellStart"/>
      <w:r>
        <w:t>QbTest</w:t>
      </w:r>
      <w:proofErr w:type="spellEnd"/>
      <w:r>
        <w:t xml:space="preserve">) on diagnostic </w:t>
      </w:r>
      <w:r>
        <w:lastRenderedPageBreak/>
        <w:t xml:space="preserve">decision-making in children and young people with suspected attention deficit hyperactivity disorder: Single-blind </w:t>
      </w:r>
      <w:proofErr w:type="spellStart"/>
      <w:r>
        <w:t>randomised</w:t>
      </w:r>
      <w:proofErr w:type="spellEnd"/>
      <w:r>
        <w:t xml:space="preserve"> controlled trial. </w:t>
      </w:r>
      <w:r>
        <w:rPr>
          <w:i/>
          <w:iCs/>
        </w:rPr>
        <w:t>Journal of Child Psychology and Ps</w:t>
      </w:r>
      <w:r>
        <w:rPr>
          <w:i/>
          <w:iCs/>
        </w:rPr>
        <w:t>ychiatry, 59</w:t>
      </w:r>
      <w:r>
        <w:t>(12), 1298–1308. https://doi.org/10.1111/jcpp.12921</w:t>
      </w:r>
    </w:p>
    <w:p w14:paraId="6A72DCE3" w14:textId="77777777" w:rsidR="001157F7" w:rsidRDefault="002C716A" w:rsidP="00B71AE8">
      <w:pPr>
        <w:pStyle w:val="BodyText"/>
        <w:spacing w:before="100" w:beforeAutospacing="1" w:after="100" w:afterAutospacing="1" w:line="240" w:lineRule="auto"/>
        <w:ind w:left="720" w:hanging="720"/>
      </w:pPr>
      <w:proofErr w:type="spellStart"/>
      <w:r>
        <w:t>Hoogman</w:t>
      </w:r>
      <w:proofErr w:type="spellEnd"/>
      <w:r>
        <w:t xml:space="preserve">, M., </w:t>
      </w:r>
      <w:proofErr w:type="spellStart"/>
      <w:r>
        <w:t>Bralten</w:t>
      </w:r>
      <w:proofErr w:type="spellEnd"/>
      <w:r>
        <w:t xml:space="preserve">, J., </w:t>
      </w:r>
      <w:proofErr w:type="spellStart"/>
      <w:r>
        <w:t>Hibar</w:t>
      </w:r>
      <w:proofErr w:type="spellEnd"/>
      <w:r>
        <w:t xml:space="preserve">, D. P., Mennes, M., Zwiers, M. P., Schweren, L. S. J., van </w:t>
      </w:r>
      <w:proofErr w:type="spellStart"/>
      <w:r>
        <w:t>Hulzen</w:t>
      </w:r>
      <w:proofErr w:type="spellEnd"/>
      <w:r>
        <w:t xml:space="preserve">, K. J. E., Medland, S. E., Shumskaya, E., Jahanshad, N., Zeeuw, P., Szekely, E., </w:t>
      </w:r>
      <w:proofErr w:type="spellStart"/>
      <w:r>
        <w:t>Sudre</w:t>
      </w:r>
      <w:proofErr w:type="spellEnd"/>
      <w:r>
        <w:t>, G., Wo</w:t>
      </w:r>
      <w:r>
        <w:t xml:space="preserve">lfers, T., </w:t>
      </w:r>
      <w:proofErr w:type="spellStart"/>
      <w:r>
        <w:t>Onnink</w:t>
      </w:r>
      <w:proofErr w:type="spellEnd"/>
      <w:r>
        <w:t>, A. M. H., Dammers, J. T., Mostert, J. C., Vives-Gilabert, Y., Kohls, G., . . . Franke, B. (2017). Subcortical brain volume differences in participants with attention deficit hyperactivity disorder in children and adults: A cross-sectiona</w:t>
      </w:r>
      <w:r>
        <w:t xml:space="preserve">l mega-analysis. </w:t>
      </w:r>
      <w:r>
        <w:rPr>
          <w:i/>
          <w:iCs/>
        </w:rPr>
        <w:t>The Lancet Psychiatry, 4</w:t>
      </w:r>
      <w:r>
        <w:t>(4), 310–319. https://doi.org/10.1016/S2215-0366(17)30049-4</w:t>
      </w:r>
    </w:p>
    <w:p w14:paraId="5390D47E" w14:textId="77777777" w:rsidR="001157F7" w:rsidRDefault="002C716A" w:rsidP="00B71AE8">
      <w:pPr>
        <w:pStyle w:val="BodyText"/>
        <w:spacing w:before="100" w:beforeAutospacing="1" w:after="100" w:afterAutospacing="1" w:line="240" w:lineRule="auto"/>
        <w:ind w:left="720" w:hanging="720"/>
      </w:pPr>
      <w:proofErr w:type="spellStart"/>
      <w:r>
        <w:t>Hoogman</w:t>
      </w:r>
      <w:proofErr w:type="spellEnd"/>
      <w:r>
        <w:t xml:space="preserve">, M., Muetzel, R., Guimaraes, J. P., Shumskaya, E., Mennes, M., Zwiers, M. P., Jahanshad, N., </w:t>
      </w:r>
      <w:proofErr w:type="spellStart"/>
      <w:r>
        <w:t>Sudre</w:t>
      </w:r>
      <w:proofErr w:type="spellEnd"/>
      <w:r>
        <w:t>, G., Wolfers, T., Earl, E. A., Soliva Vila, J. C</w:t>
      </w:r>
      <w:r>
        <w:t xml:space="preserve">., Vives-Gilabert, Y., Khadka, S., Novotny, S. E., Hartman, C. A., </w:t>
      </w:r>
      <w:proofErr w:type="spellStart"/>
      <w:r>
        <w:t>Heslenfeld</w:t>
      </w:r>
      <w:proofErr w:type="spellEnd"/>
      <w:r>
        <w:t xml:space="preserve">, D. J., Schweren, L. J. S., Ambrosino, S., </w:t>
      </w:r>
      <w:proofErr w:type="spellStart"/>
      <w:r>
        <w:t>Oranje</w:t>
      </w:r>
      <w:proofErr w:type="spellEnd"/>
      <w:r>
        <w:t>, B., . . . Franke, B. (2019). Brain imaging of the cortex in ADHD: A coordinated analysis of large-scale clinical and population</w:t>
      </w:r>
      <w:r>
        <w:t xml:space="preserve">-based samples. </w:t>
      </w:r>
      <w:r>
        <w:rPr>
          <w:i/>
          <w:iCs/>
        </w:rPr>
        <w:t>American Journal of Psychiatry, 176</w:t>
      </w:r>
      <w:r>
        <w:t>(7), 531–542. https://doi.org/10.1176/appi.ajp.2019.18091033</w:t>
      </w:r>
    </w:p>
    <w:p w14:paraId="7634D26B" w14:textId="77777777" w:rsidR="001157F7" w:rsidRDefault="002C716A" w:rsidP="00B71AE8">
      <w:pPr>
        <w:pStyle w:val="BodyText"/>
        <w:spacing w:before="100" w:beforeAutospacing="1" w:after="100" w:afterAutospacing="1" w:line="240" w:lineRule="auto"/>
        <w:ind w:left="720" w:hanging="720"/>
      </w:pPr>
      <w:r>
        <w:t>Kazda, L., Bell, K., Thomas, R., McGeechan, K., Sims, R., &amp; Barratt, A. (2021). Overdiagnosis of attention-deficit/hyperactivity disorder in chi</w:t>
      </w:r>
      <w:r>
        <w:t xml:space="preserve">ldren and adolescents: A systematic scoping review. </w:t>
      </w:r>
      <w:r>
        <w:rPr>
          <w:i/>
          <w:iCs/>
        </w:rPr>
        <w:t>JAMA Network Open, 4</w:t>
      </w:r>
      <w:r>
        <w:t>(4), Article e215335. https://doi.org/10.1001/jamanetworkopen.2021.5335</w:t>
      </w:r>
    </w:p>
    <w:p w14:paraId="63793B3F" w14:textId="77777777" w:rsidR="001157F7" w:rsidRDefault="002C716A" w:rsidP="00B71AE8">
      <w:pPr>
        <w:pStyle w:val="BodyText"/>
        <w:spacing w:before="100" w:beforeAutospacing="1" w:after="100" w:afterAutospacing="1" w:line="240" w:lineRule="auto"/>
        <w:ind w:left="720" w:hanging="720"/>
      </w:pPr>
      <w:r>
        <w:t xml:space="preserve">Kollins, S. H., </w:t>
      </w:r>
      <w:proofErr w:type="spellStart"/>
      <w:r>
        <w:t>DeLoss</w:t>
      </w:r>
      <w:proofErr w:type="spellEnd"/>
      <w:r>
        <w:t xml:space="preserve">, D. J., Cañadas, E., Lutz, J., Findling, R. L., Keefe, R. S. E., Epstein, J. N., Cutler, </w:t>
      </w:r>
      <w:r>
        <w:t xml:space="preserve">A. J., &amp; Faraone, S. V. (2020). A novel digital intervention for actively reducing severity of </w:t>
      </w:r>
      <w:proofErr w:type="spellStart"/>
      <w:r>
        <w:t>paediatric</w:t>
      </w:r>
      <w:proofErr w:type="spellEnd"/>
      <w:r>
        <w:t xml:space="preserve"> ADHD (STARS-ADHD): A </w:t>
      </w:r>
      <w:proofErr w:type="spellStart"/>
      <w:r>
        <w:t>randomised</w:t>
      </w:r>
      <w:proofErr w:type="spellEnd"/>
      <w:r>
        <w:t xml:space="preserve"> controlled trial. </w:t>
      </w:r>
      <w:r>
        <w:rPr>
          <w:i/>
          <w:iCs/>
        </w:rPr>
        <w:t>The Lancet Digital Health, 2</w:t>
      </w:r>
      <w:r>
        <w:t>(4), e168–e178. https://doi.org/10.1016/S2589-7500(20)30017-0</w:t>
      </w:r>
    </w:p>
    <w:p w14:paraId="3CE2BAC6" w14:textId="77777777" w:rsidR="001157F7" w:rsidRDefault="002C716A" w:rsidP="00B71AE8">
      <w:pPr>
        <w:pStyle w:val="BodyText"/>
        <w:spacing w:before="100" w:beforeAutospacing="1" w:after="100" w:afterAutospacing="1" w:line="240" w:lineRule="auto"/>
        <w:ind w:left="720" w:hanging="720"/>
      </w:pPr>
      <w:r>
        <w:t>Leow, B. H</w:t>
      </w:r>
      <w:r>
        <w:t>. W., Tan, C. J.-W., Yeo, B. S. Y., Ng, N. N. E., Low, S. C. Y., Ng, A. C. W., Teoh, O. H., Toh, S. T., &amp; Tay, E. G. H. (2026). Association between attention deficit hyperactivity disorder and obstructive sleep apnea in children: A systematic review and me</w:t>
      </w:r>
      <w:r>
        <w:t xml:space="preserve">ta-analysis. </w:t>
      </w:r>
      <w:r>
        <w:rPr>
          <w:i/>
          <w:iCs/>
        </w:rPr>
        <w:t>Journal of Attention Disorders, 30</w:t>
      </w:r>
      <w:r>
        <w:t>(6), 822–832. https://doi.org/10.1177/10870547261426094</w:t>
      </w:r>
    </w:p>
    <w:p w14:paraId="6124246E" w14:textId="77777777" w:rsidR="001157F7" w:rsidRDefault="002C716A" w:rsidP="00B71AE8">
      <w:pPr>
        <w:pStyle w:val="BodyText"/>
        <w:spacing w:before="100" w:beforeAutospacing="1" w:after="100" w:afterAutospacing="1" w:line="240" w:lineRule="auto"/>
        <w:ind w:left="720" w:hanging="720"/>
      </w:pPr>
      <w:r>
        <w:t>Mei, J., Zhang, W., &amp; Bin, J. (2026). Effectiveness of different digital interventions on symptoms for children and adolescents with attention-deficit/hy</w:t>
      </w:r>
      <w:r>
        <w:t xml:space="preserve">peractivity disorder: A network meta-analysis. </w:t>
      </w:r>
      <w:r>
        <w:rPr>
          <w:i/>
          <w:iCs/>
        </w:rPr>
        <w:t>Frontiers in Psychiatry, 17</w:t>
      </w:r>
      <w:r>
        <w:t>, Article 1747368. https://doi.org/10.3389/fpsyt.2026.1747368</w:t>
      </w:r>
    </w:p>
    <w:p w14:paraId="42967C62" w14:textId="77777777" w:rsidR="001157F7" w:rsidRDefault="002C716A" w:rsidP="00B71AE8">
      <w:pPr>
        <w:pStyle w:val="BodyText"/>
        <w:spacing w:before="100" w:beforeAutospacing="1" w:after="100" w:afterAutospacing="1" w:line="240" w:lineRule="auto"/>
        <w:ind w:left="720" w:hanging="720"/>
      </w:pPr>
      <w:r>
        <w:t xml:space="preserve">National Institute for Health and Care Excellence. (2019). </w:t>
      </w:r>
      <w:r>
        <w:rPr>
          <w:i/>
          <w:iCs/>
        </w:rPr>
        <w:t>Attention deficit hyperactivity disorder: Diagnosis and manag</w:t>
      </w:r>
      <w:r>
        <w:rPr>
          <w:i/>
          <w:iCs/>
        </w:rPr>
        <w:t>ement</w:t>
      </w:r>
      <w:r>
        <w:t xml:space="preserve"> (NICE guideline NG87). https://www.nice.org.uk/guidance/ng87</w:t>
      </w:r>
    </w:p>
    <w:p w14:paraId="222E8F13" w14:textId="77777777" w:rsidR="001157F7" w:rsidRDefault="002C716A" w:rsidP="00B71AE8">
      <w:pPr>
        <w:pStyle w:val="BodyText"/>
        <w:spacing w:before="100" w:beforeAutospacing="1" w:after="100" w:afterAutospacing="1" w:line="240" w:lineRule="auto"/>
        <w:ind w:left="720" w:hanging="720"/>
      </w:pPr>
      <w:r>
        <w:lastRenderedPageBreak/>
        <w:t xml:space="preserve">Neurofeedback Collaborative Group. (2021). Double-blind placebo-controlled randomized clinical trial of neurofeedback for attention-deficit/hyperactivity disorder with 13-month follow-up. </w:t>
      </w:r>
      <w:r>
        <w:rPr>
          <w:i/>
          <w:iCs/>
        </w:rPr>
        <w:t>J</w:t>
      </w:r>
      <w:r>
        <w:rPr>
          <w:i/>
          <w:iCs/>
        </w:rPr>
        <w:t>ournal of the American Academy of Child &amp; Adolescent Psychiatry, 60</w:t>
      </w:r>
      <w:r>
        <w:t>(7), 841–855. https://doi.org/10.1016/j.jaac.2020.07.906</w:t>
      </w:r>
    </w:p>
    <w:p w14:paraId="6F338CB6" w14:textId="77777777" w:rsidR="001157F7" w:rsidRDefault="002C716A" w:rsidP="00B71AE8">
      <w:pPr>
        <w:pStyle w:val="BodyText"/>
        <w:spacing w:before="100" w:beforeAutospacing="1" w:after="100" w:afterAutospacing="1" w:line="240" w:lineRule="auto"/>
        <w:ind w:left="720" w:hanging="720"/>
      </w:pPr>
      <w:proofErr w:type="spellStart"/>
      <w:r>
        <w:t>Nourredine</w:t>
      </w:r>
      <w:proofErr w:type="spellEnd"/>
      <w:r>
        <w:t xml:space="preserve">, M., Jurek, L., Hamza, T., Cipriani, A., </w:t>
      </w:r>
      <w:proofErr w:type="spellStart"/>
      <w:r>
        <w:t>Subtil</w:t>
      </w:r>
      <w:proofErr w:type="spellEnd"/>
      <w:r>
        <w:t xml:space="preserve">, F., </w:t>
      </w:r>
      <w:proofErr w:type="spellStart"/>
      <w:r>
        <w:t>Parlatini</w:t>
      </w:r>
      <w:proofErr w:type="spellEnd"/>
      <w:r>
        <w:t>, V., Farhat, L. C., Veronesi, G. F., Efthimiou, O., Salant</w:t>
      </w:r>
      <w:r>
        <w:t xml:space="preserve">i, G., &amp; Cortese, S. (2026). Pharmacological interventions for ADHD: A systematic review and dose-effect network meta-analysis. </w:t>
      </w:r>
      <w:r>
        <w:rPr>
          <w:i/>
          <w:iCs/>
        </w:rPr>
        <w:t>The Lancet Psychiatry, 13</w:t>
      </w:r>
      <w:r>
        <w:t>(6), 485–495. https://doi.org/10.1016/S2215-0366(26)00091-X</w:t>
      </w:r>
    </w:p>
    <w:p w14:paraId="27AA26E4" w14:textId="77777777" w:rsidR="001157F7" w:rsidRDefault="002C716A" w:rsidP="00B71AE8">
      <w:pPr>
        <w:pStyle w:val="BodyText"/>
        <w:spacing w:before="100" w:beforeAutospacing="1" w:after="100" w:afterAutospacing="1" w:line="240" w:lineRule="auto"/>
        <w:ind w:left="720" w:hanging="720"/>
      </w:pPr>
      <w:r>
        <w:t>Ostinelli, E. G., Schulze, M., Zangani, C.,</w:t>
      </w:r>
      <w:r>
        <w:t xml:space="preserve"> Farhat, L. C., Tomlinson, A., Del Giovane, C., Chamberlain, S. R., Philipsen, A., Young, S., Cowen, P. J., </w:t>
      </w:r>
      <w:proofErr w:type="spellStart"/>
      <w:r>
        <w:t>Bilbow</w:t>
      </w:r>
      <w:proofErr w:type="spellEnd"/>
      <w:r>
        <w:t xml:space="preserve">, A., Cipriani, A., &amp; Cortese, S. (2025). Comparative efficacy and acceptability of pharmacological, psychological, and </w:t>
      </w:r>
      <w:proofErr w:type="spellStart"/>
      <w:r>
        <w:t>neurostimulatory</w:t>
      </w:r>
      <w:proofErr w:type="spellEnd"/>
      <w:r>
        <w:t xml:space="preserve"> inter</w:t>
      </w:r>
      <w:r>
        <w:t xml:space="preserve">ventions for ADHD in adults: A systematic review and component network meta-analysis. </w:t>
      </w:r>
      <w:r>
        <w:rPr>
          <w:i/>
          <w:iCs/>
        </w:rPr>
        <w:t>The Lancet Psychiatry, 12</w:t>
      </w:r>
      <w:r>
        <w:t>(1), 32–43. https://doi.org/10.1016/S2215-0366(24)00360-2</w:t>
      </w:r>
    </w:p>
    <w:p w14:paraId="45A2CD92" w14:textId="77777777" w:rsidR="001157F7" w:rsidRDefault="002C716A" w:rsidP="00B71AE8">
      <w:pPr>
        <w:pStyle w:val="BodyText"/>
        <w:spacing w:before="100" w:beforeAutospacing="1" w:after="100" w:afterAutospacing="1" w:line="240" w:lineRule="auto"/>
        <w:ind w:left="720" w:hanging="720"/>
      </w:pPr>
      <w:proofErr w:type="spellStart"/>
      <w:r>
        <w:t>Polanczyk</w:t>
      </w:r>
      <w:proofErr w:type="spellEnd"/>
      <w:r>
        <w:t>, G. V., Willcutt, E. G., Salum, G. A., Kieling, C., &amp; Rohde, L. A. (2014). AD</w:t>
      </w:r>
      <w:r>
        <w:t xml:space="preserve">HD prevalence estimates across three decades: An updated systematic review and meta-regression analysis. </w:t>
      </w:r>
      <w:r>
        <w:rPr>
          <w:i/>
          <w:iCs/>
        </w:rPr>
        <w:t>International Journal of Epidemiology, 43</w:t>
      </w:r>
      <w:r>
        <w:t>(2), 434–442. https://doi.org/10.1093/ije/dyt261</w:t>
      </w:r>
    </w:p>
    <w:p w14:paraId="11B54497" w14:textId="77777777" w:rsidR="001157F7" w:rsidRDefault="002C716A" w:rsidP="00B71AE8">
      <w:pPr>
        <w:pStyle w:val="BodyText"/>
        <w:spacing w:before="100" w:beforeAutospacing="1" w:after="100" w:afterAutospacing="1" w:line="240" w:lineRule="auto"/>
        <w:ind w:left="720" w:hanging="720"/>
      </w:pPr>
      <w:proofErr w:type="spellStart"/>
      <w:r>
        <w:t>Popit</w:t>
      </w:r>
      <w:proofErr w:type="spellEnd"/>
      <w:r>
        <w:t xml:space="preserve">, S., Pfeifer, S., Locatelli, I., &amp; </w:t>
      </w:r>
      <w:proofErr w:type="spellStart"/>
      <w:r>
        <w:t>Stuhec</w:t>
      </w:r>
      <w:proofErr w:type="spellEnd"/>
      <w:r>
        <w:t>, M. (2026). P</w:t>
      </w:r>
      <w:r>
        <w:t xml:space="preserve">revalence of pharmacologically treated attention deficit hyperactivity disorder in children, adolescents, and adults: Systematic review and meta-analysis. </w:t>
      </w:r>
      <w:r>
        <w:rPr>
          <w:i/>
          <w:iCs/>
        </w:rPr>
        <w:t>Frontiers in Psychiatry, 17</w:t>
      </w:r>
      <w:r>
        <w:t>, Article 1854611. https://doi.org/10.3389/fpsyt.2026.1854611</w:t>
      </w:r>
    </w:p>
    <w:p w14:paraId="72151391" w14:textId="77777777" w:rsidR="001157F7" w:rsidRDefault="002C716A" w:rsidP="00B71AE8">
      <w:pPr>
        <w:pStyle w:val="BodyText"/>
        <w:spacing w:before="100" w:beforeAutospacing="1" w:after="100" w:afterAutospacing="1" w:line="240" w:lineRule="auto"/>
        <w:ind w:left="720" w:hanging="720"/>
      </w:pPr>
      <w:proofErr w:type="spellStart"/>
      <w:r>
        <w:t>Psyllou</w:t>
      </w:r>
      <w:proofErr w:type="spellEnd"/>
      <w:r>
        <w:t>, C.,</w:t>
      </w:r>
      <w:r>
        <w:t xml:space="preserve"> Luman, M., van den Hoofdakker, B. J., Van der Oord, S., </w:t>
      </w:r>
      <w:proofErr w:type="spellStart"/>
      <w:r>
        <w:t>Aghebati</w:t>
      </w:r>
      <w:proofErr w:type="spellEnd"/>
      <w:r>
        <w:t xml:space="preserve">, A., Boyer, B., </w:t>
      </w:r>
      <w:proofErr w:type="spellStart"/>
      <w:r>
        <w:t>Buitelaar</w:t>
      </w:r>
      <w:proofErr w:type="spellEnd"/>
      <w:r>
        <w:t xml:space="preserve">, J., Chronis-Tuscano, A., Daley, D., Dekkers, T. J., DuPaul, G. J., Fabiano, G. A., Ferrin, M., Franke, N., </w:t>
      </w:r>
      <w:proofErr w:type="spellStart"/>
      <w:r>
        <w:t>Tsahor</w:t>
      </w:r>
      <w:proofErr w:type="spellEnd"/>
      <w:r>
        <w:t>, N. G., Harvey, E., Hennig, T., Herbert, S., Hoek</w:t>
      </w:r>
      <w:r>
        <w:t xml:space="preserve">stra, P. J., . . . </w:t>
      </w:r>
      <w:proofErr w:type="spellStart"/>
      <w:r>
        <w:t>Groenman</w:t>
      </w:r>
      <w:proofErr w:type="spellEnd"/>
      <w:r>
        <w:t xml:space="preserve">, A. P. (2025). Research review: Mechanisms of change and between-family differences in parenting interventions for children with ADHD – An individual participant data meta-analysis. </w:t>
      </w:r>
      <w:r>
        <w:rPr>
          <w:i/>
          <w:iCs/>
        </w:rPr>
        <w:t>Journal of Child Psychology and Psychiatry, 66</w:t>
      </w:r>
      <w:r>
        <w:t>(9), 1304–1319. https://doi.org/10.1111/jcpp.14120</w:t>
      </w:r>
    </w:p>
    <w:p w14:paraId="2D9CA327" w14:textId="77777777" w:rsidR="001157F7" w:rsidRDefault="002C716A" w:rsidP="00B71AE8">
      <w:pPr>
        <w:pStyle w:val="BodyText"/>
        <w:spacing w:before="100" w:beforeAutospacing="1" w:after="100" w:afterAutospacing="1" w:line="240" w:lineRule="auto"/>
        <w:ind w:left="720" w:hanging="720"/>
      </w:pPr>
      <w:r>
        <w:t xml:space="preserve">Rasool, A., Ahmad, F., </w:t>
      </w:r>
      <w:proofErr w:type="spellStart"/>
      <w:r>
        <w:t>Bunterngchit</w:t>
      </w:r>
      <w:proofErr w:type="spellEnd"/>
      <w:r>
        <w:t xml:space="preserve">, C., &amp; Aslam, S. (2026). Challenges in translating AI-driven ASD/ADHD diagnosis: A methodological systematic review. </w:t>
      </w:r>
      <w:r>
        <w:rPr>
          <w:i/>
          <w:iCs/>
        </w:rPr>
        <w:t>International Journal of Medical Informatics, 214</w:t>
      </w:r>
      <w:r>
        <w:t>, A</w:t>
      </w:r>
      <w:r>
        <w:t>rticle 106417. https://doi.org/10.1016/j.ijmedinf.2026.106417</w:t>
      </w:r>
    </w:p>
    <w:p w14:paraId="6D2BE436" w14:textId="77777777" w:rsidR="001157F7" w:rsidRDefault="002C716A" w:rsidP="00B71AE8">
      <w:pPr>
        <w:pStyle w:val="BodyText"/>
        <w:spacing w:before="100" w:beforeAutospacing="1" w:after="100" w:afterAutospacing="1" w:line="240" w:lineRule="auto"/>
        <w:ind w:left="720" w:hanging="720"/>
      </w:pPr>
      <w:proofErr w:type="spellStart"/>
      <w:r>
        <w:t>Ribasés</w:t>
      </w:r>
      <w:proofErr w:type="spellEnd"/>
      <w:r>
        <w:t xml:space="preserve">, M., Mitjans, M., Hartman, C. A., Soler Artigas, M., </w:t>
      </w:r>
      <w:proofErr w:type="spellStart"/>
      <w:r>
        <w:t>Demontis</w:t>
      </w:r>
      <w:proofErr w:type="spellEnd"/>
      <w:r>
        <w:t xml:space="preserve">, D., Larsson, H., Ramos-Quiroga, J. A., </w:t>
      </w:r>
      <w:proofErr w:type="spellStart"/>
      <w:r>
        <w:t>Kuntsi</w:t>
      </w:r>
      <w:proofErr w:type="spellEnd"/>
      <w:r>
        <w:t xml:space="preserve">, J., Faraone, S. V., Børglum, A. D., Reif, A., Franke, B., &amp; </w:t>
      </w:r>
      <w:proofErr w:type="spellStart"/>
      <w:r>
        <w:t>Cormand</w:t>
      </w:r>
      <w:proofErr w:type="spellEnd"/>
      <w:r>
        <w:t>, B. (202</w:t>
      </w:r>
      <w:r>
        <w:t xml:space="preserve">3). Genetic architecture of ADHD and overlap with other psychiatric disorders and cognition-related phenotypes. </w:t>
      </w:r>
      <w:r>
        <w:rPr>
          <w:i/>
          <w:iCs/>
        </w:rPr>
        <w:t>Neuroscience &amp; Biobehavioral Reviews, 153</w:t>
      </w:r>
      <w:r>
        <w:t>, Article 105313. https://doi.org/10.1016/j.neubiorev.2023.105313</w:t>
      </w:r>
    </w:p>
    <w:p w14:paraId="47DECBAD" w14:textId="77777777" w:rsidR="001157F7" w:rsidRDefault="002C716A" w:rsidP="00B71AE8">
      <w:pPr>
        <w:pStyle w:val="BodyText"/>
        <w:spacing w:before="100" w:beforeAutospacing="1" w:after="100" w:afterAutospacing="1" w:line="240" w:lineRule="auto"/>
        <w:ind w:left="720" w:hanging="720"/>
      </w:pPr>
      <w:r>
        <w:lastRenderedPageBreak/>
        <w:t xml:space="preserve">Riddle, M. A., </w:t>
      </w:r>
      <w:proofErr w:type="spellStart"/>
      <w:r>
        <w:t>Yershova</w:t>
      </w:r>
      <w:proofErr w:type="spellEnd"/>
      <w:r>
        <w:t>, K., Lazzaret</w:t>
      </w:r>
      <w:r>
        <w:t xml:space="preserve">to, D., </w:t>
      </w:r>
      <w:proofErr w:type="spellStart"/>
      <w:r>
        <w:t>Paykina</w:t>
      </w:r>
      <w:proofErr w:type="spellEnd"/>
      <w:r>
        <w:t xml:space="preserve">, N., </w:t>
      </w:r>
      <w:proofErr w:type="spellStart"/>
      <w:r>
        <w:t>Yenokyan</w:t>
      </w:r>
      <w:proofErr w:type="spellEnd"/>
      <w:r>
        <w:t xml:space="preserve">, G., Greenhill, L., </w:t>
      </w:r>
      <w:proofErr w:type="spellStart"/>
      <w:r>
        <w:t>Abikoff</w:t>
      </w:r>
      <w:proofErr w:type="spellEnd"/>
      <w:r>
        <w:t xml:space="preserve">, H., Vitiello, B., Wigal, T., McCracken, J. T., Kollins, S. H., Murray, D. W., Wigal, S., Kastelic, E., McGough, J. J., </w:t>
      </w:r>
      <w:proofErr w:type="spellStart"/>
      <w:r>
        <w:t>dosReis</w:t>
      </w:r>
      <w:proofErr w:type="spellEnd"/>
      <w:r>
        <w:t xml:space="preserve">, S., </w:t>
      </w:r>
      <w:proofErr w:type="spellStart"/>
      <w:r>
        <w:t>Bauzó</w:t>
      </w:r>
      <w:proofErr w:type="spellEnd"/>
      <w:r>
        <w:t>-Rosario, A., Stehli, A., &amp; Posner, K. (2013). The Preschool</w:t>
      </w:r>
      <w:r>
        <w:t xml:space="preserve"> Attention-Deficit/Hyperactivity Disorder Treatment Study (PATS) 6-year follow-up. </w:t>
      </w:r>
      <w:r>
        <w:rPr>
          <w:i/>
          <w:iCs/>
        </w:rPr>
        <w:t>Journal of the American Academy of Child &amp; Adolescent Psychiatry, 52</w:t>
      </w:r>
      <w:r>
        <w:t>(3), 264–278. https://doi.org/10.1016/j.jaac.2012.12.007</w:t>
      </w:r>
    </w:p>
    <w:p w14:paraId="49388097" w14:textId="77777777" w:rsidR="001157F7" w:rsidRDefault="002C716A" w:rsidP="00B71AE8">
      <w:pPr>
        <w:pStyle w:val="BodyText"/>
        <w:spacing w:before="100" w:beforeAutospacing="1" w:after="100" w:afterAutospacing="1" w:line="240" w:lineRule="auto"/>
        <w:ind w:left="720" w:hanging="720"/>
      </w:pPr>
      <w:r>
        <w:t xml:space="preserve">Sadozai, A. K., Sun, C., Demetriou, E. A., </w:t>
      </w:r>
      <w:proofErr w:type="spellStart"/>
      <w:r>
        <w:t>Lampi</w:t>
      </w:r>
      <w:r>
        <w:t>t</w:t>
      </w:r>
      <w:proofErr w:type="spellEnd"/>
      <w:r>
        <w:t xml:space="preserve">, A., Munro, M., Perry, N., Boulton, K. A., &amp; Guastella, A. J. (2024). Executive function in children with neurodevelopmental conditions: A systematic review and meta-analysis. </w:t>
      </w:r>
      <w:r>
        <w:rPr>
          <w:i/>
          <w:iCs/>
        </w:rPr>
        <w:t xml:space="preserve">Nature Human </w:t>
      </w:r>
      <w:proofErr w:type="spellStart"/>
      <w:r>
        <w:rPr>
          <w:i/>
          <w:iCs/>
        </w:rPr>
        <w:t>Behaviour</w:t>
      </w:r>
      <w:proofErr w:type="spellEnd"/>
      <w:r>
        <w:rPr>
          <w:i/>
          <w:iCs/>
        </w:rPr>
        <w:t>, 8</w:t>
      </w:r>
      <w:r>
        <w:t>(12), 2357–2366. https://doi.org/10.1038/s41562-024-0</w:t>
      </w:r>
      <w:r>
        <w:t>2000-9</w:t>
      </w:r>
    </w:p>
    <w:p w14:paraId="17AA0B68" w14:textId="77777777" w:rsidR="001157F7" w:rsidRDefault="002C716A" w:rsidP="00B71AE8">
      <w:pPr>
        <w:pStyle w:val="BodyText"/>
        <w:spacing w:before="100" w:beforeAutospacing="1" w:after="100" w:afterAutospacing="1" w:line="240" w:lineRule="auto"/>
        <w:ind w:left="720" w:hanging="720"/>
      </w:pPr>
      <w:r>
        <w:t xml:space="preserve">Salari, N., Ghasemi, H., Abdoli, N., Rahmani, A., Shiri, M. H., Hashemian, A. H., Akbari, H., &amp; Mohammadi, M. (2023). The global prevalence of ADHD in children and adolescents: A systematic review and meta-analysis. </w:t>
      </w:r>
      <w:r>
        <w:rPr>
          <w:i/>
          <w:iCs/>
        </w:rPr>
        <w:t>Italian Journal of Pediatrics, 49</w:t>
      </w:r>
      <w:r>
        <w:t>(1), Article 48. https://doi.org/10.1186/s13052-023-01456-1</w:t>
      </w:r>
    </w:p>
    <w:p w14:paraId="7184537E" w14:textId="77777777" w:rsidR="001157F7" w:rsidRDefault="002C716A" w:rsidP="00B71AE8">
      <w:pPr>
        <w:pStyle w:val="BodyText"/>
        <w:spacing w:before="100" w:beforeAutospacing="1" w:after="100" w:afterAutospacing="1" w:line="240" w:lineRule="auto"/>
        <w:ind w:left="720" w:hanging="720"/>
      </w:pPr>
      <w:r>
        <w:t xml:space="preserve">Salazar de Pablo, G., Aymerich, C., Chart-Pascual, J. P., Solmi, M., Torres-Cortes, J., </w:t>
      </w:r>
      <w:proofErr w:type="spellStart"/>
      <w:r>
        <w:t>Abdelhafez</w:t>
      </w:r>
      <w:proofErr w:type="spellEnd"/>
      <w:r>
        <w:t xml:space="preserve">, N., Catalan, A., Corbeil, O., Adamo, N., Shaw, P., </w:t>
      </w:r>
      <w:proofErr w:type="spellStart"/>
      <w:r>
        <w:t>Fusar-Poli</w:t>
      </w:r>
      <w:proofErr w:type="spellEnd"/>
      <w:r>
        <w:t>, P., &amp;</w:t>
      </w:r>
      <w:r>
        <w:t xml:space="preserve"> Cortese, S. (2025). Occurrence of psychosis and bipolar disorder in individuals with attention-deficit/hyperactivity disorder treated with stimulants: A systematic review and meta-analysis. </w:t>
      </w:r>
      <w:r>
        <w:rPr>
          <w:i/>
          <w:iCs/>
        </w:rPr>
        <w:t>JAMA Psychiatry, 82</w:t>
      </w:r>
      <w:r>
        <w:t>(11), 1103–1112. https://doi.org/10.1001/jamap</w:t>
      </w:r>
      <w:r>
        <w:t>sychiatry.2025.2311</w:t>
      </w:r>
    </w:p>
    <w:p w14:paraId="7C840A3F" w14:textId="77777777" w:rsidR="001157F7" w:rsidRDefault="002C716A" w:rsidP="00B71AE8">
      <w:pPr>
        <w:pStyle w:val="BodyText"/>
        <w:spacing w:before="100" w:beforeAutospacing="1" w:after="100" w:afterAutospacing="1" w:line="240" w:lineRule="auto"/>
        <w:ind w:left="720" w:hanging="720"/>
      </w:pPr>
      <w:r>
        <w:t xml:space="preserve">Sayal, K., Prasad, V., Daley, D., Ford, T., &amp; Coghill, D. (2018). ADHD in children and young people: Prevalence, care pathways, and service provision. </w:t>
      </w:r>
      <w:r>
        <w:rPr>
          <w:i/>
          <w:iCs/>
        </w:rPr>
        <w:t>The Lancet Psychiatry, 5</w:t>
      </w:r>
      <w:r>
        <w:t>(2), 175–186. https://doi.org/10.1016/S2215-0366(17)30167-0</w:t>
      </w:r>
    </w:p>
    <w:p w14:paraId="708A0E4A" w14:textId="77777777" w:rsidR="001157F7" w:rsidRDefault="002C716A" w:rsidP="00B71AE8">
      <w:pPr>
        <w:pStyle w:val="BodyText"/>
        <w:spacing w:before="100" w:beforeAutospacing="1" w:after="100" w:afterAutospacing="1" w:line="240" w:lineRule="auto"/>
        <w:ind w:left="720" w:hanging="720"/>
      </w:pPr>
      <w:r>
        <w:t>S</w:t>
      </w:r>
      <w:r>
        <w:t xml:space="preserve">ibley, M. H., Arnold, L. E., Swanson, J. M., Hechtman, L. T., Kennedy, T. M., Owens, E., Molina, B. S. G., Jensen, P. S., Hinshaw, S. P., Roy, A., Chronis-Tuscano, A., </w:t>
      </w:r>
      <w:proofErr w:type="spellStart"/>
      <w:r>
        <w:t>Newcorn</w:t>
      </w:r>
      <w:proofErr w:type="spellEnd"/>
      <w:r>
        <w:t>, J. H., &amp; Rohde, L. A. (2022). Variable patterns of remission from ADHD in the M</w:t>
      </w:r>
      <w:r>
        <w:t xml:space="preserve">ultimodal Treatment Study of ADHD. </w:t>
      </w:r>
      <w:r>
        <w:rPr>
          <w:i/>
          <w:iCs/>
        </w:rPr>
        <w:t>American Journal of Psychiatry, 179</w:t>
      </w:r>
      <w:r>
        <w:t>(2), 142–151. https://doi.org/10.1176/appi.ajp.2021.21010032</w:t>
      </w:r>
    </w:p>
    <w:p w14:paraId="7B533360" w14:textId="77777777" w:rsidR="001157F7" w:rsidRDefault="002C716A" w:rsidP="00B71AE8">
      <w:pPr>
        <w:pStyle w:val="BodyText"/>
        <w:spacing w:before="100" w:beforeAutospacing="1" w:after="100" w:afterAutospacing="1" w:line="240" w:lineRule="auto"/>
        <w:ind w:left="720" w:hanging="720"/>
      </w:pPr>
      <w:r>
        <w:t>Song, J., Park, S. J., Yu, J., Chung, J., Jeong, S., &amp;</w:t>
      </w:r>
      <w:r>
        <w:t xml:space="preserve"> Park, S. M. (2026). ADHD and methylphenidate use in prepubertal children and BMI and height at adulthood. </w:t>
      </w:r>
      <w:r>
        <w:rPr>
          <w:i/>
          <w:iCs/>
        </w:rPr>
        <w:t>JAMA Network Open, 9</w:t>
      </w:r>
      <w:r>
        <w:t>(1), Article e2552019. https://doi.org/10.1001/jamanetworkopen.2025.52019</w:t>
      </w:r>
    </w:p>
    <w:p w14:paraId="41E6EBE0" w14:textId="77777777" w:rsidR="001157F7" w:rsidRDefault="002C716A" w:rsidP="00B71AE8">
      <w:pPr>
        <w:pStyle w:val="BodyText"/>
        <w:spacing w:before="100" w:beforeAutospacing="1" w:after="100" w:afterAutospacing="1" w:line="240" w:lineRule="auto"/>
        <w:ind w:left="720" w:hanging="720"/>
      </w:pPr>
      <w:proofErr w:type="spellStart"/>
      <w:r>
        <w:t>Sonuga-Barke</w:t>
      </w:r>
      <w:proofErr w:type="spellEnd"/>
      <w:r>
        <w:t xml:space="preserve">, E. J., Brandeis, D., Cortese, S., Daley, </w:t>
      </w:r>
      <w:r>
        <w:t xml:space="preserve">D., Ferrin, M., Holtmann, M., Stevenson, J., </w:t>
      </w:r>
      <w:proofErr w:type="spellStart"/>
      <w:r>
        <w:t>Danckaerts</w:t>
      </w:r>
      <w:proofErr w:type="spellEnd"/>
      <w:r>
        <w:t xml:space="preserve">, M., van der Oord, S., Döpfner, M., Dittmann, R. W., Simonoff, E., </w:t>
      </w:r>
      <w:proofErr w:type="spellStart"/>
      <w:r>
        <w:t>Zuddas</w:t>
      </w:r>
      <w:proofErr w:type="spellEnd"/>
      <w:r>
        <w:t xml:space="preserve">, A., </w:t>
      </w:r>
      <w:proofErr w:type="spellStart"/>
      <w:r>
        <w:t>Banaschewski</w:t>
      </w:r>
      <w:proofErr w:type="spellEnd"/>
      <w:r>
        <w:t xml:space="preserve">, T., </w:t>
      </w:r>
      <w:proofErr w:type="spellStart"/>
      <w:r>
        <w:t>Buitelaar</w:t>
      </w:r>
      <w:proofErr w:type="spellEnd"/>
      <w:r>
        <w:t xml:space="preserve">, J., Coghill, D., Hollis, C., </w:t>
      </w:r>
      <w:proofErr w:type="spellStart"/>
      <w:r>
        <w:t>Konofal</w:t>
      </w:r>
      <w:proofErr w:type="spellEnd"/>
      <w:r>
        <w:t xml:space="preserve">, E., </w:t>
      </w:r>
      <w:proofErr w:type="spellStart"/>
      <w:r>
        <w:t>Lecendreux</w:t>
      </w:r>
      <w:proofErr w:type="spellEnd"/>
      <w:r>
        <w:t>, M., . . . Sergeant, J. (2013). Nonphar</w:t>
      </w:r>
      <w:r>
        <w:t xml:space="preserve">macological interventions for ADHD: Systematic review and meta-analyses of randomized controlled trials of dietary and psychological treatments. </w:t>
      </w:r>
      <w:r>
        <w:rPr>
          <w:i/>
          <w:iCs/>
        </w:rPr>
        <w:t>American Journal of Psychiatry, 170</w:t>
      </w:r>
      <w:r>
        <w:t>(3), 275–289. https://doi.org/10.1176/appi.ajp.2012.12070991</w:t>
      </w:r>
    </w:p>
    <w:p w14:paraId="52F3CFE8" w14:textId="77777777" w:rsidR="001157F7" w:rsidRDefault="002C716A" w:rsidP="00B71AE8">
      <w:pPr>
        <w:pStyle w:val="BodyText"/>
        <w:spacing w:before="100" w:beforeAutospacing="1" w:after="100" w:afterAutospacing="1" w:line="240" w:lineRule="auto"/>
        <w:ind w:left="720" w:hanging="720"/>
      </w:pPr>
      <w:r>
        <w:lastRenderedPageBreak/>
        <w:t>Storebø, O. J.,</w:t>
      </w:r>
      <w:r>
        <w:t xml:space="preserve"> Storm, M. R. O., Pereira Ribeiro, J., Skoog, M., </w:t>
      </w:r>
      <w:proofErr w:type="spellStart"/>
      <w:r>
        <w:t>Groth</w:t>
      </w:r>
      <w:proofErr w:type="spellEnd"/>
      <w:r>
        <w:t xml:space="preserve">, C., Callesen, H. E., </w:t>
      </w:r>
      <w:proofErr w:type="spellStart"/>
      <w:r>
        <w:t>Schaug</w:t>
      </w:r>
      <w:proofErr w:type="spellEnd"/>
      <w:r>
        <w:t>, J. P., Darling, P., Huus, C.-M. L., Zwi, M., Kirubakaran, R., Simonsen, E., &amp; Gluud, C. (2025). Methylphenidate for children and adolescents with attention deficit hypera</w:t>
      </w:r>
      <w:r>
        <w:t xml:space="preserve">ctivity disorder (ADHD). </w:t>
      </w:r>
      <w:r>
        <w:rPr>
          <w:i/>
          <w:iCs/>
        </w:rPr>
        <w:t>Cochrane Database of Systematic Reviews, 2025</w:t>
      </w:r>
      <w:r>
        <w:t>(12), Article CD009885. https://doi.org/10.1002/14651858.CD009885.pub4</w:t>
      </w:r>
    </w:p>
    <w:p w14:paraId="6E7BE7D2" w14:textId="77777777" w:rsidR="001157F7" w:rsidRDefault="002C716A" w:rsidP="00B71AE8">
      <w:pPr>
        <w:pStyle w:val="BodyText"/>
        <w:spacing w:before="100" w:beforeAutospacing="1" w:after="100" w:afterAutospacing="1" w:line="240" w:lineRule="auto"/>
        <w:ind w:left="720" w:hanging="720"/>
      </w:pPr>
      <w:r>
        <w:t>Swanson, J. M., Arnold, L. E., Molina, B. S. G., Sibley, M. H., Hechtman, L. T., Hinshaw, S. P., Abikoff, H. B., St</w:t>
      </w:r>
      <w:r>
        <w:t xml:space="preserve">ehli, A., Owens, E. B., Mitchell, J. T., Nichols, Q., Howard, A., Greenhill, L. L., Hoza, B., </w:t>
      </w:r>
      <w:proofErr w:type="spellStart"/>
      <w:r>
        <w:t>Newcorn</w:t>
      </w:r>
      <w:proofErr w:type="spellEnd"/>
      <w:r>
        <w:t>, J. H., Jensen, P. S., Vitiello, B., Wigal, T., Epstein, J. N., . . . Kraemer, H. C. (2017). Young adult outcomes in the follow-up of the multimodal treat</w:t>
      </w:r>
      <w:r>
        <w:t xml:space="preserve">ment study of attention-deficit/hyperactivity disorder: Symptom persistence, source discrepancy, and height suppression. </w:t>
      </w:r>
      <w:r>
        <w:rPr>
          <w:i/>
          <w:iCs/>
        </w:rPr>
        <w:t>Journal of Child Psychology and Psychiatry, 58</w:t>
      </w:r>
      <w:r>
        <w:t>(6), 663–678. https://doi.org/10.1111/jcpp.12684</w:t>
      </w:r>
    </w:p>
    <w:p w14:paraId="22795CC0" w14:textId="77777777" w:rsidR="001157F7" w:rsidRDefault="002C716A" w:rsidP="00B71AE8">
      <w:pPr>
        <w:pStyle w:val="BodyText"/>
        <w:spacing w:before="100" w:beforeAutospacing="1" w:after="100" w:afterAutospacing="1" w:line="240" w:lineRule="auto"/>
        <w:ind w:left="720" w:hanging="720"/>
      </w:pPr>
      <w:r>
        <w:t>Synergy for the Influence of the Month o</w:t>
      </w:r>
      <w:r>
        <w:t xml:space="preserve">f Birth in ADHD (SIMBA) Study Group. (2023). Association between relative age at school and persistence of ADHD in prospective studies: An individual participant data meta-analysis. </w:t>
      </w:r>
      <w:r>
        <w:rPr>
          <w:i/>
          <w:iCs/>
        </w:rPr>
        <w:t>The Lancet Psychiatry, 10</w:t>
      </w:r>
      <w:r>
        <w:t>(12), 922–933. https://doi.org/10.1016/S2215-0366</w:t>
      </w:r>
      <w:r>
        <w:t>(23)00272-9</w:t>
      </w:r>
    </w:p>
    <w:p w14:paraId="24E7F629" w14:textId="77777777" w:rsidR="001157F7" w:rsidRDefault="002C716A" w:rsidP="00B71AE8">
      <w:pPr>
        <w:pStyle w:val="BodyText"/>
        <w:spacing w:before="100" w:beforeAutospacing="1" w:after="100" w:afterAutospacing="1" w:line="240" w:lineRule="auto"/>
        <w:ind w:left="720" w:hanging="720"/>
      </w:pPr>
      <w:r>
        <w:t>Tian, L., Zheng, H., Zhang, K., Qiu, J., Song, X., Li, S., Zeng, Z., Ran, B., Deng, X., &amp; Cai, J. (2024). Structural or/and functional MRI-based machine learning techniques for attention-deficit/hyperactivity disorder diagnosis: A systematic re</w:t>
      </w:r>
      <w:r>
        <w:t xml:space="preserve">view and meta-analysis. </w:t>
      </w:r>
      <w:r>
        <w:rPr>
          <w:i/>
          <w:iCs/>
        </w:rPr>
        <w:t>Journal of Affective Disorders, 355</w:t>
      </w:r>
      <w:r>
        <w:t>, 459–469. https://doi.org/10.1016/j.jad.2024.03.111</w:t>
      </w:r>
    </w:p>
    <w:p w14:paraId="71DB5683" w14:textId="77777777" w:rsidR="001157F7" w:rsidRDefault="002C716A" w:rsidP="00B71AE8">
      <w:pPr>
        <w:pStyle w:val="BodyText"/>
        <w:spacing w:before="100" w:beforeAutospacing="1" w:after="100" w:afterAutospacing="1" w:line="240" w:lineRule="auto"/>
        <w:ind w:left="720" w:hanging="720"/>
      </w:pPr>
      <w:r>
        <w:t xml:space="preserve">Tung, C.-B., Liang, S.-C., Sun, C.-K., Cheng, Y.-S., &amp; Hung, K.-C. (2025). Behavioral outcomes after </w:t>
      </w:r>
      <w:proofErr w:type="spellStart"/>
      <w:r>
        <w:t>tDCS</w:t>
      </w:r>
      <w:proofErr w:type="spellEnd"/>
      <w:r>
        <w:t xml:space="preserve"> treatment during immediate post-interv</w:t>
      </w:r>
      <w:r>
        <w:t xml:space="preserve">ention and follow-up periods in children and adolescents diagnosed with attention-deficit/hyperactivity disorder: A systematic review and meta-analysis on randomized sham-controlled trials. </w:t>
      </w:r>
      <w:r>
        <w:rPr>
          <w:i/>
          <w:iCs/>
        </w:rPr>
        <w:t>Journal of Psychiatric Research, 191</w:t>
      </w:r>
      <w:r>
        <w:t>, 8–14. https://doi.org/10.101</w:t>
      </w:r>
      <w:r>
        <w:t>6/j.jpsychires.2025.09.008</w:t>
      </w:r>
    </w:p>
    <w:p w14:paraId="0692D4B5" w14:textId="77777777" w:rsidR="001157F7" w:rsidRDefault="002C716A" w:rsidP="00B71AE8">
      <w:pPr>
        <w:pStyle w:val="BodyText"/>
        <w:spacing w:before="100" w:beforeAutospacing="1" w:after="100" w:afterAutospacing="1" w:line="240" w:lineRule="auto"/>
        <w:ind w:left="720" w:hanging="720"/>
      </w:pPr>
      <w:r>
        <w:t xml:space="preserve">Wang, X., Jia, Q., Liang, L., Zhou, W., Yang, W., &amp; Mu, J. (2025). Artificial intelligence in ADHD: A global perspective on research hotspots, trends and clinical applications. </w:t>
      </w:r>
      <w:r>
        <w:rPr>
          <w:i/>
          <w:iCs/>
        </w:rPr>
        <w:t>Frontiers in Human Neuroscience, 19</w:t>
      </w:r>
      <w:r>
        <w:t>, Article 1577585</w:t>
      </w:r>
      <w:r>
        <w:t>. https://doi.org/10.3389/fnhum.2025.1577585</w:t>
      </w:r>
    </w:p>
    <w:p w14:paraId="49F6D3A2" w14:textId="77777777" w:rsidR="001157F7" w:rsidRDefault="002C716A" w:rsidP="00B71AE8">
      <w:pPr>
        <w:pStyle w:val="BodyText"/>
        <w:spacing w:before="100" w:beforeAutospacing="1" w:after="100" w:afterAutospacing="1" w:line="240" w:lineRule="auto"/>
        <w:ind w:left="720" w:hanging="720"/>
      </w:pPr>
      <w:r>
        <w:t xml:space="preserve">Ward, C. L., Childress, A. C., Jin, N., Turkoglu, O., </w:t>
      </w:r>
      <w:proofErr w:type="spellStart"/>
      <w:r>
        <w:t>Skubiak</w:t>
      </w:r>
      <w:proofErr w:type="spellEnd"/>
      <w:r>
        <w:t xml:space="preserve">, T., &amp; Wilens, T. E. (2026). </w:t>
      </w:r>
      <w:proofErr w:type="spellStart"/>
      <w:r>
        <w:t>Centanafadine</w:t>
      </w:r>
      <w:proofErr w:type="spellEnd"/>
      <w:r>
        <w:t xml:space="preserve"> for attention-deficit/hyperactivity disorder in adolescents: A randomized clinical trial. </w:t>
      </w:r>
      <w:r>
        <w:rPr>
          <w:i/>
          <w:iCs/>
        </w:rPr>
        <w:t>Journal of the A</w:t>
      </w:r>
      <w:r>
        <w:rPr>
          <w:i/>
          <w:iCs/>
        </w:rPr>
        <w:t>merican Academy of Child &amp; Adolescent Psychiatry, 65</w:t>
      </w:r>
      <w:r>
        <w:t>(6), 805–817. https://doi.org/10.1016/j.jaac.2025.06.023</w:t>
      </w:r>
    </w:p>
    <w:p w14:paraId="1D21CA51" w14:textId="77777777" w:rsidR="001157F7" w:rsidRDefault="002C716A" w:rsidP="00B71AE8">
      <w:pPr>
        <w:pStyle w:val="BodyText"/>
        <w:spacing w:before="100" w:beforeAutospacing="1" w:after="100" w:afterAutospacing="1" w:line="240" w:lineRule="auto"/>
        <w:ind w:left="720" w:hanging="720"/>
      </w:pPr>
      <w:r>
        <w:t xml:space="preserve">Westwood, S. J., </w:t>
      </w:r>
      <w:proofErr w:type="spellStart"/>
      <w:r>
        <w:t>Aggensteiner</w:t>
      </w:r>
      <w:proofErr w:type="spellEnd"/>
      <w:r>
        <w:t xml:space="preserve">, P.-M., Kaiser, A., Nagy, P., Donno, F., Merkl, D., </w:t>
      </w:r>
      <w:proofErr w:type="spellStart"/>
      <w:r>
        <w:t>Balia</w:t>
      </w:r>
      <w:proofErr w:type="spellEnd"/>
      <w:r>
        <w:t xml:space="preserve">, C., Goujon, A., Bousquet, E., </w:t>
      </w:r>
      <w:proofErr w:type="spellStart"/>
      <w:r>
        <w:t>Capodiferro</w:t>
      </w:r>
      <w:proofErr w:type="spellEnd"/>
      <w:r>
        <w:t>, A. M., Derks, L</w:t>
      </w:r>
      <w:r>
        <w:t xml:space="preserve">., </w:t>
      </w:r>
      <w:proofErr w:type="spellStart"/>
      <w:r>
        <w:t>Purper-Ouakil</w:t>
      </w:r>
      <w:proofErr w:type="spellEnd"/>
      <w:r>
        <w:t xml:space="preserve">, D., Carucci, S., Holtmann, M., Brandeis, D., Cortese, S., &amp; </w:t>
      </w:r>
      <w:proofErr w:type="spellStart"/>
      <w:r>
        <w:t>Sonuga-Barke</w:t>
      </w:r>
      <w:proofErr w:type="spellEnd"/>
      <w:r>
        <w:t xml:space="preserve">, E. J. S. (2025). Neurofeedback for attention-deficit/hyperactivity disorder: A systematic review and meta-analysis. </w:t>
      </w:r>
      <w:r>
        <w:rPr>
          <w:i/>
          <w:iCs/>
        </w:rPr>
        <w:t>JAMA Psychiatry, 82</w:t>
      </w:r>
      <w:r>
        <w:t>(2), 118–129. https://doi.org</w:t>
      </w:r>
      <w:r>
        <w:t>/10.1001/jamapsychiatry.2024.3702</w:t>
      </w:r>
    </w:p>
    <w:p w14:paraId="345B3E72" w14:textId="77777777" w:rsidR="001157F7" w:rsidRDefault="002C716A" w:rsidP="00B71AE8">
      <w:pPr>
        <w:pStyle w:val="BodyText"/>
        <w:spacing w:before="100" w:beforeAutospacing="1" w:after="100" w:afterAutospacing="1" w:line="240" w:lineRule="auto"/>
        <w:ind w:left="720" w:hanging="720"/>
      </w:pPr>
      <w:r>
        <w:lastRenderedPageBreak/>
        <w:t xml:space="preserve">Wilens, T. E., </w:t>
      </w:r>
      <w:proofErr w:type="spellStart"/>
      <w:r>
        <w:t>Oberdhan</w:t>
      </w:r>
      <w:proofErr w:type="spellEnd"/>
      <w:r>
        <w:t xml:space="preserve">, D., Jin, N., </w:t>
      </w:r>
      <w:proofErr w:type="spellStart"/>
      <w:r>
        <w:t>Skubiak</w:t>
      </w:r>
      <w:proofErr w:type="spellEnd"/>
      <w:r>
        <w:t xml:space="preserve">, T., Childress, A. C., van Stralen, J., &amp; Ward, C. L. (2026). Efficacy of </w:t>
      </w:r>
      <w:proofErr w:type="spellStart"/>
      <w:r>
        <w:t>centanafadine</w:t>
      </w:r>
      <w:proofErr w:type="spellEnd"/>
      <w:r>
        <w:t xml:space="preserve"> for executive functioning and learning problems in children and adolescents with attenti</w:t>
      </w:r>
      <w:r>
        <w:t xml:space="preserve">on-deficit/hyperactivity disorder. </w:t>
      </w:r>
      <w:r>
        <w:rPr>
          <w:i/>
          <w:iCs/>
        </w:rPr>
        <w:t>Journal of Child and Adolescent Psychopharmacology, 36</w:t>
      </w:r>
      <w:r>
        <w:t>(5), 266–277. https://doi.org/10.1177/10445463261441745</w:t>
      </w:r>
    </w:p>
    <w:p w14:paraId="2B777E05" w14:textId="77777777" w:rsidR="001157F7" w:rsidRDefault="002C716A" w:rsidP="00B71AE8">
      <w:pPr>
        <w:pStyle w:val="BodyText"/>
        <w:spacing w:before="100" w:beforeAutospacing="1" w:after="100" w:afterAutospacing="1" w:line="240" w:lineRule="auto"/>
        <w:ind w:left="720" w:hanging="720"/>
      </w:pPr>
      <w:proofErr w:type="spellStart"/>
      <w:r>
        <w:t>Wolraich</w:t>
      </w:r>
      <w:proofErr w:type="spellEnd"/>
      <w:r>
        <w:t>, M. L., Hagan, J. F., Jr., Allan, C., Chan, E., Davison, D., Earls, M., Evans, S. W., Flinn, S. K., Fr</w:t>
      </w:r>
      <w:r>
        <w:t xml:space="preserve">oehlich, T., Frost, J., Holbrook, J. R., Lehmann, C. U., Lessin, H. R., Okechukwu, K., Pierce, K. L., Winner, J. D., &amp; </w:t>
      </w:r>
      <w:proofErr w:type="spellStart"/>
      <w:r>
        <w:t>Zurhellen</w:t>
      </w:r>
      <w:proofErr w:type="spellEnd"/>
      <w:r>
        <w:t>, W. (2019). Clinical practice guideline for the diagnosis, evaluation, and treatment of attention-deficit/hyperactivity disorde</w:t>
      </w:r>
      <w:r>
        <w:t xml:space="preserve">r in children and adolescents. </w:t>
      </w:r>
      <w:r>
        <w:rPr>
          <w:i/>
          <w:iCs/>
        </w:rPr>
        <w:t>Pediatrics, 144</w:t>
      </w:r>
      <w:r>
        <w:t>(4), Article e20192528. https://doi.org/10.1542/peds.2019-2528</w:t>
      </w:r>
    </w:p>
    <w:p w14:paraId="222A6128" w14:textId="77777777" w:rsidR="001157F7" w:rsidRDefault="002C716A" w:rsidP="00B71AE8">
      <w:pPr>
        <w:pStyle w:val="BodyText"/>
        <w:spacing w:before="100" w:beforeAutospacing="1" w:after="100" w:afterAutospacing="1" w:line="240" w:lineRule="auto"/>
        <w:ind w:left="720" w:hanging="720"/>
      </w:pPr>
      <w:r>
        <w:t xml:space="preserve">Xian, P., Sheng, X., Liu, S., Liu, Z., &amp; Guo, X. (2025). Sleep dysregulation in ADHD children: A systematic review and meta-analysis. </w:t>
      </w:r>
      <w:r>
        <w:rPr>
          <w:i/>
          <w:iCs/>
        </w:rPr>
        <w:t>Psychological</w:t>
      </w:r>
      <w:r>
        <w:rPr>
          <w:i/>
          <w:iCs/>
        </w:rPr>
        <w:t xml:space="preserve"> Medicine, 55</w:t>
      </w:r>
      <w:r>
        <w:t>, Article e321. https://doi.org/10.1017/S0033291725102158</w:t>
      </w:r>
    </w:p>
    <w:p w14:paraId="4EDDFF1E" w14:textId="77777777" w:rsidR="001157F7" w:rsidRDefault="002C716A" w:rsidP="00B71AE8">
      <w:pPr>
        <w:pStyle w:val="BodyText"/>
        <w:spacing w:before="100" w:beforeAutospacing="1" w:after="100" w:afterAutospacing="1" w:line="240" w:lineRule="auto"/>
        <w:ind w:left="720" w:hanging="720"/>
      </w:pPr>
      <w:r>
        <w:t>Zhang, L., Yao, H., Li, L., Du Rietz, E., Andell, P., Garcia-Argibay, M., D’Onofrio, B. M., Cortese, S., Larsson, H., &amp; Chang, Z. (2022). Risk of cardiovascular diseases associated with</w:t>
      </w:r>
      <w:r>
        <w:t xml:space="preserve"> medications used in attention-deficit/hyperactivity disorder: A systematic review and meta-analysis. </w:t>
      </w:r>
      <w:r>
        <w:rPr>
          <w:i/>
          <w:iCs/>
        </w:rPr>
        <w:t>JAMA Network Open, 5</w:t>
      </w:r>
      <w:r>
        <w:t>(11), Article e2243597. https://doi.org/10.1001/jamanetworkopen.2022.43597</w:t>
      </w:r>
    </w:p>
    <w:p w14:paraId="3590F598" w14:textId="77777777" w:rsidR="001157F7" w:rsidRDefault="002C716A" w:rsidP="00B71AE8">
      <w:pPr>
        <w:pStyle w:val="BodyText"/>
        <w:spacing w:before="100" w:beforeAutospacing="1" w:after="100" w:afterAutospacing="1" w:line="240" w:lineRule="auto"/>
        <w:ind w:left="720" w:hanging="720"/>
      </w:pPr>
      <w:r>
        <w:t>Zhang, L., Li, L., Andell, P., Garcia-Argibay, M., Quinn, P</w:t>
      </w:r>
      <w:r>
        <w:t xml:space="preserve">. D., D’Onofrio, B. M., </w:t>
      </w:r>
      <w:proofErr w:type="spellStart"/>
      <w:r>
        <w:t>Brikell</w:t>
      </w:r>
      <w:proofErr w:type="spellEnd"/>
      <w:r>
        <w:t xml:space="preserve">, I., </w:t>
      </w:r>
      <w:proofErr w:type="spellStart"/>
      <w:r>
        <w:t>Kuja-Halkola</w:t>
      </w:r>
      <w:proofErr w:type="spellEnd"/>
      <w:r>
        <w:t xml:space="preserve">, R., Lichtenstein, P., Johnell, K., Larsson, H., &amp; Chang, Z. (2024). Attention-deficit/hyperactivity disorder medications and long-term risk of cardiovascular diseases. </w:t>
      </w:r>
      <w:r>
        <w:rPr>
          <w:i/>
          <w:iCs/>
        </w:rPr>
        <w:t>JAMA Psychiatry, 81</w:t>
      </w:r>
      <w:r>
        <w:t>(2), 178–187. http</w:t>
      </w:r>
      <w:r>
        <w:t>s://doi.org/10.1001/jamapsychiatry.2023.4294</w:t>
      </w:r>
      <w:bookmarkEnd w:id="0"/>
      <w:bookmarkEnd w:id="47"/>
    </w:p>
    <w:sectPr w:rsidR="001157F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USER" w:date="2025-10-31T09:33:00Z" w:initials="U">
    <w:p w14:paraId="37E235C6" w14:textId="7C35CFE8" w:rsidR="00E76FE2" w:rsidRDefault="00E76FE2">
      <w:pPr>
        <w:pStyle w:val="CommentText"/>
      </w:pPr>
      <w:r>
        <w:rPr>
          <w:rStyle w:val="CommentReference"/>
        </w:rPr>
        <w:annotationRef/>
      </w:r>
    </w:p>
  </w:comment>
  <w:comment w:id="4" w:author="USER" w:date="2025-10-31T09:34:00Z" w:initials="U">
    <w:p w14:paraId="43568536" w14:textId="626FDCEF" w:rsidR="00E76FE2" w:rsidRDefault="00E76FE2">
      <w:pPr>
        <w:pStyle w:val="CommentText"/>
      </w:pPr>
      <w:r>
        <w:rPr>
          <w:rStyle w:val="CommentReference"/>
        </w:rPr>
        <w:annotationRef/>
      </w:r>
      <w:r>
        <w:t>PLS disregard</w:t>
      </w:r>
    </w:p>
  </w:comment>
  <w:comment w:id="5" w:author="USER" w:date="2025-10-31T09:36:00Z" w:initials="U">
    <w:p w14:paraId="35A41E3F" w14:textId="77777777" w:rsidR="00710FBD" w:rsidRDefault="00710FBD">
      <w:pPr>
        <w:pStyle w:val="CommentText"/>
      </w:pPr>
      <w:r>
        <w:rPr>
          <w:rStyle w:val="CommentReference"/>
        </w:rPr>
        <w:annotationRef/>
      </w:r>
      <w:r>
        <w:t>Include all authors at first citing</w:t>
      </w:r>
    </w:p>
    <w:p w14:paraId="065C5251" w14:textId="71B5D1E6" w:rsidR="00710FBD" w:rsidRDefault="00710FBD">
      <w:pPr>
        <w:pStyle w:val="CommentText"/>
      </w:pPr>
      <w:proofErr w:type="spellStart"/>
      <w:r>
        <w:t>Pls</w:t>
      </w:r>
      <w:proofErr w:type="spellEnd"/>
      <w:r>
        <w:t xml:space="preserve"> do this sparingly in between pages</w:t>
      </w:r>
    </w:p>
  </w:comment>
  <w:comment w:id="7" w:author="USER" w:date="2025-10-31T09:44:00Z" w:initials="U">
    <w:p w14:paraId="6ABC5798" w14:textId="2B06E6F1" w:rsidR="008F0729" w:rsidRDefault="008F0729">
      <w:pPr>
        <w:pStyle w:val="CommentText"/>
      </w:pPr>
      <w:r>
        <w:rPr>
          <w:rStyle w:val="CommentReference"/>
        </w:rPr>
        <w:annotationRef/>
      </w:r>
      <w:r>
        <w:t>I suggest importance of the study should be captured after the objectives.</w:t>
      </w:r>
    </w:p>
  </w:comment>
  <w:comment w:id="8" w:author="USER" w:date="2025-10-31T09:37:00Z" w:initials="U">
    <w:p w14:paraId="79375446" w14:textId="15C6F8D4" w:rsidR="004D06E0" w:rsidRDefault="004D06E0">
      <w:pPr>
        <w:pStyle w:val="CommentText"/>
      </w:pPr>
      <w:r>
        <w:rPr>
          <w:rStyle w:val="CommentReference"/>
        </w:rPr>
        <w:annotationRef/>
      </w:r>
      <w:r>
        <w:t>ADHD should be written in full before abbreviation for the benefit of the layman.</w:t>
      </w:r>
    </w:p>
  </w:comment>
  <w:comment w:id="9" w:author="USER" w:date="2025-10-31T09:39:00Z" w:initials="U">
    <w:p w14:paraId="5805959B" w14:textId="00DA7ECD" w:rsidR="00B545DC" w:rsidRDefault="00B545DC">
      <w:pPr>
        <w:pStyle w:val="CommentText"/>
      </w:pPr>
      <w:r>
        <w:rPr>
          <w:rStyle w:val="CommentReference"/>
        </w:rPr>
        <w:annotationRef/>
      </w:r>
      <w:r>
        <w:t>Check spelling</w:t>
      </w:r>
    </w:p>
  </w:comment>
  <w:comment w:id="10" w:author="USER" w:date="2025-10-31T09:40:00Z" w:initials="U">
    <w:p w14:paraId="45498FEE" w14:textId="06664191" w:rsidR="00B545DC" w:rsidRDefault="00B545DC">
      <w:pPr>
        <w:pStyle w:val="CommentText"/>
      </w:pPr>
      <w:r>
        <w:rPr>
          <w:rStyle w:val="CommentReference"/>
        </w:rPr>
        <w:annotationRef/>
      </w:r>
      <w:r>
        <w:t>Check spelling</w:t>
      </w:r>
    </w:p>
  </w:comment>
  <w:comment w:id="11" w:author="USER" w:date="2025-10-31T09:40:00Z" w:initials="U">
    <w:p w14:paraId="593F20DD" w14:textId="260C69F5" w:rsidR="00B545DC" w:rsidRDefault="00B545DC">
      <w:pPr>
        <w:pStyle w:val="CommentText"/>
      </w:pPr>
      <w:r>
        <w:rPr>
          <w:rStyle w:val="CommentReference"/>
        </w:rPr>
        <w:annotationRef/>
      </w:r>
      <w:proofErr w:type="spellStart"/>
      <w:r>
        <w:t>Pls</w:t>
      </w:r>
      <w:proofErr w:type="spellEnd"/>
      <w:r>
        <w:t xml:space="preserve"> check spelling</w:t>
      </w:r>
    </w:p>
  </w:comment>
  <w:comment w:id="14" w:author="USER" w:date="2025-10-31T09:41:00Z" w:initials="U">
    <w:p w14:paraId="1AC11572" w14:textId="10F0BAFC" w:rsidR="00072A51" w:rsidRDefault="00072A51">
      <w:pPr>
        <w:pStyle w:val="CommentText"/>
      </w:pPr>
      <w:r>
        <w:rPr>
          <w:rStyle w:val="CommentReference"/>
        </w:rPr>
        <w:annotationRef/>
      </w:r>
      <w:r>
        <w:t>Check spelling</w:t>
      </w:r>
    </w:p>
  </w:comment>
  <w:comment w:id="15" w:author="USER" w:date="2025-10-31T09:41:00Z" w:initials="U">
    <w:p w14:paraId="17F1B4A6" w14:textId="31506B63" w:rsidR="000E75C0" w:rsidRDefault="000E75C0">
      <w:pPr>
        <w:pStyle w:val="CommentText"/>
      </w:pPr>
      <w:r>
        <w:rPr>
          <w:rStyle w:val="CommentReference"/>
        </w:rPr>
        <w:annotationRef/>
      </w:r>
      <w:r>
        <w:t>Same as above</w:t>
      </w:r>
    </w:p>
  </w:comment>
  <w:comment w:id="18" w:author="USER" w:date="2025-10-31T09:46:00Z" w:initials="U">
    <w:p w14:paraId="6285685A" w14:textId="73053E50" w:rsidR="005C6458" w:rsidRDefault="005C6458">
      <w:pPr>
        <w:pStyle w:val="CommentText"/>
      </w:pPr>
      <w:r>
        <w:rPr>
          <w:rStyle w:val="CommentReference"/>
        </w:rPr>
        <w:annotationRef/>
      </w:r>
      <w:proofErr w:type="spellStart"/>
      <w:r>
        <w:t>Pls</w:t>
      </w:r>
      <w:proofErr w:type="spellEnd"/>
      <w:r>
        <w:t xml:space="preserve"> check the spelling in the whole work.</w:t>
      </w:r>
    </w:p>
  </w:comment>
  <w:comment w:id="20" w:author="USER" w:date="2025-10-31T09:42:00Z" w:initials="U">
    <w:p w14:paraId="6DF2112B" w14:textId="77777777" w:rsidR="001B30EE" w:rsidRDefault="001B30EE">
      <w:pPr>
        <w:pStyle w:val="CommentText"/>
      </w:pPr>
      <w:r>
        <w:rPr>
          <w:rStyle w:val="CommentReference"/>
        </w:rPr>
        <w:annotationRef/>
      </w:r>
      <w:proofErr w:type="spellStart"/>
      <w:r>
        <w:t>Pls</w:t>
      </w:r>
      <w:proofErr w:type="spellEnd"/>
      <w:r>
        <w:t xml:space="preserve"> check the spellings,</w:t>
      </w:r>
    </w:p>
    <w:p w14:paraId="4F82087F" w14:textId="075CC602" w:rsidR="001B30EE" w:rsidRDefault="001B30EE">
      <w:pPr>
        <w:pStyle w:val="CommentText"/>
      </w:pPr>
      <w:r>
        <w:t>Those already marked in the whole work</w:t>
      </w:r>
    </w:p>
  </w:comment>
  <w:comment w:id="25" w:author="USER" w:date="2025-10-31T09:47:00Z" w:initials="U">
    <w:p w14:paraId="5F1D5681" w14:textId="228D513E" w:rsidR="00BB74F3" w:rsidRDefault="00BB74F3">
      <w:pPr>
        <w:pStyle w:val="CommentText"/>
      </w:pPr>
      <w:r>
        <w:rPr>
          <w:rStyle w:val="CommentReference"/>
        </w:rPr>
        <w:annotationRef/>
      </w:r>
      <w:proofErr w:type="spellStart"/>
      <w:r>
        <w:t>Pls</w:t>
      </w:r>
      <w:proofErr w:type="spellEnd"/>
      <w:r>
        <w:t xml:space="preserve"> remember my comment on et al citations</w:t>
      </w:r>
      <w:r w:rsidR="00473ACF">
        <w:t>. Capture all authors sparingly</w:t>
      </w:r>
    </w:p>
  </w:comment>
  <w:comment w:id="48" w:author="USER" w:date="2025-10-31T09:51:00Z" w:initials="U">
    <w:p w14:paraId="6C837398" w14:textId="5C69ABD0" w:rsidR="00612D98" w:rsidRDefault="00612D98">
      <w:pPr>
        <w:pStyle w:val="CommentText"/>
      </w:pPr>
      <w:r>
        <w:rPr>
          <w:rStyle w:val="CommentReference"/>
        </w:rPr>
        <w:annotationRef/>
      </w:r>
      <w:proofErr w:type="spellStart"/>
      <w:r>
        <w:t>Pls</w:t>
      </w:r>
      <w:proofErr w:type="spellEnd"/>
      <w:r>
        <w:t xml:space="preserve"> capture all references in the body of the work and expunge those in the references that are</w:t>
      </w:r>
      <w:bookmarkStart w:id="49" w:name="_GoBack"/>
      <w:bookmarkEnd w:id="49"/>
      <w:r>
        <w:t xml:space="preserve"> not in the work.</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6104FE" w14:textId="77777777" w:rsidR="002C716A" w:rsidRDefault="002C716A">
      <w:pPr>
        <w:spacing w:after="0" w:line="240" w:lineRule="auto"/>
      </w:pPr>
      <w:r>
        <w:separator/>
      </w:r>
    </w:p>
  </w:endnote>
  <w:endnote w:type="continuationSeparator" w:id="0">
    <w:p w14:paraId="689FB6DB" w14:textId="77777777" w:rsidR="002C716A" w:rsidRDefault="002C7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5C03F" w14:textId="77777777" w:rsidR="00D1376D" w:rsidRDefault="00D137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88A05" w14:textId="77777777" w:rsidR="00D1376D" w:rsidRDefault="00D137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64B3A" w14:textId="77777777" w:rsidR="00D1376D" w:rsidRDefault="00D137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3E9746" w14:textId="77777777" w:rsidR="002C716A" w:rsidRDefault="002C716A">
      <w:r>
        <w:separator/>
      </w:r>
    </w:p>
  </w:footnote>
  <w:footnote w:type="continuationSeparator" w:id="0">
    <w:p w14:paraId="13AB634C" w14:textId="77777777" w:rsidR="002C716A" w:rsidRDefault="002C7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1E1BB" w14:textId="5C3B2F1C" w:rsidR="00D1376D" w:rsidRDefault="002C716A">
    <w:pPr>
      <w:pStyle w:val="Header"/>
    </w:pPr>
    <w:r>
      <w:rPr>
        <w:noProof/>
      </w:rPr>
      <w:pict w14:anchorId="5B72BF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9235" o:spid="_x0000_s2050" type="#_x0000_t136" style="position:absolute;left:0;text-align:left;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9B995" w14:textId="7B2876C5" w:rsidR="00D1376D" w:rsidRDefault="002C716A">
    <w:pPr>
      <w:pStyle w:val="Header"/>
    </w:pPr>
    <w:r>
      <w:rPr>
        <w:noProof/>
      </w:rPr>
      <w:pict w14:anchorId="50EEFB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9236" o:spid="_x0000_s2051"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A0179" w14:textId="75713769" w:rsidR="00D1376D" w:rsidRDefault="002C716A">
    <w:pPr>
      <w:pStyle w:val="Header"/>
    </w:pPr>
    <w:r>
      <w:rPr>
        <w:noProof/>
      </w:rPr>
      <w:pict w14:anchorId="4D2091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579234" o:spid="_x0000_s2049" type="#_x0000_t136" style="position:absolute;left:0;text-align:left;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A990"/>
    <w:multiLevelType w:val="multilevel"/>
    <w:tmpl w:val="D584D0D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57F7"/>
    <w:rsid w:val="00072A51"/>
    <w:rsid w:val="000E75C0"/>
    <w:rsid w:val="001157F7"/>
    <w:rsid w:val="001B30EE"/>
    <w:rsid w:val="002C716A"/>
    <w:rsid w:val="003621F5"/>
    <w:rsid w:val="003C2CE6"/>
    <w:rsid w:val="003D0F8A"/>
    <w:rsid w:val="00473ACF"/>
    <w:rsid w:val="004A71F7"/>
    <w:rsid w:val="004D06E0"/>
    <w:rsid w:val="005C6458"/>
    <w:rsid w:val="005D10B9"/>
    <w:rsid w:val="00612D98"/>
    <w:rsid w:val="00710FBD"/>
    <w:rsid w:val="008F0729"/>
    <w:rsid w:val="009311F2"/>
    <w:rsid w:val="00B545DC"/>
    <w:rsid w:val="00B71AE8"/>
    <w:rsid w:val="00BB74F3"/>
    <w:rsid w:val="00D1376D"/>
    <w:rsid w:val="00E76FE2"/>
    <w:rsid w:val="00F4169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CDE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spacing w:after="160" w:line="360" w:lineRule="auto"/>
        <w:jc w:val="both"/>
      </w:pPr>
    </w:pPrDefault>
  </w:docDefaults>
  <w:latentStyles w:defLockedState="0" w:defUIPriority="0" w:defSemiHidden="0" w:defUnhideWhenUsed="0" w:defQFormat="0" w:count="267">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B71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D1376D"/>
    <w:pPr>
      <w:tabs>
        <w:tab w:val="center" w:pos="4513"/>
        <w:tab w:val="right" w:pos="9026"/>
      </w:tabs>
      <w:spacing w:after="0" w:line="240" w:lineRule="auto"/>
    </w:pPr>
  </w:style>
  <w:style w:type="character" w:customStyle="1" w:styleId="HeaderChar">
    <w:name w:val="Header Char"/>
    <w:basedOn w:val="DefaultParagraphFont"/>
    <w:link w:val="Header"/>
    <w:rsid w:val="00D1376D"/>
  </w:style>
  <w:style w:type="paragraph" w:styleId="Footer">
    <w:name w:val="footer"/>
    <w:basedOn w:val="Normal"/>
    <w:link w:val="FooterChar"/>
    <w:rsid w:val="00D1376D"/>
    <w:pPr>
      <w:tabs>
        <w:tab w:val="center" w:pos="4513"/>
        <w:tab w:val="right" w:pos="9026"/>
      </w:tabs>
      <w:spacing w:after="0" w:line="240" w:lineRule="auto"/>
    </w:pPr>
  </w:style>
  <w:style w:type="character" w:customStyle="1" w:styleId="FooterChar">
    <w:name w:val="Footer Char"/>
    <w:basedOn w:val="DefaultParagraphFont"/>
    <w:link w:val="Footer"/>
    <w:rsid w:val="00D1376D"/>
  </w:style>
  <w:style w:type="character" w:styleId="CommentReference">
    <w:name w:val="annotation reference"/>
    <w:basedOn w:val="DefaultParagraphFont"/>
    <w:rsid w:val="00E76FE2"/>
    <w:rPr>
      <w:sz w:val="16"/>
      <w:szCs w:val="16"/>
    </w:rPr>
  </w:style>
  <w:style w:type="paragraph" w:styleId="CommentText">
    <w:name w:val="annotation text"/>
    <w:basedOn w:val="Normal"/>
    <w:link w:val="CommentTextChar"/>
    <w:rsid w:val="00E76FE2"/>
    <w:pPr>
      <w:spacing w:line="240" w:lineRule="auto"/>
    </w:pPr>
    <w:rPr>
      <w:sz w:val="20"/>
      <w:szCs w:val="20"/>
    </w:rPr>
  </w:style>
  <w:style w:type="character" w:customStyle="1" w:styleId="CommentTextChar">
    <w:name w:val="Comment Text Char"/>
    <w:basedOn w:val="DefaultParagraphFont"/>
    <w:link w:val="CommentText"/>
    <w:rsid w:val="00E76FE2"/>
    <w:rPr>
      <w:sz w:val="20"/>
      <w:szCs w:val="20"/>
    </w:rPr>
  </w:style>
  <w:style w:type="paragraph" w:styleId="CommentSubject">
    <w:name w:val="annotation subject"/>
    <w:basedOn w:val="CommentText"/>
    <w:next w:val="CommentText"/>
    <w:link w:val="CommentSubjectChar"/>
    <w:rsid w:val="00E76FE2"/>
    <w:rPr>
      <w:b/>
      <w:bCs/>
    </w:rPr>
  </w:style>
  <w:style w:type="character" w:customStyle="1" w:styleId="CommentSubjectChar">
    <w:name w:val="Comment Subject Char"/>
    <w:basedOn w:val="CommentTextChar"/>
    <w:link w:val="CommentSubject"/>
    <w:rsid w:val="00E76FE2"/>
    <w:rPr>
      <w:b/>
      <w:bCs/>
      <w:sz w:val="20"/>
      <w:szCs w:val="20"/>
    </w:rPr>
  </w:style>
  <w:style w:type="paragraph" w:styleId="BalloonText">
    <w:name w:val="Balloon Text"/>
    <w:basedOn w:val="Normal"/>
    <w:link w:val="BalloonTextChar"/>
    <w:rsid w:val="00E76F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76F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41</Pages>
  <Words>18712</Words>
  <Characters>106664</Characters>
  <Application>Microsoft Office Word</Application>
  <DocSecurity>0</DocSecurity>
  <Lines>888</Lines>
  <Paragraphs>250</Paragraphs>
  <ScaleCrop>false</ScaleCrop>
  <Company>HP</Company>
  <LinksUpToDate>false</LinksUpToDate>
  <CharactersWithSpaces>125126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USER</cp:lastModifiedBy>
  <cp:revision>17</cp:revision>
  <dcterms:created xsi:type="dcterms:W3CDTF">2026-07-31T10:42:00Z</dcterms:created>
  <dcterms:modified xsi:type="dcterms:W3CDTF">2025-10-31T16:51:00Z</dcterms:modified>
</cp:coreProperties>
</file>