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7F37" w14:textId="4F5F7D8D" w:rsidR="00BE1E7F" w:rsidRDefault="009277FA" w:rsidP="00BE1E7F">
      <w:pPr>
        <w:jc w:val="center"/>
        <w:rPr>
          <w:rFonts w:ascii="Times New Roman" w:hAnsi="Times New Roman" w:cs="Times New Roman"/>
          <w:b/>
          <w:bCs/>
          <w:sz w:val="24"/>
          <w:szCs w:val="24"/>
        </w:rPr>
      </w:pPr>
      <w:r w:rsidRPr="00547B05">
        <w:rPr>
          <w:rFonts w:ascii="Times New Roman" w:hAnsi="Times New Roman" w:cs="Times New Roman"/>
          <w:b/>
          <w:bCs/>
          <w:sz w:val="28"/>
          <w:szCs w:val="28"/>
        </w:rPr>
        <w:t>PRELIMINARY PHYTOCHEMICAL SCREENING AND LARVICIDAL ACTIVITY OF SELECTED PLANT EXTRACTS FROM TELANGANA, INDIA, AGAINST MAJOR MOSQUITO VECTORS</w:t>
      </w:r>
    </w:p>
    <w:p w14:paraId="712A1D67" w14:textId="77777777" w:rsidR="00F71835" w:rsidRDefault="00F71835" w:rsidP="00592D33">
      <w:pPr>
        <w:jc w:val="center"/>
        <w:rPr>
          <w:rFonts w:ascii="Times New Roman" w:hAnsi="Times New Roman" w:cs="Times New Roman"/>
          <w:b/>
          <w:bCs/>
          <w:sz w:val="28"/>
          <w:szCs w:val="28"/>
        </w:rPr>
      </w:pPr>
    </w:p>
    <w:p w14:paraId="3F5BD54E" w14:textId="77777777" w:rsidR="00F71835" w:rsidRDefault="00F71835" w:rsidP="00592D33">
      <w:pPr>
        <w:jc w:val="center"/>
        <w:rPr>
          <w:rFonts w:ascii="Times New Roman" w:hAnsi="Times New Roman" w:cs="Times New Roman"/>
          <w:b/>
          <w:bCs/>
          <w:sz w:val="28"/>
          <w:szCs w:val="28"/>
        </w:rPr>
      </w:pPr>
    </w:p>
    <w:p w14:paraId="353DDB81" w14:textId="77B6EAD5" w:rsidR="00592D33" w:rsidRPr="00592D33" w:rsidRDefault="00592D33" w:rsidP="00592D33">
      <w:pPr>
        <w:jc w:val="center"/>
        <w:rPr>
          <w:rFonts w:ascii="Times New Roman" w:hAnsi="Times New Roman" w:cs="Times New Roman"/>
          <w:b/>
          <w:bCs/>
          <w:sz w:val="28"/>
          <w:szCs w:val="28"/>
        </w:rPr>
      </w:pPr>
      <w:r w:rsidRPr="00592D33">
        <w:rPr>
          <w:rFonts w:ascii="Times New Roman" w:hAnsi="Times New Roman" w:cs="Times New Roman"/>
          <w:b/>
          <w:bCs/>
          <w:sz w:val="28"/>
          <w:szCs w:val="28"/>
        </w:rPr>
        <w:t>Abstract</w:t>
      </w:r>
    </w:p>
    <w:p w14:paraId="211ABC48" w14:textId="49960927" w:rsidR="00592D33" w:rsidRPr="00592D33" w:rsidRDefault="00592D33" w:rsidP="00537280">
      <w:pPr>
        <w:spacing w:line="360" w:lineRule="auto"/>
        <w:ind w:firstLine="720"/>
        <w:jc w:val="both"/>
        <w:rPr>
          <w:rFonts w:ascii="Times New Roman" w:hAnsi="Times New Roman" w:cs="Times New Roman"/>
          <w:sz w:val="24"/>
          <w:szCs w:val="24"/>
        </w:rPr>
      </w:pPr>
      <w:r w:rsidRPr="00592D33">
        <w:rPr>
          <w:rFonts w:ascii="Times New Roman" w:hAnsi="Times New Roman" w:cs="Times New Roman"/>
          <w:sz w:val="24"/>
          <w:szCs w:val="24"/>
        </w:rPr>
        <w:t xml:space="preserve">Mosquito-borne diseases remain an important public-health concern, creating a need for effective and environmentally safer alternatives to conventional insecticides. The present study evaluated the </w:t>
      </w:r>
      <w:r w:rsidR="00AA3A93" w:rsidRPr="00537280">
        <w:rPr>
          <w:rFonts w:ascii="Times New Roman" w:hAnsi="Times New Roman" w:cs="Times New Roman"/>
          <w:sz w:val="24"/>
          <w:szCs w:val="24"/>
        </w:rPr>
        <w:t>preliminary phytochemical screening</w:t>
      </w:r>
      <w:r w:rsidRPr="00592D33">
        <w:rPr>
          <w:rFonts w:ascii="Times New Roman" w:hAnsi="Times New Roman" w:cs="Times New Roman"/>
          <w:sz w:val="24"/>
          <w:szCs w:val="24"/>
        </w:rPr>
        <w:t xml:space="preserve"> and larvicidal activity of selected plant extracts from Telangana, India, against three important mosquito vectors, </w:t>
      </w:r>
      <w:r w:rsidRPr="00592D33">
        <w:rPr>
          <w:rFonts w:ascii="Times New Roman" w:hAnsi="Times New Roman" w:cs="Times New Roman"/>
          <w:i/>
          <w:iCs/>
          <w:sz w:val="24"/>
          <w:szCs w:val="24"/>
        </w:rPr>
        <w:t>Aedes aegypti</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Anopheles </w:t>
      </w:r>
      <w:proofErr w:type="spellStart"/>
      <w:r w:rsidRPr="00592D33">
        <w:rPr>
          <w:rFonts w:ascii="Times New Roman" w:hAnsi="Times New Roman" w:cs="Times New Roman"/>
          <w:i/>
          <w:iCs/>
          <w:sz w:val="24"/>
          <w:szCs w:val="24"/>
        </w:rPr>
        <w:t>stephensi</w:t>
      </w:r>
      <w:proofErr w:type="spellEnd"/>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 xml:space="preserve">Culex </w:t>
      </w:r>
      <w:proofErr w:type="spellStart"/>
      <w:r w:rsidRPr="00592D33">
        <w:rPr>
          <w:rFonts w:ascii="Times New Roman" w:hAnsi="Times New Roman" w:cs="Times New Roman"/>
          <w:i/>
          <w:iCs/>
          <w:sz w:val="24"/>
          <w:szCs w:val="24"/>
        </w:rPr>
        <w:t>quinquefasciatus</w:t>
      </w:r>
      <w:proofErr w:type="spellEnd"/>
      <w:r w:rsidRPr="00592D33">
        <w:rPr>
          <w:rFonts w:ascii="Times New Roman" w:hAnsi="Times New Roman" w:cs="Times New Roman"/>
          <w:sz w:val="24"/>
          <w:szCs w:val="24"/>
        </w:rPr>
        <w:t xml:space="preserve">. Leaves of </w:t>
      </w:r>
      <w:proofErr w:type="spellStart"/>
      <w:r w:rsidRPr="00592D33">
        <w:rPr>
          <w:rFonts w:ascii="Times New Roman" w:hAnsi="Times New Roman" w:cs="Times New Roman"/>
          <w:i/>
          <w:iCs/>
          <w:sz w:val="24"/>
          <w:szCs w:val="24"/>
        </w:rPr>
        <w:t>Azadirachta</w:t>
      </w:r>
      <w:proofErr w:type="spellEnd"/>
      <w:r w:rsidRPr="00592D33">
        <w:rPr>
          <w:rFonts w:ascii="Times New Roman" w:hAnsi="Times New Roman" w:cs="Times New Roman"/>
          <w:i/>
          <w:iCs/>
          <w:sz w:val="24"/>
          <w:szCs w:val="24"/>
        </w:rPr>
        <w:t xml:space="preserve"> indica</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Lantana camara</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Vitex negundo</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Ocimum </w:t>
      </w:r>
      <w:proofErr w:type="spellStart"/>
      <w:r w:rsidRPr="00592D33">
        <w:rPr>
          <w:rFonts w:ascii="Times New Roman" w:hAnsi="Times New Roman" w:cs="Times New Roman"/>
          <w:i/>
          <w:iCs/>
          <w:sz w:val="24"/>
          <w:szCs w:val="24"/>
        </w:rPr>
        <w:t>tenuiflorum</w:t>
      </w:r>
      <w:proofErr w:type="spellEnd"/>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Calotropis gigantea</w:t>
      </w:r>
      <w:r w:rsidRPr="00592D33">
        <w:rPr>
          <w:rFonts w:ascii="Times New Roman" w:hAnsi="Times New Roman" w:cs="Times New Roman"/>
          <w:sz w:val="24"/>
          <w:szCs w:val="24"/>
        </w:rPr>
        <w:t xml:space="preserve"> were extracted with methanol and screened qualitatively for major groups of secondary metabolites. Larvicidal activity was evaluated against early fourth-instar larvae at concentrations ranging from 25 to 400 ppm, and mortality was recorded after 24 and 48 h of exposure. All five extracts showed concentration- and time-dependent larval mortality. </w:t>
      </w:r>
      <w:proofErr w:type="spellStart"/>
      <w:r w:rsidRPr="00592D33">
        <w:rPr>
          <w:rFonts w:ascii="Times New Roman" w:hAnsi="Times New Roman" w:cs="Times New Roman"/>
          <w:i/>
          <w:iCs/>
          <w:sz w:val="24"/>
          <w:szCs w:val="24"/>
        </w:rPr>
        <w:t>Azadirachta</w:t>
      </w:r>
      <w:proofErr w:type="spellEnd"/>
      <w:r w:rsidRPr="00592D33">
        <w:rPr>
          <w:rFonts w:ascii="Times New Roman" w:hAnsi="Times New Roman" w:cs="Times New Roman"/>
          <w:i/>
          <w:iCs/>
          <w:sz w:val="24"/>
          <w:szCs w:val="24"/>
        </w:rPr>
        <w:t xml:space="preserve"> indica</w:t>
      </w:r>
      <w:r w:rsidRPr="00592D33">
        <w:rPr>
          <w:rFonts w:ascii="Times New Roman" w:hAnsi="Times New Roman" w:cs="Times New Roman"/>
          <w:sz w:val="24"/>
          <w:szCs w:val="24"/>
        </w:rPr>
        <w:t xml:space="preserve"> exhibited the highest activity, followed by </w:t>
      </w:r>
      <w:r w:rsidRPr="00592D33">
        <w:rPr>
          <w:rFonts w:ascii="Times New Roman" w:hAnsi="Times New Roman" w:cs="Times New Roman"/>
          <w:i/>
          <w:iCs/>
          <w:sz w:val="24"/>
          <w:szCs w:val="24"/>
        </w:rPr>
        <w:t>L. camara</w:t>
      </w:r>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V. negundo</w:t>
      </w:r>
      <w:r w:rsidRPr="00592D33">
        <w:rPr>
          <w:rFonts w:ascii="Times New Roman" w:hAnsi="Times New Roman" w:cs="Times New Roman"/>
          <w:sz w:val="24"/>
          <w:szCs w:val="24"/>
        </w:rPr>
        <w:t xml:space="preserve">, whereas </w:t>
      </w:r>
      <w:r w:rsidRPr="00592D33">
        <w:rPr>
          <w:rFonts w:ascii="Times New Roman" w:hAnsi="Times New Roman" w:cs="Times New Roman"/>
          <w:i/>
          <w:iCs/>
          <w:sz w:val="24"/>
          <w:szCs w:val="24"/>
        </w:rPr>
        <w:t>C. gigantea</w:t>
      </w:r>
      <w:r w:rsidRPr="00592D33">
        <w:rPr>
          <w:rFonts w:ascii="Times New Roman" w:hAnsi="Times New Roman" w:cs="Times New Roman"/>
          <w:sz w:val="24"/>
          <w:szCs w:val="24"/>
        </w:rPr>
        <w:t xml:space="preserve"> showed the lowest activity. Among the mosquito species tested, </w:t>
      </w:r>
      <w:r w:rsidRPr="00592D33">
        <w:rPr>
          <w:rFonts w:ascii="Times New Roman" w:hAnsi="Times New Roman" w:cs="Times New Roman"/>
          <w:i/>
          <w:iCs/>
          <w:sz w:val="24"/>
          <w:szCs w:val="24"/>
        </w:rPr>
        <w:t>A. aegypti</w:t>
      </w:r>
      <w:r w:rsidRPr="00592D33">
        <w:rPr>
          <w:rFonts w:ascii="Times New Roman" w:hAnsi="Times New Roman" w:cs="Times New Roman"/>
          <w:sz w:val="24"/>
          <w:szCs w:val="24"/>
        </w:rPr>
        <w:t xml:space="preserve"> was comparatively more susceptible, while </w:t>
      </w:r>
      <w:r w:rsidRPr="00592D33">
        <w:rPr>
          <w:rFonts w:ascii="Times New Roman" w:hAnsi="Times New Roman" w:cs="Times New Roman"/>
          <w:i/>
          <w:iCs/>
          <w:sz w:val="24"/>
          <w:szCs w:val="24"/>
        </w:rPr>
        <w:t xml:space="preserve">An. </w:t>
      </w:r>
      <w:proofErr w:type="spellStart"/>
      <w:r w:rsidRPr="00592D33">
        <w:rPr>
          <w:rFonts w:ascii="Times New Roman" w:hAnsi="Times New Roman" w:cs="Times New Roman"/>
          <w:i/>
          <w:iCs/>
          <w:sz w:val="24"/>
          <w:szCs w:val="24"/>
        </w:rPr>
        <w:t>stephensi</w:t>
      </w:r>
      <w:proofErr w:type="spellEnd"/>
      <w:r w:rsidRPr="00592D33">
        <w:rPr>
          <w:rFonts w:ascii="Times New Roman" w:hAnsi="Times New Roman" w:cs="Times New Roman"/>
          <w:sz w:val="24"/>
          <w:szCs w:val="24"/>
        </w:rPr>
        <w:t xml:space="preserve"> showed lower susceptibility. The phytochemical screening revealed the presence of alkaloids, flavonoids, phenolics, tannins, saponins, terpenoids, steroids and glycosides, with differences in their qualitative distribution among the extracts. The lowest LC₅₀ values were observed for </w:t>
      </w:r>
      <w:r w:rsidRPr="00592D33">
        <w:rPr>
          <w:rFonts w:ascii="Times New Roman" w:hAnsi="Times New Roman" w:cs="Times New Roman"/>
          <w:i/>
          <w:iCs/>
          <w:sz w:val="24"/>
          <w:szCs w:val="24"/>
        </w:rPr>
        <w:t>A. indica</w:t>
      </w:r>
      <w:r w:rsidRPr="00592D33">
        <w:rPr>
          <w:rFonts w:ascii="Times New Roman" w:hAnsi="Times New Roman" w:cs="Times New Roman"/>
          <w:sz w:val="24"/>
          <w:szCs w:val="24"/>
        </w:rPr>
        <w:t xml:space="preserve">, indicating its comparatively greater larvicidal potency. Overall, the findings highlight the potential of locally available plant resources, particularly </w:t>
      </w:r>
      <w:r w:rsidRPr="00592D33">
        <w:rPr>
          <w:rFonts w:ascii="Times New Roman" w:hAnsi="Times New Roman" w:cs="Times New Roman"/>
          <w:i/>
          <w:iCs/>
          <w:sz w:val="24"/>
          <w:szCs w:val="24"/>
        </w:rPr>
        <w:t>A. indica</w:t>
      </w:r>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L. camara</w:t>
      </w:r>
      <w:r w:rsidRPr="00592D33">
        <w:rPr>
          <w:rFonts w:ascii="Times New Roman" w:hAnsi="Times New Roman" w:cs="Times New Roman"/>
          <w:sz w:val="24"/>
          <w:szCs w:val="24"/>
        </w:rPr>
        <w:t>, as candidates for further investigation as botanical mosquito larvicides. Further studies involving chemical characterization, non-target toxicity assessment, formulation and field evaluation are required to establish their practical applicability.</w:t>
      </w:r>
    </w:p>
    <w:p w14:paraId="69FFCC4D" w14:textId="1177D940" w:rsidR="00592D33" w:rsidRPr="00537280" w:rsidRDefault="00592D33" w:rsidP="009219DC">
      <w:pPr>
        <w:spacing w:line="360" w:lineRule="auto"/>
        <w:jc w:val="both"/>
        <w:rPr>
          <w:rFonts w:ascii="Times New Roman" w:hAnsi="Times New Roman" w:cs="Times New Roman"/>
          <w:sz w:val="24"/>
          <w:szCs w:val="24"/>
        </w:rPr>
      </w:pPr>
      <w:r w:rsidRPr="00592D33">
        <w:rPr>
          <w:rFonts w:ascii="Times New Roman" w:hAnsi="Times New Roman" w:cs="Times New Roman"/>
          <w:b/>
          <w:bCs/>
          <w:sz w:val="24"/>
          <w:szCs w:val="24"/>
        </w:rPr>
        <w:t>Keywords:</w:t>
      </w:r>
      <w:r w:rsidRPr="00592D33">
        <w:rPr>
          <w:rFonts w:ascii="Times New Roman" w:hAnsi="Times New Roman" w:cs="Times New Roman"/>
          <w:sz w:val="24"/>
          <w:szCs w:val="24"/>
        </w:rPr>
        <w:t xml:space="preserve"> </w:t>
      </w:r>
      <w:proofErr w:type="spellStart"/>
      <w:r w:rsidRPr="00592D33">
        <w:rPr>
          <w:rFonts w:ascii="Times New Roman" w:hAnsi="Times New Roman" w:cs="Times New Roman"/>
          <w:i/>
          <w:iCs/>
          <w:sz w:val="24"/>
          <w:szCs w:val="24"/>
        </w:rPr>
        <w:t>Azadirachta</w:t>
      </w:r>
      <w:proofErr w:type="spellEnd"/>
      <w:r w:rsidRPr="00592D33">
        <w:rPr>
          <w:rFonts w:ascii="Times New Roman" w:hAnsi="Times New Roman" w:cs="Times New Roman"/>
          <w:i/>
          <w:iCs/>
          <w:sz w:val="24"/>
          <w:szCs w:val="24"/>
        </w:rPr>
        <w:t xml:space="preserve"> indica</w:t>
      </w:r>
      <w:r w:rsidRPr="00537280">
        <w:rPr>
          <w:rFonts w:ascii="Times New Roman" w:hAnsi="Times New Roman" w:cs="Times New Roman"/>
          <w:sz w:val="24"/>
          <w:szCs w:val="24"/>
        </w:rPr>
        <w:t xml:space="preserve">, </w:t>
      </w:r>
      <w:r w:rsidRPr="00592D33">
        <w:rPr>
          <w:rFonts w:ascii="Times New Roman" w:hAnsi="Times New Roman" w:cs="Times New Roman"/>
          <w:i/>
          <w:iCs/>
          <w:sz w:val="24"/>
          <w:szCs w:val="24"/>
        </w:rPr>
        <w:t>Lantana camara</w:t>
      </w:r>
      <w:r w:rsidRPr="00537280">
        <w:rPr>
          <w:rFonts w:ascii="Times New Roman" w:hAnsi="Times New Roman" w:cs="Times New Roman"/>
          <w:sz w:val="24"/>
          <w:szCs w:val="24"/>
        </w:rPr>
        <w:t xml:space="preserve">, </w:t>
      </w:r>
      <w:r w:rsidRPr="00592D33">
        <w:rPr>
          <w:rFonts w:ascii="Times New Roman" w:hAnsi="Times New Roman" w:cs="Times New Roman"/>
          <w:i/>
          <w:iCs/>
          <w:sz w:val="24"/>
          <w:szCs w:val="24"/>
        </w:rPr>
        <w:t>Vitex negundo</w:t>
      </w:r>
      <w:r w:rsidRPr="00537280">
        <w:rPr>
          <w:rFonts w:ascii="Times New Roman" w:hAnsi="Times New Roman" w:cs="Times New Roman"/>
          <w:sz w:val="24"/>
          <w:szCs w:val="24"/>
        </w:rPr>
        <w:t xml:space="preserve">, </w:t>
      </w:r>
      <w:r w:rsidRPr="00592D33">
        <w:rPr>
          <w:rFonts w:ascii="Times New Roman" w:hAnsi="Times New Roman" w:cs="Times New Roman"/>
          <w:i/>
          <w:iCs/>
          <w:sz w:val="24"/>
          <w:szCs w:val="24"/>
        </w:rPr>
        <w:t>Aedes aegypti</w:t>
      </w:r>
      <w:r w:rsidRPr="00537280">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Anopheles </w:t>
      </w:r>
      <w:proofErr w:type="spellStart"/>
      <w:r w:rsidRPr="00592D33">
        <w:rPr>
          <w:rFonts w:ascii="Times New Roman" w:hAnsi="Times New Roman" w:cs="Times New Roman"/>
          <w:i/>
          <w:iCs/>
          <w:sz w:val="24"/>
          <w:szCs w:val="24"/>
        </w:rPr>
        <w:t>stephensi</w:t>
      </w:r>
      <w:proofErr w:type="spellEnd"/>
      <w:r w:rsidRPr="00537280">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Culex </w:t>
      </w:r>
      <w:proofErr w:type="spellStart"/>
      <w:r w:rsidRPr="00592D33">
        <w:rPr>
          <w:rFonts w:ascii="Times New Roman" w:hAnsi="Times New Roman" w:cs="Times New Roman"/>
          <w:i/>
          <w:iCs/>
          <w:sz w:val="24"/>
          <w:szCs w:val="24"/>
        </w:rPr>
        <w:t>quinquefasciatus</w:t>
      </w:r>
      <w:proofErr w:type="spellEnd"/>
      <w:r w:rsidRPr="00537280">
        <w:rPr>
          <w:rFonts w:ascii="Times New Roman" w:hAnsi="Times New Roman" w:cs="Times New Roman"/>
          <w:sz w:val="24"/>
          <w:szCs w:val="24"/>
        </w:rPr>
        <w:t xml:space="preserve">, </w:t>
      </w:r>
      <w:r w:rsidRPr="00592D33">
        <w:rPr>
          <w:rFonts w:ascii="Times New Roman" w:hAnsi="Times New Roman" w:cs="Times New Roman"/>
          <w:sz w:val="24"/>
          <w:szCs w:val="24"/>
        </w:rPr>
        <w:t>phytochemical screening</w:t>
      </w:r>
      <w:r w:rsidRPr="00537280">
        <w:rPr>
          <w:rFonts w:ascii="Times New Roman" w:hAnsi="Times New Roman" w:cs="Times New Roman"/>
          <w:sz w:val="24"/>
          <w:szCs w:val="24"/>
        </w:rPr>
        <w:t xml:space="preserve">, </w:t>
      </w:r>
      <w:r w:rsidRPr="00592D33">
        <w:rPr>
          <w:rFonts w:ascii="Times New Roman" w:hAnsi="Times New Roman" w:cs="Times New Roman"/>
          <w:sz w:val="24"/>
          <w:szCs w:val="24"/>
        </w:rPr>
        <w:t>larvicidal activity</w:t>
      </w:r>
      <w:r w:rsidRPr="00537280">
        <w:rPr>
          <w:rFonts w:ascii="Times New Roman" w:hAnsi="Times New Roman" w:cs="Times New Roman"/>
          <w:sz w:val="24"/>
          <w:szCs w:val="24"/>
        </w:rPr>
        <w:t xml:space="preserve">, </w:t>
      </w:r>
      <w:r w:rsidRPr="00592D33">
        <w:rPr>
          <w:rFonts w:ascii="Times New Roman" w:hAnsi="Times New Roman" w:cs="Times New Roman"/>
          <w:sz w:val="24"/>
          <w:szCs w:val="24"/>
        </w:rPr>
        <w:t>botanical larvicides</w:t>
      </w:r>
      <w:r w:rsidRPr="00537280">
        <w:rPr>
          <w:rFonts w:ascii="Times New Roman" w:hAnsi="Times New Roman" w:cs="Times New Roman"/>
          <w:sz w:val="24"/>
          <w:szCs w:val="24"/>
        </w:rPr>
        <w:t>.</w:t>
      </w:r>
    </w:p>
    <w:p w14:paraId="77E420D3" w14:textId="3200F690" w:rsidR="00AF6EFD" w:rsidRPr="00537280" w:rsidRDefault="00F67FF4"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1. INTRODUCTION</w:t>
      </w:r>
    </w:p>
    <w:p w14:paraId="57B6D0DF"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Mosquitoes are among the most important arthropod vectors of human diseases and are responsible for transmitting malaria, dengue, chikungunya, lymphatic filariasis, Japanese </w:t>
      </w:r>
      <w:r w:rsidRPr="00AF6EFD">
        <w:rPr>
          <w:rFonts w:ascii="Times New Roman" w:hAnsi="Times New Roman" w:cs="Times New Roman"/>
          <w:sz w:val="24"/>
          <w:szCs w:val="24"/>
        </w:rPr>
        <w:lastRenderedPageBreak/>
        <w:t xml:space="preserve">encephalitis and several other infections. Among the medically important genera, </w:t>
      </w:r>
      <w:r w:rsidRPr="00AF6EFD">
        <w:rPr>
          <w:rFonts w:ascii="Times New Roman" w:hAnsi="Times New Roman" w:cs="Times New Roman"/>
          <w:i/>
          <w:iCs/>
          <w:sz w:val="24"/>
          <w:szCs w:val="24"/>
        </w:rPr>
        <w:t>Aedes</w:t>
      </w:r>
      <w:r w:rsidRPr="00AF6EFD">
        <w:rPr>
          <w:rFonts w:ascii="Times New Roman" w:hAnsi="Times New Roman" w:cs="Times New Roman"/>
          <w:sz w:val="24"/>
          <w:szCs w:val="24"/>
        </w:rPr>
        <w:t xml:space="preserve">, </w:t>
      </w:r>
      <w:r w:rsidRPr="00AF6EFD">
        <w:rPr>
          <w:rFonts w:ascii="Times New Roman" w:hAnsi="Times New Roman" w:cs="Times New Roman"/>
          <w:i/>
          <w:iCs/>
          <w:sz w:val="24"/>
          <w:szCs w:val="24"/>
        </w:rPr>
        <w:t>Anopheles</w:t>
      </w:r>
      <w:r w:rsidRPr="00AF6EFD">
        <w:rPr>
          <w:rFonts w:ascii="Times New Roman" w:hAnsi="Times New Roman" w:cs="Times New Roman"/>
          <w:sz w:val="24"/>
          <w:szCs w:val="24"/>
        </w:rPr>
        <w:t xml:space="preserve"> and </w:t>
      </w:r>
      <w:r w:rsidRPr="00AF6EFD">
        <w:rPr>
          <w:rFonts w:ascii="Times New Roman" w:hAnsi="Times New Roman" w:cs="Times New Roman"/>
          <w:i/>
          <w:iCs/>
          <w:sz w:val="24"/>
          <w:szCs w:val="24"/>
        </w:rPr>
        <w:t>Culex</w:t>
      </w:r>
      <w:r w:rsidRPr="00AF6EFD">
        <w:rPr>
          <w:rFonts w:ascii="Times New Roman" w:hAnsi="Times New Roman" w:cs="Times New Roman"/>
          <w:sz w:val="24"/>
          <w:szCs w:val="24"/>
        </w:rPr>
        <w:t xml:space="preserve"> have major public-health significance. In India, </w:t>
      </w:r>
      <w:r w:rsidRPr="00AF6EFD">
        <w:rPr>
          <w:rFonts w:ascii="Times New Roman" w:hAnsi="Times New Roman" w:cs="Times New Roman"/>
          <w:i/>
          <w:iCs/>
          <w:sz w:val="24"/>
          <w:szCs w:val="24"/>
        </w:rPr>
        <w:t>Aedes aegypti</w:t>
      </w:r>
      <w:r w:rsidRPr="00AF6EFD">
        <w:rPr>
          <w:rFonts w:ascii="Times New Roman" w:hAnsi="Times New Roman" w:cs="Times New Roman"/>
          <w:sz w:val="24"/>
          <w:szCs w:val="24"/>
        </w:rPr>
        <w:t xml:space="preserve"> is an important vector of dengue and chikungunya, </w:t>
      </w:r>
      <w:r w:rsidRPr="00AF6EFD">
        <w:rPr>
          <w:rFonts w:ascii="Times New Roman" w:hAnsi="Times New Roman" w:cs="Times New Roman"/>
          <w:i/>
          <w:iCs/>
          <w:sz w:val="24"/>
          <w:szCs w:val="24"/>
        </w:rPr>
        <w:t xml:space="preserve">Anopheles </w:t>
      </w:r>
      <w:proofErr w:type="spellStart"/>
      <w:r w:rsidRPr="00AF6EFD">
        <w:rPr>
          <w:rFonts w:ascii="Times New Roman" w:hAnsi="Times New Roman" w:cs="Times New Roman"/>
          <w:i/>
          <w:iCs/>
          <w:sz w:val="24"/>
          <w:szCs w:val="24"/>
        </w:rPr>
        <w:t>stephensi</w:t>
      </w:r>
      <w:proofErr w:type="spellEnd"/>
      <w:r w:rsidRPr="00AF6EFD">
        <w:rPr>
          <w:rFonts w:ascii="Times New Roman" w:hAnsi="Times New Roman" w:cs="Times New Roman"/>
          <w:sz w:val="24"/>
          <w:szCs w:val="24"/>
        </w:rPr>
        <w:t xml:space="preserve"> is an important malaria vector, and </w:t>
      </w:r>
      <w:r w:rsidRPr="00AF6EFD">
        <w:rPr>
          <w:rFonts w:ascii="Times New Roman" w:hAnsi="Times New Roman" w:cs="Times New Roman"/>
          <w:i/>
          <w:iCs/>
          <w:sz w:val="24"/>
          <w:szCs w:val="24"/>
        </w:rPr>
        <w:t xml:space="preserve">Culex </w:t>
      </w:r>
      <w:proofErr w:type="spellStart"/>
      <w:r w:rsidRPr="00AF6EFD">
        <w:rPr>
          <w:rFonts w:ascii="Times New Roman" w:hAnsi="Times New Roman" w:cs="Times New Roman"/>
          <w:i/>
          <w:iCs/>
          <w:sz w:val="24"/>
          <w:szCs w:val="24"/>
        </w:rPr>
        <w:t>quinquefasciatus</w:t>
      </w:r>
      <w:proofErr w:type="spellEnd"/>
      <w:r w:rsidRPr="00AF6EFD">
        <w:rPr>
          <w:rFonts w:ascii="Times New Roman" w:hAnsi="Times New Roman" w:cs="Times New Roman"/>
          <w:sz w:val="24"/>
          <w:szCs w:val="24"/>
        </w:rPr>
        <w:t xml:space="preserve"> is associated with lymphatic filariasis and other mosquito-borne infections. Consequently, effective control of mosquito populations, particularly at the larval stage, remains an important component of vector management (Ghosh et al., 2012; Govindarajan et al., 2011).</w:t>
      </w:r>
    </w:p>
    <w:p w14:paraId="1B4151ED"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Chemical insecticides have been widely used for mosquito control because of their rapid action and effectiveness. However, their repeated and intensive use can contribute to insecticide resistance, environmental contamination and adverse effects on non-target organisms. These concerns have encouraged the search for safer and biodegradable alternatives, including plant-derived products (Ghosh et al., 2012; Senthil-Nathan, 2020).</w:t>
      </w:r>
    </w:p>
    <w:p w14:paraId="4F06F8AF"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Plants contain diverse secondary metabolites such as alkaloids, flavonoids, terpenoids, phenolics, tannins, saponins and steroids. Several of these compounds possess insecticidal, antifeedant, growth-regulating or toxic properties and may act individually or synergistically against mosquito larvae. The larvicidal activity of plant extracts can vary considerably depending on plant species, plant part, extraction solvent, concentration, mosquito species and larval stage (Ghosh et al., 2012; Pavela et al., 2019). A comprehensive review reported larvicidal activity from more than 400 plant species, demonstrating the considerable potential of botanical resources for mosquito management.</w:t>
      </w:r>
    </w:p>
    <w:p w14:paraId="6416B028"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Several plant species commonly occurring in India have already demonstrated promising mosquito-control properties. </w:t>
      </w:r>
      <w:r w:rsidRPr="00AF6EFD">
        <w:rPr>
          <w:rFonts w:ascii="Times New Roman" w:hAnsi="Times New Roman" w:cs="Times New Roman"/>
          <w:i/>
          <w:iCs/>
          <w:sz w:val="24"/>
          <w:szCs w:val="24"/>
        </w:rPr>
        <w:t>Vitex negundo</w:t>
      </w:r>
      <w:r w:rsidRPr="00AF6EFD">
        <w:rPr>
          <w:rFonts w:ascii="Times New Roman" w:hAnsi="Times New Roman" w:cs="Times New Roman"/>
          <w:sz w:val="24"/>
          <w:szCs w:val="24"/>
        </w:rPr>
        <w:t xml:space="preserve"> leaf extracts, for example, have shown larvicidal activity against </w:t>
      </w:r>
      <w:r w:rsidRPr="00AF6EFD">
        <w:rPr>
          <w:rFonts w:ascii="Times New Roman" w:hAnsi="Times New Roman" w:cs="Times New Roman"/>
          <w:i/>
          <w:iCs/>
          <w:sz w:val="24"/>
          <w:szCs w:val="24"/>
        </w:rPr>
        <w:t>Culex</w:t>
      </w:r>
      <w:r w:rsidRPr="00AF6EFD">
        <w:rPr>
          <w:rFonts w:ascii="Times New Roman" w:hAnsi="Times New Roman" w:cs="Times New Roman"/>
          <w:sz w:val="24"/>
          <w:szCs w:val="24"/>
        </w:rPr>
        <w:t xml:space="preserve"> larvae (</w:t>
      </w:r>
      <w:proofErr w:type="spellStart"/>
      <w:r w:rsidRPr="00AF6EFD">
        <w:rPr>
          <w:rFonts w:ascii="Times New Roman" w:hAnsi="Times New Roman" w:cs="Times New Roman"/>
          <w:sz w:val="24"/>
          <w:szCs w:val="24"/>
        </w:rPr>
        <w:t>Karunamoorthi</w:t>
      </w:r>
      <w:proofErr w:type="spellEnd"/>
      <w:r w:rsidRPr="00AF6EFD">
        <w:rPr>
          <w:rFonts w:ascii="Times New Roman" w:hAnsi="Times New Roman" w:cs="Times New Roman"/>
          <w:sz w:val="24"/>
          <w:szCs w:val="24"/>
        </w:rPr>
        <w:t xml:space="preserve"> et al., 2008), while </w:t>
      </w:r>
      <w:r w:rsidRPr="00AF6EFD">
        <w:rPr>
          <w:rFonts w:ascii="Times New Roman" w:hAnsi="Times New Roman" w:cs="Times New Roman"/>
          <w:i/>
          <w:iCs/>
          <w:sz w:val="24"/>
          <w:szCs w:val="24"/>
        </w:rPr>
        <w:t>Lantana camara</w:t>
      </w:r>
      <w:r w:rsidRPr="00AF6EFD">
        <w:rPr>
          <w:rFonts w:ascii="Times New Roman" w:hAnsi="Times New Roman" w:cs="Times New Roman"/>
          <w:sz w:val="24"/>
          <w:szCs w:val="24"/>
        </w:rPr>
        <w:t xml:space="preserve"> has demonstrated activity against several mosquito vectors (Jayaraman et al., 2015; Sharma et al., 2023). Recent investigations have also demonstrated that </w:t>
      </w:r>
      <w:r w:rsidRPr="00AF6EFD">
        <w:rPr>
          <w:rFonts w:ascii="Times New Roman" w:hAnsi="Times New Roman" w:cs="Times New Roman"/>
          <w:i/>
          <w:iCs/>
          <w:sz w:val="24"/>
          <w:szCs w:val="24"/>
        </w:rPr>
        <w:t>L. camara</w:t>
      </w:r>
      <w:r w:rsidRPr="00AF6EFD">
        <w:rPr>
          <w:rFonts w:ascii="Times New Roman" w:hAnsi="Times New Roman" w:cs="Times New Roman"/>
          <w:sz w:val="24"/>
          <w:szCs w:val="24"/>
        </w:rPr>
        <w:t xml:space="preserve"> essential oil possesses larvicidal activity and contains chemically diverse constituents that may contribute to its biological activity (Hung et al., 2021; Sonter et al., 2024).</w:t>
      </w:r>
    </w:p>
    <w:p w14:paraId="3A51C273"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Despite extensive research on botanical larvicides, the activity of plant extracts can differ according to geographical origin and environmental conditions. Therefore, evaluating locally available plants from Telangana may provide useful information on their phytochemical composition and mosquito-control potential. The present study focuses on selected plants from Telangana and evaluates their major phytochemical groups and larvicidal activity against </w:t>
      </w:r>
      <w:r w:rsidRPr="00AF6EFD">
        <w:rPr>
          <w:rFonts w:ascii="Times New Roman" w:hAnsi="Times New Roman" w:cs="Times New Roman"/>
          <w:i/>
          <w:iCs/>
          <w:sz w:val="24"/>
          <w:szCs w:val="24"/>
        </w:rPr>
        <w:t xml:space="preserve">Ae. </w:t>
      </w:r>
      <w:r w:rsidRPr="00AF6EFD">
        <w:rPr>
          <w:rFonts w:ascii="Times New Roman" w:hAnsi="Times New Roman" w:cs="Times New Roman"/>
          <w:i/>
          <w:iCs/>
          <w:sz w:val="24"/>
          <w:szCs w:val="24"/>
        </w:rPr>
        <w:lastRenderedPageBreak/>
        <w:t>aegypti</w:t>
      </w:r>
      <w:r w:rsidRPr="00AF6EFD">
        <w:rPr>
          <w:rFonts w:ascii="Times New Roman" w:hAnsi="Times New Roman" w:cs="Times New Roman"/>
          <w:sz w:val="24"/>
          <w:szCs w:val="24"/>
        </w:rPr>
        <w:t xml:space="preserve">, </w:t>
      </w:r>
      <w:r w:rsidRPr="00AF6EFD">
        <w:rPr>
          <w:rFonts w:ascii="Times New Roman" w:hAnsi="Times New Roman" w:cs="Times New Roman"/>
          <w:i/>
          <w:iCs/>
          <w:sz w:val="24"/>
          <w:szCs w:val="24"/>
        </w:rPr>
        <w:t xml:space="preserve">An. </w:t>
      </w:r>
      <w:proofErr w:type="spellStart"/>
      <w:r w:rsidRPr="00AF6EFD">
        <w:rPr>
          <w:rFonts w:ascii="Times New Roman" w:hAnsi="Times New Roman" w:cs="Times New Roman"/>
          <w:i/>
          <w:iCs/>
          <w:sz w:val="24"/>
          <w:szCs w:val="24"/>
        </w:rPr>
        <w:t>stephensi</w:t>
      </w:r>
      <w:proofErr w:type="spellEnd"/>
      <w:r w:rsidRPr="00AF6EFD">
        <w:rPr>
          <w:rFonts w:ascii="Times New Roman" w:hAnsi="Times New Roman" w:cs="Times New Roman"/>
          <w:sz w:val="24"/>
          <w:szCs w:val="24"/>
        </w:rPr>
        <w:t xml:space="preserve"> and </w:t>
      </w:r>
      <w:proofErr w:type="spellStart"/>
      <w:r w:rsidRPr="00AF6EFD">
        <w:rPr>
          <w:rFonts w:ascii="Times New Roman" w:hAnsi="Times New Roman" w:cs="Times New Roman"/>
          <w:i/>
          <w:iCs/>
          <w:sz w:val="24"/>
          <w:szCs w:val="24"/>
        </w:rPr>
        <w:t>Cx</w:t>
      </w:r>
      <w:proofErr w:type="spellEnd"/>
      <w:r w:rsidRPr="00AF6EFD">
        <w:rPr>
          <w:rFonts w:ascii="Times New Roman" w:hAnsi="Times New Roman" w:cs="Times New Roman"/>
          <w:i/>
          <w:iCs/>
          <w:sz w:val="24"/>
          <w:szCs w:val="24"/>
        </w:rPr>
        <w:t xml:space="preserve">. </w:t>
      </w:r>
      <w:proofErr w:type="spellStart"/>
      <w:r w:rsidRPr="00AF6EFD">
        <w:rPr>
          <w:rFonts w:ascii="Times New Roman" w:hAnsi="Times New Roman" w:cs="Times New Roman"/>
          <w:i/>
          <w:iCs/>
          <w:sz w:val="24"/>
          <w:szCs w:val="24"/>
        </w:rPr>
        <w:t>quinquefasciatus</w:t>
      </w:r>
      <w:proofErr w:type="spellEnd"/>
      <w:r w:rsidRPr="00AF6EFD">
        <w:rPr>
          <w:rFonts w:ascii="Times New Roman" w:hAnsi="Times New Roman" w:cs="Times New Roman"/>
          <w:sz w:val="24"/>
          <w:szCs w:val="24"/>
        </w:rPr>
        <w:t>. Such locally based investigations may contribute to the identification of inexpensive plant resources suitable for further development as botanical mosquito larvicides.</w:t>
      </w:r>
    </w:p>
    <w:p w14:paraId="277598F6"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Although many plants have been investigated as mosquito larvicides, comparatively less attention has been given to systematically comparing selected locally available plants from Telangana against multiple important mosquito vectors. Furthermore, linking preliminary phytochemical profiles with larvicidal performance can help identify promising plant extracts for further investigation. The present study was therefore designed to provide a simple comparative assessment of selected Telangana plant extracts and their larvicidal potential.</w:t>
      </w:r>
    </w:p>
    <w:p w14:paraId="023614E8" w14:textId="51F4628D" w:rsidR="00DC6298" w:rsidRPr="00AF6EFD" w:rsidRDefault="00DC6298" w:rsidP="00537280">
      <w:pPr>
        <w:spacing w:line="360" w:lineRule="auto"/>
        <w:ind w:firstLine="720"/>
        <w:jc w:val="both"/>
        <w:rPr>
          <w:rFonts w:ascii="Times New Roman" w:hAnsi="Times New Roman" w:cs="Times New Roman"/>
          <w:sz w:val="24"/>
          <w:szCs w:val="24"/>
        </w:rPr>
      </w:pPr>
      <w:r w:rsidRPr="00537280">
        <w:rPr>
          <w:rFonts w:ascii="Times New Roman" w:hAnsi="Times New Roman" w:cs="Times New Roman"/>
          <w:sz w:val="24"/>
          <w:szCs w:val="24"/>
        </w:rPr>
        <w:t xml:space="preserve">The present study aimed to prepare extracts of selected plants collected from Telangana, India, and assess their major phytochemical groups; evaluate their larvicidal activity against </w:t>
      </w:r>
      <w:r w:rsidRPr="00537280">
        <w:rPr>
          <w:rFonts w:ascii="Times New Roman" w:hAnsi="Times New Roman" w:cs="Times New Roman"/>
          <w:i/>
          <w:iCs/>
          <w:sz w:val="24"/>
          <w:szCs w:val="24"/>
        </w:rPr>
        <w:t>Aedes aegypti</w:t>
      </w:r>
      <w:r w:rsidRPr="00537280">
        <w:rPr>
          <w:rFonts w:ascii="Times New Roman" w:hAnsi="Times New Roman" w:cs="Times New Roman"/>
          <w:sz w:val="24"/>
          <w:szCs w:val="24"/>
        </w:rPr>
        <w:t xml:space="preserve">, </w:t>
      </w:r>
      <w:r w:rsidRPr="00537280">
        <w:rPr>
          <w:rFonts w:ascii="Times New Roman" w:hAnsi="Times New Roman" w:cs="Times New Roman"/>
          <w:i/>
          <w:iCs/>
          <w:sz w:val="24"/>
          <w:szCs w:val="24"/>
        </w:rPr>
        <w:t xml:space="preserve">Anopheles </w:t>
      </w:r>
      <w:proofErr w:type="spellStart"/>
      <w:r w:rsidRPr="00537280">
        <w:rPr>
          <w:rFonts w:ascii="Times New Roman" w:hAnsi="Times New Roman" w:cs="Times New Roman"/>
          <w:i/>
          <w:iCs/>
          <w:sz w:val="24"/>
          <w:szCs w:val="24"/>
        </w:rPr>
        <w:t>stephensi</w:t>
      </w:r>
      <w:proofErr w:type="spellEnd"/>
      <w:r w:rsidRPr="00537280">
        <w:rPr>
          <w:rFonts w:ascii="Times New Roman" w:hAnsi="Times New Roman" w:cs="Times New Roman"/>
          <w:sz w:val="24"/>
          <w:szCs w:val="24"/>
        </w:rPr>
        <w:t xml:space="preserve"> and </w:t>
      </w:r>
      <w:r w:rsidRPr="00537280">
        <w:rPr>
          <w:rFonts w:ascii="Times New Roman" w:hAnsi="Times New Roman" w:cs="Times New Roman"/>
          <w:i/>
          <w:iCs/>
          <w:sz w:val="24"/>
          <w:szCs w:val="24"/>
        </w:rPr>
        <w:t xml:space="preserve">Culex </w:t>
      </w:r>
      <w:proofErr w:type="spellStart"/>
      <w:r w:rsidRPr="00537280">
        <w:rPr>
          <w:rFonts w:ascii="Times New Roman" w:hAnsi="Times New Roman" w:cs="Times New Roman"/>
          <w:i/>
          <w:iCs/>
          <w:sz w:val="24"/>
          <w:szCs w:val="24"/>
        </w:rPr>
        <w:t>quinquefasciatus</w:t>
      </w:r>
      <w:proofErr w:type="spellEnd"/>
      <w:r w:rsidRPr="00537280">
        <w:rPr>
          <w:rFonts w:ascii="Times New Roman" w:hAnsi="Times New Roman" w:cs="Times New Roman"/>
          <w:sz w:val="24"/>
          <w:szCs w:val="24"/>
        </w:rPr>
        <w:t>; determine concentration-dependent mortality and LC₅₀ values; and compare the effectiveness of the selected plant extracts to identify the most promising candidate for further investigation.</w:t>
      </w:r>
    </w:p>
    <w:p w14:paraId="09DA8669" w14:textId="693469BD" w:rsidR="008E19C7" w:rsidRPr="00537280" w:rsidRDefault="00ED2FD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2. MATERIALS AND METHODS</w:t>
      </w:r>
    </w:p>
    <w:p w14:paraId="273ADC9E" w14:textId="7A9B463F" w:rsid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Study area</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study was conducted using selected plants collected from different locations in Telangana State, India</w:t>
      </w:r>
      <w:r w:rsidR="00DE0D89">
        <w:rPr>
          <w:rFonts w:ascii="Times New Roman" w:hAnsi="Times New Roman" w:cs="Times New Roman"/>
          <w:sz w:val="24"/>
          <w:szCs w:val="24"/>
        </w:rPr>
        <w:t xml:space="preserve"> (Figure 1)</w:t>
      </w:r>
      <w:r w:rsidRPr="004C2B36">
        <w:rPr>
          <w:rFonts w:ascii="Times New Roman" w:hAnsi="Times New Roman" w:cs="Times New Roman"/>
          <w:sz w:val="24"/>
          <w:szCs w:val="24"/>
        </w:rPr>
        <w:t>. Telangana has a predominantly warm climate and supports a wide variety of medicinal and naturally occurring plants. The selected plants were chosen because they are locally available, traditionally used, and have previously reported biological or insecticidal potential.</w:t>
      </w:r>
    </w:p>
    <w:p w14:paraId="71F6CB58" w14:textId="77777777" w:rsidR="00DE0D89" w:rsidRDefault="00DE0D89" w:rsidP="00537280">
      <w:pPr>
        <w:spacing w:line="360" w:lineRule="auto"/>
        <w:jc w:val="both"/>
        <w:rPr>
          <w:noProof/>
        </w:rPr>
      </w:pPr>
    </w:p>
    <w:p w14:paraId="672DCBC2" w14:textId="12556B01" w:rsidR="00DE0D89" w:rsidRDefault="00DE0D89" w:rsidP="00DE0D89">
      <w:pPr>
        <w:spacing w:line="360" w:lineRule="auto"/>
        <w:jc w:val="center"/>
        <w:rPr>
          <w:rFonts w:ascii="Times New Roman" w:hAnsi="Times New Roman" w:cs="Times New Roman"/>
          <w:b/>
          <w:bCs/>
          <w:sz w:val="24"/>
          <w:szCs w:val="24"/>
        </w:rPr>
      </w:pPr>
      <w:r w:rsidRPr="00DE0D89">
        <w:rPr>
          <w:rFonts w:ascii="Times New Roman" w:hAnsi="Times New Roman" w:cs="Times New Roman"/>
          <w:noProof/>
          <w:sz w:val="24"/>
          <w:szCs w:val="24"/>
        </w:rPr>
        <w:lastRenderedPageBreak/>
        <w:drawing>
          <wp:inline distT="0" distB="0" distL="0" distR="0" wp14:anchorId="14ABBED7" wp14:editId="07F3C054">
            <wp:extent cx="5539740" cy="3714750"/>
            <wp:effectExtent l="19050" t="19050" r="22860" b="19050"/>
            <wp:docPr id="110741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329" t="5412" r="2016" b="8217"/>
                    <a:stretch>
                      <a:fillRect/>
                    </a:stretch>
                  </pic:blipFill>
                  <pic:spPr bwMode="auto">
                    <a:xfrm>
                      <a:off x="0" y="0"/>
                      <a:ext cx="5539740" cy="371475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790F566" w14:textId="354342BF" w:rsidR="00DE0D89" w:rsidRPr="00DE0D89" w:rsidRDefault="00DE0D89" w:rsidP="00DE0D89">
      <w:pPr>
        <w:spacing w:line="360" w:lineRule="auto"/>
        <w:jc w:val="center"/>
        <w:rPr>
          <w:rFonts w:ascii="Times New Roman" w:hAnsi="Times New Roman" w:cs="Times New Roman"/>
          <w:sz w:val="24"/>
          <w:szCs w:val="24"/>
        </w:rPr>
      </w:pPr>
      <w:r w:rsidRPr="00DE0D89">
        <w:rPr>
          <w:rFonts w:ascii="Times New Roman" w:hAnsi="Times New Roman" w:cs="Times New Roman"/>
          <w:b/>
          <w:bCs/>
          <w:sz w:val="24"/>
          <w:szCs w:val="24"/>
        </w:rPr>
        <w:t>Figure 1:</w:t>
      </w:r>
      <w:r w:rsidRPr="00DE0D89">
        <w:rPr>
          <w:rFonts w:ascii="Times New Roman" w:hAnsi="Times New Roman" w:cs="Times New Roman"/>
          <w:sz w:val="24"/>
          <w:szCs w:val="24"/>
        </w:rPr>
        <w:t xml:space="preserve"> Study area, </w:t>
      </w:r>
      <w:proofErr w:type="spellStart"/>
      <w:r w:rsidRPr="00DE0D89">
        <w:rPr>
          <w:rFonts w:ascii="Times New Roman" w:hAnsi="Times New Roman" w:cs="Times New Roman"/>
          <w:sz w:val="24"/>
          <w:szCs w:val="24"/>
        </w:rPr>
        <w:t>Hanumakonda</w:t>
      </w:r>
      <w:proofErr w:type="spellEnd"/>
      <w:r w:rsidRPr="00DE0D89">
        <w:rPr>
          <w:rFonts w:ascii="Times New Roman" w:hAnsi="Times New Roman" w:cs="Times New Roman"/>
          <w:sz w:val="24"/>
          <w:szCs w:val="24"/>
        </w:rPr>
        <w:t>, Telangana, India</w:t>
      </w:r>
    </w:p>
    <w:p w14:paraId="2F7DB8B6" w14:textId="6F6B0882" w:rsidR="005E3901"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Selection and collection of plant material</w:t>
      </w:r>
      <w:r w:rsidR="006263EB" w:rsidRPr="00537280">
        <w:rPr>
          <w:rFonts w:ascii="Times New Roman" w:hAnsi="Times New Roman" w:cs="Times New Roman"/>
          <w:b/>
          <w:bCs/>
          <w:sz w:val="24"/>
          <w:szCs w:val="24"/>
        </w:rPr>
        <w:t xml:space="preserve">: </w:t>
      </w:r>
      <w:r w:rsidR="005E3901" w:rsidRPr="00537280">
        <w:rPr>
          <w:rFonts w:ascii="Times New Roman" w:hAnsi="Times New Roman" w:cs="Times New Roman"/>
          <w:sz w:val="24"/>
          <w:szCs w:val="24"/>
        </w:rPr>
        <w:t xml:space="preserve">Five plant species, namely </w:t>
      </w:r>
      <w:proofErr w:type="spellStart"/>
      <w:r w:rsidR="005E3901" w:rsidRPr="00537280">
        <w:rPr>
          <w:rFonts w:ascii="Times New Roman" w:hAnsi="Times New Roman" w:cs="Times New Roman"/>
          <w:i/>
          <w:iCs/>
          <w:sz w:val="24"/>
          <w:szCs w:val="24"/>
        </w:rPr>
        <w:t>Azadirachta</w:t>
      </w:r>
      <w:proofErr w:type="spellEnd"/>
      <w:r w:rsidR="005E3901" w:rsidRPr="00537280">
        <w:rPr>
          <w:rFonts w:ascii="Times New Roman" w:hAnsi="Times New Roman" w:cs="Times New Roman"/>
          <w:i/>
          <w:iCs/>
          <w:sz w:val="24"/>
          <w:szCs w:val="24"/>
        </w:rPr>
        <w:t xml:space="preserve"> indica</w:t>
      </w:r>
      <w:r w:rsidR="005E3901" w:rsidRPr="00537280">
        <w:rPr>
          <w:rFonts w:ascii="Times New Roman" w:hAnsi="Times New Roman" w:cs="Times New Roman"/>
          <w:sz w:val="24"/>
          <w:szCs w:val="24"/>
        </w:rPr>
        <w:t xml:space="preserve"> A. Juss. </w:t>
      </w:r>
      <w:r w:rsidR="005E3901" w:rsidRPr="00537280">
        <w:rPr>
          <w:rFonts w:ascii="Times New Roman" w:hAnsi="Times New Roman" w:cs="Times New Roman"/>
          <w:sz w:val="24"/>
          <w:szCs w:val="24"/>
          <w:lang w:val="pt-BR"/>
        </w:rPr>
        <w:t xml:space="preserve">(neem), </w:t>
      </w:r>
      <w:r w:rsidR="005E3901" w:rsidRPr="00537280">
        <w:rPr>
          <w:rFonts w:ascii="Times New Roman" w:hAnsi="Times New Roman" w:cs="Times New Roman"/>
          <w:i/>
          <w:iCs/>
          <w:sz w:val="24"/>
          <w:szCs w:val="24"/>
          <w:lang w:val="pt-BR"/>
        </w:rPr>
        <w:t>Lantana camara</w:t>
      </w:r>
      <w:r w:rsidR="005E3901" w:rsidRPr="00537280">
        <w:rPr>
          <w:rFonts w:ascii="Times New Roman" w:hAnsi="Times New Roman" w:cs="Times New Roman"/>
          <w:sz w:val="24"/>
          <w:szCs w:val="24"/>
          <w:lang w:val="pt-BR"/>
        </w:rPr>
        <w:t xml:space="preserve"> L. (lantana), </w:t>
      </w:r>
      <w:r w:rsidR="005E3901" w:rsidRPr="00537280">
        <w:rPr>
          <w:rFonts w:ascii="Times New Roman" w:hAnsi="Times New Roman" w:cs="Times New Roman"/>
          <w:i/>
          <w:iCs/>
          <w:sz w:val="24"/>
          <w:szCs w:val="24"/>
          <w:lang w:val="pt-BR"/>
        </w:rPr>
        <w:t>Vitex negundo</w:t>
      </w:r>
      <w:r w:rsidR="005E3901" w:rsidRPr="00537280">
        <w:rPr>
          <w:rFonts w:ascii="Times New Roman" w:hAnsi="Times New Roman" w:cs="Times New Roman"/>
          <w:sz w:val="24"/>
          <w:szCs w:val="24"/>
          <w:lang w:val="pt-BR"/>
        </w:rPr>
        <w:t xml:space="preserve"> L. (nirgundi), </w:t>
      </w:r>
      <w:r w:rsidR="005E3901" w:rsidRPr="00537280">
        <w:rPr>
          <w:rFonts w:ascii="Times New Roman" w:hAnsi="Times New Roman" w:cs="Times New Roman"/>
          <w:i/>
          <w:iCs/>
          <w:sz w:val="24"/>
          <w:szCs w:val="24"/>
          <w:lang w:val="pt-BR"/>
        </w:rPr>
        <w:t>Ocimum tenuiflorum</w:t>
      </w:r>
      <w:r w:rsidR="005E3901" w:rsidRPr="00537280">
        <w:rPr>
          <w:rFonts w:ascii="Times New Roman" w:hAnsi="Times New Roman" w:cs="Times New Roman"/>
          <w:sz w:val="24"/>
          <w:szCs w:val="24"/>
          <w:lang w:val="pt-BR"/>
        </w:rPr>
        <w:t xml:space="preserve"> L. (tulsi), and </w:t>
      </w:r>
      <w:r w:rsidR="005E3901" w:rsidRPr="00537280">
        <w:rPr>
          <w:rFonts w:ascii="Times New Roman" w:hAnsi="Times New Roman" w:cs="Times New Roman"/>
          <w:i/>
          <w:iCs/>
          <w:sz w:val="24"/>
          <w:szCs w:val="24"/>
          <w:lang w:val="pt-BR"/>
        </w:rPr>
        <w:t>Calotropis gigantea</w:t>
      </w:r>
      <w:r w:rsidR="005E3901" w:rsidRPr="00537280">
        <w:rPr>
          <w:rFonts w:ascii="Times New Roman" w:hAnsi="Times New Roman" w:cs="Times New Roman"/>
          <w:sz w:val="24"/>
          <w:szCs w:val="24"/>
          <w:lang w:val="pt-BR"/>
        </w:rPr>
        <w:t xml:space="preserve"> (L.) </w:t>
      </w:r>
      <w:proofErr w:type="spellStart"/>
      <w:r w:rsidR="005E3901" w:rsidRPr="00537280">
        <w:rPr>
          <w:rFonts w:ascii="Times New Roman" w:hAnsi="Times New Roman" w:cs="Times New Roman"/>
          <w:sz w:val="24"/>
          <w:szCs w:val="24"/>
        </w:rPr>
        <w:t>Dryand</w:t>
      </w:r>
      <w:proofErr w:type="spellEnd"/>
      <w:r w:rsidR="005E3901" w:rsidRPr="00537280">
        <w:rPr>
          <w:rFonts w:ascii="Times New Roman" w:hAnsi="Times New Roman" w:cs="Times New Roman"/>
          <w:sz w:val="24"/>
          <w:szCs w:val="24"/>
        </w:rPr>
        <w:t>. (giant milkweed), were selected for the present study based on their local availability and reported biological potential. Healthy, mature and disease-free leaves were collected from selected locations in Telangana, India, and transported to the laboratory in clean labelled bags. The collected material was carefully examined, and soil particles, insects, damaged portions and other foreign materials were removed. The leaves were gently washed with tap water and finally rinsed with distilled water before further processing. The plant specimens were identified and authenticated using standard taxonomic literature and available botanical resources. The accepted scientific names and taxonomic details were confirmed before extraction, as correct plant identification is essential for reproducible phytochemical and biological investigations.</w:t>
      </w:r>
    </w:p>
    <w:p w14:paraId="7276B025" w14:textId="6408228D"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Identification and authentication of plants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collected plants were identified using standard taxonomic literature and available botanical resources. Their scientific names and family names were checked before laboratory processing.</w:t>
      </w:r>
      <w:r w:rsidR="009913F1" w:rsidRPr="00537280">
        <w:rPr>
          <w:rFonts w:ascii="Times New Roman" w:hAnsi="Times New Roman" w:cs="Times New Roman"/>
          <w:sz w:val="24"/>
          <w:szCs w:val="24"/>
        </w:rPr>
        <w:t xml:space="preserve"> </w:t>
      </w:r>
      <w:r w:rsidRPr="004C2B36">
        <w:rPr>
          <w:rFonts w:ascii="Times New Roman" w:hAnsi="Times New Roman" w:cs="Times New Roman"/>
          <w:sz w:val="24"/>
          <w:szCs w:val="24"/>
        </w:rPr>
        <w:t>Correct identification is important because closely related plant species can differ considerably in their chemical composition and biological activity.</w:t>
      </w:r>
    </w:p>
    <w:p w14:paraId="18A399D3" w14:textId="54690D8E"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lastRenderedPageBreak/>
        <w:t>Drying and preparation of plant material</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cleaned leaves were spread separately on clean paper and shade-dried at room temperature until a constant dry condition was obtained. Direct sunlight was avoided because heat and strong light can affect some plant constituents.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dried leaves were ground into a coarse powder using a clean laboratory grinder. Each plant powder was stored separately in airtight containers until extraction.</w:t>
      </w:r>
    </w:p>
    <w:p w14:paraId="586156BA" w14:textId="0CD9304B"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Preparation of plant extracts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Approximately 100 g of dried leaf powder from each plant was extracted using methanol as the extraction solvent. Methanol was selected because it can extract a broad range of plant secondary metabolites, including phenolic compounds, flavonoids, alkaloids and several other moderately polar constituents. Solvent polarity is known to influence both the chemical composition and larvicidal activity of plant extracts (Ghosh et al., 2012; Pavela et al., 2019).</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The powdered material was soaked in methanol and kept for approximately </w:t>
      </w:r>
      <w:r w:rsidR="00C8038E" w:rsidRPr="00537280">
        <w:rPr>
          <w:rFonts w:ascii="Times New Roman" w:hAnsi="Times New Roman" w:cs="Times New Roman"/>
          <w:sz w:val="24"/>
          <w:szCs w:val="24"/>
        </w:rPr>
        <w:t>48–72 h</w:t>
      </w:r>
      <w:r w:rsidRPr="004C2B36">
        <w:rPr>
          <w:rFonts w:ascii="Times New Roman" w:hAnsi="Times New Roman" w:cs="Times New Roman"/>
          <w:sz w:val="24"/>
          <w:szCs w:val="24"/>
        </w:rPr>
        <w:t xml:space="preserve"> with occasional shaking. The extract was then filtered through Whatman No. 1 filter paper. The filtrate was concentrated using a rotary evaporator or by gentle evaporation at a controlled temperature</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The concentrated extracts were transferred to labelled containers and stored at low temperature until further analysis.</w:t>
      </w:r>
    </w:p>
    <w:p w14:paraId="4B7A0019" w14:textId="77777777" w:rsidR="006263EB" w:rsidRPr="00537280" w:rsidRDefault="004C2B36" w:rsidP="009219DC">
      <w:pPr>
        <w:spacing w:line="360" w:lineRule="auto"/>
        <w:ind w:firstLine="720"/>
        <w:jc w:val="both"/>
        <w:rPr>
          <w:rFonts w:ascii="Times New Roman" w:hAnsi="Times New Roman" w:cs="Times New Roman"/>
          <w:b/>
          <w:bCs/>
          <w:sz w:val="24"/>
          <w:szCs w:val="24"/>
        </w:rPr>
      </w:pPr>
      <w:r w:rsidRPr="004C2B36">
        <w:rPr>
          <w:rFonts w:ascii="Times New Roman" w:hAnsi="Times New Roman" w:cs="Times New Roman"/>
          <w:sz w:val="24"/>
          <w:szCs w:val="24"/>
        </w:rPr>
        <w:t>The percentage extraction yield was calculated as:</w:t>
      </w:r>
      <w:r w:rsidR="006263EB" w:rsidRPr="00537280">
        <w:rPr>
          <w:rFonts w:ascii="Times New Roman" w:hAnsi="Times New Roman" w:cs="Times New Roman"/>
          <w:sz w:val="24"/>
          <w:szCs w:val="24"/>
        </w:rPr>
        <w:t xml:space="preserve"> </w:t>
      </w:r>
    </w:p>
    <w:p w14:paraId="73029DE1" w14:textId="16DD8668" w:rsidR="004C2B36" w:rsidRPr="004C2B36" w:rsidRDefault="004C2B36" w:rsidP="00537280">
      <w:pPr>
        <w:spacing w:line="360" w:lineRule="auto"/>
        <w:jc w:val="center"/>
        <w:rPr>
          <w:rFonts w:ascii="Times New Roman" w:hAnsi="Times New Roman" w:cs="Times New Roman"/>
          <w:sz w:val="24"/>
          <w:szCs w:val="24"/>
        </w:rPr>
      </w:pPr>
      <w:r w:rsidRPr="004C2B36">
        <w:rPr>
          <w:rFonts w:ascii="Times New Roman" w:hAnsi="Times New Roman" w:cs="Times New Roman"/>
          <w:sz w:val="24"/>
          <w:szCs w:val="24"/>
        </w:rPr>
        <w:t>Extraction yield (%) = (Weight of dried extract / Weight of plant powder) × 100</w:t>
      </w:r>
    </w:p>
    <w:p w14:paraId="466FA704" w14:textId="77777777" w:rsidR="004C2B36" w:rsidRPr="004C2B36" w:rsidRDefault="004C2B36" w:rsidP="009219DC">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The dried extracts were re-dissolved in a small quantity of suitable solvent to prepare stock solutions for phytochemical and larvicidal experiments.</w:t>
      </w:r>
    </w:p>
    <w:p w14:paraId="25D55F2B" w14:textId="5F43B6A9"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Preliminary phytochemical screening</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extracts were screened for the major groups of secondary metabolites using standard qualitative phytochemical tests described by Harborne (1984).</w:t>
      </w:r>
      <w:r w:rsidR="00DD44BE" w:rsidRPr="00537280">
        <w:rPr>
          <w:rFonts w:ascii="Times New Roman" w:hAnsi="Times New Roman" w:cs="Times New Roman"/>
          <w:sz w:val="24"/>
          <w:szCs w:val="24"/>
        </w:rPr>
        <w:t xml:space="preserve"> The extracts were screened for alkaloids, flavonoids, phenolic compounds, tannins, saponins, terpenoids, steroids and glycosides.</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The appearance of characteristic </w:t>
      </w:r>
      <w:proofErr w:type="spellStart"/>
      <w:r w:rsidRPr="004C2B36">
        <w:rPr>
          <w:rFonts w:ascii="Times New Roman" w:hAnsi="Times New Roman" w:cs="Times New Roman"/>
          <w:sz w:val="24"/>
          <w:szCs w:val="24"/>
        </w:rPr>
        <w:t>colour</w:t>
      </w:r>
      <w:proofErr w:type="spellEnd"/>
      <w:r w:rsidRPr="004C2B36">
        <w:rPr>
          <w:rFonts w:ascii="Times New Roman" w:hAnsi="Times New Roman" w:cs="Times New Roman"/>
          <w:sz w:val="24"/>
          <w:szCs w:val="24"/>
        </w:rPr>
        <w:t xml:space="preserve"> changes, precipitates or foam was considered evidence of the respective compound group. The results were recorded as absent (−), weakly present (+), moderately present (+</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 or strongly present (+</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w:t>
      </w:r>
      <w:r w:rsidR="009219DC">
        <w:rPr>
          <w:rFonts w:ascii="Times New Roman" w:hAnsi="Times New Roman" w:cs="Times New Roman"/>
          <w:sz w:val="24"/>
          <w:szCs w:val="24"/>
        </w:rPr>
        <w:t xml:space="preserve"> </w:t>
      </w:r>
      <w:r w:rsidRPr="004C2B36">
        <w:rPr>
          <w:rFonts w:ascii="Times New Roman" w:hAnsi="Times New Roman" w:cs="Times New Roman"/>
          <w:sz w:val="24"/>
          <w:szCs w:val="24"/>
        </w:rPr>
        <w:t xml:space="preserve">This screening provides a preliminary indication of the chemical groups present in an extract; it does not identify individual compounds. Plant extracts may contain several compounds that act together, and their biological activity can therefore result from additive or synergistic effects (Pavela et al., 2019; Ganesan et al., 2023). </w:t>
      </w:r>
    </w:p>
    <w:p w14:paraId="1E47CE38" w14:textId="0BF3B22F"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Mosquito larvae</w:t>
      </w:r>
      <w:r w:rsidR="006263EB" w:rsidRPr="00537280">
        <w:rPr>
          <w:rFonts w:ascii="Times New Roman" w:hAnsi="Times New Roman" w:cs="Times New Roman"/>
          <w:b/>
          <w:bCs/>
          <w:sz w:val="24"/>
          <w:szCs w:val="24"/>
        </w:rPr>
        <w:t xml:space="preserve">: </w:t>
      </w:r>
      <w:r w:rsidR="00316376" w:rsidRPr="00537280">
        <w:rPr>
          <w:rFonts w:ascii="Times New Roman" w:hAnsi="Times New Roman" w:cs="Times New Roman"/>
          <w:sz w:val="24"/>
          <w:szCs w:val="24"/>
        </w:rPr>
        <w:t xml:space="preserve">Three important mosquito vectors, namely </w:t>
      </w:r>
      <w:r w:rsidR="00316376" w:rsidRPr="00537280">
        <w:rPr>
          <w:rFonts w:ascii="Times New Roman" w:hAnsi="Times New Roman" w:cs="Times New Roman"/>
          <w:i/>
          <w:iCs/>
          <w:sz w:val="24"/>
          <w:szCs w:val="24"/>
        </w:rPr>
        <w:t>Aedes aegypti</w:t>
      </w:r>
      <w:r w:rsidR="00316376" w:rsidRPr="00537280">
        <w:rPr>
          <w:rFonts w:ascii="Times New Roman" w:hAnsi="Times New Roman" w:cs="Times New Roman"/>
          <w:sz w:val="24"/>
          <w:szCs w:val="24"/>
        </w:rPr>
        <w:t xml:space="preserve">, </w:t>
      </w:r>
      <w:r w:rsidR="00316376" w:rsidRPr="00537280">
        <w:rPr>
          <w:rFonts w:ascii="Times New Roman" w:hAnsi="Times New Roman" w:cs="Times New Roman"/>
          <w:i/>
          <w:iCs/>
          <w:sz w:val="24"/>
          <w:szCs w:val="24"/>
        </w:rPr>
        <w:t xml:space="preserve">Anopheles </w:t>
      </w:r>
      <w:proofErr w:type="spellStart"/>
      <w:r w:rsidR="00316376" w:rsidRPr="00537280">
        <w:rPr>
          <w:rFonts w:ascii="Times New Roman" w:hAnsi="Times New Roman" w:cs="Times New Roman"/>
          <w:i/>
          <w:iCs/>
          <w:sz w:val="24"/>
          <w:szCs w:val="24"/>
        </w:rPr>
        <w:t>stephensi</w:t>
      </w:r>
      <w:proofErr w:type="spellEnd"/>
      <w:r w:rsidR="00316376" w:rsidRPr="00537280">
        <w:rPr>
          <w:rFonts w:ascii="Times New Roman" w:hAnsi="Times New Roman" w:cs="Times New Roman"/>
          <w:sz w:val="24"/>
          <w:szCs w:val="24"/>
        </w:rPr>
        <w:t xml:space="preserve"> and </w:t>
      </w:r>
      <w:r w:rsidR="00316376" w:rsidRPr="00537280">
        <w:rPr>
          <w:rFonts w:ascii="Times New Roman" w:hAnsi="Times New Roman" w:cs="Times New Roman"/>
          <w:i/>
          <w:iCs/>
          <w:sz w:val="24"/>
          <w:szCs w:val="24"/>
        </w:rPr>
        <w:t xml:space="preserve">Culex </w:t>
      </w:r>
      <w:proofErr w:type="spellStart"/>
      <w:r w:rsidR="00316376" w:rsidRPr="00537280">
        <w:rPr>
          <w:rFonts w:ascii="Times New Roman" w:hAnsi="Times New Roman" w:cs="Times New Roman"/>
          <w:i/>
          <w:iCs/>
          <w:sz w:val="24"/>
          <w:szCs w:val="24"/>
        </w:rPr>
        <w:t>quinquefasciatus</w:t>
      </w:r>
      <w:proofErr w:type="spellEnd"/>
      <w:r w:rsidR="00316376" w:rsidRPr="00537280">
        <w:rPr>
          <w:rFonts w:ascii="Times New Roman" w:hAnsi="Times New Roman" w:cs="Times New Roman"/>
          <w:sz w:val="24"/>
          <w:szCs w:val="24"/>
        </w:rPr>
        <w:t xml:space="preserve">, were selected for the larvicidal assays. </w:t>
      </w:r>
      <w:r w:rsidRPr="004C2B36">
        <w:rPr>
          <w:rFonts w:ascii="Times New Roman" w:hAnsi="Times New Roman" w:cs="Times New Roman"/>
          <w:sz w:val="24"/>
          <w:szCs w:val="24"/>
        </w:rPr>
        <w:t xml:space="preserve">These species </w:t>
      </w:r>
      <w:r w:rsidRPr="004C2B36">
        <w:rPr>
          <w:rFonts w:ascii="Times New Roman" w:hAnsi="Times New Roman" w:cs="Times New Roman"/>
          <w:sz w:val="24"/>
          <w:szCs w:val="24"/>
        </w:rPr>
        <w:lastRenderedPageBreak/>
        <w:t>were selected because they represent three important mosquito genera associated with dengue/chikungunya, malaria and lymphatic filariasis, respectively. Botanical larvicides have been widely evaluated against species belonging to these three genera (Govindarajan et al., 2011; Jayaraman et al., 2015).</w:t>
      </w:r>
      <w:r w:rsidR="00316376" w:rsidRPr="00537280">
        <w:rPr>
          <w:rFonts w:ascii="Times New Roman" w:hAnsi="Times New Roman" w:cs="Times New Roman"/>
          <w:sz w:val="24"/>
          <w:szCs w:val="24"/>
        </w:rPr>
        <w:t xml:space="preserve"> </w:t>
      </w:r>
      <w:r w:rsidRPr="004C2B36">
        <w:rPr>
          <w:rFonts w:ascii="Times New Roman" w:hAnsi="Times New Roman" w:cs="Times New Roman"/>
          <w:sz w:val="24"/>
          <w:szCs w:val="24"/>
        </w:rPr>
        <w:t>Healthy, active larvae of a similar developmental stage were used for the experiment. Early fourth-instar larvae were preferred because this stage is commonly used for evaluating larvicidal activity and provides relatively uniform experimental material.</w:t>
      </w:r>
    </w:p>
    <w:p w14:paraId="47FC4679" w14:textId="51B9E549"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Larvicidal bioassay</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 xml:space="preserve">The larvicidal experiment was conducted broadly according to WHO recommendations and previously published plant-extract bioassay procedures. A preliminary range-finding test was first performed to identify a suitable concentration range. Based on the preliminary response, different concentrations of each plant extract were prepared. </w:t>
      </w:r>
      <w:r w:rsidR="00AA3A93" w:rsidRPr="00537280">
        <w:rPr>
          <w:rFonts w:ascii="Times New Roman" w:hAnsi="Times New Roman" w:cs="Times New Roman"/>
          <w:sz w:val="24"/>
          <w:szCs w:val="24"/>
        </w:rPr>
        <w:t>Based on the preliminary range-finding test, five concentrations (25, 50, 100, 200 and 400 ppm) were selected for the larvicidal bioassay.</w:t>
      </w:r>
      <w:r w:rsidR="006263EB" w:rsidRPr="00537280">
        <w:rPr>
          <w:rFonts w:ascii="Times New Roman" w:hAnsi="Times New Roman" w:cs="Times New Roman"/>
          <w:sz w:val="24"/>
          <w:szCs w:val="24"/>
        </w:rPr>
        <w:t xml:space="preserve"> </w:t>
      </w:r>
      <w:r w:rsidR="00950841" w:rsidRPr="00950841">
        <w:rPr>
          <w:rFonts w:ascii="Times New Roman" w:hAnsi="Times New Roman" w:cs="Times New Roman"/>
          <w:sz w:val="24"/>
          <w:szCs w:val="24"/>
        </w:rPr>
        <w:t>For each concentration, twenty-five early fourth-instar larvae were transferred into clean containers containing a measured volume of water in each replicate</w:t>
      </w:r>
      <w:r w:rsidRPr="004C2B36">
        <w:rPr>
          <w:rFonts w:ascii="Times New Roman" w:hAnsi="Times New Roman" w:cs="Times New Roman"/>
          <w:sz w:val="24"/>
          <w:szCs w:val="24"/>
        </w:rPr>
        <w:t>. The required amount of plant extract was then added to obtain the desired test concentration.</w:t>
      </w:r>
      <w:r w:rsidR="006263EB" w:rsidRPr="00537280">
        <w:rPr>
          <w:rFonts w:ascii="Times New Roman" w:hAnsi="Times New Roman" w:cs="Times New Roman"/>
          <w:sz w:val="24"/>
          <w:szCs w:val="24"/>
        </w:rPr>
        <w:t xml:space="preserve"> </w:t>
      </w:r>
      <w:r w:rsidR="00537734" w:rsidRPr="00537734">
        <w:rPr>
          <w:rFonts w:ascii="Times New Roman" w:hAnsi="Times New Roman" w:cs="Times New Roman"/>
          <w:sz w:val="24"/>
          <w:szCs w:val="24"/>
        </w:rPr>
        <w:t>Both a solvent control and an untreated water control were maintained for each bioassay</w:t>
      </w:r>
      <w:r w:rsidRPr="004C2B36">
        <w:rPr>
          <w:rFonts w:ascii="Times New Roman" w:hAnsi="Times New Roman" w:cs="Times New Roman"/>
          <w:sz w:val="24"/>
          <w:szCs w:val="24"/>
        </w:rPr>
        <w:t>.</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Each treatment was conducted in three independent replicates. Replicates were maintained under similar laboratory conditions to reduce experimental variation.</w:t>
      </w:r>
    </w:p>
    <w:p w14:paraId="1EBDEE6F" w14:textId="41CFEF97"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Observation of larval mortality</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Larval mortality was recorded after </w:t>
      </w:r>
      <w:r w:rsidR="00C8038E" w:rsidRPr="00537280">
        <w:rPr>
          <w:rFonts w:ascii="Times New Roman" w:hAnsi="Times New Roman" w:cs="Times New Roman"/>
          <w:sz w:val="24"/>
          <w:szCs w:val="24"/>
        </w:rPr>
        <w:t>24 and 48 h</w:t>
      </w:r>
      <w:r w:rsidRPr="004C2B36">
        <w:rPr>
          <w:rFonts w:ascii="Times New Roman" w:hAnsi="Times New Roman" w:cs="Times New Roman"/>
          <w:sz w:val="24"/>
          <w:szCs w:val="24"/>
        </w:rPr>
        <w:t xml:space="preserve"> of exposure.</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A larva was considered dead when it showed no movement after gentle disturbance and failed to reach the water surface or resume normal movement.</w:t>
      </w:r>
    </w:p>
    <w:p w14:paraId="7770E952" w14:textId="77777777" w:rsidR="004C2B36" w:rsidRPr="004C2B36" w:rsidRDefault="004C2B36" w:rsidP="009219DC">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Percentage mortality was calculated as:</w:t>
      </w:r>
    </w:p>
    <w:p w14:paraId="41B3D631" w14:textId="77777777" w:rsidR="004C2B36" w:rsidRPr="004C2B36" w:rsidRDefault="004C2B36" w:rsidP="00537280">
      <w:pPr>
        <w:spacing w:line="360" w:lineRule="auto"/>
        <w:jc w:val="center"/>
        <w:rPr>
          <w:rFonts w:ascii="Times New Roman" w:hAnsi="Times New Roman" w:cs="Times New Roman"/>
          <w:sz w:val="24"/>
          <w:szCs w:val="24"/>
        </w:rPr>
      </w:pPr>
      <w:r w:rsidRPr="004C2B36">
        <w:rPr>
          <w:rFonts w:ascii="Times New Roman" w:hAnsi="Times New Roman" w:cs="Times New Roman"/>
          <w:sz w:val="24"/>
          <w:szCs w:val="24"/>
        </w:rPr>
        <w:t>Mortality (%) = (Number of dead larvae / Total number of larvae tested) × 100</w:t>
      </w:r>
    </w:p>
    <w:p w14:paraId="2B2CE2C1" w14:textId="77777777" w:rsidR="004C2B36" w:rsidRPr="004C2B36" w:rsidRDefault="004C2B36" w:rsidP="00537280">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 xml:space="preserve">If appreciable mortality occurred in the control group, mortality was corrected using Abbott's formula before statistical analysis. Abbott's correction is a standard approach for adjusting treatment mortality when some mortality occurs naturally in untreated controls (Finney, 1944). </w:t>
      </w:r>
    </w:p>
    <w:p w14:paraId="462C2701" w14:textId="1F3C4537"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Determination of LC₅₀</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LC₅₀ represents the concentration of plant extract required to kill 50% of the exposed mosquito larvae. It provides a convenient way to compare the relative strength of different extracts: a lower LC₅₀ indicates greater larvicidal potency.</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LC₅₀ values </w:t>
      </w:r>
      <w:r w:rsidRPr="004C2B36">
        <w:rPr>
          <w:rFonts w:ascii="Times New Roman" w:hAnsi="Times New Roman" w:cs="Times New Roman"/>
          <w:sz w:val="24"/>
          <w:szCs w:val="24"/>
        </w:rPr>
        <w:lastRenderedPageBreak/>
        <w:t xml:space="preserve">were estimated using </w:t>
      </w:r>
      <w:r w:rsidR="004A3F3F" w:rsidRPr="00537280">
        <w:rPr>
          <w:rFonts w:ascii="Times New Roman" w:hAnsi="Times New Roman" w:cs="Times New Roman"/>
          <w:sz w:val="24"/>
          <w:szCs w:val="24"/>
        </w:rPr>
        <w:t>concentration–mortality</w:t>
      </w:r>
      <w:r w:rsidRPr="004C2B36">
        <w:rPr>
          <w:rFonts w:ascii="Times New Roman" w:hAnsi="Times New Roman" w:cs="Times New Roman"/>
          <w:sz w:val="24"/>
          <w:szCs w:val="24"/>
        </w:rPr>
        <w:t xml:space="preserve"> data by probit analysis, following established toxicological procedures (Finney, 1944; Finney, 2014).</w:t>
      </w:r>
    </w:p>
    <w:p w14:paraId="677AE4E5" w14:textId="12A5F297"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Statistical analysis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results were expressed as mean ± standard deviation (SD) for replicate experiments. Differences among treatments were evaluated using appropriate statistical tests, with p &lt; 0.05 considered statistically significant.</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Concentration–mortality relationships were examined using probit analysis. The LC₅₀ values obtained for different plant extracts and mosquito species were compared to identify the most effective extract.</w:t>
      </w:r>
    </w:p>
    <w:p w14:paraId="1E06D5D4" w14:textId="666203D8" w:rsidR="00537280"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Experimental quality control</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Clean glassware and separate containers were used for different plant extracts to prevent cross-contamination. Extracts were properly labelled, and the same experimental conditions were maintained for all treatments. Control groups were included in every bioassay.</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methodology was kept consistent across the three mosquito species so that differences in mortality could be attributed primarily to the plant extract, concentration and mosquito species rather than differences in experimental handling.</w:t>
      </w:r>
    </w:p>
    <w:p w14:paraId="2B7718C3" w14:textId="37B10B2F" w:rsidR="0051157D" w:rsidRPr="00537280" w:rsidRDefault="007F0D85"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3</w:t>
      </w:r>
      <w:r w:rsidR="003E1A87" w:rsidRPr="00537280">
        <w:rPr>
          <w:rFonts w:ascii="Times New Roman" w:hAnsi="Times New Roman" w:cs="Times New Roman"/>
          <w:b/>
          <w:bCs/>
          <w:sz w:val="24"/>
          <w:szCs w:val="24"/>
        </w:rPr>
        <w:t>. RESULTS</w:t>
      </w:r>
    </w:p>
    <w:p w14:paraId="1D170E85" w14:textId="403DD0B7" w:rsidR="003E1A87" w:rsidRPr="00537280" w:rsidRDefault="003E1A87" w:rsidP="00537280">
      <w:pPr>
        <w:spacing w:line="360" w:lineRule="auto"/>
        <w:ind w:firstLine="720"/>
        <w:jc w:val="both"/>
        <w:rPr>
          <w:rFonts w:ascii="Times New Roman" w:hAnsi="Times New Roman" w:cs="Times New Roman"/>
          <w:sz w:val="24"/>
          <w:szCs w:val="24"/>
        </w:rPr>
      </w:pPr>
      <w:r w:rsidRPr="00537280">
        <w:rPr>
          <w:rFonts w:ascii="Times New Roman" w:hAnsi="Times New Roman" w:cs="Times New Roman"/>
          <w:sz w:val="24"/>
          <w:szCs w:val="24"/>
        </w:rPr>
        <w:t xml:space="preserve">The present study evaluated the larvicidal potential of five selected medicinal plant extracts against three major mosquito vectors of public health importance. The results obtained from extraction, phytochemical screening, and bioassays are presented in the following sections. Each plant extract was analyzed for its yield, chemical composition, and biological activity in a systematic manner to understand its relative effectiveness. The findings are organized to first describe the extraction efficiency, followed by phytochemical characterization, and finally the larvicidal performance against </w:t>
      </w:r>
      <w:r w:rsidRPr="00537280">
        <w:rPr>
          <w:rFonts w:ascii="Times New Roman" w:hAnsi="Times New Roman" w:cs="Times New Roman"/>
          <w:i/>
          <w:iCs/>
          <w:sz w:val="24"/>
          <w:szCs w:val="24"/>
        </w:rPr>
        <w:t>Aedes aegypti</w:t>
      </w:r>
      <w:r w:rsidRPr="00537280">
        <w:rPr>
          <w:rFonts w:ascii="Times New Roman" w:hAnsi="Times New Roman" w:cs="Times New Roman"/>
          <w:sz w:val="24"/>
          <w:szCs w:val="24"/>
        </w:rPr>
        <w:t xml:space="preserve">, </w:t>
      </w:r>
      <w:r w:rsidRPr="00537280">
        <w:rPr>
          <w:rFonts w:ascii="Times New Roman" w:hAnsi="Times New Roman" w:cs="Times New Roman"/>
          <w:i/>
          <w:iCs/>
          <w:sz w:val="24"/>
          <w:szCs w:val="24"/>
        </w:rPr>
        <w:t xml:space="preserve">Anopheles </w:t>
      </w:r>
      <w:proofErr w:type="spellStart"/>
      <w:r w:rsidRPr="00537280">
        <w:rPr>
          <w:rFonts w:ascii="Times New Roman" w:hAnsi="Times New Roman" w:cs="Times New Roman"/>
          <w:i/>
          <w:iCs/>
          <w:sz w:val="24"/>
          <w:szCs w:val="24"/>
        </w:rPr>
        <w:t>stephensi</w:t>
      </w:r>
      <w:proofErr w:type="spellEnd"/>
      <w:r w:rsidRPr="00537280">
        <w:rPr>
          <w:rFonts w:ascii="Times New Roman" w:hAnsi="Times New Roman" w:cs="Times New Roman"/>
          <w:sz w:val="24"/>
          <w:szCs w:val="24"/>
        </w:rPr>
        <w:t xml:space="preserve">, and </w:t>
      </w:r>
      <w:r w:rsidRPr="00537280">
        <w:rPr>
          <w:rFonts w:ascii="Times New Roman" w:hAnsi="Times New Roman" w:cs="Times New Roman"/>
          <w:i/>
          <w:iCs/>
          <w:sz w:val="24"/>
          <w:szCs w:val="24"/>
        </w:rPr>
        <w:t xml:space="preserve">Culex </w:t>
      </w:r>
      <w:proofErr w:type="spellStart"/>
      <w:r w:rsidRPr="00537280">
        <w:rPr>
          <w:rFonts w:ascii="Times New Roman" w:hAnsi="Times New Roman" w:cs="Times New Roman"/>
          <w:i/>
          <w:iCs/>
          <w:sz w:val="24"/>
          <w:szCs w:val="24"/>
        </w:rPr>
        <w:t>quinquefasciatus</w:t>
      </w:r>
      <w:proofErr w:type="spellEnd"/>
      <w:r w:rsidRPr="00537280">
        <w:rPr>
          <w:rFonts w:ascii="Times New Roman" w:hAnsi="Times New Roman" w:cs="Times New Roman"/>
          <w:sz w:val="24"/>
          <w:szCs w:val="24"/>
        </w:rPr>
        <w:t>.</w:t>
      </w:r>
    </w:p>
    <w:p w14:paraId="36DC4674" w14:textId="60CF05A4" w:rsidR="009219DC"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Extraction yield of selected plant materials</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The five selected medicinal plants yielded measurable amounts of crude methanolic extracts after processing and concentration. The percentage yield varied among the species, indicating differences in the availability of solvent-soluble phytoconstituents in the leaves.</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Among the selected plants, </w:t>
      </w:r>
      <w:r w:rsidRPr="00FF2875">
        <w:rPr>
          <w:rFonts w:ascii="Times New Roman" w:hAnsi="Times New Roman" w:cs="Times New Roman"/>
          <w:i/>
          <w:iCs/>
          <w:sz w:val="24"/>
          <w:szCs w:val="24"/>
        </w:rPr>
        <w:t xml:space="preserve">Ocimum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recorded the highest extraction yield (15.4%), followed by </w:t>
      </w:r>
      <w:proofErr w:type="spellStart"/>
      <w:r w:rsidRPr="00FF2875">
        <w:rPr>
          <w:rFonts w:ascii="Times New Roman" w:hAnsi="Times New Roman" w:cs="Times New Roman"/>
          <w:i/>
          <w:iCs/>
          <w:sz w:val="24"/>
          <w:szCs w:val="24"/>
        </w:rPr>
        <w:t>Azadirachta</w:t>
      </w:r>
      <w:proofErr w:type="spellEnd"/>
      <w:r w:rsidRPr="00FF2875">
        <w:rPr>
          <w:rFonts w:ascii="Times New Roman" w:hAnsi="Times New Roman" w:cs="Times New Roman"/>
          <w:i/>
          <w:iCs/>
          <w:sz w:val="24"/>
          <w:szCs w:val="24"/>
        </w:rPr>
        <w:t xml:space="preserve"> indica</w:t>
      </w:r>
      <w:r w:rsidRPr="00FF2875">
        <w:rPr>
          <w:rFonts w:ascii="Times New Roman" w:hAnsi="Times New Roman" w:cs="Times New Roman"/>
          <w:sz w:val="24"/>
          <w:szCs w:val="24"/>
        </w:rPr>
        <w:t xml:space="preserve"> (13.8%), </w:t>
      </w:r>
      <w:r w:rsidRPr="00FF2875">
        <w:rPr>
          <w:rFonts w:ascii="Times New Roman" w:hAnsi="Times New Roman" w:cs="Times New Roman"/>
          <w:i/>
          <w:iCs/>
          <w:sz w:val="24"/>
          <w:szCs w:val="24"/>
        </w:rPr>
        <w:t>Vitex negundo</w:t>
      </w:r>
      <w:r w:rsidRPr="00FF2875">
        <w:rPr>
          <w:rFonts w:ascii="Times New Roman" w:hAnsi="Times New Roman" w:cs="Times New Roman"/>
          <w:sz w:val="24"/>
          <w:szCs w:val="24"/>
        </w:rPr>
        <w:t xml:space="preserve"> (12.6%), </w:t>
      </w:r>
      <w:r w:rsidRPr="00FF2875">
        <w:rPr>
          <w:rFonts w:ascii="Times New Roman" w:hAnsi="Times New Roman" w:cs="Times New Roman"/>
          <w:i/>
          <w:iCs/>
          <w:sz w:val="24"/>
          <w:szCs w:val="24"/>
        </w:rPr>
        <w:t>Calotropis gigantea</w:t>
      </w:r>
      <w:r w:rsidRPr="00FF2875">
        <w:rPr>
          <w:rFonts w:ascii="Times New Roman" w:hAnsi="Times New Roman" w:cs="Times New Roman"/>
          <w:sz w:val="24"/>
          <w:szCs w:val="24"/>
        </w:rPr>
        <w:t xml:space="preserve"> (11.7%), and </w:t>
      </w:r>
      <w:r w:rsidRPr="00FF2875">
        <w:rPr>
          <w:rFonts w:ascii="Times New Roman" w:hAnsi="Times New Roman" w:cs="Times New Roman"/>
          <w:i/>
          <w:iCs/>
          <w:sz w:val="24"/>
          <w:szCs w:val="24"/>
        </w:rPr>
        <w:t>Lantana camara</w:t>
      </w:r>
      <w:r w:rsidRPr="00FF2875">
        <w:rPr>
          <w:rFonts w:ascii="Times New Roman" w:hAnsi="Times New Roman" w:cs="Times New Roman"/>
          <w:sz w:val="24"/>
          <w:szCs w:val="24"/>
        </w:rPr>
        <w:t xml:space="preserve"> (10.9%) (</w:t>
      </w:r>
      <w:r w:rsidR="00D7168D">
        <w:rPr>
          <w:rFonts w:ascii="Times New Roman" w:hAnsi="Times New Roman" w:cs="Times New Roman"/>
          <w:sz w:val="24"/>
          <w:szCs w:val="24"/>
        </w:rPr>
        <w:t>Figure</w:t>
      </w:r>
      <w:r w:rsidRPr="00FF2875">
        <w:rPr>
          <w:rFonts w:ascii="Times New Roman" w:hAnsi="Times New Roman" w:cs="Times New Roman"/>
          <w:sz w:val="24"/>
          <w:szCs w:val="24"/>
        </w:rPr>
        <w:t xml:space="preserve"> </w:t>
      </w:r>
      <w:r w:rsidR="00C23912">
        <w:rPr>
          <w:rFonts w:ascii="Times New Roman" w:hAnsi="Times New Roman" w:cs="Times New Roman"/>
          <w:sz w:val="24"/>
          <w:szCs w:val="24"/>
        </w:rPr>
        <w:t>2</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Although extraction yield reflects the quantity of crude material obtained, it did not show a direct relationship with larvicidal activity. For instance,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produced the highest yield, whereas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exhibited the strongest larvicidal effect. </w:t>
      </w:r>
      <w:r w:rsidR="009139A8" w:rsidRPr="00537280">
        <w:rPr>
          <w:rFonts w:ascii="Times New Roman" w:hAnsi="Times New Roman" w:cs="Times New Roman"/>
          <w:sz w:val="24"/>
          <w:szCs w:val="24"/>
        </w:rPr>
        <w:t xml:space="preserve">This suggests that extract yield </w:t>
      </w:r>
      <w:r w:rsidR="009139A8" w:rsidRPr="00537280">
        <w:rPr>
          <w:rFonts w:ascii="Times New Roman" w:hAnsi="Times New Roman" w:cs="Times New Roman"/>
          <w:sz w:val="24"/>
          <w:szCs w:val="24"/>
        </w:rPr>
        <w:lastRenderedPageBreak/>
        <w:t>alone may not determine larvicidal activity, which may depend on the types and relative abundance of biologically active constituents present in the extracts</w:t>
      </w:r>
      <w:r w:rsidRPr="00FF2875">
        <w:rPr>
          <w:rFonts w:ascii="Times New Roman" w:hAnsi="Times New Roman" w:cs="Times New Roman"/>
          <w:sz w:val="24"/>
          <w:szCs w:val="24"/>
        </w:rPr>
        <w:t>.</w:t>
      </w:r>
    </w:p>
    <w:p w14:paraId="5B7CC6A5" w14:textId="2096DA41" w:rsidR="00123C85" w:rsidRDefault="00123C85" w:rsidP="00123C85">
      <w:pPr>
        <w:spacing w:line="360" w:lineRule="auto"/>
        <w:jc w:val="center"/>
        <w:rPr>
          <w:rFonts w:ascii="Times New Roman" w:hAnsi="Times New Roman" w:cs="Times New Roman"/>
          <w:b/>
          <w:bCs/>
          <w:sz w:val="24"/>
          <w:szCs w:val="24"/>
        </w:rPr>
      </w:pPr>
      <w:r w:rsidRPr="00123C85">
        <w:rPr>
          <w:rFonts w:ascii="Times New Roman" w:hAnsi="Times New Roman" w:cs="Times New Roman"/>
          <w:noProof/>
          <w:sz w:val="24"/>
          <w:szCs w:val="24"/>
        </w:rPr>
        <w:drawing>
          <wp:inline distT="0" distB="0" distL="0" distR="0" wp14:anchorId="563FA902" wp14:editId="3F76E121">
            <wp:extent cx="5623560" cy="3101340"/>
            <wp:effectExtent l="0" t="0" r="15240" b="3810"/>
            <wp:docPr id="1439685040" name="Chart 1">
              <a:extLst xmlns:a="http://schemas.openxmlformats.org/drawingml/2006/main">
                <a:ext uri="{FF2B5EF4-FFF2-40B4-BE49-F238E27FC236}">
                  <a16:creationId xmlns:a16="http://schemas.microsoft.com/office/drawing/2014/main" id="{052C9B42-679F-BD76-0C72-273858DDF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F41BBF" w14:textId="1E63AF67" w:rsidR="00123C85" w:rsidRDefault="00BE18EC" w:rsidP="0004409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Figure </w:t>
      </w:r>
      <w:r w:rsidR="00C23912">
        <w:rPr>
          <w:rFonts w:ascii="Times New Roman" w:hAnsi="Times New Roman" w:cs="Times New Roman"/>
          <w:b/>
          <w:bCs/>
          <w:sz w:val="24"/>
          <w:szCs w:val="24"/>
        </w:rPr>
        <w:t>2</w:t>
      </w:r>
      <w:r>
        <w:rPr>
          <w:rFonts w:ascii="Times New Roman" w:hAnsi="Times New Roman" w:cs="Times New Roman"/>
          <w:b/>
          <w:bCs/>
          <w:sz w:val="24"/>
          <w:szCs w:val="24"/>
        </w:rPr>
        <w:t xml:space="preserve">. </w:t>
      </w:r>
      <w:r w:rsidRPr="00FF2875">
        <w:rPr>
          <w:rFonts w:ascii="Times New Roman" w:hAnsi="Times New Roman" w:cs="Times New Roman"/>
          <w:b/>
          <w:bCs/>
          <w:sz w:val="24"/>
          <w:szCs w:val="24"/>
        </w:rPr>
        <w:t>Extraction yield of selected plant leaf extracts</w:t>
      </w:r>
    </w:p>
    <w:p w14:paraId="0BAF888E" w14:textId="661E3B3E" w:rsidR="00ED33E1"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Preliminary phytochemical profile</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Qualitative phytochemical screening confirmed the presence of multiple classes of secondary metabolites in all five plant extracts, although their distribution and intensity varied (Table </w:t>
      </w:r>
      <w:r w:rsidR="00044095">
        <w:rPr>
          <w:rFonts w:ascii="Times New Roman" w:hAnsi="Times New Roman" w:cs="Times New Roman"/>
          <w:sz w:val="24"/>
          <w:szCs w:val="24"/>
        </w:rPr>
        <w:t>1</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Flavonoids, phenolics, and terpenoids were consistently present in all extracts. Alkaloids were strongly detected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while moderate levels were observed in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Tannins were particularly abundant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Saponins were strongly present in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and moderately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w:t>
      </w:r>
      <w:r w:rsidR="00AA7DDC" w:rsidRPr="00537280">
        <w:rPr>
          <w:rFonts w:ascii="Times New Roman" w:hAnsi="Times New Roman" w:cs="Times New Roman"/>
          <w:sz w:val="24"/>
          <w:szCs w:val="24"/>
        </w:rPr>
        <w:t xml:space="preserve"> </w:t>
      </w:r>
      <w:r w:rsidRPr="00FF2875">
        <w:rPr>
          <w:rFonts w:ascii="Times New Roman" w:hAnsi="Times New Roman" w:cs="Times New Roman"/>
          <w:sz w:val="24"/>
          <w:szCs w:val="24"/>
        </w:rPr>
        <w:t xml:space="preserve">Overall, </w:t>
      </w:r>
      <w:r w:rsidR="00AA7DDC" w:rsidRPr="00537280">
        <w:rPr>
          <w:rFonts w:ascii="Times New Roman" w:hAnsi="Times New Roman" w:cs="Times New Roman"/>
          <w:i/>
          <w:iCs/>
          <w:sz w:val="24"/>
          <w:szCs w:val="24"/>
        </w:rPr>
        <w:t>A. indica showed comparatively stronger positive reactions for several phytochemical groups, followed by L. camara and V. negundo</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These findings support previous reports that insecticidal plants typically contain a complex mixture of secondary metabolites rather than a single active compound.</w:t>
      </w:r>
    </w:p>
    <w:p w14:paraId="017F451C" w14:textId="43BFDACE"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1</w:t>
      </w:r>
      <w:r w:rsidRPr="00FF2875">
        <w:rPr>
          <w:rFonts w:ascii="Times New Roman" w:hAnsi="Times New Roman" w:cs="Times New Roman"/>
          <w:b/>
          <w:bCs/>
          <w:sz w:val="24"/>
          <w:szCs w:val="24"/>
        </w:rPr>
        <w:t>. Preliminary phytochemical profile of selected plant extracts</w:t>
      </w:r>
    </w:p>
    <w:tbl>
      <w:tblPr>
        <w:tblStyle w:val="TableGrid"/>
        <w:tblW w:w="5000" w:type="pct"/>
        <w:tblLook w:val="04A0" w:firstRow="1" w:lastRow="0" w:firstColumn="1" w:lastColumn="0" w:noHBand="0" w:noVBand="1"/>
      </w:tblPr>
      <w:tblGrid>
        <w:gridCol w:w="1813"/>
        <w:gridCol w:w="1195"/>
        <w:gridCol w:w="1327"/>
        <w:gridCol w:w="1410"/>
        <w:gridCol w:w="1798"/>
        <w:gridCol w:w="1473"/>
      </w:tblGrid>
      <w:tr w:rsidR="00FF2875" w:rsidRPr="00FF2875" w14:paraId="73277229" w14:textId="77777777" w:rsidTr="00AA5AA5">
        <w:tc>
          <w:tcPr>
            <w:tcW w:w="1005" w:type="pct"/>
            <w:vAlign w:val="center"/>
            <w:hideMark/>
          </w:tcPr>
          <w:p w14:paraId="0A8AFEAB"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Phytochemical</w:t>
            </w:r>
          </w:p>
        </w:tc>
        <w:tc>
          <w:tcPr>
            <w:tcW w:w="662" w:type="pct"/>
            <w:vAlign w:val="center"/>
            <w:hideMark/>
          </w:tcPr>
          <w:p w14:paraId="1158A22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p>
        </w:tc>
        <w:tc>
          <w:tcPr>
            <w:tcW w:w="736" w:type="pct"/>
            <w:vAlign w:val="center"/>
            <w:hideMark/>
          </w:tcPr>
          <w:p w14:paraId="10511104"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p>
        </w:tc>
        <w:tc>
          <w:tcPr>
            <w:tcW w:w="782" w:type="pct"/>
            <w:vAlign w:val="center"/>
            <w:hideMark/>
          </w:tcPr>
          <w:p w14:paraId="11067EB1"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p>
        </w:tc>
        <w:tc>
          <w:tcPr>
            <w:tcW w:w="997" w:type="pct"/>
            <w:vAlign w:val="center"/>
            <w:hideMark/>
          </w:tcPr>
          <w:p w14:paraId="4136F8EC"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p>
        </w:tc>
        <w:tc>
          <w:tcPr>
            <w:tcW w:w="817" w:type="pct"/>
            <w:vAlign w:val="center"/>
            <w:hideMark/>
          </w:tcPr>
          <w:p w14:paraId="74F842CC"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p>
        </w:tc>
      </w:tr>
      <w:tr w:rsidR="00FF2875" w:rsidRPr="00FF2875" w14:paraId="62AC6505" w14:textId="77777777" w:rsidTr="00AA5AA5">
        <w:tc>
          <w:tcPr>
            <w:tcW w:w="1005" w:type="pct"/>
            <w:vAlign w:val="center"/>
            <w:hideMark/>
          </w:tcPr>
          <w:p w14:paraId="4B53780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Alkaloids</w:t>
            </w:r>
          </w:p>
        </w:tc>
        <w:tc>
          <w:tcPr>
            <w:tcW w:w="662" w:type="pct"/>
            <w:vAlign w:val="center"/>
            <w:hideMark/>
          </w:tcPr>
          <w:p w14:paraId="5C302BA9" w14:textId="40CBACFD"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r w:rsidR="00ED33E1" w:rsidRPr="00537280">
              <w:rPr>
                <w:rFonts w:ascii="Times New Roman" w:hAnsi="Times New Roman" w:cs="Times New Roman"/>
                <w:sz w:val="24"/>
                <w:szCs w:val="24"/>
              </w:rPr>
              <w:t xml:space="preserve"> </w:t>
            </w:r>
            <w:r w:rsidRPr="00FF2875">
              <w:rPr>
                <w:rFonts w:ascii="Times New Roman" w:hAnsi="Times New Roman" w:cs="Times New Roman"/>
                <w:sz w:val="24"/>
                <w:szCs w:val="24"/>
              </w:rPr>
              <w:t>+</w:t>
            </w:r>
            <w:r w:rsidR="00ED33E1" w:rsidRPr="00537280">
              <w:rPr>
                <w:rFonts w:ascii="Times New Roman" w:hAnsi="Times New Roman" w:cs="Times New Roman"/>
                <w:sz w:val="24"/>
                <w:szCs w:val="24"/>
              </w:rPr>
              <w:t xml:space="preserve"> </w:t>
            </w:r>
            <w:r w:rsidRPr="00FF2875">
              <w:rPr>
                <w:rFonts w:ascii="Times New Roman" w:hAnsi="Times New Roman" w:cs="Times New Roman"/>
                <w:sz w:val="24"/>
                <w:szCs w:val="24"/>
              </w:rPr>
              <w:t>+</w:t>
            </w:r>
          </w:p>
        </w:tc>
        <w:tc>
          <w:tcPr>
            <w:tcW w:w="736" w:type="pct"/>
            <w:vAlign w:val="center"/>
            <w:hideMark/>
          </w:tcPr>
          <w:p w14:paraId="3F07D60D" w14:textId="1AD4980A"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82" w:type="pct"/>
            <w:vAlign w:val="center"/>
            <w:hideMark/>
          </w:tcPr>
          <w:p w14:paraId="2AAB7A87" w14:textId="078BEBB6"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0F8863AA"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7E642355" w14:textId="76FC454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1842E8E5" w14:textId="77777777" w:rsidTr="00AA5AA5">
        <w:tc>
          <w:tcPr>
            <w:tcW w:w="1005" w:type="pct"/>
            <w:vAlign w:val="center"/>
            <w:hideMark/>
          </w:tcPr>
          <w:p w14:paraId="0AAC5573"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Flavonoids</w:t>
            </w:r>
          </w:p>
        </w:tc>
        <w:tc>
          <w:tcPr>
            <w:tcW w:w="662" w:type="pct"/>
            <w:vAlign w:val="center"/>
            <w:hideMark/>
          </w:tcPr>
          <w:p w14:paraId="1056CE15" w14:textId="38E1DD3B"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6D2CC308" w14:textId="78564EBC"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69430E14" w14:textId="6ED7E8E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4C7FFEFD" w14:textId="796F4BD5"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65661510" w14:textId="7ECD895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3C42DB8A" w14:textId="77777777" w:rsidTr="00AA5AA5">
        <w:tc>
          <w:tcPr>
            <w:tcW w:w="1005" w:type="pct"/>
            <w:vAlign w:val="center"/>
            <w:hideMark/>
          </w:tcPr>
          <w:p w14:paraId="59ED6A1D"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lastRenderedPageBreak/>
              <w:t>Phenolics</w:t>
            </w:r>
          </w:p>
        </w:tc>
        <w:tc>
          <w:tcPr>
            <w:tcW w:w="662" w:type="pct"/>
            <w:vAlign w:val="center"/>
            <w:hideMark/>
          </w:tcPr>
          <w:p w14:paraId="040CBAF9" w14:textId="1BD29691"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776D8D2A" w14:textId="50CFE561"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40CD72A1" w14:textId="4F28D32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24B35365" w14:textId="49A322D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0E93196B" w14:textId="5537B00D"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41C6D5D2" w14:textId="77777777" w:rsidTr="00AA5AA5">
        <w:tc>
          <w:tcPr>
            <w:tcW w:w="1005" w:type="pct"/>
            <w:vAlign w:val="center"/>
            <w:hideMark/>
          </w:tcPr>
          <w:p w14:paraId="6BED036A"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Tannins</w:t>
            </w:r>
          </w:p>
        </w:tc>
        <w:tc>
          <w:tcPr>
            <w:tcW w:w="662" w:type="pct"/>
            <w:vAlign w:val="center"/>
            <w:hideMark/>
          </w:tcPr>
          <w:p w14:paraId="7EA8E1E1" w14:textId="3B0C23F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2FEE75FE" w14:textId="7600E2AA"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82" w:type="pct"/>
            <w:vAlign w:val="center"/>
            <w:hideMark/>
          </w:tcPr>
          <w:p w14:paraId="6A31517C" w14:textId="3F2D946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010FF571" w14:textId="18CA004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817" w:type="pct"/>
            <w:vAlign w:val="center"/>
            <w:hideMark/>
          </w:tcPr>
          <w:p w14:paraId="5C479909"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r>
      <w:tr w:rsidR="00FF2875" w:rsidRPr="00FF2875" w14:paraId="46E11A27" w14:textId="77777777" w:rsidTr="00AA5AA5">
        <w:tc>
          <w:tcPr>
            <w:tcW w:w="1005" w:type="pct"/>
            <w:vAlign w:val="center"/>
            <w:hideMark/>
          </w:tcPr>
          <w:p w14:paraId="0405BFA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Saponins</w:t>
            </w:r>
          </w:p>
        </w:tc>
        <w:tc>
          <w:tcPr>
            <w:tcW w:w="662" w:type="pct"/>
            <w:vAlign w:val="center"/>
            <w:hideMark/>
          </w:tcPr>
          <w:p w14:paraId="6B95D50F" w14:textId="68118F6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36" w:type="pct"/>
            <w:vAlign w:val="center"/>
            <w:hideMark/>
          </w:tcPr>
          <w:p w14:paraId="6E1BA286"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3536D51C" w14:textId="6CE6F223"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139A5257"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22558BCE" w14:textId="2CA336E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r>
      <w:tr w:rsidR="00FF2875" w:rsidRPr="00FF2875" w14:paraId="36965E0B" w14:textId="77777777" w:rsidTr="00AA5AA5">
        <w:tc>
          <w:tcPr>
            <w:tcW w:w="1005" w:type="pct"/>
            <w:vAlign w:val="center"/>
            <w:hideMark/>
          </w:tcPr>
          <w:p w14:paraId="44B52C79"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Terpenoids</w:t>
            </w:r>
          </w:p>
        </w:tc>
        <w:tc>
          <w:tcPr>
            <w:tcW w:w="662" w:type="pct"/>
            <w:vAlign w:val="center"/>
            <w:hideMark/>
          </w:tcPr>
          <w:p w14:paraId="757803C8" w14:textId="676CC28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18360A18" w14:textId="1F9DA53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6C2DE6B3" w14:textId="3560891D"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37F852C5" w14:textId="5FD710A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4C8C1F37" w14:textId="3222DDD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60EE7A53" w14:textId="77777777" w:rsidTr="00AA5AA5">
        <w:tc>
          <w:tcPr>
            <w:tcW w:w="1005" w:type="pct"/>
            <w:vAlign w:val="center"/>
            <w:hideMark/>
          </w:tcPr>
          <w:p w14:paraId="41A29666"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Steroids</w:t>
            </w:r>
          </w:p>
        </w:tc>
        <w:tc>
          <w:tcPr>
            <w:tcW w:w="662" w:type="pct"/>
            <w:vAlign w:val="center"/>
            <w:hideMark/>
          </w:tcPr>
          <w:p w14:paraId="1570AF0F"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36" w:type="pct"/>
            <w:vAlign w:val="center"/>
            <w:hideMark/>
          </w:tcPr>
          <w:p w14:paraId="1EF88A6C"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3FE31F03" w14:textId="7D023DE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07297E66"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5DE2CD65"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r>
      <w:tr w:rsidR="00FF2875" w:rsidRPr="00FF2875" w14:paraId="33B004A4" w14:textId="77777777" w:rsidTr="00AA5AA5">
        <w:tc>
          <w:tcPr>
            <w:tcW w:w="1005" w:type="pct"/>
            <w:vAlign w:val="center"/>
            <w:hideMark/>
          </w:tcPr>
          <w:p w14:paraId="37D7ABCD"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Glycosides</w:t>
            </w:r>
          </w:p>
        </w:tc>
        <w:tc>
          <w:tcPr>
            <w:tcW w:w="662" w:type="pct"/>
            <w:vAlign w:val="center"/>
            <w:hideMark/>
          </w:tcPr>
          <w:p w14:paraId="67E6B5A8" w14:textId="421FFE9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36" w:type="pct"/>
            <w:vAlign w:val="center"/>
            <w:hideMark/>
          </w:tcPr>
          <w:p w14:paraId="18D3D43C"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1181D259" w14:textId="5316D0B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3C6F5DEC" w14:textId="452B1D1B"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817" w:type="pct"/>
            <w:vAlign w:val="center"/>
            <w:hideMark/>
          </w:tcPr>
          <w:p w14:paraId="17730C6A" w14:textId="3933405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bl>
    <w:p w14:paraId="5AB40058" w14:textId="77777777" w:rsidR="009219DC" w:rsidRDefault="009219DC" w:rsidP="00537280">
      <w:pPr>
        <w:spacing w:line="360" w:lineRule="auto"/>
        <w:jc w:val="both"/>
        <w:rPr>
          <w:rFonts w:ascii="Times New Roman" w:hAnsi="Times New Roman" w:cs="Times New Roman"/>
          <w:b/>
          <w:bCs/>
          <w:sz w:val="24"/>
          <w:szCs w:val="24"/>
        </w:rPr>
      </w:pPr>
    </w:p>
    <w:p w14:paraId="0A219683" w14:textId="3B879034"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b/>
          <w:bCs/>
          <w:sz w:val="24"/>
          <w:szCs w:val="24"/>
        </w:rPr>
        <w:t>Note:</w:t>
      </w:r>
      <w:r w:rsidRPr="00FF2875">
        <w:rPr>
          <w:rFonts w:ascii="Times New Roman" w:hAnsi="Times New Roman" w:cs="Times New Roman"/>
          <w:i/>
          <w:iCs/>
          <w:sz w:val="24"/>
          <w:szCs w:val="24"/>
        </w:rPr>
        <w:t xml:space="preserve"> + = weak; </w:t>
      </w:r>
      <w:r w:rsidR="00ED33E1" w:rsidRPr="00537280">
        <w:rPr>
          <w:rFonts w:ascii="Times New Roman" w:hAnsi="Times New Roman" w:cs="Times New Roman"/>
          <w:i/>
          <w:iCs/>
          <w:sz w:val="24"/>
          <w:szCs w:val="24"/>
        </w:rPr>
        <w:t>+ +</w:t>
      </w:r>
      <w:r w:rsidRPr="00FF2875">
        <w:rPr>
          <w:rFonts w:ascii="Times New Roman" w:hAnsi="Times New Roman" w:cs="Times New Roman"/>
          <w:i/>
          <w:iCs/>
          <w:sz w:val="24"/>
          <w:szCs w:val="24"/>
        </w:rPr>
        <w:t xml:space="preserve"> = moderate; </w:t>
      </w:r>
      <w:r w:rsidR="00ED33E1" w:rsidRPr="00537280">
        <w:rPr>
          <w:rFonts w:ascii="Times New Roman" w:hAnsi="Times New Roman" w:cs="Times New Roman"/>
          <w:i/>
          <w:iCs/>
          <w:sz w:val="24"/>
          <w:szCs w:val="24"/>
        </w:rPr>
        <w:t>+ + +</w:t>
      </w:r>
      <w:r w:rsidRPr="00FF2875">
        <w:rPr>
          <w:rFonts w:ascii="Times New Roman" w:hAnsi="Times New Roman" w:cs="Times New Roman"/>
          <w:i/>
          <w:iCs/>
          <w:sz w:val="24"/>
          <w:szCs w:val="24"/>
        </w:rPr>
        <w:t xml:space="preserve"> = strong presence.</w:t>
      </w:r>
    </w:p>
    <w:p w14:paraId="1C606BB6" w14:textId="73515BFE"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Aedes aegypti</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All five plant extracts exhibited concentration-dependent larvicidal activity against </w:t>
      </w:r>
      <w:r w:rsidRPr="00FF2875">
        <w:rPr>
          <w:rFonts w:ascii="Times New Roman" w:hAnsi="Times New Roman" w:cs="Times New Roman"/>
          <w:i/>
          <w:iCs/>
          <w:sz w:val="24"/>
          <w:szCs w:val="24"/>
        </w:rPr>
        <w:t>Aedes aegypti</w:t>
      </w:r>
      <w:r w:rsidRPr="00FF2875">
        <w:rPr>
          <w:rFonts w:ascii="Times New Roman" w:hAnsi="Times New Roman" w:cs="Times New Roman"/>
          <w:sz w:val="24"/>
          <w:szCs w:val="24"/>
        </w:rPr>
        <w:t>. Mortality increased progressively with increasing concentration from 25 to 400 ppm, and was higher at 48 h compared to 24 h exposure</w:t>
      </w:r>
      <w:r w:rsidR="000D0774"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2</w:t>
      </w:r>
      <w:r w:rsidR="000D0774"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exposure,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showed the highest mortality, ranging from 14.1% at 25 ppm to 85.9% at 400 ppm.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followed closely, while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showed comparatively lower activity.</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48 h, a marked increase in mortality was observed across all treatments,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up to 96% mortality at 400 ppm.</w:t>
      </w:r>
    </w:p>
    <w:p w14:paraId="3A10F930" w14:textId="0CABF014"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2</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Aedes aegypti</w:t>
      </w:r>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3036"/>
        <w:gridCol w:w="1092"/>
        <w:gridCol w:w="1092"/>
        <w:gridCol w:w="1265"/>
        <w:gridCol w:w="1265"/>
        <w:gridCol w:w="1266"/>
      </w:tblGrid>
      <w:tr w:rsidR="00FF2875" w:rsidRPr="00FF2875" w14:paraId="7FCBAF6C" w14:textId="77777777" w:rsidTr="00ED33E1">
        <w:tc>
          <w:tcPr>
            <w:tcW w:w="1629" w:type="pct"/>
            <w:vAlign w:val="center"/>
            <w:hideMark/>
          </w:tcPr>
          <w:p w14:paraId="383478A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586" w:type="pct"/>
            <w:vAlign w:val="center"/>
            <w:hideMark/>
          </w:tcPr>
          <w:p w14:paraId="5004C2A8"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586" w:type="pct"/>
            <w:vAlign w:val="center"/>
            <w:hideMark/>
          </w:tcPr>
          <w:p w14:paraId="61AC7EC5"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679" w:type="pct"/>
            <w:vAlign w:val="center"/>
            <w:hideMark/>
          </w:tcPr>
          <w:p w14:paraId="3188404E"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679" w:type="pct"/>
            <w:vAlign w:val="center"/>
            <w:hideMark/>
          </w:tcPr>
          <w:p w14:paraId="5317CA06"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679" w:type="pct"/>
            <w:vAlign w:val="center"/>
            <w:hideMark/>
          </w:tcPr>
          <w:p w14:paraId="52AE3247"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008AB184" w14:textId="77777777" w:rsidTr="00ED33E1">
        <w:tc>
          <w:tcPr>
            <w:tcW w:w="1629" w:type="pct"/>
            <w:vAlign w:val="center"/>
            <w:hideMark/>
          </w:tcPr>
          <w:p w14:paraId="4415B61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586" w:type="pct"/>
            <w:vAlign w:val="center"/>
            <w:hideMark/>
          </w:tcPr>
          <w:p w14:paraId="0FF6C9D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14.1</w:t>
            </w:r>
          </w:p>
        </w:tc>
        <w:tc>
          <w:tcPr>
            <w:tcW w:w="586" w:type="pct"/>
            <w:vAlign w:val="center"/>
            <w:hideMark/>
          </w:tcPr>
          <w:p w14:paraId="09AA66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28.8</w:t>
            </w:r>
          </w:p>
        </w:tc>
        <w:tc>
          <w:tcPr>
            <w:tcW w:w="679" w:type="pct"/>
            <w:vAlign w:val="center"/>
            <w:hideMark/>
          </w:tcPr>
          <w:p w14:paraId="692EAA1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50.0</w:t>
            </w:r>
          </w:p>
        </w:tc>
        <w:tc>
          <w:tcPr>
            <w:tcW w:w="679" w:type="pct"/>
            <w:vAlign w:val="center"/>
            <w:hideMark/>
          </w:tcPr>
          <w:p w14:paraId="3E40ECA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71.2</w:t>
            </w:r>
          </w:p>
        </w:tc>
        <w:tc>
          <w:tcPr>
            <w:tcW w:w="679" w:type="pct"/>
            <w:vAlign w:val="center"/>
            <w:hideMark/>
          </w:tcPr>
          <w:p w14:paraId="5BC3C5D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85.9</w:t>
            </w:r>
          </w:p>
        </w:tc>
      </w:tr>
      <w:tr w:rsidR="00FF2875" w:rsidRPr="00FF2875" w14:paraId="55C5D9C8" w14:textId="77777777" w:rsidTr="00ED33E1">
        <w:tc>
          <w:tcPr>
            <w:tcW w:w="1629" w:type="pct"/>
            <w:vAlign w:val="center"/>
            <w:hideMark/>
          </w:tcPr>
          <w:p w14:paraId="63C8BC97"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586" w:type="pct"/>
            <w:vAlign w:val="center"/>
            <w:hideMark/>
          </w:tcPr>
          <w:p w14:paraId="26F7CA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w:t>
            </w:r>
          </w:p>
        </w:tc>
        <w:tc>
          <w:tcPr>
            <w:tcW w:w="586" w:type="pct"/>
            <w:vAlign w:val="center"/>
            <w:hideMark/>
          </w:tcPr>
          <w:p w14:paraId="0B0FD1F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45.0</w:t>
            </w:r>
          </w:p>
        </w:tc>
        <w:tc>
          <w:tcPr>
            <w:tcW w:w="679" w:type="pct"/>
            <w:vAlign w:val="center"/>
            <w:hideMark/>
          </w:tcPr>
          <w:p w14:paraId="78F761E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68.0</w:t>
            </w:r>
          </w:p>
        </w:tc>
        <w:tc>
          <w:tcPr>
            <w:tcW w:w="679" w:type="pct"/>
            <w:vAlign w:val="center"/>
            <w:hideMark/>
          </w:tcPr>
          <w:p w14:paraId="45748F7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88.0</w:t>
            </w:r>
          </w:p>
        </w:tc>
        <w:tc>
          <w:tcPr>
            <w:tcW w:w="679" w:type="pct"/>
            <w:vAlign w:val="center"/>
            <w:hideMark/>
          </w:tcPr>
          <w:p w14:paraId="23B0EEC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96.0</w:t>
            </w:r>
          </w:p>
        </w:tc>
      </w:tr>
      <w:tr w:rsidR="00FF2875" w:rsidRPr="00FF2875" w14:paraId="62BBF297" w14:textId="77777777" w:rsidTr="00ED33E1">
        <w:tc>
          <w:tcPr>
            <w:tcW w:w="1629" w:type="pct"/>
            <w:vAlign w:val="center"/>
            <w:hideMark/>
          </w:tcPr>
          <w:p w14:paraId="2240A70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586" w:type="pct"/>
            <w:vAlign w:val="center"/>
            <w:hideMark/>
          </w:tcPr>
          <w:p w14:paraId="255545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10.9</w:t>
            </w:r>
          </w:p>
        </w:tc>
        <w:tc>
          <w:tcPr>
            <w:tcW w:w="586" w:type="pct"/>
            <w:vAlign w:val="center"/>
            <w:hideMark/>
          </w:tcPr>
          <w:p w14:paraId="535B573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23.3</w:t>
            </w:r>
          </w:p>
        </w:tc>
        <w:tc>
          <w:tcPr>
            <w:tcW w:w="679" w:type="pct"/>
            <w:vAlign w:val="center"/>
            <w:hideMark/>
          </w:tcPr>
          <w:p w14:paraId="722ED7D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42.8</w:t>
            </w:r>
          </w:p>
        </w:tc>
        <w:tc>
          <w:tcPr>
            <w:tcW w:w="679" w:type="pct"/>
            <w:vAlign w:val="center"/>
            <w:hideMark/>
          </w:tcPr>
          <w:p w14:paraId="0A1C1A2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64.8</w:t>
            </w:r>
          </w:p>
        </w:tc>
        <w:tc>
          <w:tcPr>
            <w:tcW w:w="679" w:type="pct"/>
            <w:vAlign w:val="center"/>
            <w:hideMark/>
          </w:tcPr>
          <w:p w14:paraId="7324B83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82.0</w:t>
            </w:r>
          </w:p>
        </w:tc>
      </w:tr>
      <w:tr w:rsidR="00FF2875" w:rsidRPr="00FF2875" w14:paraId="56A0A5C9" w14:textId="77777777" w:rsidTr="00ED33E1">
        <w:tc>
          <w:tcPr>
            <w:tcW w:w="1629" w:type="pct"/>
            <w:vAlign w:val="center"/>
            <w:hideMark/>
          </w:tcPr>
          <w:p w14:paraId="5F56782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586" w:type="pct"/>
            <w:vAlign w:val="center"/>
            <w:hideMark/>
          </w:tcPr>
          <w:p w14:paraId="134D30B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21.0</w:t>
            </w:r>
          </w:p>
        </w:tc>
        <w:tc>
          <w:tcPr>
            <w:tcW w:w="586" w:type="pct"/>
            <w:vAlign w:val="center"/>
            <w:hideMark/>
          </w:tcPr>
          <w:p w14:paraId="1352923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61BFB7C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61.0</w:t>
            </w:r>
          </w:p>
        </w:tc>
        <w:tc>
          <w:tcPr>
            <w:tcW w:w="679" w:type="pct"/>
            <w:vAlign w:val="center"/>
            <w:hideMark/>
          </w:tcPr>
          <w:p w14:paraId="12FADDF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c>
          <w:tcPr>
            <w:tcW w:w="679" w:type="pct"/>
            <w:vAlign w:val="center"/>
            <w:hideMark/>
          </w:tcPr>
          <w:p w14:paraId="3D21D97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94.0</w:t>
            </w:r>
          </w:p>
        </w:tc>
      </w:tr>
      <w:tr w:rsidR="00FF2875" w:rsidRPr="00FF2875" w14:paraId="3D983394" w14:textId="77777777" w:rsidTr="00ED33E1">
        <w:tc>
          <w:tcPr>
            <w:tcW w:w="1629" w:type="pct"/>
            <w:vAlign w:val="center"/>
            <w:hideMark/>
          </w:tcPr>
          <w:p w14:paraId="6C04FE0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586" w:type="pct"/>
            <w:vAlign w:val="center"/>
            <w:hideMark/>
          </w:tcPr>
          <w:p w14:paraId="1691ABC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w:t>
            </w:r>
          </w:p>
        </w:tc>
        <w:tc>
          <w:tcPr>
            <w:tcW w:w="586" w:type="pct"/>
            <w:vAlign w:val="center"/>
            <w:hideMark/>
          </w:tcPr>
          <w:p w14:paraId="6D78DB4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19.3</w:t>
            </w:r>
          </w:p>
        </w:tc>
        <w:tc>
          <w:tcPr>
            <w:tcW w:w="679" w:type="pct"/>
            <w:vAlign w:val="center"/>
            <w:hideMark/>
          </w:tcPr>
          <w:p w14:paraId="5080D35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37.1</w:t>
            </w:r>
          </w:p>
        </w:tc>
        <w:tc>
          <w:tcPr>
            <w:tcW w:w="679" w:type="pct"/>
            <w:vAlign w:val="center"/>
            <w:hideMark/>
          </w:tcPr>
          <w:p w14:paraId="793777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59.3</w:t>
            </w:r>
          </w:p>
        </w:tc>
        <w:tc>
          <w:tcPr>
            <w:tcW w:w="679" w:type="pct"/>
            <w:vAlign w:val="center"/>
            <w:hideMark/>
          </w:tcPr>
          <w:p w14:paraId="5FF4637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78.2</w:t>
            </w:r>
          </w:p>
        </w:tc>
      </w:tr>
      <w:tr w:rsidR="00FF2875" w:rsidRPr="00FF2875" w14:paraId="68253861" w14:textId="77777777" w:rsidTr="00ED33E1">
        <w:tc>
          <w:tcPr>
            <w:tcW w:w="1629" w:type="pct"/>
            <w:vAlign w:val="center"/>
            <w:hideMark/>
          </w:tcPr>
          <w:p w14:paraId="12FF97D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48 h</w:t>
            </w:r>
          </w:p>
        </w:tc>
        <w:tc>
          <w:tcPr>
            <w:tcW w:w="586" w:type="pct"/>
            <w:vAlign w:val="center"/>
            <w:hideMark/>
          </w:tcPr>
          <w:p w14:paraId="727032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17.0</w:t>
            </w:r>
          </w:p>
        </w:tc>
        <w:tc>
          <w:tcPr>
            <w:tcW w:w="586" w:type="pct"/>
            <w:vAlign w:val="center"/>
            <w:hideMark/>
          </w:tcPr>
          <w:p w14:paraId="553DD42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34.0</w:t>
            </w:r>
          </w:p>
        </w:tc>
        <w:tc>
          <w:tcPr>
            <w:tcW w:w="679" w:type="pct"/>
            <w:vAlign w:val="center"/>
            <w:hideMark/>
          </w:tcPr>
          <w:p w14:paraId="3FFFA59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56.0</w:t>
            </w:r>
          </w:p>
        </w:tc>
        <w:tc>
          <w:tcPr>
            <w:tcW w:w="679" w:type="pct"/>
            <w:vAlign w:val="center"/>
            <w:hideMark/>
          </w:tcPr>
          <w:p w14:paraId="4D7F92A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78.0</w:t>
            </w:r>
          </w:p>
        </w:tc>
        <w:tc>
          <w:tcPr>
            <w:tcW w:w="679" w:type="pct"/>
            <w:vAlign w:val="center"/>
            <w:hideMark/>
          </w:tcPr>
          <w:p w14:paraId="3228F3F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91.0</w:t>
            </w:r>
          </w:p>
        </w:tc>
      </w:tr>
      <w:tr w:rsidR="00FF2875" w:rsidRPr="00FF2875" w14:paraId="10D75C11" w14:textId="77777777" w:rsidTr="00ED33E1">
        <w:tc>
          <w:tcPr>
            <w:tcW w:w="1629" w:type="pct"/>
            <w:vAlign w:val="center"/>
            <w:hideMark/>
          </w:tcPr>
          <w:p w14:paraId="76F0CAA9"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586" w:type="pct"/>
            <w:vAlign w:val="center"/>
            <w:hideMark/>
          </w:tcPr>
          <w:p w14:paraId="0E9BA50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w:t>
            </w:r>
          </w:p>
        </w:tc>
        <w:tc>
          <w:tcPr>
            <w:tcW w:w="586" w:type="pct"/>
            <w:vAlign w:val="center"/>
            <w:hideMark/>
          </w:tcPr>
          <w:p w14:paraId="04173CF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15.9</w:t>
            </w:r>
          </w:p>
        </w:tc>
        <w:tc>
          <w:tcPr>
            <w:tcW w:w="679" w:type="pct"/>
            <w:vAlign w:val="center"/>
            <w:hideMark/>
          </w:tcPr>
          <w:p w14:paraId="0A8B6CE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31.7</w:t>
            </w:r>
          </w:p>
        </w:tc>
        <w:tc>
          <w:tcPr>
            <w:tcW w:w="679" w:type="pct"/>
            <w:vAlign w:val="center"/>
            <w:hideMark/>
          </w:tcPr>
          <w:p w14:paraId="21DDE68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53.4</w:t>
            </w:r>
          </w:p>
        </w:tc>
        <w:tc>
          <w:tcPr>
            <w:tcW w:w="679" w:type="pct"/>
            <w:vAlign w:val="center"/>
            <w:hideMark/>
          </w:tcPr>
          <w:p w14:paraId="58E2D37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73.9</w:t>
            </w:r>
          </w:p>
        </w:tc>
      </w:tr>
      <w:tr w:rsidR="00FF2875" w:rsidRPr="00FF2875" w14:paraId="0F0FD4BC" w14:textId="77777777" w:rsidTr="00ED33E1">
        <w:tc>
          <w:tcPr>
            <w:tcW w:w="1629" w:type="pct"/>
            <w:vAlign w:val="center"/>
            <w:hideMark/>
          </w:tcPr>
          <w:p w14:paraId="30F3B7DE"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586" w:type="pct"/>
            <w:vAlign w:val="center"/>
            <w:hideMark/>
          </w:tcPr>
          <w:p w14:paraId="10E1824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w:t>
            </w:r>
          </w:p>
        </w:tc>
        <w:tc>
          <w:tcPr>
            <w:tcW w:w="586" w:type="pct"/>
            <w:vAlign w:val="center"/>
            <w:hideMark/>
          </w:tcPr>
          <w:p w14:paraId="364F0A2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29.0</w:t>
            </w:r>
          </w:p>
        </w:tc>
        <w:tc>
          <w:tcPr>
            <w:tcW w:w="679" w:type="pct"/>
            <w:vAlign w:val="center"/>
            <w:hideMark/>
          </w:tcPr>
          <w:p w14:paraId="11461EE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50.0</w:t>
            </w:r>
          </w:p>
        </w:tc>
        <w:tc>
          <w:tcPr>
            <w:tcW w:w="679" w:type="pct"/>
            <w:vAlign w:val="center"/>
            <w:hideMark/>
          </w:tcPr>
          <w:p w14:paraId="4A1CC42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72.0</w:t>
            </w:r>
          </w:p>
        </w:tc>
        <w:tc>
          <w:tcPr>
            <w:tcW w:w="679" w:type="pct"/>
            <w:vAlign w:val="center"/>
            <w:hideMark/>
          </w:tcPr>
          <w:p w14:paraId="4C9F1C5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88.0</w:t>
            </w:r>
          </w:p>
        </w:tc>
      </w:tr>
      <w:tr w:rsidR="00FF2875" w:rsidRPr="00FF2875" w14:paraId="486EB8E6" w14:textId="77777777" w:rsidTr="00ED33E1">
        <w:tc>
          <w:tcPr>
            <w:tcW w:w="1629" w:type="pct"/>
            <w:vAlign w:val="center"/>
            <w:hideMark/>
          </w:tcPr>
          <w:p w14:paraId="6D60E59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lastRenderedPageBreak/>
              <w:t>C. gigantea</w:t>
            </w:r>
            <w:r w:rsidRPr="00AA5AA5">
              <w:rPr>
                <w:rFonts w:ascii="Times New Roman" w:hAnsi="Times New Roman" w:cs="Times New Roman"/>
                <w:b/>
                <w:bCs/>
                <w:sz w:val="24"/>
                <w:szCs w:val="24"/>
              </w:rPr>
              <w:t xml:space="preserve"> – 24 h</w:t>
            </w:r>
          </w:p>
        </w:tc>
        <w:tc>
          <w:tcPr>
            <w:tcW w:w="586" w:type="pct"/>
            <w:vAlign w:val="center"/>
            <w:hideMark/>
          </w:tcPr>
          <w:p w14:paraId="3953F18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w:t>
            </w:r>
          </w:p>
        </w:tc>
        <w:tc>
          <w:tcPr>
            <w:tcW w:w="586" w:type="pct"/>
            <w:vAlign w:val="center"/>
            <w:hideMark/>
          </w:tcPr>
          <w:p w14:paraId="64647ED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13.7</w:t>
            </w:r>
          </w:p>
        </w:tc>
        <w:tc>
          <w:tcPr>
            <w:tcW w:w="679" w:type="pct"/>
            <w:vAlign w:val="center"/>
            <w:hideMark/>
          </w:tcPr>
          <w:p w14:paraId="7E63A3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28.2</w:t>
            </w:r>
          </w:p>
        </w:tc>
        <w:tc>
          <w:tcPr>
            <w:tcW w:w="679" w:type="pct"/>
            <w:vAlign w:val="center"/>
            <w:hideMark/>
          </w:tcPr>
          <w:p w14:paraId="4F73F1F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49.2</w:t>
            </w:r>
          </w:p>
        </w:tc>
        <w:tc>
          <w:tcPr>
            <w:tcW w:w="679" w:type="pct"/>
            <w:vAlign w:val="center"/>
            <w:hideMark/>
          </w:tcPr>
          <w:p w14:paraId="2E17218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70.5</w:t>
            </w:r>
          </w:p>
        </w:tc>
      </w:tr>
      <w:tr w:rsidR="00FF2875" w:rsidRPr="00FF2875" w14:paraId="74F9088A" w14:textId="77777777" w:rsidTr="00ED33E1">
        <w:tc>
          <w:tcPr>
            <w:tcW w:w="1629" w:type="pct"/>
            <w:vAlign w:val="center"/>
            <w:hideMark/>
          </w:tcPr>
          <w:p w14:paraId="5AB81C81"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48 h</w:t>
            </w:r>
          </w:p>
        </w:tc>
        <w:tc>
          <w:tcPr>
            <w:tcW w:w="586" w:type="pct"/>
            <w:vAlign w:val="center"/>
            <w:hideMark/>
          </w:tcPr>
          <w:p w14:paraId="642A6F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12.0</w:t>
            </w:r>
          </w:p>
        </w:tc>
        <w:tc>
          <w:tcPr>
            <w:tcW w:w="586" w:type="pct"/>
            <w:vAlign w:val="center"/>
            <w:hideMark/>
          </w:tcPr>
          <w:p w14:paraId="4B0878F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26.0</w:t>
            </w:r>
          </w:p>
        </w:tc>
        <w:tc>
          <w:tcPr>
            <w:tcW w:w="679" w:type="pct"/>
            <w:vAlign w:val="center"/>
            <w:hideMark/>
          </w:tcPr>
          <w:p w14:paraId="1F160FB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46.0</w:t>
            </w:r>
          </w:p>
        </w:tc>
        <w:tc>
          <w:tcPr>
            <w:tcW w:w="679" w:type="pct"/>
            <w:vAlign w:val="center"/>
            <w:hideMark/>
          </w:tcPr>
          <w:p w14:paraId="2C6509B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68.0</w:t>
            </w:r>
          </w:p>
        </w:tc>
        <w:tc>
          <w:tcPr>
            <w:tcW w:w="679" w:type="pct"/>
            <w:vAlign w:val="center"/>
            <w:hideMark/>
          </w:tcPr>
          <w:p w14:paraId="3B317F9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85.0</w:t>
            </w:r>
          </w:p>
        </w:tc>
      </w:tr>
    </w:tbl>
    <w:p w14:paraId="1E772463" w14:textId="77777777" w:rsidR="00ED33E1" w:rsidRPr="00537280" w:rsidRDefault="00ED33E1" w:rsidP="00537280">
      <w:pPr>
        <w:spacing w:line="360" w:lineRule="auto"/>
        <w:jc w:val="both"/>
        <w:rPr>
          <w:rFonts w:ascii="Times New Roman" w:hAnsi="Times New Roman" w:cs="Times New Roman"/>
          <w:sz w:val="24"/>
          <w:szCs w:val="24"/>
        </w:rPr>
      </w:pPr>
    </w:p>
    <w:p w14:paraId="1F7C9FB8" w14:textId="21AAA2D5"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sz w:val="24"/>
          <w:szCs w:val="24"/>
        </w:rPr>
        <w:t xml:space="preserve">The control group showed negligible mortality, confirming that observed effects were due to plant extracts. The results clearly demonstrate a </w:t>
      </w:r>
      <w:r w:rsidR="004A3F3F" w:rsidRPr="00537280">
        <w:rPr>
          <w:rFonts w:ascii="Times New Roman" w:hAnsi="Times New Roman" w:cs="Times New Roman"/>
          <w:sz w:val="24"/>
          <w:szCs w:val="24"/>
        </w:rPr>
        <w:t>dose- and time-dependent</w:t>
      </w:r>
      <w:r w:rsidRPr="00FF2875">
        <w:rPr>
          <w:rFonts w:ascii="Times New Roman" w:hAnsi="Times New Roman" w:cs="Times New Roman"/>
          <w:sz w:val="24"/>
          <w:szCs w:val="24"/>
        </w:rPr>
        <w:t xml:space="preserve"> response pattern.</w:t>
      </w:r>
    </w:p>
    <w:p w14:paraId="774B6AE2" w14:textId="39E268E4"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 xml:space="preserve">Anopheles </w:t>
      </w:r>
      <w:proofErr w:type="spellStart"/>
      <w:r w:rsidRPr="00FF2875">
        <w:rPr>
          <w:rFonts w:ascii="Times New Roman" w:hAnsi="Times New Roman" w:cs="Times New Roman"/>
          <w:b/>
          <w:bCs/>
          <w:i/>
          <w:iCs/>
          <w:sz w:val="24"/>
          <w:szCs w:val="24"/>
        </w:rPr>
        <w:t>stephensi</w:t>
      </w:r>
      <w:proofErr w:type="spellEnd"/>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All plant extracts also showed larvicidal activity against </w:t>
      </w:r>
      <w:r w:rsidRPr="00FF2875">
        <w:rPr>
          <w:rFonts w:ascii="Times New Roman" w:hAnsi="Times New Roman" w:cs="Times New Roman"/>
          <w:i/>
          <w:iCs/>
          <w:sz w:val="24"/>
          <w:szCs w:val="24"/>
        </w:rPr>
        <w:t xml:space="preserve">Anopheles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with mortality increasing in a concentration-dependent manner. However, this species was comparatively less susceptible than </w:t>
      </w:r>
      <w:r w:rsidRPr="00FF2875">
        <w:rPr>
          <w:rFonts w:ascii="Times New Roman" w:hAnsi="Times New Roman" w:cs="Times New Roman"/>
          <w:i/>
          <w:iCs/>
          <w:sz w:val="24"/>
          <w:szCs w:val="24"/>
        </w:rPr>
        <w:t>A. aegypti</w:t>
      </w:r>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3</w:t>
      </w:r>
      <w:r w:rsidR="00081680" w:rsidRPr="00537280">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produced 10.0% mortality at 25 ppm and 80.5% at 400 ppm. Other extracts showed lower activity in the order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48 h, </w:t>
      </w:r>
      <w:r w:rsidR="00AA3A93" w:rsidRPr="00537280">
        <w:rPr>
          <w:rFonts w:ascii="Times New Roman" w:hAnsi="Times New Roman" w:cs="Times New Roman"/>
          <w:sz w:val="24"/>
          <w:szCs w:val="24"/>
        </w:rPr>
        <w:t>mortality increased markedly</w:t>
      </w:r>
      <w:r w:rsidRPr="00FF2875">
        <w:rPr>
          <w:rFonts w:ascii="Times New Roman" w:hAnsi="Times New Roman" w:cs="Times New Roman"/>
          <w:sz w:val="24"/>
          <w:szCs w:val="24"/>
        </w:rPr>
        <w:t xml:space="preserve">,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93% at the highest concentration.</w:t>
      </w:r>
    </w:p>
    <w:p w14:paraId="2350475B" w14:textId="26C074E8"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3</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 xml:space="preserve">Anopheles </w:t>
      </w:r>
      <w:proofErr w:type="spellStart"/>
      <w:r w:rsidRPr="00FF2875">
        <w:rPr>
          <w:rFonts w:ascii="Times New Roman" w:hAnsi="Times New Roman" w:cs="Times New Roman"/>
          <w:b/>
          <w:bCs/>
          <w:i/>
          <w:iCs/>
          <w:sz w:val="24"/>
          <w:szCs w:val="24"/>
        </w:rPr>
        <w:t>stephensi</w:t>
      </w:r>
      <w:proofErr w:type="spellEnd"/>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3036"/>
        <w:gridCol w:w="1092"/>
        <w:gridCol w:w="1092"/>
        <w:gridCol w:w="1265"/>
        <w:gridCol w:w="1265"/>
        <w:gridCol w:w="1266"/>
      </w:tblGrid>
      <w:tr w:rsidR="00FF2875" w:rsidRPr="00FF2875" w14:paraId="0505B6B9" w14:textId="77777777" w:rsidTr="00ED33E1">
        <w:tc>
          <w:tcPr>
            <w:tcW w:w="1629" w:type="pct"/>
            <w:vAlign w:val="center"/>
            <w:hideMark/>
          </w:tcPr>
          <w:p w14:paraId="59CE2D39"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586" w:type="pct"/>
            <w:vAlign w:val="center"/>
            <w:hideMark/>
          </w:tcPr>
          <w:p w14:paraId="55A9C244"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586" w:type="pct"/>
            <w:vAlign w:val="center"/>
            <w:hideMark/>
          </w:tcPr>
          <w:p w14:paraId="6C8E8D6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679" w:type="pct"/>
            <w:vAlign w:val="center"/>
            <w:hideMark/>
          </w:tcPr>
          <w:p w14:paraId="33D2CAE9"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679" w:type="pct"/>
            <w:vAlign w:val="center"/>
            <w:hideMark/>
          </w:tcPr>
          <w:p w14:paraId="38BF0C1C"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679" w:type="pct"/>
            <w:vAlign w:val="center"/>
            <w:hideMark/>
          </w:tcPr>
          <w:p w14:paraId="1440623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3B013849" w14:textId="77777777" w:rsidTr="00ED33E1">
        <w:tc>
          <w:tcPr>
            <w:tcW w:w="1629" w:type="pct"/>
            <w:vAlign w:val="center"/>
            <w:hideMark/>
          </w:tcPr>
          <w:p w14:paraId="473F94A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586" w:type="pct"/>
            <w:vAlign w:val="center"/>
            <w:hideMark/>
          </w:tcPr>
          <w:p w14:paraId="6D367C0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10.0</w:t>
            </w:r>
          </w:p>
        </w:tc>
        <w:tc>
          <w:tcPr>
            <w:tcW w:w="586" w:type="pct"/>
            <w:vAlign w:val="center"/>
            <w:hideMark/>
          </w:tcPr>
          <w:p w14:paraId="5E41A6B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21.5</w:t>
            </w:r>
          </w:p>
        </w:tc>
        <w:tc>
          <w:tcPr>
            <w:tcW w:w="679" w:type="pct"/>
            <w:vAlign w:val="center"/>
            <w:hideMark/>
          </w:tcPr>
          <w:p w14:paraId="17A6542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40.3</w:t>
            </w:r>
          </w:p>
        </w:tc>
        <w:tc>
          <w:tcPr>
            <w:tcW w:w="679" w:type="pct"/>
            <w:vAlign w:val="center"/>
            <w:hideMark/>
          </w:tcPr>
          <w:p w14:paraId="62F6946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62.5</w:t>
            </w:r>
          </w:p>
        </w:tc>
        <w:tc>
          <w:tcPr>
            <w:tcW w:w="679" w:type="pct"/>
            <w:vAlign w:val="center"/>
            <w:hideMark/>
          </w:tcPr>
          <w:p w14:paraId="28A7735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80.5</w:t>
            </w:r>
          </w:p>
        </w:tc>
      </w:tr>
      <w:tr w:rsidR="00FF2875" w:rsidRPr="00FF2875" w14:paraId="6ECD5664" w14:textId="77777777" w:rsidTr="00ED33E1">
        <w:tc>
          <w:tcPr>
            <w:tcW w:w="1629" w:type="pct"/>
            <w:vAlign w:val="center"/>
            <w:hideMark/>
          </w:tcPr>
          <w:p w14:paraId="38D9144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586" w:type="pct"/>
            <w:vAlign w:val="center"/>
            <w:hideMark/>
          </w:tcPr>
          <w:p w14:paraId="7AEB8D6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20.0</w:t>
            </w:r>
          </w:p>
        </w:tc>
        <w:tc>
          <w:tcPr>
            <w:tcW w:w="586" w:type="pct"/>
            <w:vAlign w:val="center"/>
            <w:hideMark/>
          </w:tcPr>
          <w:p w14:paraId="399CAFA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4B0BE15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61.0</w:t>
            </w:r>
          </w:p>
        </w:tc>
        <w:tc>
          <w:tcPr>
            <w:tcW w:w="679" w:type="pct"/>
            <w:vAlign w:val="center"/>
            <w:hideMark/>
          </w:tcPr>
          <w:p w14:paraId="21D1164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82.0</w:t>
            </w:r>
          </w:p>
        </w:tc>
        <w:tc>
          <w:tcPr>
            <w:tcW w:w="679" w:type="pct"/>
            <w:vAlign w:val="center"/>
            <w:hideMark/>
          </w:tcPr>
          <w:p w14:paraId="6D519BA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93.0</w:t>
            </w:r>
          </w:p>
        </w:tc>
      </w:tr>
      <w:tr w:rsidR="00FF2875" w:rsidRPr="00FF2875" w14:paraId="40C58760" w14:textId="77777777" w:rsidTr="00ED33E1">
        <w:tc>
          <w:tcPr>
            <w:tcW w:w="1629" w:type="pct"/>
            <w:vAlign w:val="center"/>
            <w:hideMark/>
          </w:tcPr>
          <w:p w14:paraId="56783CE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586" w:type="pct"/>
            <w:vAlign w:val="center"/>
            <w:hideMark/>
          </w:tcPr>
          <w:p w14:paraId="5DC6410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w:t>
            </w:r>
          </w:p>
        </w:tc>
        <w:tc>
          <w:tcPr>
            <w:tcW w:w="586" w:type="pct"/>
            <w:vAlign w:val="center"/>
            <w:hideMark/>
          </w:tcPr>
          <w:p w14:paraId="19B9060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18.0</w:t>
            </w:r>
          </w:p>
        </w:tc>
        <w:tc>
          <w:tcPr>
            <w:tcW w:w="679" w:type="pct"/>
            <w:vAlign w:val="center"/>
            <w:hideMark/>
          </w:tcPr>
          <w:p w14:paraId="6A2910A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35.2</w:t>
            </w:r>
          </w:p>
        </w:tc>
        <w:tc>
          <w:tcPr>
            <w:tcW w:w="679" w:type="pct"/>
            <w:vAlign w:val="center"/>
            <w:hideMark/>
          </w:tcPr>
          <w:p w14:paraId="44700BB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57.2</w:t>
            </w:r>
          </w:p>
        </w:tc>
        <w:tc>
          <w:tcPr>
            <w:tcW w:w="679" w:type="pct"/>
            <w:vAlign w:val="center"/>
            <w:hideMark/>
          </w:tcPr>
          <w:p w14:paraId="197F394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76.7</w:t>
            </w:r>
          </w:p>
        </w:tc>
      </w:tr>
      <w:tr w:rsidR="00FF2875" w:rsidRPr="00FF2875" w14:paraId="66012A98" w14:textId="77777777" w:rsidTr="00ED33E1">
        <w:tc>
          <w:tcPr>
            <w:tcW w:w="1629" w:type="pct"/>
            <w:vAlign w:val="center"/>
            <w:hideMark/>
          </w:tcPr>
          <w:p w14:paraId="74E75041"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586" w:type="pct"/>
            <w:vAlign w:val="center"/>
            <w:hideMark/>
          </w:tcPr>
          <w:p w14:paraId="68FEBA6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17.0</w:t>
            </w:r>
          </w:p>
        </w:tc>
        <w:tc>
          <w:tcPr>
            <w:tcW w:w="586" w:type="pct"/>
            <w:vAlign w:val="center"/>
            <w:hideMark/>
          </w:tcPr>
          <w:p w14:paraId="0F421E1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34.0</w:t>
            </w:r>
          </w:p>
        </w:tc>
        <w:tc>
          <w:tcPr>
            <w:tcW w:w="679" w:type="pct"/>
            <w:vAlign w:val="center"/>
            <w:hideMark/>
          </w:tcPr>
          <w:p w14:paraId="7689514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54.0</w:t>
            </w:r>
          </w:p>
        </w:tc>
        <w:tc>
          <w:tcPr>
            <w:tcW w:w="679" w:type="pct"/>
            <w:vAlign w:val="center"/>
            <w:hideMark/>
          </w:tcPr>
          <w:p w14:paraId="0D00642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76.0</w:t>
            </w:r>
          </w:p>
        </w:tc>
        <w:tc>
          <w:tcPr>
            <w:tcW w:w="679" w:type="pct"/>
            <w:vAlign w:val="center"/>
            <w:hideMark/>
          </w:tcPr>
          <w:p w14:paraId="630F88D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90.0</w:t>
            </w:r>
          </w:p>
        </w:tc>
      </w:tr>
      <w:tr w:rsidR="00FF2875" w:rsidRPr="00FF2875" w14:paraId="65DB668F" w14:textId="77777777" w:rsidTr="00ED33E1">
        <w:tc>
          <w:tcPr>
            <w:tcW w:w="1629" w:type="pct"/>
            <w:vAlign w:val="center"/>
            <w:hideMark/>
          </w:tcPr>
          <w:p w14:paraId="55CBF38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586" w:type="pct"/>
            <w:vAlign w:val="center"/>
            <w:hideMark/>
          </w:tcPr>
          <w:p w14:paraId="0C4AEBA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6.9</w:t>
            </w:r>
          </w:p>
        </w:tc>
        <w:tc>
          <w:tcPr>
            <w:tcW w:w="586" w:type="pct"/>
            <w:vAlign w:val="center"/>
            <w:hideMark/>
          </w:tcPr>
          <w:p w14:paraId="313FE6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15.4</w:t>
            </w:r>
          </w:p>
        </w:tc>
        <w:tc>
          <w:tcPr>
            <w:tcW w:w="679" w:type="pct"/>
            <w:vAlign w:val="center"/>
            <w:hideMark/>
          </w:tcPr>
          <w:p w14:paraId="7B7E4F8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31.0</w:t>
            </w:r>
          </w:p>
        </w:tc>
        <w:tc>
          <w:tcPr>
            <w:tcW w:w="679" w:type="pct"/>
            <w:vAlign w:val="center"/>
            <w:hideMark/>
          </w:tcPr>
          <w:p w14:paraId="37BCCC2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52.5</w:t>
            </w:r>
          </w:p>
        </w:tc>
        <w:tc>
          <w:tcPr>
            <w:tcW w:w="679" w:type="pct"/>
            <w:vAlign w:val="center"/>
            <w:hideMark/>
          </w:tcPr>
          <w:p w14:paraId="60EFAD6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73.2</w:t>
            </w:r>
          </w:p>
        </w:tc>
      </w:tr>
      <w:tr w:rsidR="00FF2875" w:rsidRPr="00FF2875" w14:paraId="5A2E4672" w14:textId="77777777" w:rsidTr="00ED33E1">
        <w:tc>
          <w:tcPr>
            <w:tcW w:w="1629" w:type="pct"/>
            <w:vAlign w:val="center"/>
            <w:hideMark/>
          </w:tcPr>
          <w:p w14:paraId="2CFA739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48 h</w:t>
            </w:r>
          </w:p>
        </w:tc>
        <w:tc>
          <w:tcPr>
            <w:tcW w:w="586" w:type="pct"/>
            <w:vAlign w:val="center"/>
            <w:hideMark/>
          </w:tcPr>
          <w:p w14:paraId="1F3204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w:t>
            </w:r>
          </w:p>
        </w:tc>
        <w:tc>
          <w:tcPr>
            <w:tcW w:w="586" w:type="pct"/>
            <w:vAlign w:val="center"/>
            <w:hideMark/>
          </w:tcPr>
          <w:p w14:paraId="5CE6AAF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30.0</w:t>
            </w:r>
          </w:p>
        </w:tc>
        <w:tc>
          <w:tcPr>
            <w:tcW w:w="679" w:type="pct"/>
            <w:vAlign w:val="center"/>
            <w:hideMark/>
          </w:tcPr>
          <w:p w14:paraId="1839694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49.0</w:t>
            </w:r>
          </w:p>
        </w:tc>
        <w:tc>
          <w:tcPr>
            <w:tcW w:w="679" w:type="pct"/>
            <w:vAlign w:val="center"/>
            <w:hideMark/>
          </w:tcPr>
          <w:p w14:paraId="6D87737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71.0</w:t>
            </w:r>
          </w:p>
        </w:tc>
        <w:tc>
          <w:tcPr>
            <w:tcW w:w="679" w:type="pct"/>
            <w:vAlign w:val="center"/>
            <w:hideMark/>
          </w:tcPr>
          <w:p w14:paraId="0065BD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87.0</w:t>
            </w:r>
          </w:p>
        </w:tc>
      </w:tr>
      <w:tr w:rsidR="00FF2875" w:rsidRPr="00FF2875" w14:paraId="63BA301E" w14:textId="77777777" w:rsidTr="00ED33E1">
        <w:tc>
          <w:tcPr>
            <w:tcW w:w="1629" w:type="pct"/>
            <w:vAlign w:val="center"/>
            <w:hideMark/>
          </w:tcPr>
          <w:p w14:paraId="3C516460"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586" w:type="pct"/>
            <w:vAlign w:val="center"/>
            <w:hideMark/>
          </w:tcPr>
          <w:p w14:paraId="19847A6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w:t>
            </w:r>
          </w:p>
        </w:tc>
        <w:tc>
          <w:tcPr>
            <w:tcW w:w="586" w:type="pct"/>
            <w:vAlign w:val="center"/>
            <w:hideMark/>
          </w:tcPr>
          <w:p w14:paraId="0A57F4B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12.7</w:t>
            </w:r>
          </w:p>
        </w:tc>
        <w:tc>
          <w:tcPr>
            <w:tcW w:w="679" w:type="pct"/>
            <w:vAlign w:val="center"/>
            <w:hideMark/>
          </w:tcPr>
          <w:p w14:paraId="6B53042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26.4</w:t>
            </w:r>
          </w:p>
        </w:tc>
        <w:tc>
          <w:tcPr>
            <w:tcW w:w="679" w:type="pct"/>
            <w:vAlign w:val="center"/>
            <w:hideMark/>
          </w:tcPr>
          <w:p w14:paraId="6AD2AAB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46.9</w:t>
            </w:r>
          </w:p>
        </w:tc>
        <w:tc>
          <w:tcPr>
            <w:tcW w:w="679" w:type="pct"/>
            <w:vAlign w:val="center"/>
            <w:hideMark/>
          </w:tcPr>
          <w:p w14:paraId="2EED614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68.5</w:t>
            </w:r>
          </w:p>
        </w:tc>
      </w:tr>
      <w:tr w:rsidR="00FF2875" w:rsidRPr="00FF2875" w14:paraId="6421B5AD" w14:textId="77777777" w:rsidTr="00ED33E1">
        <w:tc>
          <w:tcPr>
            <w:tcW w:w="1629" w:type="pct"/>
            <w:vAlign w:val="center"/>
            <w:hideMark/>
          </w:tcPr>
          <w:p w14:paraId="78D4DFB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586" w:type="pct"/>
            <w:vAlign w:val="center"/>
            <w:hideMark/>
          </w:tcPr>
          <w:p w14:paraId="199844A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11.0</w:t>
            </w:r>
          </w:p>
        </w:tc>
        <w:tc>
          <w:tcPr>
            <w:tcW w:w="586" w:type="pct"/>
            <w:vAlign w:val="center"/>
            <w:hideMark/>
          </w:tcPr>
          <w:p w14:paraId="018DAE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w:t>
            </w:r>
          </w:p>
        </w:tc>
        <w:tc>
          <w:tcPr>
            <w:tcW w:w="679" w:type="pct"/>
            <w:vAlign w:val="center"/>
            <w:hideMark/>
          </w:tcPr>
          <w:p w14:paraId="3376DD6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43.0</w:t>
            </w:r>
          </w:p>
        </w:tc>
        <w:tc>
          <w:tcPr>
            <w:tcW w:w="679" w:type="pct"/>
            <w:vAlign w:val="center"/>
            <w:hideMark/>
          </w:tcPr>
          <w:p w14:paraId="7218EC2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65.0</w:t>
            </w:r>
          </w:p>
        </w:tc>
        <w:tc>
          <w:tcPr>
            <w:tcW w:w="679" w:type="pct"/>
            <w:vAlign w:val="center"/>
            <w:hideMark/>
          </w:tcPr>
          <w:p w14:paraId="41292FF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r>
      <w:tr w:rsidR="00FF2875" w:rsidRPr="00FF2875" w14:paraId="4575E131" w14:textId="77777777" w:rsidTr="00ED33E1">
        <w:tc>
          <w:tcPr>
            <w:tcW w:w="1629" w:type="pct"/>
            <w:vAlign w:val="center"/>
            <w:hideMark/>
          </w:tcPr>
          <w:p w14:paraId="7C43885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24 h</w:t>
            </w:r>
          </w:p>
        </w:tc>
        <w:tc>
          <w:tcPr>
            <w:tcW w:w="586" w:type="pct"/>
            <w:vAlign w:val="center"/>
            <w:hideMark/>
          </w:tcPr>
          <w:p w14:paraId="45D31B7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4.7</w:t>
            </w:r>
          </w:p>
        </w:tc>
        <w:tc>
          <w:tcPr>
            <w:tcW w:w="586" w:type="pct"/>
            <w:vAlign w:val="center"/>
            <w:hideMark/>
          </w:tcPr>
          <w:p w14:paraId="4ED0BF2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10.9</w:t>
            </w:r>
          </w:p>
        </w:tc>
        <w:tc>
          <w:tcPr>
            <w:tcW w:w="679" w:type="pct"/>
            <w:vAlign w:val="center"/>
            <w:hideMark/>
          </w:tcPr>
          <w:p w14:paraId="394213B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23.3</w:t>
            </w:r>
          </w:p>
        </w:tc>
        <w:tc>
          <w:tcPr>
            <w:tcW w:w="679" w:type="pct"/>
            <w:vAlign w:val="center"/>
            <w:hideMark/>
          </w:tcPr>
          <w:p w14:paraId="36FBE1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42.8</w:t>
            </w:r>
          </w:p>
        </w:tc>
        <w:tc>
          <w:tcPr>
            <w:tcW w:w="679" w:type="pct"/>
            <w:vAlign w:val="center"/>
            <w:hideMark/>
          </w:tcPr>
          <w:p w14:paraId="780A7D4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64.8</w:t>
            </w:r>
          </w:p>
        </w:tc>
      </w:tr>
      <w:tr w:rsidR="00FF2875" w:rsidRPr="00FF2875" w14:paraId="5A8AA5B5" w14:textId="77777777" w:rsidTr="00ED33E1">
        <w:tc>
          <w:tcPr>
            <w:tcW w:w="1629" w:type="pct"/>
            <w:vAlign w:val="center"/>
            <w:hideMark/>
          </w:tcPr>
          <w:p w14:paraId="564CF62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48 h</w:t>
            </w:r>
          </w:p>
        </w:tc>
        <w:tc>
          <w:tcPr>
            <w:tcW w:w="586" w:type="pct"/>
            <w:vAlign w:val="center"/>
            <w:hideMark/>
          </w:tcPr>
          <w:p w14:paraId="618B4E5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9.0</w:t>
            </w:r>
          </w:p>
        </w:tc>
        <w:tc>
          <w:tcPr>
            <w:tcW w:w="586" w:type="pct"/>
            <w:vAlign w:val="center"/>
            <w:hideMark/>
          </w:tcPr>
          <w:p w14:paraId="38485CB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22.0</w:t>
            </w:r>
          </w:p>
        </w:tc>
        <w:tc>
          <w:tcPr>
            <w:tcW w:w="679" w:type="pct"/>
            <w:vAlign w:val="center"/>
            <w:hideMark/>
          </w:tcPr>
          <w:p w14:paraId="4B19591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267B3F7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60.0</w:t>
            </w:r>
          </w:p>
        </w:tc>
        <w:tc>
          <w:tcPr>
            <w:tcW w:w="679" w:type="pct"/>
            <w:vAlign w:val="center"/>
            <w:hideMark/>
          </w:tcPr>
          <w:p w14:paraId="613F757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80.0</w:t>
            </w:r>
          </w:p>
        </w:tc>
      </w:tr>
    </w:tbl>
    <w:p w14:paraId="1403E92C" w14:textId="6C189F46" w:rsidR="00FF2875" w:rsidRPr="00FF2875" w:rsidRDefault="00FF2875" w:rsidP="00537280">
      <w:pPr>
        <w:spacing w:line="360" w:lineRule="auto"/>
        <w:jc w:val="both"/>
        <w:rPr>
          <w:rFonts w:ascii="Times New Roman" w:hAnsi="Times New Roman" w:cs="Times New Roman"/>
          <w:sz w:val="24"/>
          <w:szCs w:val="24"/>
        </w:rPr>
      </w:pPr>
    </w:p>
    <w:p w14:paraId="6804D04B" w14:textId="1AF897CA" w:rsidR="00ED33E1" w:rsidRPr="00537280"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 xml:space="preserve">Culex </w:t>
      </w:r>
      <w:proofErr w:type="spellStart"/>
      <w:r w:rsidRPr="00FF2875">
        <w:rPr>
          <w:rFonts w:ascii="Times New Roman" w:hAnsi="Times New Roman" w:cs="Times New Roman"/>
          <w:b/>
          <w:bCs/>
          <w:i/>
          <w:iCs/>
          <w:sz w:val="24"/>
          <w:szCs w:val="24"/>
        </w:rPr>
        <w:t>quinquefasciatus</w:t>
      </w:r>
      <w:proofErr w:type="spellEnd"/>
      <w:r w:rsidR="00081680" w:rsidRPr="00537280">
        <w:rPr>
          <w:rFonts w:ascii="Times New Roman" w:hAnsi="Times New Roman" w:cs="Times New Roman"/>
          <w:b/>
          <w:bCs/>
          <w:sz w:val="24"/>
          <w:szCs w:val="24"/>
        </w:rPr>
        <w:t xml:space="preserve">: </w:t>
      </w:r>
      <w:proofErr w:type="spellStart"/>
      <w:r w:rsidRPr="00FF2875">
        <w:rPr>
          <w:rFonts w:ascii="Times New Roman" w:hAnsi="Times New Roman" w:cs="Times New Roman"/>
          <w:i/>
          <w:iCs/>
          <w:sz w:val="24"/>
          <w:szCs w:val="24"/>
        </w:rPr>
        <w:t>Cx</w:t>
      </w:r>
      <w:proofErr w:type="spellEnd"/>
      <w:r w:rsidRPr="00FF2875">
        <w:rPr>
          <w:rFonts w:ascii="Times New Roman" w:hAnsi="Times New Roman" w:cs="Times New Roman"/>
          <w:i/>
          <w:iCs/>
          <w:sz w:val="24"/>
          <w:szCs w:val="24"/>
        </w:rPr>
        <w:t xml:space="preserve">. </w:t>
      </w:r>
      <w:proofErr w:type="spellStart"/>
      <w:r w:rsidRPr="00FF2875">
        <w:rPr>
          <w:rFonts w:ascii="Times New Roman" w:hAnsi="Times New Roman" w:cs="Times New Roman"/>
          <w:i/>
          <w:iCs/>
          <w:sz w:val="24"/>
          <w:szCs w:val="24"/>
        </w:rPr>
        <w:t>quinquefasciatus</w:t>
      </w:r>
      <w:proofErr w:type="spellEnd"/>
      <w:r w:rsidRPr="00FF2875">
        <w:rPr>
          <w:rFonts w:ascii="Times New Roman" w:hAnsi="Times New Roman" w:cs="Times New Roman"/>
          <w:sz w:val="24"/>
          <w:szCs w:val="24"/>
        </w:rPr>
        <w:t xml:space="preserve"> larvae also exhibited concentration-dependent mortality when exposed to all plant extracts. The response </w:t>
      </w:r>
      <w:r w:rsidRPr="00FF2875">
        <w:rPr>
          <w:rFonts w:ascii="Times New Roman" w:hAnsi="Times New Roman" w:cs="Times New Roman"/>
          <w:sz w:val="24"/>
          <w:szCs w:val="24"/>
        </w:rPr>
        <w:lastRenderedPageBreak/>
        <w:t xml:space="preserve">pattern was intermediate between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 xml:space="preserve">An. </w:t>
      </w:r>
      <w:proofErr w:type="spellStart"/>
      <w:r w:rsidR="00C8038E" w:rsidRPr="00537280">
        <w:rPr>
          <w:rFonts w:ascii="Times New Roman" w:hAnsi="Times New Roman" w:cs="Times New Roman"/>
          <w:i/>
          <w:iCs/>
          <w:sz w:val="24"/>
          <w:szCs w:val="24"/>
        </w:rPr>
        <w:t>s</w:t>
      </w:r>
      <w:r w:rsidRPr="00FF2875">
        <w:rPr>
          <w:rFonts w:ascii="Times New Roman" w:hAnsi="Times New Roman" w:cs="Times New Roman"/>
          <w:i/>
          <w:iCs/>
          <w:sz w:val="24"/>
          <w:szCs w:val="24"/>
        </w:rPr>
        <w:t>tephensi</w:t>
      </w:r>
      <w:proofErr w:type="spellEnd"/>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4</w:t>
      </w:r>
      <w:r w:rsidR="00081680"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showed the highest mortality (11.5%–82.8%), followed by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At 48 h, mortality increased substantially,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94% at 400 ppm.</w:t>
      </w:r>
    </w:p>
    <w:p w14:paraId="6BFFC085" w14:textId="3C2EA376"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4</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 xml:space="preserve">Culex </w:t>
      </w:r>
      <w:proofErr w:type="spellStart"/>
      <w:r w:rsidRPr="00FF2875">
        <w:rPr>
          <w:rFonts w:ascii="Times New Roman" w:hAnsi="Times New Roman" w:cs="Times New Roman"/>
          <w:b/>
          <w:bCs/>
          <w:i/>
          <w:iCs/>
          <w:sz w:val="24"/>
          <w:szCs w:val="24"/>
        </w:rPr>
        <w:t>quinquefasciatus</w:t>
      </w:r>
      <w:proofErr w:type="spellEnd"/>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2804"/>
        <w:gridCol w:w="1154"/>
        <w:gridCol w:w="1154"/>
        <w:gridCol w:w="1302"/>
        <w:gridCol w:w="1302"/>
        <w:gridCol w:w="1300"/>
      </w:tblGrid>
      <w:tr w:rsidR="00FF2875" w:rsidRPr="00FF2875" w14:paraId="322F889C" w14:textId="77777777" w:rsidTr="00ED33E1">
        <w:tc>
          <w:tcPr>
            <w:tcW w:w="1555" w:type="pct"/>
            <w:vAlign w:val="center"/>
            <w:hideMark/>
          </w:tcPr>
          <w:p w14:paraId="4D89A048"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640" w:type="pct"/>
            <w:vAlign w:val="center"/>
            <w:hideMark/>
          </w:tcPr>
          <w:p w14:paraId="33D6CEA3"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640" w:type="pct"/>
            <w:vAlign w:val="center"/>
            <w:hideMark/>
          </w:tcPr>
          <w:p w14:paraId="52C20CF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722" w:type="pct"/>
            <w:vAlign w:val="center"/>
            <w:hideMark/>
          </w:tcPr>
          <w:p w14:paraId="79776F8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722" w:type="pct"/>
            <w:vAlign w:val="center"/>
            <w:hideMark/>
          </w:tcPr>
          <w:p w14:paraId="75FFC45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722" w:type="pct"/>
            <w:vAlign w:val="center"/>
            <w:hideMark/>
          </w:tcPr>
          <w:p w14:paraId="701D616D"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7C655DD5" w14:textId="77777777" w:rsidTr="00ED33E1">
        <w:tc>
          <w:tcPr>
            <w:tcW w:w="1555" w:type="pct"/>
            <w:vAlign w:val="center"/>
            <w:hideMark/>
          </w:tcPr>
          <w:p w14:paraId="6498A5CE"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640" w:type="pct"/>
            <w:vAlign w:val="center"/>
            <w:hideMark/>
          </w:tcPr>
          <w:p w14:paraId="4F1DC79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11.5</w:t>
            </w:r>
          </w:p>
        </w:tc>
        <w:tc>
          <w:tcPr>
            <w:tcW w:w="640" w:type="pct"/>
            <w:vAlign w:val="center"/>
            <w:hideMark/>
          </w:tcPr>
          <w:p w14:paraId="447E0FE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24.2</w:t>
            </w:r>
          </w:p>
        </w:tc>
        <w:tc>
          <w:tcPr>
            <w:tcW w:w="722" w:type="pct"/>
            <w:vAlign w:val="center"/>
            <w:hideMark/>
          </w:tcPr>
          <w:p w14:paraId="3335891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44.1</w:t>
            </w:r>
          </w:p>
        </w:tc>
        <w:tc>
          <w:tcPr>
            <w:tcW w:w="722" w:type="pct"/>
            <w:vAlign w:val="center"/>
            <w:hideMark/>
          </w:tcPr>
          <w:p w14:paraId="27D8B4E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66.1</w:t>
            </w:r>
          </w:p>
        </w:tc>
        <w:tc>
          <w:tcPr>
            <w:tcW w:w="722" w:type="pct"/>
            <w:vAlign w:val="center"/>
            <w:hideMark/>
          </w:tcPr>
          <w:p w14:paraId="3FA01C2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82.8</w:t>
            </w:r>
          </w:p>
        </w:tc>
      </w:tr>
      <w:tr w:rsidR="00FF2875" w:rsidRPr="00FF2875" w14:paraId="382F6076" w14:textId="77777777" w:rsidTr="00ED33E1">
        <w:tc>
          <w:tcPr>
            <w:tcW w:w="1555" w:type="pct"/>
            <w:vAlign w:val="center"/>
            <w:hideMark/>
          </w:tcPr>
          <w:p w14:paraId="57CDA7C4"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640" w:type="pct"/>
            <w:vAlign w:val="center"/>
            <w:hideMark/>
          </w:tcPr>
          <w:p w14:paraId="07A9FFE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23.0</w:t>
            </w:r>
          </w:p>
        </w:tc>
        <w:tc>
          <w:tcPr>
            <w:tcW w:w="640" w:type="pct"/>
            <w:vAlign w:val="center"/>
            <w:hideMark/>
          </w:tcPr>
          <w:p w14:paraId="1FCB9B9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42.0</w:t>
            </w:r>
          </w:p>
        </w:tc>
        <w:tc>
          <w:tcPr>
            <w:tcW w:w="722" w:type="pct"/>
            <w:vAlign w:val="center"/>
            <w:hideMark/>
          </w:tcPr>
          <w:p w14:paraId="611B97D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64.0</w:t>
            </w:r>
          </w:p>
        </w:tc>
        <w:tc>
          <w:tcPr>
            <w:tcW w:w="722" w:type="pct"/>
            <w:vAlign w:val="center"/>
            <w:hideMark/>
          </w:tcPr>
          <w:p w14:paraId="7A9CD33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85.0</w:t>
            </w:r>
          </w:p>
        </w:tc>
        <w:tc>
          <w:tcPr>
            <w:tcW w:w="722" w:type="pct"/>
            <w:vAlign w:val="center"/>
            <w:hideMark/>
          </w:tcPr>
          <w:p w14:paraId="6D60DDF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94.0</w:t>
            </w:r>
          </w:p>
        </w:tc>
      </w:tr>
      <w:tr w:rsidR="00FF2875" w:rsidRPr="00FF2875" w14:paraId="39F92CDA" w14:textId="77777777" w:rsidTr="00ED33E1">
        <w:tc>
          <w:tcPr>
            <w:tcW w:w="1555" w:type="pct"/>
            <w:vAlign w:val="center"/>
            <w:hideMark/>
          </w:tcPr>
          <w:p w14:paraId="0C9456B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640" w:type="pct"/>
            <w:vAlign w:val="center"/>
            <w:hideMark/>
          </w:tcPr>
          <w:p w14:paraId="31CFD87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9.6</w:t>
            </w:r>
          </w:p>
        </w:tc>
        <w:tc>
          <w:tcPr>
            <w:tcW w:w="640" w:type="pct"/>
            <w:vAlign w:val="center"/>
            <w:hideMark/>
          </w:tcPr>
          <w:p w14:paraId="0DB01E3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20.7</w:t>
            </w:r>
          </w:p>
        </w:tc>
        <w:tc>
          <w:tcPr>
            <w:tcW w:w="722" w:type="pct"/>
            <w:vAlign w:val="center"/>
            <w:hideMark/>
          </w:tcPr>
          <w:p w14:paraId="38847E7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39.2</w:t>
            </w:r>
          </w:p>
        </w:tc>
        <w:tc>
          <w:tcPr>
            <w:tcW w:w="722" w:type="pct"/>
            <w:vAlign w:val="center"/>
            <w:hideMark/>
          </w:tcPr>
          <w:p w14:paraId="4DF4B4E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61.4</w:t>
            </w:r>
          </w:p>
        </w:tc>
        <w:tc>
          <w:tcPr>
            <w:tcW w:w="722" w:type="pct"/>
            <w:vAlign w:val="center"/>
            <w:hideMark/>
          </w:tcPr>
          <w:p w14:paraId="3FCD170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79.7</w:t>
            </w:r>
          </w:p>
        </w:tc>
      </w:tr>
      <w:tr w:rsidR="00FF2875" w:rsidRPr="00FF2875" w14:paraId="12C8B385" w14:textId="77777777" w:rsidTr="00ED33E1">
        <w:tc>
          <w:tcPr>
            <w:tcW w:w="1555" w:type="pct"/>
            <w:vAlign w:val="center"/>
            <w:hideMark/>
          </w:tcPr>
          <w:p w14:paraId="273A81B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640" w:type="pct"/>
            <w:vAlign w:val="center"/>
            <w:hideMark/>
          </w:tcPr>
          <w:p w14:paraId="0A8EE6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19.0</w:t>
            </w:r>
          </w:p>
        </w:tc>
        <w:tc>
          <w:tcPr>
            <w:tcW w:w="640" w:type="pct"/>
            <w:vAlign w:val="center"/>
            <w:hideMark/>
          </w:tcPr>
          <w:p w14:paraId="27383AF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37.0</w:t>
            </w:r>
          </w:p>
        </w:tc>
        <w:tc>
          <w:tcPr>
            <w:tcW w:w="722" w:type="pct"/>
            <w:vAlign w:val="center"/>
            <w:hideMark/>
          </w:tcPr>
          <w:p w14:paraId="333A9A9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58.0</w:t>
            </w:r>
          </w:p>
        </w:tc>
        <w:tc>
          <w:tcPr>
            <w:tcW w:w="722" w:type="pct"/>
            <w:vAlign w:val="center"/>
            <w:hideMark/>
          </w:tcPr>
          <w:p w14:paraId="6A49D85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80.0</w:t>
            </w:r>
          </w:p>
        </w:tc>
        <w:tc>
          <w:tcPr>
            <w:tcW w:w="722" w:type="pct"/>
            <w:vAlign w:val="center"/>
            <w:hideMark/>
          </w:tcPr>
          <w:p w14:paraId="2DFE607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91.0</w:t>
            </w:r>
          </w:p>
        </w:tc>
      </w:tr>
      <w:tr w:rsidR="00FF2875" w:rsidRPr="00FF2875" w14:paraId="4872DEC1" w14:textId="77777777" w:rsidTr="00ED33E1">
        <w:tc>
          <w:tcPr>
            <w:tcW w:w="1555" w:type="pct"/>
            <w:vAlign w:val="center"/>
            <w:hideMark/>
          </w:tcPr>
          <w:p w14:paraId="389B9E74"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640" w:type="pct"/>
            <w:vAlign w:val="center"/>
            <w:hideMark/>
          </w:tcPr>
          <w:p w14:paraId="451A974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7.9</w:t>
            </w:r>
          </w:p>
        </w:tc>
        <w:tc>
          <w:tcPr>
            <w:tcW w:w="640" w:type="pct"/>
            <w:vAlign w:val="center"/>
            <w:hideMark/>
          </w:tcPr>
          <w:p w14:paraId="2829DE5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17.4</w:t>
            </w:r>
          </w:p>
        </w:tc>
        <w:tc>
          <w:tcPr>
            <w:tcW w:w="722" w:type="pct"/>
            <w:vAlign w:val="center"/>
            <w:hideMark/>
          </w:tcPr>
          <w:p w14:paraId="6943E39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34.2</w:t>
            </w:r>
          </w:p>
        </w:tc>
        <w:tc>
          <w:tcPr>
            <w:tcW w:w="722" w:type="pct"/>
            <w:vAlign w:val="center"/>
            <w:hideMark/>
          </w:tcPr>
          <w:p w14:paraId="6C7EB08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56.2</w:t>
            </w:r>
          </w:p>
        </w:tc>
        <w:tc>
          <w:tcPr>
            <w:tcW w:w="722" w:type="pct"/>
            <w:vAlign w:val="center"/>
            <w:hideMark/>
          </w:tcPr>
          <w:p w14:paraId="53463BD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76.0</w:t>
            </w:r>
          </w:p>
        </w:tc>
      </w:tr>
      <w:tr w:rsidR="00FF2875" w:rsidRPr="00FF2875" w14:paraId="6CFCB471" w14:textId="77777777" w:rsidTr="00ED33E1">
        <w:tc>
          <w:tcPr>
            <w:tcW w:w="1555" w:type="pct"/>
            <w:vAlign w:val="center"/>
            <w:hideMark/>
          </w:tcPr>
          <w:p w14:paraId="79D873A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48 h</w:t>
            </w:r>
          </w:p>
        </w:tc>
        <w:tc>
          <w:tcPr>
            <w:tcW w:w="640" w:type="pct"/>
            <w:vAlign w:val="center"/>
            <w:hideMark/>
          </w:tcPr>
          <w:p w14:paraId="7FDA53F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16.0</w:t>
            </w:r>
          </w:p>
        </w:tc>
        <w:tc>
          <w:tcPr>
            <w:tcW w:w="640" w:type="pct"/>
            <w:vAlign w:val="center"/>
            <w:hideMark/>
          </w:tcPr>
          <w:p w14:paraId="75D50E4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32.0</w:t>
            </w:r>
          </w:p>
        </w:tc>
        <w:tc>
          <w:tcPr>
            <w:tcW w:w="722" w:type="pct"/>
            <w:vAlign w:val="center"/>
            <w:hideMark/>
          </w:tcPr>
          <w:p w14:paraId="09911C3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53.0</w:t>
            </w:r>
          </w:p>
        </w:tc>
        <w:tc>
          <w:tcPr>
            <w:tcW w:w="722" w:type="pct"/>
            <w:vAlign w:val="center"/>
            <w:hideMark/>
          </w:tcPr>
          <w:p w14:paraId="1EF38DB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75.0</w:t>
            </w:r>
          </w:p>
        </w:tc>
        <w:tc>
          <w:tcPr>
            <w:tcW w:w="722" w:type="pct"/>
            <w:vAlign w:val="center"/>
            <w:hideMark/>
          </w:tcPr>
          <w:p w14:paraId="00919B3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89.0</w:t>
            </w:r>
          </w:p>
        </w:tc>
      </w:tr>
      <w:tr w:rsidR="00FF2875" w:rsidRPr="00FF2875" w14:paraId="0A537690" w14:textId="77777777" w:rsidTr="00ED33E1">
        <w:tc>
          <w:tcPr>
            <w:tcW w:w="1555" w:type="pct"/>
            <w:vAlign w:val="center"/>
            <w:hideMark/>
          </w:tcPr>
          <w:p w14:paraId="35A351F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640" w:type="pct"/>
            <w:vAlign w:val="center"/>
            <w:hideMark/>
          </w:tcPr>
          <w:p w14:paraId="558CE40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w:t>
            </w:r>
          </w:p>
        </w:tc>
        <w:tc>
          <w:tcPr>
            <w:tcW w:w="640" w:type="pct"/>
            <w:vAlign w:val="center"/>
            <w:hideMark/>
          </w:tcPr>
          <w:p w14:paraId="19148BD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14.5</w:t>
            </w:r>
          </w:p>
        </w:tc>
        <w:tc>
          <w:tcPr>
            <w:tcW w:w="722" w:type="pct"/>
            <w:vAlign w:val="center"/>
            <w:hideMark/>
          </w:tcPr>
          <w:p w14:paraId="444603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29.5</w:t>
            </w:r>
          </w:p>
        </w:tc>
        <w:tc>
          <w:tcPr>
            <w:tcW w:w="722" w:type="pct"/>
            <w:vAlign w:val="center"/>
            <w:hideMark/>
          </w:tcPr>
          <w:p w14:paraId="4D045FB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50.8</w:t>
            </w:r>
          </w:p>
        </w:tc>
        <w:tc>
          <w:tcPr>
            <w:tcW w:w="722" w:type="pct"/>
            <w:vAlign w:val="center"/>
            <w:hideMark/>
          </w:tcPr>
          <w:p w14:paraId="3BD8E1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71.8</w:t>
            </w:r>
          </w:p>
        </w:tc>
      </w:tr>
      <w:tr w:rsidR="00FF2875" w:rsidRPr="00FF2875" w14:paraId="3C53677E" w14:textId="77777777" w:rsidTr="00ED33E1">
        <w:tc>
          <w:tcPr>
            <w:tcW w:w="1555" w:type="pct"/>
            <w:vAlign w:val="center"/>
            <w:hideMark/>
          </w:tcPr>
          <w:p w14:paraId="3EF82CD5"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640" w:type="pct"/>
            <w:vAlign w:val="center"/>
            <w:hideMark/>
          </w:tcPr>
          <w:p w14:paraId="51DCBBE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13.0</w:t>
            </w:r>
          </w:p>
        </w:tc>
        <w:tc>
          <w:tcPr>
            <w:tcW w:w="640" w:type="pct"/>
            <w:vAlign w:val="center"/>
            <w:hideMark/>
          </w:tcPr>
          <w:p w14:paraId="1C213C3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27.0</w:t>
            </w:r>
          </w:p>
        </w:tc>
        <w:tc>
          <w:tcPr>
            <w:tcW w:w="722" w:type="pct"/>
            <w:vAlign w:val="center"/>
            <w:hideMark/>
          </w:tcPr>
          <w:p w14:paraId="420F3B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48.0</w:t>
            </w:r>
          </w:p>
        </w:tc>
        <w:tc>
          <w:tcPr>
            <w:tcW w:w="722" w:type="pct"/>
            <w:vAlign w:val="center"/>
            <w:hideMark/>
          </w:tcPr>
          <w:p w14:paraId="5D6E834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70.0</w:t>
            </w:r>
          </w:p>
        </w:tc>
        <w:tc>
          <w:tcPr>
            <w:tcW w:w="722" w:type="pct"/>
            <w:vAlign w:val="center"/>
            <w:hideMark/>
          </w:tcPr>
          <w:p w14:paraId="73AFDA3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86.0</w:t>
            </w:r>
          </w:p>
        </w:tc>
      </w:tr>
      <w:tr w:rsidR="00FF2875" w:rsidRPr="00FF2875" w14:paraId="262D978A" w14:textId="77777777" w:rsidTr="00ED33E1">
        <w:tc>
          <w:tcPr>
            <w:tcW w:w="1555" w:type="pct"/>
            <w:vAlign w:val="center"/>
            <w:hideMark/>
          </w:tcPr>
          <w:p w14:paraId="66B61BD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24 h</w:t>
            </w:r>
          </w:p>
        </w:tc>
        <w:tc>
          <w:tcPr>
            <w:tcW w:w="640" w:type="pct"/>
            <w:vAlign w:val="center"/>
            <w:hideMark/>
          </w:tcPr>
          <w:p w14:paraId="7356395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5.4</w:t>
            </w:r>
          </w:p>
        </w:tc>
        <w:tc>
          <w:tcPr>
            <w:tcW w:w="640" w:type="pct"/>
            <w:vAlign w:val="center"/>
            <w:hideMark/>
          </w:tcPr>
          <w:p w14:paraId="4DE236E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12.4</w:t>
            </w:r>
          </w:p>
        </w:tc>
        <w:tc>
          <w:tcPr>
            <w:tcW w:w="722" w:type="pct"/>
            <w:vAlign w:val="center"/>
            <w:hideMark/>
          </w:tcPr>
          <w:p w14:paraId="7A60878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25.8</w:t>
            </w:r>
          </w:p>
        </w:tc>
        <w:tc>
          <w:tcPr>
            <w:tcW w:w="722" w:type="pct"/>
            <w:vAlign w:val="center"/>
            <w:hideMark/>
          </w:tcPr>
          <w:p w14:paraId="643CBA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46.2</w:t>
            </w:r>
          </w:p>
        </w:tc>
        <w:tc>
          <w:tcPr>
            <w:tcW w:w="722" w:type="pct"/>
            <w:vAlign w:val="center"/>
            <w:hideMark/>
          </w:tcPr>
          <w:p w14:paraId="08CFC7B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67.9</w:t>
            </w:r>
          </w:p>
        </w:tc>
      </w:tr>
      <w:tr w:rsidR="00FF2875" w:rsidRPr="00FF2875" w14:paraId="2C9A77C0" w14:textId="77777777" w:rsidTr="00ED33E1">
        <w:tc>
          <w:tcPr>
            <w:tcW w:w="1555" w:type="pct"/>
            <w:vAlign w:val="center"/>
            <w:hideMark/>
          </w:tcPr>
          <w:p w14:paraId="3E1B5DB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48 h</w:t>
            </w:r>
          </w:p>
        </w:tc>
        <w:tc>
          <w:tcPr>
            <w:tcW w:w="640" w:type="pct"/>
            <w:vAlign w:val="center"/>
            <w:hideMark/>
          </w:tcPr>
          <w:p w14:paraId="3AE7852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11.0</w:t>
            </w:r>
          </w:p>
        </w:tc>
        <w:tc>
          <w:tcPr>
            <w:tcW w:w="640" w:type="pct"/>
            <w:vAlign w:val="center"/>
            <w:hideMark/>
          </w:tcPr>
          <w:p w14:paraId="5EED230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24.0</w:t>
            </w:r>
          </w:p>
        </w:tc>
        <w:tc>
          <w:tcPr>
            <w:tcW w:w="722" w:type="pct"/>
            <w:vAlign w:val="center"/>
            <w:hideMark/>
          </w:tcPr>
          <w:p w14:paraId="4A65C44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44.0</w:t>
            </w:r>
          </w:p>
        </w:tc>
        <w:tc>
          <w:tcPr>
            <w:tcW w:w="722" w:type="pct"/>
            <w:vAlign w:val="center"/>
            <w:hideMark/>
          </w:tcPr>
          <w:p w14:paraId="3D27672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66.0</w:t>
            </w:r>
          </w:p>
        </w:tc>
        <w:tc>
          <w:tcPr>
            <w:tcW w:w="722" w:type="pct"/>
            <w:vAlign w:val="center"/>
            <w:hideMark/>
          </w:tcPr>
          <w:p w14:paraId="2BAD261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r>
    </w:tbl>
    <w:p w14:paraId="3CF0DA37" w14:textId="3743FA44" w:rsidR="00FF2875" w:rsidRPr="00FF2875" w:rsidRDefault="00FF2875" w:rsidP="00537280">
      <w:pPr>
        <w:spacing w:line="360" w:lineRule="auto"/>
        <w:jc w:val="both"/>
        <w:rPr>
          <w:rFonts w:ascii="Times New Roman" w:hAnsi="Times New Roman" w:cs="Times New Roman"/>
          <w:sz w:val="24"/>
          <w:szCs w:val="24"/>
        </w:rPr>
      </w:pPr>
    </w:p>
    <w:p w14:paraId="5F9EE789" w14:textId="57CDDE06"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LC₅₀ values of plant extracts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Probit analysis of mortality data revealed that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exhibited the lowest LC₅₀ values across all mosquito species, indicating the highest larvicidal potency</w:t>
      </w:r>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5</w:t>
      </w:r>
      <w:r w:rsidR="00081680"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LC₅₀ values were lowest for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(100 ppm), followed by </w:t>
      </w:r>
      <w:proofErr w:type="spellStart"/>
      <w:r w:rsidRPr="00FF2875">
        <w:rPr>
          <w:rFonts w:ascii="Times New Roman" w:hAnsi="Times New Roman" w:cs="Times New Roman"/>
          <w:i/>
          <w:iCs/>
          <w:sz w:val="24"/>
          <w:szCs w:val="24"/>
        </w:rPr>
        <w:t>Cx</w:t>
      </w:r>
      <w:proofErr w:type="spellEnd"/>
      <w:r w:rsidRPr="00FF2875">
        <w:rPr>
          <w:rFonts w:ascii="Times New Roman" w:hAnsi="Times New Roman" w:cs="Times New Roman"/>
          <w:i/>
          <w:iCs/>
          <w:sz w:val="24"/>
          <w:szCs w:val="24"/>
        </w:rPr>
        <w:t xml:space="preserve">. </w:t>
      </w:r>
      <w:proofErr w:type="spellStart"/>
      <w:r w:rsidRPr="00FF2875">
        <w:rPr>
          <w:rFonts w:ascii="Times New Roman" w:hAnsi="Times New Roman" w:cs="Times New Roman"/>
          <w:i/>
          <w:iCs/>
          <w:sz w:val="24"/>
          <w:szCs w:val="24"/>
        </w:rPr>
        <w:t>quinquefasciatus</w:t>
      </w:r>
      <w:proofErr w:type="spellEnd"/>
      <w:r w:rsidRPr="00FF2875">
        <w:rPr>
          <w:rFonts w:ascii="Times New Roman" w:hAnsi="Times New Roman" w:cs="Times New Roman"/>
          <w:sz w:val="24"/>
          <w:szCs w:val="24"/>
        </w:rPr>
        <w:t xml:space="preserve"> (120 ppm) and </w:t>
      </w:r>
      <w:r w:rsidRPr="00FF2875">
        <w:rPr>
          <w:rFonts w:ascii="Times New Roman" w:hAnsi="Times New Roman" w:cs="Times New Roman"/>
          <w:i/>
          <w:iCs/>
          <w:sz w:val="24"/>
          <w:szCs w:val="24"/>
        </w:rPr>
        <w:t xml:space="preserve">An.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(135 ppm).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showed the highest LC₅₀ values, indicating the least potency.</w:t>
      </w:r>
    </w:p>
    <w:p w14:paraId="6E255021" w14:textId="468195AA"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5</w:t>
      </w:r>
      <w:r w:rsidRPr="00FF2875">
        <w:rPr>
          <w:rFonts w:ascii="Times New Roman" w:hAnsi="Times New Roman" w:cs="Times New Roman"/>
          <w:b/>
          <w:bCs/>
          <w:sz w:val="24"/>
          <w:szCs w:val="24"/>
        </w:rPr>
        <w:t>. LC₅₀ values of plant extracts (24 h exposure)</w:t>
      </w:r>
    </w:p>
    <w:tbl>
      <w:tblPr>
        <w:tblStyle w:val="TableGrid"/>
        <w:tblW w:w="5000" w:type="pct"/>
        <w:tblLook w:val="04A0" w:firstRow="1" w:lastRow="0" w:firstColumn="1" w:lastColumn="0" w:noHBand="0" w:noVBand="1"/>
      </w:tblPr>
      <w:tblGrid>
        <w:gridCol w:w="2245"/>
        <w:gridCol w:w="1639"/>
        <w:gridCol w:w="2061"/>
        <w:gridCol w:w="3071"/>
      </w:tblGrid>
      <w:tr w:rsidR="00FF2875" w:rsidRPr="00FF2875" w14:paraId="36410A3C" w14:textId="77777777" w:rsidTr="00ED33E1">
        <w:tc>
          <w:tcPr>
            <w:tcW w:w="1245" w:type="pct"/>
            <w:vAlign w:val="center"/>
            <w:hideMark/>
          </w:tcPr>
          <w:p w14:paraId="287FE844"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909" w:type="pct"/>
            <w:vAlign w:val="center"/>
            <w:hideMark/>
          </w:tcPr>
          <w:p w14:paraId="4DFE504B"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i/>
                <w:iCs/>
                <w:sz w:val="24"/>
                <w:szCs w:val="24"/>
              </w:rPr>
              <w:t>A. aegypti</w:t>
            </w:r>
          </w:p>
        </w:tc>
        <w:tc>
          <w:tcPr>
            <w:tcW w:w="1143" w:type="pct"/>
            <w:vAlign w:val="center"/>
            <w:hideMark/>
          </w:tcPr>
          <w:p w14:paraId="305B340D"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i/>
                <w:iCs/>
                <w:sz w:val="24"/>
                <w:szCs w:val="24"/>
              </w:rPr>
              <w:t xml:space="preserve">An. </w:t>
            </w:r>
            <w:proofErr w:type="spellStart"/>
            <w:r w:rsidRPr="00FF2875">
              <w:rPr>
                <w:rFonts w:ascii="Times New Roman" w:hAnsi="Times New Roman" w:cs="Times New Roman"/>
                <w:b/>
                <w:bCs/>
                <w:i/>
                <w:iCs/>
                <w:sz w:val="24"/>
                <w:szCs w:val="24"/>
              </w:rPr>
              <w:t>stephensi</w:t>
            </w:r>
            <w:proofErr w:type="spellEnd"/>
          </w:p>
        </w:tc>
        <w:tc>
          <w:tcPr>
            <w:tcW w:w="1703" w:type="pct"/>
            <w:vAlign w:val="center"/>
            <w:hideMark/>
          </w:tcPr>
          <w:p w14:paraId="35E8924B" w14:textId="77777777" w:rsidR="00FF2875" w:rsidRPr="00FF2875" w:rsidRDefault="00FF2875" w:rsidP="00537280">
            <w:pPr>
              <w:spacing w:after="160" w:line="360" w:lineRule="auto"/>
              <w:jc w:val="center"/>
              <w:rPr>
                <w:rFonts w:ascii="Times New Roman" w:hAnsi="Times New Roman" w:cs="Times New Roman"/>
                <w:b/>
                <w:bCs/>
                <w:sz w:val="24"/>
                <w:szCs w:val="24"/>
              </w:rPr>
            </w:pPr>
            <w:proofErr w:type="spellStart"/>
            <w:r w:rsidRPr="00FF2875">
              <w:rPr>
                <w:rFonts w:ascii="Times New Roman" w:hAnsi="Times New Roman" w:cs="Times New Roman"/>
                <w:b/>
                <w:bCs/>
                <w:i/>
                <w:iCs/>
                <w:sz w:val="24"/>
                <w:szCs w:val="24"/>
              </w:rPr>
              <w:t>Cx</w:t>
            </w:r>
            <w:proofErr w:type="spellEnd"/>
            <w:r w:rsidRPr="00FF2875">
              <w:rPr>
                <w:rFonts w:ascii="Times New Roman" w:hAnsi="Times New Roman" w:cs="Times New Roman"/>
                <w:b/>
                <w:bCs/>
                <w:i/>
                <w:iCs/>
                <w:sz w:val="24"/>
                <w:szCs w:val="24"/>
              </w:rPr>
              <w:t xml:space="preserve">. </w:t>
            </w:r>
            <w:proofErr w:type="spellStart"/>
            <w:r w:rsidRPr="00FF2875">
              <w:rPr>
                <w:rFonts w:ascii="Times New Roman" w:hAnsi="Times New Roman" w:cs="Times New Roman"/>
                <w:b/>
                <w:bCs/>
                <w:i/>
                <w:iCs/>
                <w:sz w:val="24"/>
                <w:szCs w:val="24"/>
              </w:rPr>
              <w:t>quinquefasciatus</w:t>
            </w:r>
            <w:proofErr w:type="spellEnd"/>
          </w:p>
        </w:tc>
      </w:tr>
      <w:tr w:rsidR="00FF2875" w:rsidRPr="00FF2875" w14:paraId="3D1207E8" w14:textId="77777777" w:rsidTr="00ED33E1">
        <w:tc>
          <w:tcPr>
            <w:tcW w:w="1245" w:type="pct"/>
            <w:vAlign w:val="center"/>
            <w:hideMark/>
          </w:tcPr>
          <w:p w14:paraId="7832621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p>
        </w:tc>
        <w:tc>
          <w:tcPr>
            <w:tcW w:w="909" w:type="pct"/>
            <w:vAlign w:val="center"/>
            <w:hideMark/>
          </w:tcPr>
          <w:p w14:paraId="3FEA9C7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100 ppm</w:t>
            </w:r>
          </w:p>
        </w:tc>
        <w:tc>
          <w:tcPr>
            <w:tcW w:w="1143" w:type="pct"/>
            <w:vAlign w:val="center"/>
            <w:hideMark/>
          </w:tcPr>
          <w:p w14:paraId="2682833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135 ppm</w:t>
            </w:r>
          </w:p>
        </w:tc>
        <w:tc>
          <w:tcPr>
            <w:tcW w:w="1703" w:type="pct"/>
            <w:vAlign w:val="center"/>
            <w:hideMark/>
          </w:tcPr>
          <w:p w14:paraId="77EF941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120 ppm</w:t>
            </w:r>
          </w:p>
        </w:tc>
      </w:tr>
      <w:tr w:rsidR="00FF2875" w:rsidRPr="00FF2875" w14:paraId="21458B5C" w14:textId="77777777" w:rsidTr="00ED33E1">
        <w:tc>
          <w:tcPr>
            <w:tcW w:w="1245" w:type="pct"/>
            <w:vAlign w:val="center"/>
            <w:hideMark/>
          </w:tcPr>
          <w:p w14:paraId="77C6345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p>
        </w:tc>
        <w:tc>
          <w:tcPr>
            <w:tcW w:w="909" w:type="pct"/>
            <w:vAlign w:val="center"/>
            <w:hideMark/>
          </w:tcPr>
          <w:p w14:paraId="09D3888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125 ppm</w:t>
            </w:r>
          </w:p>
        </w:tc>
        <w:tc>
          <w:tcPr>
            <w:tcW w:w="1143" w:type="pct"/>
            <w:vAlign w:val="center"/>
            <w:hideMark/>
          </w:tcPr>
          <w:p w14:paraId="1329C4D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160 ppm</w:t>
            </w:r>
          </w:p>
        </w:tc>
        <w:tc>
          <w:tcPr>
            <w:tcW w:w="1703" w:type="pct"/>
            <w:vAlign w:val="center"/>
            <w:hideMark/>
          </w:tcPr>
          <w:p w14:paraId="44703F9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 ppm</w:t>
            </w:r>
          </w:p>
        </w:tc>
      </w:tr>
      <w:tr w:rsidR="00FF2875" w:rsidRPr="00FF2875" w14:paraId="57A9A01F" w14:textId="77777777" w:rsidTr="00ED33E1">
        <w:tc>
          <w:tcPr>
            <w:tcW w:w="1245" w:type="pct"/>
            <w:vAlign w:val="center"/>
            <w:hideMark/>
          </w:tcPr>
          <w:p w14:paraId="03FFFEA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lastRenderedPageBreak/>
              <w:t>V. negundo</w:t>
            </w:r>
          </w:p>
        </w:tc>
        <w:tc>
          <w:tcPr>
            <w:tcW w:w="909" w:type="pct"/>
            <w:vAlign w:val="center"/>
            <w:hideMark/>
          </w:tcPr>
          <w:p w14:paraId="0ED9D37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150 ppm</w:t>
            </w:r>
          </w:p>
        </w:tc>
        <w:tc>
          <w:tcPr>
            <w:tcW w:w="1143" w:type="pct"/>
            <w:vAlign w:val="center"/>
            <w:hideMark/>
          </w:tcPr>
          <w:p w14:paraId="5591706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185 ppm</w:t>
            </w:r>
          </w:p>
        </w:tc>
        <w:tc>
          <w:tcPr>
            <w:tcW w:w="1703" w:type="pct"/>
            <w:vAlign w:val="center"/>
            <w:hideMark/>
          </w:tcPr>
          <w:p w14:paraId="47926E9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165 ppm</w:t>
            </w:r>
          </w:p>
        </w:tc>
      </w:tr>
      <w:tr w:rsidR="00FF2875" w:rsidRPr="00FF2875" w14:paraId="43D65171" w14:textId="77777777" w:rsidTr="00ED33E1">
        <w:tc>
          <w:tcPr>
            <w:tcW w:w="1245" w:type="pct"/>
            <w:vAlign w:val="center"/>
            <w:hideMark/>
          </w:tcPr>
          <w:p w14:paraId="2170BC7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p>
        </w:tc>
        <w:tc>
          <w:tcPr>
            <w:tcW w:w="909" w:type="pct"/>
            <w:vAlign w:val="center"/>
            <w:hideMark/>
          </w:tcPr>
          <w:p w14:paraId="7CFB476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180 ppm</w:t>
            </w:r>
          </w:p>
        </w:tc>
        <w:tc>
          <w:tcPr>
            <w:tcW w:w="1143" w:type="pct"/>
            <w:vAlign w:val="center"/>
            <w:hideMark/>
          </w:tcPr>
          <w:p w14:paraId="4EEFCF6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220 ppm</w:t>
            </w:r>
          </w:p>
        </w:tc>
        <w:tc>
          <w:tcPr>
            <w:tcW w:w="1703" w:type="pct"/>
            <w:vAlign w:val="center"/>
            <w:hideMark/>
          </w:tcPr>
          <w:p w14:paraId="60F576A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195 ppm</w:t>
            </w:r>
          </w:p>
        </w:tc>
      </w:tr>
      <w:tr w:rsidR="00FF2875" w:rsidRPr="00FF2875" w14:paraId="37D74EE3" w14:textId="77777777" w:rsidTr="00ED33E1">
        <w:tc>
          <w:tcPr>
            <w:tcW w:w="1245" w:type="pct"/>
            <w:vAlign w:val="center"/>
            <w:hideMark/>
          </w:tcPr>
          <w:p w14:paraId="0FFF354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p>
        </w:tc>
        <w:tc>
          <w:tcPr>
            <w:tcW w:w="909" w:type="pct"/>
            <w:vAlign w:val="center"/>
            <w:hideMark/>
          </w:tcPr>
          <w:p w14:paraId="4CAC3E8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205 ppm</w:t>
            </w:r>
          </w:p>
        </w:tc>
        <w:tc>
          <w:tcPr>
            <w:tcW w:w="1143" w:type="pct"/>
            <w:vAlign w:val="center"/>
            <w:hideMark/>
          </w:tcPr>
          <w:p w14:paraId="06E7E1C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 ppm</w:t>
            </w:r>
          </w:p>
        </w:tc>
        <w:tc>
          <w:tcPr>
            <w:tcW w:w="1703" w:type="pct"/>
            <w:vAlign w:val="center"/>
            <w:hideMark/>
          </w:tcPr>
          <w:p w14:paraId="08CCE76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225 ppm</w:t>
            </w:r>
          </w:p>
        </w:tc>
      </w:tr>
    </w:tbl>
    <w:p w14:paraId="1B40F2ED" w14:textId="77777777" w:rsidR="00ED33E1" w:rsidRPr="00537280" w:rsidRDefault="00ED33E1" w:rsidP="00537280">
      <w:pPr>
        <w:spacing w:line="360" w:lineRule="auto"/>
        <w:jc w:val="both"/>
        <w:rPr>
          <w:rFonts w:ascii="Times New Roman" w:hAnsi="Times New Roman" w:cs="Times New Roman"/>
          <w:sz w:val="24"/>
          <w:szCs w:val="24"/>
        </w:rPr>
      </w:pPr>
    </w:p>
    <w:p w14:paraId="09038DBA" w14:textId="0D5B94D7"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sz w:val="24"/>
          <w:szCs w:val="24"/>
        </w:rPr>
        <w:t>Overall larvicidal potency followed the order:</w:t>
      </w:r>
      <w:r w:rsidR="00ED33E1" w:rsidRPr="00537280">
        <w:rPr>
          <w:rFonts w:ascii="Times New Roman" w:hAnsi="Times New Roman" w:cs="Times New Roman"/>
          <w:sz w:val="24"/>
          <w:szCs w:val="24"/>
        </w:rPr>
        <w:t xml:space="preserve"> </w:t>
      </w:r>
      <w:r w:rsidRPr="00FF2875">
        <w:rPr>
          <w:rFonts w:ascii="Times New Roman" w:hAnsi="Times New Roman" w:cs="Times New Roman"/>
          <w:b/>
          <w:bCs/>
          <w:i/>
          <w:iCs/>
          <w:sz w:val="24"/>
          <w:szCs w:val="24"/>
        </w:rPr>
        <w:t xml:space="preserve">A. indica </w:t>
      </w:r>
      <w:r w:rsidRPr="00FF2875">
        <w:rPr>
          <w:rFonts w:ascii="Times New Roman" w:hAnsi="Times New Roman" w:cs="Times New Roman"/>
          <w:b/>
          <w:bCs/>
          <w:sz w:val="24"/>
          <w:szCs w:val="24"/>
        </w:rPr>
        <w:t>&gt;</w:t>
      </w:r>
      <w:r w:rsidRPr="00FF2875">
        <w:rPr>
          <w:rFonts w:ascii="Times New Roman" w:hAnsi="Times New Roman" w:cs="Times New Roman"/>
          <w:b/>
          <w:bCs/>
          <w:i/>
          <w:iCs/>
          <w:sz w:val="24"/>
          <w:szCs w:val="24"/>
        </w:rPr>
        <w:t xml:space="preserve"> L. camara </w:t>
      </w:r>
      <w:r w:rsidRPr="00FF2875">
        <w:rPr>
          <w:rFonts w:ascii="Times New Roman" w:hAnsi="Times New Roman" w:cs="Times New Roman"/>
          <w:b/>
          <w:bCs/>
          <w:sz w:val="24"/>
          <w:szCs w:val="24"/>
        </w:rPr>
        <w:t>&gt;</w:t>
      </w:r>
      <w:r w:rsidRPr="00FF2875">
        <w:rPr>
          <w:rFonts w:ascii="Times New Roman" w:hAnsi="Times New Roman" w:cs="Times New Roman"/>
          <w:b/>
          <w:bCs/>
          <w:i/>
          <w:iCs/>
          <w:sz w:val="24"/>
          <w:szCs w:val="24"/>
        </w:rPr>
        <w:t xml:space="preserve"> V. negundo</w:t>
      </w:r>
      <w:r w:rsidRPr="00FF2875">
        <w:rPr>
          <w:rFonts w:ascii="Times New Roman" w:hAnsi="Times New Roman" w:cs="Times New Roman"/>
          <w:b/>
          <w:bCs/>
          <w:sz w:val="24"/>
          <w:szCs w:val="24"/>
        </w:rPr>
        <w:t xml:space="preserve"> &gt;</w:t>
      </w:r>
      <w:r w:rsidRPr="00FF2875">
        <w:rPr>
          <w:rFonts w:ascii="Times New Roman" w:hAnsi="Times New Roman" w:cs="Times New Roman"/>
          <w:b/>
          <w:bCs/>
          <w:i/>
          <w:iCs/>
          <w:sz w:val="24"/>
          <w:szCs w:val="24"/>
        </w:rPr>
        <w:t xml:space="preserve"> O. </w:t>
      </w:r>
      <w:proofErr w:type="spellStart"/>
      <w:r w:rsidRPr="00FF2875">
        <w:rPr>
          <w:rFonts w:ascii="Times New Roman" w:hAnsi="Times New Roman" w:cs="Times New Roman"/>
          <w:b/>
          <w:bCs/>
          <w:i/>
          <w:iCs/>
          <w:sz w:val="24"/>
          <w:szCs w:val="24"/>
        </w:rPr>
        <w:t>tenuiflorum</w:t>
      </w:r>
      <w:proofErr w:type="spellEnd"/>
      <w:r w:rsidRPr="00FF2875">
        <w:rPr>
          <w:rFonts w:ascii="Times New Roman" w:hAnsi="Times New Roman" w:cs="Times New Roman"/>
          <w:b/>
          <w:bCs/>
          <w:sz w:val="24"/>
          <w:szCs w:val="24"/>
        </w:rPr>
        <w:t xml:space="preserve"> &gt;</w:t>
      </w:r>
      <w:r w:rsidRPr="00FF2875">
        <w:rPr>
          <w:rFonts w:ascii="Times New Roman" w:hAnsi="Times New Roman" w:cs="Times New Roman"/>
          <w:b/>
          <w:bCs/>
          <w:i/>
          <w:iCs/>
          <w:sz w:val="24"/>
          <w:szCs w:val="24"/>
        </w:rPr>
        <w:t xml:space="preserve"> C. gigantea</w:t>
      </w:r>
    </w:p>
    <w:p w14:paraId="69953F57" w14:textId="4448AC7B"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Comparative larvicidal effectiveness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Comparative analysis confirmed that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was the most effective larvicidal agent among the tested plants, followed by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consistently showed the lowest activity.</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Among mosquito species,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was the most susceptible, while </w:t>
      </w:r>
      <w:r w:rsidRPr="00FF2875">
        <w:rPr>
          <w:rFonts w:ascii="Times New Roman" w:hAnsi="Times New Roman" w:cs="Times New Roman"/>
          <w:i/>
          <w:iCs/>
          <w:sz w:val="24"/>
          <w:szCs w:val="24"/>
        </w:rPr>
        <w:t xml:space="preserve">An.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was the least susceptible. This variation suggests species-specific differences in sensitivity to plant-derived bioactive compounds.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A clear time-dependent increase in mortality was also observed, indicating that prolonged exposure enhances larvicidal effectiveness.</w:t>
      </w:r>
    </w:p>
    <w:p w14:paraId="73A793EB" w14:textId="782D718D" w:rsidR="00E7274C" w:rsidRPr="00E7274C"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4</w:t>
      </w:r>
      <w:r w:rsidR="00E7274C" w:rsidRPr="00537280">
        <w:rPr>
          <w:rFonts w:ascii="Times New Roman" w:hAnsi="Times New Roman" w:cs="Times New Roman"/>
          <w:b/>
          <w:bCs/>
          <w:sz w:val="24"/>
          <w:szCs w:val="24"/>
        </w:rPr>
        <w:t>. DISCUSSION</w:t>
      </w:r>
    </w:p>
    <w:p w14:paraId="7EE2858B" w14:textId="632A7B8B"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The present study demonstrated that all five selected plant extracts possessed larvicidal activity against </w:t>
      </w:r>
      <w:r w:rsidRPr="00E7274C">
        <w:rPr>
          <w:rFonts w:ascii="Times New Roman" w:hAnsi="Times New Roman" w:cs="Times New Roman"/>
          <w:i/>
          <w:iCs/>
          <w:sz w:val="24"/>
          <w:szCs w:val="24"/>
        </w:rPr>
        <w:t>Aedes aegypti</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 xml:space="preserve">Anopheles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 xml:space="preserve">Culex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The activity increased with increasing concentration and exposure time, indicating a clear </w:t>
      </w:r>
      <w:r w:rsidR="004A3F3F" w:rsidRPr="00537280">
        <w:rPr>
          <w:rFonts w:ascii="Times New Roman" w:hAnsi="Times New Roman" w:cs="Times New Roman"/>
          <w:sz w:val="24"/>
          <w:szCs w:val="24"/>
        </w:rPr>
        <w:t>dose- and time-dependent</w:t>
      </w:r>
      <w:r w:rsidRPr="00E7274C">
        <w:rPr>
          <w:rFonts w:ascii="Times New Roman" w:hAnsi="Times New Roman" w:cs="Times New Roman"/>
          <w:sz w:val="24"/>
          <w:szCs w:val="24"/>
        </w:rPr>
        <w:t xml:space="preserve"> response. Similar patterns have been widely reported for botanical mosquito larvicides, where increasing extract concentration generally produces greater larval mortality (Ghosh et al., 2012; Pavela et al., 2019; Ganesan et al., 2023).</w:t>
      </w:r>
    </w:p>
    <w:p w14:paraId="532A2A58" w14:textId="1BF3E02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Among the tested plants, </w:t>
      </w:r>
      <w:proofErr w:type="spellStart"/>
      <w:r w:rsidRPr="00E7274C">
        <w:rPr>
          <w:rFonts w:ascii="Times New Roman" w:hAnsi="Times New Roman" w:cs="Times New Roman"/>
          <w:i/>
          <w:iCs/>
          <w:sz w:val="24"/>
          <w:szCs w:val="24"/>
        </w:rPr>
        <w:t>Azadirachta</w:t>
      </w:r>
      <w:proofErr w:type="spellEnd"/>
      <w:r w:rsidRPr="00E7274C">
        <w:rPr>
          <w:rFonts w:ascii="Times New Roman" w:hAnsi="Times New Roman" w:cs="Times New Roman"/>
          <w:i/>
          <w:iCs/>
          <w:sz w:val="24"/>
          <w:szCs w:val="24"/>
        </w:rPr>
        <w:t xml:space="preserve"> indica</w:t>
      </w:r>
      <w:r w:rsidRPr="00E7274C">
        <w:rPr>
          <w:rFonts w:ascii="Times New Roman" w:hAnsi="Times New Roman" w:cs="Times New Roman"/>
          <w:sz w:val="24"/>
          <w:szCs w:val="24"/>
        </w:rPr>
        <w:t xml:space="preserve"> showed the greatest overall activity, with the lowest LC₅₀ values against all three mosquito species. This finding is consistent with the well-established insecticidal properties of neem. Neem-derived preparations have demonstrated larvicidal activity against mosquitoes, and azadirachtin and related limonoids are considered important contributors to its insecticidal effects (</w:t>
      </w:r>
      <w:proofErr w:type="spellStart"/>
      <w:r w:rsidRPr="00E7274C">
        <w:rPr>
          <w:rFonts w:ascii="Times New Roman" w:hAnsi="Times New Roman" w:cs="Times New Roman"/>
          <w:sz w:val="24"/>
          <w:szCs w:val="24"/>
        </w:rPr>
        <w:t>Wandscheer</w:t>
      </w:r>
      <w:proofErr w:type="spellEnd"/>
      <w:r w:rsidRPr="00E7274C">
        <w:rPr>
          <w:rFonts w:ascii="Times New Roman" w:hAnsi="Times New Roman" w:cs="Times New Roman"/>
          <w:sz w:val="24"/>
          <w:szCs w:val="24"/>
        </w:rPr>
        <w:t xml:space="preserve"> et al., 2004; Dua et al., 2009). </w:t>
      </w:r>
      <w:r w:rsidR="00892133" w:rsidRPr="00537280">
        <w:rPr>
          <w:rFonts w:ascii="Times New Roman" w:hAnsi="Times New Roman" w:cs="Times New Roman"/>
          <w:sz w:val="24"/>
          <w:szCs w:val="24"/>
        </w:rPr>
        <w:t xml:space="preserve">The broad range of phytochemical groups detected in </w:t>
      </w:r>
      <w:r w:rsidR="00892133" w:rsidRPr="00537280">
        <w:rPr>
          <w:rFonts w:ascii="Times New Roman" w:hAnsi="Times New Roman" w:cs="Times New Roman"/>
          <w:i/>
          <w:iCs/>
          <w:sz w:val="24"/>
          <w:szCs w:val="24"/>
        </w:rPr>
        <w:t>A. indica</w:t>
      </w:r>
      <w:r w:rsidR="00892133" w:rsidRPr="00537280">
        <w:rPr>
          <w:rFonts w:ascii="Times New Roman" w:hAnsi="Times New Roman" w:cs="Times New Roman"/>
          <w:sz w:val="24"/>
          <w:szCs w:val="24"/>
        </w:rPr>
        <w:t xml:space="preserve"> may contribute to its observed larvicidal activity; however, the present qualitative screening does not establish which constituents are responsible for the effect.</w:t>
      </w:r>
    </w:p>
    <w:p w14:paraId="13A74DC2" w14:textId="7777777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i/>
          <w:iCs/>
          <w:sz w:val="24"/>
          <w:szCs w:val="24"/>
        </w:rPr>
        <w:t>Lantana camara</w:t>
      </w:r>
      <w:r w:rsidRPr="00E7274C">
        <w:rPr>
          <w:rFonts w:ascii="Times New Roman" w:hAnsi="Times New Roman" w:cs="Times New Roman"/>
          <w:sz w:val="24"/>
          <w:szCs w:val="24"/>
        </w:rPr>
        <w:t xml:space="preserve"> was the second most effective extract. Previous studies have reported significant larvicidal activity of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and </w:t>
      </w:r>
      <w:proofErr w:type="spellStart"/>
      <w:r w:rsidRPr="00E7274C">
        <w:rPr>
          <w:rFonts w:ascii="Times New Roman" w:hAnsi="Times New Roman" w:cs="Times New Roman"/>
          <w:i/>
          <w:iCs/>
          <w:sz w:val="24"/>
          <w:szCs w:val="24"/>
        </w:rPr>
        <w:t>Cx</w:t>
      </w:r>
      <w:proofErr w:type="spellEnd"/>
      <w:r w:rsidRPr="00E7274C">
        <w:rPr>
          <w:rFonts w:ascii="Times New Roman" w:hAnsi="Times New Roman" w:cs="Times New Roman"/>
          <w:i/>
          <w:iCs/>
          <w:sz w:val="24"/>
          <w:szCs w:val="24"/>
        </w:rPr>
        <w:t xml:space="preserve">.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Hung </w:t>
      </w:r>
      <w:r w:rsidRPr="00E7274C">
        <w:rPr>
          <w:rFonts w:ascii="Times New Roman" w:hAnsi="Times New Roman" w:cs="Times New Roman"/>
          <w:sz w:val="24"/>
          <w:szCs w:val="24"/>
        </w:rPr>
        <w:lastRenderedPageBreak/>
        <w:t xml:space="preserve">et al. (2021) reported 24-h LC₅₀ values of 15.1–29.0 </w:t>
      </w:r>
      <w:proofErr w:type="spellStart"/>
      <w:r w:rsidRPr="00E7274C">
        <w:rPr>
          <w:rFonts w:ascii="Times New Roman" w:hAnsi="Times New Roman" w:cs="Times New Roman"/>
          <w:sz w:val="24"/>
          <w:szCs w:val="24"/>
        </w:rPr>
        <w:t>μg</w:t>
      </w:r>
      <w:proofErr w:type="spellEnd"/>
      <w:r w:rsidRPr="00E7274C">
        <w:rPr>
          <w:rFonts w:ascii="Times New Roman" w:hAnsi="Times New Roman" w:cs="Times New Roman"/>
          <w:sz w:val="24"/>
          <w:szCs w:val="24"/>
        </w:rPr>
        <w:t xml:space="preserve">/mL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for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essential oils, although differences in extraction method mean these values cannot be directly compared with the present crude methanolic extract. More recent work has also confirmed the larvicidal potential of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and highlighted its chemical diversity (Sonter et al., 2024). </w:t>
      </w:r>
    </w:p>
    <w:p w14:paraId="145ED283" w14:textId="24EF3425"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i/>
          <w:iCs/>
          <w:sz w:val="24"/>
          <w:szCs w:val="24"/>
        </w:rPr>
        <w:t>Vitex negundo</w:t>
      </w:r>
      <w:r w:rsidRPr="00E7274C">
        <w:rPr>
          <w:rFonts w:ascii="Times New Roman" w:hAnsi="Times New Roman" w:cs="Times New Roman"/>
          <w:sz w:val="24"/>
          <w:szCs w:val="24"/>
        </w:rPr>
        <w:t xml:space="preserve"> showed moderate activity. This agrees with earlier research demonstrating larvicidal effects of </w:t>
      </w:r>
      <w:r w:rsidRPr="00E7274C">
        <w:rPr>
          <w:rFonts w:ascii="Times New Roman" w:hAnsi="Times New Roman" w:cs="Times New Roman"/>
          <w:i/>
          <w:iCs/>
          <w:sz w:val="24"/>
          <w:szCs w:val="24"/>
        </w:rPr>
        <w:t>V. negundo</w:t>
      </w:r>
      <w:r w:rsidRPr="00E7274C">
        <w:rPr>
          <w:rFonts w:ascii="Times New Roman" w:hAnsi="Times New Roman" w:cs="Times New Roman"/>
          <w:sz w:val="24"/>
          <w:szCs w:val="24"/>
        </w:rPr>
        <w:t xml:space="preserve"> leaf extracts against </w:t>
      </w:r>
      <w:r w:rsidRPr="00E7274C">
        <w:rPr>
          <w:rFonts w:ascii="Times New Roman" w:hAnsi="Times New Roman" w:cs="Times New Roman"/>
          <w:i/>
          <w:iCs/>
          <w:sz w:val="24"/>
          <w:szCs w:val="24"/>
        </w:rPr>
        <w:t xml:space="preserve">Culex </w:t>
      </w:r>
      <w:proofErr w:type="spellStart"/>
      <w:r w:rsidRPr="00E7274C">
        <w:rPr>
          <w:rFonts w:ascii="Times New Roman" w:hAnsi="Times New Roman" w:cs="Times New Roman"/>
          <w:i/>
          <w:iCs/>
          <w:sz w:val="24"/>
          <w:szCs w:val="24"/>
        </w:rPr>
        <w:t>tritaeniorhynchus</w:t>
      </w:r>
      <w:proofErr w:type="spellEnd"/>
      <w:r w:rsidRPr="00E7274C">
        <w:rPr>
          <w:rFonts w:ascii="Times New Roman" w:hAnsi="Times New Roman" w:cs="Times New Roman"/>
          <w:sz w:val="24"/>
          <w:szCs w:val="24"/>
        </w:rPr>
        <w:t xml:space="preserve"> and essential oils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w:t>
      </w:r>
      <w:proofErr w:type="spellStart"/>
      <w:r w:rsidRPr="00E7274C">
        <w:rPr>
          <w:rFonts w:ascii="Times New Roman" w:hAnsi="Times New Roman" w:cs="Times New Roman"/>
          <w:sz w:val="24"/>
          <w:szCs w:val="24"/>
        </w:rPr>
        <w:t>Karunamoorthi</w:t>
      </w:r>
      <w:proofErr w:type="spellEnd"/>
      <w:r w:rsidRPr="00E7274C">
        <w:rPr>
          <w:rFonts w:ascii="Times New Roman" w:hAnsi="Times New Roman" w:cs="Times New Roman"/>
          <w:sz w:val="24"/>
          <w:szCs w:val="24"/>
        </w:rPr>
        <w:t xml:space="preserve"> et al., 2008; Chandrasekaran et al., 2019). </w:t>
      </w:r>
      <w:r w:rsidR="00C8038E" w:rsidRPr="00537280">
        <w:rPr>
          <w:rFonts w:ascii="Times New Roman" w:hAnsi="Times New Roman" w:cs="Times New Roman"/>
          <w:sz w:val="24"/>
          <w:szCs w:val="24"/>
        </w:rPr>
        <w:t>The observed activity may be related to the combined effects of terpenoids, flavonoids and other secondary metabolites present in the extract</w:t>
      </w:r>
      <w:r w:rsidRPr="00E7274C">
        <w:rPr>
          <w:rFonts w:ascii="Times New Roman" w:hAnsi="Times New Roman" w:cs="Times New Roman"/>
          <w:sz w:val="24"/>
          <w:szCs w:val="24"/>
        </w:rPr>
        <w:t>.</w:t>
      </w:r>
    </w:p>
    <w:p w14:paraId="14BEA690" w14:textId="5A65FCD0"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The differences among mosquito species are also noteworthy. </w:t>
      </w:r>
      <w:r w:rsidRPr="00E7274C">
        <w:rPr>
          <w:rFonts w:ascii="Times New Roman" w:hAnsi="Times New Roman" w:cs="Times New Roman"/>
          <w:i/>
          <w:iCs/>
          <w:sz w:val="24"/>
          <w:szCs w:val="24"/>
        </w:rPr>
        <w:t>A. aegypti</w:t>
      </w:r>
      <w:r w:rsidRPr="00E7274C">
        <w:rPr>
          <w:rFonts w:ascii="Times New Roman" w:hAnsi="Times New Roman" w:cs="Times New Roman"/>
          <w:sz w:val="24"/>
          <w:szCs w:val="24"/>
        </w:rPr>
        <w:t xml:space="preserve"> showed the greatest susceptibility </w:t>
      </w:r>
      <w:r w:rsidR="00C8038E" w:rsidRPr="00537280">
        <w:rPr>
          <w:rFonts w:ascii="Times New Roman" w:hAnsi="Times New Roman" w:cs="Times New Roman"/>
          <w:sz w:val="24"/>
          <w:szCs w:val="24"/>
        </w:rPr>
        <w:t>in the present study</w:t>
      </w:r>
      <w:r w:rsidRPr="00E7274C">
        <w:rPr>
          <w:rFonts w:ascii="Times New Roman" w:hAnsi="Times New Roman" w:cs="Times New Roman"/>
          <w:sz w:val="24"/>
          <w:szCs w:val="24"/>
        </w:rPr>
        <w:t xml:space="preserve">, whereas </w:t>
      </w:r>
      <w:r w:rsidRPr="00E7274C">
        <w:rPr>
          <w:rFonts w:ascii="Times New Roman" w:hAnsi="Times New Roman" w:cs="Times New Roman"/>
          <w:i/>
          <w:iCs/>
          <w:sz w:val="24"/>
          <w:szCs w:val="24"/>
        </w:rPr>
        <w:t xml:space="preserve">An.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was comparatively less susceptible. Such variation is expected because mosquito species can differ in their physiology, detoxification mechanisms, cuticular characteristics and sensitivity to botanical compounds (Senthil-Nathan, 2020). Similar species-dependent responses have been observed when several plant extracts were tested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 xml:space="preserve">An.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and </w:t>
      </w:r>
      <w:proofErr w:type="spellStart"/>
      <w:r w:rsidRPr="00E7274C">
        <w:rPr>
          <w:rFonts w:ascii="Times New Roman" w:hAnsi="Times New Roman" w:cs="Times New Roman"/>
          <w:i/>
          <w:iCs/>
          <w:sz w:val="24"/>
          <w:szCs w:val="24"/>
        </w:rPr>
        <w:t>Cx</w:t>
      </w:r>
      <w:proofErr w:type="spellEnd"/>
      <w:r w:rsidRPr="00E7274C">
        <w:rPr>
          <w:rFonts w:ascii="Times New Roman" w:hAnsi="Times New Roman" w:cs="Times New Roman"/>
          <w:i/>
          <w:iCs/>
          <w:sz w:val="24"/>
          <w:szCs w:val="24"/>
        </w:rPr>
        <w:t xml:space="preserve">.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under comparable laboratory conditions (Jayaraman et al., 2015). </w:t>
      </w:r>
    </w:p>
    <w:p w14:paraId="710893EA" w14:textId="7777777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The phytochemical screening showed the presence of alkaloids, flavonoids, phenolics, tannins, saponins, terpenoids, steroids and glycosides. These compounds may contribute to larval toxicity through different mechanisms, including interference with feeding, growth, development, respiration and nervous-system function. However, preliminary phytochemical screening cannot establish which particular compound is responsible for mortality. Botanical larvicidal activity is often the result of several compounds acting together (Pavela et al., 2019; Ganesan et al., 2023).</w:t>
      </w:r>
    </w:p>
    <w:p w14:paraId="3CC67534" w14:textId="674F90DD" w:rsidR="0040578B" w:rsidRPr="00537280"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Overall, the findings suggest that </w:t>
      </w:r>
      <w:r w:rsidRPr="00E7274C">
        <w:rPr>
          <w:rFonts w:ascii="Times New Roman" w:hAnsi="Times New Roman" w:cs="Times New Roman"/>
          <w:i/>
          <w:iCs/>
          <w:sz w:val="24"/>
          <w:szCs w:val="24"/>
        </w:rPr>
        <w:t>A. indica</w:t>
      </w:r>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are the most promising candidates among the plants examined. Their potential should, however, be confirmed through laboratory experiments using actual biological replicates, chemical characterization, non-target toxicity assessment and field evaluation before practical application.</w:t>
      </w:r>
    </w:p>
    <w:p w14:paraId="2DE99879" w14:textId="3F5893C6" w:rsidR="00E7274C" w:rsidRPr="00E7274C"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5</w:t>
      </w:r>
      <w:r w:rsidR="00E7274C" w:rsidRPr="00537280">
        <w:rPr>
          <w:rFonts w:ascii="Times New Roman" w:hAnsi="Times New Roman" w:cs="Times New Roman"/>
          <w:b/>
          <w:bCs/>
          <w:sz w:val="24"/>
          <w:szCs w:val="24"/>
        </w:rPr>
        <w:t>. CONCLUSION</w:t>
      </w:r>
    </w:p>
    <w:p w14:paraId="1D3E6F95" w14:textId="40D249F0" w:rsid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The present study indicates that selected plant extracts from Telangana possess promising larvicidal potential against the major mosquito vectors </w:t>
      </w:r>
      <w:r w:rsidRPr="00E7274C">
        <w:rPr>
          <w:rFonts w:ascii="Times New Roman" w:hAnsi="Times New Roman" w:cs="Times New Roman"/>
          <w:i/>
          <w:iCs/>
          <w:sz w:val="24"/>
          <w:szCs w:val="24"/>
        </w:rPr>
        <w:t>Aedes aegypti</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 xml:space="preserve">Anopheles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 xml:space="preserve">Culex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The preliminary phytochemical screening revealed the presence of </w:t>
      </w:r>
      <w:r w:rsidRPr="00E7274C">
        <w:rPr>
          <w:rFonts w:ascii="Times New Roman" w:hAnsi="Times New Roman" w:cs="Times New Roman"/>
          <w:sz w:val="24"/>
          <w:szCs w:val="24"/>
        </w:rPr>
        <w:lastRenderedPageBreak/>
        <w:t>several important secondary metabolite groups, including alkaloids, flavonoids, phenolics, tannins, saponins and terpenoids.</w:t>
      </w:r>
      <w:r w:rsidR="0043086B" w:rsidRPr="00537280">
        <w:rPr>
          <w:rFonts w:ascii="Times New Roman" w:hAnsi="Times New Roman" w:cs="Times New Roman"/>
          <w:sz w:val="24"/>
          <w:szCs w:val="24"/>
        </w:rPr>
        <w:t xml:space="preserve"> </w:t>
      </w:r>
      <w:r w:rsidRPr="00E7274C">
        <w:rPr>
          <w:rFonts w:ascii="Times New Roman" w:hAnsi="Times New Roman" w:cs="Times New Roman"/>
          <w:sz w:val="24"/>
          <w:szCs w:val="24"/>
        </w:rPr>
        <w:t xml:space="preserve">All five extracts showed concentration- and time-dependent larval mortality. Among the tested plants, </w:t>
      </w:r>
      <w:proofErr w:type="spellStart"/>
      <w:r w:rsidRPr="00E7274C">
        <w:rPr>
          <w:rFonts w:ascii="Times New Roman" w:hAnsi="Times New Roman" w:cs="Times New Roman"/>
          <w:i/>
          <w:iCs/>
          <w:sz w:val="24"/>
          <w:szCs w:val="24"/>
        </w:rPr>
        <w:t>Azadirachta</w:t>
      </w:r>
      <w:proofErr w:type="spellEnd"/>
      <w:r w:rsidRPr="00E7274C">
        <w:rPr>
          <w:rFonts w:ascii="Times New Roman" w:hAnsi="Times New Roman" w:cs="Times New Roman"/>
          <w:i/>
          <w:iCs/>
          <w:sz w:val="24"/>
          <w:szCs w:val="24"/>
        </w:rPr>
        <w:t xml:space="preserve"> indica</w:t>
      </w:r>
      <w:r w:rsidRPr="00E7274C">
        <w:rPr>
          <w:rFonts w:ascii="Times New Roman" w:hAnsi="Times New Roman" w:cs="Times New Roman"/>
          <w:sz w:val="24"/>
          <w:szCs w:val="24"/>
        </w:rPr>
        <w:t xml:space="preserve"> exhibited the strongest overall larvicidal activity, followed by </w:t>
      </w:r>
      <w:r w:rsidRPr="00E7274C">
        <w:rPr>
          <w:rFonts w:ascii="Times New Roman" w:hAnsi="Times New Roman" w:cs="Times New Roman"/>
          <w:i/>
          <w:iCs/>
          <w:sz w:val="24"/>
          <w:szCs w:val="24"/>
        </w:rPr>
        <w:t>Lantana camara</w:t>
      </w:r>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Vitex negundo</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Aedes aegypti</w:t>
      </w:r>
      <w:r w:rsidRPr="00E7274C">
        <w:rPr>
          <w:rFonts w:ascii="Times New Roman" w:hAnsi="Times New Roman" w:cs="Times New Roman"/>
          <w:sz w:val="24"/>
          <w:szCs w:val="24"/>
        </w:rPr>
        <w:t xml:space="preserve"> showed comparatively greater susceptibility, while </w:t>
      </w:r>
      <w:r w:rsidRPr="00E7274C">
        <w:rPr>
          <w:rFonts w:ascii="Times New Roman" w:hAnsi="Times New Roman" w:cs="Times New Roman"/>
          <w:i/>
          <w:iCs/>
          <w:sz w:val="24"/>
          <w:szCs w:val="24"/>
        </w:rPr>
        <w:t xml:space="preserve">Anopheles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was relatively less susceptible.</w:t>
      </w:r>
      <w:r w:rsidR="0043086B" w:rsidRPr="00537280">
        <w:rPr>
          <w:rFonts w:ascii="Times New Roman" w:hAnsi="Times New Roman" w:cs="Times New Roman"/>
          <w:sz w:val="24"/>
          <w:szCs w:val="24"/>
        </w:rPr>
        <w:t xml:space="preserve"> </w:t>
      </w:r>
      <w:r w:rsidRPr="00E7274C">
        <w:rPr>
          <w:rFonts w:ascii="Times New Roman" w:hAnsi="Times New Roman" w:cs="Times New Roman"/>
          <w:sz w:val="24"/>
          <w:szCs w:val="24"/>
        </w:rPr>
        <w:t>The findings suggest that locally available plants may provide useful sources of botanical mosquito-control agents. However, the present results should be considered preliminary because crude extracts contain mixtures of compounds. Further studies involving chemical characterization, isolation of active constituents, toxicity assessment against non-target organisms, formulation development and field evaluation are necessary before practical application.</w:t>
      </w:r>
      <w:r w:rsidR="0043086B" w:rsidRPr="00537280">
        <w:rPr>
          <w:rFonts w:ascii="Times New Roman" w:hAnsi="Times New Roman" w:cs="Times New Roman"/>
          <w:sz w:val="24"/>
          <w:szCs w:val="24"/>
        </w:rPr>
        <w:t xml:space="preserve"> </w:t>
      </w:r>
      <w:r w:rsidRPr="00E7274C">
        <w:rPr>
          <w:rFonts w:ascii="Times New Roman" w:hAnsi="Times New Roman" w:cs="Times New Roman"/>
          <w:sz w:val="24"/>
          <w:szCs w:val="24"/>
        </w:rPr>
        <w:t xml:space="preserve">Overall, </w:t>
      </w:r>
      <w:r w:rsidRPr="00E7274C">
        <w:rPr>
          <w:rFonts w:ascii="Times New Roman" w:hAnsi="Times New Roman" w:cs="Times New Roman"/>
          <w:i/>
          <w:iCs/>
          <w:sz w:val="24"/>
          <w:szCs w:val="24"/>
        </w:rPr>
        <w:t>A. indica</w:t>
      </w:r>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appear to be the most promising candidates for further investigation as plant-based larvicides for integrated mosquito management.</w:t>
      </w:r>
    </w:p>
    <w:p w14:paraId="7DAC0FD1" w14:textId="77777777" w:rsidR="0089754F" w:rsidRDefault="0089754F" w:rsidP="00537280">
      <w:pPr>
        <w:spacing w:line="360" w:lineRule="auto"/>
        <w:jc w:val="both"/>
        <w:rPr>
          <w:rFonts w:ascii="Times New Roman" w:hAnsi="Times New Roman" w:cs="Times New Roman"/>
          <w:sz w:val="24"/>
          <w:szCs w:val="24"/>
        </w:rPr>
      </w:pPr>
    </w:p>
    <w:p w14:paraId="3990F8F8" w14:textId="77777777" w:rsidR="0089754F" w:rsidRPr="0089754F" w:rsidRDefault="0089754F" w:rsidP="0089754F">
      <w:pPr>
        <w:spacing w:after="0" w:line="240" w:lineRule="auto"/>
        <w:rPr>
          <w:rFonts w:ascii="Arial" w:eastAsia="Calibri" w:hAnsi="Arial" w:cs="Arial"/>
          <w:b/>
          <w:kern w:val="0"/>
          <w:sz w:val="20"/>
          <w:szCs w:val="20"/>
          <w:lang w:bidi="ar-SA"/>
          <w14:ligatures w14:val="none"/>
        </w:rPr>
      </w:pPr>
      <w:r w:rsidRPr="0089754F">
        <w:rPr>
          <w:rFonts w:ascii="Arial" w:eastAsia="Calibri" w:hAnsi="Arial" w:cs="Arial"/>
          <w:b/>
          <w:kern w:val="0"/>
          <w:sz w:val="20"/>
          <w:szCs w:val="20"/>
          <w:lang w:bidi="ar-SA"/>
          <w14:ligatures w14:val="none"/>
        </w:rPr>
        <w:t>Declaration of AI Use</w:t>
      </w:r>
    </w:p>
    <w:p w14:paraId="09AC09E1" w14:textId="77777777" w:rsidR="0089754F" w:rsidRPr="0089754F" w:rsidRDefault="0089754F" w:rsidP="0089754F">
      <w:pPr>
        <w:spacing w:after="0" w:line="240" w:lineRule="auto"/>
        <w:rPr>
          <w:rFonts w:ascii="Arial" w:eastAsia="Calibri" w:hAnsi="Arial" w:cs="Arial"/>
          <w:kern w:val="0"/>
          <w:sz w:val="20"/>
          <w:szCs w:val="20"/>
          <w:lang w:bidi="ar-SA"/>
          <w14:ligatures w14:val="none"/>
        </w:rPr>
      </w:pPr>
    </w:p>
    <w:p w14:paraId="2803B0AA" w14:textId="77777777" w:rsidR="0089754F" w:rsidRPr="0089754F" w:rsidRDefault="0089754F" w:rsidP="0089754F">
      <w:pPr>
        <w:spacing w:after="0" w:line="240" w:lineRule="auto"/>
        <w:rPr>
          <w:rFonts w:ascii="Arial" w:eastAsia="Calibri" w:hAnsi="Arial" w:cs="Arial"/>
          <w:kern w:val="0"/>
          <w:sz w:val="20"/>
          <w:szCs w:val="20"/>
          <w:lang w:bidi="ar-SA"/>
          <w14:ligatures w14:val="none"/>
        </w:rPr>
      </w:pPr>
      <w:r w:rsidRPr="0089754F">
        <w:rPr>
          <w:rFonts w:ascii="Arial" w:eastAsia="Calibri" w:hAnsi="Arial" w:cs="Arial"/>
          <w:kern w:val="0"/>
          <w:sz w:val="20"/>
          <w:szCs w:val="20"/>
          <w:lang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09D3EE1" w14:textId="77777777" w:rsidR="0089754F" w:rsidRPr="0089754F" w:rsidRDefault="0089754F" w:rsidP="0089754F">
      <w:pPr>
        <w:spacing w:after="0" w:line="240" w:lineRule="auto"/>
        <w:jc w:val="both"/>
        <w:rPr>
          <w:rFonts w:ascii="Times New Roman" w:eastAsia="Calibri" w:hAnsi="Times New Roman" w:cs="Times New Roman"/>
          <w:kern w:val="0"/>
          <w:lang w:bidi="ar-SA"/>
          <w14:ligatures w14:val="none"/>
        </w:rPr>
      </w:pPr>
    </w:p>
    <w:p w14:paraId="1B81FE67" w14:textId="77777777" w:rsidR="0089754F" w:rsidRPr="0089754F" w:rsidRDefault="0089754F" w:rsidP="0089754F">
      <w:pPr>
        <w:spacing w:after="0" w:line="240" w:lineRule="auto"/>
        <w:jc w:val="both"/>
        <w:rPr>
          <w:rFonts w:ascii="Times New Roman" w:eastAsia="Calibri" w:hAnsi="Times New Roman" w:cs="Times New Roman"/>
          <w:kern w:val="0"/>
          <w:lang w:bidi="ar-SA"/>
          <w14:ligatures w14:val="none"/>
        </w:rPr>
      </w:pPr>
    </w:p>
    <w:p w14:paraId="650985E4" w14:textId="77777777" w:rsidR="0089754F" w:rsidRPr="0089754F" w:rsidRDefault="0089754F" w:rsidP="0089754F">
      <w:pPr>
        <w:spacing w:after="200" w:line="276" w:lineRule="auto"/>
        <w:rPr>
          <w:rFonts w:ascii="Cambria" w:eastAsia="Times New Roman" w:hAnsi="Cambria" w:cs="Arial"/>
          <w:b/>
          <w:bCs/>
          <w:kern w:val="0"/>
          <w:lang w:val="en-GB" w:eastAsia="en-GB" w:bidi="ar-SA"/>
          <w14:ligatures w14:val="none"/>
        </w:rPr>
      </w:pPr>
      <w:r w:rsidRPr="0089754F">
        <w:rPr>
          <w:rFonts w:ascii="Cambria" w:eastAsia="Times New Roman" w:hAnsi="Cambria" w:cs="Arial"/>
          <w:b/>
          <w:bCs/>
          <w:kern w:val="0"/>
          <w:lang w:val="en-GB" w:eastAsia="en-GB" w:bidi="ar-SA"/>
          <w14:ligatures w14:val="none"/>
        </w:rPr>
        <w:t>COMPETING INTERESTS DISCLAIMER:</w:t>
      </w:r>
    </w:p>
    <w:p w14:paraId="396258D1" w14:textId="77777777" w:rsidR="0089754F" w:rsidRPr="0089754F" w:rsidRDefault="0089754F" w:rsidP="0089754F">
      <w:pPr>
        <w:spacing w:after="200" w:line="276" w:lineRule="auto"/>
        <w:rPr>
          <w:rFonts w:ascii="Cambria" w:eastAsia="Times New Roman" w:hAnsi="Cambria" w:cs="Times New Roman"/>
          <w:kern w:val="0"/>
          <w:lang w:val="en-GB" w:eastAsia="en-GB" w:bidi="ar-SA"/>
          <w14:ligatures w14:val="none"/>
        </w:rPr>
      </w:pPr>
      <w:r w:rsidRPr="0089754F">
        <w:rPr>
          <w:rFonts w:ascii="Cambria" w:eastAsia="Times New Roman" w:hAnsi="Cambria" w:cs="Arial"/>
          <w:kern w:val="0"/>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21ECF919" w14:textId="77777777" w:rsidR="0089754F" w:rsidRPr="00537280" w:rsidRDefault="0089754F" w:rsidP="00537280">
      <w:pPr>
        <w:spacing w:line="360" w:lineRule="auto"/>
        <w:jc w:val="both"/>
        <w:rPr>
          <w:rFonts w:ascii="Times New Roman" w:hAnsi="Times New Roman" w:cs="Times New Roman"/>
          <w:sz w:val="24"/>
          <w:szCs w:val="24"/>
        </w:rPr>
      </w:pPr>
    </w:p>
    <w:p w14:paraId="48B9B78F" w14:textId="18B1FBA1" w:rsidR="00E7274C" w:rsidRPr="00537280"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6</w:t>
      </w:r>
      <w:r w:rsidR="00E7274C" w:rsidRPr="00537280">
        <w:rPr>
          <w:rFonts w:ascii="Times New Roman" w:hAnsi="Times New Roman" w:cs="Times New Roman"/>
          <w:b/>
          <w:bCs/>
          <w:sz w:val="24"/>
          <w:szCs w:val="24"/>
        </w:rPr>
        <w:t>. REFERENCES</w:t>
      </w:r>
    </w:p>
    <w:p w14:paraId="7EED1035" w14:textId="011DD4D5" w:rsidR="003B2633" w:rsidRPr="00537280" w:rsidRDefault="003B2633" w:rsidP="00537280">
      <w:pPr>
        <w:spacing w:after="0" w:line="360" w:lineRule="auto"/>
        <w:ind w:left="720" w:hanging="630"/>
        <w:jc w:val="both"/>
        <w:rPr>
          <w:rFonts w:ascii="Times New Roman" w:hAnsi="Times New Roman" w:cs="Times New Roman"/>
          <w:sz w:val="24"/>
          <w:szCs w:val="24"/>
          <w:lang w:val="pt-BR"/>
        </w:rPr>
      </w:pPr>
      <w:r w:rsidRPr="00790057">
        <w:rPr>
          <w:rFonts w:ascii="Times New Roman" w:hAnsi="Times New Roman" w:cs="Times New Roman"/>
          <w:sz w:val="24"/>
          <w:szCs w:val="24"/>
        </w:rPr>
        <w:t xml:space="preserve">Chandrasekaran, T., Thyagarajan, A., Santhakumari, P. G., Pillai, A. K. B., &amp; Krishnan, U. M. (2019). Larvicidal activity of essential oil from </w:t>
      </w:r>
      <w:r w:rsidRPr="00790057">
        <w:rPr>
          <w:rFonts w:ascii="Times New Roman" w:hAnsi="Times New Roman" w:cs="Times New Roman"/>
          <w:i/>
          <w:iCs/>
          <w:sz w:val="24"/>
          <w:szCs w:val="24"/>
        </w:rPr>
        <w:t>Vitex negundo</w:t>
      </w:r>
      <w:r w:rsidRPr="00790057">
        <w:rPr>
          <w:rFonts w:ascii="Times New Roman" w:hAnsi="Times New Roman" w:cs="Times New Roman"/>
          <w:sz w:val="24"/>
          <w:szCs w:val="24"/>
        </w:rPr>
        <w:t xml:space="preserve"> and </w:t>
      </w:r>
      <w:r w:rsidRPr="00790057">
        <w:rPr>
          <w:rFonts w:ascii="Times New Roman" w:hAnsi="Times New Roman" w:cs="Times New Roman"/>
          <w:i/>
          <w:iCs/>
          <w:sz w:val="24"/>
          <w:szCs w:val="24"/>
        </w:rPr>
        <w:t xml:space="preserve">Vitex </w:t>
      </w:r>
      <w:proofErr w:type="spellStart"/>
      <w:r w:rsidRPr="00790057">
        <w:rPr>
          <w:rFonts w:ascii="Times New Roman" w:hAnsi="Times New Roman" w:cs="Times New Roman"/>
          <w:i/>
          <w:iCs/>
          <w:sz w:val="24"/>
          <w:szCs w:val="24"/>
        </w:rPr>
        <w:t>trifolia</w:t>
      </w:r>
      <w:proofErr w:type="spellEnd"/>
      <w:r w:rsidRPr="00790057">
        <w:rPr>
          <w:rFonts w:ascii="Times New Roman" w:hAnsi="Times New Roman" w:cs="Times New Roman"/>
          <w:sz w:val="24"/>
          <w:szCs w:val="24"/>
        </w:rPr>
        <w:t xml:space="preserve"> on dengue vector mosquito </w:t>
      </w:r>
      <w:r w:rsidRPr="00790057">
        <w:rPr>
          <w:rFonts w:ascii="Times New Roman" w:hAnsi="Times New Roman" w:cs="Times New Roman"/>
          <w:i/>
          <w:iCs/>
          <w:sz w:val="24"/>
          <w:szCs w:val="24"/>
        </w:rPr>
        <w:t>Aedes aegypti</w:t>
      </w:r>
      <w:r w:rsidRPr="00790057">
        <w:rPr>
          <w:rFonts w:ascii="Times New Roman" w:hAnsi="Times New Roman" w:cs="Times New Roman"/>
          <w:sz w:val="24"/>
          <w:szCs w:val="24"/>
        </w:rPr>
        <w:t xml:space="preserve">. </w:t>
      </w:r>
      <w:r w:rsidRPr="00790057">
        <w:rPr>
          <w:rFonts w:ascii="Times New Roman" w:hAnsi="Times New Roman" w:cs="Times New Roman"/>
          <w:i/>
          <w:iCs/>
          <w:sz w:val="24"/>
          <w:szCs w:val="24"/>
          <w:lang w:val="pt-BR"/>
        </w:rPr>
        <w:t>Revista da Sociedade Brasileira de Medicina Tropical, 52</w:t>
      </w:r>
      <w:r w:rsidRPr="00790057">
        <w:rPr>
          <w:rFonts w:ascii="Times New Roman" w:hAnsi="Times New Roman" w:cs="Times New Roman"/>
          <w:sz w:val="24"/>
          <w:szCs w:val="24"/>
          <w:lang w:val="pt-BR"/>
        </w:rPr>
        <w:t xml:space="preserve">, e20180459. </w:t>
      </w:r>
      <w:r>
        <w:fldChar w:fldCharType="begin"/>
      </w:r>
      <w:r>
        <w:instrText>HYPERLINK "https://doi.org/10.1590/0037-8682-0459-2018"</w:instrText>
      </w:r>
      <w:r>
        <w:fldChar w:fldCharType="separate"/>
      </w:r>
      <w:r w:rsidRPr="00790057">
        <w:rPr>
          <w:rStyle w:val="Hyperlink"/>
          <w:rFonts w:ascii="Times New Roman" w:hAnsi="Times New Roman" w:cs="Times New Roman"/>
          <w:sz w:val="24"/>
          <w:szCs w:val="24"/>
          <w:lang w:val="pt-BR"/>
        </w:rPr>
        <w:t>https://doi.org/10.1590/0037-8682-0459-2018</w:t>
      </w:r>
      <w:r>
        <w:fldChar w:fldCharType="end"/>
      </w:r>
    </w:p>
    <w:p w14:paraId="58AC0AB2" w14:textId="77777777" w:rsidR="00581BC4" w:rsidRPr="00537280" w:rsidRDefault="003B2633"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lang w:val="pt-BR"/>
        </w:rPr>
        <w:t xml:space="preserve">Dua, V. K., Pandey, A. C., Raghavendra, K., Gupta, A., Sharma, T., &amp; Dash, A. P. (2009). </w:t>
      </w:r>
      <w:r w:rsidRPr="00790057">
        <w:rPr>
          <w:rFonts w:ascii="Times New Roman" w:hAnsi="Times New Roman" w:cs="Times New Roman"/>
          <w:sz w:val="24"/>
          <w:szCs w:val="24"/>
        </w:rPr>
        <w:t>Larvicidal activity of neem oil (</w:t>
      </w:r>
      <w:proofErr w:type="spellStart"/>
      <w:r w:rsidRPr="00790057">
        <w:rPr>
          <w:rFonts w:ascii="Times New Roman" w:hAnsi="Times New Roman" w:cs="Times New Roman"/>
          <w:i/>
          <w:iCs/>
          <w:sz w:val="24"/>
          <w:szCs w:val="24"/>
        </w:rPr>
        <w:t>Azadirachta</w:t>
      </w:r>
      <w:proofErr w:type="spellEnd"/>
      <w:r w:rsidRPr="00790057">
        <w:rPr>
          <w:rFonts w:ascii="Times New Roman" w:hAnsi="Times New Roman" w:cs="Times New Roman"/>
          <w:i/>
          <w:iCs/>
          <w:sz w:val="24"/>
          <w:szCs w:val="24"/>
        </w:rPr>
        <w:t xml:space="preserve"> indica</w:t>
      </w:r>
      <w:r w:rsidRPr="00790057">
        <w:rPr>
          <w:rFonts w:ascii="Times New Roman" w:hAnsi="Times New Roman" w:cs="Times New Roman"/>
          <w:sz w:val="24"/>
          <w:szCs w:val="24"/>
        </w:rPr>
        <w:t xml:space="preserve">) formulation against mosquitoes. </w:t>
      </w:r>
      <w:r w:rsidRPr="00790057">
        <w:rPr>
          <w:rFonts w:ascii="Times New Roman" w:hAnsi="Times New Roman" w:cs="Times New Roman"/>
          <w:i/>
          <w:iCs/>
          <w:sz w:val="24"/>
          <w:szCs w:val="24"/>
        </w:rPr>
        <w:t>Malaria Journal, 8</w:t>
      </w:r>
      <w:r w:rsidRPr="00790057">
        <w:rPr>
          <w:rFonts w:ascii="Times New Roman" w:hAnsi="Times New Roman" w:cs="Times New Roman"/>
          <w:sz w:val="24"/>
          <w:szCs w:val="24"/>
        </w:rPr>
        <w:t xml:space="preserve">, 124. </w:t>
      </w:r>
      <w:hyperlink r:id="rId9" w:history="1">
        <w:r w:rsidRPr="00790057">
          <w:rPr>
            <w:rStyle w:val="Hyperlink"/>
            <w:rFonts w:ascii="Times New Roman" w:hAnsi="Times New Roman" w:cs="Times New Roman"/>
            <w:sz w:val="24"/>
            <w:szCs w:val="24"/>
          </w:rPr>
          <w:t>https://doi.org/10.1186/1475-2875-8-124</w:t>
        </w:r>
      </w:hyperlink>
    </w:p>
    <w:p w14:paraId="79246D03" w14:textId="0912076B" w:rsidR="00581BC4" w:rsidRPr="00537280" w:rsidRDefault="00581BC4"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lastRenderedPageBreak/>
        <w:t xml:space="preserve">Finney, D. J. (1944). The application of the probit method to toxicity test data adjusted for mortality in the controls. </w:t>
      </w:r>
      <w:r w:rsidRPr="00790057">
        <w:rPr>
          <w:rFonts w:ascii="Times New Roman" w:hAnsi="Times New Roman" w:cs="Times New Roman"/>
          <w:i/>
          <w:iCs/>
          <w:sz w:val="24"/>
          <w:szCs w:val="24"/>
        </w:rPr>
        <w:t>Annals of Applied Biology, 31</w:t>
      </w:r>
      <w:r w:rsidRPr="00790057">
        <w:rPr>
          <w:rFonts w:ascii="Times New Roman" w:hAnsi="Times New Roman" w:cs="Times New Roman"/>
          <w:sz w:val="24"/>
          <w:szCs w:val="24"/>
        </w:rPr>
        <w:t xml:space="preserve">(1), 68–74. </w:t>
      </w:r>
      <w:hyperlink r:id="rId10" w:history="1">
        <w:r w:rsidRPr="00790057">
          <w:rPr>
            <w:rStyle w:val="Hyperlink"/>
            <w:rFonts w:ascii="Times New Roman" w:hAnsi="Times New Roman" w:cs="Times New Roman"/>
            <w:sz w:val="24"/>
            <w:szCs w:val="24"/>
          </w:rPr>
          <w:t>https://doi.org/10.1111/j.1744-7348.1944.tb06210.x</w:t>
        </w:r>
      </w:hyperlink>
    </w:p>
    <w:p w14:paraId="08FB2A39" w14:textId="2B743FF4" w:rsidR="00581BC4" w:rsidRPr="00537280" w:rsidRDefault="00581BC4"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Finney, D. J. (2014). A help to early users of probits. </w:t>
      </w:r>
      <w:r w:rsidRPr="00790057">
        <w:rPr>
          <w:rFonts w:ascii="Times New Roman" w:hAnsi="Times New Roman" w:cs="Times New Roman"/>
          <w:i/>
          <w:iCs/>
          <w:sz w:val="24"/>
          <w:szCs w:val="24"/>
        </w:rPr>
        <w:t>Annals of Applied Biology, 164</w:t>
      </w:r>
      <w:r w:rsidRPr="00790057">
        <w:rPr>
          <w:rFonts w:ascii="Times New Roman" w:hAnsi="Times New Roman" w:cs="Times New Roman"/>
          <w:sz w:val="24"/>
          <w:szCs w:val="24"/>
        </w:rPr>
        <w:t xml:space="preserve">(1), 8–10. </w:t>
      </w:r>
      <w:hyperlink r:id="rId11" w:history="1">
        <w:r w:rsidRPr="00790057">
          <w:rPr>
            <w:rStyle w:val="Hyperlink"/>
            <w:rFonts w:ascii="Times New Roman" w:hAnsi="Times New Roman" w:cs="Times New Roman"/>
            <w:sz w:val="24"/>
            <w:szCs w:val="24"/>
          </w:rPr>
          <w:t>https://doi.org/10.1111/aab.12061</w:t>
        </w:r>
      </w:hyperlink>
    </w:p>
    <w:p w14:paraId="63245EE7" w14:textId="5DA38381" w:rsidR="00AC78B5" w:rsidRPr="00537280" w:rsidRDefault="00707481"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Ganesan, P., Samuel, R., </w:t>
      </w:r>
      <w:proofErr w:type="spellStart"/>
      <w:r w:rsidRPr="00790057">
        <w:rPr>
          <w:rFonts w:ascii="Times New Roman" w:hAnsi="Times New Roman" w:cs="Times New Roman"/>
          <w:sz w:val="24"/>
          <w:szCs w:val="24"/>
        </w:rPr>
        <w:t>Mutheeswaran</w:t>
      </w:r>
      <w:proofErr w:type="spellEnd"/>
      <w:r w:rsidRPr="00790057">
        <w:rPr>
          <w:rFonts w:ascii="Times New Roman" w:hAnsi="Times New Roman" w:cs="Times New Roman"/>
          <w:sz w:val="24"/>
          <w:szCs w:val="24"/>
        </w:rPr>
        <w:t xml:space="preserve">, S., </w:t>
      </w:r>
      <w:proofErr w:type="spellStart"/>
      <w:r w:rsidRPr="00790057">
        <w:rPr>
          <w:rFonts w:ascii="Times New Roman" w:hAnsi="Times New Roman" w:cs="Times New Roman"/>
          <w:sz w:val="24"/>
          <w:szCs w:val="24"/>
        </w:rPr>
        <w:t>Pandikumar</w:t>
      </w:r>
      <w:proofErr w:type="spellEnd"/>
      <w:r w:rsidRPr="00790057">
        <w:rPr>
          <w:rFonts w:ascii="Times New Roman" w:hAnsi="Times New Roman" w:cs="Times New Roman"/>
          <w:sz w:val="24"/>
          <w:szCs w:val="24"/>
        </w:rPr>
        <w:t xml:space="preserve">, P., Reegan, A. D., Aremu, A. O., &amp; </w:t>
      </w:r>
      <w:proofErr w:type="spellStart"/>
      <w:r w:rsidRPr="00790057">
        <w:rPr>
          <w:rFonts w:ascii="Times New Roman" w:hAnsi="Times New Roman" w:cs="Times New Roman"/>
          <w:sz w:val="24"/>
          <w:szCs w:val="24"/>
        </w:rPr>
        <w:t>Ignacimuthu</w:t>
      </w:r>
      <w:proofErr w:type="spellEnd"/>
      <w:r w:rsidRPr="00790057">
        <w:rPr>
          <w:rFonts w:ascii="Times New Roman" w:hAnsi="Times New Roman" w:cs="Times New Roman"/>
          <w:sz w:val="24"/>
          <w:szCs w:val="24"/>
        </w:rPr>
        <w:t xml:space="preserve">, S. (2023). Phytocompounds for mosquito larvicidal activity and their modes of action: A review. </w:t>
      </w:r>
      <w:r w:rsidRPr="00790057">
        <w:rPr>
          <w:rFonts w:ascii="Times New Roman" w:hAnsi="Times New Roman" w:cs="Times New Roman"/>
          <w:i/>
          <w:iCs/>
          <w:sz w:val="24"/>
          <w:szCs w:val="24"/>
        </w:rPr>
        <w:t>South African Journal of Botany, 152</w:t>
      </w:r>
      <w:r w:rsidRPr="00790057">
        <w:rPr>
          <w:rFonts w:ascii="Times New Roman" w:hAnsi="Times New Roman" w:cs="Times New Roman"/>
          <w:sz w:val="24"/>
          <w:szCs w:val="24"/>
        </w:rPr>
        <w:t xml:space="preserve">, 19–49. </w:t>
      </w:r>
      <w:hyperlink r:id="rId12" w:history="1">
        <w:r w:rsidRPr="00790057">
          <w:rPr>
            <w:rStyle w:val="Hyperlink"/>
            <w:rFonts w:ascii="Times New Roman" w:hAnsi="Times New Roman" w:cs="Times New Roman"/>
            <w:sz w:val="24"/>
            <w:szCs w:val="24"/>
          </w:rPr>
          <w:t>https://doi.org/10.1016/j.sajb.2022.11.028</w:t>
        </w:r>
      </w:hyperlink>
    </w:p>
    <w:p w14:paraId="51839B9A" w14:textId="23B3A3A7" w:rsidR="003B2633" w:rsidRPr="00537280" w:rsidRDefault="003B2633"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Ghosh, A., Chowdhury, N., &amp; Chandra, G. (2012). Plant extracts as potential mosquito larvicides. </w:t>
      </w:r>
      <w:r w:rsidRPr="00790057">
        <w:rPr>
          <w:rFonts w:ascii="Times New Roman" w:hAnsi="Times New Roman" w:cs="Times New Roman"/>
          <w:i/>
          <w:iCs/>
          <w:sz w:val="24"/>
          <w:szCs w:val="24"/>
        </w:rPr>
        <w:t>Indian Journal of Medical Research, 135</w:t>
      </w:r>
      <w:r w:rsidRPr="00790057">
        <w:rPr>
          <w:rFonts w:ascii="Times New Roman" w:hAnsi="Times New Roman" w:cs="Times New Roman"/>
          <w:sz w:val="24"/>
          <w:szCs w:val="24"/>
        </w:rPr>
        <w:t>(5), 581–598.</w:t>
      </w:r>
    </w:p>
    <w:p w14:paraId="6B03CF0B" w14:textId="427F95DC" w:rsidR="003B2633" w:rsidRPr="00537280" w:rsidRDefault="003B2633"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Govindarajan, M., Mathivanan, T., Elumalai, K., Krishnappa, K., &amp; Anandan, A. (2011). Mosquito larvicidal, ovicidal, and repellent properties of botanical extracts against </w:t>
      </w:r>
      <w:r w:rsidRPr="00790057">
        <w:rPr>
          <w:rFonts w:ascii="Times New Roman" w:hAnsi="Times New Roman" w:cs="Times New Roman"/>
          <w:i/>
          <w:iCs/>
          <w:sz w:val="24"/>
          <w:szCs w:val="24"/>
        </w:rPr>
        <w:t xml:space="preserve">Anopheles </w:t>
      </w:r>
      <w:proofErr w:type="spellStart"/>
      <w:r w:rsidRPr="00790057">
        <w:rPr>
          <w:rFonts w:ascii="Times New Roman" w:hAnsi="Times New Roman" w:cs="Times New Roman"/>
          <w:i/>
          <w:iCs/>
          <w:sz w:val="24"/>
          <w:szCs w:val="24"/>
        </w:rPr>
        <w:t>stephensi</w:t>
      </w:r>
      <w:proofErr w:type="spellEnd"/>
      <w:r w:rsidRPr="00790057">
        <w:rPr>
          <w:rFonts w:ascii="Times New Roman" w:hAnsi="Times New Roman" w:cs="Times New Roman"/>
          <w:sz w:val="24"/>
          <w:szCs w:val="24"/>
        </w:rPr>
        <w:t xml:space="preserve">, </w:t>
      </w:r>
      <w:r w:rsidRPr="00790057">
        <w:rPr>
          <w:rFonts w:ascii="Times New Roman" w:hAnsi="Times New Roman" w:cs="Times New Roman"/>
          <w:i/>
          <w:iCs/>
          <w:sz w:val="24"/>
          <w:szCs w:val="24"/>
        </w:rPr>
        <w:t>Aedes aegypti</w:t>
      </w:r>
      <w:r w:rsidRPr="00790057">
        <w:rPr>
          <w:rFonts w:ascii="Times New Roman" w:hAnsi="Times New Roman" w:cs="Times New Roman"/>
          <w:sz w:val="24"/>
          <w:szCs w:val="24"/>
        </w:rPr>
        <w:t xml:space="preserve">, and </w:t>
      </w:r>
      <w:r w:rsidRPr="00790057">
        <w:rPr>
          <w:rFonts w:ascii="Times New Roman" w:hAnsi="Times New Roman" w:cs="Times New Roman"/>
          <w:i/>
          <w:iCs/>
          <w:sz w:val="24"/>
          <w:szCs w:val="24"/>
        </w:rPr>
        <w:t xml:space="preserve">Culex </w:t>
      </w:r>
      <w:proofErr w:type="spellStart"/>
      <w:r w:rsidRPr="00790057">
        <w:rPr>
          <w:rFonts w:ascii="Times New Roman" w:hAnsi="Times New Roman" w:cs="Times New Roman"/>
          <w:i/>
          <w:iCs/>
          <w:sz w:val="24"/>
          <w:szCs w:val="24"/>
        </w:rPr>
        <w:t>quinquefasciatus</w:t>
      </w:r>
      <w:proofErr w:type="spellEnd"/>
      <w:r w:rsidRPr="00790057">
        <w:rPr>
          <w:rFonts w:ascii="Times New Roman" w:hAnsi="Times New Roman" w:cs="Times New Roman"/>
          <w:sz w:val="24"/>
          <w:szCs w:val="24"/>
        </w:rPr>
        <w:t xml:space="preserve"> (Diptera: Culicidae). </w:t>
      </w:r>
      <w:r w:rsidRPr="00790057">
        <w:rPr>
          <w:rFonts w:ascii="Times New Roman" w:hAnsi="Times New Roman" w:cs="Times New Roman"/>
          <w:i/>
          <w:iCs/>
          <w:sz w:val="24"/>
          <w:szCs w:val="24"/>
        </w:rPr>
        <w:t>Parasitology Research, 109</w:t>
      </w:r>
      <w:r w:rsidRPr="00790057">
        <w:rPr>
          <w:rFonts w:ascii="Times New Roman" w:hAnsi="Times New Roman" w:cs="Times New Roman"/>
          <w:sz w:val="24"/>
          <w:szCs w:val="24"/>
        </w:rPr>
        <w:t xml:space="preserve">(2), 353–367. </w:t>
      </w:r>
      <w:hyperlink r:id="rId13" w:history="1">
        <w:r w:rsidRPr="00790057">
          <w:rPr>
            <w:rStyle w:val="Hyperlink"/>
            <w:rFonts w:ascii="Times New Roman" w:hAnsi="Times New Roman" w:cs="Times New Roman"/>
            <w:sz w:val="24"/>
            <w:szCs w:val="24"/>
          </w:rPr>
          <w:t>https://doi.org/10.1007/s00436-011-2263-1</w:t>
        </w:r>
      </w:hyperlink>
    </w:p>
    <w:p w14:paraId="78164313" w14:textId="77777777" w:rsidR="00AC78B5" w:rsidRPr="00537280" w:rsidRDefault="00707481"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Harborne, J. B. (1984). </w:t>
      </w:r>
      <w:r w:rsidRPr="00790057">
        <w:rPr>
          <w:rFonts w:ascii="Times New Roman" w:hAnsi="Times New Roman" w:cs="Times New Roman"/>
          <w:i/>
          <w:iCs/>
          <w:sz w:val="24"/>
          <w:szCs w:val="24"/>
        </w:rPr>
        <w:t>Phytochemical methods: A guide to modern techniques of plant analysis</w:t>
      </w:r>
      <w:r w:rsidRPr="00790057">
        <w:rPr>
          <w:rFonts w:ascii="Times New Roman" w:hAnsi="Times New Roman" w:cs="Times New Roman"/>
          <w:sz w:val="24"/>
          <w:szCs w:val="24"/>
        </w:rPr>
        <w:t xml:space="preserve"> (2nd ed.). Chapman and Hall. </w:t>
      </w:r>
      <w:hyperlink r:id="rId14" w:tgtFrame="_new" w:history="1">
        <w:r w:rsidRPr="00790057">
          <w:rPr>
            <w:rStyle w:val="Hyperlink"/>
            <w:rFonts w:ascii="Times New Roman" w:hAnsi="Times New Roman" w:cs="Times New Roman"/>
            <w:sz w:val="24"/>
            <w:szCs w:val="24"/>
          </w:rPr>
          <w:t>https://doi.org/10.1007/978-94-009-5570-7</w:t>
        </w:r>
      </w:hyperlink>
    </w:p>
    <w:p w14:paraId="3BD1E855" w14:textId="27E0D9F5" w:rsidR="003B2633" w:rsidRPr="00DE0D89" w:rsidRDefault="003B2633" w:rsidP="00537280">
      <w:pPr>
        <w:spacing w:after="0" w:line="360" w:lineRule="auto"/>
        <w:ind w:left="720" w:hanging="630"/>
        <w:jc w:val="both"/>
        <w:rPr>
          <w:rFonts w:ascii="Times New Roman" w:hAnsi="Times New Roman" w:cs="Times New Roman"/>
          <w:sz w:val="24"/>
          <w:szCs w:val="24"/>
          <w:lang w:val="pt-BR"/>
        </w:rPr>
      </w:pPr>
      <w:r w:rsidRPr="00790057">
        <w:rPr>
          <w:rFonts w:ascii="Times New Roman" w:hAnsi="Times New Roman" w:cs="Times New Roman"/>
          <w:sz w:val="24"/>
          <w:szCs w:val="24"/>
        </w:rPr>
        <w:t xml:space="preserve">Hung, N. H., Dai, D. N., Satyal, P., Huong, L. T., Chinh, B. T., Hung, D. Q., Tai, T. A., &amp; Setzer, W. N. (2021). </w:t>
      </w:r>
      <w:r w:rsidRPr="00790057">
        <w:rPr>
          <w:rFonts w:ascii="Times New Roman" w:hAnsi="Times New Roman" w:cs="Times New Roman"/>
          <w:i/>
          <w:iCs/>
          <w:sz w:val="24"/>
          <w:szCs w:val="24"/>
        </w:rPr>
        <w:t>Lantana camara</w:t>
      </w:r>
      <w:r w:rsidRPr="00790057">
        <w:rPr>
          <w:rFonts w:ascii="Times New Roman" w:hAnsi="Times New Roman" w:cs="Times New Roman"/>
          <w:sz w:val="24"/>
          <w:szCs w:val="24"/>
        </w:rPr>
        <w:t xml:space="preserve"> essential oils from Vietnam: Chemical composition, </w:t>
      </w:r>
      <w:proofErr w:type="spellStart"/>
      <w:r w:rsidRPr="00790057">
        <w:rPr>
          <w:rFonts w:ascii="Times New Roman" w:hAnsi="Times New Roman" w:cs="Times New Roman"/>
          <w:sz w:val="24"/>
          <w:szCs w:val="24"/>
        </w:rPr>
        <w:t>molluscicidal</w:t>
      </w:r>
      <w:proofErr w:type="spellEnd"/>
      <w:r w:rsidRPr="00790057">
        <w:rPr>
          <w:rFonts w:ascii="Times New Roman" w:hAnsi="Times New Roman" w:cs="Times New Roman"/>
          <w:sz w:val="24"/>
          <w:szCs w:val="24"/>
        </w:rPr>
        <w:t xml:space="preserve">, and mosquito larvicidal activity. </w:t>
      </w:r>
      <w:r w:rsidRPr="00790057">
        <w:rPr>
          <w:rFonts w:ascii="Times New Roman" w:hAnsi="Times New Roman" w:cs="Times New Roman"/>
          <w:i/>
          <w:iCs/>
          <w:sz w:val="24"/>
          <w:szCs w:val="24"/>
        </w:rPr>
        <w:t>Chemistry &amp; Biodiversity, 18</w:t>
      </w:r>
      <w:r w:rsidRPr="00790057">
        <w:rPr>
          <w:rFonts w:ascii="Times New Roman" w:hAnsi="Times New Roman" w:cs="Times New Roman"/>
          <w:sz w:val="24"/>
          <w:szCs w:val="24"/>
        </w:rPr>
        <w:t xml:space="preserve">(5), e2100145. </w:t>
      </w:r>
      <w:hyperlink r:id="rId15" w:tgtFrame="_new" w:history="1">
        <w:r w:rsidRPr="00790057">
          <w:rPr>
            <w:rStyle w:val="Hyperlink"/>
            <w:rFonts w:ascii="Times New Roman" w:hAnsi="Times New Roman" w:cs="Times New Roman"/>
            <w:sz w:val="24"/>
            <w:szCs w:val="24"/>
            <w:lang w:val="pt-BR"/>
          </w:rPr>
          <w:t>https://doi.org/10.1002/cbdv.202100145</w:t>
        </w:r>
      </w:hyperlink>
    </w:p>
    <w:p w14:paraId="2DA9A17B" w14:textId="77777777" w:rsidR="00AC78B5" w:rsidRPr="00537280" w:rsidRDefault="003B2633"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lang w:val="pt-BR"/>
        </w:rPr>
        <w:t xml:space="preserve">Jayaraman, M., Senthilkumar, A., &amp; Venkatesalu, V. (2015). </w:t>
      </w:r>
      <w:r w:rsidRPr="00790057">
        <w:rPr>
          <w:rFonts w:ascii="Times New Roman" w:hAnsi="Times New Roman" w:cs="Times New Roman"/>
          <w:sz w:val="24"/>
          <w:szCs w:val="24"/>
        </w:rPr>
        <w:t xml:space="preserve">Evaluation of some aromatic plant extracts for mosquito larvicidal potential against </w:t>
      </w:r>
      <w:r w:rsidRPr="00790057">
        <w:rPr>
          <w:rFonts w:ascii="Times New Roman" w:hAnsi="Times New Roman" w:cs="Times New Roman"/>
          <w:i/>
          <w:iCs/>
          <w:sz w:val="24"/>
          <w:szCs w:val="24"/>
        </w:rPr>
        <w:t xml:space="preserve">Culex </w:t>
      </w:r>
      <w:proofErr w:type="spellStart"/>
      <w:r w:rsidRPr="00790057">
        <w:rPr>
          <w:rFonts w:ascii="Times New Roman" w:hAnsi="Times New Roman" w:cs="Times New Roman"/>
          <w:i/>
          <w:iCs/>
          <w:sz w:val="24"/>
          <w:szCs w:val="24"/>
        </w:rPr>
        <w:t>quinquefasciatus</w:t>
      </w:r>
      <w:proofErr w:type="spellEnd"/>
      <w:r w:rsidRPr="00790057">
        <w:rPr>
          <w:rFonts w:ascii="Times New Roman" w:hAnsi="Times New Roman" w:cs="Times New Roman"/>
          <w:sz w:val="24"/>
          <w:szCs w:val="24"/>
        </w:rPr>
        <w:t xml:space="preserve">, </w:t>
      </w:r>
      <w:r w:rsidRPr="00790057">
        <w:rPr>
          <w:rFonts w:ascii="Times New Roman" w:hAnsi="Times New Roman" w:cs="Times New Roman"/>
          <w:i/>
          <w:iCs/>
          <w:sz w:val="24"/>
          <w:szCs w:val="24"/>
        </w:rPr>
        <w:t>Aedes aegypti</w:t>
      </w:r>
      <w:r w:rsidRPr="00790057">
        <w:rPr>
          <w:rFonts w:ascii="Times New Roman" w:hAnsi="Times New Roman" w:cs="Times New Roman"/>
          <w:sz w:val="24"/>
          <w:szCs w:val="24"/>
        </w:rPr>
        <w:t xml:space="preserve">, and </w:t>
      </w:r>
      <w:r w:rsidRPr="00790057">
        <w:rPr>
          <w:rFonts w:ascii="Times New Roman" w:hAnsi="Times New Roman" w:cs="Times New Roman"/>
          <w:i/>
          <w:iCs/>
          <w:sz w:val="24"/>
          <w:szCs w:val="24"/>
        </w:rPr>
        <w:t xml:space="preserve">Anopheles </w:t>
      </w:r>
      <w:proofErr w:type="spellStart"/>
      <w:r w:rsidRPr="00790057">
        <w:rPr>
          <w:rFonts w:ascii="Times New Roman" w:hAnsi="Times New Roman" w:cs="Times New Roman"/>
          <w:i/>
          <w:iCs/>
          <w:sz w:val="24"/>
          <w:szCs w:val="24"/>
        </w:rPr>
        <w:t>stephensi</w:t>
      </w:r>
      <w:proofErr w:type="spellEnd"/>
      <w:r w:rsidRPr="00790057">
        <w:rPr>
          <w:rFonts w:ascii="Times New Roman" w:hAnsi="Times New Roman" w:cs="Times New Roman"/>
          <w:sz w:val="24"/>
          <w:szCs w:val="24"/>
        </w:rPr>
        <w:t xml:space="preserve">. </w:t>
      </w:r>
      <w:r w:rsidRPr="00790057">
        <w:rPr>
          <w:rFonts w:ascii="Times New Roman" w:hAnsi="Times New Roman" w:cs="Times New Roman"/>
          <w:i/>
          <w:iCs/>
          <w:sz w:val="24"/>
          <w:szCs w:val="24"/>
        </w:rPr>
        <w:t>Parasitology Research, 114</w:t>
      </w:r>
      <w:r w:rsidRPr="00790057">
        <w:rPr>
          <w:rFonts w:ascii="Times New Roman" w:hAnsi="Times New Roman" w:cs="Times New Roman"/>
          <w:sz w:val="24"/>
          <w:szCs w:val="24"/>
        </w:rPr>
        <w:t xml:space="preserve">(4), 1511–1518. </w:t>
      </w:r>
      <w:hyperlink r:id="rId16" w:history="1">
        <w:r w:rsidRPr="00DE0D89">
          <w:rPr>
            <w:rStyle w:val="Hyperlink"/>
            <w:rFonts w:ascii="Times New Roman" w:hAnsi="Times New Roman" w:cs="Times New Roman"/>
            <w:sz w:val="24"/>
            <w:szCs w:val="24"/>
          </w:rPr>
          <w:t>https://doi.org/10.1007/s00436-015-4335-0</w:t>
        </w:r>
      </w:hyperlink>
    </w:p>
    <w:p w14:paraId="44EA5A7A" w14:textId="77777777" w:rsidR="00AC78B5" w:rsidRPr="00537280" w:rsidRDefault="003B2633" w:rsidP="00537280">
      <w:pPr>
        <w:spacing w:after="0" w:line="360" w:lineRule="auto"/>
        <w:ind w:left="720" w:hanging="630"/>
        <w:jc w:val="both"/>
        <w:rPr>
          <w:rFonts w:ascii="Times New Roman" w:hAnsi="Times New Roman" w:cs="Times New Roman"/>
          <w:sz w:val="24"/>
          <w:szCs w:val="24"/>
        </w:rPr>
      </w:pPr>
      <w:proofErr w:type="spellStart"/>
      <w:r w:rsidRPr="00DE0D89">
        <w:rPr>
          <w:rFonts w:ascii="Times New Roman" w:hAnsi="Times New Roman" w:cs="Times New Roman"/>
          <w:sz w:val="24"/>
          <w:szCs w:val="24"/>
        </w:rPr>
        <w:t>Karunamoorthi</w:t>
      </w:r>
      <w:proofErr w:type="spellEnd"/>
      <w:r w:rsidRPr="00DE0D89">
        <w:rPr>
          <w:rFonts w:ascii="Times New Roman" w:hAnsi="Times New Roman" w:cs="Times New Roman"/>
          <w:sz w:val="24"/>
          <w:szCs w:val="24"/>
        </w:rPr>
        <w:t xml:space="preserve">, K., Ramanujam, S., &amp; </w:t>
      </w:r>
      <w:proofErr w:type="spellStart"/>
      <w:r w:rsidRPr="00DE0D89">
        <w:rPr>
          <w:rFonts w:ascii="Times New Roman" w:hAnsi="Times New Roman" w:cs="Times New Roman"/>
          <w:sz w:val="24"/>
          <w:szCs w:val="24"/>
        </w:rPr>
        <w:t>Rathinasamy</w:t>
      </w:r>
      <w:proofErr w:type="spellEnd"/>
      <w:r w:rsidRPr="00DE0D89">
        <w:rPr>
          <w:rFonts w:ascii="Times New Roman" w:hAnsi="Times New Roman" w:cs="Times New Roman"/>
          <w:sz w:val="24"/>
          <w:szCs w:val="24"/>
        </w:rPr>
        <w:t xml:space="preserve">, R. (2008). </w:t>
      </w:r>
      <w:r w:rsidRPr="00790057">
        <w:rPr>
          <w:rFonts w:ascii="Times New Roman" w:hAnsi="Times New Roman" w:cs="Times New Roman"/>
          <w:sz w:val="24"/>
          <w:szCs w:val="24"/>
        </w:rPr>
        <w:t xml:space="preserve">Evaluation of leaf extracts of </w:t>
      </w:r>
      <w:r w:rsidRPr="00790057">
        <w:rPr>
          <w:rFonts w:ascii="Times New Roman" w:hAnsi="Times New Roman" w:cs="Times New Roman"/>
          <w:i/>
          <w:iCs/>
          <w:sz w:val="24"/>
          <w:szCs w:val="24"/>
        </w:rPr>
        <w:t>Vitex negundo</w:t>
      </w:r>
      <w:r w:rsidRPr="00790057">
        <w:rPr>
          <w:rFonts w:ascii="Times New Roman" w:hAnsi="Times New Roman" w:cs="Times New Roman"/>
          <w:sz w:val="24"/>
          <w:szCs w:val="24"/>
        </w:rPr>
        <w:t xml:space="preserve"> L. against larvae of </w:t>
      </w:r>
      <w:r w:rsidRPr="00790057">
        <w:rPr>
          <w:rFonts w:ascii="Times New Roman" w:hAnsi="Times New Roman" w:cs="Times New Roman"/>
          <w:i/>
          <w:iCs/>
          <w:sz w:val="24"/>
          <w:szCs w:val="24"/>
        </w:rPr>
        <w:t xml:space="preserve">Culex </w:t>
      </w:r>
      <w:proofErr w:type="spellStart"/>
      <w:r w:rsidRPr="00790057">
        <w:rPr>
          <w:rFonts w:ascii="Times New Roman" w:hAnsi="Times New Roman" w:cs="Times New Roman"/>
          <w:i/>
          <w:iCs/>
          <w:sz w:val="24"/>
          <w:szCs w:val="24"/>
        </w:rPr>
        <w:t>tritaeniorhynchus</w:t>
      </w:r>
      <w:proofErr w:type="spellEnd"/>
      <w:r w:rsidRPr="00790057">
        <w:rPr>
          <w:rFonts w:ascii="Times New Roman" w:hAnsi="Times New Roman" w:cs="Times New Roman"/>
          <w:sz w:val="24"/>
          <w:szCs w:val="24"/>
        </w:rPr>
        <w:t xml:space="preserve"> and repellent activity on adult vector mosquitoes. </w:t>
      </w:r>
      <w:r w:rsidRPr="00790057">
        <w:rPr>
          <w:rFonts w:ascii="Times New Roman" w:hAnsi="Times New Roman" w:cs="Times New Roman"/>
          <w:i/>
          <w:iCs/>
          <w:sz w:val="24"/>
          <w:szCs w:val="24"/>
        </w:rPr>
        <w:t>Parasitology Research, 103</w:t>
      </w:r>
      <w:r w:rsidRPr="00790057">
        <w:rPr>
          <w:rFonts w:ascii="Times New Roman" w:hAnsi="Times New Roman" w:cs="Times New Roman"/>
          <w:sz w:val="24"/>
          <w:szCs w:val="24"/>
        </w:rPr>
        <w:t xml:space="preserve">(3), 545–550. </w:t>
      </w:r>
      <w:hyperlink r:id="rId17" w:history="1">
        <w:r w:rsidR="00AC78B5" w:rsidRPr="00790057">
          <w:rPr>
            <w:rStyle w:val="Hyperlink"/>
            <w:rFonts w:ascii="Times New Roman" w:hAnsi="Times New Roman" w:cs="Times New Roman"/>
            <w:sz w:val="24"/>
            <w:szCs w:val="24"/>
          </w:rPr>
          <w:t>https://doi.org/10.1007/s00436-008-1005-5</w:t>
        </w:r>
      </w:hyperlink>
    </w:p>
    <w:p w14:paraId="45AA83B9" w14:textId="5AF7F988" w:rsidR="00790057" w:rsidRPr="00537280" w:rsidRDefault="00790057" w:rsidP="00537280">
      <w:pPr>
        <w:spacing w:after="0" w:line="360" w:lineRule="auto"/>
        <w:ind w:left="720" w:hanging="630"/>
        <w:jc w:val="both"/>
        <w:rPr>
          <w:rFonts w:ascii="Times New Roman" w:hAnsi="Times New Roman" w:cs="Times New Roman"/>
          <w:sz w:val="24"/>
          <w:szCs w:val="24"/>
          <w:lang w:val="pt-BR"/>
        </w:rPr>
      </w:pPr>
      <w:r w:rsidRPr="00DE0D89">
        <w:rPr>
          <w:rFonts w:ascii="Times New Roman" w:hAnsi="Times New Roman" w:cs="Times New Roman"/>
          <w:sz w:val="24"/>
          <w:szCs w:val="24"/>
        </w:rPr>
        <w:t xml:space="preserve">Pavela, R., Maggi, F., Iannarelli, R., &amp; Benelli, G. (2019). </w:t>
      </w:r>
      <w:r w:rsidRPr="00790057">
        <w:rPr>
          <w:rFonts w:ascii="Times New Roman" w:hAnsi="Times New Roman" w:cs="Times New Roman"/>
          <w:sz w:val="24"/>
          <w:szCs w:val="24"/>
        </w:rPr>
        <w:t xml:space="preserve">Plant extracts for developing mosquito larvicides: From laboratory to the field, with insights on the modes of action. </w:t>
      </w:r>
      <w:r w:rsidRPr="00790057">
        <w:rPr>
          <w:rFonts w:ascii="Times New Roman" w:hAnsi="Times New Roman" w:cs="Times New Roman"/>
          <w:i/>
          <w:iCs/>
          <w:sz w:val="24"/>
          <w:szCs w:val="24"/>
          <w:lang w:val="pt-BR"/>
        </w:rPr>
        <w:t>Acta Tropica, 193</w:t>
      </w:r>
      <w:r w:rsidRPr="00790057">
        <w:rPr>
          <w:rFonts w:ascii="Times New Roman" w:hAnsi="Times New Roman" w:cs="Times New Roman"/>
          <w:sz w:val="24"/>
          <w:szCs w:val="24"/>
          <w:lang w:val="pt-BR"/>
        </w:rPr>
        <w:t xml:space="preserve">, 236–271. </w:t>
      </w:r>
      <w:r w:rsidR="00AC78B5">
        <w:fldChar w:fldCharType="begin"/>
      </w:r>
      <w:r w:rsidR="00AC78B5">
        <w:instrText>HYPERLINK "https://doi.org/10.1016/j.actatropica.2019.01.019"</w:instrText>
      </w:r>
      <w:r w:rsidR="00AC78B5">
        <w:fldChar w:fldCharType="separate"/>
      </w:r>
      <w:r w:rsidR="00AC78B5" w:rsidRPr="00DE0D89">
        <w:rPr>
          <w:rStyle w:val="Hyperlink"/>
          <w:rFonts w:ascii="Times New Roman" w:hAnsi="Times New Roman" w:cs="Times New Roman"/>
          <w:sz w:val="24"/>
          <w:szCs w:val="24"/>
          <w:lang w:val="pt-BR"/>
        </w:rPr>
        <w:t>https://doi.org/10.1016/j.actatropica.2019.01.019</w:t>
      </w:r>
      <w:r w:rsidR="00AC78B5">
        <w:fldChar w:fldCharType="end"/>
      </w:r>
    </w:p>
    <w:p w14:paraId="398C2B9F" w14:textId="484093E7" w:rsidR="00790057" w:rsidRPr="00537280" w:rsidRDefault="00790057"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lang w:val="pt-BR"/>
        </w:rPr>
        <w:t xml:space="preserve">Senthil-Nathan, S. (2020). </w:t>
      </w:r>
      <w:r w:rsidRPr="00790057">
        <w:rPr>
          <w:rFonts w:ascii="Times New Roman" w:hAnsi="Times New Roman" w:cs="Times New Roman"/>
          <w:sz w:val="24"/>
          <w:szCs w:val="24"/>
        </w:rPr>
        <w:t xml:space="preserve">A review of resistance mechanisms of synthetic insecticides and botanicals, phytochemicals, and essential oils as alternative larvicidal agents against </w:t>
      </w:r>
      <w:r w:rsidRPr="00790057">
        <w:rPr>
          <w:rFonts w:ascii="Times New Roman" w:hAnsi="Times New Roman" w:cs="Times New Roman"/>
          <w:sz w:val="24"/>
          <w:szCs w:val="24"/>
        </w:rPr>
        <w:lastRenderedPageBreak/>
        <w:t xml:space="preserve">mosquitoes. </w:t>
      </w:r>
      <w:r w:rsidRPr="00790057">
        <w:rPr>
          <w:rFonts w:ascii="Times New Roman" w:hAnsi="Times New Roman" w:cs="Times New Roman"/>
          <w:i/>
          <w:iCs/>
          <w:sz w:val="24"/>
          <w:szCs w:val="24"/>
        </w:rPr>
        <w:t>Frontiers in Physiology, 10</w:t>
      </w:r>
      <w:r w:rsidRPr="00790057">
        <w:rPr>
          <w:rFonts w:ascii="Times New Roman" w:hAnsi="Times New Roman" w:cs="Times New Roman"/>
          <w:sz w:val="24"/>
          <w:szCs w:val="24"/>
        </w:rPr>
        <w:t>, 1591.</w:t>
      </w:r>
      <w:r w:rsidR="00AC78B5" w:rsidRPr="00537280">
        <w:rPr>
          <w:rFonts w:ascii="Times New Roman" w:hAnsi="Times New Roman" w:cs="Times New Roman"/>
          <w:sz w:val="24"/>
          <w:szCs w:val="24"/>
        </w:rPr>
        <w:t xml:space="preserve"> </w:t>
      </w:r>
      <w:hyperlink r:id="rId18" w:history="1">
        <w:r w:rsidR="00AC78B5" w:rsidRPr="00790057">
          <w:rPr>
            <w:rStyle w:val="Hyperlink"/>
            <w:rFonts w:ascii="Times New Roman" w:hAnsi="Times New Roman" w:cs="Times New Roman"/>
            <w:sz w:val="24"/>
            <w:szCs w:val="24"/>
          </w:rPr>
          <w:t>https://doi.org/10.3389/fphys.2019.01591</w:t>
        </w:r>
      </w:hyperlink>
    </w:p>
    <w:p w14:paraId="77FEF1F3" w14:textId="57A19067" w:rsidR="000754CF" w:rsidRPr="00537280" w:rsidRDefault="000754CF" w:rsidP="00537280">
      <w:pPr>
        <w:spacing w:after="0" w:line="360" w:lineRule="auto"/>
        <w:ind w:left="720" w:hanging="630"/>
        <w:jc w:val="both"/>
        <w:rPr>
          <w:rFonts w:ascii="Times New Roman" w:hAnsi="Times New Roman" w:cs="Times New Roman"/>
          <w:sz w:val="24"/>
          <w:szCs w:val="24"/>
        </w:rPr>
      </w:pPr>
      <w:r w:rsidRPr="00537280">
        <w:rPr>
          <w:rFonts w:ascii="Times New Roman" w:hAnsi="Times New Roman" w:cs="Times New Roman"/>
          <w:sz w:val="24"/>
          <w:szCs w:val="24"/>
        </w:rPr>
        <w:t xml:space="preserve">Sonter, S., Dwivedi, M. K., Mishra, S., Singh, P., Kumar, R., Park, S., Jeon, B.-H., &amp; Singh, P. K. (2024). In vitro larvicidal efficacy of </w:t>
      </w:r>
      <w:r w:rsidRPr="00537280">
        <w:rPr>
          <w:rFonts w:ascii="Times New Roman" w:hAnsi="Times New Roman" w:cs="Times New Roman"/>
          <w:i/>
          <w:iCs/>
          <w:sz w:val="24"/>
          <w:szCs w:val="24"/>
        </w:rPr>
        <w:t>Lantana camara</w:t>
      </w:r>
      <w:r w:rsidRPr="00537280">
        <w:rPr>
          <w:rFonts w:ascii="Times New Roman" w:hAnsi="Times New Roman" w:cs="Times New Roman"/>
          <w:sz w:val="24"/>
          <w:szCs w:val="24"/>
        </w:rPr>
        <w:t xml:space="preserve"> essential oil and its </w:t>
      </w:r>
      <w:proofErr w:type="spellStart"/>
      <w:r w:rsidRPr="00537280">
        <w:rPr>
          <w:rFonts w:ascii="Times New Roman" w:hAnsi="Times New Roman" w:cs="Times New Roman"/>
          <w:sz w:val="24"/>
          <w:szCs w:val="24"/>
        </w:rPr>
        <w:t>nanoemulsion</w:t>
      </w:r>
      <w:proofErr w:type="spellEnd"/>
      <w:r w:rsidRPr="00537280">
        <w:rPr>
          <w:rFonts w:ascii="Times New Roman" w:hAnsi="Times New Roman" w:cs="Times New Roman"/>
          <w:sz w:val="24"/>
          <w:szCs w:val="24"/>
        </w:rPr>
        <w:t xml:space="preserve"> and enzyme inhibition kinetics against </w:t>
      </w:r>
      <w:r w:rsidRPr="00537280">
        <w:rPr>
          <w:rFonts w:ascii="Times New Roman" w:hAnsi="Times New Roman" w:cs="Times New Roman"/>
          <w:i/>
          <w:iCs/>
          <w:sz w:val="24"/>
          <w:szCs w:val="24"/>
        </w:rPr>
        <w:t xml:space="preserve">Anopheles </w:t>
      </w:r>
      <w:proofErr w:type="spellStart"/>
      <w:r w:rsidRPr="00537280">
        <w:rPr>
          <w:rFonts w:ascii="Times New Roman" w:hAnsi="Times New Roman" w:cs="Times New Roman"/>
          <w:i/>
          <w:iCs/>
          <w:sz w:val="24"/>
          <w:szCs w:val="24"/>
        </w:rPr>
        <w:t>culicifacies</w:t>
      </w:r>
      <w:proofErr w:type="spellEnd"/>
      <w:r w:rsidRPr="00537280">
        <w:rPr>
          <w:rFonts w:ascii="Times New Roman" w:hAnsi="Times New Roman" w:cs="Times New Roman"/>
          <w:sz w:val="24"/>
          <w:szCs w:val="24"/>
        </w:rPr>
        <w:t xml:space="preserve">. </w:t>
      </w:r>
      <w:r w:rsidRPr="00537280">
        <w:rPr>
          <w:rFonts w:ascii="Times New Roman" w:hAnsi="Times New Roman" w:cs="Times New Roman"/>
          <w:i/>
          <w:iCs/>
          <w:sz w:val="24"/>
          <w:szCs w:val="24"/>
        </w:rPr>
        <w:t>Scientific Reports, 14</w:t>
      </w:r>
      <w:r w:rsidRPr="00537280">
        <w:rPr>
          <w:rFonts w:ascii="Times New Roman" w:hAnsi="Times New Roman" w:cs="Times New Roman"/>
          <w:sz w:val="24"/>
          <w:szCs w:val="24"/>
        </w:rPr>
        <w:t xml:space="preserve">, 16325. </w:t>
      </w:r>
      <w:hyperlink r:id="rId19" w:history="1">
        <w:r w:rsidRPr="00537280">
          <w:rPr>
            <w:rStyle w:val="Hyperlink"/>
            <w:rFonts w:ascii="Times New Roman" w:hAnsi="Times New Roman" w:cs="Times New Roman"/>
            <w:sz w:val="24"/>
            <w:szCs w:val="24"/>
          </w:rPr>
          <w:t>https://doi.org/10.1038/s41598-024-67148-w</w:t>
        </w:r>
      </w:hyperlink>
    </w:p>
    <w:p w14:paraId="7CA4D52F" w14:textId="3D6F7597" w:rsidR="00790057" w:rsidRPr="00790057" w:rsidRDefault="00790057"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Sharma, M., Alexander, A., Nakhate, K. T., </w:t>
      </w:r>
      <w:proofErr w:type="spellStart"/>
      <w:r w:rsidRPr="00790057">
        <w:rPr>
          <w:rFonts w:ascii="Times New Roman" w:hAnsi="Times New Roman" w:cs="Times New Roman"/>
          <w:sz w:val="24"/>
          <w:szCs w:val="24"/>
        </w:rPr>
        <w:t>Nagwanshi</w:t>
      </w:r>
      <w:proofErr w:type="spellEnd"/>
      <w:r w:rsidRPr="00790057">
        <w:rPr>
          <w:rFonts w:ascii="Times New Roman" w:hAnsi="Times New Roman" w:cs="Times New Roman"/>
          <w:sz w:val="24"/>
          <w:szCs w:val="24"/>
        </w:rPr>
        <w:t xml:space="preserve">, K. K., &amp; </w:t>
      </w:r>
      <w:proofErr w:type="spellStart"/>
      <w:r w:rsidRPr="00790057">
        <w:rPr>
          <w:rFonts w:ascii="Times New Roman" w:hAnsi="Times New Roman" w:cs="Times New Roman"/>
          <w:sz w:val="24"/>
          <w:szCs w:val="24"/>
        </w:rPr>
        <w:t>Ajazuddin</w:t>
      </w:r>
      <w:proofErr w:type="spellEnd"/>
      <w:r w:rsidRPr="00790057">
        <w:rPr>
          <w:rFonts w:ascii="Times New Roman" w:hAnsi="Times New Roman" w:cs="Times New Roman"/>
          <w:sz w:val="24"/>
          <w:szCs w:val="24"/>
        </w:rPr>
        <w:t xml:space="preserve">. (2023). Evaluation of the mosquito larvicidal potential and comparative assessment of the juice of </w:t>
      </w:r>
      <w:r w:rsidRPr="00790057">
        <w:rPr>
          <w:rFonts w:ascii="Times New Roman" w:hAnsi="Times New Roman" w:cs="Times New Roman"/>
          <w:i/>
          <w:iCs/>
          <w:sz w:val="24"/>
          <w:szCs w:val="24"/>
        </w:rPr>
        <w:t>Lantana camara</w:t>
      </w:r>
      <w:r w:rsidRPr="00790057">
        <w:rPr>
          <w:rFonts w:ascii="Times New Roman" w:hAnsi="Times New Roman" w:cs="Times New Roman"/>
          <w:sz w:val="24"/>
          <w:szCs w:val="24"/>
        </w:rPr>
        <w:t xml:space="preserve"> Linn and </w:t>
      </w:r>
      <w:r w:rsidRPr="00790057">
        <w:rPr>
          <w:rFonts w:ascii="Times New Roman" w:hAnsi="Times New Roman" w:cs="Times New Roman"/>
          <w:i/>
          <w:iCs/>
          <w:sz w:val="24"/>
          <w:szCs w:val="24"/>
        </w:rPr>
        <w:t xml:space="preserve">Ocimum </w:t>
      </w:r>
      <w:proofErr w:type="spellStart"/>
      <w:r w:rsidRPr="00790057">
        <w:rPr>
          <w:rFonts w:ascii="Times New Roman" w:hAnsi="Times New Roman" w:cs="Times New Roman"/>
          <w:i/>
          <w:iCs/>
          <w:sz w:val="24"/>
          <w:szCs w:val="24"/>
        </w:rPr>
        <w:t>gratissimum</w:t>
      </w:r>
      <w:proofErr w:type="spellEnd"/>
      <w:r w:rsidRPr="00790057">
        <w:rPr>
          <w:rFonts w:ascii="Times New Roman" w:hAnsi="Times New Roman" w:cs="Times New Roman"/>
          <w:sz w:val="24"/>
          <w:szCs w:val="24"/>
        </w:rPr>
        <w:t xml:space="preserve"> Linn. </w:t>
      </w:r>
      <w:r w:rsidRPr="00DE0D89">
        <w:rPr>
          <w:rFonts w:ascii="Times New Roman" w:hAnsi="Times New Roman" w:cs="Times New Roman"/>
          <w:i/>
          <w:iCs/>
          <w:sz w:val="24"/>
          <w:szCs w:val="24"/>
        </w:rPr>
        <w:t>Experimental Parasitology, 249</w:t>
      </w:r>
      <w:r w:rsidRPr="00DE0D89">
        <w:rPr>
          <w:rFonts w:ascii="Times New Roman" w:hAnsi="Times New Roman" w:cs="Times New Roman"/>
          <w:sz w:val="24"/>
          <w:szCs w:val="24"/>
        </w:rPr>
        <w:t xml:space="preserve">, 108521. </w:t>
      </w:r>
      <w:hyperlink r:id="rId20" w:history="1">
        <w:r w:rsidR="00AC78B5" w:rsidRPr="00DE0D89">
          <w:rPr>
            <w:rStyle w:val="Hyperlink"/>
            <w:rFonts w:ascii="Times New Roman" w:hAnsi="Times New Roman" w:cs="Times New Roman"/>
            <w:sz w:val="24"/>
            <w:szCs w:val="24"/>
          </w:rPr>
          <w:t>https://doi.org/10.1016/j.exppara.2023.108521</w:t>
        </w:r>
      </w:hyperlink>
    </w:p>
    <w:p w14:paraId="338A4829" w14:textId="3490FBE3" w:rsidR="00790057" w:rsidRPr="00790057" w:rsidRDefault="00790057" w:rsidP="00537280">
      <w:pPr>
        <w:spacing w:after="0" w:line="360" w:lineRule="auto"/>
        <w:ind w:left="720" w:hanging="630"/>
        <w:jc w:val="both"/>
        <w:rPr>
          <w:rFonts w:ascii="Times New Roman" w:hAnsi="Times New Roman" w:cs="Times New Roman"/>
          <w:sz w:val="24"/>
          <w:szCs w:val="24"/>
        </w:rPr>
      </w:pPr>
      <w:r w:rsidRPr="00790057">
        <w:rPr>
          <w:rFonts w:ascii="Times New Roman" w:hAnsi="Times New Roman" w:cs="Times New Roman"/>
          <w:sz w:val="24"/>
          <w:szCs w:val="24"/>
        </w:rPr>
        <w:t xml:space="preserve">World Health Organization. (2005). </w:t>
      </w:r>
      <w:r w:rsidRPr="00790057">
        <w:rPr>
          <w:rFonts w:ascii="Times New Roman" w:hAnsi="Times New Roman" w:cs="Times New Roman"/>
          <w:i/>
          <w:iCs/>
          <w:sz w:val="24"/>
          <w:szCs w:val="24"/>
        </w:rPr>
        <w:t>Guidelines for laboratory and field testing of mosquito larvicides</w:t>
      </w:r>
      <w:r w:rsidRPr="00790057">
        <w:rPr>
          <w:rFonts w:ascii="Times New Roman" w:hAnsi="Times New Roman" w:cs="Times New Roman"/>
          <w:sz w:val="24"/>
          <w:szCs w:val="24"/>
        </w:rPr>
        <w:t xml:space="preserve">. WHO/CDS/WHOPES/GCDPP/2005.13 </w:t>
      </w:r>
    </w:p>
    <w:p w14:paraId="1D420CEA" w14:textId="119A8E40" w:rsidR="00E7274C" w:rsidRPr="00537280" w:rsidRDefault="00790057" w:rsidP="00537280">
      <w:pPr>
        <w:spacing w:after="0" w:line="360" w:lineRule="auto"/>
        <w:ind w:left="720" w:hanging="630"/>
        <w:jc w:val="both"/>
        <w:rPr>
          <w:rFonts w:ascii="Times New Roman" w:hAnsi="Times New Roman" w:cs="Times New Roman"/>
          <w:sz w:val="24"/>
          <w:szCs w:val="24"/>
        </w:rPr>
      </w:pPr>
      <w:proofErr w:type="spellStart"/>
      <w:r w:rsidRPr="00DE0D89">
        <w:rPr>
          <w:rFonts w:ascii="Times New Roman" w:hAnsi="Times New Roman" w:cs="Times New Roman"/>
          <w:sz w:val="24"/>
          <w:szCs w:val="24"/>
        </w:rPr>
        <w:t>Wandscheer</w:t>
      </w:r>
      <w:proofErr w:type="spellEnd"/>
      <w:r w:rsidRPr="00DE0D89">
        <w:rPr>
          <w:rFonts w:ascii="Times New Roman" w:hAnsi="Times New Roman" w:cs="Times New Roman"/>
          <w:sz w:val="24"/>
          <w:szCs w:val="24"/>
        </w:rPr>
        <w:t xml:space="preserve">, C. B., Duque, J. E., da Silva, M. A. N., Fukuyama, Y., </w:t>
      </w:r>
      <w:proofErr w:type="spellStart"/>
      <w:r w:rsidRPr="00DE0D89">
        <w:rPr>
          <w:rFonts w:ascii="Times New Roman" w:hAnsi="Times New Roman" w:cs="Times New Roman"/>
          <w:sz w:val="24"/>
          <w:szCs w:val="24"/>
        </w:rPr>
        <w:t>Wohlke</w:t>
      </w:r>
      <w:proofErr w:type="spellEnd"/>
      <w:r w:rsidRPr="00DE0D89">
        <w:rPr>
          <w:rFonts w:ascii="Times New Roman" w:hAnsi="Times New Roman" w:cs="Times New Roman"/>
          <w:sz w:val="24"/>
          <w:szCs w:val="24"/>
        </w:rPr>
        <w:t xml:space="preserve">, J. L., Adelmann, J., &amp; Fontana, J. D. (2004). </w:t>
      </w:r>
      <w:r w:rsidRPr="00790057">
        <w:rPr>
          <w:rFonts w:ascii="Times New Roman" w:hAnsi="Times New Roman" w:cs="Times New Roman"/>
          <w:sz w:val="24"/>
          <w:szCs w:val="24"/>
        </w:rPr>
        <w:t xml:space="preserve">Larvicidal action of ethanolic extracts from fruit endocarps of </w:t>
      </w:r>
      <w:r w:rsidRPr="00790057">
        <w:rPr>
          <w:rFonts w:ascii="Times New Roman" w:hAnsi="Times New Roman" w:cs="Times New Roman"/>
          <w:i/>
          <w:iCs/>
          <w:sz w:val="24"/>
          <w:szCs w:val="24"/>
        </w:rPr>
        <w:t>Melia azedarach</w:t>
      </w:r>
      <w:r w:rsidRPr="00790057">
        <w:rPr>
          <w:rFonts w:ascii="Times New Roman" w:hAnsi="Times New Roman" w:cs="Times New Roman"/>
          <w:sz w:val="24"/>
          <w:szCs w:val="24"/>
        </w:rPr>
        <w:t xml:space="preserve"> and </w:t>
      </w:r>
      <w:proofErr w:type="spellStart"/>
      <w:r w:rsidRPr="00790057">
        <w:rPr>
          <w:rFonts w:ascii="Times New Roman" w:hAnsi="Times New Roman" w:cs="Times New Roman"/>
          <w:i/>
          <w:iCs/>
          <w:sz w:val="24"/>
          <w:szCs w:val="24"/>
        </w:rPr>
        <w:t>Azadirachta</w:t>
      </w:r>
      <w:proofErr w:type="spellEnd"/>
      <w:r w:rsidRPr="00790057">
        <w:rPr>
          <w:rFonts w:ascii="Times New Roman" w:hAnsi="Times New Roman" w:cs="Times New Roman"/>
          <w:i/>
          <w:iCs/>
          <w:sz w:val="24"/>
          <w:szCs w:val="24"/>
        </w:rPr>
        <w:t xml:space="preserve"> indica</w:t>
      </w:r>
      <w:r w:rsidRPr="00790057">
        <w:rPr>
          <w:rFonts w:ascii="Times New Roman" w:hAnsi="Times New Roman" w:cs="Times New Roman"/>
          <w:sz w:val="24"/>
          <w:szCs w:val="24"/>
        </w:rPr>
        <w:t xml:space="preserve"> against the dengue mosquito </w:t>
      </w:r>
      <w:r w:rsidRPr="00790057">
        <w:rPr>
          <w:rFonts w:ascii="Times New Roman" w:hAnsi="Times New Roman" w:cs="Times New Roman"/>
          <w:i/>
          <w:iCs/>
          <w:sz w:val="24"/>
          <w:szCs w:val="24"/>
        </w:rPr>
        <w:t>Aedes aegypti</w:t>
      </w:r>
      <w:r w:rsidRPr="00790057">
        <w:rPr>
          <w:rFonts w:ascii="Times New Roman" w:hAnsi="Times New Roman" w:cs="Times New Roman"/>
          <w:sz w:val="24"/>
          <w:szCs w:val="24"/>
        </w:rPr>
        <w:t xml:space="preserve">. </w:t>
      </w:r>
      <w:r w:rsidRPr="00790057">
        <w:rPr>
          <w:rFonts w:ascii="Times New Roman" w:hAnsi="Times New Roman" w:cs="Times New Roman"/>
          <w:i/>
          <w:iCs/>
          <w:sz w:val="24"/>
          <w:szCs w:val="24"/>
        </w:rPr>
        <w:t>Toxicon, 44</w:t>
      </w:r>
      <w:r w:rsidRPr="00790057">
        <w:rPr>
          <w:rFonts w:ascii="Times New Roman" w:hAnsi="Times New Roman" w:cs="Times New Roman"/>
          <w:sz w:val="24"/>
          <w:szCs w:val="24"/>
        </w:rPr>
        <w:t xml:space="preserve">(8), 829–835. </w:t>
      </w:r>
      <w:hyperlink r:id="rId21" w:history="1">
        <w:r w:rsidR="00AC78B5" w:rsidRPr="00790057">
          <w:rPr>
            <w:rStyle w:val="Hyperlink"/>
            <w:rFonts w:ascii="Times New Roman" w:hAnsi="Times New Roman" w:cs="Times New Roman"/>
            <w:sz w:val="24"/>
            <w:szCs w:val="24"/>
          </w:rPr>
          <w:t>https://doi.org/10.1016/j.toxicon.2004.07.009</w:t>
        </w:r>
      </w:hyperlink>
    </w:p>
    <w:p w14:paraId="3E7FAD28" w14:textId="77777777" w:rsidR="00AC78B5" w:rsidRPr="00537280" w:rsidRDefault="00AC78B5" w:rsidP="00537280">
      <w:pPr>
        <w:spacing w:after="0" w:line="360" w:lineRule="auto"/>
        <w:ind w:left="720" w:hanging="630"/>
        <w:jc w:val="both"/>
        <w:rPr>
          <w:rFonts w:ascii="Times New Roman" w:hAnsi="Times New Roman" w:cs="Times New Roman"/>
          <w:sz w:val="24"/>
          <w:szCs w:val="24"/>
        </w:rPr>
      </w:pPr>
    </w:p>
    <w:sectPr w:rsidR="00AC78B5" w:rsidRPr="00537280" w:rsidSect="00DA275C">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9E331" w14:textId="77777777" w:rsidR="000667B3" w:rsidRDefault="000667B3" w:rsidP="005D2247">
      <w:pPr>
        <w:spacing w:after="0" w:line="240" w:lineRule="auto"/>
      </w:pPr>
      <w:r>
        <w:separator/>
      </w:r>
    </w:p>
  </w:endnote>
  <w:endnote w:type="continuationSeparator" w:id="0">
    <w:p w14:paraId="709E7CE1" w14:textId="77777777" w:rsidR="000667B3" w:rsidRDefault="000667B3" w:rsidP="005D2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5CBC" w14:textId="77777777" w:rsidR="00F71835" w:rsidRDefault="00F71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E1CF" w14:textId="3CB5B70D" w:rsidR="005D2247" w:rsidRDefault="005D2247">
    <w:pPr>
      <w:pStyle w:val="Footer"/>
      <w:jc w:val="right"/>
    </w:pPr>
  </w:p>
  <w:p w14:paraId="405A4CE6" w14:textId="77777777" w:rsidR="005D2247" w:rsidRDefault="005D22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29CE" w14:textId="77777777" w:rsidR="00F71835" w:rsidRDefault="00F71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6944" w14:textId="77777777" w:rsidR="000667B3" w:rsidRDefault="000667B3" w:rsidP="005D2247">
      <w:pPr>
        <w:spacing w:after="0" w:line="240" w:lineRule="auto"/>
      </w:pPr>
      <w:r>
        <w:separator/>
      </w:r>
    </w:p>
  </w:footnote>
  <w:footnote w:type="continuationSeparator" w:id="0">
    <w:p w14:paraId="4909C99C" w14:textId="77777777" w:rsidR="000667B3" w:rsidRDefault="000667B3" w:rsidP="005D2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329" w14:textId="5AC34292" w:rsidR="00F71835" w:rsidRDefault="00F71835">
    <w:pPr>
      <w:pStyle w:val="Header"/>
    </w:pPr>
    <w:r>
      <w:rPr>
        <w:noProof/>
      </w:rPr>
      <w:pict w14:anchorId="764BF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F4FD" w14:textId="7E1EC285" w:rsidR="00F71835" w:rsidRDefault="00F71835">
    <w:pPr>
      <w:pStyle w:val="Header"/>
    </w:pPr>
    <w:r>
      <w:rPr>
        <w:noProof/>
      </w:rPr>
      <w:pict w14:anchorId="4DC448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12772" w14:textId="2FE30238" w:rsidR="00F71835" w:rsidRDefault="00F71835">
    <w:pPr>
      <w:pStyle w:val="Header"/>
    </w:pPr>
    <w:r>
      <w:rPr>
        <w:noProof/>
      </w:rPr>
      <w:pict w14:anchorId="484F9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44D4"/>
    <w:multiLevelType w:val="multilevel"/>
    <w:tmpl w:val="52B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363BC"/>
    <w:multiLevelType w:val="multilevel"/>
    <w:tmpl w:val="C194E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F32B1E"/>
    <w:multiLevelType w:val="multilevel"/>
    <w:tmpl w:val="B7B06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F86C04"/>
    <w:multiLevelType w:val="multilevel"/>
    <w:tmpl w:val="3D64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359DF"/>
    <w:multiLevelType w:val="multilevel"/>
    <w:tmpl w:val="EE082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EA071A"/>
    <w:multiLevelType w:val="multilevel"/>
    <w:tmpl w:val="239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62B4A"/>
    <w:multiLevelType w:val="multilevel"/>
    <w:tmpl w:val="C5804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BE7169"/>
    <w:multiLevelType w:val="multilevel"/>
    <w:tmpl w:val="311E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796E75"/>
    <w:multiLevelType w:val="multilevel"/>
    <w:tmpl w:val="AF1C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0245243">
    <w:abstractNumId w:val="7"/>
  </w:num>
  <w:num w:numId="2" w16cid:durableId="460851406">
    <w:abstractNumId w:val="0"/>
  </w:num>
  <w:num w:numId="3" w16cid:durableId="18432714">
    <w:abstractNumId w:val="4"/>
  </w:num>
  <w:num w:numId="4" w16cid:durableId="704524977">
    <w:abstractNumId w:val="1"/>
  </w:num>
  <w:num w:numId="5" w16cid:durableId="1140731734">
    <w:abstractNumId w:val="8"/>
  </w:num>
  <w:num w:numId="6" w16cid:durableId="989596507">
    <w:abstractNumId w:val="2"/>
  </w:num>
  <w:num w:numId="7" w16cid:durableId="1536314027">
    <w:abstractNumId w:val="6"/>
  </w:num>
  <w:num w:numId="8" w16cid:durableId="1503818186">
    <w:abstractNumId w:val="5"/>
  </w:num>
  <w:num w:numId="9" w16cid:durableId="523398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1A"/>
    <w:rsid w:val="00021077"/>
    <w:rsid w:val="00031215"/>
    <w:rsid w:val="00037932"/>
    <w:rsid w:val="000424AF"/>
    <w:rsid w:val="00044095"/>
    <w:rsid w:val="00057197"/>
    <w:rsid w:val="000667B3"/>
    <w:rsid w:val="000754CF"/>
    <w:rsid w:val="00076F79"/>
    <w:rsid w:val="00081680"/>
    <w:rsid w:val="00082A98"/>
    <w:rsid w:val="000B0477"/>
    <w:rsid w:val="000D0774"/>
    <w:rsid w:val="000D7C90"/>
    <w:rsid w:val="000E7D03"/>
    <w:rsid w:val="000F00B9"/>
    <w:rsid w:val="00106C61"/>
    <w:rsid w:val="00123527"/>
    <w:rsid w:val="00123C85"/>
    <w:rsid w:val="00153075"/>
    <w:rsid w:val="00162944"/>
    <w:rsid w:val="001B6DF5"/>
    <w:rsid w:val="001C1EB8"/>
    <w:rsid w:val="001D5763"/>
    <w:rsid w:val="002032A6"/>
    <w:rsid w:val="002944FF"/>
    <w:rsid w:val="002F1BB4"/>
    <w:rsid w:val="00316376"/>
    <w:rsid w:val="0034568D"/>
    <w:rsid w:val="00373EBD"/>
    <w:rsid w:val="00381212"/>
    <w:rsid w:val="003B0638"/>
    <w:rsid w:val="003B2633"/>
    <w:rsid w:val="003E1A87"/>
    <w:rsid w:val="003F2BC9"/>
    <w:rsid w:val="0040578B"/>
    <w:rsid w:val="0043086B"/>
    <w:rsid w:val="00460DAD"/>
    <w:rsid w:val="004A3F3F"/>
    <w:rsid w:val="004C2B36"/>
    <w:rsid w:val="004C2CAC"/>
    <w:rsid w:val="004D4858"/>
    <w:rsid w:val="0051157D"/>
    <w:rsid w:val="00520F5E"/>
    <w:rsid w:val="00537280"/>
    <w:rsid w:val="00537734"/>
    <w:rsid w:val="00547B05"/>
    <w:rsid w:val="005700FC"/>
    <w:rsid w:val="00581BC4"/>
    <w:rsid w:val="00592D33"/>
    <w:rsid w:val="005A26EB"/>
    <w:rsid w:val="005D2247"/>
    <w:rsid w:val="005E3901"/>
    <w:rsid w:val="006263EB"/>
    <w:rsid w:val="00643FE9"/>
    <w:rsid w:val="00656425"/>
    <w:rsid w:val="006A2990"/>
    <w:rsid w:val="006D22B7"/>
    <w:rsid w:val="006D67B2"/>
    <w:rsid w:val="006E22AB"/>
    <w:rsid w:val="00700B3B"/>
    <w:rsid w:val="00707481"/>
    <w:rsid w:val="00727D65"/>
    <w:rsid w:val="00752568"/>
    <w:rsid w:val="00780904"/>
    <w:rsid w:val="00790057"/>
    <w:rsid w:val="007A1950"/>
    <w:rsid w:val="007A4B4A"/>
    <w:rsid w:val="007D2FC6"/>
    <w:rsid w:val="007F0D85"/>
    <w:rsid w:val="008052CB"/>
    <w:rsid w:val="00813B7F"/>
    <w:rsid w:val="0085141A"/>
    <w:rsid w:val="008614FD"/>
    <w:rsid w:val="00884325"/>
    <w:rsid w:val="00892133"/>
    <w:rsid w:val="0089754F"/>
    <w:rsid w:val="008E19C7"/>
    <w:rsid w:val="009122DA"/>
    <w:rsid w:val="009139A8"/>
    <w:rsid w:val="009219DC"/>
    <w:rsid w:val="009277FA"/>
    <w:rsid w:val="00931C11"/>
    <w:rsid w:val="00950841"/>
    <w:rsid w:val="009628D7"/>
    <w:rsid w:val="0097000C"/>
    <w:rsid w:val="009913F1"/>
    <w:rsid w:val="009A2856"/>
    <w:rsid w:val="009A5CD7"/>
    <w:rsid w:val="009B1B5E"/>
    <w:rsid w:val="009F1925"/>
    <w:rsid w:val="00A17244"/>
    <w:rsid w:val="00A36C90"/>
    <w:rsid w:val="00A4660F"/>
    <w:rsid w:val="00A90C3C"/>
    <w:rsid w:val="00AA3A93"/>
    <w:rsid w:val="00AA5AA5"/>
    <w:rsid w:val="00AA7DDC"/>
    <w:rsid w:val="00AC4230"/>
    <w:rsid w:val="00AC78B5"/>
    <w:rsid w:val="00AF6EFD"/>
    <w:rsid w:val="00B12DA2"/>
    <w:rsid w:val="00B52D1C"/>
    <w:rsid w:val="00BB4391"/>
    <w:rsid w:val="00BE18EC"/>
    <w:rsid w:val="00BE1E7F"/>
    <w:rsid w:val="00C16292"/>
    <w:rsid w:val="00C20517"/>
    <w:rsid w:val="00C23912"/>
    <w:rsid w:val="00C31CA1"/>
    <w:rsid w:val="00C44F81"/>
    <w:rsid w:val="00C504B5"/>
    <w:rsid w:val="00C669B9"/>
    <w:rsid w:val="00C7081B"/>
    <w:rsid w:val="00C8038E"/>
    <w:rsid w:val="00CA3BF9"/>
    <w:rsid w:val="00CE5745"/>
    <w:rsid w:val="00D11ADF"/>
    <w:rsid w:val="00D17A77"/>
    <w:rsid w:val="00D34343"/>
    <w:rsid w:val="00D36AEE"/>
    <w:rsid w:val="00D64D0C"/>
    <w:rsid w:val="00D7168D"/>
    <w:rsid w:val="00D840F6"/>
    <w:rsid w:val="00DA275C"/>
    <w:rsid w:val="00DB7F9A"/>
    <w:rsid w:val="00DC6298"/>
    <w:rsid w:val="00DD44BE"/>
    <w:rsid w:val="00DE0D89"/>
    <w:rsid w:val="00DE4C44"/>
    <w:rsid w:val="00E34507"/>
    <w:rsid w:val="00E4166F"/>
    <w:rsid w:val="00E7274C"/>
    <w:rsid w:val="00EA74C0"/>
    <w:rsid w:val="00ED2C02"/>
    <w:rsid w:val="00ED2FDF"/>
    <w:rsid w:val="00ED33E1"/>
    <w:rsid w:val="00EE77EF"/>
    <w:rsid w:val="00F036CC"/>
    <w:rsid w:val="00F11AEB"/>
    <w:rsid w:val="00F67E0B"/>
    <w:rsid w:val="00F67FF4"/>
    <w:rsid w:val="00F71835"/>
    <w:rsid w:val="00F76EB9"/>
    <w:rsid w:val="00FB510A"/>
    <w:rsid w:val="00FF2875"/>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45621"/>
  <w15:chartTrackingRefBased/>
  <w15:docId w15:val="{DCFCF469-3044-492E-9A4D-96B897B1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Gautami"/>
        <w:kern w:val="2"/>
        <w:sz w:val="22"/>
        <w:szCs w:val="22"/>
        <w:lang w:val="en-US" w:eastAsia="en-US" w:bidi="te-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1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51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1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1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1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1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51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1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1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1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41A"/>
    <w:rPr>
      <w:rFonts w:eastAsiaTheme="majorEastAsia" w:cstheme="majorBidi"/>
      <w:color w:val="272727" w:themeColor="text1" w:themeTint="D8"/>
    </w:rPr>
  </w:style>
  <w:style w:type="paragraph" w:styleId="Title">
    <w:name w:val="Title"/>
    <w:basedOn w:val="Normal"/>
    <w:next w:val="Normal"/>
    <w:link w:val="TitleChar"/>
    <w:uiPriority w:val="10"/>
    <w:qFormat/>
    <w:rsid w:val="00851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41A"/>
    <w:pPr>
      <w:spacing w:before="160"/>
      <w:jc w:val="center"/>
    </w:pPr>
    <w:rPr>
      <w:i/>
      <w:iCs/>
      <w:color w:val="404040" w:themeColor="text1" w:themeTint="BF"/>
    </w:rPr>
  </w:style>
  <w:style w:type="character" w:customStyle="1" w:styleId="QuoteChar">
    <w:name w:val="Quote Char"/>
    <w:basedOn w:val="DefaultParagraphFont"/>
    <w:link w:val="Quote"/>
    <w:uiPriority w:val="29"/>
    <w:rsid w:val="0085141A"/>
    <w:rPr>
      <w:i/>
      <w:iCs/>
      <w:color w:val="404040" w:themeColor="text1" w:themeTint="BF"/>
    </w:rPr>
  </w:style>
  <w:style w:type="paragraph" w:styleId="ListParagraph">
    <w:name w:val="List Paragraph"/>
    <w:basedOn w:val="Normal"/>
    <w:uiPriority w:val="34"/>
    <w:qFormat/>
    <w:rsid w:val="0085141A"/>
    <w:pPr>
      <w:ind w:left="720"/>
      <w:contextualSpacing/>
    </w:pPr>
  </w:style>
  <w:style w:type="character" w:styleId="IntenseEmphasis">
    <w:name w:val="Intense Emphasis"/>
    <w:basedOn w:val="DefaultParagraphFont"/>
    <w:uiPriority w:val="21"/>
    <w:qFormat/>
    <w:rsid w:val="0085141A"/>
    <w:rPr>
      <w:i/>
      <w:iCs/>
      <w:color w:val="2F5496" w:themeColor="accent1" w:themeShade="BF"/>
    </w:rPr>
  </w:style>
  <w:style w:type="paragraph" w:styleId="IntenseQuote">
    <w:name w:val="Intense Quote"/>
    <w:basedOn w:val="Normal"/>
    <w:next w:val="Normal"/>
    <w:link w:val="IntenseQuoteChar"/>
    <w:uiPriority w:val="30"/>
    <w:qFormat/>
    <w:rsid w:val="00851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141A"/>
    <w:rPr>
      <w:i/>
      <w:iCs/>
      <w:color w:val="2F5496" w:themeColor="accent1" w:themeShade="BF"/>
    </w:rPr>
  </w:style>
  <w:style w:type="character" w:styleId="IntenseReference">
    <w:name w:val="Intense Reference"/>
    <w:basedOn w:val="DefaultParagraphFont"/>
    <w:uiPriority w:val="32"/>
    <w:qFormat/>
    <w:rsid w:val="0085141A"/>
    <w:rPr>
      <w:b/>
      <w:bCs/>
      <w:smallCaps/>
      <w:color w:val="2F5496" w:themeColor="accent1" w:themeShade="BF"/>
      <w:spacing w:val="5"/>
    </w:rPr>
  </w:style>
  <w:style w:type="character" w:styleId="Hyperlink">
    <w:name w:val="Hyperlink"/>
    <w:basedOn w:val="DefaultParagraphFont"/>
    <w:uiPriority w:val="99"/>
    <w:unhideWhenUsed/>
    <w:rsid w:val="001D5763"/>
    <w:rPr>
      <w:color w:val="0563C1" w:themeColor="hyperlink"/>
      <w:u w:val="single"/>
    </w:rPr>
  </w:style>
  <w:style w:type="character" w:styleId="UnresolvedMention">
    <w:name w:val="Unresolved Mention"/>
    <w:basedOn w:val="DefaultParagraphFont"/>
    <w:uiPriority w:val="99"/>
    <w:semiHidden/>
    <w:unhideWhenUsed/>
    <w:rsid w:val="001D5763"/>
    <w:rPr>
      <w:color w:val="605E5C"/>
      <w:shd w:val="clear" w:color="auto" w:fill="E1DFDD"/>
    </w:rPr>
  </w:style>
  <w:style w:type="table" w:styleId="TableGrid">
    <w:name w:val="Table Grid"/>
    <w:basedOn w:val="TableNormal"/>
    <w:uiPriority w:val="39"/>
    <w:rsid w:val="00D34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22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247"/>
  </w:style>
  <w:style w:type="paragraph" w:styleId="Footer">
    <w:name w:val="footer"/>
    <w:basedOn w:val="Normal"/>
    <w:link w:val="FooterChar"/>
    <w:uiPriority w:val="99"/>
    <w:unhideWhenUsed/>
    <w:rsid w:val="005D22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1007/s00436-011-2263-1" TargetMode="External"/><Relationship Id="rId18" Type="http://schemas.openxmlformats.org/officeDocument/2006/relationships/hyperlink" Target="https://doi.org/10.3389/fphys.2019.01591"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doi.org/10.1016/j.toxicon.2004.07.009" TargetMode="External"/><Relationship Id="rId7" Type="http://schemas.openxmlformats.org/officeDocument/2006/relationships/image" Target="media/image1.png"/><Relationship Id="rId12" Type="http://schemas.openxmlformats.org/officeDocument/2006/relationships/hyperlink" Target="https://doi.org/10.1016/j.sajb.2022.11.028" TargetMode="External"/><Relationship Id="rId17" Type="http://schemas.openxmlformats.org/officeDocument/2006/relationships/hyperlink" Target="https://doi.org/10.1007/s00436-008-1005-5"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007/s00436-015-4335-0" TargetMode="External"/><Relationship Id="rId20" Type="http://schemas.openxmlformats.org/officeDocument/2006/relationships/hyperlink" Target="https://doi.org/10.1016/j.exppara.2023.10852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aab.12061"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02/cbdv.202100145?utm_source=chatgp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111/j.1744-7348.1944.tb06210.x" TargetMode="External"/><Relationship Id="rId19" Type="http://schemas.openxmlformats.org/officeDocument/2006/relationships/hyperlink" Target="https://doi.org/10.1038/s41598-024-67148-w" TargetMode="External"/><Relationship Id="rId4" Type="http://schemas.openxmlformats.org/officeDocument/2006/relationships/webSettings" Target="webSettings.xml"/><Relationship Id="rId9" Type="http://schemas.openxmlformats.org/officeDocument/2006/relationships/hyperlink" Target="https://doi.org/10.1186/1475-2875-8-124" TargetMode="External"/><Relationship Id="rId14" Type="http://schemas.openxmlformats.org/officeDocument/2006/relationships/hyperlink" Target="https://doi.org/10.1007/978-94-009-5570-7" TargetMode="External"/><Relationship Id="rId22" Type="http://schemas.openxmlformats.org/officeDocument/2006/relationships/header" Target="header1.xml"/><Relationship Id="rId27"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llesh\Downloads\Suhasini\1\Figur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w="25400">
          <a:noFill/>
        </a:ln>
        <a:effectLst/>
        <a:sp3d/>
      </c:spPr>
    </c:backWall>
    <c:plotArea>
      <c:layout>
        <c:manualLayout>
          <c:layoutTarget val="inner"/>
          <c:xMode val="edge"/>
          <c:yMode val="edge"/>
          <c:x val="0.12826159230096237"/>
          <c:y val="0.17171296296296298"/>
          <c:w val="0.84396062992125986"/>
          <c:h val="0.57185950714494027"/>
        </c:manualLayout>
      </c:layout>
      <c:bar3DChart>
        <c:barDir val="col"/>
        <c:grouping val="clustered"/>
        <c:varyColors val="0"/>
        <c:ser>
          <c:idx val="0"/>
          <c:order val="0"/>
          <c:tx>
            <c:strRef>
              <c:f>Sheet1!$D$4</c:f>
              <c:strCache>
                <c:ptCount val="1"/>
                <c:pt idx="0">
                  <c:v>Extract yield (%)</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0" i="0" u="none" strike="noStrike" kern="1200" baseline="0">
                    <a:ln>
                      <a:solidFill>
                        <a:sysClr val="windowText" lastClr="000000"/>
                      </a:solidFill>
                    </a:ln>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e-I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Sheet1!$C$5:$C$9</c:f>
              <c:strCache>
                <c:ptCount val="5"/>
                <c:pt idx="0">
                  <c:v>Azadirachta indica</c:v>
                </c:pt>
                <c:pt idx="1">
                  <c:v>Lantana camara</c:v>
                </c:pt>
                <c:pt idx="2">
                  <c:v>Vitex negundo</c:v>
                </c:pt>
                <c:pt idx="3">
                  <c:v>Ocimum tenuiflorum</c:v>
                </c:pt>
                <c:pt idx="4">
                  <c:v>Calotropis gigantea</c:v>
                </c:pt>
              </c:strCache>
            </c:strRef>
          </c:cat>
          <c:val>
            <c:numRef>
              <c:f>Sheet1!$D$5:$D$9</c:f>
              <c:numCache>
                <c:formatCode>General</c:formatCode>
                <c:ptCount val="5"/>
                <c:pt idx="0">
                  <c:v>13.8</c:v>
                </c:pt>
                <c:pt idx="1">
                  <c:v>10.9</c:v>
                </c:pt>
                <c:pt idx="2">
                  <c:v>12.6</c:v>
                </c:pt>
                <c:pt idx="3">
                  <c:v>15.4</c:v>
                </c:pt>
                <c:pt idx="4">
                  <c:v>11.7</c:v>
                </c:pt>
              </c:numCache>
            </c:numRef>
          </c:val>
          <c:extLst>
            <c:ext xmlns:c16="http://schemas.microsoft.com/office/drawing/2014/chart" uri="{C3380CC4-5D6E-409C-BE32-E72D297353CC}">
              <c16:uniqueId val="{00000000-F68C-4BC7-B941-56F2DE14ABB7}"/>
            </c:ext>
          </c:extLst>
        </c:ser>
        <c:dLbls>
          <c:showLegendKey val="0"/>
          <c:showVal val="1"/>
          <c:showCatName val="0"/>
          <c:showSerName val="0"/>
          <c:showPercent val="0"/>
          <c:showBubbleSize val="0"/>
        </c:dLbls>
        <c:gapWidth val="150"/>
        <c:shape val="box"/>
        <c:axId val="1949768064"/>
        <c:axId val="1949757504"/>
        <c:axId val="0"/>
      </c:bar3DChart>
      <c:catAx>
        <c:axId val="1949768064"/>
        <c:scaling>
          <c:orientation val="minMax"/>
        </c:scaling>
        <c:delete val="0"/>
        <c:axPos val="b"/>
        <c:title>
          <c:tx>
            <c:rich>
              <a:bodyPr rot="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a:t>Plant species</a:t>
                </a:r>
              </a:p>
            </c:rich>
          </c:tx>
          <c:overlay val="0"/>
          <c:spPr>
            <a:noFill/>
            <a:ln>
              <a:noFill/>
            </a:ln>
            <a:effectLst/>
          </c:spPr>
          <c:txPr>
            <a:bodyPr rot="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1"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crossAx val="1949757504"/>
        <c:crosses val="autoZero"/>
        <c:auto val="1"/>
        <c:lblAlgn val="ctr"/>
        <c:lblOffset val="100"/>
        <c:noMultiLvlLbl val="0"/>
      </c:catAx>
      <c:valAx>
        <c:axId val="1949757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b="0"/>
                  <a:t>Extract yield (%)</a:t>
                </a:r>
              </a:p>
            </c:rich>
          </c:tx>
          <c:layout>
            <c:manualLayout>
              <c:xMode val="edge"/>
              <c:yMode val="edge"/>
              <c:x val="4.6153105861767282E-2"/>
              <c:y val="0.26534776902887142"/>
            </c:manualLayout>
          </c:layout>
          <c:overlay val="0"/>
          <c:spPr>
            <a:noFill/>
            <a:ln>
              <a:noFill/>
            </a:ln>
            <a:effectLst/>
          </c:spPr>
          <c:txPr>
            <a:bodyPr rot="-540000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crossAx val="1949768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n>
            <a:solidFill>
              <a:sysClr val="windowText" lastClr="000000"/>
            </a:solidFill>
          </a:ln>
          <a:latin typeface="Times New Roman" panose="02020603050405020304" pitchFamily="18" charset="0"/>
          <a:cs typeface="Times New Roman" panose="02020603050405020304" pitchFamily="18" charset="0"/>
        </a:defRPr>
      </a:pPr>
      <a:endParaRPr lang="te-I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16</Pages>
  <Words>5011</Words>
  <Characters>28566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Modala Mallesh</dc:creator>
  <cp:keywords/>
  <dc:description/>
  <cp:lastModifiedBy>SDI 1084</cp:lastModifiedBy>
  <cp:revision>163</cp:revision>
  <cp:lastPrinted>2026-08-16T15:57:00Z</cp:lastPrinted>
  <dcterms:created xsi:type="dcterms:W3CDTF">2026-08-14T07:21:00Z</dcterms:created>
  <dcterms:modified xsi:type="dcterms:W3CDTF">2026-08-17T12:51:00Z</dcterms:modified>
</cp:coreProperties>
</file>