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A2EF8" w14:textId="225EC66A" w:rsidR="001812B4" w:rsidRPr="001812B4" w:rsidRDefault="001812B4" w:rsidP="001812B4">
      <w:pPr>
        <w:spacing w:line="360" w:lineRule="auto"/>
        <w:rPr>
          <w:b/>
          <w:bCs/>
          <w:color w:val="000000" w:themeColor="text1"/>
          <w:sz w:val="36"/>
          <w:szCs w:val="36"/>
          <w:u w:val="single"/>
        </w:rPr>
      </w:pPr>
      <w:r w:rsidRPr="001812B4">
        <w:rPr>
          <w:b/>
          <w:bCs/>
          <w:color w:val="000000" w:themeColor="text1"/>
          <w:sz w:val="36"/>
          <w:szCs w:val="36"/>
          <w:u w:val="single"/>
        </w:rPr>
        <w:t>Original Research Article</w:t>
      </w:r>
    </w:p>
    <w:p w14:paraId="6E0854DD" w14:textId="1A9C9F5B" w:rsidR="00086B16" w:rsidRPr="00BC3FFD" w:rsidRDefault="00000000" w:rsidP="00B22351">
      <w:pPr>
        <w:spacing w:line="360" w:lineRule="auto"/>
        <w:jc w:val="center"/>
        <w:rPr>
          <w:color w:val="000000" w:themeColor="text1"/>
          <w:sz w:val="36"/>
          <w:szCs w:val="36"/>
        </w:rPr>
      </w:pPr>
      <w:r w:rsidRPr="00BC3FFD">
        <w:rPr>
          <w:b/>
          <w:bCs/>
          <w:color w:val="000000" w:themeColor="text1"/>
          <w:sz w:val="36"/>
          <w:szCs w:val="36"/>
        </w:rPr>
        <w:t xml:space="preserve">Pest Intensity of Tomato Fruit Borer, </w:t>
      </w:r>
      <w:r w:rsidRPr="00BC3FFD">
        <w:rPr>
          <w:b/>
          <w:bCs/>
          <w:i/>
          <w:iCs/>
          <w:color w:val="000000" w:themeColor="text1"/>
          <w:sz w:val="36"/>
          <w:szCs w:val="36"/>
        </w:rPr>
        <w:t xml:space="preserve">Spodoptera </w:t>
      </w:r>
      <w:proofErr w:type="spellStart"/>
      <w:r w:rsidRPr="00BC3FFD">
        <w:rPr>
          <w:b/>
          <w:bCs/>
          <w:i/>
          <w:iCs/>
          <w:color w:val="000000" w:themeColor="text1"/>
          <w:sz w:val="36"/>
          <w:szCs w:val="36"/>
        </w:rPr>
        <w:t>litura</w:t>
      </w:r>
      <w:proofErr w:type="spellEnd"/>
      <w:r w:rsidRPr="00BC3FFD">
        <w:rPr>
          <w:b/>
          <w:bCs/>
          <w:color w:val="000000" w:themeColor="text1"/>
          <w:sz w:val="36"/>
          <w:szCs w:val="36"/>
        </w:rPr>
        <w:t xml:space="preserve"> (Fabricius), and Its Effect on Fruit Yield in Six Tomato (</w:t>
      </w:r>
      <w:r w:rsidRPr="00BC3FFD">
        <w:rPr>
          <w:b/>
          <w:bCs/>
          <w:i/>
          <w:iCs/>
          <w:color w:val="000000" w:themeColor="text1"/>
          <w:sz w:val="36"/>
          <w:szCs w:val="36"/>
        </w:rPr>
        <w:t xml:space="preserve">Solanum </w:t>
      </w:r>
      <w:proofErr w:type="spellStart"/>
      <w:r w:rsidRPr="00BC3FFD">
        <w:rPr>
          <w:b/>
          <w:bCs/>
          <w:i/>
          <w:iCs/>
          <w:color w:val="000000" w:themeColor="text1"/>
          <w:sz w:val="36"/>
          <w:szCs w:val="36"/>
        </w:rPr>
        <w:t>lycopersicum</w:t>
      </w:r>
      <w:proofErr w:type="spellEnd"/>
      <w:r w:rsidRPr="00BC3FFD">
        <w:rPr>
          <w:b/>
          <w:bCs/>
          <w:color w:val="000000" w:themeColor="text1"/>
          <w:sz w:val="36"/>
          <w:szCs w:val="36"/>
        </w:rPr>
        <w:t xml:space="preserve"> L.) Varieties Under Untreated Field Conditions </w:t>
      </w:r>
    </w:p>
    <w:p w14:paraId="581032FE" w14:textId="77777777" w:rsidR="00E25E9B" w:rsidRPr="00BC3FFD" w:rsidRDefault="00E25E9B" w:rsidP="00B22351">
      <w:pPr>
        <w:spacing w:line="360" w:lineRule="auto"/>
        <w:jc w:val="both"/>
        <w:rPr>
          <w:color w:val="000000" w:themeColor="text1"/>
        </w:rPr>
      </w:pPr>
    </w:p>
    <w:p w14:paraId="00812FD7" w14:textId="77777777" w:rsidR="00E25E9B" w:rsidRPr="00BC3FFD" w:rsidRDefault="00E25E9B" w:rsidP="00B22351">
      <w:pPr>
        <w:spacing w:line="360" w:lineRule="auto"/>
        <w:jc w:val="both"/>
        <w:rPr>
          <w:color w:val="000000" w:themeColor="text1"/>
        </w:rPr>
      </w:pPr>
    </w:p>
    <w:p w14:paraId="7714FE5A" w14:textId="77777777" w:rsidR="00086B16" w:rsidRPr="00BC3FFD" w:rsidRDefault="00C80E0E" w:rsidP="00B22351">
      <w:pPr>
        <w:pStyle w:val="Heading1"/>
        <w:spacing w:before="280" w:line="360" w:lineRule="auto"/>
        <w:rPr>
          <w:rFonts w:ascii="Arial" w:hAnsi="Arial" w:cs="Arial"/>
          <w:color w:val="000000" w:themeColor="text1"/>
          <w:sz w:val="22"/>
          <w:szCs w:val="22"/>
        </w:rPr>
      </w:pPr>
      <w:r w:rsidRPr="00BC3FFD">
        <w:rPr>
          <w:rFonts w:ascii="Arial" w:hAnsi="Arial" w:cs="Arial"/>
          <w:b/>
          <w:bCs/>
          <w:color w:val="000000" w:themeColor="text1"/>
          <w:sz w:val="22"/>
          <w:szCs w:val="22"/>
        </w:rPr>
        <w:t>ABSTRACT</w:t>
      </w:r>
    </w:p>
    <w:p w14:paraId="7B6ECC30" w14:textId="77777777" w:rsidR="00086B16" w:rsidRPr="00BC3FFD" w:rsidRDefault="00000000" w:rsidP="00B22351">
      <w:pPr>
        <w:spacing w:line="360" w:lineRule="auto"/>
        <w:rPr>
          <w:rFonts w:ascii="Arial" w:hAnsi="Arial" w:cs="Arial"/>
          <w:color w:val="000000" w:themeColor="text1"/>
          <w:sz w:val="22"/>
          <w:szCs w:val="22"/>
        </w:rPr>
      </w:pPr>
      <w:r w:rsidRPr="00BC3FFD">
        <w:rPr>
          <w:rFonts w:ascii="Arial" w:hAnsi="Arial" w:cs="Arial"/>
          <w:color w:val="000000" w:themeColor="text1"/>
          <w:sz w:val="22"/>
          <w:szCs w:val="22"/>
        </w:rPr>
        <w:t>Tomato (</w:t>
      </w:r>
      <w:r w:rsidRPr="00BC3FFD">
        <w:rPr>
          <w:rFonts w:ascii="Arial" w:hAnsi="Arial" w:cs="Arial"/>
          <w:i/>
          <w:iCs/>
          <w:color w:val="000000" w:themeColor="text1"/>
          <w:sz w:val="22"/>
          <w:szCs w:val="22"/>
        </w:rPr>
        <w:t xml:space="preserve">Solanum </w:t>
      </w:r>
      <w:proofErr w:type="spellStart"/>
      <w:r w:rsidRPr="00BC3FFD">
        <w:rPr>
          <w:rFonts w:ascii="Arial" w:hAnsi="Arial" w:cs="Arial"/>
          <w:i/>
          <w:iCs/>
          <w:color w:val="000000" w:themeColor="text1"/>
          <w:sz w:val="22"/>
          <w:szCs w:val="22"/>
        </w:rPr>
        <w:t>lycopersicum</w:t>
      </w:r>
      <w:proofErr w:type="spellEnd"/>
      <w:r w:rsidRPr="00BC3FFD">
        <w:rPr>
          <w:rFonts w:ascii="Arial" w:hAnsi="Arial" w:cs="Arial"/>
          <w:color w:val="000000" w:themeColor="text1"/>
          <w:sz w:val="22"/>
          <w:szCs w:val="22"/>
        </w:rPr>
        <w:t xml:space="preserve"> L.) is one of the most widely grown and economically important vegetable crops in India, but its yield is consistently constrained by lepidopteran fruit borers, particularly </w:t>
      </w:r>
      <w:r w:rsidRPr="00BC3FFD">
        <w:rPr>
          <w:rFonts w:ascii="Arial" w:hAnsi="Arial" w:cs="Arial"/>
          <w:i/>
          <w:iCs/>
          <w:color w:val="000000" w:themeColor="text1"/>
          <w:sz w:val="22"/>
          <w:szCs w:val="22"/>
        </w:rPr>
        <w:t xml:space="preserve">Spodoptera </w:t>
      </w:r>
      <w:proofErr w:type="spellStart"/>
      <w:r w:rsidRPr="00BC3FFD">
        <w:rPr>
          <w:rFonts w:ascii="Arial" w:hAnsi="Arial" w:cs="Arial"/>
          <w:i/>
          <w:iCs/>
          <w:color w:val="000000" w:themeColor="text1"/>
          <w:sz w:val="22"/>
          <w:szCs w:val="22"/>
        </w:rPr>
        <w:t>litura</w:t>
      </w:r>
      <w:proofErr w:type="spellEnd"/>
      <w:r w:rsidRPr="00BC3FFD">
        <w:rPr>
          <w:rFonts w:ascii="Arial" w:hAnsi="Arial" w:cs="Arial"/>
          <w:color w:val="000000" w:themeColor="text1"/>
          <w:sz w:val="22"/>
          <w:szCs w:val="22"/>
        </w:rPr>
        <w:t xml:space="preserve"> (Fabricius). A field investigation was carried out during 2016–17 to record the pest intensity of </w:t>
      </w:r>
      <w:r w:rsidRPr="00BC3FFD">
        <w:rPr>
          <w:rFonts w:ascii="Arial" w:hAnsi="Arial" w:cs="Arial"/>
          <w:i/>
          <w:iCs/>
          <w:color w:val="000000" w:themeColor="text1"/>
          <w:sz w:val="22"/>
          <w:szCs w:val="22"/>
        </w:rPr>
        <w:t xml:space="preserve">S. </w:t>
      </w:r>
      <w:proofErr w:type="spellStart"/>
      <w:r w:rsidRPr="00BC3FFD">
        <w:rPr>
          <w:rFonts w:ascii="Arial" w:hAnsi="Arial" w:cs="Arial"/>
          <w:i/>
          <w:iCs/>
          <w:color w:val="000000" w:themeColor="text1"/>
          <w:sz w:val="22"/>
          <w:szCs w:val="22"/>
        </w:rPr>
        <w:t>litura</w:t>
      </w:r>
      <w:proofErr w:type="spellEnd"/>
      <w:r w:rsidRPr="00BC3FFD">
        <w:rPr>
          <w:rFonts w:ascii="Arial" w:hAnsi="Arial" w:cs="Arial"/>
          <w:color w:val="000000" w:themeColor="text1"/>
          <w:sz w:val="22"/>
          <w:szCs w:val="22"/>
        </w:rPr>
        <w:t xml:space="preserve"> on six tomato varieties — Pusa Gaurav, Ratna, Arka Saurabh, Pant Bahar, Arka Abha and an untreated Control — left unprotected from pest attack, and to relate this intensity to fruit yield. Larval counts per plant were recorded at weekly intervals from the third week of January to the first week of April and subjected to square-</w:t>
      </w:r>
      <w:proofErr w:type="spellStart"/>
      <w:r w:rsidRPr="00BC3FFD">
        <w:rPr>
          <w:rFonts w:ascii="Arial" w:hAnsi="Arial" w:cs="Arial"/>
          <w:color w:val="000000" w:themeColor="text1"/>
          <w:sz w:val="22"/>
          <w:szCs w:val="22"/>
        </w:rPr>
        <w:t>root</w:t>
      </w:r>
      <w:proofErr w:type="spellEnd"/>
      <w:r w:rsidRPr="00BC3FFD">
        <w:rPr>
          <w:rFonts w:ascii="Arial" w:hAnsi="Arial" w:cs="Arial"/>
          <w:color w:val="000000" w:themeColor="text1"/>
          <w:sz w:val="22"/>
          <w:szCs w:val="22"/>
        </w:rPr>
        <w:t xml:space="preserve"> transformation before analysis. Pest intensity varied appreciably among varieties and across the observation period, with population buildup generally peaking between mid-February and early March. Arka Saurabh recorded the lowest mean pest intensity (0.37–0.39 larvae/plant) but also comparatively low yield (15.40 kg), whereas Pant Bahar combined a low pest load (0.28–0.54 larvae/plant) with the highest yield (18.95 kg), suggesting a favourable tolerance response. Ratna and Pusa Gaurav carried the heaviest pest burden and showed correspondingly greater within-season yield variability. The untreated Control recorded the lowest overall yield (13.40 kg), underscoring the yield penalty associated with unmanaged </w:t>
      </w:r>
      <w:r w:rsidRPr="00BC3FFD">
        <w:rPr>
          <w:rFonts w:ascii="Arial" w:hAnsi="Arial" w:cs="Arial"/>
          <w:i/>
          <w:iCs/>
          <w:color w:val="000000" w:themeColor="text1"/>
          <w:sz w:val="22"/>
          <w:szCs w:val="22"/>
        </w:rPr>
        <w:t xml:space="preserve">S. </w:t>
      </w:r>
      <w:proofErr w:type="spellStart"/>
      <w:r w:rsidRPr="00BC3FFD">
        <w:rPr>
          <w:rFonts w:ascii="Arial" w:hAnsi="Arial" w:cs="Arial"/>
          <w:i/>
          <w:iCs/>
          <w:color w:val="000000" w:themeColor="text1"/>
          <w:sz w:val="22"/>
          <w:szCs w:val="22"/>
        </w:rPr>
        <w:t>litura</w:t>
      </w:r>
      <w:proofErr w:type="spellEnd"/>
      <w:r w:rsidRPr="00BC3FFD">
        <w:rPr>
          <w:rFonts w:ascii="Arial" w:hAnsi="Arial" w:cs="Arial"/>
          <w:color w:val="000000" w:themeColor="text1"/>
          <w:sz w:val="22"/>
          <w:szCs w:val="22"/>
        </w:rPr>
        <w:t xml:space="preserve"> infestation. These findings indicate that varietal choice can meaningfully influence </w:t>
      </w:r>
      <w:r w:rsidRPr="00BC3FFD">
        <w:rPr>
          <w:rFonts w:ascii="Arial" w:hAnsi="Arial" w:cs="Arial"/>
          <w:i/>
          <w:iCs/>
          <w:color w:val="000000" w:themeColor="text1"/>
          <w:sz w:val="22"/>
          <w:szCs w:val="22"/>
        </w:rPr>
        <w:t xml:space="preserve">S. </w:t>
      </w:r>
      <w:proofErr w:type="spellStart"/>
      <w:r w:rsidRPr="00BC3FFD">
        <w:rPr>
          <w:rFonts w:ascii="Arial" w:hAnsi="Arial" w:cs="Arial"/>
          <w:i/>
          <w:iCs/>
          <w:color w:val="000000" w:themeColor="text1"/>
          <w:sz w:val="22"/>
          <w:szCs w:val="22"/>
        </w:rPr>
        <w:t>litura</w:t>
      </w:r>
      <w:proofErr w:type="spellEnd"/>
      <w:r w:rsidRPr="00BC3FFD">
        <w:rPr>
          <w:rFonts w:ascii="Arial" w:hAnsi="Arial" w:cs="Arial"/>
          <w:color w:val="000000" w:themeColor="text1"/>
          <w:sz w:val="22"/>
          <w:szCs w:val="22"/>
        </w:rPr>
        <w:t xml:space="preserve"> pressure and support the inclusion of Pant Bahar and Arka Saurabh in integrated pest management and future breeding programmes targeting fruit-borer tolerance.</w:t>
      </w:r>
    </w:p>
    <w:p w14:paraId="649C3ECD" w14:textId="77777777" w:rsidR="00086B16" w:rsidRPr="00BC3FFD" w:rsidRDefault="00000000" w:rsidP="00B22351">
      <w:pPr>
        <w:spacing w:line="360" w:lineRule="auto"/>
        <w:jc w:val="center"/>
        <w:rPr>
          <w:rFonts w:ascii="Arial" w:hAnsi="Arial" w:cs="Arial"/>
          <w:color w:val="000000" w:themeColor="text1"/>
          <w:sz w:val="20"/>
          <w:szCs w:val="20"/>
        </w:rPr>
      </w:pPr>
      <w:r w:rsidRPr="00BC3FFD">
        <w:rPr>
          <w:b/>
          <w:bCs/>
          <w:color w:val="000000" w:themeColor="text1"/>
        </w:rPr>
        <w:t xml:space="preserve">Keywords: </w:t>
      </w:r>
      <w:r w:rsidRPr="00BC3FFD">
        <w:rPr>
          <w:rFonts w:ascii="Arial" w:hAnsi="Arial" w:cs="Arial"/>
          <w:i/>
          <w:iCs/>
          <w:color w:val="000000" w:themeColor="text1"/>
          <w:sz w:val="20"/>
          <w:szCs w:val="20"/>
        </w:rPr>
        <w:t xml:space="preserve">Spodoptera </w:t>
      </w:r>
      <w:proofErr w:type="spellStart"/>
      <w:r w:rsidRPr="00BC3FFD">
        <w:rPr>
          <w:rFonts w:ascii="Arial" w:hAnsi="Arial" w:cs="Arial"/>
          <w:i/>
          <w:iCs/>
          <w:color w:val="000000" w:themeColor="text1"/>
          <w:sz w:val="20"/>
          <w:szCs w:val="20"/>
        </w:rPr>
        <w:t>litura</w:t>
      </w:r>
      <w:proofErr w:type="spellEnd"/>
      <w:r w:rsidRPr="00BC3FFD">
        <w:rPr>
          <w:rFonts w:ascii="Arial" w:hAnsi="Arial" w:cs="Arial"/>
          <w:i/>
          <w:iCs/>
          <w:color w:val="000000" w:themeColor="text1"/>
          <w:sz w:val="20"/>
          <w:szCs w:val="20"/>
        </w:rPr>
        <w:t>;</w:t>
      </w:r>
      <w:r w:rsidRPr="00BC3FFD">
        <w:rPr>
          <w:rFonts w:ascii="Arial" w:hAnsi="Arial" w:cs="Arial"/>
          <w:color w:val="000000" w:themeColor="text1"/>
          <w:sz w:val="20"/>
          <w:szCs w:val="20"/>
        </w:rPr>
        <w:t xml:space="preserve"> tomato; </w:t>
      </w:r>
      <w:r w:rsidRPr="00BC3FFD">
        <w:rPr>
          <w:rFonts w:ascii="Arial" w:hAnsi="Arial" w:cs="Arial"/>
          <w:i/>
          <w:iCs/>
          <w:color w:val="000000" w:themeColor="text1"/>
          <w:sz w:val="20"/>
          <w:szCs w:val="20"/>
        </w:rPr>
        <w:t xml:space="preserve">Solanum </w:t>
      </w:r>
      <w:proofErr w:type="spellStart"/>
      <w:r w:rsidRPr="00BC3FFD">
        <w:rPr>
          <w:rFonts w:ascii="Arial" w:hAnsi="Arial" w:cs="Arial"/>
          <w:i/>
          <w:iCs/>
          <w:color w:val="000000" w:themeColor="text1"/>
          <w:sz w:val="20"/>
          <w:szCs w:val="20"/>
        </w:rPr>
        <w:t>lycopersicum</w:t>
      </w:r>
      <w:proofErr w:type="spellEnd"/>
      <w:r w:rsidRPr="00BC3FFD">
        <w:rPr>
          <w:rFonts w:ascii="Arial" w:hAnsi="Arial" w:cs="Arial"/>
          <w:color w:val="000000" w:themeColor="text1"/>
          <w:sz w:val="20"/>
          <w:szCs w:val="20"/>
        </w:rPr>
        <w:t>; pest intensity; varietal resistance; yield</w:t>
      </w:r>
    </w:p>
    <w:p w14:paraId="592237EE" w14:textId="77777777" w:rsidR="00086B16" w:rsidRPr="00BC3FFD" w:rsidRDefault="00C80E0E" w:rsidP="00B22351">
      <w:pPr>
        <w:pStyle w:val="Heading1"/>
        <w:spacing w:before="280" w:line="360" w:lineRule="auto"/>
        <w:jc w:val="both"/>
        <w:rPr>
          <w:rFonts w:ascii="Arial" w:hAnsi="Arial" w:cs="Arial"/>
          <w:color w:val="000000" w:themeColor="text1"/>
          <w:sz w:val="20"/>
          <w:szCs w:val="20"/>
        </w:rPr>
      </w:pPr>
      <w:r w:rsidRPr="00BC3FFD">
        <w:rPr>
          <w:b/>
          <w:bCs/>
          <w:color w:val="000000" w:themeColor="text1"/>
          <w:sz w:val="24"/>
          <w:szCs w:val="24"/>
        </w:rPr>
        <w:lastRenderedPageBreak/>
        <w:t>1</w:t>
      </w:r>
      <w:r w:rsidRPr="00BC3FFD">
        <w:rPr>
          <w:rFonts w:ascii="Arial" w:hAnsi="Arial" w:cs="Arial"/>
          <w:b/>
          <w:bCs/>
          <w:color w:val="000000" w:themeColor="text1"/>
          <w:sz w:val="20"/>
          <w:szCs w:val="20"/>
        </w:rPr>
        <w:t>. INTRODUCTION</w:t>
      </w:r>
    </w:p>
    <w:p w14:paraId="10C89029" w14:textId="77777777" w:rsidR="00086B16"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Tomato (</w:t>
      </w:r>
      <w:r w:rsidRPr="00BC3FFD">
        <w:rPr>
          <w:rFonts w:ascii="Arial" w:hAnsi="Arial" w:cs="Arial"/>
          <w:i/>
          <w:iCs/>
          <w:color w:val="000000" w:themeColor="text1"/>
          <w:sz w:val="20"/>
          <w:szCs w:val="20"/>
        </w:rPr>
        <w:t xml:space="preserve">Solanum </w:t>
      </w:r>
      <w:proofErr w:type="spellStart"/>
      <w:r w:rsidRPr="00BC3FFD">
        <w:rPr>
          <w:rFonts w:ascii="Arial" w:hAnsi="Arial" w:cs="Arial"/>
          <w:i/>
          <w:iCs/>
          <w:color w:val="000000" w:themeColor="text1"/>
          <w:sz w:val="20"/>
          <w:szCs w:val="20"/>
        </w:rPr>
        <w:t>lycopersicum</w:t>
      </w:r>
      <w:proofErr w:type="spellEnd"/>
      <w:r w:rsidRPr="00BC3FFD">
        <w:rPr>
          <w:rFonts w:ascii="Arial" w:hAnsi="Arial" w:cs="Arial"/>
          <w:color w:val="000000" w:themeColor="text1"/>
          <w:sz w:val="20"/>
          <w:szCs w:val="20"/>
        </w:rPr>
        <w:t xml:space="preserve"> L.) ranks among the most widely cultivated and consumed vegetable crops in the world, valued for its nutritional richness and year-round market demand. India is the second-largest producer of tomato globally, yet realised yields remain well below potential largely because of insect pest pressure. Among the various pests that attack tomato, the fruit borer complex — principally </w:t>
      </w:r>
      <w:r w:rsidRPr="00BC3FFD">
        <w:rPr>
          <w:rFonts w:ascii="Arial" w:hAnsi="Arial" w:cs="Arial"/>
          <w:i/>
          <w:iCs/>
          <w:color w:val="000000" w:themeColor="text1"/>
          <w:sz w:val="20"/>
          <w:szCs w:val="20"/>
        </w:rPr>
        <w:t>Helicoverpa armigera</w:t>
      </w:r>
      <w:r w:rsidRPr="00BC3FFD">
        <w:rPr>
          <w:rFonts w:ascii="Arial" w:hAnsi="Arial" w:cs="Arial"/>
          <w:color w:val="000000" w:themeColor="text1"/>
          <w:sz w:val="20"/>
          <w:szCs w:val="20"/>
        </w:rPr>
        <w:t xml:space="preserve"> (Hubner) and the tobacco cutworm/common cutworm </w:t>
      </w:r>
      <w:r w:rsidRPr="00BC3FFD">
        <w:rPr>
          <w:rFonts w:ascii="Arial" w:hAnsi="Arial" w:cs="Arial"/>
          <w:i/>
          <w:iCs/>
          <w:color w:val="000000" w:themeColor="text1"/>
          <w:sz w:val="20"/>
          <w:szCs w:val="20"/>
        </w:rPr>
        <w:t xml:space="preserve">Spodoptera </w:t>
      </w:r>
      <w:proofErr w:type="spellStart"/>
      <w:r w:rsidRPr="00BC3FFD">
        <w:rPr>
          <w:rFonts w:ascii="Arial" w:hAnsi="Arial" w:cs="Arial"/>
          <w:i/>
          <w:iCs/>
          <w:color w:val="000000" w:themeColor="text1"/>
          <w:sz w:val="20"/>
          <w:szCs w:val="20"/>
        </w:rPr>
        <w:t>litura</w:t>
      </w:r>
      <w:proofErr w:type="spellEnd"/>
      <w:r w:rsidRPr="00BC3FFD">
        <w:rPr>
          <w:rFonts w:ascii="Arial" w:hAnsi="Arial" w:cs="Arial"/>
          <w:i/>
          <w:iCs/>
          <w:color w:val="000000" w:themeColor="text1"/>
          <w:sz w:val="20"/>
          <w:szCs w:val="20"/>
        </w:rPr>
        <w:t xml:space="preserve"> </w:t>
      </w:r>
      <w:r w:rsidRPr="00BC3FFD">
        <w:rPr>
          <w:rFonts w:ascii="Arial" w:hAnsi="Arial" w:cs="Arial"/>
          <w:color w:val="000000" w:themeColor="text1"/>
          <w:sz w:val="20"/>
          <w:szCs w:val="20"/>
        </w:rPr>
        <w:t>(Fabricius) — causes the most severe economic damage.</w:t>
      </w:r>
      <w:r w:rsidR="008C6858" w:rsidRPr="00BC3FFD">
        <w:rPr>
          <w:rFonts w:ascii="Arial" w:hAnsi="Arial" w:cs="Arial"/>
          <w:color w:val="000000" w:themeColor="text1"/>
          <w:sz w:val="20"/>
          <w:szCs w:val="20"/>
        </w:rPr>
        <w:t xml:space="preserve"> </w:t>
      </w:r>
      <w:r w:rsidRPr="00BC3FFD">
        <w:rPr>
          <w:rFonts w:ascii="Arial" w:hAnsi="Arial" w:cs="Arial"/>
          <w:i/>
          <w:iCs/>
          <w:color w:val="000000" w:themeColor="text1"/>
          <w:sz w:val="20"/>
          <w:szCs w:val="20"/>
        </w:rPr>
        <w:t xml:space="preserve">Spodoptera </w:t>
      </w:r>
      <w:proofErr w:type="spellStart"/>
      <w:r w:rsidRPr="00BC3FFD">
        <w:rPr>
          <w:rFonts w:ascii="Arial" w:hAnsi="Arial" w:cs="Arial"/>
          <w:i/>
          <w:iCs/>
          <w:color w:val="000000" w:themeColor="text1"/>
          <w:sz w:val="20"/>
          <w:szCs w:val="20"/>
        </w:rPr>
        <w:t>litura</w:t>
      </w:r>
      <w:proofErr w:type="spellEnd"/>
      <w:r w:rsidRPr="00BC3FFD">
        <w:rPr>
          <w:rFonts w:ascii="Arial" w:hAnsi="Arial" w:cs="Arial"/>
          <w:color w:val="000000" w:themeColor="text1"/>
          <w:sz w:val="20"/>
          <w:szCs w:val="20"/>
        </w:rPr>
        <w:t xml:space="preserve"> is a highly polyphagous, nocturnal, and destructive noctuid pest reported to feed on a very wide range of host plants across Asia and Oceania. Larvae feed gregariously on foliage in early instars before dispersing to bore into fruits in later stages, and outbreaks are sustained by the moth's strong migratory capacity, which allows populations to be periodically replenished across wide geographic areas.</w:t>
      </w:r>
      <w:r w:rsidR="008C6858" w:rsidRPr="00BC3FFD">
        <w:rPr>
          <w:rFonts w:ascii="Arial" w:hAnsi="Arial" w:cs="Arial"/>
          <w:color w:val="000000" w:themeColor="text1"/>
          <w:sz w:val="20"/>
          <w:szCs w:val="20"/>
        </w:rPr>
        <w:t xml:space="preserve"> </w:t>
      </w:r>
      <w:r w:rsidRPr="00BC3FFD">
        <w:rPr>
          <w:rFonts w:ascii="Arial" w:hAnsi="Arial" w:cs="Arial"/>
          <w:color w:val="000000" w:themeColor="text1"/>
          <w:sz w:val="20"/>
          <w:szCs w:val="20"/>
        </w:rPr>
        <w:t xml:space="preserve">Although </w:t>
      </w:r>
      <w:r w:rsidRPr="00BC3FFD">
        <w:rPr>
          <w:rFonts w:ascii="Arial" w:hAnsi="Arial" w:cs="Arial"/>
          <w:i/>
          <w:iCs/>
          <w:color w:val="000000" w:themeColor="text1"/>
          <w:sz w:val="20"/>
          <w:szCs w:val="20"/>
        </w:rPr>
        <w:t>H. armigera</w:t>
      </w:r>
      <w:r w:rsidRPr="00BC3FFD">
        <w:rPr>
          <w:rFonts w:ascii="Arial" w:hAnsi="Arial" w:cs="Arial"/>
          <w:color w:val="000000" w:themeColor="text1"/>
          <w:sz w:val="20"/>
          <w:szCs w:val="20"/>
        </w:rPr>
        <w:t xml:space="preserve"> has received greater research attention on tomato, </w:t>
      </w:r>
      <w:r w:rsidRPr="00BC3FFD">
        <w:rPr>
          <w:rFonts w:ascii="Arial" w:hAnsi="Arial" w:cs="Arial"/>
          <w:i/>
          <w:iCs/>
          <w:color w:val="000000" w:themeColor="text1"/>
          <w:sz w:val="20"/>
          <w:szCs w:val="20"/>
        </w:rPr>
        <w:t xml:space="preserve">S. </w:t>
      </w:r>
      <w:proofErr w:type="spellStart"/>
      <w:r w:rsidRPr="00BC3FFD">
        <w:rPr>
          <w:rFonts w:ascii="Arial" w:hAnsi="Arial" w:cs="Arial"/>
          <w:i/>
          <w:iCs/>
          <w:color w:val="000000" w:themeColor="text1"/>
          <w:sz w:val="20"/>
          <w:szCs w:val="20"/>
        </w:rPr>
        <w:t>litura</w:t>
      </w:r>
      <w:proofErr w:type="spellEnd"/>
      <w:r w:rsidRPr="00BC3FFD">
        <w:rPr>
          <w:rFonts w:ascii="Arial" w:hAnsi="Arial" w:cs="Arial"/>
          <w:color w:val="000000" w:themeColor="text1"/>
          <w:sz w:val="20"/>
          <w:szCs w:val="20"/>
        </w:rPr>
        <w:t xml:space="preserve"> is an increasingly important defoliator and fruit borer in the Indo-Gangetic plains, including the Kanpur region, and its intensity is known to fluctuate with variety, sowing time and prevailing weather. Screening tomato germplasm for relative susceptibility to fruit borers has repeatedly shown that varieties differ in the extent of larval preference and fruit damage they sustain, indicating that varietal tolerance can be a practical, low-cost component of integrated pest management.</w:t>
      </w:r>
      <w:r w:rsidR="008C6858" w:rsidRPr="00BC3FFD">
        <w:rPr>
          <w:rFonts w:ascii="Arial" w:hAnsi="Arial" w:cs="Arial"/>
          <w:color w:val="000000" w:themeColor="text1"/>
          <w:sz w:val="20"/>
          <w:szCs w:val="20"/>
        </w:rPr>
        <w:t xml:space="preserve"> </w:t>
      </w:r>
      <w:r w:rsidRPr="00BC3FFD">
        <w:rPr>
          <w:rFonts w:ascii="Arial" w:hAnsi="Arial" w:cs="Arial"/>
          <w:color w:val="000000" w:themeColor="text1"/>
          <w:sz w:val="20"/>
          <w:szCs w:val="20"/>
        </w:rPr>
        <w:t xml:space="preserve">Despite this, published seasonal-incidence data specifically for </w:t>
      </w:r>
      <w:r w:rsidRPr="00BC3FFD">
        <w:rPr>
          <w:rFonts w:ascii="Arial" w:hAnsi="Arial" w:cs="Arial"/>
          <w:i/>
          <w:iCs/>
          <w:color w:val="000000" w:themeColor="text1"/>
          <w:sz w:val="20"/>
          <w:szCs w:val="20"/>
        </w:rPr>
        <w:t xml:space="preserve">S. </w:t>
      </w:r>
      <w:proofErr w:type="spellStart"/>
      <w:r w:rsidRPr="00BC3FFD">
        <w:rPr>
          <w:rFonts w:ascii="Arial" w:hAnsi="Arial" w:cs="Arial"/>
          <w:i/>
          <w:iCs/>
          <w:color w:val="000000" w:themeColor="text1"/>
          <w:sz w:val="20"/>
          <w:szCs w:val="20"/>
        </w:rPr>
        <w:t>litura</w:t>
      </w:r>
      <w:proofErr w:type="spellEnd"/>
      <w:r w:rsidRPr="00BC3FFD">
        <w:rPr>
          <w:rFonts w:ascii="Arial" w:hAnsi="Arial" w:cs="Arial"/>
          <w:color w:val="000000" w:themeColor="text1"/>
          <w:sz w:val="20"/>
          <w:szCs w:val="20"/>
        </w:rPr>
        <w:t xml:space="preserve"> — as opposed to the more commonly studied </w:t>
      </w:r>
      <w:r w:rsidRPr="00BC3FFD">
        <w:rPr>
          <w:rFonts w:ascii="Arial" w:hAnsi="Arial" w:cs="Arial"/>
          <w:i/>
          <w:iCs/>
          <w:color w:val="000000" w:themeColor="text1"/>
          <w:sz w:val="20"/>
          <w:szCs w:val="20"/>
        </w:rPr>
        <w:t>H. armigera</w:t>
      </w:r>
      <w:r w:rsidRPr="00BC3FFD">
        <w:rPr>
          <w:rFonts w:ascii="Arial" w:hAnsi="Arial" w:cs="Arial"/>
          <w:color w:val="000000" w:themeColor="text1"/>
          <w:sz w:val="20"/>
          <w:szCs w:val="20"/>
        </w:rPr>
        <w:t xml:space="preserve"> — on multiple tomato varieties under untreated (unprotected) conditions remain limited for this </w:t>
      </w:r>
      <w:proofErr w:type="spellStart"/>
      <w:r w:rsidRPr="00BC3FFD">
        <w:rPr>
          <w:rFonts w:ascii="Arial" w:hAnsi="Arial" w:cs="Arial"/>
          <w:color w:val="000000" w:themeColor="text1"/>
          <w:sz w:val="20"/>
          <w:szCs w:val="20"/>
        </w:rPr>
        <w:t>agro</w:t>
      </w:r>
      <w:proofErr w:type="spellEnd"/>
      <w:r w:rsidRPr="00BC3FFD">
        <w:rPr>
          <w:rFonts w:ascii="Arial" w:hAnsi="Arial" w:cs="Arial"/>
          <w:color w:val="000000" w:themeColor="text1"/>
          <w:sz w:val="20"/>
          <w:szCs w:val="20"/>
        </w:rPr>
        <w:t xml:space="preserve">-climatic region. The present study was therefore undertaken to record and compare the seasonal pest intensity of </w:t>
      </w:r>
      <w:r w:rsidRPr="00BC3FFD">
        <w:rPr>
          <w:rFonts w:ascii="Arial" w:hAnsi="Arial" w:cs="Arial"/>
          <w:i/>
          <w:iCs/>
          <w:color w:val="000000" w:themeColor="text1"/>
          <w:sz w:val="20"/>
          <w:szCs w:val="20"/>
        </w:rPr>
        <w:t xml:space="preserve">S. </w:t>
      </w:r>
      <w:proofErr w:type="spellStart"/>
      <w:r w:rsidRPr="00BC3FFD">
        <w:rPr>
          <w:rFonts w:ascii="Arial" w:hAnsi="Arial" w:cs="Arial"/>
          <w:i/>
          <w:iCs/>
          <w:color w:val="000000" w:themeColor="text1"/>
          <w:sz w:val="20"/>
          <w:szCs w:val="20"/>
        </w:rPr>
        <w:t>litura</w:t>
      </w:r>
      <w:proofErr w:type="spellEnd"/>
      <w:r w:rsidRPr="00BC3FFD">
        <w:rPr>
          <w:rFonts w:ascii="Arial" w:hAnsi="Arial" w:cs="Arial"/>
          <w:color w:val="000000" w:themeColor="text1"/>
          <w:sz w:val="20"/>
          <w:szCs w:val="20"/>
        </w:rPr>
        <w:t xml:space="preserve"> on six tomato varieties grown without any plant-protection intervention, and to examine how this intensity relates to fruit yield, with a view to identifying comparatively tolerant varieties for the Kanpur region.</w:t>
      </w:r>
    </w:p>
    <w:p w14:paraId="794F418B" w14:textId="77777777" w:rsidR="00054599" w:rsidRPr="00BC3FFD" w:rsidRDefault="00000000">
      <w:pPr>
        <w:spacing w:line="360" w:lineRule="auto"/>
        <w:jc w:val="both"/>
        <w:rPr>
          <w:rFonts w:ascii="Arial" w:hAnsi="Arial" w:cs="Arial"/>
          <w:color w:val="000000" w:themeColor="text1"/>
          <w:sz w:val="20"/>
          <w:szCs w:val="20"/>
        </w:rPr>
      </w:pPr>
      <w:r w:rsidRPr="00BC3FFD">
        <w:rPr>
          <w:rFonts w:ascii="Arial" w:hAnsi="Arial"/>
          <w:sz w:val="20"/>
        </w:rPr>
        <w:t xml:space="preserve">Research on tomato–arthropod interactions </w:t>
      </w:r>
      <w:proofErr w:type="gramStart"/>
      <w:r w:rsidRPr="00BC3FFD">
        <w:rPr>
          <w:rFonts w:ascii="Arial" w:hAnsi="Arial"/>
          <w:sz w:val="20"/>
        </w:rPr>
        <w:t>indicates</w:t>
      </w:r>
      <w:proofErr w:type="gramEnd"/>
      <w:r w:rsidRPr="00BC3FFD">
        <w:rPr>
          <w:rFonts w:ascii="Arial" w:hAnsi="Arial"/>
          <w:sz w:val="20"/>
        </w:rPr>
        <w:t xml:space="preserve"> that host-plant traits can modify herbivore establishment, feeding, and natural-enemy interactions, while </w:t>
      </w:r>
      <w:r w:rsidRPr="00BC3FFD">
        <w:rPr>
          <w:rFonts w:ascii="Arial" w:hAnsi="Arial"/>
          <w:i/>
          <w:sz w:val="20"/>
        </w:rPr>
        <w:t xml:space="preserve">S. </w:t>
      </w:r>
      <w:proofErr w:type="spellStart"/>
      <w:r w:rsidRPr="00BC3FFD">
        <w:rPr>
          <w:rFonts w:ascii="Arial" w:hAnsi="Arial"/>
          <w:i/>
          <w:sz w:val="20"/>
        </w:rPr>
        <w:t>litura</w:t>
      </w:r>
      <w:proofErr w:type="spellEnd"/>
      <w:r w:rsidRPr="00BC3FFD">
        <w:rPr>
          <w:rFonts w:ascii="Arial" w:hAnsi="Arial"/>
          <w:sz w:val="20"/>
        </w:rPr>
        <w:t xml:space="preserve"> development and reproduction are also strongly influenced by host-plant identity (Kennedy, 2003; Xue et al., 2010). Regional movement further contributes to temporal variation in </w:t>
      </w:r>
      <w:r w:rsidRPr="00BC3FFD">
        <w:rPr>
          <w:rFonts w:ascii="Arial" w:hAnsi="Arial"/>
          <w:i/>
          <w:sz w:val="20"/>
        </w:rPr>
        <w:t xml:space="preserve">S. </w:t>
      </w:r>
      <w:proofErr w:type="spellStart"/>
      <w:r w:rsidRPr="00BC3FFD">
        <w:rPr>
          <w:rFonts w:ascii="Arial" w:hAnsi="Arial"/>
          <w:i/>
          <w:sz w:val="20"/>
        </w:rPr>
        <w:t>litura</w:t>
      </w:r>
      <w:proofErr w:type="spellEnd"/>
      <w:r w:rsidRPr="00BC3FFD">
        <w:rPr>
          <w:rFonts w:ascii="Arial" w:hAnsi="Arial"/>
          <w:sz w:val="20"/>
        </w:rPr>
        <w:t xml:space="preserve"> pressure, supporting the need for location-specific field monitoring rather than assuming a uniform seasonal risk (Song et al., 2024).</w:t>
      </w:r>
    </w:p>
    <w:p w14:paraId="70926ABA" w14:textId="77777777" w:rsidR="00054599" w:rsidRPr="00BC3FFD" w:rsidRDefault="00000000">
      <w:pPr>
        <w:spacing w:line="360" w:lineRule="auto"/>
        <w:jc w:val="both"/>
        <w:rPr>
          <w:rFonts w:ascii="Arial" w:hAnsi="Arial" w:cs="Arial"/>
          <w:color w:val="000000" w:themeColor="text1"/>
          <w:sz w:val="20"/>
          <w:szCs w:val="20"/>
        </w:rPr>
      </w:pPr>
      <w:r w:rsidRPr="00BC3FFD">
        <w:rPr>
          <w:rFonts w:ascii="Arial" w:hAnsi="Arial"/>
          <w:sz w:val="20"/>
        </w:rPr>
        <w:t xml:space="preserve">Variation in tomato susceptibility may arise from constitutive and induced defences, including surface trichomes, defensive metabolites, and </w:t>
      </w:r>
      <w:proofErr w:type="spellStart"/>
      <w:r w:rsidRPr="00BC3FFD">
        <w:rPr>
          <w:rFonts w:ascii="Arial" w:hAnsi="Arial"/>
          <w:sz w:val="20"/>
        </w:rPr>
        <w:t>jasmonate</w:t>
      </w:r>
      <w:proofErr w:type="spellEnd"/>
      <w:r w:rsidRPr="00BC3FFD">
        <w:rPr>
          <w:rFonts w:ascii="Arial" w:hAnsi="Arial"/>
          <w:sz w:val="20"/>
        </w:rPr>
        <w:t xml:space="preserve">-associated responses that influence herbivore preference and performance (Glas et al., 2012; War et al., 2012). Experimental work has also demonstrated that induced defence in tomato can reduce </w:t>
      </w:r>
      <w:r w:rsidRPr="00BC3FFD">
        <w:rPr>
          <w:rFonts w:ascii="Arial" w:hAnsi="Arial"/>
          <w:i/>
          <w:sz w:val="20"/>
        </w:rPr>
        <w:t xml:space="preserve">S. </w:t>
      </w:r>
      <w:proofErr w:type="spellStart"/>
      <w:r w:rsidRPr="00BC3FFD">
        <w:rPr>
          <w:rFonts w:ascii="Arial" w:hAnsi="Arial"/>
          <w:i/>
          <w:sz w:val="20"/>
        </w:rPr>
        <w:t>litura</w:t>
      </w:r>
      <w:proofErr w:type="spellEnd"/>
      <w:r w:rsidRPr="00BC3FFD">
        <w:rPr>
          <w:rFonts w:ascii="Arial" w:hAnsi="Arial"/>
          <w:sz w:val="20"/>
        </w:rPr>
        <w:t xml:space="preserve"> feeding and growth, although such mechanisms were not measured in the present field study (Ling et al., 2022).</w:t>
      </w:r>
    </w:p>
    <w:p w14:paraId="3C155DE0" w14:textId="77777777" w:rsidR="00054599" w:rsidRPr="00BC3FFD" w:rsidRDefault="00000000">
      <w:pPr>
        <w:spacing w:line="360" w:lineRule="auto"/>
        <w:jc w:val="both"/>
        <w:rPr>
          <w:rFonts w:ascii="Arial" w:hAnsi="Arial" w:cs="Arial"/>
          <w:color w:val="000000" w:themeColor="text1"/>
          <w:sz w:val="20"/>
          <w:szCs w:val="20"/>
        </w:rPr>
      </w:pPr>
      <w:r w:rsidRPr="00BC3FFD">
        <w:rPr>
          <w:rFonts w:ascii="Arial" w:hAnsi="Arial"/>
          <w:sz w:val="20"/>
        </w:rPr>
        <w:t>Seasonal-incidence studies on tomato fruit-borer complexes have likewise shown that infestation changes across crop stages and observation periods, and that varietal responses should be interpreted together with local abiotic conditions (</w:t>
      </w:r>
      <w:proofErr w:type="spellStart"/>
      <w:r w:rsidRPr="00BC3FFD">
        <w:rPr>
          <w:rFonts w:ascii="Arial" w:hAnsi="Arial"/>
          <w:sz w:val="20"/>
        </w:rPr>
        <w:t>Sapkal</w:t>
      </w:r>
      <w:proofErr w:type="spellEnd"/>
      <w:r w:rsidRPr="00BC3FFD">
        <w:rPr>
          <w:rFonts w:ascii="Arial" w:hAnsi="Arial"/>
          <w:sz w:val="20"/>
        </w:rPr>
        <w:t xml:space="preserve"> et al., 2018; Yadav et al., 2022). Earlier </w:t>
      </w:r>
      <w:r w:rsidRPr="00BC3FFD">
        <w:rPr>
          <w:rFonts w:ascii="Arial" w:hAnsi="Arial"/>
          <w:sz w:val="20"/>
        </w:rPr>
        <w:lastRenderedPageBreak/>
        <w:t xml:space="preserve">Indian work on </w:t>
      </w:r>
      <w:r w:rsidRPr="00BC3FFD">
        <w:rPr>
          <w:rFonts w:ascii="Arial" w:hAnsi="Arial"/>
          <w:i/>
          <w:sz w:val="20"/>
        </w:rPr>
        <w:t>Heliothis</w:t>
      </w:r>
      <w:r w:rsidRPr="00BC3FFD">
        <w:rPr>
          <w:rFonts w:ascii="Arial" w:hAnsi="Arial"/>
          <w:sz w:val="20"/>
        </w:rPr>
        <w:t>/Helicoverpa and related noctuid pests also established the economic relevance of host range, natural enemies, and cultivar preference in pest-management decisions (Manjunath et al., 1989; Thakur et al., 2018).</w:t>
      </w:r>
    </w:p>
    <w:p w14:paraId="1ABF4167" w14:textId="77777777" w:rsidR="00086B16" w:rsidRPr="00BC3FFD" w:rsidRDefault="00C80E0E" w:rsidP="00B22351">
      <w:pPr>
        <w:pStyle w:val="Heading1"/>
        <w:spacing w:before="280" w:line="360" w:lineRule="auto"/>
        <w:jc w:val="both"/>
        <w:rPr>
          <w:rFonts w:ascii="Arial" w:hAnsi="Arial" w:cs="Arial"/>
          <w:color w:val="000000" w:themeColor="text1"/>
          <w:sz w:val="20"/>
          <w:szCs w:val="20"/>
        </w:rPr>
      </w:pPr>
      <w:r w:rsidRPr="00BC3FFD">
        <w:rPr>
          <w:rFonts w:ascii="Arial" w:hAnsi="Arial" w:cs="Arial"/>
          <w:b/>
          <w:bCs/>
          <w:color w:val="000000" w:themeColor="text1"/>
          <w:sz w:val="20"/>
          <w:szCs w:val="20"/>
        </w:rPr>
        <w:t>2. MATERIALS AND METHODS</w:t>
      </w:r>
    </w:p>
    <w:p w14:paraId="363CDCE4" w14:textId="77777777" w:rsidR="00086B16" w:rsidRPr="00BC3FFD" w:rsidRDefault="00B22351" w:rsidP="00B22351">
      <w:pPr>
        <w:pStyle w:val="Heading2"/>
        <w:spacing w:before="280" w:line="360" w:lineRule="auto"/>
        <w:jc w:val="both"/>
        <w:rPr>
          <w:rFonts w:ascii="Arial" w:hAnsi="Arial" w:cs="Arial"/>
          <w:color w:val="000000" w:themeColor="text1"/>
          <w:sz w:val="20"/>
          <w:szCs w:val="20"/>
        </w:rPr>
      </w:pPr>
      <w:r w:rsidRPr="00BC3FFD">
        <w:rPr>
          <w:rFonts w:ascii="Arial" w:hAnsi="Arial" w:cs="Arial"/>
          <w:b/>
          <w:bCs/>
          <w:color w:val="000000" w:themeColor="text1"/>
          <w:sz w:val="20"/>
          <w:szCs w:val="20"/>
        </w:rPr>
        <w:t>2.1 EXPERIMENTAL SITE AND PERIOD</w:t>
      </w:r>
    </w:p>
    <w:p w14:paraId="57F2F3D0" w14:textId="77777777" w:rsidR="00086B16"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The experiment was conducted during the 2016–17 cropping season in the experimental field of the Department of Zoology, A.N.D.N.N.M. Mahavidyalaya (A.N.D. College), Kanpur, Uttar Pradesh. Observations were recorded weekly from 20 January 2017 to 7 April 2017, covering twelve standard observation dates.</w:t>
      </w:r>
    </w:p>
    <w:p w14:paraId="1E805C5D" w14:textId="77777777" w:rsidR="00086B16" w:rsidRPr="00BC3FFD" w:rsidRDefault="00B22351" w:rsidP="00B22351">
      <w:pPr>
        <w:pStyle w:val="Heading2"/>
        <w:spacing w:before="280" w:line="360" w:lineRule="auto"/>
        <w:jc w:val="both"/>
        <w:rPr>
          <w:rFonts w:ascii="Arial" w:hAnsi="Arial" w:cs="Arial"/>
          <w:color w:val="000000" w:themeColor="text1"/>
          <w:sz w:val="20"/>
          <w:szCs w:val="20"/>
        </w:rPr>
      </w:pPr>
      <w:r w:rsidRPr="00BC3FFD">
        <w:rPr>
          <w:rFonts w:ascii="Arial" w:hAnsi="Arial" w:cs="Arial"/>
          <w:b/>
          <w:bCs/>
          <w:color w:val="000000" w:themeColor="text1"/>
          <w:sz w:val="20"/>
          <w:szCs w:val="20"/>
        </w:rPr>
        <w:t>2.2 PLANT MATERIAL AND EXPERIMENTAL DESIGN</w:t>
      </w:r>
    </w:p>
    <w:p w14:paraId="3D64218B" w14:textId="77777777" w:rsidR="00086B16"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Six tomato entries — Pusa Gaurav, Ratna, Arka Saurabh, Pant Bahar, Arka Abha, and an untreated Control — were raised in field plots without any insecticidal or other plant-protection measure, so that natural pest pressure could be assessed. Standard agronomic practices (nursery raising, transplanting, irrigation and fertilisation) were kept uniform across all plots to isolate varietal differences in pest response.</w:t>
      </w:r>
    </w:p>
    <w:p w14:paraId="4567AF75" w14:textId="77777777" w:rsidR="00086B16" w:rsidRPr="00BC3FFD" w:rsidRDefault="00B22351" w:rsidP="00B22351">
      <w:pPr>
        <w:pStyle w:val="Heading2"/>
        <w:spacing w:before="280" w:line="360" w:lineRule="auto"/>
        <w:jc w:val="both"/>
        <w:rPr>
          <w:rFonts w:ascii="Arial" w:hAnsi="Arial" w:cs="Arial"/>
          <w:color w:val="000000" w:themeColor="text1"/>
          <w:sz w:val="20"/>
          <w:szCs w:val="20"/>
        </w:rPr>
      </w:pPr>
      <w:r w:rsidRPr="00BC3FFD">
        <w:rPr>
          <w:rFonts w:ascii="Arial" w:hAnsi="Arial" w:cs="Arial"/>
          <w:b/>
          <w:bCs/>
          <w:color w:val="000000" w:themeColor="text1"/>
          <w:sz w:val="20"/>
          <w:szCs w:val="20"/>
        </w:rPr>
        <w:t>2.3 RECORDING OF PEST INTENSITY</w:t>
      </w:r>
    </w:p>
    <w:p w14:paraId="35C2ECCD" w14:textId="77777777" w:rsidR="00086B16"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 xml:space="preserve">The number of </w:t>
      </w:r>
      <w:r w:rsidRPr="00BC3FFD">
        <w:rPr>
          <w:rFonts w:ascii="Arial" w:hAnsi="Arial" w:cs="Arial"/>
          <w:i/>
          <w:iCs/>
          <w:color w:val="000000" w:themeColor="text1"/>
          <w:sz w:val="20"/>
          <w:szCs w:val="20"/>
        </w:rPr>
        <w:t xml:space="preserve">S. </w:t>
      </w:r>
      <w:proofErr w:type="spellStart"/>
      <w:r w:rsidRPr="00BC3FFD">
        <w:rPr>
          <w:rFonts w:ascii="Arial" w:hAnsi="Arial" w:cs="Arial"/>
          <w:i/>
          <w:iCs/>
          <w:color w:val="000000" w:themeColor="text1"/>
          <w:sz w:val="20"/>
          <w:szCs w:val="20"/>
        </w:rPr>
        <w:t>litura</w:t>
      </w:r>
      <w:proofErr w:type="spellEnd"/>
      <w:r w:rsidRPr="00BC3FFD">
        <w:rPr>
          <w:rFonts w:ascii="Arial" w:hAnsi="Arial" w:cs="Arial"/>
          <w:color w:val="000000" w:themeColor="text1"/>
          <w:sz w:val="20"/>
          <w:szCs w:val="20"/>
        </w:rPr>
        <w:t xml:space="preserve"> larvae per plant was recorded from five randomly tagged plants per plot at weekly intervals on the twelve dates listed in Table 1. Fruit yield per plot was recorded at final harvest and is expressed in kilograms.</w:t>
      </w:r>
    </w:p>
    <w:p w14:paraId="12035163" w14:textId="77777777" w:rsidR="00086B16" w:rsidRPr="00BC3FFD" w:rsidRDefault="00B22351" w:rsidP="00B22351">
      <w:pPr>
        <w:pStyle w:val="Heading2"/>
        <w:spacing w:before="280" w:line="360" w:lineRule="auto"/>
        <w:jc w:val="both"/>
        <w:rPr>
          <w:rFonts w:ascii="Arial" w:hAnsi="Arial" w:cs="Arial"/>
          <w:color w:val="000000" w:themeColor="text1"/>
          <w:sz w:val="20"/>
          <w:szCs w:val="20"/>
        </w:rPr>
      </w:pPr>
      <w:r w:rsidRPr="00BC3FFD">
        <w:rPr>
          <w:rFonts w:ascii="Arial" w:hAnsi="Arial" w:cs="Arial"/>
          <w:b/>
          <w:bCs/>
          <w:color w:val="000000" w:themeColor="text1"/>
          <w:sz w:val="20"/>
          <w:szCs w:val="20"/>
        </w:rPr>
        <w:t>2.4 STATISTICAL ANALYSIS</w:t>
      </w:r>
    </w:p>
    <w:p w14:paraId="2455FF6F" w14:textId="77777777" w:rsidR="00D50EA8"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Raw larval counts were subjected to square-root (√x + 0.5) transformation to stabilise variance and normalise the distribution before analysis, following standard procedures for count data in agricultural entomology. Transformed values are shown in parentheses alongside the corresponding untransformed means in Table 1. Standard error of difference [S.E.(D)] and critical difference (CD) at the 5% level of significance were computed for each observation date to assess the significance of varietal differenc</w:t>
      </w:r>
      <w:r w:rsidR="00B22351" w:rsidRPr="00BC3FFD">
        <w:rPr>
          <w:rFonts w:ascii="Arial" w:hAnsi="Arial" w:cs="Arial"/>
          <w:color w:val="000000" w:themeColor="text1"/>
          <w:sz w:val="20"/>
          <w:szCs w:val="20"/>
        </w:rPr>
        <w:t>e.</w:t>
      </w:r>
    </w:p>
    <w:p w14:paraId="12350F35" w14:textId="77777777" w:rsidR="00054599" w:rsidRPr="00BC3FFD" w:rsidRDefault="00000000">
      <w:pPr>
        <w:spacing w:line="360" w:lineRule="auto"/>
        <w:jc w:val="both"/>
        <w:rPr>
          <w:rFonts w:ascii="Arial" w:hAnsi="Arial" w:cs="Arial"/>
          <w:color w:val="000000" w:themeColor="text1"/>
          <w:sz w:val="20"/>
          <w:szCs w:val="20"/>
        </w:rPr>
      </w:pPr>
      <w:r w:rsidRPr="00BC3FFD">
        <w:rPr>
          <w:rFonts w:ascii="Arial" w:hAnsi="Arial"/>
          <w:sz w:val="20"/>
        </w:rPr>
        <w:t>The calculation and interpretation of S.E.(D) and critical difference followed established procedures for agricultural experiments (Gomez &amp; Gomez, 1984).</w:t>
      </w:r>
    </w:p>
    <w:p w14:paraId="18951B7B" w14:textId="77777777" w:rsidR="00691439" w:rsidRPr="00BC3FFD" w:rsidRDefault="00691439" w:rsidP="00B22351">
      <w:pPr>
        <w:spacing w:line="360" w:lineRule="auto"/>
        <w:jc w:val="both"/>
        <w:rPr>
          <w:rFonts w:ascii="Arial" w:hAnsi="Arial" w:cs="Arial"/>
          <w:color w:val="000000" w:themeColor="text1"/>
          <w:sz w:val="20"/>
          <w:szCs w:val="20"/>
        </w:rPr>
      </w:pPr>
    </w:p>
    <w:p w14:paraId="2B4BEC24" w14:textId="77777777" w:rsidR="00691439" w:rsidRPr="00BC3FFD" w:rsidRDefault="00691439"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3.</w:t>
      </w:r>
      <w:r w:rsidRPr="00BC3FFD">
        <w:rPr>
          <w:rFonts w:ascii="Arial" w:hAnsi="Arial" w:cs="Arial"/>
          <w:b/>
          <w:bCs/>
          <w:color w:val="000000" w:themeColor="text1"/>
          <w:sz w:val="20"/>
          <w:szCs w:val="20"/>
        </w:rPr>
        <w:t xml:space="preserve"> RESULTS</w:t>
      </w:r>
    </w:p>
    <w:p w14:paraId="1AAEEC3C" w14:textId="77777777" w:rsidR="00D50EA8" w:rsidRPr="00BC3FFD" w:rsidRDefault="00D50EA8" w:rsidP="00B22351">
      <w:pPr>
        <w:spacing w:line="360" w:lineRule="auto"/>
        <w:jc w:val="both"/>
        <w:rPr>
          <w:rFonts w:ascii="Arial" w:hAnsi="Arial" w:cs="Arial"/>
          <w:color w:val="000000" w:themeColor="text1"/>
          <w:sz w:val="20"/>
          <w:szCs w:val="20"/>
        </w:rPr>
      </w:pPr>
    </w:p>
    <w:p w14:paraId="43A97464" w14:textId="77777777" w:rsidR="00D50EA8" w:rsidRPr="00BC3FFD" w:rsidRDefault="00D50EA8" w:rsidP="00B22351">
      <w:pPr>
        <w:spacing w:line="360" w:lineRule="auto"/>
        <w:jc w:val="both"/>
        <w:rPr>
          <w:rFonts w:ascii="Arial" w:hAnsi="Arial" w:cs="Arial"/>
          <w:color w:val="000000" w:themeColor="text1"/>
          <w:sz w:val="20"/>
          <w:szCs w:val="20"/>
        </w:rPr>
      </w:pPr>
    </w:p>
    <w:tbl>
      <w:tblPr>
        <w:tblStyle w:val="TableGrid1"/>
        <w:tblW w:w="14867" w:type="dxa"/>
        <w:tblInd w:w="-905" w:type="dxa"/>
        <w:tblLayout w:type="fixed"/>
        <w:tblLook w:val="04A0" w:firstRow="1" w:lastRow="0" w:firstColumn="1" w:lastColumn="0" w:noHBand="0" w:noVBand="1"/>
      </w:tblPr>
      <w:tblGrid>
        <w:gridCol w:w="1170"/>
        <w:gridCol w:w="990"/>
        <w:gridCol w:w="990"/>
        <w:gridCol w:w="990"/>
        <w:gridCol w:w="990"/>
        <w:gridCol w:w="990"/>
        <w:gridCol w:w="990"/>
        <w:gridCol w:w="990"/>
        <w:gridCol w:w="990"/>
        <w:gridCol w:w="990"/>
        <w:gridCol w:w="990"/>
        <w:gridCol w:w="990"/>
        <w:gridCol w:w="990"/>
        <w:gridCol w:w="900"/>
        <w:gridCol w:w="917"/>
      </w:tblGrid>
      <w:tr w:rsidR="00D50EA8" w:rsidRPr="00BC3FFD" w14:paraId="5CE35272" w14:textId="77777777" w:rsidTr="00EA2D97">
        <w:tc>
          <w:tcPr>
            <w:tcW w:w="14867" w:type="dxa"/>
            <w:gridSpan w:val="15"/>
          </w:tcPr>
          <w:p w14:paraId="56E2FBD1" w14:textId="77777777" w:rsidR="00D50EA8" w:rsidRPr="00BC3FFD" w:rsidRDefault="00D50EA8" w:rsidP="00B22351">
            <w:pPr>
              <w:spacing w:line="360" w:lineRule="auto"/>
              <w:jc w:val="center"/>
              <w:rPr>
                <w:rFonts w:ascii="Arial" w:hAnsi="Arial" w:cs="Arial"/>
                <w:b/>
                <w:sz w:val="20"/>
                <w:szCs w:val="20"/>
              </w:rPr>
            </w:pPr>
            <w:r w:rsidRPr="00BC3FFD">
              <w:rPr>
                <w:rFonts w:ascii="Arial" w:hAnsi="Arial"/>
                <w:b/>
                <w:sz w:val="20"/>
              </w:rPr>
              <w:t xml:space="preserve">Table 1. Pest intensity and fruit yield of untreated tomato entries under natural </w:t>
            </w:r>
            <w:r w:rsidRPr="00BC3FFD">
              <w:rPr>
                <w:rFonts w:ascii="Arial" w:hAnsi="Arial"/>
                <w:b/>
                <w:i/>
                <w:sz w:val="20"/>
              </w:rPr>
              <w:t xml:space="preserve">Spodoptera </w:t>
            </w:r>
            <w:proofErr w:type="spellStart"/>
            <w:r w:rsidRPr="00BC3FFD">
              <w:rPr>
                <w:rFonts w:ascii="Arial" w:hAnsi="Arial"/>
                <w:b/>
                <w:i/>
                <w:sz w:val="20"/>
              </w:rPr>
              <w:t>litura</w:t>
            </w:r>
            <w:proofErr w:type="spellEnd"/>
            <w:r w:rsidRPr="00BC3FFD">
              <w:rPr>
                <w:rFonts w:ascii="Arial" w:hAnsi="Arial"/>
                <w:b/>
                <w:sz w:val="20"/>
              </w:rPr>
              <w:t xml:space="preserve"> infestation</w:t>
            </w:r>
          </w:p>
        </w:tc>
      </w:tr>
      <w:tr w:rsidR="00D50EA8" w:rsidRPr="00BC3FFD" w14:paraId="2A38E2C2" w14:textId="77777777" w:rsidTr="00EA2D97">
        <w:tc>
          <w:tcPr>
            <w:tcW w:w="1170" w:type="dxa"/>
            <w:vMerge w:val="restart"/>
          </w:tcPr>
          <w:p w14:paraId="17DED13C" w14:textId="77777777" w:rsidR="00D50EA8" w:rsidRPr="00BC3FFD" w:rsidRDefault="00D50EA8" w:rsidP="00B22351">
            <w:pPr>
              <w:spacing w:line="360" w:lineRule="auto"/>
              <w:jc w:val="both"/>
              <w:rPr>
                <w:rFonts w:ascii="Arial" w:hAnsi="Arial" w:cs="Arial"/>
                <w:b/>
                <w:sz w:val="20"/>
                <w:szCs w:val="20"/>
              </w:rPr>
            </w:pPr>
            <w:r w:rsidRPr="00BC3FFD">
              <w:rPr>
                <w:rFonts w:ascii="Arial" w:hAnsi="Arial" w:cs="Arial"/>
                <w:sz w:val="20"/>
                <w:szCs w:val="20"/>
              </w:rPr>
              <w:t>Tomato varieties</w:t>
            </w:r>
          </w:p>
        </w:tc>
        <w:tc>
          <w:tcPr>
            <w:tcW w:w="12780" w:type="dxa"/>
            <w:gridSpan w:val="13"/>
          </w:tcPr>
          <w:p w14:paraId="5A0D9AE6" w14:textId="77777777" w:rsidR="00D50EA8" w:rsidRPr="00BC3FFD" w:rsidRDefault="00D50EA8" w:rsidP="00B22351">
            <w:pPr>
              <w:spacing w:line="360" w:lineRule="auto"/>
              <w:jc w:val="both"/>
              <w:rPr>
                <w:rFonts w:ascii="Arial" w:hAnsi="Arial" w:cs="Arial"/>
                <w:b/>
                <w:sz w:val="20"/>
                <w:szCs w:val="20"/>
              </w:rPr>
            </w:pPr>
            <w:r w:rsidRPr="00BC3FFD">
              <w:rPr>
                <w:rFonts w:ascii="Arial" w:hAnsi="Arial" w:cs="Arial"/>
                <w:b/>
                <w:sz w:val="20"/>
                <w:szCs w:val="20"/>
              </w:rPr>
              <w:t>Pest intensity of fruit borer/plant on different date</w:t>
            </w:r>
          </w:p>
        </w:tc>
        <w:tc>
          <w:tcPr>
            <w:tcW w:w="917" w:type="dxa"/>
            <w:vMerge w:val="restart"/>
          </w:tcPr>
          <w:p w14:paraId="56FC5AEC" w14:textId="77777777" w:rsidR="00D50EA8" w:rsidRPr="00BC3FFD" w:rsidRDefault="00D50EA8" w:rsidP="00B22351">
            <w:pPr>
              <w:spacing w:line="360" w:lineRule="auto"/>
              <w:jc w:val="both"/>
              <w:rPr>
                <w:rFonts w:ascii="Arial" w:hAnsi="Arial" w:cs="Arial"/>
                <w:b/>
                <w:sz w:val="20"/>
                <w:szCs w:val="20"/>
              </w:rPr>
            </w:pPr>
            <w:r w:rsidRPr="00BC3FFD">
              <w:rPr>
                <w:rFonts w:ascii="Arial" w:hAnsi="Arial" w:cs="Arial"/>
                <w:sz w:val="20"/>
                <w:szCs w:val="20"/>
              </w:rPr>
              <w:t>Yield (Kg)</w:t>
            </w:r>
          </w:p>
        </w:tc>
      </w:tr>
      <w:tr w:rsidR="00D50EA8" w:rsidRPr="00BC3FFD" w14:paraId="1B8CAFA5" w14:textId="77777777" w:rsidTr="00EA2D97">
        <w:tc>
          <w:tcPr>
            <w:tcW w:w="1170" w:type="dxa"/>
            <w:vMerge/>
          </w:tcPr>
          <w:p w14:paraId="635FE9D7" w14:textId="77777777" w:rsidR="00D50EA8" w:rsidRPr="00BC3FFD" w:rsidRDefault="00D50EA8" w:rsidP="00B22351">
            <w:pPr>
              <w:spacing w:line="360" w:lineRule="auto"/>
              <w:jc w:val="both"/>
              <w:rPr>
                <w:rFonts w:ascii="Arial" w:hAnsi="Arial" w:cs="Arial"/>
                <w:sz w:val="20"/>
                <w:szCs w:val="20"/>
              </w:rPr>
            </w:pPr>
          </w:p>
        </w:tc>
        <w:tc>
          <w:tcPr>
            <w:tcW w:w="990" w:type="dxa"/>
          </w:tcPr>
          <w:p w14:paraId="719AD43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20-01-2017</w:t>
            </w:r>
          </w:p>
        </w:tc>
        <w:tc>
          <w:tcPr>
            <w:tcW w:w="990" w:type="dxa"/>
          </w:tcPr>
          <w:p w14:paraId="5BCD210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27-01-2017</w:t>
            </w:r>
          </w:p>
        </w:tc>
        <w:tc>
          <w:tcPr>
            <w:tcW w:w="990" w:type="dxa"/>
          </w:tcPr>
          <w:p w14:paraId="6778963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03-02-2017</w:t>
            </w:r>
          </w:p>
        </w:tc>
        <w:tc>
          <w:tcPr>
            <w:tcW w:w="990" w:type="dxa"/>
          </w:tcPr>
          <w:p w14:paraId="18273D7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10-02-2017</w:t>
            </w:r>
          </w:p>
        </w:tc>
        <w:tc>
          <w:tcPr>
            <w:tcW w:w="990" w:type="dxa"/>
          </w:tcPr>
          <w:p w14:paraId="346E637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17-02-2017</w:t>
            </w:r>
          </w:p>
        </w:tc>
        <w:tc>
          <w:tcPr>
            <w:tcW w:w="990" w:type="dxa"/>
          </w:tcPr>
          <w:p w14:paraId="09E98BA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24-02-2017</w:t>
            </w:r>
          </w:p>
        </w:tc>
        <w:tc>
          <w:tcPr>
            <w:tcW w:w="990" w:type="dxa"/>
          </w:tcPr>
          <w:p w14:paraId="5F9FD9A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03-03-2017</w:t>
            </w:r>
          </w:p>
        </w:tc>
        <w:tc>
          <w:tcPr>
            <w:tcW w:w="990" w:type="dxa"/>
          </w:tcPr>
          <w:p w14:paraId="126D3D1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10-03-2017</w:t>
            </w:r>
          </w:p>
        </w:tc>
        <w:tc>
          <w:tcPr>
            <w:tcW w:w="990" w:type="dxa"/>
          </w:tcPr>
          <w:p w14:paraId="03CDBDB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17-03-2017</w:t>
            </w:r>
          </w:p>
        </w:tc>
        <w:tc>
          <w:tcPr>
            <w:tcW w:w="990" w:type="dxa"/>
          </w:tcPr>
          <w:p w14:paraId="06F453A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24-03-2017</w:t>
            </w:r>
          </w:p>
        </w:tc>
        <w:tc>
          <w:tcPr>
            <w:tcW w:w="990" w:type="dxa"/>
          </w:tcPr>
          <w:p w14:paraId="6639E14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31-03-2017</w:t>
            </w:r>
          </w:p>
        </w:tc>
        <w:tc>
          <w:tcPr>
            <w:tcW w:w="990" w:type="dxa"/>
          </w:tcPr>
          <w:p w14:paraId="5584D9D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07-04-2017</w:t>
            </w:r>
          </w:p>
        </w:tc>
        <w:tc>
          <w:tcPr>
            <w:tcW w:w="900" w:type="dxa"/>
          </w:tcPr>
          <w:p w14:paraId="64A677B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Mean</w:t>
            </w:r>
          </w:p>
        </w:tc>
        <w:tc>
          <w:tcPr>
            <w:tcW w:w="917" w:type="dxa"/>
            <w:vMerge/>
          </w:tcPr>
          <w:p w14:paraId="614B29BA" w14:textId="77777777" w:rsidR="00D50EA8" w:rsidRPr="00BC3FFD" w:rsidRDefault="00D50EA8" w:rsidP="00B22351">
            <w:pPr>
              <w:spacing w:line="360" w:lineRule="auto"/>
              <w:jc w:val="both"/>
              <w:rPr>
                <w:rFonts w:ascii="Arial" w:hAnsi="Arial" w:cs="Arial"/>
                <w:sz w:val="20"/>
                <w:szCs w:val="20"/>
              </w:rPr>
            </w:pPr>
          </w:p>
        </w:tc>
      </w:tr>
      <w:tr w:rsidR="00D50EA8" w:rsidRPr="00BC3FFD" w14:paraId="01CE6C5A" w14:textId="77777777" w:rsidTr="00EA2D97">
        <w:tc>
          <w:tcPr>
            <w:tcW w:w="1170" w:type="dxa"/>
            <w:vMerge w:val="restart"/>
          </w:tcPr>
          <w:p w14:paraId="7F3B161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Pusa Gaurav</w:t>
            </w:r>
          </w:p>
        </w:tc>
        <w:tc>
          <w:tcPr>
            <w:tcW w:w="990" w:type="dxa"/>
          </w:tcPr>
          <w:p w14:paraId="18CA952C"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0.02</w:t>
            </w:r>
          </w:p>
        </w:tc>
        <w:tc>
          <w:tcPr>
            <w:tcW w:w="990" w:type="dxa"/>
          </w:tcPr>
          <w:p w14:paraId="2EC96A5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0.20</w:t>
            </w:r>
          </w:p>
        </w:tc>
        <w:tc>
          <w:tcPr>
            <w:tcW w:w="990" w:type="dxa"/>
          </w:tcPr>
          <w:p w14:paraId="0002402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0.67</w:t>
            </w:r>
          </w:p>
        </w:tc>
        <w:tc>
          <w:tcPr>
            <w:tcW w:w="990" w:type="dxa"/>
          </w:tcPr>
          <w:p w14:paraId="71643E9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0.41</w:t>
            </w:r>
          </w:p>
        </w:tc>
        <w:tc>
          <w:tcPr>
            <w:tcW w:w="990" w:type="dxa"/>
          </w:tcPr>
          <w:p w14:paraId="2DC1C43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0.83</w:t>
            </w:r>
          </w:p>
        </w:tc>
        <w:tc>
          <w:tcPr>
            <w:tcW w:w="990" w:type="dxa"/>
          </w:tcPr>
          <w:p w14:paraId="7D91D4A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0.99</w:t>
            </w:r>
          </w:p>
        </w:tc>
        <w:tc>
          <w:tcPr>
            <w:tcW w:w="990" w:type="dxa"/>
          </w:tcPr>
          <w:p w14:paraId="5E975CC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0.38</w:t>
            </w:r>
          </w:p>
        </w:tc>
        <w:tc>
          <w:tcPr>
            <w:tcW w:w="990" w:type="dxa"/>
          </w:tcPr>
          <w:p w14:paraId="6FD06B1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0.55</w:t>
            </w:r>
          </w:p>
        </w:tc>
        <w:tc>
          <w:tcPr>
            <w:tcW w:w="990" w:type="dxa"/>
          </w:tcPr>
          <w:p w14:paraId="29A9D8F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0.67</w:t>
            </w:r>
          </w:p>
        </w:tc>
        <w:tc>
          <w:tcPr>
            <w:tcW w:w="990" w:type="dxa"/>
          </w:tcPr>
          <w:p w14:paraId="73F4E31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0.42</w:t>
            </w:r>
          </w:p>
        </w:tc>
        <w:tc>
          <w:tcPr>
            <w:tcW w:w="990" w:type="dxa"/>
          </w:tcPr>
          <w:p w14:paraId="14B8595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0.51</w:t>
            </w:r>
          </w:p>
        </w:tc>
        <w:tc>
          <w:tcPr>
            <w:tcW w:w="990" w:type="dxa"/>
          </w:tcPr>
          <w:p w14:paraId="7F477DB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0.44</w:t>
            </w:r>
          </w:p>
        </w:tc>
        <w:tc>
          <w:tcPr>
            <w:tcW w:w="900" w:type="dxa"/>
          </w:tcPr>
          <w:p w14:paraId="74AF015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0.50</w:t>
            </w:r>
          </w:p>
        </w:tc>
        <w:tc>
          <w:tcPr>
            <w:tcW w:w="917" w:type="dxa"/>
            <w:vMerge w:val="restart"/>
          </w:tcPr>
          <w:p w14:paraId="78D440F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17.55</w:t>
            </w:r>
          </w:p>
        </w:tc>
      </w:tr>
      <w:tr w:rsidR="00D50EA8" w:rsidRPr="00BC3FFD" w14:paraId="7A3905F5" w14:textId="77777777" w:rsidTr="00EA2D97">
        <w:tc>
          <w:tcPr>
            <w:tcW w:w="1170" w:type="dxa"/>
            <w:vMerge/>
          </w:tcPr>
          <w:p w14:paraId="671F79F5" w14:textId="77777777" w:rsidR="00D50EA8" w:rsidRPr="00BC3FFD" w:rsidRDefault="00D50EA8" w:rsidP="00B22351">
            <w:pPr>
              <w:spacing w:line="360" w:lineRule="auto"/>
              <w:jc w:val="both"/>
              <w:rPr>
                <w:rFonts w:ascii="Arial" w:hAnsi="Arial" w:cs="Arial"/>
                <w:sz w:val="20"/>
                <w:szCs w:val="20"/>
              </w:rPr>
            </w:pPr>
          </w:p>
        </w:tc>
        <w:tc>
          <w:tcPr>
            <w:tcW w:w="990" w:type="dxa"/>
          </w:tcPr>
          <w:p w14:paraId="3D968DD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(2.69)</w:t>
            </w:r>
          </w:p>
        </w:tc>
        <w:tc>
          <w:tcPr>
            <w:tcW w:w="990" w:type="dxa"/>
          </w:tcPr>
          <w:p w14:paraId="53CD2A4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(2.69)</w:t>
            </w:r>
          </w:p>
        </w:tc>
        <w:tc>
          <w:tcPr>
            <w:tcW w:w="990" w:type="dxa"/>
          </w:tcPr>
          <w:p w14:paraId="00DCD61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(4.69)</w:t>
            </w:r>
          </w:p>
        </w:tc>
        <w:tc>
          <w:tcPr>
            <w:tcW w:w="990" w:type="dxa"/>
          </w:tcPr>
          <w:p w14:paraId="330D1AF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(3.67)</w:t>
            </w:r>
          </w:p>
        </w:tc>
        <w:tc>
          <w:tcPr>
            <w:tcW w:w="990" w:type="dxa"/>
          </w:tcPr>
          <w:p w14:paraId="18CFAEC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(5.23)</w:t>
            </w:r>
          </w:p>
        </w:tc>
        <w:tc>
          <w:tcPr>
            <w:tcW w:w="990" w:type="dxa"/>
          </w:tcPr>
          <w:p w14:paraId="7270C6B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(5.71)</w:t>
            </w:r>
          </w:p>
        </w:tc>
        <w:tc>
          <w:tcPr>
            <w:tcW w:w="990" w:type="dxa"/>
          </w:tcPr>
          <w:p w14:paraId="6B85634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(3.53)</w:t>
            </w:r>
          </w:p>
        </w:tc>
        <w:tc>
          <w:tcPr>
            <w:tcW w:w="990" w:type="dxa"/>
          </w:tcPr>
          <w:p w14:paraId="773F04A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(4.25)</w:t>
            </w:r>
          </w:p>
        </w:tc>
        <w:tc>
          <w:tcPr>
            <w:tcW w:w="990" w:type="dxa"/>
          </w:tcPr>
          <w:p w14:paraId="47A2040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(4.69)</w:t>
            </w:r>
          </w:p>
        </w:tc>
        <w:tc>
          <w:tcPr>
            <w:tcW w:w="990" w:type="dxa"/>
          </w:tcPr>
          <w:p w14:paraId="2D819BD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(3.72)</w:t>
            </w:r>
          </w:p>
        </w:tc>
        <w:tc>
          <w:tcPr>
            <w:tcW w:w="990" w:type="dxa"/>
          </w:tcPr>
          <w:p w14:paraId="6045823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(0.49)</w:t>
            </w:r>
          </w:p>
        </w:tc>
        <w:tc>
          <w:tcPr>
            <w:tcW w:w="990" w:type="dxa"/>
          </w:tcPr>
          <w:p w14:paraId="65A2624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(3.80)</w:t>
            </w:r>
          </w:p>
        </w:tc>
        <w:tc>
          <w:tcPr>
            <w:tcW w:w="900" w:type="dxa"/>
          </w:tcPr>
          <w:p w14:paraId="21A060BC"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(4.25)</w:t>
            </w:r>
          </w:p>
        </w:tc>
        <w:tc>
          <w:tcPr>
            <w:tcW w:w="917" w:type="dxa"/>
            <w:vMerge/>
          </w:tcPr>
          <w:p w14:paraId="20ABCF36" w14:textId="77777777" w:rsidR="00D50EA8" w:rsidRPr="00BC3FFD" w:rsidRDefault="00D50EA8" w:rsidP="00B22351">
            <w:pPr>
              <w:spacing w:line="360" w:lineRule="auto"/>
              <w:jc w:val="both"/>
              <w:rPr>
                <w:rFonts w:ascii="Arial" w:hAnsi="Arial" w:cs="Arial"/>
                <w:sz w:val="20"/>
                <w:szCs w:val="20"/>
              </w:rPr>
            </w:pPr>
          </w:p>
        </w:tc>
      </w:tr>
      <w:tr w:rsidR="00D50EA8" w:rsidRPr="00BC3FFD" w14:paraId="68C2FF13" w14:textId="77777777" w:rsidTr="00EA2D97">
        <w:tc>
          <w:tcPr>
            <w:tcW w:w="1170" w:type="dxa"/>
            <w:vMerge/>
          </w:tcPr>
          <w:p w14:paraId="78A682CF" w14:textId="77777777" w:rsidR="00D50EA8" w:rsidRPr="00BC3FFD" w:rsidRDefault="00D50EA8" w:rsidP="00B22351">
            <w:pPr>
              <w:spacing w:line="360" w:lineRule="auto"/>
              <w:jc w:val="both"/>
              <w:rPr>
                <w:rFonts w:ascii="Arial" w:hAnsi="Arial" w:cs="Arial"/>
                <w:sz w:val="20"/>
                <w:szCs w:val="20"/>
              </w:rPr>
            </w:pPr>
          </w:p>
        </w:tc>
        <w:tc>
          <w:tcPr>
            <w:tcW w:w="990" w:type="dxa"/>
          </w:tcPr>
          <w:p w14:paraId="26F5345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0.41</w:t>
            </w:r>
          </w:p>
        </w:tc>
        <w:tc>
          <w:tcPr>
            <w:tcW w:w="990" w:type="dxa"/>
          </w:tcPr>
          <w:p w14:paraId="27E4B74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0.58</w:t>
            </w:r>
          </w:p>
        </w:tc>
        <w:tc>
          <w:tcPr>
            <w:tcW w:w="990" w:type="dxa"/>
          </w:tcPr>
          <w:p w14:paraId="0C5907C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0.73</w:t>
            </w:r>
          </w:p>
        </w:tc>
        <w:tc>
          <w:tcPr>
            <w:tcW w:w="990" w:type="dxa"/>
          </w:tcPr>
          <w:p w14:paraId="4E8CFC7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1.38</w:t>
            </w:r>
          </w:p>
        </w:tc>
        <w:tc>
          <w:tcPr>
            <w:tcW w:w="990" w:type="dxa"/>
          </w:tcPr>
          <w:p w14:paraId="11BF506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1.63</w:t>
            </w:r>
          </w:p>
        </w:tc>
        <w:tc>
          <w:tcPr>
            <w:tcW w:w="990" w:type="dxa"/>
          </w:tcPr>
          <w:p w14:paraId="737B749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1.49</w:t>
            </w:r>
          </w:p>
        </w:tc>
        <w:tc>
          <w:tcPr>
            <w:tcW w:w="990" w:type="dxa"/>
          </w:tcPr>
          <w:p w14:paraId="6234155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1.50</w:t>
            </w:r>
          </w:p>
        </w:tc>
        <w:tc>
          <w:tcPr>
            <w:tcW w:w="990" w:type="dxa"/>
          </w:tcPr>
          <w:p w14:paraId="0323F18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1.08</w:t>
            </w:r>
          </w:p>
        </w:tc>
        <w:tc>
          <w:tcPr>
            <w:tcW w:w="990" w:type="dxa"/>
          </w:tcPr>
          <w:p w14:paraId="14F61EC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1.18</w:t>
            </w:r>
          </w:p>
        </w:tc>
        <w:tc>
          <w:tcPr>
            <w:tcW w:w="990" w:type="dxa"/>
          </w:tcPr>
          <w:p w14:paraId="4107F53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0.61</w:t>
            </w:r>
          </w:p>
        </w:tc>
        <w:tc>
          <w:tcPr>
            <w:tcW w:w="990" w:type="dxa"/>
          </w:tcPr>
          <w:p w14:paraId="6956200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0.55</w:t>
            </w:r>
          </w:p>
        </w:tc>
        <w:tc>
          <w:tcPr>
            <w:tcW w:w="990" w:type="dxa"/>
          </w:tcPr>
          <w:p w14:paraId="2818AF5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0.48</w:t>
            </w:r>
          </w:p>
        </w:tc>
        <w:tc>
          <w:tcPr>
            <w:tcW w:w="900" w:type="dxa"/>
          </w:tcPr>
          <w:p w14:paraId="560ACEC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0.96</w:t>
            </w:r>
          </w:p>
        </w:tc>
        <w:tc>
          <w:tcPr>
            <w:tcW w:w="917" w:type="dxa"/>
            <w:vMerge/>
          </w:tcPr>
          <w:p w14:paraId="77AAA684" w14:textId="77777777" w:rsidR="00D50EA8" w:rsidRPr="00BC3FFD" w:rsidRDefault="00D50EA8" w:rsidP="00B22351">
            <w:pPr>
              <w:spacing w:line="360" w:lineRule="auto"/>
              <w:jc w:val="both"/>
              <w:rPr>
                <w:rFonts w:ascii="Arial" w:hAnsi="Arial" w:cs="Arial"/>
                <w:sz w:val="20"/>
                <w:szCs w:val="20"/>
              </w:rPr>
            </w:pPr>
          </w:p>
        </w:tc>
      </w:tr>
      <w:tr w:rsidR="00D50EA8" w:rsidRPr="00BC3FFD" w14:paraId="34565FD3" w14:textId="77777777" w:rsidTr="00EA2D97">
        <w:tc>
          <w:tcPr>
            <w:tcW w:w="1170" w:type="dxa"/>
            <w:vMerge/>
          </w:tcPr>
          <w:p w14:paraId="1BC0761D" w14:textId="77777777" w:rsidR="00D50EA8" w:rsidRPr="00BC3FFD" w:rsidRDefault="00D50EA8" w:rsidP="00B22351">
            <w:pPr>
              <w:spacing w:line="360" w:lineRule="auto"/>
              <w:jc w:val="both"/>
              <w:rPr>
                <w:rFonts w:ascii="Arial" w:hAnsi="Arial" w:cs="Arial"/>
                <w:sz w:val="20"/>
                <w:szCs w:val="20"/>
              </w:rPr>
            </w:pPr>
          </w:p>
        </w:tc>
        <w:tc>
          <w:tcPr>
            <w:tcW w:w="990" w:type="dxa"/>
          </w:tcPr>
          <w:p w14:paraId="417FF3D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(3.61)</w:t>
            </w:r>
          </w:p>
        </w:tc>
        <w:tc>
          <w:tcPr>
            <w:tcW w:w="990" w:type="dxa"/>
          </w:tcPr>
          <w:p w14:paraId="64B9D5D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(4.37)</w:t>
            </w:r>
          </w:p>
        </w:tc>
        <w:tc>
          <w:tcPr>
            <w:tcW w:w="990" w:type="dxa"/>
          </w:tcPr>
          <w:p w14:paraId="484CAFE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(4.90)</w:t>
            </w:r>
          </w:p>
        </w:tc>
        <w:tc>
          <w:tcPr>
            <w:tcW w:w="990" w:type="dxa"/>
          </w:tcPr>
          <w:p w14:paraId="4105303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(6.80)</w:t>
            </w:r>
          </w:p>
        </w:tc>
        <w:tc>
          <w:tcPr>
            <w:tcW w:w="990" w:type="dxa"/>
          </w:tcPr>
          <w:p w14:paraId="7F17C57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(7.49)</w:t>
            </w:r>
          </w:p>
        </w:tc>
        <w:tc>
          <w:tcPr>
            <w:tcW w:w="990" w:type="dxa"/>
          </w:tcPr>
          <w:p w14:paraId="4E000A8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(7.04)</w:t>
            </w:r>
          </w:p>
        </w:tc>
        <w:tc>
          <w:tcPr>
            <w:tcW w:w="990" w:type="dxa"/>
          </w:tcPr>
          <w:p w14:paraId="72A0A6D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(7.04)</w:t>
            </w:r>
          </w:p>
        </w:tc>
        <w:tc>
          <w:tcPr>
            <w:tcW w:w="990" w:type="dxa"/>
          </w:tcPr>
          <w:p w14:paraId="182DA97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(7.04)</w:t>
            </w:r>
          </w:p>
        </w:tc>
        <w:tc>
          <w:tcPr>
            <w:tcW w:w="990" w:type="dxa"/>
          </w:tcPr>
          <w:p w14:paraId="2ACA79B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(7.10)</w:t>
            </w:r>
          </w:p>
        </w:tc>
        <w:tc>
          <w:tcPr>
            <w:tcW w:w="990" w:type="dxa"/>
          </w:tcPr>
          <w:p w14:paraId="34AC52A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(4.48)</w:t>
            </w:r>
          </w:p>
        </w:tc>
        <w:tc>
          <w:tcPr>
            <w:tcW w:w="990" w:type="dxa"/>
          </w:tcPr>
          <w:p w14:paraId="51EA823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(4.25)</w:t>
            </w:r>
          </w:p>
        </w:tc>
        <w:tc>
          <w:tcPr>
            <w:tcW w:w="990" w:type="dxa"/>
          </w:tcPr>
          <w:p w14:paraId="2C934E4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(3.97)</w:t>
            </w:r>
          </w:p>
        </w:tc>
        <w:tc>
          <w:tcPr>
            <w:tcW w:w="900" w:type="dxa"/>
          </w:tcPr>
          <w:p w14:paraId="2A2DE34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(5.62)</w:t>
            </w:r>
          </w:p>
        </w:tc>
        <w:tc>
          <w:tcPr>
            <w:tcW w:w="917" w:type="dxa"/>
            <w:vMerge/>
          </w:tcPr>
          <w:p w14:paraId="3D745E67" w14:textId="77777777" w:rsidR="00D50EA8" w:rsidRPr="00BC3FFD" w:rsidRDefault="00D50EA8" w:rsidP="00B22351">
            <w:pPr>
              <w:spacing w:line="360" w:lineRule="auto"/>
              <w:jc w:val="both"/>
              <w:rPr>
                <w:rFonts w:ascii="Arial" w:hAnsi="Arial" w:cs="Arial"/>
                <w:sz w:val="20"/>
                <w:szCs w:val="20"/>
              </w:rPr>
            </w:pPr>
          </w:p>
        </w:tc>
      </w:tr>
      <w:tr w:rsidR="00D50EA8" w:rsidRPr="00BC3FFD" w14:paraId="6E8F8F7D" w14:textId="77777777" w:rsidTr="00EA2D97">
        <w:tc>
          <w:tcPr>
            <w:tcW w:w="1170" w:type="dxa"/>
            <w:vMerge w:val="restart"/>
          </w:tcPr>
          <w:p w14:paraId="70A6E34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Ratna</w:t>
            </w:r>
          </w:p>
        </w:tc>
        <w:tc>
          <w:tcPr>
            <w:tcW w:w="990" w:type="dxa"/>
          </w:tcPr>
          <w:p w14:paraId="4D6A6C3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0.29</w:t>
            </w:r>
          </w:p>
        </w:tc>
        <w:tc>
          <w:tcPr>
            <w:tcW w:w="990" w:type="dxa"/>
          </w:tcPr>
          <w:p w14:paraId="06C66E3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0.25</w:t>
            </w:r>
          </w:p>
        </w:tc>
        <w:tc>
          <w:tcPr>
            <w:tcW w:w="990" w:type="dxa"/>
          </w:tcPr>
          <w:p w14:paraId="057E437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0.45</w:t>
            </w:r>
          </w:p>
        </w:tc>
        <w:tc>
          <w:tcPr>
            <w:tcW w:w="990" w:type="dxa"/>
          </w:tcPr>
          <w:p w14:paraId="57EE004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0.18</w:t>
            </w:r>
          </w:p>
        </w:tc>
        <w:tc>
          <w:tcPr>
            <w:tcW w:w="990" w:type="dxa"/>
          </w:tcPr>
          <w:p w14:paraId="608D361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0.99</w:t>
            </w:r>
          </w:p>
        </w:tc>
        <w:tc>
          <w:tcPr>
            <w:tcW w:w="990" w:type="dxa"/>
          </w:tcPr>
          <w:p w14:paraId="24605D0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1.04</w:t>
            </w:r>
          </w:p>
        </w:tc>
        <w:tc>
          <w:tcPr>
            <w:tcW w:w="990" w:type="dxa"/>
          </w:tcPr>
          <w:p w14:paraId="1FDDC57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1.39</w:t>
            </w:r>
          </w:p>
        </w:tc>
        <w:tc>
          <w:tcPr>
            <w:tcW w:w="990" w:type="dxa"/>
          </w:tcPr>
          <w:p w14:paraId="19EE0E2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1.48</w:t>
            </w:r>
          </w:p>
        </w:tc>
        <w:tc>
          <w:tcPr>
            <w:tcW w:w="990" w:type="dxa"/>
          </w:tcPr>
          <w:p w14:paraId="5CA0A09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1.01</w:t>
            </w:r>
          </w:p>
        </w:tc>
        <w:tc>
          <w:tcPr>
            <w:tcW w:w="990" w:type="dxa"/>
          </w:tcPr>
          <w:p w14:paraId="193CA45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0.97</w:t>
            </w:r>
          </w:p>
        </w:tc>
        <w:tc>
          <w:tcPr>
            <w:tcW w:w="990" w:type="dxa"/>
          </w:tcPr>
          <w:p w14:paraId="4679198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0.69</w:t>
            </w:r>
          </w:p>
        </w:tc>
        <w:tc>
          <w:tcPr>
            <w:tcW w:w="990" w:type="dxa"/>
          </w:tcPr>
          <w:p w14:paraId="2ED6642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0.61</w:t>
            </w:r>
          </w:p>
        </w:tc>
        <w:tc>
          <w:tcPr>
            <w:tcW w:w="900" w:type="dxa"/>
          </w:tcPr>
          <w:p w14:paraId="71CC366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0.77</w:t>
            </w:r>
          </w:p>
        </w:tc>
        <w:tc>
          <w:tcPr>
            <w:tcW w:w="917" w:type="dxa"/>
            <w:vMerge w:val="restart"/>
          </w:tcPr>
          <w:p w14:paraId="424F12C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17.55</w:t>
            </w:r>
          </w:p>
        </w:tc>
      </w:tr>
      <w:tr w:rsidR="00D50EA8" w:rsidRPr="00BC3FFD" w14:paraId="438B9E00" w14:textId="77777777" w:rsidTr="00EA2D97">
        <w:tc>
          <w:tcPr>
            <w:tcW w:w="1170" w:type="dxa"/>
            <w:vMerge/>
          </w:tcPr>
          <w:p w14:paraId="1480A7A6" w14:textId="77777777" w:rsidR="00D50EA8" w:rsidRPr="00BC3FFD" w:rsidRDefault="00D50EA8" w:rsidP="00B22351">
            <w:pPr>
              <w:spacing w:line="360" w:lineRule="auto"/>
              <w:jc w:val="both"/>
              <w:rPr>
                <w:rFonts w:ascii="Arial" w:hAnsi="Arial" w:cs="Arial"/>
                <w:sz w:val="20"/>
                <w:szCs w:val="20"/>
              </w:rPr>
            </w:pPr>
          </w:p>
        </w:tc>
        <w:tc>
          <w:tcPr>
            <w:tcW w:w="990" w:type="dxa"/>
          </w:tcPr>
          <w:p w14:paraId="26AC3AE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(3.09)</w:t>
            </w:r>
          </w:p>
        </w:tc>
        <w:tc>
          <w:tcPr>
            <w:tcW w:w="990" w:type="dxa"/>
          </w:tcPr>
          <w:p w14:paraId="385BD70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(2.87)</w:t>
            </w:r>
          </w:p>
        </w:tc>
        <w:tc>
          <w:tcPr>
            <w:tcW w:w="990" w:type="dxa"/>
          </w:tcPr>
          <w:p w14:paraId="3655FD9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(3.85)</w:t>
            </w:r>
          </w:p>
        </w:tc>
        <w:tc>
          <w:tcPr>
            <w:tcW w:w="990" w:type="dxa"/>
          </w:tcPr>
          <w:p w14:paraId="1BEE6AF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(3.85)</w:t>
            </w:r>
          </w:p>
        </w:tc>
        <w:tc>
          <w:tcPr>
            <w:tcW w:w="990" w:type="dxa"/>
          </w:tcPr>
          <w:p w14:paraId="248A48C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(5.71)</w:t>
            </w:r>
          </w:p>
        </w:tc>
        <w:tc>
          <w:tcPr>
            <w:tcW w:w="990" w:type="dxa"/>
          </w:tcPr>
          <w:p w14:paraId="68175D0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(5.74)</w:t>
            </w:r>
          </w:p>
        </w:tc>
        <w:tc>
          <w:tcPr>
            <w:tcW w:w="990" w:type="dxa"/>
          </w:tcPr>
          <w:p w14:paraId="6358A1B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(6.55)</w:t>
            </w:r>
          </w:p>
        </w:tc>
        <w:tc>
          <w:tcPr>
            <w:tcW w:w="990" w:type="dxa"/>
          </w:tcPr>
          <w:p w14:paraId="5A41EBC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(6.80)</w:t>
            </w:r>
          </w:p>
        </w:tc>
        <w:tc>
          <w:tcPr>
            <w:tcW w:w="990" w:type="dxa"/>
          </w:tcPr>
          <w:p w14:paraId="2E0052B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(6.02)</w:t>
            </w:r>
          </w:p>
        </w:tc>
        <w:tc>
          <w:tcPr>
            <w:tcW w:w="990" w:type="dxa"/>
          </w:tcPr>
          <w:p w14:paraId="5D72339C"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(5.65)</w:t>
            </w:r>
          </w:p>
        </w:tc>
        <w:tc>
          <w:tcPr>
            <w:tcW w:w="990" w:type="dxa"/>
          </w:tcPr>
          <w:p w14:paraId="0132CE8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(4.76)</w:t>
            </w:r>
          </w:p>
        </w:tc>
        <w:tc>
          <w:tcPr>
            <w:tcW w:w="990" w:type="dxa"/>
          </w:tcPr>
          <w:p w14:paraId="152AB9C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(4.48)</w:t>
            </w:r>
          </w:p>
        </w:tc>
        <w:tc>
          <w:tcPr>
            <w:tcW w:w="900" w:type="dxa"/>
          </w:tcPr>
          <w:p w14:paraId="23252CB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(5.03)</w:t>
            </w:r>
          </w:p>
        </w:tc>
        <w:tc>
          <w:tcPr>
            <w:tcW w:w="917" w:type="dxa"/>
            <w:vMerge/>
          </w:tcPr>
          <w:p w14:paraId="6430E9F1" w14:textId="77777777" w:rsidR="00D50EA8" w:rsidRPr="00BC3FFD" w:rsidRDefault="00D50EA8" w:rsidP="00B22351">
            <w:pPr>
              <w:spacing w:line="360" w:lineRule="auto"/>
              <w:jc w:val="both"/>
              <w:rPr>
                <w:rFonts w:ascii="Arial" w:hAnsi="Arial" w:cs="Arial"/>
                <w:sz w:val="20"/>
                <w:szCs w:val="20"/>
              </w:rPr>
            </w:pPr>
          </w:p>
        </w:tc>
      </w:tr>
      <w:tr w:rsidR="00D50EA8" w:rsidRPr="00BC3FFD" w14:paraId="242F370B" w14:textId="77777777" w:rsidTr="00EA2D97">
        <w:tc>
          <w:tcPr>
            <w:tcW w:w="1170" w:type="dxa"/>
            <w:vMerge/>
          </w:tcPr>
          <w:p w14:paraId="5E394741" w14:textId="77777777" w:rsidR="00D50EA8" w:rsidRPr="00BC3FFD" w:rsidRDefault="00D50EA8" w:rsidP="00B22351">
            <w:pPr>
              <w:spacing w:line="360" w:lineRule="auto"/>
              <w:jc w:val="both"/>
              <w:rPr>
                <w:rFonts w:ascii="Arial" w:hAnsi="Arial" w:cs="Arial"/>
                <w:sz w:val="20"/>
                <w:szCs w:val="20"/>
              </w:rPr>
            </w:pPr>
          </w:p>
        </w:tc>
        <w:tc>
          <w:tcPr>
            <w:tcW w:w="990" w:type="dxa"/>
          </w:tcPr>
          <w:p w14:paraId="566F7FF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0.27</w:t>
            </w:r>
          </w:p>
        </w:tc>
        <w:tc>
          <w:tcPr>
            <w:tcW w:w="990" w:type="dxa"/>
          </w:tcPr>
          <w:p w14:paraId="0E8D5AD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0.39</w:t>
            </w:r>
          </w:p>
        </w:tc>
        <w:tc>
          <w:tcPr>
            <w:tcW w:w="990" w:type="dxa"/>
          </w:tcPr>
          <w:p w14:paraId="5FE376D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1.46</w:t>
            </w:r>
          </w:p>
        </w:tc>
        <w:tc>
          <w:tcPr>
            <w:tcW w:w="990" w:type="dxa"/>
          </w:tcPr>
          <w:p w14:paraId="345437C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0.84</w:t>
            </w:r>
          </w:p>
        </w:tc>
        <w:tc>
          <w:tcPr>
            <w:tcW w:w="990" w:type="dxa"/>
          </w:tcPr>
          <w:p w14:paraId="1DEBD2C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1.26</w:t>
            </w:r>
          </w:p>
        </w:tc>
        <w:tc>
          <w:tcPr>
            <w:tcW w:w="990" w:type="dxa"/>
          </w:tcPr>
          <w:p w14:paraId="7B02438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1.21</w:t>
            </w:r>
          </w:p>
        </w:tc>
        <w:tc>
          <w:tcPr>
            <w:tcW w:w="990" w:type="dxa"/>
          </w:tcPr>
          <w:p w14:paraId="20E5A26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1.59</w:t>
            </w:r>
          </w:p>
        </w:tc>
        <w:tc>
          <w:tcPr>
            <w:tcW w:w="990" w:type="dxa"/>
          </w:tcPr>
          <w:p w14:paraId="249530B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1.20</w:t>
            </w:r>
          </w:p>
        </w:tc>
        <w:tc>
          <w:tcPr>
            <w:tcW w:w="990" w:type="dxa"/>
          </w:tcPr>
          <w:p w14:paraId="0A7A1B9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1.08</w:t>
            </w:r>
          </w:p>
        </w:tc>
        <w:tc>
          <w:tcPr>
            <w:tcW w:w="990" w:type="dxa"/>
          </w:tcPr>
          <w:p w14:paraId="0981648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0.61</w:t>
            </w:r>
          </w:p>
        </w:tc>
        <w:tc>
          <w:tcPr>
            <w:tcW w:w="990" w:type="dxa"/>
          </w:tcPr>
          <w:p w14:paraId="43FA150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0.41</w:t>
            </w:r>
          </w:p>
        </w:tc>
        <w:tc>
          <w:tcPr>
            <w:tcW w:w="990" w:type="dxa"/>
          </w:tcPr>
          <w:p w14:paraId="6C05E87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0.32</w:t>
            </w:r>
          </w:p>
        </w:tc>
        <w:tc>
          <w:tcPr>
            <w:tcW w:w="900" w:type="dxa"/>
          </w:tcPr>
          <w:p w14:paraId="39B4E4A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0.32</w:t>
            </w:r>
          </w:p>
        </w:tc>
        <w:tc>
          <w:tcPr>
            <w:tcW w:w="917" w:type="dxa"/>
            <w:vMerge/>
          </w:tcPr>
          <w:p w14:paraId="6BB54544" w14:textId="77777777" w:rsidR="00D50EA8" w:rsidRPr="00BC3FFD" w:rsidRDefault="00D50EA8" w:rsidP="00B22351">
            <w:pPr>
              <w:spacing w:line="360" w:lineRule="auto"/>
              <w:jc w:val="both"/>
              <w:rPr>
                <w:rFonts w:ascii="Arial" w:hAnsi="Arial" w:cs="Arial"/>
                <w:sz w:val="20"/>
                <w:szCs w:val="20"/>
              </w:rPr>
            </w:pPr>
          </w:p>
        </w:tc>
      </w:tr>
      <w:tr w:rsidR="00D50EA8" w:rsidRPr="00BC3FFD" w14:paraId="1670E22E" w14:textId="77777777" w:rsidTr="00EA2D97">
        <w:tc>
          <w:tcPr>
            <w:tcW w:w="1170" w:type="dxa"/>
            <w:vMerge/>
          </w:tcPr>
          <w:p w14:paraId="425F65DB" w14:textId="77777777" w:rsidR="00D50EA8" w:rsidRPr="00BC3FFD" w:rsidRDefault="00D50EA8" w:rsidP="00B22351">
            <w:pPr>
              <w:spacing w:line="360" w:lineRule="auto"/>
              <w:jc w:val="both"/>
              <w:rPr>
                <w:rFonts w:ascii="Arial" w:hAnsi="Arial" w:cs="Arial"/>
                <w:sz w:val="20"/>
                <w:szCs w:val="20"/>
              </w:rPr>
            </w:pPr>
          </w:p>
        </w:tc>
        <w:tc>
          <w:tcPr>
            <w:tcW w:w="990" w:type="dxa"/>
          </w:tcPr>
          <w:p w14:paraId="60D359A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(2.98)</w:t>
            </w:r>
          </w:p>
        </w:tc>
        <w:tc>
          <w:tcPr>
            <w:tcW w:w="990" w:type="dxa"/>
          </w:tcPr>
          <w:p w14:paraId="27222B8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(3.58)</w:t>
            </w:r>
          </w:p>
        </w:tc>
        <w:tc>
          <w:tcPr>
            <w:tcW w:w="990" w:type="dxa"/>
          </w:tcPr>
          <w:p w14:paraId="64EC190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(7.04)</w:t>
            </w:r>
          </w:p>
        </w:tc>
        <w:tc>
          <w:tcPr>
            <w:tcW w:w="990" w:type="dxa"/>
          </w:tcPr>
          <w:p w14:paraId="5088221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(5.20)</w:t>
            </w:r>
          </w:p>
        </w:tc>
        <w:tc>
          <w:tcPr>
            <w:tcW w:w="990" w:type="dxa"/>
          </w:tcPr>
          <w:p w14:paraId="1190A75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(6.55)</w:t>
            </w:r>
          </w:p>
        </w:tc>
        <w:tc>
          <w:tcPr>
            <w:tcW w:w="990" w:type="dxa"/>
          </w:tcPr>
          <w:p w14:paraId="756FBBE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(6.29)</w:t>
            </w:r>
          </w:p>
        </w:tc>
        <w:tc>
          <w:tcPr>
            <w:tcW w:w="990" w:type="dxa"/>
          </w:tcPr>
          <w:p w14:paraId="5A88287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(7.27)</w:t>
            </w:r>
          </w:p>
        </w:tc>
        <w:tc>
          <w:tcPr>
            <w:tcW w:w="990" w:type="dxa"/>
          </w:tcPr>
          <w:p w14:paraId="34863D9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(6.29)</w:t>
            </w:r>
          </w:p>
        </w:tc>
        <w:tc>
          <w:tcPr>
            <w:tcW w:w="990" w:type="dxa"/>
          </w:tcPr>
          <w:p w14:paraId="1CF6BA0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(6.02)</w:t>
            </w:r>
          </w:p>
        </w:tc>
        <w:tc>
          <w:tcPr>
            <w:tcW w:w="990" w:type="dxa"/>
          </w:tcPr>
          <w:p w14:paraId="404C74E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(2.29)</w:t>
            </w:r>
          </w:p>
        </w:tc>
        <w:tc>
          <w:tcPr>
            <w:tcW w:w="990" w:type="dxa"/>
          </w:tcPr>
          <w:p w14:paraId="502D257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(4.05)</w:t>
            </w:r>
          </w:p>
        </w:tc>
        <w:tc>
          <w:tcPr>
            <w:tcW w:w="990" w:type="dxa"/>
          </w:tcPr>
          <w:p w14:paraId="6F025F5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(3.24)</w:t>
            </w:r>
          </w:p>
        </w:tc>
        <w:tc>
          <w:tcPr>
            <w:tcW w:w="900" w:type="dxa"/>
          </w:tcPr>
          <w:p w14:paraId="4910F0D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(5.29)</w:t>
            </w:r>
          </w:p>
        </w:tc>
        <w:tc>
          <w:tcPr>
            <w:tcW w:w="917" w:type="dxa"/>
            <w:vMerge/>
          </w:tcPr>
          <w:p w14:paraId="29F4265F" w14:textId="77777777" w:rsidR="00D50EA8" w:rsidRPr="00BC3FFD" w:rsidRDefault="00D50EA8" w:rsidP="00B22351">
            <w:pPr>
              <w:spacing w:line="360" w:lineRule="auto"/>
              <w:jc w:val="both"/>
              <w:rPr>
                <w:rFonts w:ascii="Arial" w:hAnsi="Arial" w:cs="Arial"/>
                <w:sz w:val="20"/>
                <w:szCs w:val="20"/>
              </w:rPr>
            </w:pPr>
          </w:p>
        </w:tc>
      </w:tr>
      <w:tr w:rsidR="00D50EA8" w:rsidRPr="00BC3FFD" w14:paraId="79444D25" w14:textId="77777777" w:rsidTr="00EA2D97">
        <w:tc>
          <w:tcPr>
            <w:tcW w:w="1170" w:type="dxa"/>
            <w:vMerge w:val="restart"/>
          </w:tcPr>
          <w:p w14:paraId="03A1C61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Arka Saurabh</w:t>
            </w:r>
          </w:p>
        </w:tc>
        <w:tc>
          <w:tcPr>
            <w:tcW w:w="990" w:type="dxa"/>
          </w:tcPr>
          <w:p w14:paraId="703A4AB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0.02</w:t>
            </w:r>
          </w:p>
        </w:tc>
        <w:tc>
          <w:tcPr>
            <w:tcW w:w="990" w:type="dxa"/>
          </w:tcPr>
          <w:p w14:paraId="0750EB7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0.01</w:t>
            </w:r>
          </w:p>
        </w:tc>
        <w:tc>
          <w:tcPr>
            <w:tcW w:w="990" w:type="dxa"/>
          </w:tcPr>
          <w:p w14:paraId="46668C8C"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0.15</w:t>
            </w:r>
          </w:p>
        </w:tc>
        <w:tc>
          <w:tcPr>
            <w:tcW w:w="990" w:type="dxa"/>
          </w:tcPr>
          <w:p w14:paraId="672ABFE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0.31</w:t>
            </w:r>
          </w:p>
        </w:tc>
        <w:tc>
          <w:tcPr>
            <w:tcW w:w="990" w:type="dxa"/>
          </w:tcPr>
          <w:p w14:paraId="6E111A7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0.48</w:t>
            </w:r>
          </w:p>
        </w:tc>
        <w:tc>
          <w:tcPr>
            <w:tcW w:w="990" w:type="dxa"/>
          </w:tcPr>
          <w:p w14:paraId="2130683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0.47</w:t>
            </w:r>
          </w:p>
        </w:tc>
        <w:tc>
          <w:tcPr>
            <w:tcW w:w="990" w:type="dxa"/>
          </w:tcPr>
          <w:p w14:paraId="591B204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0.31</w:t>
            </w:r>
          </w:p>
        </w:tc>
        <w:tc>
          <w:tcPr>
            <w:tcW w:w="990" w:type="dxa"/>
          </w:tcPr>
          <w:p w14:paraId="00B15DB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0.61</w:t>
            </w:r>
          </w:p>
        </w:tc>
        <w:tc>
          <w:tcPr>
            <w:tcW w:w="990" w:type="dxa"/>
          </w:tcPr>
          <w:p w14:paraId="2F660CB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0.63</w:t>
            </w:r>
          </w:p>
        </w:tc>
        <w:tc>
          <w:tcPr>
            <w:tcW w:w="990" w:type="dxa"/>
          </w:tcPr>
          <w:p w14:paraId="7903191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0.55</w:t>
            </w:r>
          </w:p>
        </w:tc>
        <w:tc>
          <w:tcPr>
            <w:tcW w:w="990" w:type="dxa"/>
          </w:tcPr>
          <w:p w14:paraId="06E613FC"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0.48</w:t>
            </w:r>
          </w:p>
        </w:tc>
        <w:tc>
          <w:tcPr>
            <w:tcW w:w="990" w:type="dxa"/>
          </w:tcPr>
          <w:p w14:paraId="4399623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0.46</w:t>
            </w:r>
          </w:p>
        </w:tc>
        <w:tc>
          <w:tcPr>
            <w:tcW w:w="900" w:type="dxa"/>
          </w:tcPr>
          <w:p w14:paraId="6E59D69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0.37</w:t>
            </w:r>
          </w:p>
        </w:tc>
        <w:tc>
          <w:tcPr>
            <w:tcW w:w="917" w:type="dxa"/>
            <w:vMerge w:val="restart"/>
          </w:tcPr>
          <w:p w14:paraId="078AF77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15.40</w:t>
            </w:r>
          </w:p>
        </w:tc>
      </w:tr>
      <w:tr w:rsidR="00D50EA8" w:rsidRPr="00BC3FFD" w14:paraId="5B178319" w14:textId="77777777" w:rsidTr="00EA2D97">
        <w:tc>
          <w:tcPr>
            <w:tcW w:w="1170" w:type="dxa"/>
            <w:vMerge/>
          </w:tcPr>
          <w:p w14:paraId="4C507821" w14:textId="77777777" w:rsidR="00D50EA8" w:rsidRPr="00BC3FFD" w:rsidRDefault="00D50EA8" w:rsidP="00B22351">
            <w:pPr>
              <w:spacing w:line="360" w:lineRule="auto"/>
              <w:jc w:val="both"/>
              <w:rPr>
                <w:rFonts w:ascii="Arial" w:hAnsi="Arial" w:cs="Arial"/>
                <w:sz w:val="20"/>
                <w:szCs w:val="20"/>
              </w:rPr>
            </w:pPr>
          </w:p>
        </w:tc>
        <w:tc>
          <w:tcPr>
            <w:tcW w:w="990" w:type="dxa"/>
          </w:tcPr>
          <w:p w14:paraId="461D753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(0.81)</w:t>
            </w:r>
          </w:p>
        </w:tc>
        <w:tc>
          <w:tcPr>
            <w:tcW w:w="990" w:type="dxa"/>
          </w:tcPr>
          <w:p w14:paraId="73266FA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(1.81)</w:t>
            </w:r>
          </w:p>
        </w:tc>
        <w:tc>
          <w:tcPr>
            <w:tcW w:w="990" w:type="dxa"/>
          </w:tcPr>
          <w:p w14:paraId="249768F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(2.14)</w:t>
            </w:r>
          </w:p>
        </w:tc>
        <w:tc>
          <w:tcPr>
            <w:tcW w:w="990" w:type="dxa"/>
          </w:tcPr>
          <w:p w14:paraId="5FA27DD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(3.11)</w:t>
            </w:r>
          </w:p>
        </w:tc>
        <w:tc>
          <w:tcPr>
            <w:tcW w:w="990" w:type="dxa"/>
          </w:tcPr>
          <w:p w14:paraId="77C3284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(3.97)</w:t>
            </w:r>
          </w:p>
        </w:tc>
        <w:tc>
          <w:tcPr>
            <w:tcW w:w="990" w:type="dxa"/>
          </w:tcPr>
          <w:p w14:paraId="14EC1C7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(3.93)</w:t>
            </w:r>
          </w:p>
        </w:tc>
        <w:tc>
          <w:tcPr>
            <w:tcW w:w="990" w:type="dxa"/>
          </w:tcPr>
          <w:p w14:paraId="410C7C1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(3.19)</w:t>
            </w:r>
          </w:p>
        </w:tc>
        <w:tc>
          <w:tcPr>
            <w:tcW w:w="990" w:type="dxa"/>
          </w:tcPr>
          <w:p w14:paraId="1700373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(4.48)</w:t>
            </w:r>
          </w:p>
        </w:tc>
        <w:tc>
          <w:tcPr>
            <w:tcW w:w="990" w:type="dxa"/>
          </w:tcPr>
          <w:p w14:paraId="7E525AA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(4.55)</w:t>
            </w:r>
          </w:p>
        </w:tc>
        <w:tc>
          <w:tcPr>
            <w:tcW w:w="990" w:type="dxa"/>
          </w:tcPr>
          <w:p w14:paraId="386C51D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(4.25)</w:t>
            </w:r>
          </w:p>
        </w:tc>
        <w:tc>
          <w:tcPr>
            <w:tcW w:w="990" w:type="dxa"/>
          </w:tcPr>
          <w:p w14:paraId="2E8CA68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(3.97)</w:t>
            </w:r>
          </w:p>
        </w:tc>
        <w:tc>
          <w:tcPr>
            <w:tcW w:w="990" w:type="dxa"/>
          </w:tcPr>
          <w:p w14:paraId="64DC974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(3.89)</w:t>
            </w:r>
          </w:p>
        </w:tc>
        <w:tc>
          <w:tcPr>
            <w:tcW w:w="900" w:type="dxa"/>
          </w:tcPr>
          <w:p w14:paraId="7DA5492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(3.49)</w:t>
            </w:r>
          </w:p>
        </w:tc>
        <w:tc>
          <w:tcPr>
            <w:tcW w:w="917" w:type="dxa"/>
            <w:vMerge/>
          </w:tcPr>
          <w:p w14:paraId="48F43163" w14:textId="77777777" w:rsidR="00D50EA8" w:rsidRPr="00BC3FFD" w:rsidRDefault="00D50EA8" w:rsidP="00B22351">
            <w:pPr>
              <w:spacing w:line="360" w:lineRule="auto"/>
              <w:jc w:val="both"/>
              <w:rPr>
                <w:rFonts w:ascii="Arial" w:hAnsi="Arial" w:cs="Arial"/>
                <w:sz w:val="20"/>
                <w:szCs w:val="20"/>
              </w:rPr>
            </w:pPr>
          </w:p>
        </w:tc>
      </w:tr>
      <w:tr w:rsidR="00D50EA8" w:rsidRPr="00BC3FFD" w14:paraId="0A9DC575" w14:textId="77777777" w:rsidTr="00EA2D97">
        <w:tc>
          <w:tcPr>
            <w:tcW w:w="1170" w:type="dxa"/>
            <w:vMerge/>
          </w:tcPr>
          <w:p w14:paraId="300D31A5" w14:textId="77777777" w:rsidR="00D50EA8" w:rsidRPr="00BC3FFD" w:rsidRDefault="00D50EA8" w:rsidP="00B22351">
            <w:pPr>
              <w:spacing w:line="360" w:lineRule="auto"/>
              <w:jc w:val="both"/>
              <w:rPr>
                <w:rFonts w:ascii="Arial" w:hAnsi="Arial" w:cs="Arial"/>
                <w:sz w:val="20"/>
                <w:szCs w:val="20"/>
              </w:rPr>
            </w:pPr>
          </w:p>
        </w:tc>
        <w:tc>
          <w:tcPr>
            <w:tcW w:w="990" w:type="dxa"/>
          </w:tcPr>
          <w:p w14:paraId="05365F7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0.32</w:t>
            </w:r>
          </w:p>
        </w:tc>
        <w:tc>
          <w:tcPr>
            <w:tcW w:w="990" w:type="dxa"/>
          </w:tcPr>
          <w:p w14:paraId="11F7ECA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0.42</w:t>
            </w:r>
          </w:p>
        </w:tc>
        <w:tc>
          <w:tcPr>
            <w:tcW w:w="990" w:type="dxa"/>
          </w:tcPr>
          <w:p w14:paraId="6F3EBFD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0.30</w:t>
            </w:r>
          </w:p>
        </w:tc>
        <w:tc>
          <w:tcPr>
            <w:tcW w:w="990" w:type="dxa"/>
          </w:tcPr>
          <w:p w14:paraId="5553BBD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0.39</w:t>
            </w:r>
          </w:p>
        </w:tc>
        <w:tc>
          <w:tcPr>
            <w:tcW w:w="990" w:type="dxa"/>
          </w:tcPr>
          <w:p w14:paraId="085AA57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0.70</w:t>
            </w:r>
          </w:p>
        </w:tc>
        <w:tc>
          <w:tcPr>
            <w:tcW w:w="990" w:type="dxa"/>
          </w:tcPr>
          <w:p w14:paraId="188B799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0.41</w:t>
            </w:r>
          </w:p>
        </w:tc>
        <w:tc>
          <w:tcPr>
            <w:tcW w:w="990" w:type="dxa"/>
          </w:tcPr>
          <w:p w14:paraId="39C44CC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0.51</w:t>
            </w:r>
          </w:p>
        </w:tc>
        <w:tc>
          <w:tcPr>
            <w:tcW w:w="990" w:type="dxa"/>
          </w:tcPr>
          <w:p w14:paraId="3AC24D9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0.39</w:t>
            </w:r>
          </w:p>
        </w:tc>
        <w:tc>
          <w:tcPr>
            <w:tcW w:w="990" w:type="dxa"/>
          </w:tcPr>
          <w:p w14:paraId="4B27E89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0.43</w:t>
            </w:r>
          </w:p>
        </w:tc>
        <w:tc>
          <w:tcPr>
            <w:tcW w:w="990" w:type="dxa"/>
          </w:tcPr>
          <w:p w14:paraId="55127B9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0.32</w:t>
            </w:r>
          </w:p>
        </w:tc>
        <w:tc>
          <w:tcPr>
            <w:tcW w:w="990" w:type="dxa"/>
          </w:tcPr>
          <w:p w14:paraId="411C131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0.29</w:t>
            </w:r>
          </w:p>
        </w:tc>
        <w:tc>
          <w:tcPr>
            <w:tcW w:w="990" w:type="dxa"/>
          </w:tcPr>
          <w:p w14:paraId="6D144A6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0.27</w:t>
            </w:r>
          </w:p>
        </w:tc>
        <w:tc>
          <w:tcPr>
            <w:tcW w:w="900" w:type="dxa"/>
          </w:tcPr>
          <w:p w14:paraId="3E76C8A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0.39</w:t>
            </w:r>
          </w:p>
        </w:tc>
        <w:tc>
          <w:tcPr>
            <w:tcW w:w="917" w:type="dxa"/>
            <w:vMerge/>
          </w:tcPr>
          <w:p w14:paraId="6DFC7EEA" w14:textId="77777777" w:rsidR="00D50EA8" w:rsidRPr="00BC3FFD" w:rsidRDefault="00D50EA8" w:rsidP="00B22351">
            <w:pPr>
              <w:spacing w:line="360" w:lineRule="auto"/>
              <w:jc w:val="both"/>
              <w:rPr>
                <w:rFonts w:ascii="Arial" w:hAnsi="Arial" w:cs="Arial"/>
                <w:sz w:val="20"/>
                <w:szCs w:val="20"/>
              </w:rPr>
            </w:pPr>
          </w:p>
        </w:tc>
      </w:tr>
      <w:tr w:rsidR="00D50EA8" w:rsidRPr="00BC3FFD" w14:paraId="44E3023E" w14:textId="77777777" w:rsidTr="00EA2D97">
        <w:tc>
          <w:tcPr>
            <w:tcW w:w="1170" w:type="dxa"/>
            <w:vMerge/>
          </w:tcPr>
          <w:p w14:paraId="61ACC316" w14:textId="77777777" w:rsidR="00D50EA8" w:rsidRPr="00BC3FFD" w:rsidRDefault="00D50EA8" w:rsidP="00B22351">
            <w:pPr>
              <w:spacing w:line="360" w:lineRule="auto"/>
              <w:jc w:val="both"/>
              <w:rPr>
                <w:rFonts w:ascii="Arial" w:hAnsi="Arial" w:cs="Arial"/>
                <w:sz w:val="20"/>
                <w:szCs w:val="20"/>
              </w:rPr>
            </w:pPr>
          </w:p>
        </w:tc>
        <w:tc>
          <w:tcPr>
            <w:tcW w:w="990" w:type="dxa"/>
          </w:tcPr>
          <w:p w14:paraId="3BC51BE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(3.24)</w:t>
            </w:r>
          </w:p>
        </w:tc>
        <w:tc>
          <w:tcPr>
            <w:tcW w:w="990" w:type="dxa"/>
          </w:tcPr>
          <w:p w14:paraId="13CD336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(3.72)</w:t>
            </w:r>
          </w:p>
        </w:tc>
        <w:tc>
          <w:tcPr>
            <w:tcW w:w="990" w:type="dxa"/>
          </w:tcPr>
          <w:p w14:paraId="4238F9B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(3.29)</w:t>
            </w:r>
          </w:p>
        </w:tc>
        <w:tc>
          <w:tcPr>
            <w:tcW w:w="990" w:type="dxa"/>
          </w:tcPr>
          <w:p w14:paraId="1ED197E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(3.58)</w:t>
            </w:r>
          </w:p>
        </w:tc>
        <w:tc>
          <w:tcPr>
            <w:tcW w:w="990" w:type="dxa"/>
          </w:tcPr>
          <w:p w14:paraId="69BD8DB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(5.03)</w:t>
            </w:r>
          </w:p>
        </w:tc>
        <w:tc>
          <w:tcPr>
            <w:tcW w:w="990" w:type="dxa"/>
          </w:tcPr>
          <w:p w14:paraId="27F2E85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(3.61)</w:t>
            </w:r>
          </w:p>
        </w:tc>
        <w:tc>
          <w:tcPr>
            <w:tcW w:w="990" w:type="dxa"/>
          </w:tcPr>
          <w:p w14:paraId="2CC9492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(4.09)</w:t>
            </w:r>
          </w:p>
        </w:tc>
        <w:tc>
          <w:tcPr>
            <w:tcW w:w="990" w:type="dxa"/>
          </w:tcPr>
          <w:p w14:paraId="4107F8F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(3.58)</w:t>
            </w:r>
          </w:p>
        </w:tc>
        <w:tc>
          <w:tcPr>
            <w:tcW w:w="990" w:type="dxa"/>
          </w:tcPr>
          <w:p w14:paraId="69E7047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(3.76)</w:t>
            </w:r>
          </w:p>
        </w:tc>
        <w:tc>
          <w:tcPr>
            <w:tcW w:w="990" w:type="dxa"/>
          </w:tcPr>
          <w:p w14:paraId="5EA3B9F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(3.24)</w:t>
            </w:r>
          </w:p>
        </w:tc>
        <w:tc>
          <w:tcPr>
            <w:tcW w:w="990" w:type="dxa"/>
          </w:tcPr>
          <w:p w14:paraId="4A2276C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(3.09)</w:t>
            </w:r>
          </w:p>
        </w:tc>
        <w:tc>
          <w:tcPr>
            <w:tcW w:w="990" w:type="dxa"/>
          </w:tcPr>
          <w:p w14:paraId="27326FC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(2.98)</w:t>
            </w:r>
          </w:p>
        </w:tc>
        <w:tc>
          <w:tcPr>
            <w:tcW w:w="900" w:type="dxa"/>
          </w:tcPr>
          <w:p w14:paraId="54F7F35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(3.58)</w:t>
            </w:r>
          </w:p>
        </w:tc>
        <w:tc>
          <w:tcPr>
            <w:tcW w:w="917" w:type="dxa"/>
            <w:vMerge/>
          </w:tcPr>
          <w:p w14:paraId="473E878D" w14:textId="77777777" w:rsidR="00D50EA8" w:rsidRPr="00BC3FFD" w:rsidRDefault="00D50EA8" w:rsidP="00B22351">
            <w:pPr>
              <w:spacing w:line="360" w:lineRule="auto"/>
              <w:jc w:val="both"/>
              <w:rPr>
                <w:rFonts w:ascii="Arial" w:hAnsi="Arial" w:cs="Arial"/>
                <w:sz w:val="20"/>
                <w:szCs w:val="20"/>
              </w:rPr>
            </w:pPr>
          </w:p>
        </w:tc>
      </w:tr>
      <w:tr w:rsidR="00D50EA8" w:rsidRPr="00BC3FFD" w14:paraId="7CF92EFA" w14:textId="77777777" w:rsidTr="00EA2D97">
        <w:tc>
          <w:tcPr>
            <w:tcW w:w="1170" w:type="dxa"/>
            <w:vMerge w:val="restart"/>
          </w:tcPr>
          <w:p w14:paraId="53D9CC1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Pant Bahar</w:t>
            </w:r>
          </w:p>
        </w:tc>
        <w:tc>
          <w:tcPr>
            <w:tcW w:w="990" w:type="dxa"/>
          </w:tcPr>
          <w:p w14:paraId="6577070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0.10</w:t>
            </w:r>
          </w:p>
        </w:tc>
        <w:tc>
          <w:tcPr>
            <w:tcW w:w="990" w:type="dxa"/>
          </w:tcPr>
          <w:p w14:paraId="2254DF9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0.20</w:t>
            </w:r>
          </w:p>
        </w:tc>
        <w:tc>
          <w:tcPr>
            <w:tcW w:w="990" w:type="dxa"/>
          </w:tcPr>
          <w:p w14:paraId="2D11C9F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0.41</w:t>
            </w:r>
          </w:p>
        </w:tc>
        <w:tc>
          <w:tcPr>
            <w:tcW w:w="990" w:type="dxa"/>
          </w:tcPr>
          <w:p w14:paraId="1E7CFD9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0.22</w:t>
            </w:r>
          </w:p>
        </w:tc>
        <w:tc>
          <w:tcPr>
            <w:tcW w:w="990" w:type="dxa"/>
          </w:tcPr>
          <w:p w14:paraId="3C1957E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0.68</w:t>
            </w:r>
          </w:p>
        </w:tc>
        <w:tc>
          <w:tcPr>
            <w:tcW w:w="990" w:type="dxa"/>
          </w:tcPr>
          <w:p w14:paraId="334F29A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0.76</w:t>
            </w:r>
          </w:p>
        </w:tc>
        <w:tc>
          <w:tcPr>
            <w:tcW w:w="990" w:type="dxa"/>
          </w:tcPr>
          <w:p w14:paraId="7EFD4CC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0.67</w:t>
            </w:r>
          </w:p>
        </w:tc>
        <w:tc>
          <w:tcPr>
            <w:tcW w:w="990" w:type="dxa"/>
          </w:tcPr>
          <w:p w14:paraId="56780E3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0.75</w:t>
            </w:r>
          </w:p>
        </w:tc>
        <w:tc>
          <w:tcPr>
            <w:tcW w:w="990" w:type="dxa"/>
          </w:tcPr>
          <w:p w14:paraId="56C73C2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0.81</w:t>
            </w:r>
          </w:p>
        </w:tc>
        <w:tc>
          <w:tcPr>
            <w:tcW w:w="990" w:type="dxa"/>
          </w:tcPr>
          <w:p w14:paraId="345BD05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0.72</w:t>
            </w:r>
          </w:p>
        </w:tc>
        <w:tc>
          <w:tcPr>
            <w:tcW w:w="990" w:type="dxa"/>
          </w:tcPr>
          <w:p w14:paraId="4154F64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0.64</w:t>
            </w:r>
          </w:p>
        </w:tc>
        <w:tc>
          <w:tcPr>
            <w:tcW w:w="990" w:type="dxa"/>
          </w:tcPr>
          <w:p w14:paraId="73788C4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0.65</w:t>
            </w:r>
          </w:p>
        </w:tc>
        <w:tc>
          <w:tcPr>
            <w:tcW w:w="900" w:type="dxa"/>
          </w:tcPr>
          <w:p w14:paraId="72AA907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0.54</w:t>
            </w:r>
          </w:p>
        </w:tc>
        <w:tc>
          <w:tcPr>
            <w:tcW w:w="917" w:type="dxa"/>
            <w:vMerge w:val="restart"/>
          </w:tcPr>
          <w:p w14:paraId="14758EE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18.95</w:t>
            </w:r>
          </w:p>
        </w:tc>
      </w:tr>
      <w:tr w:rsidR="00D50EA8" w:rsidRPr="00BC3FFD" w14:paraId="374FBFF4" w14:textId="77777777" w:rsidTr="00EA2D97">
        <w:tc>
          <w:tcPr>
            <w:tcW w:w="1170" w:type="dxa"/>
            <w:vMerge/>
          </w:tcPr>
          <w:p w14:paraId="7E8C29F2" w14:textId="77777777" w:rsidR="00D50EA8" w:rsidRPr="00BC3FFD" w:rsidRDefault="00D50EA8" w:rsidP="00B22351">
            <w:pPr>
              <w:spacing w:line="360" w:lineRule="auto"/>
              <w:jc w:val="both"/>
              <w:rPr>
                <w:rFonts w:ascii="Arial" w:hAnsi="Arial" w:cs="Arial"/>
                <w:sz w:val="20"/>
                <w:szCs w:val="20"/>
              </w:rPr>
            </w:pPr>
          </w:p>
        </w:tc>
        <w:tc>
          <w:tcPr>
            <w:tcW w:w="990" w:type="dxa"/>
          </w:tcPr>
          <w:p w14:paraId="6232364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(1.90)</w:t>
            </w:r>
          </w:p>
        </w:tc>
        <w:tc>
          <w:tcPr>
            <w:tcW w:w="990" w:type="dxa"/>
          </w:tcPr>
          <w:p w14:paraId="3B5A1EE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(2.69)</w:t>
            </w:r>
          </w:p>
        </w:tc>
        <w:tc>
          <w:tcPr>
            <w:tcW w:w="990" w:type="dxa"/>
          </w:tcPr>
          <w:p w14:paraId="0B5FA80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3.72</w:t>
            </w:r>
          </w:p>
        </w:tc>
        <w:tc>
          <w:tcPr>
            <w:tcW w:w="990" w:type="dxa"/>
          </w:tcPr>
          <w:p w14:paraId="6FBF06C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(2.69)</w:t>
            </w:r>
          </w:p>
        </w:tc>
        <w:tc>
          <w:tcPr>
            <w:tcW w:w="990" w:type="dxa"/>
          </w:tcPr>
          <w:p w14:paraId="0E73535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(4.73)</w:t>
            </w:r>
          </w:p>
        </w:tc>
        <w:tc>
          <w:tcPr>
            <w:tcW w:w="990" w:type="dxa"/>
          </w:tcPr>
          <w:p w14:paraId="7950E4A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(5.00)</w:t>
            </w:r>
          </w:p>
        </w:tc>
        <w:tc>
          <w:tcPr>
            <w:tcW w:w="990" w:type="dxa"/>
          </w:tcPr>
          <w:p w14:paraId="2F61CA4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(4.69)</w:t>
            </w:r>
          </w:p>
        </w:tc>
        <w:tc>
          <w:tcPr>
            <w:tcW w:w="990" w:type="dxa"/>
          </w:tcPr>
          <w:p w14:paraId="559971A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(4.97)</w:t>
            </w:r>
          </w:p>
        </w:tc>
        <w:tc>
          <w:tcPr>
            <w:tcW w:w="990" w:type="dxa"/>
          </w:tcPr>
          <w:p w14:paraId="7AA9595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(5.19)</w:t>
            </w:r>
          </w:p>
        </w:tc>
        <w:tc>
          <w:tcPr>
            <w:tcW w:w="990" w:type="dxa"/>
          </w:tcPr>
          <w:p w14:paraId="4DD6859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(4.87)</w:t>
            </w:r>
          </w:p>
        </w:tc>
        <w:tc>
          <w:tcPr>
            <w:tcW w:w="990" w:type="dxa"/>
          </w:tcPr>
          <w:p w14:paraId="39CF402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(4.59)</w:t>
            </w:r>
          </w:p>
        </w:tc>
        <w:tc>
          <w:tcPr>
            <w:tcW w:w="990" w:type="dxa"/>
          </w:tcPr>
          <w:p w14:paraId="5EDDEE2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(4.62)</w:t>
            </w:r>
          </w:p>
        </w:tc>
        <w:tc>
          <w:tcPr>
            <w:tcW w:w="900" w:type="dxa"/>
          </w:tcPr>
          <w:p w14:paraId="0305B53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(4.21)</w:t>
            </w:r>
          </w:p>
        </w:tc>
        <w:tc>
          <w:tcPr>
            <w:tcW w:w="917" w:type="dxa"/>
            <w:vMerge/>
          </w:tcPr>
          <w:p w14:paraId="0D05EC87" w14:textId="77777777" w:rsidR="00D50EA8" w:rsidRPr="00BC3FFD" w:rsidRDefault="00D50EA8" w:rsidP="00B22351">
            <w:pPr>
              <w:spacing w:line="360" w:lineRule="auto"/>
              <w:jc w:val="both"/>
              <w:rPr>
                <w:rFonts w:ascii="Arial" w:hAnsi="Arial" w:cs="Arial"/>
                <w:sz w:val="20"/>
                <w:szCs w:val="20"/>
              </w:rPr>
            </w:pPr>
          </w:p>
        </w:tc>
      </w:tr>
      <w:tr w:rsidR="00D50EA8" w:rsidRPr="00BC3FFD" w14:paraId="7EA5B4C2" w14:textId="77777777" w:rsidTr="00EA2D97">
        <w:tc>
          <w:tcPr>
            <w:tcW w:w="1170" w:type="dxa"/>
            <w:vMerge/>
          </w:tcPr>
          <w:p w14:paraId="0983B400" w14:textId="77777777" w:rsidR="00D50EA8" w:rsidRPr="00BC3FFD" w:rsidRDefault="00D50EA8" w:rsidP="00B22351">
            <w:pPr>
              <w:spacing w:line="360" w:lineRule="auto"/>
              <w:jc w:val="both"/>
              <w:rPr>
                <w:rFonts w:ascii="Arial" w:hAnsi="Arial" w:cs="Arial"/>
                <w:sz w:val="20"/>
                <w:szCs w:val="20"/>
              </w:rPr>
            </w:pPr>
          </w:p>
        </w:tc>
        <w:tc>
          <w:tcPr>
            <w:tcW w:w="990" w:type="dxa"/>
          </w:tcPr>
          <w:p w14:paraId="1C9D095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0.20</w:t>
            </w:r>
          </w:p>
        </w:tc>
        <w:tc>
          <w:tcPr>
            <w:tcW w:w="990" w:type="dxa"/>
          </w:tcPr>
          <w:p w14:paraId="4F7B2D6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0.31</w:t>
            </w:r>
          </w:p>
        </w:tc>
        <w:tc>
          <w:tcPr>
            <w:tcW w:w="990" w:type="dxa"/>
          </w:tcPr>
          <w:p w14:paraId="438AE05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0.28</w:t>
            </w:r>
          </w:p>
        </w:tc>
        <w:tc>
          <w:tcPr>
            <w:tcW w:w="990" w:type="dxa"/>
          </w:tcPr>
          <w:p w14:paraId="41CCCAA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0.27</w:t>
            </w:r>
          </w:p>
        </w:tc>
        <w:tc>
          <w:tcPr>
            <w:tcW w:w="990" w:type="dxa"/>
          </w:tcPr>
          <w:p w14:paraId="68878E8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0.30</w:t>
            </w:r>
          </w:p>
        </w:tc>
        <w:tc>
          <w:tcPr>
            <w:tcW w:w="990" w:type="dxa"/>
          </w:tcPr>
          <w:p w14:paraId="3374E3A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0.29</w:t>
            </w:r>
          </w:p>
        </w:tc>
        <w:tc>
          <w:tcPr>
            <w:tcW w:w="990" w:type="dxa"/>
          </w:tcPr>
          <w:p w14:paraId="264D95F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0.50</w:t>
            </w:r>
          </w:p>
        </w:tc>
        <w:tc>
          <w:tcPr>
            <w:tcW w:w="990" w:type="dxa"/>
          </w:tcPr>
          <w:p w14:paraId="097F15F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0.29</w:t>
            </w:r>
          </w:p>
        </w:tc>
        <w:tc>
          <w:tcPr>
            <w:tcW w:w="990" w:type="dxa"/>
          </w:tcPr>
          <w:p w14:paraId="6B79D05C"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0.30</w:t>
            </w:r>
          </w:p>
        </w:tc>
        <w:tc>
          <w:tcPr>
            <w:tcW w:w="990" w:type="dxa"/>
          </w:tcPr>
          <w:p w14:paraId="3B3B456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0.32</w:t>
            </w:r>
          </w:p>
        </w:tc>
        <w:tc>
          <w:tcPr>
            <w:tcW w:w="990" w:type="dxa"/>
          </w:tcPr>
          <w:p w14:paraId="6BE203C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0.31</w:t>
            </w:r>
          </w:p>
        </w:tc>
        <w:tc>
          <w:tcPr>
            <w:tcW w:w="990" w:type="dxa"/>
          </w:tcPr>
          <w:p w14:paraId="58B83CE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0.28</w:t>
            </w:r>
          </w:p>
        </w:tc>
        <w:tc>
          <w:tcPr>
            <w:tcW w:w="900" w:type="dxa"/>
          </w:tcPr>
          <w:p w14:paraId="2F04CED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0.28</w:t>
            </w:r>
          </w:p>
        </w:tc>
        <w:tc>
          <w:tcPr>
            <w:tcW w:w="917" w:type="dxa"/>
            <w:vMerge/>
          </w:tcPr>
          <w:p w14:paraId="668104E5" w14:textId="77777777" w:rsidR="00D50EA8" w:rsidRPr="00BC3FFD" w:rsidRDefault="00D50EA8" w:rsidP="00B22351">
            <w:pPr>
              <w:spacing w:line="360" w:lineRule="auto"/>
              <w:jc w:val="both"/>
              <w:rPr>
                <w:rFonts w:ascii="Arial" w:hAnsi="Arial" w:cs="Arial"/>
                <w:sz w:val="20"/>
                <w:szCs w:val="20"/>
              </w:rPr>
            </w:pPr>
          </w:p>
        </w:tc>
      </w:tr>
      <w:tr w:rsidR="00D50EA8" w:rsidRPr="00BC3FFD" w14:paraId="74964B5C" w14:textId="77777777" w:rsidTr="00EA2D97">
        <w:tc>
          <w:tcPr>
            <w:tcW w:w="1170" w:type="dxa"/>
            <w:vMerge/>
          </w:tcPr>
          <w:p w14:paraId="36146213" w14:textId="77777777" w:rsidR="00D50EA8" w:rsidRPr="00BC3FFD" w:rsidRDefault="00D50EA8" w:rsidP="00B22351">
            <w:pPr>
              <w:spacing w:line="360" w:lineRule="auto"/>
              <w:jc w:val="both"/>
              <w:rPr>
                <w:rFonts w:ascii="Arial" w:hAnsi="Arial" w:cs="Arial"/>
                <w:sz w:val="20"/>
                <w:szCs w:val="20"/>
              </w:rPr>
            </w:pPr>
          </w:p>
        </w:tc>
        <w:tc>
          <w:tcPr>
            <w:tcW w:w="990" w:type="dxa"/>
          </w:tcPr>
          <w:p w14:paraId="4703467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(2.69)</w:t>
            </w:r>
          </w:p>
        </w:tc>
        <w:tc>
          <w:tcPr>
            <w:tcW w:w="990" w:type="dxa"/>
          </w:tcPr>
          <w:p w14:paraId="63B2718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(3.19)</w:t>
            </w:r>
          </w:p>
        </w:tc>
        <w:tc>
          <w:tcPr>
            <w:tcW w:w="990" w:type="dxa"/>
          </w:tcPr>
          <w:p w14:paraId="4FBB553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(3.03)</w:t>
            </w:r>
          </w:p>
        </w:tc>
        <w:tc>
          <w:tcPr>
            <w:tcW w:w="990" w:type="dxa"/>
          </w:tcPr>
          <w:p w14:paraId="60C1DA4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(2.98)</w:t>
            </w:r>
          </w:p>
        </w:tc>
        <w:tc>
          <w:tcPr>
            <w:tcW w:w="990" w:type="dxa"/>
          </w:tcPr>
          <w:p w14:paraId="07DFBCD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(3.29)</w:t>
            </w:r>
          </w:p>
        </w:tc>
        <w:tc>
          <w:tcPr>
            <w:tcW w:w="990" w:type="dxa"/>
          </w:tcPr>
          <w:p w14:paraId="2D5B94C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(3.09)</w:t>
            </w:r>
          </w:p>
        </w:tc>
        <w:tc>
          <w:tcPr>
            <w:tcW w:w="990" w:type="dxa"/>
          </w:tcPr>
          <w:p w14:paraId="2D66D9D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(4.25)</w:t>
            </w:r>
          </w:p>
        </w:tc>
        <w:tc>
          <w:tcPr>
            <w:tcW w:w="990" w:type="dxa"/>
          </w:tcPr>
          <w:p w14:paraId="5DBF5D7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(3.09)</w:t>
            </w:r>
          </w:p>
        </w:tc>
        <w:tc>
          <w:tcPr>
            <w:tcW w:w="990" w:type="dxa"/>
          </w:tcPr>
          <w:p w14:paraId="1170F0E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(3.29)</w:t>
            </w:r>
          </w:p>
        </w:tc>
        <w:tc>
          <w:tcPr>
            <w:tcW w:w="990" w:type="dxa"/>
          </w:tcPr>
          <w:p w14:paraId="34D6858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(3.34)</w:t>
            </w:r>
          </w:p>
        </w:tc>
        <w:tc>
          <w:tcPr>
            <w:tcW w:w="990" w:type="dxa"/>
          </w:tcPr>
          <w:p w14:paraId="24CCEA4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(3.29)</w:t>
            </w:r>
          </w:p>
        </w:tc>
        <w:tc>
          <w:tcPr>
            <w:tcW w:w="990" w:type="dxa"/>
          </w:tcPr>
          <w:p w14:paraId="6443762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(3.03)</w:t>
            </w:r>
          </w:p>
        </w:tc>
        <w:tc>
          <w:tcPr>
            <w:tcW w:w="900" w:type="dxa"/>
          </w:tcPr>
          <w:p w14:paraId="0B18E5B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(3.03)</w:t>
            </w:r>
          </w:p>
        </w:tc>
        <w:tc>
          <w:tcPr>
            <w:tcW w:w="917" w:type="dxa"/>
            <w:vMerge/>
          </w:tcPr>
          <w:p w14:paraId="5531DA73" w14:textId="77777777" w:rsidR="00D50EA8" w:rsidRPr="00BC3FFD" w:rsidRDefault="00D50EA8" w:rsidP="00B22351">
            <w:pPr>
              <w:spacing w:line="360" w:lineRule="auto"/>
              <w:jc w:val="both"/>
              <w:rPr>
                <w:rFonts w:ascii="Arial" w:hAnsi="Arial" w:cs="Arial"/>
                <w:sz w:val="20"/>
                <w:szCs w:val="20"/>
              </w:rPr>
            </w:pPr>
          </w:p>
        </w:tc>
      </w:tr>
      <w:tr w:rsidR="00D50EA8" w:rsidRPr="00BC3FFD" w14:paraId="43EC020A" w14:textId="77777777" w:rsidTr="00EA2D97">
        <w:tc>
          <w:tcPr>
            <w:tcW w:w="1170" w:type="dxa"/>
            <w:vMerge w:val="restart"/>
          </w:tcPr>
          <w:p w14:paraId="44D6039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Arka Abha</w:t>
            </w:r>
          </w:p>
        </w:tc>
        <w:tc>
          <w:tcPr>
            <w:tcW w:w="990" w:type="dxa"/>
          </w:tcPr>
          <w:p w14:paraId="61551C7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0.28</w:t>
            </w:r>
          </w:p>
        </w:tc>
        <w:tc>
          <w:tcPr>
            <w:tcW w:w="990" w:type="dxa"/>
          </w:tcPr>
          <w:p w14:paraId="1931BBD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0.29</w:t>
            </w:r>
          </w:p>
        </w:tc>
        <w:tc>
          <w:tcPr>
            <w:tcW w:w="990" w:type="dxa"/>
          </w:tcPr>
          <w:p w14:paraId="23FF692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0.58</w:t>
            </w:r>
          </w:p>
        </w:tc>
        <w:tc>
          <w:tcPr>
            <w:tcW w:w="990" w:type="dxa"/>
          </w:tcPr>
          <w:p w14:paraId="18715B9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0.34</w:t>
            </w:r>
          </w:p>
        </w:tc>
        <w:tc>
          <w:tcPr>
            <w:tcW w:w="990" w:type="dxa"/>
          </w:tcPr>
          <w:p w14:paraId="4FD3EE6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1.04</w:t>
            </w:r>
          </w:p>
        </w:tc>
        <w:tc>
          <w:tcPr>
            <w:tcW w:w="990" w:type="dxa"/>
          </w:tcPr>
          <w:p w14:paraId="106D958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1.25</w:t>
            </w:r>
          </w:p>
        </w:tc>
        <w:tc>
          <w:tcPr>
            <w:tcW w:w="990" w:type="dxa"/>
          </w:tcPr>
          <w:p w14:paraId="570E00A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0.48</w:t>
            </w:r>
          </w:p>
        </w:tc>
        <w:tc>
          <w:tcPr>
            <w:tcW w:w="990" w:type="dxa"/>
          </w:tcPr>
          <w:p w14:paraId="4F3D0C9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0.06</w:t>
            </w:r>
          </w:p>
        </w:tc>
        <w:tc>
          <w:tcPr>
            <w:tcW w:w="990" w:type="dxa"/>
          </w:tcPr>
          <w:p w14:paraId="741906F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0.61</w:t>
            </w:r>
          </w:p>
        </w:tc>
        <w:tc>
          <w:tcPr>
            <w:tcW w:w="990" w:type="dxa"/>
          </w:tcPr>
          <w:p w14:paraId="7F2C690C"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0.48</w:t>
            </w:r>
          </w:p>
        </w:tc>
        <w:tc>
          <w:tcPr>
            <w:tcW w:w="990" w:type="dxa"/>
          </w:tcPr>
          <w:p w14:paraId="65C6EA5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0.43</w:t>
            </w:r>
          </w:p>
        </w:tc>
        <w:tc>
          <w:tcPr>
            <w:tcW w:w="990" w:type="dxa"/>
          </w:tcPr>
          <w:p w14:paraId="1B19FF7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0.44</w:t>
            </w:r>
          </w:p>
        </w:tc>
        <w:tc>
          <w:tcPr>
            <w:tcW w:w="900" w:type="dxa"/>
          </w:tcPr>
          <w:p w14:paraId="4F6AB14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0.52</w:t>
            </w:r>
          </w:p>
        </w:tc>
        <w:tc>
          <w:tcPr>
            <w:tcW w:w="917" w:type="dxa"/>
            <w:vMerge w:val="restart"/>
          </w:tcPr>
          <w:p w14:paraId="4B20C9D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16.80</w:t>
            </w:r>
          </w:p>
        </w:tc>
      </w:tr>
      <w:tr w:rsidR="00D50EA8" w:rsidRPr="00BC3FFD" w14:paraId="12B2F622" w14:textId="77777777" w:rsidTr="00EA2D97">
        <w:tc>
          <w:tcPr>
            <w:tcW w:w="1170" w:type="dxa"/>
            <w:vMerge/>
          </w:tcPr>
          <w:p w14:paraId="501717AB" w14:textId="77777777" w:rsidR="00D50EA8" w:rsidRPr="00BC3FFD" w:rsidRDefault="00D50EA8" w:rsidP="00B22351">
            <w:pPr>
              <w:spacing w:line="360" w:lineRule="auto"/>
              <w:jc w:val="both"/>
              <w:rPr>
                <w:rFonts w:ascii="Arial" w:hAnsi="Arial" w:cs="Arial"/>
                <w:sz w:val="20"/>
                <w:szCs w:val="20"/>
              </w:rPr>
            </w:pPr>
          </w:p>
        </w:tc>
        <w:tc>
          <w:tcPr>
            <w:tcW w:w="990" w:type="dxa"/>
          </w:tcPr>
          <w:p w14:paraId="20F3D36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(3.03)</w:t>
            </w:r>
          </w:p>
        </w:tc>
        <w:tc>
          <w:tcPr>
            <w:tcW w:w="990" w:type="dxa"/>
          </w:tcPr>
          <w:p w14:paraId="450155C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(3.09)</w:t>
            </w:r>
          </w:p>
        </w:tc>
        <w:tc>
          <w:tcPr>
            <w:tcW w:w="990" w:type="dxa"/>
          </w:tcPr>
          <w:p w14:paraId="5F43B05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(4.37)</w:t>
            </w:r>
          </w:p>
        </w:tc>
        <w:tc>
          <w:tcPr>
            <w:tcW w:w="990" w:type="dxa"/>
          </w:tcPr>
          <w:p w14:paraId="42D0002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(3.34)</w:t>
            </w:r>
          </w:p>
        </w:tc>
        <w:tc>
          <w:tcPr>
            <w:tcW w:w="990" w:type="dxa"/>
          </w:tcPr>
          <w:p w14:paraId="40A27AC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(6.29)</w:t>
            </w:r>
          </w:p>
        </w:tc>
        <w:tc>
          <w:tcPr>
            <w:tcW w:w="990" w:type="dxa"/>
          </w:tcPr>
          <w:p w14:paraId="344D47B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(6.55)</w:t>
            </w:r>
          </w:p>
        </w:tc>
        <w:tc>
          <w:tcPr>
            <w:tcW w:w="990" w:type="dxa"/>
          </w:tcPr>
          <w:p w14:paraId="13C4F10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(3.97)</w:t>
            </w:r>
          </w:p>
        </w:tc>
        <w:tc>
          <w:tcPr>
            <w:tcW w:w="990" w:type="dxa"/>
          </w:tcPr>
          <w:p w14:paraId="055F603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(4.48)</w:t>
            </w:r>
          </w:p>
        </w:tc>
        <w:tc>
          <w:tcPr>
            <w:tcW w:w="990" w:type="dxa"/>
          </w:tcPr>
          <w:p w14:paraId="36FA696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(4.53)</w:t>
            </w:r>
          </w:p>
        </w:tc>
        <w:tc>
          <w:tcPr>
            <w:tcW w:w="990" w:type="dxa"/>
          </w:tcPr>
          <w:p w14:paraId="3FA99AC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(3.97)</w:t>
            </w:r>
          </w:p>
        </w:tc>
        <w:tc>
          <w:tcPr>
            <w:tcW w:w="990" w:type="dxa"/>
          </w:tcPr>
          <w:p w14:paraId="68A4D89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(3.76)</w:t>
            </w:r>
          </w:p>
        </w:tc>
        <w:tc>
          <w:tcPr>
            <w:tcW w:w="990" w:type="dxa"/>
          </w:tcPr>
          <w:p w14:paraId="1716913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(3.80)</w:t>
            </w:r>
          </w:p>
        </w:tc>
        <w:tc>
          <w:tcPr>
            <w:tcW w:w="900" w:type="dxa"/>
          </w:tcPr>
          <w:p w14:paraId="57CED6A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(4.13)</w:t>
            </w:r>
          </w:p>
        </w:tc>
        <w:tc>
          <w:tcPr>
            <w:tcW w:w="917" w:type="dxa"/>
            <w:vMerge/>
          </w:tcPr>
          <w:p w14:paraId="350EC547" w14:textId="77777777" w:rsidR="00D50EA8" w:rsidRPr="00BC3FFD" w:rsidRDefault="00D50EA8" w:rsidP="00B22351">
            <w:pPr>
              <w:spacing w:line="360" w:lineRule="auto"/>
              <w:jc w:val="both"/>
              <w:rPr>
                <w:rFonts w:ascii="Arial" w:hAnsi="Arial" w:cs="Arial"/>
                <w:sz w:val="20"/>
                <w:szCs w:val="20"/>
              </w:rPr>
            </w:pPr>
          </w:p>
        </w:tc>
      </w:tr>
      <w:tr w:rsidR="00D50EA8" w:rsidRPr="00BC3FFD" w14:paraId="4987DEDB" w14:textId="77777777" w:rsidTr="00EA2D97">
        <w:tc>
          <w:tcPr>
            <w:tcW w:w="1170" w:type="dxa"/>
            <w:vMerge/>
          </w:tcPr>
          <w:p w14:paraId="769938CF" w14:textId="77777777" w:rsidR="00D50EA8" w:rsidRPr="00BC3FFD" w:rsidRDefault="00D50EA8" w:rsidP="00B22351">
            <w:pPr>
              <w:spacing w:line="360" w:lineRule="auto"/>
              <w:jc w:val="both"/>
              <w:rPr>
                <w:rFonts w:ascii="Arial" w:hAnsi="Arial" w:cs="Arial"/>
                <w:sz w:val="20"/>
                <w:szCs w:val="20"/>
              </w:rPr>
            </w:pPr>
          </w:p>
        </w:tc>
        <w:tc>
          <w:tcPr>
            <w:tcW w:w="990" w:type="dxa"/>
          </w:tcPr>
          <w:p w14:paraId="6F2561D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0.39</w:t>
            </w:r>
          </w:p>
        </w:tc>
        <w:tc>
          <w:tcPr>
            <w:tcW w:w="990" w:type="dxa"/>
          </w:tcPr>
          <w:p w14:paraId="0826A29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0.32</w:t>
            </w:r>
          </w:p>
        </w:tc>
        <w:tc>
          <w:tcPr>
            <w:tcW w:w="990" w:type="dxa"/>
          </w:tcPr>
          <w:p w14:paraId="4D39151C"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0.30</w:t>
            </w:r>
          </w:p>
        </w:tc>
        <w:tc>
          <w:tcPr>
            <w:tcW w:w="990" w:type="dxa"/>
          </w:tcPr>
          <w:p w14:paraId="21EBB63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0.39</w:t>
            </w:r>
          </w:p>
        </w:tc>
        <w:tc>
          <w:tcPr>
            <w:tcW w:w="990" w:type="dxa"/>
          </w:tcPr>
          <w:p w14:paraId="6ABAADD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0.28</w:t>
            </w:r>
          </w:p>
        </w:tc>
        <w:tc>
          <w:tcPr>
            <w:tcW w:w="990" w:type="dxa"/>
          </w:tcPr>
          <w:p w14:paraId="16AC7BC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0.46</w:t>
            </w:r>
          </w:p>
        </w:tc>
        <w:tc>
          <w:tcPr>
            <w:tcW w:w="990" w:type="dxa"/>
          </w:tcPr>
          <w:p w14:paraId="72157D9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0.63</w:t>
            </w:r>
          </w:p>
        </w:tc>
        <w:tc>
          <w:tcPr>
            <w:tcW w:w="990" w:type="dxa"/>
          </w:tcPr>
          <w:p w14:paraId="3D803D8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0.51</w:t>
            </w:r>
          </w:p>
        </w:tc>
        <w:tc>
          <w:tcPr>
            <w:tcW w:w="990" w:type="dxa"/>
          </w:tcPr>
          <w:p w14:paraId="7BC57A6C"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0.40</w:t>
            </w:r>
          </w:p>
        </w:tc>
        <w:tc>
          <w:tcPr>
            <w:tcW w:w="990" w:type="dxa"/>
          </w:tcPr>
          <w:p w14:paraId="61F6704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0.41</w:t>
            </w:r>
          </w:p>
        </w:tc>
        <w:tc>
          <w:tcPr>
            <w:tcW w:w="990" w:type="dxa"/>
          </w:tcPr>
          <w:p w14:paraId="463E352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0.42</w:t>
            </w:r>
          </w:p>
        </w:tc>
        <w:tc>
          <w:tcPr>
            <w:tcW w:w="990" w:type="dxa"/>
          </w:tcPr>
          <w:p w14:paraId="5B88E49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0.39</w:t>
            </w:r>
          </w:p>
        </w:tc>
        <w:tc>
          <w:tcPr>
            <w:tcW w:w="900" w:type="dxa"/>
          </w:tcPr>
          <w:p w14:paraId="2DB6582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0.40</w:t>
            </w:r>
          </w:p>
        </w:tc>
        <w:tc>
          <w:tcPr>
            <w:tcW w:w="917" w:type="dxa"/>
            <w:vMerge/>
          </w:tcPr>
          <w:p w14:paraId="4760040A" w14:textId="77777777" w:rsidR="00D50EA8" w:rsidRPr="00BC3FFD" w:rsidRDefault="00D50EA8" w:rsidP="00B22351">
            <w:pPr>
              <w:spacing w:line="360" w:lineRule="auto"/>
              <w:jc w:val="both"/>
              <w:rPr>
                <w:rFonts w:ascii="Arial" w:hAnsi="Arial" w:cs="Arial"/>
                <w:sz w:val="20"/>
                <w:szCs w:val="20"/>
              </w:rPr>
            </w:pPr>
          </w:p>
        </w:tc>
      </w:tr>
      <w:tr w:rsidR="00D50EA8" w:rsidRPr="00BC3FFD" w14:paraId="675BE822" w14:textId="77777777" w:rsidTr="00EA2D97">
        <w:tc>
          <w:tcPr>
            <w:tcW w:w="1170" w:type="dxa"/>
            <w:vMerge/>
          </w:tcPr>
          <w:p w14:paraId="7C7D4E9F" w14:textId="77777777" w:rsidR="00D50EA8" w:rsidRPr="00BC3FFD" w:rsidRDefault="00D50EA8" w:rsidP="00B22351">
            <w:pPr>
              <w:spacing w:line="360" w:lineRule="auto"/>
              <w:jc w:val="both"/>
              <w:rPr>
                <w:rFonts w:ascii="Arial" w:hAnsi="Arial" w:cs="Arial"/>
                <w:sz w:val="20"/>
                <w:szCs w:val="20"/>
              </w:rPr>
            </w:pPr>
          </w:p>
        </w:tc>
        <w:tc>
          <w:tcPr>
            <w:tcW w:w="990" w:type="dxa"/>
          </w:tcPr>
          <w:p w14:paraId="6E3E2C8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(3.58)</w:t>
            </w:r>
          </w:p>
        </w:tc>
        <w:tc>
          <w:tcPr>
            <w:tcW w:w="990" w:type="dxa"/>
          </w:tcPr>
          <w:p w14:paraId="623E761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(3.24)</w:t>
            </w:r>
          </w:p>
        </w:tc>
        <w:tc>
          <w:tcPr>
            <w:tcW w:w="990" w:type="dxa"/>
          </w:tcPr>
          <w:p w14:paraId="1144CB0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(3.29)</w:t>
            </w:r>
          </w:p>
        </w:tc>
        <w:tc>
          <w:tcPr>
            <w:tcW w:w="990" w:type="dxa"/>
          </w:tcPr>
          <w:p w14:paraId="172DF61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(3.58)</w:t>
            </w:r>
          </w:p>
        </w:tc>
        <w:tc>
          <w:tcPr>
            <w:tcW w:w="990" w:type="dxa"/>
          </w:tcPr>
          <w:p w14:paraId="594646F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(3.03)</w:t>
            </w:r>
          </w:p>
        </w:tc>
        <w:tc>
          <w:tcPr>
            <w:tcW w:w="990" w:type="dxa"/>
          </w:tcPr>
          <w:p w14:paraId="781E3D0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(3.89)</w:t>
            </w:r>
          </w:p>
        </w:tc>
        <w:tc>
          <w:tcPr>
            <w:tcW w:w="990" w:type="dxa"/>
          </w:tcPr>
          <w:p w14:paraId="3B1970E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(4.55)</w:t>
            </w:r>
          </w:p>
        </w:tc>
        <w:tc>
          <w:tcPr>
            <w:tcW w:w="990" w:type="dxa"/>
          </w:tcPr>
          <w:p w14:paraId="5A0CD23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(4.09)</w:t>
            </w:r>
          </w:p>
        </w:tc>
        <w:tc>
          <w:tcPr>
            <w:tcW w:w="990" w:type="dxa"/>
          </w:tcPr>
          <w:p w14:paraId="38E862D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(3.67)</w:t>
            </w:r>
          </w:p>
        </w:tc>
        <w:tc>
          <w:tcPr>
            <w:tcW w:w="990" w:type="dxa"/>
          </w:tcPr>
          <w:p w14:paraId="46249F0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(3.72)</w:t>
            </w:r>
          </w:p>
        </w:tc>
        <w:tc>
          <w:tcPr>
            <w:tcW w:w="990" w:type="dxa"/>
          </w:tcPr>
          <w:p w14:paraId="05F6CAD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(3.72)</w:t>
            </w:r>
          </w:p>
        </w:tc>
        <w:tc>
          <w:tcPr>
            <w:tcW w:w="990" w:type="dxa"/>
          </w:tcPr>
          <w:p w14:paraId="67D012A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(3.58)</w:t>
            </w:r>
          </w:p>
        </w:tc>
        <w:tc>
          <w:tcPr>
            <w:tcW w:w="900" w:type="dxa"/>
          </w:tcPr>
          <w:p w14:paraId="3469C47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(3.67)</w:t>
            </w:r>
          </w:p>
        </w:tc>
        <w:tc>
          <w:tcPr>
            <w:tcW w:w="917" w:type="dxa"/>
            <w:vMerge/>
          </w:tcPr>
          <w:p w14:paraId="58A259CD" w14:textId="77777777" w:rsidR="00D50EA8" w:rsidRPr="00BC3FFD" w:rsidRDefault="00D50EA8" w:rsidP="00B22351">
            <w:pPr>
              <w:spacing w:line="360" w:lineRule="auto"/>
              <w:jc w:val="both"/>
              <w:rPr>
                <w:rFonts w:ascii="Arial" w:hAnsi="Arial" w:cs="Arial"/>
                <w:sz w:val="20"/>
                <w:szCs w:val="20"/>
              </w:rPr>
            </w:pPr>
          </w:p>
        </w:tc>
      </w:tr>
      <w:tr w:rsidR="00D50EA8" w:rsidRPr="00BC3FFD" w14:paraId="41106C7A" w14:textId="77777777" w:rsidTr="00EA2D97">
        <w:tc>
          <w:tcPr>
            <w:tcW w:w="1170" w:type="dxa"/>
            <w:vMerge w:val="restart"/>
          </w:tcPr>
          <w:p w14:paraId="4BE5585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lastRenderedPageBreak/>
              <w:t>Control</w:t>
            </w:r>
          </w:p>
        </w:tc>
        <w:tc>
          <w:tcPr>
            <w:tcW w:w="990" w:type="dxa"/>
          </w:tcPr>
          <w:p w14:paraId="3879C77C"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0.27</w:t>
            </w:r>
          </w:p>
        </w:tc>
        <w:tc>
          <w:tcPr>
            <w:tcW w:w="990" w:type="dxa"/>
          </w:tcPr>
          <w:p w14:paraId="32E6B26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0.28</w:t>
            </w:r>
          </w:p>
        </w:tc>
        <w:tc>
          <w:tcPr>
            <w:tcW w:w="990" w:type="dxa"/>
          </w:tcPr>
          <w:p w14:paraId="5756981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0.55</w:t>
            </w:r>
          </w:p>
        </w:tc>
        <w:tc>
          <w:tcPr>
            <w:tcW w:w="990" w:type="dxa"/>
          </w:tcPr>
          <w:p w14:paraId="3014BA0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0.33</w:t>
            </w:r>
          </w:p>
        </w:tc>
        <w:tc>
          <w:tcPr>
            <w:tcW w:w="990" w:type="dxa"/>
          </w:tcPr>
          <w:p w14:paraId="2631E0C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1.03</w:t>
            </w:r>
          </w:p>
        </w:tc>
        <w:tc>
          <w:tcPr>
            <w:tcW w:w="990" w:type="dxa"/>
          </w:tcPr>
          <w:p w14:paraId="6288451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1.22</w:t>
            </w:r>
          </w:p>
        </w:tc>
        <w:tc>
          <w:tcPr>
            <w:tcW w:w="990" w:type="dxa"/>
          </w:tcPr>
          <w:p w14:paraId="20D09D8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0.48</w:t>
            </w:r>
          </w:p>
        </w:tc>
        <w:tc>
          <w:tcPr>
            <w:tcW w:w="990" w:type="dxa"/>
          </w:tcPr>
          <w:p w14:paraId="7E378FF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0.40</w:t>
            </w:r>
          </w:p>
        </w:tc>
        <w:tc>
          <w:tcPr>
            <w:tcW w:w="990" w:type="dxa"/>
          </w:tcPr>
          <w:p w14:paraId="349AEDB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0.60</w:t>
            </w:r>
          </w:p>
        </w:tc>
        <w:tc>
          <w:tcPr>
            <w:tcW w:w="990" w:type="dxa"/>
          </w:tcPr>
          <w:p w14:paraId="369E706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0.47</w:t>
            </w:r>
          </w:p>
        </w:tc>
        <w:tc>
          <w:tcPr>
            <w:tcW w:w="990" w:type="dxa"/>
          </w:tcPr>
          <w:p w14:paraId="774B00F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0.42</w:t>
            </w:r>
          </w:p>
        </w:tc>
        <w:tc>
          <w:tcPr>
            <w:tcW w:w="990" w:type="dxa"/>
          </w:tcPr>
          <w:p w14:paraId="13713D5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0.43</w:t>
            </w:r>
          </w:p>
        </w:tc>
        <w:tc>
          <w:tcPr>
            <w:tcW w:w="900" w:type="dxa"/>
          </w:tcPr>
          <w:p w14:paraId="7A4A968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0.54</w:t>
            </w:r>
          </w:p>
        </w:tc>
        <w:tc>
          <w:tcPr>
            <w:tcW w:w="917" w:type="dxa"/>
            <w:vMerge w:val="restart"/>
          </w:tcPr>
          <w:p w14:paraId="1A7CCEA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13.40</w:t>
            </w:r>
          </w:p>
        </w:tc>
      </w:tr>
      <w:tr w:rsidR="00D50EA8" w:rsidRPr="00BC3FFD" w14:paraId="442842BB" w14:textId="77777777" w:rsidTr="00EA2D97">
        <w:tc>
          <w:tcPr>
            <w:tcW w:w="1170" w:type="dxa"/>
            <w:vMerge/>
          </w:tcPr>
          <w:p w14:paraId="2E1E6AAC" w14:textId="77777777" w:rsidR="00D50EA8" w:rsidRPr="00BC3FFD" w:rsidRDefault="00D50EA8" w:rsidP="00B22351">
            <w:pPr>
              <w:spacing w:line="360" w:lineRule="auto"/>
              <w:jc w:val="both"/>
              <w:rPr>
                <w:rFonts w:ascii="Arial" w:hAnsi="Arial" w:cs="Arial"/>
                <w:sz w:val="20"/>
                <w:szCs w:val="20"/>
              </w:rPr>
            </w:pPr>
          </w:p>
        </w:tc>
        <w:tc>
          <w:tcPr>
            <w:tcW w:w="990" w:type="dxa"/>
          </w:tcPr>
          <w:p w14:paraId="5FEF26F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(2.98)</w:t>
            </w:r>
          </w:p>
        </w:tc>
        <w:tc>
          <w:tcPr>
            <w:tcW w:w="990" w:type="dxa"/>
          </w:tcPr>
          <w:p w14:paraId="74B6D3C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(3.09)</w:t>
            </w:r>
          </w:p>
        </w:tc>
        <w:tc>
          <w:tcPr>
            <w:tcW w:w="990" w:type="dxa"/>
          </w:tcPr>
          <w:p w14:paraId="24E86C4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(4.25)</w:t>
            </w:r>
          </w:p>
        </w:tc>
        <w:tc>
          <w:tcPr>
            <w:tcW w:w="990" w:type="dxa"/>
          </w:tcPr>
          <w:p w14:paraId="038E2BD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(3.29)</w:t>
            </w:r>
          </w:p>
        </w:tc>
        <w:tc>
          <w:tcPr>
            <w:tcW w:w="990" w:type="dxa"/>
          </w:tcPr>
          <w:p w14:paraId="0035C23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(2.07)</w:t>
            </w:r>
          </w:p>
        </w:tc>
        <w:tc>
          <w:tcPr>
            <w:tcW w:w="990" w:type="dxa"/>
          </w:tcPr>
          <w:p w14:paraId="29684DF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(1.99)</w:t>
            </w:r>
          </w:p>
        </w:tc>
        <w:tc>
          <w:tcPr>
            <w:tcW w:w="990" w:type="dxa"/>
          </w:tcPr>
          <w:p w14:paraId="2182AC2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(3.97)</w:t>
            </w:r>
          </w:p>
        </w:tc>
        <w:tc>
          <w:tcPr>
            <w:tcW w:w="990" w:type="dxa"/>
          </w:tcPr>
          <w:p w14:paraId="2D126234"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(3.80)</w:t>
            </w:r>
          </w:p>
        </w:tc>
        <w:tc>
          <w:tcPr>
            <w:tcW w:w="990" w:type="dxa"/>
          </w:tcPr>
          <w:p w14:paraId="354E342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(4.66)</w:t>
            </w:r>
          </w:p>
        </w:tc>
        <w:tc>
          <w:tcPr>
            <w:tcW w:w="990" w:type="dxa"/>
          </w:tcPr>
          <w:p w14:paraId="14340FD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(3.93)</w:t>
            </w:r>
          </w:p>
        </w:tc>
        <w:tc>
          <w:tcPr>
            <w:tcW w:w="990" w:type="dxa"/>
          </w:tcPr>
          <w:p w14:paraId="2C508A1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(3.72)</w:t>
            </w:r>
          </w:p>
        </w:tc>
        <w:tc>
          <w:tcPr>
            <w:tcW w:w="990" w:type="dxa"/>
          </w:tcPr>
          <w:p w14:paraId="28CF60A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(3.76)</w:t>
            </w:r>
          </w:p>
        </w:tc>
        <w:tc>
          <w:tcPr>
            <w:tcW w:w="900" w:type="dxa"/>
          </w:tcPr>
          <w:p w14:paraId="36BC235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(4.21)</w:t>
            </w:r>
          </w:p>
        </w:tc>
        <w:tc>
          <w:tcPr>
            <w:tcW w:w="917" w:type="dxa"/>
            <w:vMerge/>
          </w:tcPr>
          <w:p w14:paraId="6AA48251" w14:textId="77777777" w:rsidR="00D50EA8" w:rsidRPr="00BC3FFD" w:rsidRDefault="00D50EA8" w:rsidP="00B22351">
            <w:pPr>
              <w:spacing w:line="360" w:lineRule="auto"/>
              <w:jc w:val="both"/>
              <w:rPr>
                <w:rFonts w:ascii="Arial" w:hAnsi="Arial" w:cs="Arial"/>
                <w:sz w:val="20"/>
                <w:szCs w:val="20"/>
              </w:rPr>
            </w:pPr>
          </w:p>
        </w:tc>
      </w:tr>
      <w:tr w:rsidR="00D50EA8" w:rsidRPr="00BC3FFD" w14:paraId="2969BE1B" w14:textId="77777777" w:rsidTr="00EA2D97">
        <w:tc>
          <w:tcPr>
            <w:tcW w:w="1170" w:type="dxa"/>
            <w:vMerge/>
          </w:tcPr>
          <w:p w14:paraId="5794C996" w14:textId="77777777" w:rsidR="00D50EA8" w:rsidRPr="00BC3FFD" w:rsidRDefault="00D50EA8" w:rsidP="00B22351">
            <w:pPr>
              <w:spacing w:line="360" w:lineRule="auto"/>
              <w:jc w:val="both"/>
              <w:rPr>
                <w:rFonts w:ascii="Arial" w:hAnsi="Arial" w:cs="Arial"/>
                <w:sz w:val="20"/>
                <w:szCs w:val="20"/>
              </w:rPr>
            </w:pPr>
          </w:p>
        </w:tc>
        <w:tc>
          <w:tcPr>
            <w:tcW w:w="990" w:type="dxa"/>
          </w:tcPr>
          <w:p w14:paraId="02066E8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0.38</w:t>
            </w:r>
          </w:p>
        </w:tc>
        <w:tc>
          <w:tcPr>
            <w:tcW w:w="990" w:type="dxa"/>
          </w:tcPr>
          <w:p w14:paraId="4BCB5EF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0.30</w:t>
            </w:r>
          </w:p>
        </w:tc>
        <w:tc>
          <w:tcPr>
            <w:tcW w:w="990" w:type="dxa"/>
          </w:tcPr>
          <w:p w14:paraId="540680AC"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0.29</w:t>
            </w:r>
          </w:p>
        </w:tc>
        <w:tc>
          <w:tcPr>
            <w:tcW w:w="990" w:type="dxa"/>
          </w:tcPr>
          <w:p w14:paraId="188322A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0.37</w:t>
            </w:r>
          </w:p>
        </w:tc>
        <w:tc>
          <w:tcPr>
            <w:tcW w:w="990" w:type="dxa"/>
          </w:tcPr>
          <w:p w14:paraId="79D4FDD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0.28</w:t>
            </w:r>
          </w:p>
        </w:tc>
        <w:tc>
          <w:tcPr>
            <w:tcW w:w="990" w:type="dxa"/>
          </w:tcPr>
          <w:p w14:paraId="7B1A07A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0.45</w:t>
            </w:r>
          </w:p>
        </w:tc>
        <w:tc>
          <w:tcPr>
            <w:tcW w:w="990" w:type="dxa"/>
          </w:tcPr>
          <w:p w14:paraId="30A46B8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0.59</w:t>
            </w:r>
          </w:p>
        </w:tc>
        <w:tc>
          <w:tcPr>
            <w:tcW w:w="990" w:type="dxa"/>
          </w:tcPr>
          <w:p w14:paraId="2EBD2BF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0.48</w:t>
            </w:r>
          </w:p>
        </w:tc>
        <w:tc>
          <w:tcPr>
            <w:tcW w:w="990" w:type="dxa"/>
          </w:tcPr>
          <w:p w14:paraId="2A4CCFD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0.38</w:t>
            </w:r>
          </w:p>
        </w:tc>
        <w:tc>
          <w:tcPr>
            <w:tcW w:w="990" w:type="dxa"/>
          </w:tcPr>
          <w:p w14:paraId="5FCD4F0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0.39</w:t>
            </w:r>
          </w:p>
        </w:tc>
        <w:tc>
          <w:tcPr>
            <w:tcW w:w="990" w:type="dxa"/>
          </w:tcPr>
          <w:p w14:paraId="625DB20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0.41</w:t>
            </w:r>
          </w:p>
        </w:tc>
        <w:tc>
          <w:tcPr>
            <w:tcW w:w="990" w:type="dxa"/>
          </w:tcPr>
          <w:p w14:paraId="3F83CBB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0.39</w:t>
            </w:r>
          </w:p>
        </w:tc>
        <w:tc>
          <w:tcPr>
            <w:tcW w:w="900" w:type="dxa"/>
          </w:tcPr>
          <w:p w14:paraId="3E2B6AD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0.39</w:t>
            </w:r>
          </w:p>
        </w:tc>
        <w:tc>
          <w:tcPr>
            <w:tcW w:w="917" w:type="dxa"/>
            <w:vMerge/>
          </w:tcPr>
          <w:p w14:paraId="22AEDD3A" w14:textId="77777777" w:rsidR="00D50EA8" w:rsidRPr="00BC3FFD" w:rsidRDefault="00D50EA8" w:rsidP="00B22351">
            <w:pPr>
              <w:spacing w:line="360" w:lineRule="auto"/>
              <w:jc w:val="both"/>
              <w:rPr>
                <w:rFonts w:ascii="Arial" w:hAnsi="Arial" w:cs="Arial"/>
                <w:sz w:val="20"/>
                <w:szCs w:val="20"/>
              </w:rPr>
            </w:pPr>
          </w:p>
        </w:tc>
      </w:tr>
      <w:tr w:rsidR="00D50EA8" w:rsidRPr="00BC3FFD" w14:paraId="7B31FBEE" w14:textId="77777777" w:rsidTr="00EA2D97">
        <w:tc>
          <w:tcPr>
            <w:tcW w:w="1170" w:type="dxa"/>
            <w:vMerge/>
          </w:tcPr>
          <w:p w14:paraId="58AEE8F3" w14:textId="77777777" w:rsidR="00D50EA8" w:rsidRPr="00BC3FFD" w:rsidRDefault="00D50EA8" w:rsidP="00B22351">
            <w:pPr>
              <w:spacing w:line="360" w:lineRule="auto"/>
              <w:jc w:val="both"/>
              <w:rPr>
                <w:rFonts w:ascii="Arial" w:hAnsi="Arial" w:cs="Arial"/>
                <w:sz w:val="20"/>
                <w:szCs w:val="20"/>
              </w:rPr>
            </w:pPr>
          </w:p>
        </w:tc>
        <w:tc>
          <w:tcPr>
            <w:tcW w:w="990" w:type="dxa"/>
          </w:tcPr>
          <w:p w14:paraId="492B95A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(3.53)</w:t>
            </w:r>
          </w:p>
        </w:tc>
        <w:tc>
          <w:tcPr>
            <w:tcW w:w="990" w:type="dxa"/>
          </w:tcPr>
          <w:p w14:paraId="28183C2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(3.29)</w:t>
            </w:r>
          </w:p>
        </w:tc>
        <w:tc>
          <w:tcPr>
            <w:tcW w:w="990" w:type="dxa"/>
          </w:tcPr>
          <w:p w14:paraId="44C83E8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(3.09)</w:t>
            </w:r>
          </w:p>
        </w:tc>
        <w:tc>
          <w:tcPr>
            <w:tcW w:w="990" w:type="dxa"/>
          </w:tcPr>
          <w:p w14:paraId="511431F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(3.49)</w:t>
            </w:r>
          </w:p>
        </w:tc>
        <w:tc>
          <w:tcPr>
            <w:tcW w:w="990" w:type="dxa"/>
          </w:tcPr>
          <w:p w14:paraId="0ECC9D0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(3.03)</w:t>
            </w:r>
          </w:p>
        </w:tc>
        <w:tc>
          <w:tcPr>
            <w:tcW w:w="990" w:type="dxa"/>
          </w:tcPr>
          <w:p w14:paraId="5AB1E5E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(3.85)</w:t>
            </w:r>
          </w:p>
        </w:tc>
        <w:tc>
          <w:tcPr>
            <w:tcW w:w="990" w:type="dxa"/>
          </w:tcPr>
          <w:p w14:paraId="75CD6AC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(4.40)</w:t>
            </w:r>
          </w:p>
        </w:tc>
        <w:tc>
          <w:tcPr>
            <w:tcW w:w="990" w:type="dxa"/>
          </w:tcPr>
          <w:p w14:paraId="6486B71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(3.97)</w:t>
            </w:r>
          </w:p>
        </w:tc>
        <w:tc>
          <w:tcPr>
            <w:tcW w:w="990" w:type="dxa"/>
          </w:tcPr>
          <w:p w14:paraId="1F2B33B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(3.53)</w:t>
            </w:r>
          </w:p>
        </w:tc>
        <w:tc>
          <w:tcPr>
            <w:tcW w:w="990" w:type="dxa"/>
          </w:tcPr>
          <w:p w14:paraId="576ADF9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(3.58)</w:t>
            </w:r>
          </w:p>
        </w:tc>
        <w:tc>
          <w:tcPr>
            <w:tcW w:w="990" w:type="dxa"/>
          </w:tcPr>
          <w:p w14:paraId="3A0FCED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(3.67)</w:t>
            </w:r>
          </w:p>
        </w:tc>
        <w:tc>
          <w:tcPr>
            <w:tcW w:w="990" w:type="dxa"/>
          </w:tcPr>
          <w:p w14:paraId="0B7DD53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(3.58)</w:t>
            </w:r>
          </w:p>
        </w:tc>
        <w:tc>
          <w:tcPr>
            <w:tcW w:w="900" w:type="dxa"/>
          </w:tcPr>
          <w:p w14:paraId="75683AD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(5.41)</w:t>
            </w:r>
          </w:p>
        </w:tc>
        <w:tc>
          <w:tcPr>
            <w:tcW w:w="917" w:type="dxa"/>
            <w:vMerge/>
          </w:tcPr>
          <w:p w14:paraId="3AA586D2" w14:textId="77777777" w:rsidR="00D50EA8" w:rsidRPr="00BC3FFD" w:rsidRDefault="00D50EA8" w:rsidP="00B22351">
            <w:pPr>
              <w:spacing w:line="360" w:lineRule="auto"/>
              <w:jc w:val="both"/>
              <w:rPr>
                <w:rFonts w:ascii="Arial" w:hAnsi="Arial" w:cs="Arial"/>
                <w:sz w:val="20"/>
                <w:szCs w:val="20"/>
              </w:rPr>
            </w:pPr>
          </w:p>
        </w:tc>
      </w:tr>
      <w:tr w:rsidR="00D50EA8" w:rsidRPr="00BC3FFD" w14:paraId="76C5C339" w14:textId="77777777" w:rsidTr="00EA2D97">
        <w:tc>
          <w:tcPr>
            <w:tcW w:w="1170" w:type="dxa"/>
            <w:vMerge w:val="restart"/>
          </w:tcPr>
          <w:p w14:paraId="479ACAE7"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S.E. (D) I</w:t>
            </w:r>
          </w:p>
        </w:tc>
        <w:tc>
          <w:tcPr>
            <w:tcW w:w="990" w:type="dxa"/>
          </w:tcPr>
          <w:p w14:paraId="1866DA0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0.46</w:t>
            </w:r>
          </w:p>
        </w:tc>
        <w:tc>
          <w:tcPr>
            <w:tcW w:w="990" w:type="dxa"/>
          </w:tcPr>
          <w:p w14:paraId="3CC838A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0.39</w:t>
            </w:r>
          </w:p>
        </w:tc>
        <w:tc>
          <w:tcPr>
            <w:tcW w:w="990" w:type="dxa"/>
          </w:tcPr>
          <w:p w14:paraId="683167C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0.53</w:t>
            </w:r>
          </w:p>
        </w:tc>
        <w:tc>
          <w:tcPr>
            <w:tcW w:w="990" w:type="dxa"/>
          </w:tcPr>
          <w:p w14:paraId="4A664D3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0.80</w:t>
            </w:r>
          </w:p>
        </w:tc>
        <w:tc>
          <w:tcPr>
            <w:tcW w:w="990" w:type="dxa"/>
          </w:tcPr>
          <w:p w14:paraId="51AC818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0.15</w:t>
            </w:r>
          </w:p>
        </w:tc>
        <w:tc>
          <w:tcPr>
            <w:tcW w:w="990" w:type="dxa"/>
          </w:tcPr>
          <w:p w14:paraId="61F3113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0.13</w:t>
            </w:r>
          </w:p>
        </w:tc>
        <w:tc>
          <w:tcPr>
            <w:tcW w:w="990" w:type="dxa"/>
          </w:tcPr>
          <w:p w14:paraId="44E8ECC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0.09</w:t>
            </w:r>
          </w:p>
        </w:tc>
        <w:tc>
          <w:tcPr>
            <w:tcW w:w="990" w:type="dxa"/>
          </w:tcPr>
          <w:p w14:paraId="36D19C0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0.06</w:t>
            </w:r>
          </w:p>
        </w:tc>
        <w:tc>
          <w:tcPr>
            <w:tcW w:w="990" w:type="dxa"/>
          </w:tcPr>
          <w:p w14:paraId="225AFEA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0.05</w:t>
            </w:r>
          </w:p>
        </w:tc>
        <w:tc>
          <w:tcPr>
            <w:tcW w:w="990" w:type="dxa"/>
          </w:tcPr>
          <w:p w14:paraId="17E70A4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0.04</w:t>
            </w:r>
          </w:p>
        </w:tc>
        <w:tc>
          <w:tcPr>
            <w:tcW w:w="990" w:type="dxa"/>
          </w:tcPr>
          <w:p w14:paraId="1583256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0.03</w:t>
            </w:r>
          </w:p>
        </w:tc>
        <w:tc>
          <w:tcPr>
            <w:tcW w:w="990" w:type="dxa"/>
          </w:tcPr>
          <w:p w14:paraId="633FD7A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0.04</w:t>
            </w:r>
          </w:p>
        </w:tc>
        <w:tc>
          <w:tcPr>
            <w:tcW w:w="900" w:type="dxa"/>
          </w:tcPr>
          <w:p w14:paraId="23413B0C"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0.07</w:t>
            </w:r>
          </w:p>
        </w:tc>
        <w:tc>
          <w:tcPr>
            <w:tcW w:w="917" w:type="dxa"/>
            <w:vMerge w:val="restart"/>
          </w:tcPr>
          <w:p w14:paraId="18830E3C" w14:textId="77777777" w:rsidR="00D50EA8" w:rsidRPr="00BC3FFD" w:rsidRDefault="00D50EA8" w:rsidP="00B22351">
            <w:pPr>
              <w:spacing w:line="360" w:lineRule="auto"/>
              <w:jc w:val="both"/>
              <w:rPr>
                <w:rFonts w:ascii="Arial" w:hAnsi="Arial" w:cs="Arial"/>
                <w:sz w:val="20"/>
                <w:szCs w:val="20"/>
              </w:rPr>
            </w:pPr>
          </w:p>
        </w:tc>
      </w:tr>
      <w:tr w:rsidR="00D50EA8" w:rsidRPr="00BC3FFD" w14:paraId="497822A6" w14:textId="77777777" w:rsidTr="00EA2D97">
        <w:tc>
          <w:tcPr>
            <w:tcW w:w="1170" w:type="dxa"/>
            <w:vMerge/>
          </w:tcPr>
          <w:p w14:paraId="1BDF6116" w14:textId="77777777" w:rsidR="00D50EA8" w:rsidRPr="00BC3FFD" w:rsidRDefault="00D50EA8" w:rsidP="00B22351">
            <w:pPr>
              <w:spacing w:line="360" w:lineRule="auto"/>
              <w:jc w:val="both"/>
              <w:rPr>
                <w:rFonts w:ascii="Arial" w:hAnsi="Arial" w:cs="Arial"/>
                <w:sz w:val="20"/>
                <w:szCs w:val="20"/>
              </w:rPr>
            </w:pPr>
          </w:p>
        </w:tc>
        <w:tc>
          <w:tcPr>
            <w:tcW w:w="990" w:type="dxa"/>
          </w:tcPr>
          <w:p w14:paraId="639C5AB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0.98</w:t>
            </w:r>
          </w:p>
        </w:tc>
        <w:tc>
          <w:tcPr>
            <w:tcW w:w="990" w:type="dxa"/>
          </w:tcPr>
          <w:p w14:paraId="0051E50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0.87</w:t>
            </w:r>
          </w:p>
        </w:tc>
        <w:tc>
          <w:tcPr>
            <w:tcW w:w="990" w:type="dxa"/>
          </w:tcPr>
          <w:p w14:paraId="60CBBAE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0.26</w:t>
            </w:r>
          </w:p>
        </w:tc>
        <w:tc>
          <w:tcPr>
            <w:tcW w:w="990" w:type="dxa"/>
          </w:tcPr>
          <w:p w14:paraId="02CEBBD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0.21</w:t>
            </w:r>
          </w:p>
        </w:tc>
        <w:tc>
          <w:tcPr>
            <w:tcW w:w="990" w:type="dxa"/>
          </w:tcPr>
          <w:p w14:paraId="5009E42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0.39</w:t>
            </w:r>
          </w:p>
        </w:tc>
        <w:tc>
          <w:tcPr>
            <w:tcW w:w="990" w:type="dxa"/>
          </w:tcPr>
          <w:p w14:paraId="26818D7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0.32</w:t>
            </w:r>
          </w:p>
        </w:tc>
        <w:tc>
          <w:tcPr>
            <w:tcW w:w="990" w:type="dxa"/>
          </w:tcPr>
          <w:p w14:paraId="531D306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0.19</w:t>
            </w:r>
          </w:p>
        </w:tc>
        <w:tc>
          <w:tcPr>
            <w:tcW w:w="990" w:type="dxa"/>
          </w:tcPr>
          <w:p w14:paraId="21D5AF6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0.16</w:t>
            </w:r>
          </w:p>
        </w:tc>
        <w:tc>
          <w:tcPr>
            <w:tcW w:w="990" w:type="dxa"/>
          </w:tcPr>
          <w:p w14:paraId="1DB7358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0.14</w:t>
            </w:r>
          </w:p>
        </w:tc>
        <w:tc>
          <w:tcPr>
            <w:tcW w:w="990" w:type="dxa"/>
          </w:tcPr>
          <w:p w14:paraId="188C27A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0.14</w:t>
            </w:r>
          </w:p>
        </w:tc>
        <w:tc>
          <w:tcPr>
            <w:tcW w:w="990" w:type="dxa"/>
          </w:tcPr>
          <w:p w14:paraId="53D8DA7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0.12</w:t>
            </w:r>
          </w:p>
        </w:tc>
        <w:tc>
          <w:tcPr>
            <w:tcW w:w="990" w:type="dxa"/>
          </w:tcPr>
          <w:p w14:paraId="41423A6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0.14</w:t>
            </w:r>
          </w:p>
        </w:tc>
        <w:tc>
          <w:tcPr>
            <w:tcW w:w="900" w:type="dxa"/>
          </w:tcPr>
          <w:p w14:paraId="24C6A70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0.18</w:t>
            </w:r>
          </w:p>
        </w:tc>
        <w:tc>
          <w:tcPr>
            <w:tcW w:w="917" w:type="dxa"/>
            <w:vMerge/>
          </w:tcPr>
          <w:p w14:paraId="74039BAD" w14:textId="77777777" w:rsidR="00D50EA8" w:rsidRPr="00BC3FFD" w:rsidRDefault="00D50EA8" w:rsidP="00B22351">
            <w:pPr>
              <w:spacing w:line="360" w:lineRule="auto"/>
              <w:jc w:val="both"/>
              <w:rPr>
                <w:rFonts w:ascii="Arial" w:hAnsi="Arial" w:cs="Arial"/>
                <w:sz w:val="20"/>
                <w:szCs w:val="20"/>
              </w:rPr>
            </w:pPr>
          </w:p>
        </w:tc>
      </w:tr>
      <w:tr w:rsidR="00D50EA8" w:rsidRPr="00BC3FFD" w14:paraId="4E2A4F45" w14:textId="77777777" w:rsidTr="00EA2D97">
        <w:tc>
          <w:tcPr>
            <w:tcW w:w="1170" w:type="dxa"/>
            <w:vMerge w:val="restart"/>
          </w:tcPr>
          <w:p w14:paraId="20D61C3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CD at 5%</w:t>
            </w:r>
          </w:p>
        </w:tc>
        <w:tc>
          <w:tcPr>
            <w:tcW w:w="990" w:type="dxa"/>
          </w:tcPr>
          <w:p w14:paraId="5106132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0.078</w:t>
            </w:r>
          </w:p>
        </w:tc>
        <w:tc>
          <w:tcPr>
            <w:tcW w:w="990" w:type="dxa"/>
          </w:tcPr>
          <w:p w14:paraId="71195B1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0.86</w:t>
            </w:r>
          </w:p>
        </w:tc>
        <w:tc>
          <w:tcPr>
            <w:tcW w:w="990" w:type="dxa"/>
          </w:tcPr>
          <w:p w14:paraId="74C95E3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0.06</w:t>
            </w:r>
          </w:p>
        </w:tc>
        <w:tc>
          <w:tcPr>
            <w:tcW w:w="990" w:type="dxa"/>
          </w:tcPr>
          <w:p w14:paraId="6C307FC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0.06</w:t>
            </w:r>
          </w:p>
        </w:tc>
        <w:tc>
          <w:tcPr>
            <w:tcW w:w="990" w:type="dxa"/>
          </w:tcPr>
          <w:p w14:paraId="1BA2013B"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0.18</w:t>
            </w:r>
          </w:p>
        </w:tc>
        <w:tc>
          <w:tcPr>
            <w:tcW w:w="990" w:type="dxa"/>
          </w:tcPr>
          <w:p w14:paraId="3116007D"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0.16</w:t>
            </w:r>
          </w:p>
        </w:tc>
        <w:tc>
          <w:tcPr>
            <w:tcW w:w="990" w:type="dxa"/>
          </w:tcPr>
          <w:p w14:paraId="341D7CE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0.60</w:t>
            </w:r>
          </w:p>
        </w:tc>
        <w:tc>
          <w:tcPr>
            <w:tcW w:w="990" w:type="dxa"/>
          </w:tcPr>
          <w:p w14:paraId="6A4D53F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0.09</w:t>
            </w:r>
          </w:p>
        </w:tc>
        <w:tc>
          <w:tcPr>
            <w:tcW w:w="990" w:type="dxa"/>
          </w:tcPr>
          <w:p w14:paraId="339A8DA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0.12</w:t>
            </w:r>
          </w:p>
        </w:tc>
        <w:tc>
          <w:tcPr>
            <w:tcW w:w="990" w:type="dxa"/>
          </w:tcPr>
          <w:p w14:paraId="4B3953F3"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0.13</w:t>
            </w:r>
          </w:p>
        </w:tc>
        <w:tc>
          <w:tcPr>
            <w:tcW w:w="990" w:type="dxa"/>
          </w:tcPr>
          <w:p w14:paraId="71567D0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0.07</w:t>
            </w:r>
          </w:p>
        </w:tc>
        <w:tc>
          <w:tcPr>
            <w:tcW w:w="990" w:type="dxa"/>
          </w:tcPr>
          <w:p w14:paraId="1E0730AA"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0.05</w:t>
            </w:r>
          </w:p>
        </w:tc>
        <w:tc>
          <w:tcPr>
            <w:tcW w:w="900" w:type="dxa"/>
          </w:tcPr>
          <w:p w14:paraId="14E2A96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0.05</w:t>
            </w:r>
          </w:p>
        </w:tc>
        <w:tc>
          <w:tcPr>
            <w:tcW w:w="917" w:type="dxa"/>
            <w:vMerge w:val="restart"/>
          </w:tcPr>
          <w:p w14:paraId="56888384" w14:textId="77777777" w:rsidR="00D50EA8" w:rsidRPr="00BC3FFD" w:rsidRDefault="00D50EA8" w:rsidP="00B22351">
            <w:pPr>
              <w:spacing w:line="360" w:lineRule="auto"/>
              <w:jc w:val="both"/>
              <w:rPr>
                <w:rFonts w:ascii="Arial" w:hAnsi="Arial" w:cs="Arial"/>
                <w:sz w:val="20"/>
                <w:szCs w:val="20"/>
              </w:rPr>
            </w:pPr>
          </w:p>
        </w:tc>
      </w:tr>
      <w:tr w:rsidR="00D50EA8" w:rsidRPr="00BC3FFD" w14:paraId="695F33BD" w14:textId="77777777" w:rsidTr="00EA2D97">
        <w:tc>
          <w:tcPr>
            <w:tcW w:w="1170" w:type="dxa"/>
            <w:vMerge/>
          </w:tcPr>
          <w:p w14:paraId="482FEE9F" w14:textId="77777777" w:rsidR="00D50EA8" w:rsidRPr="00BC3FFD" w:rsidRDefault="00D50EA8" w:rsidP="00B22351">
            <w:pPr>
              <w:spacing w:line="360" w:lineRule="auto"/>
              <w:jc w:val="both"/>
              <w:rPr>
                <w:rFonts w:ascii="Arial" w:hAnsi="Arial" w:cs="Arial"/>
                <w:sz w:val="20"/>
                <w:szCs w:val="20"/>
              </w:rPr>
            </w:pPr>
          </w:p>
        </w:tc>
        <w:tc>
          <w:tcPr>
            <w:tcW w:w="990" w:type="dxa"/>
          </w:tcPr>
          <w:p w14:paraId="71E21A75"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0.13</w:t>
            </w:r>
          </w:p>
        </w:tc>
        <w:tc>
          <w:tcPr>
            <w:tcW w:w="990" w:type="dxa"/>
          </w:tcPr>
          <w:p w14:paraId="0A1DEC66"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0.29</w:t>
            </w:r>
          </w:p>
        </w:tc>
        <w:tc>
          <w:tcPr>
            <w:tcW w:w="990" w:type="dxa"/>
          </w:tcPr>
          <w:p w14:paraId="3902BC2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0.13</w:t>
            </w:r>
          </w:p>
        </w:tc>
        <w:tc>
          <w:tcPr>
            <w:tcW w:w="990" w:type="dxa"/>
          </w:tcPr>
          <w:p w14:paraId="38F804DF"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0.023</w:t>
            </w:r>
          </w:p>
        </w:tc>
        <w:tc>
          <w:tcPr>
            <w:tcW w:w="990" w:type="dxa"/>
          </w:tcPr>
          <w:p w14:paraId="1DDFB26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0.32</w:t>
            </w:r>
          </w:p>
        </w:tc>
        <w:tc>
          <w:tcPr>
            <w:tcW w:w="990" w:type="dxa"/>
          </w:tcPr>
          <w:p w14:paraId="29CC1FF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0.39</w:t>
            </w:r>
          </w:p>
        </w:tc>
        <w:tc>
          <w:tcPr>
            <w:tcW w:w="990" w:type="dxa"/>
          </w:tcPr>
          <w:p w14:paraId="16F40F72"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0.17</w:t>
            </w:r>
          </w:p>
        </w:tc>
        <w:tc>
          <w:tcPr>
            <w:tcW w:w="990" w:type="dxa"/>
          </w:tcPr>
          <w:p w14:paraId="2C01366C"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0.14</w:t>
            </w:r>
          </w:p>
        </w:tc>
        <w:tc>
          <w:tcPr>
            <w:tcW w:w="990" w:type="dxa"/>
          </w:tcPr>
          <w:p w14:paraId="459194F1"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0.36</w:t>
            </w:r>
          </w:p>
        </w:tc>
        <w:tc>
          <w:tcPr>
            <w:tcW w:w="990" w:type="dxa"/>
          </w:tcPr>
          <w:p w14:paraId="7D0BB4DE"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0.38</w:t>
            </w:r>
          </w:p>
        </w:tc>
        <w:tc>
          <w:tcPr>
            <w:tcW w:w="990" w:type="dxa"/>
          </w:tcPr>
          <w:p w14:paraId="4526A840"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0.17</w:t>
            </w:r>
          </w:p>
        </w:tc>
        <w:tc>
          <w:tcPr>
            <w:tcW w:w="990" w:type="dxa"/>
          </w:tcPr>
          <w:p w14:paraId="771185F9"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0.23</w:t>
            </w:r>
          </w:p>
        </w:tc>
        <w:tc>
          <w:tcPr>
            <w:tcW w:w="900" w:type="dxa"/>
          </w:tcPr>
          <w:p w14:paraId="764DA2C8" w14:textId="77777777" w:rsidR="00D50EA8" w:rsidRPr="00BC3FFD" w:rsidRDefault="00D50EA8" w:rsidP="00B22351">
            <w:pPr>
              <w:spacing w:line="360" w:lineRule="auto"/>
              <w:jc w:val="both"/>
              <w:rPr>
                <w:rFonts w:ascii="Arial" w:hAnsi="Arial" w:cs="Arial"/>
                <w:sz w:val="20"/>
                <w:szCs w:val="20"/>
              </w:rPr>
            </w:pPr>
            <w:r w:rsidRPr="00BC3FFD">
              <w:rPr>
                <w:rFonts w:ascii="Arial" w:hAnsi="Arial" w:cs="Arial"/>
                <w:sz w:val="20"/>
                <w:szCs w:val="20"/>
              </w:rPr>
              <w:t>0.20</w:t>
            </w:r>
          </w:p>
        </w:tc>
        <w:tc>
          <w:tcPr>
            <w:tcW w:w="917" w:type="dxa"/>
            <w:vMerge/>
          </w:tcPr>
          <w:p w14:paraId="1B6AC047" w14:textId="77777777" w:rsidR="00D50EA8" w:rsidRPr="00BC3FFD" w:rsidRDefault="00D50EA8" w:rsidP="00B22351">
            <w:pPr>
              <w:spacing w:line="360" w:lineRule="auto"/>
              <w:jc w:val="both"/>
              <w:rPr>
                <w:rFonts w:ascii="Arial" w:hAnsi="Arial" w:cs="Arial"/>
                <w:sz w:val="20"/>
                <w:szCs w:val="20"/>
              </w:rPr>
            </w:pPr>
          </w:p>
        </w:tc>
      </w:tr>
    </w:tbl>
    <w:p w14:paraId="0450D299" w14:textId="77777777" w:rsidR="00D50EA8" w:rsidRPr="00BC3FFD" w:rsidRDefault="00D50EA8" w:rsidP="00B22351">
      <w:pPr>
        <w:spacing w:line="360" w:lineRule="auto"/>
        <w:jc w:val="both"/>
        <w:rPr>
          <w:rFonts w:ascii="Arial" w:hAnsi="Arial" w:cs="Arial"/>
          <w:sz w:val="20"/>
          <w:szCs w:val="20"/>
        </w:rPr>
      </w:pPr>
    </w:p>
    <w:p w14:paraId="2BABF181" w14:textId="77777777" w:rsidR="00D50EA8" w:rsidRPr="00BC3FFD" w:rsidRDefault="00D50EA8" w:rsidP="00B22351">
      <w:pPr>
        <w:spacing w:line="360" w:lineRule="auto"/>
        <w:jc w:val="both"/>
        <w:rPr>
          <w:rFonts w:ascii="Arial" w:hAnsi="Arial" w:cs="Arial"/>
          <w:color w:val="000000" w:themeColor="text1"/>
          <w:sz w:val="20"/>
          <w:szCs w:val="20"/>
        </w:rPr>
        <w:sectPr w:rsidR="00D50EA8" w:rsidRPr="00BC3FFD" w:rsidSect="00D50EA8">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08" w:footer="708" w:gutter="0"/>
          <w:cols w:space="720"/>
          <w:docGrid w:linePitch="360"/>
        </w:sectPr>
      </w:pPr>
    </w:p>
    <w:p w14:paraId="7E5CA4FF" w14:textId="77777777" w:rsidR="00C643CC" w:rsidRPr="00BC3FFD" w:rsidRDefault="00C643CC" w:rsidP="00B22351">
      <w:pPr>
        <w:spacing w:line="360" w:lineRule="auto"/>
        <w:jc w:val="both"/>
        <w:rPr>
          <w:rFonts w:ascii="Arial" w:hAnsi="Arial" w:cs="Arial"/>
          <w:color w:val="000000" w:themeColor="text1"/>
          <w:sz w:val="20"/>
          <w:szCs w:val="20"/>
        </w:rPr>
      </w:pPr>
    </w:p>
    <w:p w14:paraId="4332C140" w14:textId="77777777" w:rsidR="00C643CC" w:rsidRPr="00BC3FFD" w:rsidRDefault="00C643CC" w:rsidP="00B22351">
      <w:pPr>
        <w:spacing w:line="360" w:lineRule="auto"/>
        <w:jc w:val="both"/>
        <w:rPr>
          <w:rFonts w:ascii="Arial" w:hAnsi="Arial" w:cs="Arial"/>
          <w:color w:val="000000" w:themeColor="text1"/>
          <w:sz w:val="20"/>
          <w:szCs w:val="20"/>
        </w:rPr>
        <w:sectPr w:rsidR="00C643CC" w:rsidRPr="00BC3FFD">
          <w:pgSz w:w="15840" w:h="12240" w:orient="landscape"/>
          <w:pgMar w:top="900" w:right="720" w:bottom="900" w:left="720" w:header="708" w:footer="708" w:gutter="0"/>
          <w:cols w:space="720"/>
          <w:docGrid w:linePitch="360"/>
        </w:sectPr>
      </w:pPr>
      <w:r w:rsidRPr="00BC3FFD">
        <w:rPr>
          <w:rFonts w:ascii="Arial" w:hAnsi="Arial" w:cs="Arial"/>
          <w:noProof/>
          <w:color w:val="000000" w:themeColor="text1"/>
          <w:sz w:val="20"/>
          <w:szCs w:val="20"/>
        </w:rPr>
        <w:drawing>
          <wp:inline distT="0" distB="0" distL="0" distR="0" wp14:anchorId="726645E6" wp14:editId="35672D15">
            <wp:extent cx="8229600" cy="5899785"/>
            <wp:effectExtent l="0" t="0" r="0" b="5715"/>
            <wp:docPr id="58" name="Chart 58">
              <a:extLst xmlns:a="http://schemas.openxmlformats.org/drawingml/2006/main">
                <a:ext uri="{FF2B5EF4-FFF2-40B4-BE49-F238E27FC236}">
                  <a16:creationId xmlns:a16="http://schemas.microsoft.com/office/drawing/2014/main" id="{DA24813B-48E0-4A54-9CC9-0B5095DD91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D2C7C69" w14:textId="77777777" w:rsidR="00054599" w:rsidRPr="00BC3FFD" w:rsidRDefault="00000000">
      <w:pPr>
        <w:spacing w:line="360" w:lineRule="auto"/>
        <w:jc w:val="both"/>
        <w:rPr>
          <w:rFonts w:ascii="Arial" w:hAnsi="Arial" w:cs="Arial"/>
          <w:color w:val="000000" w:themeColor="text1"/>
          <w:sz w:val="20"/>
          <w:szCs w:val="20"/>
        </w:rPr>
      </w:pPr>
      <w:r w:rsidRPr="00BC3FFD">
        <w:rPr>
          <w:rFonts w:ascii="Arial" w:hAnsi="Arial"/>
          <w:sz w:val="20"/>
        </w:rPr>
        <w:lastRenderedPageBreak/>
        <w:t>Figure 1 provides a visual summary of the weekly larval counts and final yield values presented in Table 1.</w:t>
      </w:r>
    </w:p>
    <w:p w14:paraId="7EAD788B" w14:textId="77777777" w:rsidR="00086B16" w:rsidRPr="00BC3FFD" w:rsidRDefault="00086B16" w:rsidP="00B22351">
      <w:pPr>
        <w:pStyle w:val="Heading1"/>
        <w:spacing w:before="280" w:line="360" w:lineRule="auto"/>
        <w:jc w:val="both"/>
        <w:rPr>
          <w:rFonts w:ascii="Arial" w:hAnsi="Arial" w:cs="Arial"/>
          <w:color w:val="000000" w:themeColor="text1"/>
          <w:sz w:val="20"/>
          <w:szCs w:val="20"/>
        </w:rPr>
      </w:pPr>
    </w:p>
    <w:p w14:paraId="5FF679BC" w14:textId="77777777" w:rsidR="00054599" w:rsidRPr="00BC3FFD" w:rsidRDefault="00000000">
      <w:pPr>
        <w:pStyle w:val="Heading2"/>
        <w:keepNext/>
        <w:spacing w:before="120" w:after="60"/>
      </w:pPr>
      <w:r w:rsidRPr="00BC3FFD">
        <w:rPr>
          <w:rFonts w:ascii="Arial" w:hAnsi="Arial"/>
          <w:b/>
          <w:sz w:val="20"/>
        </w:rPr>
        <w:t>3.1 Seasonal pest intensity</w:t>
      </w:r>
    </w:p>
    <w:p w14:paraId="0DA90A46" w14:textId="77777777" w:rsidR="00086B16"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 xml:space="preserve">Pest intensity of </w:t>
      </w:r>
      <w:r w:rsidRPr="00BC3FFD">
        <w:rPr>
          <w:rFonts w:ascii="Arial" w:hAnsi="Arial" w:cs="Arial"/>
          <w:i/>
          <w:iCs/>
          <w:color w:val="000000" w:themeColor="text1"/>
          <w:sz w:val="20"/>
          <w:szCs w:val="20"/>
        </w:rPr>
        <w:t xml:space="preserve">S. </w:t>
      </w:r>
      <w:proofErr w:type="spellStart"/>
      <w:r w:rsidRPr="00BC3FFD">
        <w:rPr>
          <w:rFonts w:ascii="Arial" w:hAnsi="Arial" w:cs="Arial"/>
          <w:i/>
          <w:iCs/>
          <w:color w:val="000000" w:themeColor="text1"/>
          <w:sz w:val="20"/>
          <w:szCs w:val="20"/>
        </w:rPr>
        <w:t>litura</w:t>
      </w:r>
      <w:proofErr w:type="spellEnd"/>
      <w:r w:rsidRPr="00BC3FFD">
        <w:rPr>
          <w:rFonts w:ascii="Arial" w:hAnsi="Arial" w:cs="Arial"/>
          <w:color w:val="000000" w:themeColor="text1"/>
          <w:sz w:val="20"/>
          <w:szCs w:val="20"/>
        </w:rPr>
        <w:t xml:space="preserve"> varied both across tomato varieties and over the observation period (Table 1). Larval numbers were generally low in late January, rose through February, and peaked between the third week of February and the first week of March in most varieties, before declining towards late March and early April.</w:t>
      </w:r>
    </w:p>
    <w:p w14:paraId="28FBE544" w14:textId="77777777" w:rsidR="00054599" w:rsidRPr="00BC3FFD" w:rsidRDefault="00000000">
      <w:pPr>
        <w:spacing w:line="360" w:lineRule="auto"/>
        <w:jc w:val="both"/>
        <w:rPr>
          <w:rFonts w:ascii="Arial" w:hAnsi="Arial" w:cs="Arial"/>
          <w:color w:val="000000" w:themeColor="text1"/>
          <w:sz w:val="20"/>
          <w:szCs w:val="20"/>
        </w:rPr>
      </w:pPr>
      <w:r w:rsidRPr="00BC3FFD">
        <w:rPr>
          <w:rFonts w:ascii="Arial" w:hAnsi="Arial"/>
          <w:sz w:val="20"/>
        </w:rPr>
        <w:t xml:space="preserve">The observed rise and subsequent decline should be interpreted as a within-season pattern for this field and year. Published studies similarly report temporally structured noctuid activity in relation to crop development and environmental conditions, while </w:t>
      </w:r>
      <w:r w:rsidRPr="00BC3FFD">
        <w:rPr>
          <w:rFonts w:ascii="Arial" w:hAnsi="Arial"/>
          <w:i/>
          <w:sz w:val="20"/>
        </w:rPr>
        <w:t xml:space="preserve">S. </w:t>
      </w:r>
      <w:proofErr w:type="spellStart"/>
      <w:r w:rsidRPr="00BC3FFD">
        <w:rPr>
          <w:rFonts w:ascii="Arial" w:hAnsi="Arial"/>
          <w:i/>
          <w:sz w:val="20"/>
        </w:rPr>
        <w:t>litura</w:t>
      </w:r>
      <w:proofErr w:type="spellEnd"/>
      <w:r w:rsidRPr="00BC3FFD">
        <w:rPr>
          <w:rFonts w:ascii="Arial" w:hAnsi="Arial"/>
          <w:sz w:val="20"/>
        </w:rPr>
        <w:t xml:space="preserve"> populations can also be influenced by broader migratory movements (Song et al., 2024; Thanki et al., 2003; Yadav et al., 2022).</w:t>
      </w:r>
    </w:p>
    <w:p w14:paraId="62972044" w14:textId="77777777" w:rsidR="00054599" w:rsidRPr="00BC3FFD" w:rsidRDefault="00000000">
      <w:pPr>
        <w:pStyle w:val="Heading2"/>
        <w:keepNext/>
        <w:spacing w:before="120" w:after="60"/>
      </w:pPr>
      <w:r w:rsidRPr="00BC3FFD">
        <w:rPr>
          <w:rFonts w:ascii="Arial" w:hAnsi="Arial"/>
          <w:b/>
          <w:sz w:val="20"/>
        </w:rPr>
        <w:t>3.2 Varietal response and yield</w:t>
      </w:r>
    </w:p>
    <w:p w14:paraId="5ABDC43E" w14:textId="77777777" w:rsidR="00086B16"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Among the varieties, Ratna and Pusa Gaurav recorded the highest overall pest intensity, with mean larval counts reaching 0.77–0.96 larvae/plant across the two data series, and individual weekly counts exceeding 1.5 larvae/plant during the peak infestation period. Arka Saurabh consistently showed the lowest pest intensity (mean 0.37–0.39 larvae/plant) of all evaluated varieties. Pant Bahar and Arka Abha showed intermediate and comparatively stable pest intensity (means ranging 0.28–0.54 larvae/plant) across the season. The untreated Control recorded pest intensity similar to Arka Abha (mean 0.39–0.54 larvae/plant).</w:t>
      </w:r>
    </w:p>
    <w:p w14:paraId="3D1E5BCF" w14:textId="77777777" w:rsidR="00086B16"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Fruit yield differed clearly among varieties. Pant Bahar recorded the highest mean yield (18.95 kg), followed by Pusa Gaurav and Ratna (17.55 kg each), Arka Abha (16.80 kg) and Arka Saurabh (15.40 kg). The untreated Control gave the lowest yield (13.40 kg) of all entries, reflecting the combined, unmitigated effect of pest attack in the complete absence of protection or resistance advantage.</w:t>
      </w:r>
    </w:p>
    <w:p w14:paraId="50B4F382" w14:textId="77777777" w:rsidR="00054599" w:rsidRPr="00BC3FFD" w:rsidRDefault="00000000">
      <w:pPr>
        <w:spacing w:line="360" w:lineRule="auto"/>
        <w:jc w:val="both"/>
        <w:rPr>
          <w:rFonts w:ascii="Arial" w:hAnsi="Arial" w:cs="Arial"/>
          <w:color w:val="000000" w:themeColor="text1"/>
          <w:sz w:val="20"/>
          <w:szCs w:val="20"/>
        </w:rPr>
      </w:pPr>
      <w:r w:rsidRPr="00BC3FFD">
        <w:rPr>
          <w:rFonts w:ascii="Arial" w:hAnsi="Arial"/>
          <w:sz w:val="20"/>
        </w:rPr>
        <w:t xml:space="preserve">These rankings indicate association rather than a direct causal relationship between larval abundance and yield, because yield potential and compensatory growth were not independently measured. Host-dependent differences in </w:t>
      </w:r>
      <w:r w:rsidRPr="00BC3FFD">
        <w:rPr>
          <w:rFonts w:ascii="Arial" w:hAnsi="Arial"/>
          <w:i/>
          <w:sz w:val="20"/>
        </w:rPr>
        <w:t xml:space="preserve">S. </w:t>
      </w:r>
      <w:proofErr w:type="spellStart"/>
      <w:r w:rsidRPr="00BC3FFD">
        <w:rPr>
          <w:rFonts w:ascii="Arial" w:hAnsi="Arial"/>
          <w:i/>
          <w:sz w:val="20"/>
        </w:rPr>
        <w:t>litura</w:t>
      </w:r>
      <w:proofErr w:type="spellEnd"/>
      <w:r w:rsidRPr="00BC3FFD">
        <w:rPr>
          <w:rFonts w:ascii="Arial" w:hAnsi="Arial"/>
          <w:sz w:val="20"/>
        </w:rPr>
        <w:t xml:space="preserve"> development and feeding are well documented, and tomato genotypes can differ in lepidopteran preference and damage (Thakur et al., 2018; Xue et al., 2010). Comparable tomato research also shows that early-season armyworm injury may be more closely related to yield loss than later injury, emphasizing the importance of infestation timing (Taylor &amp; Riley, 2008).</w:t>
      </w:r>
    </w:p>
    <w:p w14:paraId="48EE9DDD" w14:textId="77777777" w:rsidR="00086B16"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 xml:space="preserve">The S.E.(D) and CD (5%) values computed for each date (Table 1) indicate that varietal differences in pest intensity were significant on most observation dates, particularly during the peak infestation weeks of February and early March, confirming that the varieties differed genuinely in their susceptibility to </w:t>
      </w:r>
      <w:r w:rsidRPr="00BC3FFD">
        <w:rPr>
          <w:rFonts w:ascii="Arial" w:hAnsi="Arial" w:cs="Arial"/>
          <w:i/>
          <w:iCs/>
          <w:color w:val="000000" w:themeColor="text1"/>
          <w:sz w:val="20"/>
          <w:szCs w:val="20"/>
        </w:rPr>
        <w:t xml:space="preserve">S. </w:t>
      </w:r>
      <w:proofErr w:type="spellStart"/>
      <w:r w:rsidRPr="00BC3FFD">
        <w:rPr>
          <w:rFonts w:ascii="Arial" w:hAnsi="Arial" w:cs="Arial"/>
          <w:i/>
          <w:iCs/>
          <w:color w:val="000000" w:themeColor="text1"/>
          <w:sz w:val="20"/>
          <w:szCs w:val="20"/>
        </w:rPr>
        <w:t>litura</w:t>
      </w:r>
      <w:proofErr w:type="spellEnd"/>
      <w:r w:rsidRPr="00BC3FFD">
        <w:rPr>
          <w:rFonts w:ascii="Arial" w:hAnsi="Arial" w:cs="Arial"/>
          <w:color w:val="000000" w:themeColor="text1"/>
          <w:sz w:val="20"/>
          <w:szCs w:val="20"/>
        </w:rPr>
        <w:t xml:space="preserve"> rather than by chance variation.</w:t>
      </w:r>
    </w:p>
    <w:p w14:paraId="052B06BF" w14:textId="77777777" w:rsidR="00054599" w:rsidRPr="00BC3FFD" w:rsidRDefault="00000000">
      <w:pPr>
        <w:spacing w:line="360" w:lineRule="auto"/>
        <w:jc w:val="both"/>
        <w:rPr>
          <w:rFonts w:ascii="Arial" w:hAnsi="Arial" w:cs="Arial"/>
          <w:color w:val="000000" w:themeColor="text1"/>
          <w:sz w:val="20"/>
          <w:szCs w:val="20"/>
        </w:rPr>
      </w:pPr>
      <w:r w:rsidRPr="00BC3FFD">
        <w:rPr>
          <w:rFonts w:ascii="Arial" w:hAnsi="Arial"/>
          <w:sz w:val="20"/>
        </w:rPr>
        <w:t>The date-specific significance tests therefore support differences among entries at individual sampling points, but they do not by themselves establish a stable resistance mechanism. Confirmation would require replicated multi-season testing together with fruit-damage measurements and relevant plant traits (Kennedy, 2003; Ling et al., 2022; War et al., 2012).</w:t>
      </w:r>
    </w:p>
    <w:p w14:paraId="5EAE9099" w14:textId="77777777" w:rsidR="00086B16" w:rsidRPr="00BC3FFD" w:rsidRDefault="00B22351" w:rsidP="00B22351">
      <w:pPr>
        <w:pStyle w:val="Heading1"/>
        <w:spacing w:before="280" w:line="360" w:lineRule="auto"/>
        <w:jc w:val="both"/>
        <w:rPr>
          <w:rFonts w:ascii="Arial" w:hAnsi="Arial" w:cs="Arial"/>
          <w:color w:val="000000" w:themeColor="text1"/>
          <w:sz w:val="20"/>
          <w:szCs w:val="20"/>
        </w:rPr>
      </w:pPr>
      <w:r w:rsidRPr="00BC3FFD">
        <w:rPr>
          <w:rFonts w:ascii="Arial" w:hAnsi="Arial" w:cs="Arial"/>
          <w:b/>
          <w:bCs/>
          <w:color w:val="000000" w:themeColor="text1"/>
          <w:sz w:val="20"/>
          <w:szCs w:val="20"/>
        </w:rPr>
        <w:lastRenderedPageBreak/>
        <w:t>4. DISCUSSION</w:t>
      </w:r>
    </w:p>
    <w:p w14:paraId="69EE14CC" w14:textId="77777777" w:rsidR="00054599" w:rsidRPr="00BC3FFD" w:rsidRDefault="00000000">
      <w:pPr>
        <w:pStyle w:val="Heading2"/>
        <w:keepNext/>
        <w:spacing w:before="120" w:after="60"/>
      </w:pPr>
      <w:r w:rsidRPr="00BC3FFD">
        <w:rPr>
          <w:rFonts w:ascii="Arial" w:hAnsi="Arial"/>
          <w:b/>
          <w:sz w:val="20"/>
        </w:rPr>
        <w:t>4.1 Seasonal incidence and ecological context</w:t>
      </w:r>
    </w:p>
    <w:p w14:paraId="6DA0C06E" w14:textId="77777777" w:rsidR="00086B16"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 xml:space="preserve">The seasonal pattern observed here, with </w:t>
      </w:r>
      <w:r w:rsidRPr="00BC3FFD">
        <w:rPr>
          <w:rFonts w:ascii="Arial" w:hAnsi="Arial" w:cs="Arial"/>
          <w:i/>
          <w:iCs/>
          <w:color w:val="000000" w:themeColor="text1"/>
          <w:sz w:val="20"/>
          <w:szCs w:val="20"/>
        </w:rPr>
        <w:t xml:space="preserve">S. </w:t>
      </w:r>
      <w:proofErr w:type="spellStart"/>
      <w:r w:rsidRPr="00BC3FFD">
        <w:rPr>
          <w:rFonts w:ascii="Arial" w:hAnsi="Arial" w:cs="Arial"/>
          <w:i/>
          <w:iCs/>
          <w:color w:val="000000" w:themeColor="text1"/>
          <w:sz w:val="20"/>
          <w:szCs w:val="20"/>
        </w:rPr>
        <w:t>litura</w:t>
      </w:r>
      <w:proofErr w:type="spellEnd"/>
      <w:r w:rsidRPr="00BC3FFD">
        <w:rPr>
          <w:rFonts w:ascii="Arial" w:hAnsi="Arial" w:cs="Arial"/>
          <w:color w:val="000000" w:themeColor="text1"/>
          <w:sz w:val="20"/>
          <w:szCs w:val="20"/>
        </w:rPr>
        <w:t xml:space="preserve"> intensity building up through February and peaking in late February–early March, is broadly consistent with reports of fruit-borer buildup on tomato coinciding with the vegetative-to-fruiting transition of the winter (Rabi) crop in the Indo-Gangetic plains, when moderating temperatures and crop canopy development favour larval survival.</w:t>
      </w:r>
    </w:p>
    <w:p w14:paraId="4B03327F" w14:textId="77777777" w:rsidR="00054599" w:rsidRPr="00BC3FFD" w:rsidRDefault="00000000">
      <w:pPr>
        <w:spacing w:line="360" w:lineRule="auto"/>
        <w:jc w:val="both"/>
        <w:rPr>
          <w:rFonts w:ascii="Arial" w:hAnsi="Arial" w:cs="Arial"/>
          <w:color w:val="000000" w:themeColor="text1"/>
          <w:sz w:val="20"/>
          <w:szCs w:val="20"/>
        </w:rPr>
      </w:pPr>
      <w:r w:rsidRPr="00BC3FFD">
        <w:rPr>
          <w:rFonts w:ascii="Arial" w:hAnsi="Arial"/>
          <w:sz w:val="20"/>
        </w:rPr>
        <w:t>The seasonal peak recorded in this trial is compatible with the general observation that noctuid abundance is shaped by crop phenology, weather, and source-population movement. However, published peak periods differ among locations and production systems, indicating that the February–March pattern should be regarded as site- and season-specific rather than universally predictive (</w:t>
      </w:r>
      <w:proofErr w:type="spellStart"/>
      <w:r w:rsidRPr="00BC3FFD">
        <w:rPr>
          <w:rFonts w:ascii="Arial" w:hAnsi="Arial"/>
          <w:sz w:val="20"/>
        </w:rPr>
        <w:t>Sapkal</w:t>
      </w:r>
      <w:proofErr w:type="spellEnd"/>
      <w:r w:rsidRPr="00BC3FFD">
        <w:rPr>
          <w:rFonts w:ascii="Arial" w:hAnsi="Arial"/>
          <w:sz w:val="20"/>
        </w:rPr>
        <w:t xml:space="preserve"> et al., 2018; Song et al., 2024; Thanki et al., 2003; Yadav et al., 2022).</w:t>
      </w:r>
    </w:p>
    <w:p w14:paraId="54B519C3" w14:textId="77777777" w:rsidR="00054599" w:rsidRPr="00BC3FFD" w:rsidRDefault="00000000">
      <w:pPr>
        <w:pStyle w:val="Heading2"/>
        <w:keepNext/>
        <w:spacing w:before="120" w:after="60"/>
      </w:pPr>
      <w:r w:rsidRPr="00BC3FFD">
        <w:rPr>
          <w:rFonts w:ascii="Arial" w:hAnsi="Arial"/>
          <w:b/>
          <w:sz w:val="20"/>
        </w:rPr>
        <w:t>4.2 Varietal susceptibility and possible resistance mechanisms</w:t>
      </w:r>
    </w:p>
    <w:p w14:paraId="42AA2FB2" w14:textId="77777777" w:rsidR="00086B16"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The clear varietal differences in pest intensity recorded in this study align with earlier screening work showing that tomato cultivars differ substantially in their susceptibility to lepidopteran fruit borers, with damage levels varying several-fold between the most and least preferred varieties even under uniform field exposure. Such differences are commonly attributed to variation in fruit and foliage morphology, trichome density and biochemical composition, which influence oviposition preference and larval establishment.</w:t>
      </w:r>
    </w:p>
    <w:p w14:paraId="15F4A20C" w14:textId="77777777" w:rsidR="00086B16"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 xml:space="preserve">Notably, Pant Bahar combined comparatively low pest intensity with the highest yield among all varieties tested, indicating either genuine antibiosis/non-preference to </w:t>
      </w:r>
      <w:r w:rsidRPr="00BC3FFD">
        <w:rPr>
          <w:rFonts w:ascii="Arial" w:hAnsi="Arial" w:cs="Arial"/>
          <w:i/>
          <w:iCs/>
          <w:color w:val="000000" w:themeColor="text1"/>
          <w:sz w:val="20"/>
          <w:szCs w:val="20"/>
        </w:rPr>
        <w:t xml:space="preserve">S. </w:t>
      </w:r>
      <w:proofErr w:type="spellStart"/>
      <w:r w:rsidRPr="00BC3FFD">
        <w:rPr>
          <w:rFonts w:ascii="Arial" w:hAnsi="Arial" w:cs="Arial"/>
          <w:i/>
          <w:iCs/>
          <w:color w:val="000000" w:themeColor="text1"/>
          <w:sz w:val="20"/>
          <w:szCs w:val="20"/>
        </w:rPr>
        <w:t>litura</w:t>
      </w:r>
      <w:proofErr w:type="spellEnd"/>
      <w:r w:rsidRPr="00BC3FFD">
        <w:rPr>
          <w:rFonts w:ascii="Arial" w:hAnsi="Arial" w:cs="Arial"/>
          <w:i/>
          <w:iCs/>
          <w:color w:val="000000" w:themeColor="text1"/>
          <w:sz w:val="20"/>
          <w:szCs w:val="20"/>
        </w:rPr>
        <w:t xml:space="preserve"> </w:t>
      </w:r>
      <w:r w:rsidRPr="00BC3FFD">
        <w:rPr>
          <w:rFonts w:ascii="Arial" w:hAnsi="Arial" w:cs="Arial"/>
          <w:color w:val="000000" w:themeColor="text1"/>
          <w:sz w:val="20"/>
          <w:szCs w:val="20"/>
        </w:rPr>
        <w:t>or an ability to compensate physiologically for pest damage — both of which are agronomically useful traits. Arka Saurabh, despite carrying the lowest pest load, did not translate this into the highest yield, suggesting that yield in this variety may be constrained by other agronomic factors independent of fruit-borer pressure. Ratna and Pusa Gaurav, in contrast, sustained the heaviest pest burden; the wide within-season fluctuation in their larval counts is consistent with these varieties acting as relatively more attractive hosts once populations become established.</w:t>
      </w:r>
    </w:p>
    <w:p w14:paraId="64F96CCA" w14:textId="77777777" w:rsidR="00054599" w:rsidRPr="00BC3FFD" w:rsidRDefault="00000000">
      <w:pPr>
        <w:spacing w:line="360" w:lineRule="auto"/>
        <w:jc w:val="both"/>
        <w:rPr>
          <w:rFonts w:ascii="Arial" w:hAnsi="Arial" w:cs="Arial"/>
          <w:color w:val="000000" w:themeColor="text1"/>
          <w:sz w:val="20"/>
          <w:szCs w:val="20"/>
        </w:rPr>
      </w:pPr>
      <w:r w:rsidRPr="00BC3FFD">
        <w:rPr>
          <w:rFonts w:ascii="Arial" w:hAnsi="Arial"/>
          <w:sz w:val="20"/>
        </w:rPr>
        <w:t xml:space="preserve">Variation among varieties may reflect a combination of </w:t>
      </w:r>
      <w:proofErr w:type="spellStart"/>
      <w:r w:rsidRPr="00BC3FFD">
        <w:rPr>
          <w:rFonts w:ascii="Arial" w:hAnsi="Arial"/>
          <w:sz w:val="20"/>
        </w:rPr>
        <w:t>antixenosis</w:t>
      </w:r>
      <w:proofErr w:type="spellEnd"/>
      <w:r w:rsidRPr="00BC3FFD">
        <w:rPr>
          <w:rFonts w:ascii="Arial" w:hAnsi="Arial"/>
          <w:sz w:val="20"/>
        </w:rPr>
        <w:t xml:space="preserve">, antibiosis, and tolerance, but the present larval-count data cannot distinguish among these mechanisms. In tomato, trichome-associated chemistry and inducible defence pathways are recognized contributors to herbivore resistance, while host identity can alter </w:t>
      </w:r>
      <w:r w:rsidRPr="00BC3FFD">
        <w:rPr>
          <w:rFonts w:ascii="Arial" w:hAnsi="Arial"/>
          <w:i/>
          <w:sz w:val="20"/>
        </w:rPr>
        <w:t xml:space="preserve">S. </w:t>
      </w:r>
      <w:proofErr w:type="spellStart"/>
      <w:r w:rsidRPr="00BC3FFD">
        <w:rPr>
          <w:rFonts w:ascii="Arial" w:hAnsi="Arial"/>
          <w:i/>
          <w:sz w:val="20"/>
        </w:rPr>
        <w:t>litura</w:t>
      </w:r>
      <w:proofErr w:type="spellEnd"/>
      <w:r w:rsidRPr="00BC3FFD">
        <w:rPr>
          <w:rFonts w:ascii="Arial" w:hAnsi="Arial"/>
          <w:sz w:val="20"/>
        </w:rPr>
        <w:t xml:space="preserve"> survival, development, consumption, and oviposition (Glas et al., 2012; Kennedy, 2003; War et al., 2012; Xue et al., 2010). The reported response of tomato to induced </w:t>
      </w:r>
      <w:proofErr w:type="spellStart"/>
      <w:r w:rsidRPr="00BC3FFD">
        <w:rPr>
          <w:rFonts w:ascii="Arial" w:hAnsi="Arial"/>
          <w:sz w:val="20"/>
        </w:rPr>
        <w:t>jasmonate</w:t>
      </w:r>
      <w:proofErr w:type="spellEnd"/>
      <w:r w:rsidRPr="00BC3FFD">
        <w:rPr>
          <w:rFonts w:ascii="Arial" w:hAnsi="Arial"/>
          <w:sz w:val="20"/>
        </w:rPr>
        <w:t>-associated defences further supports targeted mechanistic evaluation in future varietal screening (Ling et al., 2022).</w:t>
      </w:r>
    </w:p>
    <w:p w14:paraId="4FCF77B2" w14:textId="77777777" w:rsidR="00054599" w:rsidRPr="00BC3FFD" w:rsidRDefault="00000000">
      <w:pPr>
        <w:pStyle w:val="Heading2"/>
        <w:keepNext/>
        <w:spacing w:before="120" w:after="60"/>
      </w:pPr>
      <w:r w:rsidRPr="00BC3FFD">
        <w:rPr>
          <w:rFonts w:ascii="Arial" w:hAnsi="Arial"/>
          <w:b/>
          <w:sz w:val="20"/>
        </w:rPr>
        <w:t>4.3 Yield implications and integrated pest management</w:t>
      </w:r>
    </w:p>
    <w:p w14:paraId="652FBA3C" w14:textId="77777777" w:rsidR="00086B16"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 xml:space="preserve">The markedly lower yield of the untreated Control relative to several named varieties reinforces that variety-based tolerance can partially offset losses that would otherwise require chemical intervention. This is of practical relevance for the Kanpur region, where </w:t>
      </w:r>
      <w:r w:rsidRPr="00BC3FFD">
        <w:rPr>
          <w:rFonts w:ascii="Arial" w:hAnsi="Arial" w:cs="Arial"/>
          <w:i/>
          <w:iCs/>
          <w:color w:val="000000" w:themeColor="text1"/>
          <w:sz w:val="20"/>
          <w:szCs w:val="20"/>
        </w:rPr>
        <w:t xml:space="preserve">S. </w:t>
      </w:r>
      <w:proofErr w:type="spellStart"/>
      <w:r w:rsidRPr="00BC3FFD">
        <w:rPr>
          <w:rFonts w:ascii="Arial" w:hAnsi="Arial" w:cs="Arial"/>
          <w:i/>
          <w:iCs/>
          <w:color w:val="000000" w:themeColor="text1"/>
          <w:sz w:val="20"/>
          <w:szCs w:val="20"/>
        </w:rPr>
        <w:t>litura</w:t>
      </w:r>
      <w:proofErr w:type="spellEnd"/>
      <w:r w:rsidRPr="00BC3FFD">
        <w:rPr>
          <w:rFonts w:ascii="Arial" w:hAnsi="Arial" w:cs="Arial"/>
          <w:color w:val="000000" w:themeColor="text1"/>
          <w:sz w:val="20"/>
          <w:szCs w:val="20"/>
        </w:rPr>
        <w:t xml:space="preserve"> has traditionally received less attention than H. armigera despite being an increasingly important co-occurring pest of tomato. Incorporating comparatively </w:t>
      </w:r>
      <w:r w:rsidRPr="00BC3FFD">
        <w:rPr>
          <w:rFonts w:ascii="Arial" w:hAnsi="Arial" w:cs="Arial"/>
          <w:color w:val="000000" w:themeColor="text1"/>
          <w:sz w:val="20"/>
          <w:szCs w:val="20"/>
        </w:rPr>
        <w:lastRenderedPageBreak/>
        <w:t>tolerant varieties such as Pant Bahar into integrated pest management programmes could reduce reliance on insecticidal control while maintaining yield.</w:t>
      </w:r>
    </w:p>
    <w:p w14:paraId="73087014" w14:textId="77777777" w:rsidR="00054599" w:rsidRPr="00BC3FFD" w:rsidRDefault="00000000">
      <w:pPr>
        <w:spacing w:line="360" w:lineRule="auto"/>
        <w:jc w:val="both"/>
        <w:rPr>
          <w:rFonts w:ascii="Arial" w:hAnsi="Arial" w:cs="Arial"/>
          <w:color w:val="000000" w:themeColor="text1"/>
          <w:sz w:val="20"/>
          <w:szCs w:val="20"/>
        </w:rPr>
      </w:pPr>
      <w:r w:rsidRPr="00BC3FFD">
        <w:rPr>
          <w:rFonts w:ascii="Arial" w:hAnsi="Arial"/>
          <w:sz w:val="20"/>
        </w:rPr>
        <w:t>Yield should therefore be interpreted jointly with infestation timing, plant productivity, and direct fruit damage. Economic-injury research in tomato demonstrates that armyworm effects can depend strongly on the developmental stage at which infestation occurs (Taylor &amp; Riley, 2008), whereas varietal screening of tomato fruit borers has shown substantial differences in host preference and fruit injury among genotypes (Thakur et al., 2018).</w:t>
      </w:r>
    </w:p>
    <w:p w14:paraId="25C098C4" w14:textId="77777777" w:rsidR="00054599" w:rsidRPr="00BC3FFD" w:rsidRDefault="00000000">
      <w:pPr>
        <w:spacing w:line="360" w:lineRule="auto"/>
        <w:jc w:val="both"/>
        <w:rPr>
          <w:rFonts w:ascii="Arial" w:hAnsi="Arial" w:cs="Arial"/>
          <w:color w:val="000000" w:themeColor="text1"/>
          <w:sz w:val="20"/>
          <w:szCs w:val="20"/>
        </w:rPr>
      </w:pPr>
      <w:r w:rsidRPr="00BC3FFD">
        <w:rPr>
          <w:rFonts w:ascii="Arial" w:hAnsi="Arial"/>
          <w:sz w:val="20"/>
        </w:rPr>
        <w:t xml:space="preserve">Varietal tolerance is most appropriately treated as one component of integrated pest management rather than a stand-alone control measure. Existing studies indicate that botanical extracts can alter feeding, oviposition, development, or survival of </w:t>
      </w:r>
      <w:r w:rsidRPr="00BC3FFD">
        <w:rPr>
          <w:rFonts w:ascii="Arial" w:hAnsi="Arial"/>
          <w:i/>
          <w:sz w:val="20"/>
        </w:rPr>
        <w:t xml:space="preserve">S. </w:t>
      </w:r>
      <w:proofErr w:type="spellStart"/>
      <w:r w:rsidRPr="00BC3FFD">
        <w:rPr>
          <w:rFonts w:ascii="Arial" w:hAnsi="Arial"/>
          <w:i/>
          <w:sz w:val="20"/>
        </w:rPr>
        <w:t>litura</w:t>
      </w:r>
      <w:proofErr w:type="spellEnd"/>
      <w:r w:rsidRPr="00BC3FFD">
        <w:rPr>
          <w:rFonts w:ascii="Arial" w:hAnsi="Arial"/>
          <w:sz w:val="20"/>
        </w:rPr>
        <w:t xml:space="preserve"> and related noctuids (Rani &amp; </w:t>
      </w:r>
      <w:proofErr w:type="spellStart"/>
      <w:r w:rsidRPr="00BC3FFD">
        <w:rPr>
          <w:rFonts w:ascii="Arial" w:hAnsi="Arial"/>
          <w:sz w:val="20"/>
        </w:rPr>
        <w:t>Rajasekharreddy</w:t>
      </w:r>
      <w:proofErr w:type="spellEnd"/>
      <w:r w:rsidRPr="00BC3FFD">
        <w:rPr>
          <w:rFonts w:ascii="Arial" w:hAnsi="Arial"/>
          <w:sz w:val="20"/>
        </w:rPr>
        <w:t xml:space="preserve">, 2009; Rathi &amp; Gopalakrishnan, 2006; </w:t>
      </w:r>
      <w:proofErr w:type="spellStart"/>
      <w:r w:rsidRPr="00BC3FFD">
        <w:rPr>
          <w:rFonts w:ascii="Arial" w:hAnsi="Arial"/>
          <w:sz w:val="20"/>
        </w:rPr>
        <w:t>Senrung</w:t>
      </w:r>
      <w:proofErr w:type="spellEnd"/>
      <w:r w:rsidRPr="00BC3FFD">
        <w:rPr>
          <w:rFonts w:ascii="Arial" w:hAnsi="Arial"/>
          <w:sz w:val="20"/>
        </w:rPr>
        <w:t xml:space="preserve"> et al., 2014; Taleh et al., 2015; Wheeler &amp; Isman, 2001). Conservation of natural enemies is also relevant because </w:t>
      </w:r>
      <w:proofErr w:type="spellStart"/>
      <w:r w:rsidRPr="00BC3FFD">
        <w:rPr>
          <w:rFonts w:ascii="Arial" w:hAnsi="Arial"/>
          <w:sz w:val="20"/>
        </w:rPr>
        <w:t>parasitoid</w:t>
      </w:r>
      <w:proofErr w:type="spellEnd"/>
      <w:r w:rsidRPr="00BC3FFD">
        <w:rPr>
          <w:rFonts w:ascii="Arial" w:hAnsi="Arial"/>
          <w:sz w:val="20"/>
        </w:rPr>
        <w:t xml:space="preserve"> searching and oviposition can be modified by host-plant context (Tillman &amp; Mullinix, 2003), while broader assessments of </w:t>
      </w:r>
      <w:r w:rsidRPr="00BC3FFD">
        <w:rPr>
          <w:rFonts w:ascii="Arial" w:hAnsi="Arial"/>
          <w:i/>
          <w:sz w:val="20"/>
        </w:rPr>
        <w:t>Heliothis</w:t>
      </w:r>
      <w:r w:rsidRPr="00BC3FFD">
        <w:rPr>
          <w:rFonts w:ascii="Arial" w:hAnsi="Arial"/>
          <w:sz w:val="20"/>
        </w:rPr>
        <w:t>/Helicoverpa in India emphasize integration of host-plant resistance, monitoring, and biological control (Manjunath et al., 1989).</w:t>
      </w:r>
    </w:p>
    <w:p w14:paraId="68B16773" w14:textId="77777777" w:rsidR="00054599" w:rsidRPr="00BC3FFD" w:rsidRDefault="00000000">
      <w:pPr>
        <w:pStyle w:val="Heading2"/>
        <w:keepNext/>
        <w:spacing w:before="120" w:after="60"/>
      </w:pPr>
      <w:r w:rsidRPr="00BC3FFD">
        <w:rPr>
          <w:rFonts w:ascii="Arial" w:hAnsi="Arial"/>
          <w:b/>
          <w:sz w:val="20"/>
        </w:rPr>
        <w:t>4.4 Study limitations</w:t>
      </w:r>
    </w:p>
    <w:p w14:paraId="78DA9538" w14:textId="77777777" w:rsidR="00086B16"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 xml:space="preserve">As with any single-season field study, the present results should be interpreted with due caution regarding the influence of local weather variables (temperature, humidity and rainfall), which are known to significantly affect </w:t>
      </w:r>
      <w:r w:rsidRPr="00BC3FFD">
        <w:rPr>
          <w:rFonts w:ascii="Arial" w:hAnsi="Arial" w:cs="Arial"/>
          <w:i/>
          <w:iCs/>
          <w:color w:val="000000" w:themeColor="text1"/>
          <w:sz w:val="20"/>
          <w:szCs w:val="20"/>
        </w:rPr>
        <w:t xml:space="preserve">S. </w:t>
      </w:r>
      <w:proofErr w:type="spellStart"/>
      <w:r w:rsidRPr="00BC3FFD">
        <w:rPr>
          <w:rFonts w:ascii="Arial" w:hAnsi="Arial" w:cs="Arial"/>
          <w:i/>
          <w:iCs/>
          <w:color w:val="000000" w:themeColor="text1"/>
          <w:sz w:val="20"/>
          <w:szCs w:val="20"/>
        </w:rPr>
        <w:t>litura</w:t>
      </w:r>
      <w:proofErr w:type="spellEnd"/>
      <w:r w:rsidRPr="00BC3FFD">
        <w:rPr>
          <w:rFonts w:ascii="Arial" w:hAnsi="Arial" w:cs="Arial"/>
          <w:color w:val="000000" w:themeColor="text1"/>
          <w:sz w:val="20"/>
          <w:szCs w:val="20"/>
        </w:rPr>
        <w:t xml:space="preserve"> population dynamics but were not analysed as covariates here. Multi-season trials incorporating weather correlation and fruit-damage percentage, in addition to larval counts, would strengthen the varietal tolerance rankings suggested by this study.</w:t>
      </w:r>
    </w:p>
    <w:p w14:paraId="749B7B81" w14:textId="77777777" w:rsidR="00054599" w:rsidRPr="00BC3FFD" w:rsidRDefault="00000000">
      <w:pPr>
        <w:spacing w:line="360" w:lineRule="auto"/>
        <w:jc w:val="both"/>
        <w:rPr>
          <w:rFonts w:ascii="Arial" w:hAnsi="Arial" w:cs="Arial"/>
          <w:color w:val="000000" w:themeColor="text1"/>
          <w:sz w:val="20"/>
          <w:szCs w:val="20"/>
        </w:rPr>
      </w:pPr>
      <w:r w:rsidRPr="00BC3FFD">
        <w:rPr>
          <w:rFonts w:ascii="Arial" w:hAnsi="Arial"/>
          <w:sz w:val="20"/>
        </w:rPr>
        <w:t>Additionally, only larval abundance and final plot yield were reported; fruit-infestation percentage, marketable yield, weather covariates, and repeated-season stability were not evaluated. Seasonal-incidence studies in tomato demonstrate the value of linking pest counts with crop stage and abiotic variables, and such analyses would strengthen future interpretation of varietal performance (</w:t>
      </w:r>
      <w:proofErr w:type="spellStart"/>
      <w:r w:rsidRPr="00BC3FFD">
        <w:rPr>
          <w:rFonts w:ascii="Arial" w:hAnsi="Arial"/>
          <w:sz w:val="20"/>
        </w:rPr>
        <w:t>Sapkal</w:t>
      </w:r>
      <w:proofErr w:type="spellEnd"/>
      <w:r w:rsidRPr="00BC3FFD">
        <w:rPr>
          <w:rFonts w:ascii="Arial" w:hAnsi="Arial"/>
          <w:sz w:val="20"/>
        </w:rPr>
        <w:t xml:space="preserve"> et al., 2018; Yadav et al., 2022).</w:t>
      </w:r>
    </w:p>
    <w:p w14:paraId="0BDDEEF0" w14:textId="77777777" w:rsidR="00086B16" w:rsidRPr="00BC3FFD" w:rsidRDefault="00B22351" w:rsidP="00B22351">
      <w:pPr>
        <w:pStyle w:val="Heading1"/>
        <w:spacing w:before="280" w:line="360" w:lineRule="auto"/>
        <w:jc w:val="both"/>
        <w:rPr>
          <w:rFonts w:ascii="Arial" w:hAnsi="Arial" w:cs="Arial"/>
          <w:color w:val="000000" w:themeColor="text1"/>
          <w:sz w:val="20"/>
          <w:szCs w:val="20"/>
        </w:rPr>
      </w:pPr>
      <w:r w:rsidRPr="00BC3FFD">
        <w:rPr>
          <w:rFonts w:ascii="Arial" w:hAnsi="Arial" w:cs="Arial"/>
          <w:b/>
          <w:bCs/>
          <w:color w:val="000000" w:themeColor="text1"/>
          <w:sz w:val="20"/>
          <w:szCs w:val="20"/>
        </w:rPr>
        <w:t>5. CONCLUSION</w:t>
      </w:r>
    </w:p>
    <w:p w14:paraId="5C243664" w14:textId="77777777" w:rsidR="00086B16" w:rsidRPr="00BC3FFD" w:rsidRDefault="00000000" w:rsidP="00B22351">
      <w:pPr>
        <w:spacing w:line="360" w:lineRule="auto"/>
        <w:jc w:val="both"/>
        <w:rPr>
          <w:rFonts w:ascii="Arial" w:hAnsi="Arial" w:cs="Arial"/>
          <w:color w:val="000000" w:themeColor="text1"/>
          <w:sz w:val="20"/>
          <w:szCs w:val="20"/>
        </w:rPr>
      </w:pPr>
      <w:r w:rsidRPr="00BC3FFD">
        <w:rPr>
          <w:rFonts w:ascii="Arial" w:hAnsi="Arial" w:cs="Arial"/>
          <w:color w:val="000000" w:themeColor="text1"/>
          <w:sz w:val="20"/>
          <w:szCs w:val="20"/>
        </w:rPr>
        <w:t xml:space="preserve">Under untreated field conditions during 2016–17, tomato varieties differed significantly in their susceptibility to </w:t>
      </w:r>
      <w:r w:rsidRPr="00BC3FFD">
        <w:rPr>
          <w:rFonts w:ascii="Arial" w:hAnsi="Arial" w:cs="Arial"/>
          <w:i/>
          <w:iCs/>
          <w:color w:val="000000" w:themeColor="text1"/>
          <w:sz w:val="20"/>
          <w:szCs w:val="20"/>
        </w:rPr>
        <w:t xml:space="preserve">Spodoptera </w:t>
      </w:r>
      <w:proofErr w:type="spellStart"/>
      <w:r w:rsidRPr="00BC3FFD">
        <w:rPr>
          <w:rFonts w:ascii="Arial" w:hAnsi="Arial" w:cs="Arial"/>
          <w:i/>
          <w:iCs/>
          <w:color w:val="000000" w:themeColor="text1"/>
          <w:sz w:val="20"/>
          <w:szCs w:val="20"/>
        </w:rPr>
        <w:t>litura</w:t>
      </w:r>
      <w:proofErr w:type="spellEnd"/>
      <w:r w:rsidRPr="00BC3FFD">
        <w:rPr>
          <w:rFonts w:ascii="Arial" w:hAnsi="Arial" w:cs="Arial"/>
          <w:color w:val="000000" w:themeColor="text1"/>
          <w:sz w:val="20"/>
          <w:szCs w:val="20"/>
        </w:rPr>
        <w:t xml:space="preserve">. Pant Bahar showed the most favourable combination of low pest intensity and high yield, while Arka Saurabh, though least preferred by the pest, did not show a corresponding yield advantage. Ratna and Pusa Gaurav were the most heavily infested varieties. These results support the use of Pant Bahar and, secondarily, Arka Saurabh as relatively tolerant options in </w:t>
      </w:r>
      <w:r w:rsidRPr="00BC3FFD">
        <w:rPr>
          <w:rFonts w:ascii="Arial" w:hAnsi="Arial" w:cs="Arial"/>
          <w:i/>
          <w:iCs/>
          <w:color w:val="000000" w:themeColor="text1"/>
          <w:sz w:val="20"/>
          <w:szCs w:val="20"/>
        </w:rPr>
        <w:t xml:space="preserve">S. </w:t>
      </w:r>
      <w:proofErr w:type="spellStart"/>
      <w:r w:rsidRPr="00BC3FFD">
        <w:rPr>
          <w:rFonts w:ascii="Arial" w:hAnsi="Arial" w:cs="Arial"/>
          <w:i/>
          <w:iCs/>
          <w:color w:val="000000" w:themeColor="text1"/>
          <w:sz w:val="20"/>
          <w:szCs w:val="20"/>
        </w:rPr>
        <w:t>litura</w:t>
      </w:r>
      <w:proofErr w:type="spellEnd"/>
      <w:r w:rsidRPr="00BC3FFD">
        <w:rPr>
          <w:rFonts w:ascii="Arial" w:hAnsi="Arial" w:cs="Arial"/>
          <w:color w:val="000000" w:themeColor="text1"/>
          <w:sz w:val="20"/>
          <w:szCs w:val="20"/>
        </w:rPr>
        <w:t>-prone tomato-growing tracts, and highlight the value of varietal selection as a component of integrated pest management alongside conventional control measures.</w:t>
      </w:r>
    </w:p>
    <w:p w14:paraId="744785EC" w14:textId="77777777" w:rsidR="00B22351" w:rsidRPr="00BC3FFD" w:rsidRDefault="00B22351" w:rsidP="00B22351">
      <w:pPr>
        <w:spacing w:line="360" w:lineRule="auto"/>
        <w:jc w:val="both"/>
        <w:rPr>
          <w:rFonts w:ascii="Arial" w:hAnsi="Arial" w:cs="Arial"/>
          <w:color w:val="000000" w:themeColor="text1"/>
          <w:sz w:val="20"/>
          <w:szCs w:val="20"/>
        </w:rPr>
      </w:pPr>
    </w:p>
    <w:p w14:paraId="4CCFE397" w14:textId="77777777" w:rsidR="00B03241" w:rsidRDefault="00B03241" w:rsidP="00B22351">
      <w:pPr>
        <w:spacing w:line="360" w:lineRule="auto"/>
        <w:jc w:val="both"/>
        <w:rPr>
          <w:rFonts w:ascii="Arial" w:hAnsi="Arial" w:cs="Arial"/>
          <w:b/>
          <w:bCs/>
          <w:color w:val="000000" w:themeColor="text1"/>
          <w:sz w:val="20"/>
          <w:szCs w:val="20"/>
        </w:rPr>
      </w:pPr>
    </w:p>
    <w:p w14:paraId="61A68EF5" w14:textId="77777777" w:rsidR="00B03241" w:rsidRDefault="00B03241" w:rsidP="00B22351">
      <w:pPr>
        <w:spacing w:line="360" w:lineRule="auto"/>
        <w:jc w:val="both"/>
        <w:rPr>
          <w:rFonts w:ascii="Arial" w:hAnsi="Arial" w:cs="Arial"/>
          <w:b/>
          <w:bCs/>
          <w:color w:val="000000" w:themeColor="text1"/>
          <w:sz w:val="20"/>
          <w:szCs w:val="20"/>
        </w:rPr>
      </w:pPr>
    </w:p>
    <w:p w14:paraId="76E9A8A4" w14:textId="5E5AEF98" w:rsidR="00B22351" w:rsidRPr="00BC3FFD" w:rsidRDefault="00B22351" w:rsidP="00B22351">
      <w:pPr>
        <w:spacing w:line="360" w:lineRule="auto"/>
        <w:jc w:val="both"/>
        <w:rPr>
          <w:rFonts w:ascii="Arial" w:hAnsi="Arial" w:cs="Arial"/>
          <w:b/>
          <w:bCs/>
          <w:color w:val="000000" w:themeColor="text1"/>
          <w:sz w:val="20"/>
          <w:szCs w:val="20"/>
        </w:rPr>
      </w:pPr>
      <w:r w:rsidRPr="00BC3FFD">
        <w:rPr>
          <w:rFonts w:ascii="Arial" w:hAnsi="Arial" w:cs="Arial"/>
          <w:b/>
          <w:bCs/>
          <w:color w:val="000000" w:themeColor="text1"/>
          <w:sz w:val="20"/>
          <w:szCs w:val="20"/>
        </w:rPr>
        <w:lastRenderedPageBreak/>
        <w:t>CONSENT</w:t>
      </w:r>
    </w:p>
    <w:p w14:paraId="7CF789CB" w14:textId="77777777" w:rsidR="00B22351" w:rsidRPr="00BC3FFD" w:rsidRDefault="00B22351" w:rsidP="00B22351">
      <w:pPr>
        <w:spacing w:line="360" w:lineRule="auto"/>
        <w:jc w:val="both"/>
        <w:rPr>
          <w:rFonts w:ascii="Arial" w:hAnsi="Arial" w:cs="Arial"/>
          <w:color w:val="000000" w:themeColor="text1"/>
          <w:sz w:val="20"/>
          <w:szCs w:val="20"/>
        </w:rPr>
      </w:pPr>
      <w:r w:rsidRPr="00BC3FFD">
        <w:rPr>
          <w:rFonts w:ascii="Arial" w:hAnsi="Arial" w:cs="Arial"/>
          <w:sz w:val="20"/>
        </w:rPr>
        <w:t>All authors declare that ‘written informed consent was obtained from the patient (or other approved parties) for publication of this case report and accompanying images.</w:t>
      </w:r>
    </w:p>
    <w:p w14:paraId="48404856" w14:textId="77777777" w:rsidR="00BC3FFD" w:rsidRPr="00BC3FFD" w:rsidRDefault="00BC3FFD" w:rsidP="00BC3FFD">
      <w:pPr>
        <w:rPr>
          <w:rFonts w:eastAsia="Calibri"/>
          <w:b/>
          <w:sz w:val="22"/>
          <w:szCs w:val="22"/>
          <w:lang w:val="en-US" w:eastAsia="en-US"/>
        </w:rPr>
      </w:pPr>
      <w:r w:rsidRPr="00BC3FFD">
        <w:rPr>
          <w:rFonts w:eastAsia="Calibri"/>
          <w:b/>
          <w:sz w:val="22"/>
          <w:szCs w:val="22"/>
          <w:lang w:val="en-US" w:eastAsia="en-US"/>
        </w:rPr>
        <w:t>Declaration of AI Use</w:t>
      </w:r>
    </w:p>
    <w:p w14:paraId="6523E0A9" w14:textId="77777777" w:rsidR="00BC3FFD" w:rsidRPr="00BC3FFD" w:rsidRDefault="00BC3FFD" w:rsidP="00BC3FFD">
      <w:pPr>
        <w:rPr>
          <w:rFonts w:eastAsia="Calibri"/>
          <w:sz w:val="22"/>
          <w:szCs w:val="22"/>
          <w:lang w:val="en-US" w:eastAsia="en-US"/>
        </w:rPr>
      </w:pPr>
    </w:p>
    <w:p w14:paraId="2C6E8FEF" w14:textId="77777777" w:rsidR="00BC3FFD" w:rsidRPr="00BC3FFD" w:rsidRDefault="00BC3FFD" w:rsidP="00BC3FFD">
      <w:pPr>
        <w:jc w:val="both"/>
        <w:rPr>
          <w:rFonts w:eastAsia="Calibri"/>
          <w:sz w:val="22"/>
          <w:szCs w:val="22"/>
          <w:lang w:val="en-US" w:eastAsia="en-US"/>
        </w:rPr>
      </w:pPr>
      <w:r w:rsidRPr="00BC3FFD">
        <w:rPr>
          <w:rFonts w:eastAsia="Calibri"/>
          <w:sz w:val="22"/>
          <w:szCs w:val="22"/>
          <w:lang w:val="en-US" w:eastAsia="en-US"/>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89483D1" w14:textId="77777777" w:rsidR="00BC3FFD" w:rsidRPr="00BC3FFD" w:rsidRDefault="00BC3FFD" w:rsidP="00BC3FFD">
      <w:pPr>
        <w:jc w:val="both"/>
        <w:rPr>
          <w:rFonts w:eastAsia="Calibri"/>
          <w:sz w:val="22"/>
          <w:szCs w:val="22"/>
          <w:lang w:val="en-US" w:eastAsia="en-US"/>
        </w:rPr>
      </w:pPr>
    </w:p>
    <w:p w14:paraId="6491A10C" w14:textId="77777777" w:rsidR="00BC3FFD" w:rsidRPr="00BC3FFD" w:rsidRDefault="00BC3FFD" w:rsidP="00BC3FFD">
      <w:pPr>
        <w:jc w:val="both"/>
        <w:rPr>
          <w:rFonts w:eastAsia="Calibri"/>
          <w:sz w:val="22"/>
          <w:szCs w:val="22"/>
          <w:lang w:val="en-US" w:eastAsia="en-US"/>
        </w:rPr>
      </w:pPr>
    </w:p>
    <w:p w14:paraId="41DC2512" w14:textId="77777777" w:rsidR="00BC3FFD" w:rsidRPr="00BC3FFD" w:rsidRDefault="00BC3FFD" w:rsidP="00BC3FFD">
      <w:pPr>
        <w:spacing w:after="200" w:line="276" w:lineRule="auto"/>
        <w:rPr>
          <w:rFonts w:ascii="Cambria" w:hAnsi="Cambria" w:cs="Arial"/>
          <w:b/>
          <w:bCs/>
          <w:sz w:val="22"/>
          <w:szCs w:val="22"/>
          <w:lang w:val="en-GB" w:eastAsia="en-GB"/>
        </w:rPr>
      </w:pPr>
      <w:r w:rsidRPr="00BC3FFD">
        <w:rPr>
          <w:rFonts w:ascii="Cambria" w:hAnsi="Cambria" w:cs="Arial"/>
          <w:b/>
          <w:bCs/>
          <w:sz w:val="22"/>
          <w:szCs w:val="22"/>
          <w:lang w:val="en-GB" w:eastAsia="en-GB"/>
        </w:rPr>
        <w:t>COMPETING INTERESTS DISCLAIMER:</w:t>
      </w:r>
    </w:p>
    <w:p w14:paraId="358709F8" w14:textId="77777777" w:rsidR="00BC3FFD" w:rsidRPr="00BC3FFD" w:rsidRDefault="00BC3FFD" w:rsidP="00BC3FFD">
      <w:pPr>
        <w:spacing w:after="200" w:line="276" w:lineRule="auto"/>
        <w:rPr>
          <w:rFonts w:ascii="Cambria" w:hAnsi="Cambria"/>
          <w:sz w:val="22"/>
          <w:szCs w:val="22"/>
          <w:lang w:val="en-GB" w:eastAsia="en-GB"/>
        </w:rPr>
      </w:pPr>
      <w:r w:rsidRPr="00BC3FFD">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497C6D44" w14:textId="77777777" w:rsidR="00BC3FFD" w:rsidRPr="00BC3FFD" w:rsidRDefault="00BC3FFD" w:rsidP="00B22351">
      <w:pPr>
        <w:spacing w:line="360" w:lineRule="auto"/>
        <w:jc w:val="both"/>
        <w:rPr>
          <w:rFonts w:ascii="Arial" w:hAnsi="Arial" w:cs="Arial"/>
          <w:color w:val="000000" w:themeColor="text1"/>
          <w:sz w:val="20"/>
          <w:szCs w:val="20"/>
        </w:rPr>
      </w:pPr>
    </w:p>
    <w:p w14:paraId="554D9F9A" w14:textId="77777777" w:rsidR="00086B16" w:rsidRPr="00BC3FFD" w:rsidRDefault="00B22351" w:rsidP="00B22351">
      <w:pPr>
        <w:pStyle w:val="Heading1"/>
        <w:keepNext/>
        <w:spacing w:before="280" w:line="360" w:lineRule="auto"/>
        <w:jc w:val="both"/>
        <w:rPr>
          <w:rFonts w:ascii="Arial" w:hAnsi="Arial" w:cs="Arial"/>
          <w:color w:val="000000" w:themeColor="text1"/>
          <w:sz w:val="20"/>
          <w:szCs w:val="20"/>
        </w:rPr>
      </w:pPr>
      <w:r w:rsidRPr="00BC3FFD">
        <w:rPr>
          <w:rFonts w:ascii="Arial" w:hAnsi="Arial" w:cs="Arial"/>
          <w:b/>
          <w:bCs/>
          <w:color w:val="000000" w:themeColor="text1"/>
          <w:sz w:val="20"/>
          <w:szCs w:val="20"/>
        </w:rPr>
        <w:t>REFERENCES</w:t>
      </w:r>
    </w:p>
    <w:p w14:paraId="1DF0C685" w14:textId="77777777" w:rsidR="00054599" w:rsidRPr="00BC3FFD" w:rsidRDefault="00000000">
      <w:pPr>
        <w:spacing w:line="360" w:lineRule="auto"/>
        <w:ind w:left="720" w:hanging="720"/>
        <w:jc w:val="both"/>
      </w:pPr>
      <w:r w:rsidRPr="00BC3FFD">
        <w:rPr>
          <w:rFonts w:ascii="Arial" w:hAnsi="Arial"/>
          <w:sz w:val="20"/>
        </w:rPr>
        <w:t xml:space="preserve">Glas, J. J., Schimmel, B. C. J., Alba, J. M., Escobar-Bravo, R., </w:t>
      </w:r>
      <w:proofErr w:type="spellStart"/>
      <w:r w:rsidRPr="00BC3FFD">
        <w:rPr>
          <w:rFonts w:ascii="Arial" w:hAnsi="Arial"/>
          <w:sz w:val="20"/>
        </w:rPr>
        <w:t>Schuurink</w:t>
      </w:r>
      <w:proofErr w:type="spellEnd"/>
      <w:r w:rsidRPr="00BC3FFD">
        <w:rPr>
          <w:rFonts w:ascii="Arial" w:hAnsi="Arial"/>
          <w:sz w:val="20"/>
        </w:rPr>
        <w:t xml:space="preserve">, R. C., &amp; Kant, M. R. (2012). Plant glandular trichomes as targets for breeding or engineering of resistance to herbivores. </w:t>
      </w:r>
      <w:r w:rsidRPr="00BC3FFD">
        <w:rPr>
          <w:rFonts w:ascii="Arial" w:hAnsi="Arial"/>
          <w:i/>
          <w:sz w:val="20"/>
        </w:rPr>
        <w:t>International Journal of Molecular Sciences, 13</w:t>
      </w:r>
      <w:r w:rsidRPr="00BC3FFD">
        <w:rPr>
          <w:rFonts w:ascii="Arial" w:hAnsi="Arial"/>
          <w:sz w:val="20"/>
        </w:rPr>
        <w:t>(12), 17077–17103. https://doi.org/10.3390/ijms131217077</w:t>
      </w:r>
    </w:p>
    <w:p w14:paraId="38FC9231" w14:textId="77777777" w:rsidR="00054599" w:rsidRPr="00BC3FFD" w:rsidRDefault="00000000">
      <w:pPr>
        <w:spacing w:line="360" w:lineRule="auto"/>
        <w:ind w:left="720" w:hanging="720"/>
        <w:jc w:val="both"/>
      </w:pPr>
      <w:r w:rsidRPr="00BC3FFD">
        <w:rPr>
          <w:rFonts w:ascii="Arial" w:hAnsi="Arial"/>
          <w:sz w:val="20"/>
        </w:rPr>
        <w:t xml:space="preserve">Gomez, K. A., &amp; Gomez, A. A. (1984). </w:t>
      </w:r>
      <w:r w:rsidRPr="00BC3FFD">
        <w:rPr>
          <w:rFonts w:ascii="Arial" w:hAnsi="Arial"/>
          <w:i/>
          <w:sz w:val="20"/>
        </w:rPr>
        <w:t>Statistical procedures for agricultural research</w:t>
      </w:r>
      <w:r w:rsidRPr="00BC3FFD">
        <w:rPr>
          <w:rFonts w:ascii="Arial" w:hAnsi="Arial"/>
          <w:sz w:val="20"/>
        </w:rPr>
        <w:t xml:space="preserve"> (2nd ed.). John Wiley &amp; Sons. https://www.wiley-vch.de/en?isbn=9780471870920&amp;option=com_eshop&amp;view=product</w:t>
      </w:r>
    </w:p>
    <w:p w14:paraId="4C812C47" w14:textId="77777777" w:rsidR="00054599" w:rsidRPr="00BC3FFD" w:rsidRDefault="00000000">
      <w:pPr>
        <w:spacing w:line="360" w:lineRule="auto"/>
        <w:ind w:left="720" w:hanging="720"/>
        <w:jc w:val="both"/>
      </w:pPr>
      <w:r w:rsidRPr="00BC3FFD">
        <w:rPr>
          <w:rFonts w:ascii="Arial" w:hAnsi="Arial"/>
          <w:sz w:val="20"/>
        </w:rPr>
        <w:t xml:space="preserve">Kennedy, G. G. (2003). Tomato, pests, </w:t>
      </w:r>
      <w:proofErr w:type="spellStart"/>
      <w:r w:rsidRPr="00BC3FFD">
        <w:rPr>
          <w:rFonts w:ascii="Arial" w:hAnsi="Arial"/>
          <w:sz w:val="20"/>
        </w:rPr>
        <w:t>parasitoids</w:t>
      </w:r>
      <w:proofErr w:type="spellEnd"/>
      <w:r w:rsidRPr="00BC3FFD">
        <w:rPr>
          <w:rFonts w:ascii="Arial" w:hAnsi="Arial"/>
          <w:sz w:val="20"/>
        </w:rPr>
        <w:t xml:space="preserve">, and predators: </w:t>
      </w:r>
      <w:proofErr w:type="spellStart"/>
      <w:r w:rsidRPr="00BC3FFD">
        <w:rPr>
          <w:rFonts w:ascii="Arial" w:hAnsi="Arial"/>
          <w:sz w:val="20"/>
        </w:rPr>
        <w:t>Tritrophic</w:t>
      </w:r>
      <w:proofErr w:type="spellEnd"/>
      <w:r w:rsidRPr="00BC3FFD">
        <w:rPr>
          <w:rFonts w:ascii="Arial" w:hAnsi="Arial"/>
          <w:sz w:val="20"/>
        </w:rPr>
        <w:t xml:space="preserve"> interactions involving the genus Lycopersicon. </w:t>
      </w:r>
      <w:r w:rsidRPr="00BC3FFD">
        <w:rPr>
          <w:rFonts w:ascii="Arial" w:hAnsi="Arial"/>
          <w:i/>
          <w:sz w:val="20"/>
        </w:rPr>
        <w:t>Annual Review of Entomology, 48</w:t>
      </w:r>
      <w:r w:rsidRPr="00BC3FFD">
        <w:rPr>
          <w:rFonts w:ascii="Arial" w:hAnsi="Arial"/>
          <w:sz w:val="20"/>
        </w:rPr>
        <w:t>, 51–72. https://doi.org/10.1146/annurev.ento.48.091801.112733</w:t>
      </w:r>
    </w:p>
    <w:p w14:paraId="128C8EC4" w14:textId="77777777" w:rsidR="00054599" w:rsidRPr="00BC3FFD" w:rsidRDefault="00000000">
      <w:pPr>
        <w:spacing w:line="360" w:lineRule="auto"/>
        <w:ind w:left="720" w:hanging="720"/>
        <w:jc w:val="both"/>
      </w:pPr>
      <w:r w:rsidRPr="00BC3FFD">
        <w:rPr>
          <w:rFonts w:ascii="Arial" w:hAnsi="Arial"/>
          <w:sz w:val="20"/>
        </w:rPr>
        <w:t xml:space="preserve">Ling, S., Zhao, Y., Sun, S., Zheng, D., Sun, X., Zeng, R., Chen, D., &amp; Song, Y. (2022). Enhanced anti-herbivore </w:t>
      </w:r>
      <w:proofErr w:type="spellStart"/>
      <w:r w:rsidRPr="00BC3FFD">
        <w:rPr>
          <w:rFonts w:ascii="Arial" w:hAnsi="Arial"/>
          <w:sz w:val="20"/>
        </w:rPr>
        <w:t>defense</w:t>
      </w:r>
      <w:proofErr w:type="spellEnd"/>
      <w:r w:rsidRPr="00BC3FFD">
        <w:rPr>
          <w:rFonts w:ascii="Arial" w:hAnsi="Arial"/>
          <w:sz w:val="20"/>
        </w:rPr>
        <w:t xml:space="preserve"> of tomato plants against Spodoptera </w:t>
      </w:r>
      <w:proofErr w:type="spellStart"/>
      <w:r w:rsidRPr="00BC3FFD">
        <w:rPr>
          <w:rFonts w:ascii="Arial" w:hAnsi="Arial"/>
          <w:sz w:val="20"/>
        </w:rPr>
        <w:t>litura</w:t>
      </w:r>
      <w:proofErr w:type="spellEnd"/>
      <w:r w:rsidRPr="00BC3FFD">
        <w:rPr>
          <w:rFonts w:ascii="Arial" w:hAnsi="Arial"/>
          <w:sz w:val="20"/>
        </w:rPr>
        <w:t xml:space="preserve"> by their rhizosphere bacteria. </w:t>
      </w:r>
      <w:r w:rsidRPr="00BC3FFD">
        <w:rPr>
          <w:rFonts w:ascii="Arial" w:hAnsi="Arial"/>
          <w:i/>
          <w:sz w:val="20"/>
        </w:rPr>
        <w:t>BMC Plant Biology, 22</w:t>
      </w:r>
      <w:r w:rsidRPr="00BC3FFD">
        <w:rPr>
          <w:rFonts w:ascii="Arial" w:hAnsi="Arial"/>
          <w:sz w:val="20"/>
        </w:rPr>
        <w:t>, Article 254. https://doi.org/10.1186/s12870-022-03644-3</w:t>
      </w:r>
    </w:p>
    <w:p w14:paraId="354DA90E" w14:textId="77777777" w:rsidR="00054599" w:rsidRPr="00BC3FFD" w:rsidRDefault="00000000">
      <w:pPr>
        <w:spacing w:line="360" w:lineRule="auto"/>
        <w:ind w:left="720" w:hanging="720"/>
        <w:jc w:val="both"/>
      </w:pPr>
      <w:r w:rsidRPr="00BC3FFD">
        <w:rPr>
          <w:rFonts w:ascii="Arial" w:hAnsi="Arial"/>
          <w:sz w:val="20"/>
        </w:rPr>
        <w:t xml:space="preserve">Manjunath, T. M., Bhatnagar, V. S., Pawar, C. S., &amp; </w:t>
      </w:r>
      <w:proofErr w:type="spellStart"/>
      <w:r w:rsidRPr="00BC3FFD">
        <w:rPr>
          <w:rFonts w:ascii="Arial" w:hAnsi="Arial"/>
          <w:sz w:val="20"/>
        </w:rPr>
        <w:t>Sithanantham</w:t>
      </w:r>
      <w:proofErr w:type="spellEnd"/>
      <w:r w:rsidRPr="00BC3FFD">
        <w:rPr>
          <w:rFonts w:ascii="Arial" w:hAnsi="Arial"/>
          <w:sz w:val="20"/>
        </w:rPr>
        <w:t xml:space="preserve">, S. (1989). Economic importance of Heliothis spp. in India and an assessment of their natural enemies and host plants. In E. G. King &amp; R. D. Jackson (Eds.), </w:t>
      </w:r>
      <w:r w:rsidRPr="00BC3FFD">
        <w:rPr>
          <w:rFonts w:ascii="Arial" w:hAnsi="Arial"/>
          <w:i/>
          <w:sz w:val="20"/>
        </w:rPr>
        <w:t>Proceedings of the Workshop on Biological Control of Heliothis: Increasing the Effectiveness of Natural Enemies</w:t>
      </w:r>
      <w:r w:rsidRPr="00BC3FFD">
        <w:rPr>
          <w:rFonts w:ascii="Arial" w:hAnsi="Arial"/>
          <w:sz w:val="20"/>
        </w:rPr>
        <w:t xml:space="preserve"> (pp. 197–228). Far Eastern Regional Research Office, U.S. Department of Agriculture. https://www.researchgate.net/publication/301618554</w:t>
      </w:r>
    </w:p>
    <w:p w14:paraId="7F5B4C3C" w14:textId="77777777" w:rsidR="00054599" w:rsidRPr="00BC3FFD" w:rsidRDefault="00000000">
      <w:pPr>
        <w:spacing w:line="360" w:lineRule="auto"/>
        <w:ind w:left="720" w:hanging="720"/>
        <w:jc w:val="both"/>
      </w:pPr>
      <w:r w:rsidRPr="00BC3FFD">
        <w:rPr>
          <w:rFonts w:ascii="Arial" w:hAnsi="Arial"/>
          <w:sz w:val="20"/>
        </w:rPr>
        <w:t xml:space="preserve">Rani, P. U., &amp; </w:t>
      </w:r>
      <w:proofErr w:type="spellStart"/>
      <w:r w:rsidRPr="00BC3FFD">
        <w:rPr>
          <w:rFonts w:ascii="Arial" w:hAnsi="Arial"/>
          <w:sz w:val="20"/>
        </w:rPr>
        <w:t>Rajasekharreddy</w:t>
      </w:r>
      <w:proofErr w:type="spellEnd"/>
      <w:r w:rsidRPr="00BC3FFD">
        <w:rPr>
          <w:rFonts w:ascii="Arial" w:hAnsi="Arial"/>
          <w:sz w:val="20"/>
        </w:rPr>
        <w:t xml:space="preserve">, P. (2009). Toxic and antifeedant activities of Sterculia </w:t>
      </w:r>
      <w:proofErr w:type="spellStart"/>
      <w:r w:rsidRPr="00BC3FFD">
        <w:rPr>
          <w:rFonts w:ascii="Arial" w:hAnsi="Arial"/>
          <w:sz w:val="20"/>
        </w:rPr>
        <w:t>foetida</w:t>
      </w:r>
      <w:proofErr w:type="spellEnd"/>
      <w:r w:rsidRPr="00BC3FFD">
        <w:rPr>
          <w:rFonts w:ascii="Arial" w:hAnsi="Arial"/>
          <w:sz w:val="20"/>
        </w:rPr>
        <w:t xml:space="preserve"> (L.) seed crude extract against Spodoptera </w:t>
      </w:r>
      <w:proofErr w:type="spellStart"/>
      <w:r w:rsidRPr="00BC3FFD">
        <w:rPr>
          <w:rFonts w:ascii="Arial" w:hAnsi="Arial"/>
          <w:sz w:val="20"/>
        </w:rPr>
        <w:t>litura</w:t>
      </w:r>
      <w:proofErr w:type="spellEnd"/>
      <w:r w:rsidRPr="00BC3FFD">
        <w:rPr>
          <w:rFonts w:ascii="Arial" w:hAnsi="Arial"/>
          <w:sz w:val="20"/>
        </w:rPr>
        <w:t xml:space="preserve"> (F.) and Achaea </w:t>
      </w:r>
      <w:proofErr w:type="spellStart"/>
      <w:r w:rsidRPr="00BC3FFD">
        <w:rPr>
          <w:rFonts w:ascii="Arial" w:hAnsi="Arial"/>
          <w:sz w:val="20"/>
        </w:rPr>
        <w:t>janata</w:t>
      </w:r>
      <w:proofErr w:type="spellEnd"/>
      <w:r w:rsidRPr="00BC3FFD">
        <w:rPr>
          <w:rFonts w:ascii="Arial" w:hAnsi="Arial"/>
          <w:sz w:val="20"/>
        </w:rPr>
        <w:t xml:space="preserve"> (L.). </w:t>
      </w:r>
      <w:r w:rsidRPr="00BC3FFD">
        <w:rPr>
          <w:rFonts w:ascii="Arial" w:hAnsi="Arial"/>
          <w:i/>
          <w:sz w:val="20"/>
        </w:rPr>
        <w:t>Journal of Biopesticides, 2</w:t>
      </w:r>
      <w:r w:rsidRPr="00BC3FFD">
        <w:rPr>
          <w:rFonts w:ascii="Arial" w:hAnsi="Arial"/>
          <w:sz w:val="20"/>
        </w:rPr>
        <w:t>(2), 161–164. https://www.jbiopestic.com/archivesbrief.php?id=323</w:t>
      </w:r>
    </w:p>
    <w:p w14:paraId="6C8884F1" w14:textId="77777777" w:rsidR="00054599" w:rsidRPr="00BC3FFD" w:rsidRDefault="00000000">
      <w:pPr>
        <w:spacing w:line="360" w:lineRule="auto"/>
        <w:ind w:left="720" w:hanging="720"/>
        <w:jc w:val="both"/>
      </w:pPr>
      <w:r w:rsidRPr="00BC3FFD">
        <w:rPr>
          <w:rFonts w:ascii="Arial" w:hAnsi="Arial"/>
          <w:sz w:val="20"/>
        </w:rPr>
        <w:lastRenderedPageBreak/>
        <w:t xml:space="preserve">Rathi, J. M., &amp; Gopalakrishnan, S. (2006). Insecticidal activity of aerial parts of </w:t>
      </w:r>
      <w:proofErr w:type="spellStart"/>
      <w:r w:rsidRPr="00BC3FFD">
        <w:rPr>
          <w:rFonts w:ascii="Arial" w:hAnsi="Arial"/>
          <w:sz w:val="20"/>
        </w:rPr>
        <w:t>Synedrella</w:t>
      </w:r>
      <w:proofErr w:type="spellEnd"/>
      <w:r w:rsidRPr="00BC3FFD">
        <w:rPr>
          <w:rFonts w:ascii="Arial" w:hAnsi="Arial"/>
          <w:sz w:val="20"/>
        </w:rPr>
        <w:t xml:space="preserve"> </w:t>
      </w:r>
      <w:proofErr w:type="spellStart"/>
      <w:r w:rsidRPr="00BC3FFD">
        <w:rPr>
          <w:rFonts w:ascii="Arial" w:hAnsi="Arial"/>
          <w:sz w:val="20"/>
        </w:rPr>
        <w:t>nodiflora</w:t>
      </w:r>
      <w:proofErr w:type="spellEnd"/>
      <w:r w:rsidRPr="00BC3FFD">
        <w:rPr>
          <w:rFonts w:ascii="Arial" w:hAnsi="Arial"/>
          <w:sz w:val="20"/>
        </w:rPr>
        <w:t xml:space="preserve"> </w:t>
      </w:r>
      <w:proofErr w:type="spellStart"/>
      <w:r w:rsidRPr="00BC3FFD">
        <w:rPr>
          <w:rFonts w:ascii="Arial" w:hAnsi="Arial"/>
          <w:sz w:val="20"/>
        </w:rPr>
        <w:t>Gaertn</w:t>
      </w:r>
      <w:proofErr w:type="spellEnd"/>
      <w:r w:rsidRPr="00BC3FFD">
        <w:rPr>
          <w:rFonts w:ascii="Arial" w:hAnsi="Arial"/>
          <w:sz w:val="20"/>
        </w:rPr>
        <w:t xml:space="preserve">. (Compositae) on Spodoptera </w:t>
      </w:r>
      <w:proofErr w:type="spellStart"/>
      <w:r w:rsidRPr="00BC3FFD">
        <w:rPr>
          <w:rFonts w:ascii="Arial" w:hAnsi="Arial"/>
          <w:sz w:val="20"/>
        </w:rPr>
        <w:t>litura</w:t>
      </w:r>
      <w:proofErr w:type="spellEnd"/>
      <w:r w:rsidRPr="00BC3FFD">
        <w:rPr>
          <w:rFonts w:ascii="Arial" w:hAnsi="Arial"/>
          <w:sz w:val="20"/>
        </w:rPr>
        <w:t xml:space="preserve"> (Fab.). </w:t>
      </w:r>
      <w:r w:rsidRPr="00BC3FFD">
        <w:rPr>
          <w:rFonts w:ascii="Arial" w:hAnsi="Arial"/>
          <w:i/>
          <w:sz w:val="20"/>
        </w:rPr>
        <w:t>Journal of Central European Agriculture, 7</w:t>
      </w:r>
      <w:r w:rsidRPr="00BC3FFD">
        <w:rPr>
          <w:rFonts w:ascii="Arial" w:hAnsi="Arial"/>
          <w:sz w:val="20"/>
        </w:rPr>
        <w:t>(2), 289–296. https://doi.org/10.5513/jcea.v7i2.372</w:t>
      </w:r>
    </w:p>
    <w:p w14:paraId="4C610829" w14:textId="77777777" w:rsidR="00054599" w:rsidRPr="00BC3FFD" w:rsidRDefault="00000000">
      <w:pPr>
        <w:spacing w:line="360" w:lineRule="auto"/>
        <w:ind w:left="720" w:hanging="720"/>
        <w:jc w:val="both"/>
      </w:pPr>
      <w:proofErr w:type="spellStart"/>
      <w:r w:rsidRPr="00BC3FFD">
        <w:rPr>
          <w:rFonts w:ascii="Arial" w:hAnsi="Arial"/>
          <w:sz w:val="20"/>
        </w:rPr>
        <w:t>Sapkal</w:t>
      </w:r>
      <w:proofErr w:type="spellEnd"/>
      <w:r w:rsidRPr="00BC3FFD">
        <w:rPr>
          <w:rFonts w:ascii="Arial" w:hAnsi="Arial"/>
          <w:sz w:val="20"/>
        </w:rPr>
        <w:t xml:space="preserve">, S. D., </w:t>
      </w:r>
      <w:proofErr w:type="spellStart"/>
      <w:r w:rsidRPr="00BC3FFD">
        <w:rPr>
          <w:rFonts w:ascii="Arial" w:hAnsi="Arial"/>
          <w:sz w:val="20"/>
        </w:rPr>
        <w:t>Sonkamble</w:t>
      </w:r>
      <w:proofErr w:type="spellEnd"/>
      <w:r w:rsidRPr="00BC3FFD">
        <w:rPr>
          <w:rFonts w:ascii="Arial" w:hAnsi="Arial"/>
          <w:sz w:val="20"/>
        </w:rPr>
        <w:t xml:space="preserve">, M. M., &amp; Gaikwad, B. B. (2018). Seasonal incidence of tomato fruit borer, Helicoverpa armigera (Hübner), on tomato, Lycopersicon esculentum (Mill.), under protected cultivation. </w:t>
      </w:r>
      <w:r w:rsidRPr="00BC3FFD">
        <w:rPr>
          <w:rFonts w:ascii="Arial" w:hAnsi="Arial"/>
          <w:i/>
          <w:sz w:val="20"/>
        </w:rPr>
        <w:t>Journal of Entomology and Zoology Studies, 6</w:t>
      </w:r>
      <w:r w:rsidRPr="00BC3FFD">
        <w:rPr>
          <w:rFonts w:ascii="Arial" w:hAnsi="Arial"/>
          <w:sz w:val="20"/>
        </w:rPr>
        <w:t>(4), 1911–1914. https://www.entomoljournal.com/archives/?ArticleId=4113&amp;issue=4&amp;vol=6&amp;year=2018</w:t>
      </w:r>
    </w:p>
    <w:p w14:paraId="4182FB6A" w14:textId="77777777" w:rsidR="00054599" w:rsidRPr="00BC3FFD" w:rsidRDefault="00000000">
      <w:pPr>
        <w:spacing w:line="360" w:lineRule="auto"/>
        <w:ind w:left="720" w:hanging="720"/>
        <w:jc w:val="both"/>
      </w:pPr>
      <w:proofErr w:type="spellStart"/>
      <w:r w:rsidRPr="00BC3FFD">
        <w:rPr>
          <w:rFonts w:ascii="Arial" w:hAnsi="Arial"/>
          <w:sz w:val="20"/>
        </w:rPr>
        <w:t>Senrung</w:t>
      </w:r>
      <w:proofErr w:type="spellEnd"/>
      <w:r w:rsidRPr="00BC3FFD">
        <w:rPr>
          <w:rFonts w:ascii="Arial" w:hAnsi="Arial"/>
          <w:sz w:val="20"/>
        </w:rPr>
        <w:t xml:space="preserve">, A., Singh, J., Sharma, S., Bhutia, T. N., &amp; Singh, A. K. (2014). Effect of </w:t>
      </w:r>
      <w:proofErr w:type="spellStart"/>
      <w:r w:rsidRPr="00BC3FFD">
        <w:rPr>
          <w:rFonts w:ascii="Arial" w:hAnsi="Arial"/>
          <w:sz w:val="20"/>
        </w:rPr>
        <w:t>Murraya</w:t>
      </w:r>
      <w:proofErr w:type="spellEnd"/>
      <w:r w:rsidRPr="00BC3FFD">
        <w:rPr>
          <w:rFonts w:ascii="Arial" w:hAnsi="Arial"/>
          <w:sz w:val="20"/>
        </w:rPr>
        <w:t xml:space="preserve"> </w:t>
      </w:r>
      <w:proofErr w:type="spellStart"/>
      <w:r w:rsidRPr="00BC3FFD">
        <w:rPr>
          <w:rFonts w:ascii="Arial" w:hAnsi="Arial"/>
          <w:sz w:val="20"/>
        </w:rPr>
        <w:t>koenigii</w:t>
      </w:r>
      <w:proofErr w:type="spellEnd"/>
      <w:r w:rsidRPr="00BC3FFD">
        <w:rPr>
          <w:rFonts w:ascii="Arial" w:hAnsi="Arial"/>
          <w:sz w:val="20"/>
        </w:rPr>
        <w:t xml:space="preserve"> extracts on feeding and ovipositional response of Spodoptera </w:t>
      </w:r>
      <w:proofErr w:type="spellStart"/>
      <w:r w:rsidRPr="00BC3FFD">
        <w:rPr>
          <w:rFonts w:ascii="Arial" w:hAnsi="Arial"/>
          <w:sz w:val="20"/>
        </w:rPr>
        <w:t>litura</w:t>
      </w:r>
      <w:proofErr w:type="spellEnd"/>
      <w:r w:rsidRPr="00BC3FFD">
        <w:rPr>
          <w:rFonts w:ascii="Arial" w:hAnsi="Arial"/>
          <w:sz w:val="20"/>
        </w:rPr>
        <w:t xml:space="preserve"> (Fab.) (Lepidoptera: </w:t>
      </w:r>
      <w:proofErr w:type="spellStart"/>
      <w:r w:rsidRPr="00BC3FFD">
        <w:rPr>
          <w:rFonts w:ascii="Arial" w:hAnsi="Arial"/>
          <w:sz w:val="20"/>
        </w:rPr>
        <w:t>Noctuidae</w:t>
      </w:r>
      <w:proofErr w:type="spellEnd"/>
      <w:r w:rsidRPr="00BC3FFD">
        <w:rPr>
          <w:rFonts w:ascii="Arial" w:hAnsi="Arial"/>
          <w:sz w:val="20"/>
        </w:rPr>
        <w:t xml:space="preserve">). </w:t>
      </w:r>
      <w:r w:rsidRPr="00BC3FFD">
        <w:rPr>
          <w:rFonts w:ascii="Arial" w:hAnsi="Arial"/>
          <w:i/>
          <w:sz w:val="20"/>
        </w:rPr>
        <w:t>Journal of Entomology and Zoology Studies, 2</w:t>
      </w:r>
      <w:r w:rsidRPr="00BC3FFD">
        <w:rPr>
          <w:rFonts w:ascii="Arial" w:hAnsi="Arial"/>
          <w:sz w:val="20"/>
        </w:rPr>
        <w:t>(3), 27–31. https://www.entomoljournal.com/archives/?ArticleId=194&amp;issue=3&amp;vol=2&amp;year=2014</w:t>
      </w:r>
    </w:p>
    <w:p w14:paraId="58F3E846" w14:textId="77777777" w:rsidR="00054599" w:rsidRPr="00BC3FFD" w:rsidRDefault="00000000">
      <w:pPr>
        <w:spacing w:line="360" w:lineRule="auto"/>
        <w:ind w:left="720" w:hanging="720"/>
        <w:jc w:val="both"/>
      </w:pPr>
      <w:r w:rsidRPr="00BC3FFD">
        <w:rPr>
          <w:rFonts w:ascii="Arial" w:hAnsi="Arial"/>
          <w:sz w:val="20"/>
        </w:rPr>
        <w:t xml:space="preserve">Song, Y., Cang, X., He, W., Zhang, H., &amp; Wu, K. (2024). Migration activity of Spodoptera </w:t>
      </w:r>
      <w:proofErr w:type="spellStart"/>
      <w:r w:rsidRPr="00BC3FFD">
        <w:rPr>
          <w:rFonts w:ascii="Arial" w:hAnsi="Arial"/>
          <w:sz w:val="20"/>
        </w:rPr>
        <w:t>litura</w:t>
      </w:r>
      <w:proofErr w:type="spellEnd"/>
      <w:r w:rsidRPr="00BC3FFD">
        <w:rPr>
          <w:rFonts w:ascii="Arial" w:hAnsi="Arial"/>
          <w:sz w:val="20"/>
        </w:rPr>
        <w:t xml:space="preserve"> (Lepidoptera: </w:t>
      </w:r>
      <w:proofErr w:type="spellStart"/>
      <w:r w:rsidRPr="00BC3FFD">
        <w:rPr>
          <w:rFonts w:ascii="Arial" w:hAnsi="Arial"/>
          <w:sz w:val="20"/>
        </w:rPr>
        <w:t>Noctuidae</w:t>
      </w:r>
      <w:proofErr w:type="spellEnd"/>
      <w:r w:rsidRPr="00BC3FFD">
        <w:rPr>
          <w:rFonts w:ascii="Arial" w:hAnsi="Arial"/>
          <w:sz w:val="20"/>
        </w:rPr>
        <w:t xml:space="preserve">) between China and the South–Southeast Asian region. </w:t>
      </w:r>
      <w:r w:rsidRPr="00BC3FFD">
        <w:rPr>
          <w:rFonts w:ascii="Arial" w:hAnsi="Arial"/>
          <w:i/>
          <w:sz w:val="20"/>
        </w:rPr>
        <w:t>Insects, 15</w:t>
      </w:r>
      <w:r w:rsidRPr="00BC3FFD">
        <w:rPr>
          <w:rFonts w:ascii="Arial" w:hAnsi="Arial"/>
          <w:sz w:val="20"/>
        </w:rPr>
        <w:t>(5), Article 335. https://doi.org/10.3390/insects15050335</w:t>
      </w:r>
    </w:p>
    <w:p w14:paraId="2022AC4F" w14:textId="77777777" w:rsidR="00054599" w:rsidRPr="00BC3FFD" w:rsidRDefault="00000000">
      <w:pPr>
        <w:spacing w:line="360" w:lineRule="auto"/>
        <w:ind w:left="720" w:hanging="720"/>
        <w:jc w:val="both"/>
      </w:pPr>
      <w:r w:rsidRPr="00BC3FFD">
        <w:rPr>
          <w:rFonts w:ascii="Arial" w:hAnsi="Arial"/>
          <w:sz w:val="20"/>
        </w:rPr>
        <w:t xml:space="preserve">Taleh, M., </w:t>
      </w:r>
      <w:proofErr w:type="spellStart"/>
      <w:r w:rsidRPr="00BC3FFD">
        <w:rPr>
          <w:rFonts w:ascii="Arial" w:hAnsi="Arial"/>
          <w:sz w:val="20"/>
        </w:rPr>
        <w:t>Farshbaf</w:t>
      </w:r>
      <w:proofErr w:type="spellEnd"/>
      <w:r w:rsidRPr="00BC3FFD">
        <w:rPr>
          <w:rFonts w:ascii="Arial" w:hAnsi="Arial"/>
          <w:sz w:val="20"/>
        </w:rPr>
        <w:t xml:space="preserve"> </w:t>
      </w:r>
      <w:proofErr w:type="spellStart"/>
      <w:r w:rsidRPr="00BC3FFD">
        <w:rPr>
          <w:rFonts w:ascii="Arial" w:hAnsi="Arial"/>
          <w:sz w:val="20"/>
        </w:rPr>
        <w:t>Pourabad</w:t>
      </w:r>
      <w:proofErr w:type="spellEnd"/>
      <w:r w:rsidRPr="00BC3FFD">
        <w:rPr>
          <w:rFonts w:ascii="Arial" w:hAnsi="Arial"/>
          <w:sz w:val="20"/>
        </w:rPr>
        <w:t xml:space="preserve">, R., </w:t>
      </w:r>
      <w:proofErr w:type="spellStart"/>
      <w:r w:rsidRPr="00BC3FFD">
        <w:rPr>
          <w:rFonts w:ascii="Arial" w:hAnsi="Arial"/>
          <w:sz w:val="20"/>
        </w:rPr>
        <w:t>Geranmaye</w:t>
      </w:r>
      <w:proofErr w:type="spellEnd"/>
      <w:r w:rsidRPr="00BC3FFD">
        <w:rPr>
          <w:rFonts w:ascii="Arial" w:hAnsi="Arial"/>
          <w:sz w:val="20"/>
        </w:rPr>
        <w:t xml:space="preserve">, J., &amp; </w:t>
      </w:r>
      <w:proofErr w:type="spellStart"/>
      <w:r w:rsidRPr="00BC3FFD">
        <w:rPr>
          <w:rFonts w:ascii="Arial" w:hAnsi="Arial"/>
          <w:sz w:val="20"/>
        </w:rPr>
        <w:t>Ebadollahi</w:t>
      </w:r>
      <w:proofErr w:type="spellEnd"/>
      <w:r w:rsidRPr="00BC3FFD">
        <w:rPr>
          <w:rFonts w:ascii="Arial" w:hAnsi="Arial"/>
          <w:sz w:val="20"/>
        </w:rPr>
        <w:t xml:space="preserve">, A. (2015). Toxicity of hexaflumuron as an insect growth regulator against Helicoverpa armigera Hübner (Lepidoptera: </w:t>
      </w:r>
      <w:proofErr w:type="spellStart"/>
      <w:r w:rsidRPr="00BC3FFD">
        <w:rPr>
          <w:rFonts w:ascii="Arial" w:hAnsi="Arial"/>
          <w:sz w:val="20"/>
        </w:rPr>
        <w:t>Noctuidae</w:t>
      </w:r>
      <w:proofErr w:type="spellEnd"/>
      <w:r w:rsidRPr="00BC3FFD">
        <w:rPr>
          <w:rFonts w:ascii="Arial" w:hAnsi="Arial"/>
          <w:sz w:val="20"/>
        </w:rPr>
        <w:t xml:space="preserve">). </w:t>
      </w:r>
      <w:r w:rsidRPr="00BC3FFD">
        <w:rPr>
          <w:rFonts w:ascii="Arial" w:hAnsi="Arial"/>
          <w:i/>
          <w:sz w:val="20"/>
        </w:rPr>
        <w:t>Journal of Entomology and Zoology Studies, 3</w:t>
      </w:r>
      <w:r w:rsidRPr="00BC3FFD">
        <w:rPr>
          <w:rFonts w:ascii="Arial" w:hAnsi="Arial"/>
          <w:sz w:val="20"/>
        </w:rPr>
        <w:t>(2), 274–277. https://www.entomoljournal.com/archives/?ArticleId=270&amp;issue=2&amp;vol=3&amp;year=2015</w:t>
      </w:r>
    </w:p>
    <w:p w14:paraId="6D39153C" w14:textId="77777777" w:rsidR="00054599" w:rsidRPr="00BC3FFD" w:rsidRDefault="00000000">
      <w:pPr>
        <w:spacing w:line="360" w:lineRule="auto"/>
        <w:ind w:left="720" w:hanging="720"/>
        <w:jc w:val="both"/>
      </w:pPr>
      <w:r w:rsidRPr="00BC3FFD">
        <w:rPr>
          <w:rFonts w:ascii="Arial" w:hAnsi="Arial"/>
          <w:sz w:val="20"/>
        </w:rPr>
        <w:t xml:space="preserve">Taylor, J. E., &amp; Riley, D. G. (2008). Artificial infestations of beet armyworm, Spodoptera exigua (Lepidoptera: </w:t>
      </w:r>
      <w:proofErr w:type="spellStart"/>
      <w:r w:rsidRPr="00BC3FFD">
        <w:rPr>
          <w:rFonts w:ascii="Arial" w:hAnsi="Arial"/>
          <w:sz w:val="20"/>
        </w:rPr>
        <w:t>Noctuidae</w:t>
      </w:r>
      <w:proofErr w:type="spellEnd"/>
      <w:r w:rsidRPr="00BC3FFD">
        <w:rPr>
          <w:rFonts w:ascii="Arial" w:hAnsi="Arial"/>
          <w:sz w:val="20"/>
        </w:rPr>
        <w:t xml:space="preserve">), used to estimate an economic injury level in tomato. </w:t>
      </w:r>
      <w:r w:rsidRPr="00BC3FFD">
        <w:rPr>
          <w:rFonts w:ascii="Arial" w:hAnsi="Arial"/>
          <w:i/>
          <w:sz w:val="20"/>
        </w:rPr>
        <w:t>Crop Protection, 27</w:t>
      </w:r>
      <w:r w:rsidRPr="00BC3FFD">
        <w:rPr>
          <w:rFonts w:ascii="Arial" w:hAnsi="Arial"/>
          <w:sz w:val="20"/>
        </w:rPr>
        <w:t>(2), 268–274. https://doi.org/10.1016/j.cropro.2007.05.014</w:t>
      </w:r>
    </w:p>
    <w:p w14:paraId="41F08406" w14:textId="77777777" w:rsidR="00054599" w:rsidRPr="00BC3FFD" w:rsidRDefault="00000000">
      <w:pPr>
        <w:spacing w:line="360" w:lineRule="auto"/>
        <w:ind w:left="720" w:hanging="720"/>
        <w:jc w:val="both"/>
      </w:pPr>
      <w:r w:rsidRPr="00BC3FFD">
        <w:rPr>
          <w:rFonts w:ascii="Arial" w:hAnsi="Arial"/>
          <w:sz w:val="20"/>
        </w:rPr>
        <w:t xml:space="preserve">Thanki, K. V., Patel, G. S., &amp; Patel, J. R. (2003). Population dynamics of Spodoptera </w:t>
      </w:r>
      <w:proofErr w:type="spellStart"/>
      <w:r w:rsidRPr="00BC3FFD">
        <w:rPr>
          <w:rFonts w:ascii="Arial" w:hAnsi="Arial"/>
          <w:sz w:val="20"/>
        </w:rPr>
        <w:t>litura</w:t>
      </w:r>
      <w:proofErr w:type="spellEnd"/>
      <w:r w:rsidRPr="00BC3FFD">
        <w:rPr>
          <w:rFonts w:ascii="Arial" w:hAnsi="Arial"/>
          <w:sz w:val="20"/>
        </w:rPr>
        <w:t xml:space="preserve"> on castor, Ricinus communis. </w:t>
      </w:r>
      <w:r w:rsidRPr="00BC3FFD">
        <w:rPr>
          <w:rFonts w:ascii="Arial" w:hAnsi="Arial"/>
          <w:i/>
          <w:sz w:val="20"/>
        </w:rPr>
        <w:t>Indian Journal of Entomology, 65</w:t>
      </w:r>
      <w:r w:rsidRPr="00BC3FFD">
        <w:rPr>
          <w:rFonts w:ascii="Arial" w:hAnsi="Arial"/>
          <w:sz w:val="20"/>
        </w:rPr>
        <w:t>(3), 347–350. https://infosat.icrisat.org/2729/</w:t>
      </w:r>
    </w:p>
    <w:p w14:paraId="4305C34E" w14:textId="77777777" w:rsidR="00054599" w:rsidRPr="00BC3FFD" w:rsidRDefault="00000000">
      <w:pPr>
        <w:spacing w:line="360" w:lineRule="auto"/>
        <w:ind w:left="720" w:hanging="720"/>
        <w:jc w:val="both"/>
      </w:pPr>
      <w:r w:rsidRPr="00BC3FFD">
        <w:rPr>
          <w:rFonts w:ascii="Arial" w:hAnsi="Arial"/>
          <w:sz w:val="20"/>
        </w:rPr>
        <w:t xml:space="preserve">Thakur, P., Rana, R. S., Sharma, K. C., &amp; Sharma, N. (2018). Host preference of the fruit borer, Helicoverpa armigera (Hübner), on tomato varieties in the mid-hills of Himachal Pradesh. </w:t>
      </w:r>
      <w:r w:rsidRPr="00BC3FFD">
        <w:rPr>
          <w:rFonts w:ascii="Arial" w:hAnsi="Arial"/>
          <w:i/>
          <w:sz w:val="20"/>
        </w:rPr>
        <w:t>Journal of Entomology and Zoology Studies, 6</w:t>
      </w:r>
      <w:r w:rsidRPr="00BC3FFD">
        <w:rPr>
          <w:rFonts w:ascii="Arial" w:hAnsi="Arial"/>
          <w:sz w:val="20"/>
        </w:rPr>
        <w:t>(1), 1186–1189. https://www.entomoljournal.com/archives/?ArticleId=3087&amp;issue=1&amp;vol=6&amp;year=2018</w:t>
      </w:r>
    </w:p>
    <w:p w14:paraId="4F225B1B" w14:textId="77777777" w:rsidR="00054599" w:rsidRPr="00BC3FFD" w:rsidRDefault="00000000">
      <w:pPr>
        <w:spacing w:line="360" w:lineRule="auto"/>
        <w:ind w:left="720" w:hanging="720"/>
        <w:jc w:val="both"/>
      </w:pPr>
      <w:r w:rsidRPr="00BC3FFD">
        <w:rPr>
          <w:rFonts w:ascii="Arial" w:hAnsi="Arial"/>
          <w:sz w:val="20"/>
        </w:rPr>
        <w:t xml:space="preserve">Tillman, P. G., &amp; Mullinix, B. G., Jr. (2003). Comparison of host-searching and ovipositional </w:t>
      </w:r>
      <w:proofErr w:type="spellStart"/>
      <w:r w:rsidRPr="00BC3FFD">
        <w:rPr>
          <w:rFonts w:ascii="Arial" w:hAnsi="Arial"/>
          <w:sz w:val="20"/>
        </w:rPr>
        <w:t>behavior</w:t>
      </w:r>
      <w:proofErr w:type="spellEnd"/>
      <w:r w:rsidRPr="00BC3FFD">
        <w:rPr>
          <w:rFonts w:ascii="Arial" w:hAnsi="Arial"/>
          <w:sz w:val="20"/>
        </w:rPr>
        <w:t xml:space="preserve"> of </w:t>
      </w:r>
      <w:proofErr w:type="spellStart"/>
      <w:r w:rsidRPr="00BC3FFD">
        <w:rPr>
          <w:rFonts w:ascii="Arial" w:hAnsi="Arial"/>
          <w:sz w:val="20"/>
        </w:rPr>
        <w:t>Cardiochiles</w:t>
      </w:r>
      <w:proofErr w:type="spellEnd"/>
      <w:r w:rsidRPr="00BC3FFD">
        <w:rPr>
          <w:rFonts w:ascii="Arial" w:hAnsi="Arial"/>
          <w:sz w:val="20"/>
        </w:rPr>
        <w:t xml:space="preserve"> nigriceps Viereck (Hymenoptera: Braconidae), a </w:t>
      </w:r>
      <w:proofErr w:type="spellStart"/>
      <w:r w:rsidRPr="00BC3FFD">
        <w:rPr>
          <w:rFonts w:ascii="Arial" w:hAnsi="Arial"/>
          <w:sz w:val="20"/>
        </w:rPr>
        <w:t>parasitoid</w:t>
      </w:r>
      <w:proofErr w:type="spellEnd"/>
      <w:r w:rsidRPr="00BC3FFD">
        <w:rPr>
          <w:rFonts w:ascii="Arial" w:hAnsi="Arial"/>
          <w:sz w:val="20"/>
        </w:rPr>
        <w:t xml:space="preserve"> of Heliothis virescens (Fabricius) (Lepidoptera: </w:t>
      </w:r>
      <w:proofErr w:type="spellStart"/>
      <w:r w:rsidRPr="00BC3FFD">
        <w:rPr>
          <w:rFonts w:ascii="Arial" w:hAnsi="Arial"/>
          <w:sz w:val="20"/>
        </w:rPr>
        <w:t>Noctuidae</w:t>
      </w:r>
      <w:proofErr w:type="spellEnd"/>
      <w:r w:rsidRPr="00BC3FFD">
        <w:rPr>
          <w:rFonts w:ascii="Arial" w:hAnsi="Arial"/>
          <w:sz w:val="20"/>
        </w:rPr>
        <w:t xml:space="preserve">), in tobacco and cotton. </w:t>
      </w:r>
      <w:r w:rsidRPr="00BC3FFD">
        <w:rPr>
          <w:rFonts w:ascii="Arial" w:hAnsi="Arial"/>
          <w:i/>
          <w:sz w:val="20"/>
        </w:rPr>
        <w:t xml:space="preserve">Journal of Insect </w:t>
      </w:r>
      <w:proofErr w:type="spellStart"/>
      <w:r w:rsidRPr="00BC3FFD">
        <w:rPr>
          <w:rFonts w:ascii="Arial" w:hAnsi="Arial"/>
          <w:i/>
          <w:sz w:val="20"/>
        </w:rPr>
        <w:t>Behavior</w:t>
      </w:r>
      <w:proofErr w:type="spellEnd"/>
      <w:r w:rsidRPr="00BC3FFD">
        <w:rPr>
          <w:rFonts w:ascii="Arial" w:hAnsi="Arial"/>
          <w:i/>
          <w:sz w:val="20"/>
        </w:rPr>
        <w:t>, 16</w:t>
      </w:r>
      <w:r w:rsidRPr="00BC3FFD">
        <w:rPr>
          <w:rFonts w:ascii="Arial" w:hAnsi="Arial"/>
          <w:sz w:val="20"/>
        </w:rPr>
        <w:t>(4), 555–569. https://doi.org/10.1023/A:1027359408221</w:t>
      </w:r>
    </w:p>
    <w:p w14:paraId="740DF77E" w14:textId="77777777" w:rsidR="00054599" w:rsidRPr="00BC3FFD" w:rsidRDefault="00000000">
      <w:pPr>
        <w:spacing w:line="360" w:lineRule="auto"/>
        <w:ind w:left="720" w:hanging="720"/>
        <w:jc w:val="both"/>
      </w:pPr>
      <w:r w:rsidRPr="00BC3FFD">
        <w:rPr>
          <w:rFonts w:ascii="Arial" w:hAnsi="Arial"/>
          <w:sz w:val="20"/>
        </w:rPr>
        <w:t xml:space="preserve">War, A. R., Paulraj, M. G., Ahmad, T., </w:t>
      </w:r>
      <w:proofErr w:type="spellStart"/>
      <w:r w:rsidRPr="00BC3FFD">
        <w:rPr>
          <w:rFonts w:ascii="Arial" w:hAnsi="Arial"/>
          <w:sz w:val="20"/>
        </w:rPr>
        <w:t>Buhroo</w:t>
      </w:r>
      <w:proofErr w:type="spellEnd"/>
      <w:r w:rsidRPr="00BC3FFD">
        <w:rPr>
          <w:rFonts w:ascii="Arial" w:hAnsi="Arial"/>
          <w:sz w:val="20"/>
        </w:rPr>
        <w:t xml:space="preserve">, A. A., Hussain, B., </w:t>
      </w:r>
      <w:proofErr w:type="spellStart"/>
      <w:r w:rsidRPr="00BC3FFD">
        <w:rPr>
          <w:rFonts w:ascii="Arial" w:hAnsi="Arial"/>
          <w:sz w:val="20"/>
        </w:rPr>
        <w:t>Ignacimuthu</w:t>
      </w:r>
      <w:proofErr w:type="spellEnd"/>
      <w:r w:rsidRPr="00BC3FFD">
        <w:rPr>
          <w:rFonts w:ascii="Arial" w:hAnsi="Arial"/>
          <w:sz w:val="20"/>
        </w:rPr>
        <w:t xml:space="preserve">, S., &amp; Sharma, H. C. (2012). Mechanisms of plant </w:t>
      </w:r>
      <w:proofErr w:type="spellStart"/>
      <w:r w:rsidRPr="00BC3FFD">
        <w:rPr>
          <w:rFonts w:ascii="Arial" w:hAnsi="Arial"/>
          <w:sz w:val="20"/>
        </w:rPr>
        <w:t>defense</w:t>
      </w:r>
      <w:proofErr w:type="spellEnd"/>
      <w:r w:rsidRPr="00BC3FFD">
        <w:rPr>
          <w:rFonts w:ascii="Arial" w:hAnsi="Arial"/>
          <w:sz w:val="20"/>
        </w:rPr>
        <w:t xml:space="preserve"> against insect herbivores. </w:t>
      </w:r>
      <w:r w:rsidRPr="00BC3FFD">
        <w:rPr>
          <w:rFonts w:ascii="Arial" w:hAnsi="Arial"/>
          <w:i/>
          <w:sz w:val="20"/>
        </w:rPr>
        <w:t xml:space="preserve">Plant </w:t>
      </w:r>
      <w:proofErr w:type="spellStart"/>
      <w:r w:rsidRPr="00BC3FFD">
        <w:rPr>
          <w:rFonts w:ascii="Arial" w:hAnsi="Arial"/>
          <w:i/>
          <w:sz w:val="20"/>
        </w:rPr>
        <w:t>Signaling</w:t>
      </w:r>
      <w:proofErr w:type="spellEnd"/>
      <w:r w:rsidRPr="00BC3FFD">
        <w:rPr>
          <w:rFonts w:ascii="Arial" w:hAnsi="Arial"/>
          <w:i/>
          <w:sz w:val="20"/>
        </w:rPr>
        <w:t xml:space="preserve"> &amp; </w:t>
      </w:r>
      <w:proofErr w:type="spellStart"/>
      <w:r w:rsidRPr="00BC3FFD">
        <w:rPr>
          <w:rFonts w:ascii="Arial" w:hAnsi="Arial"/>
          <w:i/>
          <w:sz w:val="20"/>
        </w:rPr>
        <w:t>Behavior</w:t>
      </w:r>
      <w:proofErr w:type="spellEnd"/>
      <w:r w:rsidRPr="00BC3FFD">
        <w:rPr>
          <w:rFonts w:ascii="Arial" w:hAnsi="Arial"/>
          <w:i/>
          <w:sz w:val="20"/>
        </w:rPr>
        <w:t>, 7</w:t>
      </w:r>
      <w:r w:rsidRPr="00BC3FFD">
        <w:rPr>
          <w:rFonts w:ascii="Arial" w:hAnsi="Arial"/>
          <w:sz w:val="20"/>
        </w:rPr>
        <w:t>(10), 1306–1320. https://doi.org/10.4161/psb.21663</w:t>
      </w:r>
    </w:p>
    <w:p w14:paraId="56DC9110" w14:textId="77777777" w:rsidR="00054599" w:rsidRPr="00BC3FFD" w:rsidRDefault="00000000">
      <w:pPr>
        <w:spacing w:line="360" w:lineRule="auto"/>
        <w:ind w:left="720" w:hanging="720"/>
        <w:jc w:val="both"/>
      </w:pPr>
      <w:r w:rsidRPr="00BC3FFD">
        <w:rPr>
          <w:rFonts w:ascii="Arial" w:hAnsi="Arial"/>
          <w:sz w:val="20"/>
        </w:rPr>
        <w:t xml:space="preserve">Wheeler, D. A., &amp; Isman, M. B. (2001). Antifeedant and toxic activity of </w:t>
      </w:r>
      <w:proofErr w:type="spellStart"/>
      <w:r w:rsidRPr="00BC3FFD">
        <w:rPr>
          <w:rFonts w:ascii="Arial" w:hAnsi="Arial"/>
          <w:sz w:val="20"/>
        </w:rPr>
        <w:t>Trichilia</w:t>
      </w:r>
      <w:proofErr w:type="spellEnd"/>
      <w:r w:rsidRPr="00BC3FFD">
        <w:rPr>
          <w:rFonts w:ascii="Arial" w:hAnsi="Arial"/>
          <w:sz w:val="20"/>
        </w:rPr>
        <w:t xml:space="preserve"> americana extract against the larvae of Spodoptera </w:t>
      </w:r>
      <w:proofErr w:type="spellStart"/>
      <w:r w:rsidRPr="00BC3FFD">
        <w:rPr>
          <w:rFonts w:ascii="Arial" w:hAnsi="Arial"/>
          <w:sz w:val="20"/>
        </w:rPr>
        <w:t>litura</w:t>
      </w:r>
      <w:proofErr w:type="spellEnd"/>
      <w:r w:rsidRPr="00BC3FFD">
        <w:rPr>
          <w:rFonts w:ascii="Arial" w:hAnsi="Arial"/>
          <w:sz w:val="20"/>
        </w:rPr>
        <w:t xml:space="preserve">. </w:t>
      </w:r>
      <w:proofErr w:type="spellStart"/>
      <w:r w:rsidRPr="00BC3FFD">
        <w:rPr>
          <w:rFonts w:ascii="Arial" w:hAnsi="Arial"/>
          <w:i/>
          <w:sz w:val="20"/>
        </w:rPr>
        <w:t>Entomologia</w:t>
      </w:r>
      <w:proofErr w:type="spellEnd"/>
      <w:r w:rsidRPr="00BC3FFD">
        <w:rPr>
          <w:rFonts w:ascii="Arial" w:hAnsi="Arial"/>
          <w:i/>
          <w:sz w:val="20"/>
        </w:rPr>
        <w:t xml:space="preserve"> </w:t>
      </w:r>
      <w:proofErr w:type="spellStart"/>
      <w:r w:rsidRPr="00BC3FFD">
        <w:rPr>
          <w:rFonts w:ascii="Arial" w:hAnsi="Arial"/>
          <w:i/>
          <w:sz w:val="20"/>
        </w:rPr>
        <w:t>Experimentalis</w:t>
      </w:r>
      <w:proofErr w:type="spellEnd"/>
      <w:r w:rsidRPr="00BC3FFD">
        <w:rPr>
          <w:rFonts w:ascii="Arial" w:hAnsi="Arial"/>
          <w:i/>
          <w:sz w:val="20"/>
        </w:rPr>
        <w:t xml:space="preserve"> et </w:t>
      </w:r>
      <w:proofErr w:type="spellStart"/>
      <w:r w:rsidRPr="00BC3FFD">
        <w:rPr>
          <w:rFonts w:ascii="Arial" w:hAnsi="Arial"/>
          <w:i/>
          <w:sz w:val="20"/>
        </w:rPr>
        <w:t>Applicata</w:t>
      </w:r>
      <w:proofErr w:type="spellEnd"/>
      <w:r w:rsidRPr="00BC3FFD">
        <w:rPr>
          <w:rFonts w:ascii="Arial" w:hAnsi="Arial"/>
          <w:i/>
          <w:sz w:val="20"/>
        </w:rPr>
        <w:t>, 98</w:t>
      </w:r>
      <w:r w:rsidRPr="00BC3FFD">
        <w:rPr>
          <w:rFonts w:ascii="Arial" w:hAnsi="Arial"/>
          <w:sz w:val="20"/>
        </w:rPr>
        <w:t>(1), 9–16. https://doi.org/10.1046/j.1570-7458.2001.00751.x</w:t>
      </w:r>
    </w:p>
    <w:p w14:paraId="66B5E90E" w14:textId="77777777" w:rsidR="00054599" w:rsidRPr="00BC3FFD" w:rsidRDefault="00000000">
      <w:pPr>
        <w:spacing w:line="360" w:lineRule="auto"/>
        <w:ind w:left="720" w:hanging="720"/>
        <w:jc w:val="both"/>
      </w:pPr>
      <w:r w:rsidRPr="00BC3FFD">
        <w:rPr>
          <w:rFonts w:ascii="Arial" w:hAnsi="Arial"/>
          <w:sz w:val="20"/>
        </w:rPr>
        <w:lastRenderedPageBreak/>
        <w:t xml:space="preserve">Xue, M., Pang, Y.-H., Wang, H.-T., Li, Q.-L., &amp; Liu, T.-X. (2010). Effects of four host plants on biology and food utilization of the cutworm, Spodoptera </w:t>
      </w:r>
      <w:proofErr w:type="spellStart"/>
      <w:r w:rsidRPr="00BC3FFD">
        <w:rPr>
          <w:rFonts w:ascii="Arial" w:hAnsi="Arial"/>
          <w:sz w:val="20"/>
        </w:rPr>
        <w:t>litura</w:t>
      </w:r>
      <w:proofErr w:type="spellEnd"/>
      <w:r w:rsidRPr="00BC3FFD">
        <w:rPr>
          <w:rFonts w:ascii="Arial" w:hAnsi="Arial"/>
          <w:sz w:val="20"/>
        </w:rPr>
        <w:t xml:space="preserve">. </w:t>
      </w:r>
      <w:r w:rsidRPr="00BC3FFD">
        <w:rPr>
          <w:rFonts w:ascii="Arial" w:hAnsi="Arial"/>
          <w:i/>
          <w:sz w:val="20"/>
        </w:rPr>
        <w:t>Journal of Insect Science, 10</w:t>
      </w:r>
      <w:r w:rsidRPr="00BC3FFD">
        <w:rPr>
          <w:rFonts w:ascii="Arial" w:hAnsi="Arial"/>
          <w:sz w:val="20"/>
        </w:rPr>
        <w:t>(1), Article 22. https://doi.org/10.1673/031.010.2201</w:t>
      </w:r>
    </w:p>
    <w:p w14:paraId="6BBA9A8C" w14:textId="77777777" w:rsidR="00054599" w:rsidRDefault="00000000">
      <w:pPr>
        <w:spacing w:line="360" w:lineRule="auto"/>
        <w:ind w:left="720" w:hanging="720"/>
        <w:jc w:val="both"/>
      </w:pPr>
      <w:r w:rsidRPr="00BC3FFD">
        <w:rPr>
          <w:rFonts w:ascii="Arial" w:hAnsi="Arial"/>
          <w:sz w:val="20"/>
        </w:rPr>
        <w:t xml:space="preserve">Yadav, S., Pal, R. K., Yadav, A. K., Yadav, A. S., &amp; Singh, G. (2022). Seasonal incidence of tomato fruit borer, Helicoverpa armigera (Hübner), and its correlation with abiotic factors: An experimental investigation. </w:t>
      </w:r>
      <w:r w:rsidRPr="00BC3FFD">
        <w:rPr>
          <w:rFonts w:ascii="Arial" w:hAnsi="Arial"/>
          <w:i/>
          <w:sz w:val="20"/>
        </w:rPr>
        <w:t>International Journal of Plant &amp; Soil Science, 34</w:t>
      </w:r>
      <w:r w:rsidRPr="00BC3FFD">
        <w:rPr>
          <w:rFonts w:ascii="Arial" w:hAnsi="Arial"/>
          <w:sz w:val="20"/>
        </w:rPr>
        <w:t>(22), 1577–1582. https://doi.org/10.9734/ijpss/2022/v34i2231535</w:t>
      </w:r>
    </w:p>
    <w:p w14:paraId="70C7CC3E" w14:textId="77777777" w:rsidR="00BF672D" w:rsidRPr="00B22351" w:rsidRDefault="00BF672D" w:rsidP="00B22351">
      <w:pPr>
        <w:spacing w:line="360" w:lineRule="auto"/>
        <w:jc w:val="both"/>
        <w:rPr>
          <w:rFonts w:eastAsia="Calibri"/>
          <w:sz w:val="20"/>
          <w:szCs w:val="20"/>
        </w:rPr>
      </w:pPr>
    </w:p>
    <w:p w14:paraId="3BF34934" w14:textId="77777777" w:rsidR="00BF40DC" w:rsidRPr="00E25E9B" w:rsidRDefault="00BF40DC" w:rsidP="00B22351">
      <w:pPr>
        <w:spacing w:line="360" w:lineRule="auto"/>
        <w:jc w:val="both"/>
        <w:rPr>
          <w:color w:val="000000" w:themeColor="text1"/>
        </w:rPr>
      </w:pPr>
    </w:p>
    <w:p w14:paraId="7F4C3245" w14:textId="77777777" w:rsidR="00BF40DC" w:rsidRPr="00E25E9B" w:rsidRDefault="00BF40DC" w:rsidP="00B22351">
      <w:pPr>
        <w:spacing w:line="360" w:lineRule="auto"/>
        <w:jc w:val="both"/>
        <w:rPr>
          <w:color w:val="000000" w:themeColor="text1"/>
        </w:rPr>
      </w:pPr>
    </w:p>
    <w:sectPr w:rsidR="00BF40DC" w:rsidRPr="00E25E9B">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354AF" w14:textId="77777777" w:rsidR="00213A03" w:rsidRDefault="00213A03" w:rsidP="00B03241">
      <w:r>
        <w:separator/>
      </w:r>
    </w:p>
  </w:endnote>
  <w:endnote w:type="continuationSeparator" w:id="0">
    <w:p w14:paraId="667847AD" w14:textId="77777777" w:rsidR="00213A03" w:rsidRDefault="00213A03" w:rsidP="00B03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1912F" w14:textId="77777777" w:rsidR="00B03241" w:rsidRDefault="00B032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8D73D" w14:textId="77777777" w:rsidR="00B03241" w:rsidRDefault="00B032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547F4" w14:textId="77777777" w:rsidR="00B03241" w:rsidRDefault="00B032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CD958" w14:textId="77777777" w:rsidR="00213A03" w:rsidRDefault="00213A03" w:rsidP="00B03241">
      <w:r>
        <w:separator/>
      </w:r>
    </w:p>
  </w:footnote>
  <w:footnote w:type="continuationSeparator" w:id="0">
    <w:p w14:paraId="0F39F838" w14:textId="77777777" w:rsidR="00213A03" w:rsidRDefault="00213A03" w:rsidP="00B03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4128" w14:textId="40F091D4" w:rsidR="00B03241" w:rsidRDefault="00B03241">
    <w:pPr>
      <w:pStyle w:val="Header"/>
    </w:pPr>
    <w:r>
      <w:rPr>
        <w:noProof/>
      </w:rPr>
      <w:pict w14:anchorId="6F2A32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181907"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20348" w14:textId="0C914266" w:rsidR="00B03241" w:rsidRDefault="00B03241">
    <w:pPr>
      <w:pStyle w:val="Header"/>
    </w:pPr>
    <w:r>
      <w:rPr>
        <w:noProof/>
      </w:rPr>
      <w:pict w14:anchorId="5AFF3B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181908"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B1B7E" w14:textId="09B0BC5A" w:rsidR="00B03241" w:rsidRDefault="00B03241">
    <w:pPr>
      <w:pStyle w:val="Header"/>
    </w:pPr>
    <w:r>
      <w:rPr>
        <w:noProof/>
      </w:rPr>
      <w:pict w14:anchorId="4505C7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181906"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684469"/>
    <w:multiLevelType w:val="hybridMultilevel"/>
    <w:tmpl w:val="5582D7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6D9C441E"/>
    <w:multiLevelType w:val="hybridMultilevel"/>
    <w:tmpl w:val="0E60BB68"/>
    <w:lvl w:ilvl="0" w:tplc="FA1467D8">
      <w:start w:val="1"/>
      <w:numFmt w:val="bullet"/>
      <w:lvlText w:val="●"/>
      <w:lvlJc w:val="left"/>
      <w:pPr>
        <w:ind w:left="720" w:hanging="360"/>
      </w:pPr>
    </w:lvl>
    <w:lvl w:ilvl="1" w:tplc="55368E3C">
      <w:start w:val="1"/>
      <w:numFmt w:val="bullet"/>
      <w:lvlText w:val="○"/>
      <w:lvlJc w:val="left"/>
      <w:pPr>
        <w:ind w:left="1440" w:hanging="360"/>
      </w:pPr>
    </w:lvl>
    <w:lvl w:ilvl="2" w:tplc="1E8E7BD4">
      <w:start w:val="1"/>
      <w:numFmt w:val="bullet"/>
      <w:lvlText w:val="■"/>
      <w:lvlJc w:val="left"/>
      <w:pPr>
        <w:ind w:left="2160" w:hanging="360"/>
      </w:pPr>
    </w:lvl>
    <w:lvl w:ilvl="3" w:tplc="F1CEF274">
      <w:start w:val="1"/>
      <w:numFmt w:val="bullet"/>
      <w:lvlText w:val="●"/>
      <w:lvlJc w:val="left"/>
      <w:pPr>
        <w:ind w:left="2880" w:hanging="360"/>
      </w:pPr>
    </w:lvl>
    <w:lvl w:ilvl="4" w:tplc="FA903004">
      <w:start w:val="1"/>
      <w:numFmt w:val="bullet"/>
      <w:lvlText w:val="○"/>
      <w:lvlJc w:val="left"/>
      <w:pPr>
        <w:ind w:left="3600" w:hanging="360"/>
      </w:pPr>
    </w:lvl>
    <w:lvl w:ilvl="5" w:tplc="51E2A55A">
      <w:start w:val="1"/>
      <w:numFmt w:val="bullet"/>
      <w:lvlText w:val="■"/>
      <w:lvlJc w:val="left"/>
      <w:pPr>
        <w:ind w:left="4320" w:hanging="360"/>
      </w:pPr>
    </w:lvl>
    <w:lvl w:ilvl="6" w:tplc="1FAA07A8">
      <w:start w:val="1"/>
      <w:numFmt w:val="bullet"/>
      <w:lvlText w:val="●"/>
      <w:lvlJc w:val="left"/>
      <w:pPr>
        <w:ind w:left="5040" w:hanging="360"/>
      </w:pPr>
    </w:lvl>
    <w:lvl w:ilvl="7" w:tplc="007C15FA">
      <w:start w:val="1"/>
      <w:numFmt w:val="bullet"/>
      <w:lvlText w:val="●"/>
      <w:lvlJc w:val="left"/>
      <w:pPr>
        <w:ind w:left="5760" w:hanging="360"/>
      </w:pPr>
    </w:lvl>
    <w:lvl w:ilvl="8" w:tplc="9FBC8A38">
      <w:start w:val="1"/>
      <w:numFmt w:val="bullet"/>
      <w:lvlText w:val="●"/>
      <w:lvlJc w:val="left"/>
      <w:pPr>
        <w:ind w:left="6480" w:hanging="360"/>
      </w:pPr>
    </w:lvl>
  </w:abstractNum>
  <w:num w:numId="1" w16cid:durableId="1811559378">
    <w:abstractNumId w:val="1"/>
    <w:lvlOverride w:ilvl="0">
      <w:startOverride w:val="1"/>
    </w:lvlOverride>
  </w:num>
  <w:num w:numId="2" w16cid:durableId="49236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B16"/>
    <w:rsid w:val="00046700"/>
    <w:rsid w:val="00054599"/>
    <w:rsid w:val="00086B16"/>
    <w:rsid w:val="000C6EFA"/>
    <w:rsid w:val="001812B4"/>
    <w:rsid w:val="001E0B4C"/>
    <w:rsid w:val="00213A03"/>
    <w:rsid w:val="00237B27"/>
    <w:rsid w:val="004B22D9"/>
    <w:rsid w:val="004E5A57"/>
    <w:rsid w:val="005C6A4E"/>
    <w:rsid w:val="005F0A96"/>
    <w:rsid w:val="00675A0D"/>
    <w:rsid w:val="00686B9D"/>
    <w:rsid w:val="00691439"/>
    <w:rsid w:val="008274DF"/>
    <w:rsid w:val="008B70B9"/>
    <w:rsid w:val="008C6858"/>
    <w:rsid w:val="00B03241"/>
    <w:rsid w:val="00B22351"/>
    <w:rsid w:val="00BB778A"/>
    <w:rsid w:val="00BC3FFD"/>
    <w:rsid w:val="00BF40DC"/>
    <w:rsid w:val="00BF672D"/>
    <w:rsid w:val="00C643CC"/>
    <w:rsid w:val="00C80E0E"/>
    <w:rsid w:val="00D50EA8"/>
    <w:rsid w:val="00E25E9B"/>
    <w:rsid w:val="00F840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27CFC"/>
  <w15:docId w15:val="{0B6CEC06-84C6-4E78-BB53-DAAD26706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customStyle="1" w:styleId="TableGrid1">
    <w:name w:val="Table Grid1"/>
    <w:basedOn w:val="TableNormal"/>
    <w:next w:val="TableGrid"/>
    <w:uiPriority w:val="39"/>
    <w:rsid w:val="00D50EA8"/>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50E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274DF"/>
    <w:rPr>
      <w:color w:val="605E5C"/>
      <w:shd w:val="clear" w:color="auto" w:fill="E1DFDD"/>
    </w:rPr>
  </w:style>
  <w:style w:type="paragraph" w:styleId="Header">
    <w:name w:val="header"/>
    <w:basedOn w:val="Normal"/>
    <w:link w:val="HeaderChar"/>
    <w:uiPriority w:val="99"/>
    <w:unhideWhenUsed/>
    <w:rsid w:val="00B03241"/>
    <w:pPr>
      <w:tabs>
        <w:tab w:val="center" w:pos="4513"/>
        <w:tab w:val="right" w:pos="9026"/>
      </w:tabs>
    </w:pPr>
  </w:style>
  <w:style w:type="character" w:customStyle="1" w:styleId="HeaderChar">
    <w:name w:val="Header Char"/>
    <w:basedOn w:val="DefaultParagraphFont"/>
    <w:link w:val="Header"/>
    <w:uiPriority w:val="99"/>
    <w:rsid w:val="00B03241"/>
  </w:style>
  <w:style w:type="paragraph" w:styleId="Footer">
    <w:name w:val="footer"/>
    <w:basedOn w:val="Normal"/>
    <w:link w:val="FooterChar"/>
    <w:uiPriority w:val="99"/>
    <w:unhideWhenUsed/>
    <w:rsid w:val="00B03241"/>
    <w:pPr>
      <w:tabs>
        <w:tab w:val="center" w:pos="4513"/>
        <w:tab w:val="right" w:pos="9026"/>
      </w:tabs>
    </w:pPr>
  </w:style>
  <w:style w:type="character" w:customStyle="1" w:styleId="FooterChar">
    <w:name w:val="Footer Char"/>
    <w:basedOn w:val="DefaultParagraphFont"/>
    <w:link w:val="Footer"/>
    <w:uiPriority w:val="99"/>
    <w:rsid w:val="00B03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b="1">
                <a:solidFill>
                  <a:schemeClr val="tx1"/>
                </a:solidFill>
                <a:latin typeface="Times New Roman" panose="02020603050405020304" pitchFamily="18" charset="0"/>
                <a:cs typeface="Times New Roman" panose="02020603050405020304" pitchFamily="18" charset="0"/>
              </a:rPr>
              <a:t>Figure 1: Pest intensity and production of tomato on untreated plants against </a:t>
            </a:r>
            <a:r>
              <a:rPr lang="en-US" b="1" i="1">
                <a:solidFill>
                  <a:schemeClr val="tx1"/>
                </a:solidFill>
                <a:latin typeface="Times New Roman" panose="02020603050405020304" pitchFamily="18" charset="0"/>
                <a:cs typeface="Times New Roman" panose="02020603050405020304" pitchFamily="18" charset="0"/>
              </a:rPr>
              <a:t>Spodoptera litura</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strRef>
              <c:f>Sheet1!$A$21</c:f>
              <c:strCache>
                <c:ptCount val="1"/>
                <c:pt idx="0">
                  <c:v>Pusa Gaurav</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Sheet1!$B$21:$O$21</c:f>
              <c:numCache>
                <c:formatCode>General</c:formatCode>
                <c:ptCount val="14"/>
                <c:pt idx="0">
                  <c:v>0.02</c:v>
                </c:pt>
                <c:pt idx="1">
                  <c:v>0.2</c:v>
                </c:pt>
                <c:pt idx="2">
                  <c:v>0.67</c:v>
                </c:pt>
                <c:pt idx="3">
                  <c:v>0.41</c:v>
                </c:pt>
                <c:pt idx="4">
                  <c:v>0.83</c:v>
                </c:pt>
                <c:pt idx="5">
                  <c:v>0.99</c:v>
                </c:pt>
                <c:pt idx="6">
                  <c:v>0.38</c:v>
                </c:pt>
                <c:pt idx="7">
                  <c:v>0.55000000000000004</c:v>
                </c:pt>
                <c:pt idx="8">
                  <c:v>0.67</c:v>
                </c:pt>
                <c:pt idx="9">
                  <c:v>0.42</c:v>
                </c:pt>
                <c:pt idx="10">
                  <c:v>0.51</c:v>
                </c:pt>
                <c:pt idx="11">
                  <c:v>0.44</c:v>
                </c:pt>
                <c:pt idx="12">
                  <c:v>0.5</c:v>
                </c:pt>
                <c:pt idx="13">
                  <c:v>17.55</c:v>
                </c:pt>
              </c:numCache>
            </c:numRef>
          </c:val>
          <c:extLst>
            <c:ext xmlns:c16="http://schemas.microsoft.com/office/drawing/2014/chart" uri="{C3380CC4-5D6E-409C-BE32-E72D297353CC}">
              <c16:uniqueId val="{00000000-F40B-42C6-B8FA-A1ADE6A0772E}"/>
            </c:ext>
          </c:extLst>
        </c:ser>
        <c:ser>
          <c:idx val="1"/>
          <c:order val="1"/>
          <c:tx>
            <c:strRef>
              <c:f>Sheet1!$A$22</c:f>
              <c:strCache>
                <c:ptCount val="1"/>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Sheet1!$B$22:$O$22</c:f>
              <c:numCache>
                <c:formatCode>General</c:formatCode>
                <c:ptCount val="14"/>
                <c:pt idx="0">
                  <c:v>0.41</c:v>
                </c:pt>
                <c:pt idx="1">
                  <c:v>0.57999999999999996</c:v>
                </c:pt>
                <c:pt idx="2">
                  <c:v>0.73</c:v>
                </c:pt>
                <c:pt idx="3">
                  <c:v>1.38</c:v>
                </c:pt>
                <c:pt idx="4">
                  <c:v>1.63</c:v>
                </c:pt>
                <c:pt idx="5">
                  <c:v>1.49</c:v>
                </c:pt>
                <c:pt idx="6">
                  <c:v>1.5</c:v>
                </c:pt>
                <c:pt idx="7">
                  <c:v>1.08</c:v>
                </c:pt>
                <c:pt idx="8">
                  <c:v>1.18</c:v>
                </c:pt>
                <c:pt idx="9">
                  <c:v>0.61</c:v>
                </c:pt>
                <c:pt idx="10">
                  <c:v>0.55000000000000004</c:v>
                </c:pt>
                <c:pt idx="11">
                  <c:v>0.48</c:v>
                </c:pt>
                <c:pt idx="12">
                  <c:v>0.96</c:v>
                </c:pt>
              </c:numCache>
            </c:numRef>
          </c:val>
          <c:extLst>
            <c:ext xmlns:c16="http://schemas.microsoft.com/office/drawing/2014/chart" uri="{C3380CC4-5D6E-409C-BE32-E72D297353CC}">
              <c16:uniqueId val="{00000001-F40B-42C6-B8FA-A1ADE6A0772E}"/>
            </c:ext>
          </c:extLst>
        </c:ser>
        <c:ser>
          <c:idx val="2"/>
          <c:order val="2"/>
          <c:tx>
            <c:strRef>
              <c:f>Sheet1!$A$23</c:f>
              <c:strCache>
                <c:ptCount val="1"/>
                <c:pt idx="0">
                  <c:v>Ratna</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Sheet1!$B$23:$O$23</c:f>
              <c:numCache>
                <c:formatCode>General</c:formatCode>
                <c:ptCount val="14"/>
                <c:pt idx="0">
                  <c:v>0.28999999999999998</c:v>
                </c:pt>
                <c:pt idx="1">
                  <c:v>0.25</c:v>
                </c:pt>
                <c:pt idx="2">
                  <c:v>0.45</c:v>
                </c:pt>
                <c:pt idx="3">
                  <c:v>0.18</c:v>
                </c:pt>
                <c:pt idx="4">
                  <c:v>0.99</c:v>
                </c:pt>
                <c:pt idx="5">
                  <c:v>1.04</c:v>
                </c:pt>
                <c:pt idx="6">
                  <c:v>1.39</c:v>
                </c:pt>
                <c:pt idx="7">
                  <c:v>1.48</c:v>
                </c:pt>
                <c:pt idx="8">
                  <c:v>1.01</c:v>
                </c:pt>
                <c:pt idx="9">
                  <c:v>0.97</c:v>
                </c:pt>
                <c:pt idx="10">
                  <c:v>0.69</c:v>
                </c:pt>
                <c:pt idx="11">
                  <c:v>0.61</c:v>
                </c:pt>
                <c:pt idx="12">
                  <c:v>0.77</c:v>
                </c:pt>
                <c:pt idx="13">
                  <c:v>17.55</c:v>
                </c:pt>
              </c:numCache>
            </c:numRef>
          </c:val>
          <c:extLst>
            <c:ext xmlns:c16="http://schemas.microsoft.com/office/drawing/2014/chart" uri="{C3380CC4-5D6E-409C-BE32-E72D297353CC}">
              <c16:uniqueId val="{00000002-F40B-42C6-B8FA-A1ADE6A0772E}"/>
            </c:ext>
          </c:extLst>
        </c:ser>
        <c:ser>
          <c:idx val="3"/>
          <c:order val="3"/>
          <c:tx>
            <c:strRef>
              <c:f>Sheet1!$A$24</c:f>
              <c:strCache>
                <c:ptCount val="1"/>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Sheet1!$B$24:$O$24</c:f>
              <c:numCache>
                <c:formatCode>General</c:formatCode>
                <c:ptCount val="14"/>
                <c:pt idx="0">
                  <c:v>0.27</c:v>
                </c:pt>
                <c:pt idx="1">
                  <c:v>0.39</c:v>
                </c:pt>
                <c:pt idx="2">
                  <c:v>1.46</c:v>
                </c:pt>
                <c:pt idx="3">
                  <c:v>0.84</c:v>
                </c:pt>
                <c:pt idx="4">
                  <c:v>1.26</c:v>
                </c:pt>
                <c:pt idx="5">
                  <c:v>1.21</c:v>
                </c:pt>
                <c:pt idx="6">
                  <c:v>1.59</c:v>
                </c:pt>
                <c:pt idx="7">
                  <c:v>1.2</c:v>
                </c:pt>
                <c:pt idx="8">
                  <c:v>1.08</c:v>
                </c:pt>
                <c:pt idx="9">
                  <c:v>0.61</c:v>
                </c:pt>
                <c:pt idx="10">
                  <c:v>0.41</c:v>
                </c:pt>
                <c:pt idx="11">
                  <c:v>0.32</c:v>
                </c:pt>
                <c:pt idx="12">
                  <c:v>0.32</c:v>
                </c:pt>
              </c:numCache>
            </c:numRef>
          </c:val>
          <c:extLst>
            <c:ext xmlns:c16="http://schemas.microsoft.com/office/drawing/2014/chart" uri="{C3380CC4-5D6E-409C-BE32-E72D297353CC}">
              <c16:uniqueId val="{00000003-F40B-42C6-B8FA-A1ADE6A0772E}"/>
            </c:ext>
          </c:extLst>
        </c:ser>
        <c:ser>
          <c:idx val="4"/>
          <c:order val="4"/>
          <c:tx>
            <c:strRef>
              <c:f>Sheet1!$A$25</c:f>
              <c:strCache>
                <c:ptCount val="1"/>
                <c:pt idx="0">
                  <c:v>Arka Saurabh</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Sheet1!$B$25:$O$25</c:f>
              <c:numCache>
                <c:formatCode>General</c:formatCode>
                <c:ptCount val="14"/>
                <c:pt idx="0">
                  <c:v>0.02</c:v>
                </c:pt>
                <c:pt idx="1">
                  <c:v>0.01</c:v>
                </c:pt>
                <c:pt idx="2">
                  <c:v>0.15</c:v>
                </c:pt>
                <c:pt idx="3">
                  <c:v>0.31</c:v>
                </c:pt>
                <c:pt idx="4">
                  <c:v>0.48</c:v>
                </c:pt>
                <c:pt idx="5">
                  <c:v>0.47</c:v>
                </c:pt>
                <c:pt idx="6">
                  <c:v>0.31</c:v>
                </c:pt>
                <c:pt idx="7">
                  <c:v>0.61</c:v>
                </c:pt>
                <c:pt idx="8">
                  <c:v>0.63</c:v>
                </c:pt>
                <c:pt idx="9">
                  <c:v>0.55000000000000004</c:v>
                </c:pt>
                <c:pt idx="10">
                  <c:v>0.48</c:v>
                </c:pt>
                <c:pt idx="11">
                  <c:v>0.46</c:v>
                </c:pt>
                <c:pt idx="12">
                  <c:v>0.37</c:v>
                </c:pt>
                <c:pt idx="13">
                  <c:v>15.4</c:v>
                </c:pt>
              </c:numCache>
            </c:numRef>
          </c:val>
          <c:extLst>
            <c:ext xmlns:c16="http://schemas.microsoft.com/office/drawing/2014/chart" uri="{C3380CC4-5D6E-409C-BE32-E72D297353CC}">
              <c16:uniqueId val="{00000004-F40B-42C6-B8FA-A1ADE6A0772E}"/>
            </c:ext>
          </c:extLst>
        </c:ser>
        <c:ser>
          <c:idx val="5"/>
          <c:order val="5"/>
          <c:tx>
            <c:strRef>
              <c:f>Sheet1!$A$26</c:f>
              <c:strCache>
                <c:ptCount val="1"/>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Sheet1!$B$26:$O$26</c:f>
              <c:numCache>
                <c:formatCode>General</c:formatCode>
                <c:ptCount val="14"/>
                <c:pt idx="0">
                  <c:v>0.32</c:v>
                </c:pt>
                <c:pt idx="1">
                  <c:v>0.42</c:v>
                </c:pt>
                <c:pt idx="2">
                  <c:v>0.3</c:v>
                </c:pt>
                <c:pt idx="3">
                  <c:v>0.39</c:v>
                </c:pt>
                <c:pt idx="4">
                  <c:v>0.7</c:v>
                </c:pt>
                <c:pt idx="5">
                  <c:v>0.41</c:v>
                </c:pt>
                <c:pt idx="6">
                  <c:v>0.51</c:v>
                </c:pt>
                <c:pt idx="7">
                  <c:v>0.39</c:v>
                </c:pt>
                <c:pt idx="8">
                  <c:v>0.43</c:v>
                </c:pt>
                <c:pt idx="9">
                  <c:v>0.32</c:v>
                </c:pt>
                <c:pt idx="10">
                  <c:v>0.28999999999999998</c:v>
                </c:pt>
                <c:pt idx="11">
                  <c:v>0.27</c:v>
                </c:pt>
                <c:pt idx="12">
                  <c:v>0.39</c:v>
                </c:pt>
              </c:numCache>
            </c:numRef>
          </c:val>
          <c:extLst>
            <c:ext xmlns:c16="http://schemas.microsoft.com/office/drawing/2014/chart" uri="{C3380CC4-5D6E-409C-BE32-E72D297353CC}">
              <c16:uniqueId val="{00000005-F40B-42C6-B8FA-A1ADE6A0772E}"/>
            </c:ext>
          </c:extLst>
        </c:ser>
        <c:ser>
          <c:idx val="6"/>
          <c:order val="6"/>
          <c:tx>
            <c:strRef>
              <c:f>Sheet1!$A$27</c:f>
              <c:strCache>
                <c:ptCount val="1"/>
                <c:pt idx="0">
                  <c:v>Pant Bahar</c:v>
                </c:pt>
              </c:strCache>
            </c:strRef>
          </c:tx>
          <c:spPr>
            <a:solidFill>
              <a:schemeClr val="accent1">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Sheet1!$B$27:$O$27</c:f>
              <c:numCache>
                <c:formatCode>General</c:formatCode>
                <c:ptCount val="14"/>
                <c:pt idx="0">
                  <c:v>0.1</c:v>
                </c:pt>
                <c:pt idx="1">
                  <c:v>0.2</c:v>
                </c:pt>
                <c:pt idx="2">
                  <c:v>0.41</c:v>
                </c:pt>
                <c:pt idx="3">
                  <c:v>0.22</c:v>
                </c:pt>
                <c:pt idx="4">
                  <c:v>0.68</c:v>
                </c:pt>
                <c:pt idx="5">
                  <c:v>0.76</c:v>
                </c:pt>
                <c:pt idx="6">
                  <c:v>0.67</c:v>
                </c:pt>
                <c:pt idx="7">
                  <c:v>0.75</c:v>
                </c:pt>
                <c:pt idx="8">
                  <c:v>0.81</c:v>
                </c:pt>
                <c:pt idx="9">
                  <c:v>0.72</c:v>
                </c:pt>
                <c:pt idx="10">
                  <c:v>0.64</c:v>
                </c:pt>
                <c:pt idx="11">
                  <c:v>0.65</c:v>
                </c:pt>
                <c:pt idx="12">
                  <c:v>0.54</c:v>
                </c:pt>
                <c:pt idx="13">
                  <c:v>18.95</c:v>
                </c:pt>
              </c:numCache>
            </c:numRef>
          </c:val>
          <c:extLst>
            <c:ext xmlns:c16="http://schemas.microsoft.com/office/drawing/2014/chart" uri="{C3380CC4-5D6E-409C-BE32-E72D297353CC}">
              <c16:uniqueId val="{00000006-F40B-42C6-B8FA-A1ADE6A0772E}"/>
            </c:ext>
          </c:extLst>
        </c:ser>
        <c:ser>
          <c:idx val="7"/>
          <c:order val="7"/>
          <c:tx>
            <c:strRef>
              <c:f>Sheet1!$A$28</c:f>
              <c:strCache>
                <c:ptCount val="1"/>
              </c:strCache>
            </c:strRef>
          </c:tx>
          <c:spPr>
            <a:solidFill>
              <a:schemeClr val="accent2">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Sheet1!$B$28:$O$28</c:f>
              <c:numCache>
                <c:formatCode>General</c:formatCode>
                <c:ptCount val="14"/>
                <c:pt idx="0">
                  <c:v>0.2</c:v>
                </c:pt>
                <c:pt idx="1">
                  <c:v>0.31</c:v>
                </c:pt>
                <c:pt idx="2">
                  <c:v>0.28000000000000003</c:v>
                </c:pt>
                <c:pt idx="3">
                  <c:v>0.27</c:v>
                </c:pt>
                <c:pt idx="4">
                  <c:v>0.3</c:v>
                </c:pt>
                <c:pt idx="5">
                  <c:v>0.28999999999999998</c:v>
                </c:pt>
                <c:pt idx="6">
                  <c:v>0.5</c:v>
                </c:pt>
                <c:pt idx="7">
                  <c:v>0.28999999999999998</c:v>
                </c:pt>
                <c:pt idx="8">
                  <c:v>0.3</c:v>
                </c:pt>
                <c:pt idx="9">
                  <c:v>0.32</c:v>
                </c:pt>
                <c:pt idx="10">
                  <c:v>0.31</c:v>
                </c:pt>
                <c:pt idx="11">
                  <c:v>0.28000000000000003</c:v>
                </c:pt>
                <c:pt idx="12">
                  <c:v>0.28000000000000003</c:v>
                </c:pt>
              </c:numCache>
            </c:numRef>
          </c:val>
          <c:extLst>
            <c:ext xmlns:c16="http://schemas.microsoft.com/office/drawing/2014/chart" uri="{C3380CC4-5D6E-409C-BE32-E72D297353CC}">
              <c16:uniqueId val="{00000007-F40B-42C6-B8FA-A1ADE6A0772E}"/>
            </c:ext>
          </c:extLst>
        </c:ser>
        <c:ser>
          <c:idx val="8"/>
          <c:order val="8"/>
          <c:tx>
            <c:strRef>
              <c:f>Sheet1!$A$29</c:f>
              <c:strCache>
                <c:ptCount val="1"/>
                <c:pt idx="0">
                  <c:v>Arka Abha</c:v>
                </c:pt>
              </c:strCache>
            </c:strRef>
          </c:tx>
          <c:spPr>
            <a:solidFill>
              <a:schemeClr val="accent3">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Sheet1!$B$29:$O$29</c:f>
              <c:numCache>
                <c:formatCode>General</c:formatCode>
                <c:ptCount val="14"/>
                <c:pt idx="0">
                  <c:v>0.28000000000000003</c:v>
                </c:pt>
                <c:pt idx="1">
                  <c:v>0.28999999999999998</c:v>
                </c:pt>
                <c:pt idx="2">
                  <c:v>0.57999999999999996</c:v>
                </c:pt>
                <c:pt idx="3">
                  <c:v>0.34</c:v>
                </c:pt>
                <c:pt idx="4">
                  <c:v>1.04</c:v>
                </c:pt>
                <c:pt idx="5">
                  <c:v>1.25</c:v>
                </c:pt>
                <c:pt idx="6">
                  <c:v>0.48</c:v>
                </c:pt>
                <c:pt idx="7">
                  <c:v>0.06</c:v>
                </c:pt>
                <c:pt idx="8">
                  <c:v>0.61</c:v>
                </c:pt>
                <c:pt idx="9">
                  <c:v>0.48</c:v>
                </c:pt>
                <c:pt idx="10">
                  <c:v>0.43</c:v>
                </c:pt>
                <c:pt idx="11">
                  <c:v>0.44</c:v>
                </c:pt>
                <c:pt idx="12">
                  <c:v>0.52</c:v>
                </c:pt>
                <c:pt idx="13">
                  <c:v>16.8</c:v>
                </c:pt>
              </c:numCache>
            </c:numRef>
          </c:val>
          <c:extLst>
            <c:ext xmlns:c16="http://schemas.microsoft.com/office/drawing/2014/chart" uri="{C3380CC4-5D6E-409C-BE32-E72D297353CC}">
              <c16:uniqueId val="{00000008-F40B-42C6-B8FA-A1ADE6A0772E}"/>
            </c:ext>
          </c:extLst>
        </c:ser>
        <c:ser>
          <c:idx val="9"/>
          <c:order val="9"/>
          <c:tx>
            <c:strRef>
              <c:f>Sheet1!$A$30</c:f>
              <c:strCache>
                <c:ptCount val="1"/>
              </c:strCache>
            </c:strRef>
          </c:tx>
          <c:spPr>
            <a:solidFill>
              <a:schemeClr val="accent4">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Sheet1!$B$30:$O$30</c:f>
              <c:numCache>
                <c:formatCode>General</c:formatCode>
                <c:ptCount val="14"/>
                <c:pt idx="0">
                  <c:v>0.39</c:v>
                </c:pt>
                <c:pt idx="1">
                  <c:v>0.32</c:v>
                </c:pt>
                <c:pt idx="2">
                  <c:v>0.3</c:v>
                </c:pt>
                <c:pt idx="3">
                  <c:v>0.39</c:v>
                </c:pt>
                <c:pt idx="4">
                  <c:v>0.28000000000000003</c:v>
                </c:pt>
                <c:pt idx="5">
                  <c:v>0.46</c:v>
                </c:pt>
                <c:pt idx="6">
                  <c:v>0.63</c:v>
                </c:pt>
                <c:pt idx="7">
                  <c:v>0.51</c:v>
                </c:pt>
                <c:pt idx="8">
                  <c:v>0.4</c:v>
                </c:pt>
                <c:pt idx="9">
                  <c:v>0.41</c:v>
                </c:pt>
                <c:pt idx="10">
                  <c:v>0.42</c:v>
                </c:pt>
                <c:pt idx="11">
                  <c:v>0.39</c:v>
                </c:pt>
                <c:pt idx="12">
                  <c:v>0.4</c:v>
                </c:pt>
              </c:numCache>
            </c:numRef>
          </c:val>
          <c:extLst>
            <c:ext xmlns:c16="http://schemas.microsoft.com/office/drawing/2014/chart" uri="{C3380CC4-5D6E-409C-BE32-E72D297353CC}">
              <c16:uniqueId val="{00000009-F40B-42C6-B8FA-A1ADE6A0772E}"/>
            </c:ext>
          </c:extLst>
        </c:ser>
        <c:ser>
          <c:idx val="10"/>
          <c:order val="10"/>
          <c:tx>
            <c:strRef>
              <c:f>Sheet1!$A$31</c:f>
              <c:strCache>
                <c:ptCount val="1"/>
                <c:pt idx="0">
                  <c:v>Control</c:v>
                </c:pt>
              </c:strCache>
            </c:strRef>
          </c:tx>
          <c:spPr>
            <a:solidFill>
              <a:schemeClr val="accent5">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Sheet1!$B$31:$O$31</c:f>
              <c:numCache>
                <c:formatCode>General</c:formatCode>
                <c:ptCount val="14"/>
                <c:pt idx="0">
                  <c:v>0.27</c:v>
                </c:pt>
                <c:pt idx="1">
                  <c:v>0.28000000000000003</c:v>
                </c:pt>
                <c:pt idx="2">
                  <c:v>0.55000000000000004</c:v>
                </c:pt>
                <c:pt idx="3">
                  <c:v>0.33</c:v>
                </c:pt>
                <c:pt idx="4">
                  <c:v>1.03</c:v>
                </c:pt>
                <c:pt idx="5">
                  <c:v>1.22</c:v>
                </c:pt>
                <c:pt idx="6">
                  <c:v>0.48</c:v>
                </c:pt>
                <c:pt idx="7">
                  <c:v>0.4</c:v>
                </c:pt>
                <c:pt idx="8">
                  <c:v>0.6</c:v>
                </c:pt>
                <c:pt idx="9">
                  <c:v>0.47</c:v>
                </c:pt>
                <c:pt idx="10">
                  <c:v>0.42</c:v>
                </c:pt>
                <c:pt idx="11">
                  <c:v>0.43</c:v>
                </c:pt>
                <c:pt idx="12">
                  <c:v>0.54</c:v>
                </c:pt>
                <c:pt idx="13">
                  <c:v>13.4</c:v>
                </c:pt>
              </c:numCache>
            </c:numRef>
          </c:val>
          <c:extLst>
            <c:ext xmlns:c16="http://schemas.microsoft.com/office/drawing/2014/chart" uri="{C3380CC4-5D6E-409C-BE32-E72D297353CC}">
              <c16:uniqueId val="{0000000A-F40B-42C6-B8FA-A1ADE6A0772E}"/>
            </c:ext>
          </c:extLst>
        </c:ser>
        <c:ser>
          <c:idx val="11"/>
          <c:order val="11"/>
          <c:tx>
            <c:strRef>
              <c:f>Sheet1!$A$32</c:f>
              <c:strCache>
                <c:ptCount val="1"/>
              </c:strCache>
            </c:strRef>
          </c:tx>
          <c:spPr>
            <a:solidFill>
              <a:schemeClr val="accent6">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Sheet1!$B$18:$O$20</c:f>
              <c:multiLvlStrCache>
                <c:ptCount val="14"/>
                <c:lvl>
                  <c:pt idx="0">
                    <c:v>20-01-2017</c:v>
                  </c:pt>
                  <c:pt idx="1">
                    <c:v>27-01-2017</c:v>
                  </c:pt>
                  <c:pt idx="2">
                    <c:v>3/2/2017</c:v>
                  </c:pt>
                  <c:pt idx="3">
                    <c:v>10/2/2017</c:v>
                  </c:pt>
                  <c:pt idx="4">
                    <c:v>17-02-2017</c:v>
                  </c:pt>
                  <c:pt idx="5">
                    <c:v>24-02-2017</c:v>
                  </c:pt>
                  <c:pt idx="6">
                    <c:v>3/3/2017</c:v>
                  </c:pt>
                  <c:pt idx="7">
                    <c:v>10/3/2017</c:v>
                  </c:pt>
                  <c:pt idx="8">
                    <c:v>17-03-2017</c:v>
                  </c:pt>
                  <c:pt idx="9">
                    <c:v>24-03-2017</c:v>
                  </c:pt>
                  <c:pt idx="10">
                    <c:v>31-03-2017</c:v>
                  </c:pt>
                  <c:pt idx="11">
                    <c:v>7/4/2017</c:v>
                  </c:pt>
                  <c:pt idx="12">
                    <c:v>Mean</c:v>
                  </c:pt>
                </c:lvl>
                <c:lvl>
                  <c:pt idx="0">
                    <c:v>Pest intensity of fruit borer/plant on different date</c:v>
                  </c:pt>
                  <c:pt idx="13">
                    <c:v>Yield (Kg)</c:v>
                  </c:pt>
                </c:lvl>
              </c:multiLvlStrCache>
            </c:multiLvlStrRef>
          </c:cat>
          <c:val>
            <c:numRef>
              <c:f>Sheet1!$B$32:$O$32</c:f>
              <c:numCache>
                <c:formatCode>General</c:formatCode>
                <c:ptCount val="14"/>
                <c:pt idx="0">
                  <c:v>0.38</c:v>
                </c:pt>
                <c:pt idx="1">
                  <c:v>0.3</c:v>
                </c:pt>
                <c:pt idx="2">
                  <c:v>0.28999999999999998</c:v>
                </c:pt>
                <c:pt idx="3">
                  <c:v>0.37</c:v>
                </c:pt>
                <c:pt idx="4">
                  <c:v>0.28000000000000003</c:v>
                </c:pt>
                <c:pt idx="5">
                  <c:v>0.45</c:v>
                </c:pt>
                <c:pt idx="6">
                  <c:v>0.59</c:v>
                </c:pt>
                <c:pt idx="7">
                  <c:v>0.48</c:v>
                </c:pt>
                <c:pt idx="8">
                  <c:v>0.38</c:v>
                </c:pt>
                <c:pt idx="9">
                  <c:v>0.39</c:v>
                </c:pt>
                <c:pt idx="10">
                  <c:v>0.41</c:v>
                </c:pt>
                <c:pt idx="11">
                  <c:v>0.39</c:v>
                </c:pt>
                <c:pt idx="12">
                  <c:v>0.39</c:v>
                </c:pt>
              </c:numCache>
            </c:numRef>
          </c:val>
          <c:extLst>
            <c:ext xmlns:c16="http://schemas.microsoft.com/office/drawing/2014/chart" uri="{C3380CC4-5D6E-409C-BE32-E72D297353CC}">
              <c16:uniqueId val="{0000000B-F40B-42C6-B8FA-A1ADE6A0772E}"/>
            </c:ext>
          </c:extLst>
        </c:ser>
        <c:dLbls>
          <c:showLegendKey val="0"/>
          <c:showVal val="1"/>
          <c:showCatName val="0"/>
          <c:showSerName val="0"/>
          <c:showPercent val="0"/>
          <c:showBubbleSize val="0"/>
        </c:dLbls>
        <c:gapWidth val="150"/>
        <c:shape val="box"/>
        <c:axId val="478030312"/>
        <c:axId val="478034248"/>
        <c:axId val="0"/>
      </c:bar3DChart>
      <c:catAx>
        <c:axId val="4780303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8034248"/>
        <c:crosses val="autoZero"/>
        <c:auto val="1"/>
        <c:lblAlgn val="ctr"/>
        <c:lblOffset val="100"/>
        <c:noMultiLvlLbl val="0"/>
      </c:catAx>
      <c:valAx>
        <c:axId val="478034248"/>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478030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12</Pages>
  <Words>3910</Words>
  <Characters>22293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17</cp:revision>
  <dcterms:created xsi:type="dcterms:W3CDTF">2026-08-04T07:05:00Z</dcterms:created>
  <dcterms:modified xsi:type="dcterms:W3CDTF">2026-08-06T13:23:00Z</dcterms:modified>
</cp:coreProperties>
</file>