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6CCC" w14:textId="1F72AB19" w:rsidR="00F2273E" w:rsidRDefault="00F2273E" w:rsidP="00226E12">
      <w:pPr>
        <w:pBdr>
          <w:top w:val="nil"/>
          <w:left w:val="nil"/>
          <w:bottom w:val="nil"/>
          <w:right w:val="nil"/>
          <w:between w:val="nil"/>
        </w:pBdr>
        <w:spacing w:after="0" w:line="276" w:lineRule="auto"/>
        <w:jc w:val="center"/>
        <w:rPr>
          <w:rFonts w:ascii="Times New Roman" w:hAnsi="Times New Roman" w:cs="Times New Roman"/>
          <w:b/>
          <w:bCs/>
          <w:color w:val="000000"/>
          <w:sz w:val="24"/>
          <w:szCs w:val="24"/>
        </w:rPr>
      </w:pPr>
      <w:r>
        <w:rPr>
          <w:rFonts w:ascii="Times New Roman" w:hAnsi="Times New Roman" w:cs="Times New Roman"/>
          <w:sz w:val="20"/>
        </w:rPr>
        <w:t>Original Research Article</w:t>
      </w:r>
    </w:p>
    <w:p w14:paraId="78A59391" w14:textId="3863426F" w:rsidR="00226E12" w:rsidRPr="00C32F46" w:rsidRDefault="00226E12" w:rsidP="00226E12">
      <w:pPr>
        <w:pBdr>
          <w:top w:val="nil"/>
          <w:left w:val="nil"/>
          <w:bottom w:val="nil"/>
          <w:right w:val="nil"/>
          <w:between w:val="nil"/>
        </w:pBdr>
        <w:spacing w:after="0" w:line="276" w:lineRule="auto"/>
        <w:jc w:val="center"/>
        <w:rPr>
          <w:rFonts w:ascii="Times New Roman" w:hAnsi="Times New Roman" w:cs="Times New Roman"/>
          <w:b/>
          <w:bCs/>
          <w:color w:val="000000"/>
          <w:sz w:val="24"/>
          <w:szCs w:val="24"/>
        </w:rPr>
      </w:pPr>
      <w:r w:rsidRPr="00C32F46">
        <w:rPr>
          <w:rFonts w:ascii="Times New Roman" w:hAnsi="Times New Roman" w:cs="Times New Roman"/>
          <w:b/>
          <w:bCs/>
          <w:color w:val="000000"/>
          <w:sz w:val="24"/>
          <w:szCs w:val="24"/>
        </w:rPr>
        <w:t xml:space="preserve">Optimization of </w:t>
      </w:r>
      <w:r w:rsidR="00F05F8D" w:rsidRPr="00C32F46">
        <w:rPr>
          <w:rFonts w:ascii="Times New Roman" w:hAnsi="Times New Roman" w:cs="Times New Roman"/>
          <w:b/>
          <w:bCs/>
          <w:i/>
          <w:iCs/>
          <w:color w:val="000000"/>
          <w:sz w:val="24"/>
          <w:szCs w:val="24"/>
        </w:rPr>
        <w:t>Pangasius</w:t>
      </w:r>
      <w:r w:rsidR="00F05F8D" w:rsidRPr="00C32F46">
        <w:rPr>
          <w:rFonts w:ascii="Times New Roman" w:hAnsi="Times New Roman" w:cs="Times New Roman"/>
          <w:b/>
          <w:bCs/>
          <w:color w:val="000000"/>
          <w:sz w:val="24"/>
          <w:szCs w:val="24"/>
        </w:rPr>
        <w:t xml:space="preserve"> </w:t>
      </w:r>
      <w:r w:rsidRPr="00C32F46">
        <w:rPr>
          <w:rFonts w:ascii="Times New Roman" w:hAnsi="Times New Roman" w:cs="Times New Roman"/>
          <w:b/>
          <w:bCs/>
          <w:color w:val="000000"/>
          <w:sz w:val="24"/>
          <w:szCs w:val="24"/>
        </w:rPr>
        <w:t>Cage Culture</w:t>
      </w:r>
      <w:r w:rsidR="00F05F8D" w:rsidRPr="00C32F46">
        <w:rPr>
          <w:rFonts w:ascii="Times New Roman" w:hAnsi="Times New Roman" w:cs="Times New Roman"/>
          <w:b/>
          <w:bCs/>
          <w:color w:val="000000"/>
          <w:sz w:val="24"/>
          <w:szCs w:val="24"/>
        </w:rPr>
        <w:t xml:space="preserve"> </w:t>
      </w:r>
      <w:r w:rsidRPr="00C32F46">
        <w:rPr>
          <w:rFonts w:ascii="Times New Roman" w:hAnsi="Times New Roman" w:cs="Times New Roman"/>
          <w:b/>
          <w:bCs/>
          <w:color w:val="000000"/>
          <w:sz w:val="24"/>
          <w:szCs w:val="24"/>
        </w:rPr>
        <w:t>in Irrigation Canal: Structural Integration and Fish Productivity</w:t>
      </w:r>
    </w:p>
    <w:p w14:paraId="1FC7E166" w14:textId="77777777" w:rsidR="00B045C2" w:rsidRDefault="00B045C2" w:rsidP="00226E12">
      <w:pPr>
        <w:pBdr>
          <w:top w:val="nil"/>
          <w:left w:val="nil"/>
          <w:bottom w:val="nil"/>
          <w:right w:val="nil"/>
          <w:between w:val="nil"/>
        </w:pBdr>
        <w:spacing w:after="0" w:line="276" w:lineRule="auto"/>
        <w:jc w:val="center"/>
        <w:rPr>
          <w:rFonts w:ascii="Times New Roman" w:eastAsia="Times New Roman" w:hAnsi="Times New Roman" w:cs="Times New Roman"/>
          <w:b/>
          <w:color w:val="000000"/>
          <w:sz w:val="24"/>
          <w:szCs w:val="24"/>
        </w:rPr>
      </w:pPr>
    </w:p>
    <w:p w14:paraId="29C0897D" w14:textId="223EEB11" w:rsidR="00226E12" w:rsidRPr="00C32F46" w:rsidRDefault="00226E12" w:rsidP="00226E12">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sidRPr="00C32F46">
        <w:rPr>
          <w:rFonts w:ascii="Times New Roman" w:eastAsia="Times New Roman" w:hAnsi="Times New Roman" w:cs="Times New Roman"/>
          <w:b/>
          <w:color w:val="000000"/>
          <w:sz w:val="24"/>
          <w:szCs w:val="24"/>
        </w:rPr>
        <w:t>Abstract</w:t>
      </w:r>
    </w:p>
    <w:p w14:paraId="6C7D1390" w14:textId="211705F6" w:rsidR="00226E12" w:rsidRPr="00C32F46" w:rsidRDefault="00226E12"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 xml:space="preserve">Irrigation canals represent an underexploited resource for inland aquaculture expansion, yet the choice of cage construction material can substantially influence culture outcomes in such systems. This study evaluated the feasibility of cage culture in an irrigation canal linked to the Ukai reservoir system, comparing three cage construction materials: </w:t>
      </w:r>
      <w:r w:rsidR="005C21E5" w:rsidRPr="00C32F46">
        <w:rPr>
          <w:rFonts w:ascii="Times New Roman" w:hAnsi="Times New Roman" w:cs="Times New Roman"/>
          <w:sz w:val="24"/>
          <w:szCs w:val="24"/>
        </w:rPr>
        <w:t>B</w:t>
      </w:r>
      <w:r w:rsidRPr="00C32F46">
        <w:rPr>
          <w:rFonts w:ascii="Times New Roman" w:hAnsi="Times New Roman" w:cs="Times New Roman"/>
          <w:sz w:val="24"/>
          <w:szCs w:val="24"/>
        </w:rPr>
        <w:t xml:space="preserve">amboo, </w:t>
      </w:r>
      <w:r w:rsidR="005C21E5" w:rsidRPr="00C32F46">
        <w:rPr>
          <w:rFonts w:ascii="Times New Roman" w:hAnsi="Times New Roman" w:cs="Times New Roman"/>
          <w:sz w:val="24"/>
          <w:szCs w:val="24"/>
        </w:rPr>
        <w:t>U</w:t>
      </w:r>
      <w:r w:rsidRPr="00C32F46">
        <w:rPr>
          <w:rFonts w:ascii="Times New Roman" w:hAnsi="Times New Roman" w:cs="Times New Roman"/>
          <w:sz w:val="24"/>
          <w:szCs w:val="24"/>
        </w:rPr>
        <w:t xml:space="preserve">nplasticized </w:t>
      </w:r>
      <w:r w:rsidR="005C21E5" w:rsidRPr="00C32F46">
        <w:rPr>
          <w:rFonts w:ascii="Times New Roman" w:hAnsi="Times New Roman" w:cs="Times New Roman"/>
          <w:sz w:val="24"/>
          <w:szCs w:val="24"/>
        </w:rPr>
        <w:t>P</w:t>
      </w:r>
      <w:r w:rsidRPr="00C32F46">
        <w:rPr>
          <w:rFonts w:ascii="Times New Roman" w:hAnsi="Times New Roman" w:cs="Times New Roman"/>
          <w:sz w:val="24"/>
          <w:szCs w:val="24"/>
        </w:rPr>
        <w:t xml:space="preserve">olyvinyl </w:t>
      </w:r>
      <w:r w:rsidR="005C21E5" w:rsidRPr="00C32F46">
        <w:rPr>
          <w:rFonts w:ascii="Times New Roman" w:hAnsi="Times New Roman" w:cs="Times New Roman"/>
          <w:sz w:val="24"/>
          <w:szCs w:val="24"/>
        </w:rPr>
        <w:t>C</w:t>
      </w:r>
      <w:r w:rsidRPr="00C32F46">
        <w:rPr>
          <w:rFonts w:ascii="Times New Roman" w:hAnsi="Times New Roman" w:cs="Times New Roman"/>
          <w:sz w:val="24"/>
          <w:szCs w:val="24"/>
        </w:rPr>
        <w:t xml:space="preserve">hloride (UPVC), and </w:t>
      </w:r>
      <w:r w:rsidR="005C21E5" w:rsidRPr="00C32F46">
        <w:rPr>
          <w:rFonts w:ascii="Times New Roman" w:hAnsi="Times New Roman" w:cs="Times New Roman"/>
          <w:sz w:val="24"/>
          <w:szCs w:val="24"/>
        </w:rPr>
        <w:t>G</w:t>
      </w:r>
      <w:r w:rsidRPr="00C32F46">
        <w:rPr>
          <w:rFonts w:ascii="Times New Roman" w:hAnsi="Times New Roman" w:cs="Times New Roman"/>
          <w:sz w:val="24"/>
          <w:szCs w:val="24"/>
        </w:rPr>
        <w:t xml:space="preserve">alvanized </w:t>
      </w:r>
      <w:r w:rsidR="005C21E5" w:rsidRPr="00C32F46">
        <w:rPr>
          <w:rFonts w:ascii="Times New Roman" w:hAnsi="Times New Roman" w:cs="Times New Roman"/>
          <w:sz w:val="24"/>
          <w:szCs w:val="24"/>
        </w:rPr>
        <w:t>I</w:t>
      </w:r>
      <w:r w:rsidRPr="00C32F46">
        <w:rPr>
          <w:rFonts w:ascii="Times New Roman" w:hAnsi="Times New Roman" w:cs="Times New Roman"/>
          <w:sz w:val="24"/>
          <w:szCs w:val="24"/>
        </w:rPr>
        <w:t>ron (GI) for the culture of Thai pangas (</w:t>
      </w:r>
      <w:r w:rsidRPr="00C32F46">
        <w:rPr>
          <w:rFonts w:ascii="Times New Roman" w:hAnsi="Times New Roman" w:cs="Times New Roman"/>
          <w:i/>
          <w:iCs/>
          <w:sz w:val="24"/>
          <w:szCs w:val="24"/>
        </w:rPr>
        <w:t>Pangasius spp.</w:t>
      </w:r>
      <w:r w:rsidRPr="00C32F46">
        <w:rPr>
          <w:rFonts w:ascii="Times New Roman" w:hAnsi="Times New Roman" w:cs="Times New Roman"/>
          <w:sz w:val="24"/>
          <w:szCs w:val="24"/>
        </w:rPr>
        <w:t>). Three cages of identical dimensions (3 × 2 × 1.5 m) were stocked with tilapia fingerlings at a density of 30 fish/m³ (270 fish/cage) and reared for 60 days under a twice-daily commercial pelleted feeding regime. Water quality parameters remained within optimal ranges throughout the trial, confirming the suitability of the canal environment for cage aquaculture. Growth and production performance were assessed via mean body weight, weight gain, specific growth rate, survival rate, feed conversion ratio, protein efficiency ratio, feed conversion efficiency, growth percentage, and final biomass, with statistical analysis performed using SPSS. UPVC cages consistently outperformed the other treatments, yielding the highest final body weight (45.3 ± 0.69 g), mean weight gain (19.8 ± 0.69 g), specific growth rate (0.97 ± 0.02 % day⁻¹), survival rate (95.18 ± 1.81%), and final biomass (11,642.1 ± 388 g/cage), alongside the lowest feed conversion ratio (2.83) and best feed utilization indices. Bamboo cages showed moderately lower but biologically sound performance, positioning them as a cost-effective alternative, while GI cages recorded the lowest overall productivity. These findings identify UPVC as the most suitable material for canal-based cage aquaculture, with bamboo serving as a viable low-cost option where synthetic materials are economically constrained.</w:t>
      </w:r>
    </w:p>
    <w:p w14:paraId="135ED79E" w14:textId="3E1E3465" w:rsidR="00433332" w:rsidRPr="00C32F46" w:rsidRDefault="00226E12" w:rsidP="00AE1BA5">
      <w:pPr>
        <w:spacing w:line="360" w:lineRule="auto"/>
        <w:jc w:val="both"/>
        <w:rPr>
          <w:rFonts w:ascii="Times New Roman" w:hAnsi="Times New Roman" w:cs="Times New Roman"/>
          <w:sz w:val="24"/>
          <w:szCs w:val="24"/>
        </w:rPr>
      </w:pPr>
      <w:r w:rsidRPr="00C32F46">
        <w:rPr>
          <w:rFonts w:ascii="Times New Roman" w:hAnsi="Times New Roman" w:cs="Times New Roman"/>
          <w:b/>
          <w:bCs/>
          <w:i/>
          <w:iCs/>
          <w:sz w:val="24"/>
          <w:szCs w:val="24"/>
        </w:rPr>
        <w:t>Keywords</w:t>
      </w:r>
      <w:r w:rsidRPr="00C32F46">
        <w:rPr>
          <w:rFonts w:ascii="Times New Roman" w:hAnsi="Times New Roman" w:cs="Times New Roman"/>
          <w:b/>
          <w:bCs/>
          <w:sz w:val="24"/>
          <w:szCs w:val="24"/>
        </w:rPr>
        <w:t>:</w:t>
      </w:r>
      <w:r w:rsidRPr="00C32F46">
        <w:rPr>
          <w:rFonts w:ascii="Times New Roman" w:hAnsi="Times New Roman" w:cs="Times New Roman"/>
          <w:sz w:val="24"/>
          <w:szCs w:val="24"/>
        </w:rPr>
        <w:t xml:space="preserve"> Cage culture, Irrigation canal, UPVC, Bamboo, Galvanized iron, </w:t>
      </w:r>
      <w:r w:rsidRPr="00C32F46">
        <w:rPr>
          <w:rFonts w:ascii="Times New Roman" w:hAnsi="Times New Roman" w:cs="Times New Roman"/>
          <w:i/>
          <w:iCs/>
          <w:sz w:val="24"/>
          <w:szCs w:val="24"/>
        </w:rPr>
        <w:t>Pangasius spp.</w:t>
      </w:r>
      <w:r w:rsidRPr="00C32F46">
        <w:rPr>
          <w:rFonts w:ascii="Times New Roman" w:hAnsi="Times New Roman" w:cs="Times New Roman"/>
          <w:sz w:val="24"/>
          <w:szCs w:val="24"/>
        </w:rPr>
        <w:t>, Aquaculture productivity</w:t>
      </w:r>
    </w:p>
    <w:p w14:paraId="3971149C" w14:textId="442444B9" w:rsidR="0017774E" w:rsidRPr="00C32F46" w:rsidRDefault="00226E12"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 xml:space="preserve">1. </w:t>
      </w:r>
      <w:r w:rsidR="00E27D10" w:rsidRPr="00C32F46">
        <w:rPr>
          <w:rFonts w:ascii="Times New Roman" w:hAnsi="Times New Roman" w:cs="Times New Roman"/>
          <w:b/>
          <w:bCs/>
          <w:sz w:val="24"/>
          <w:szCs w:val="24"/>
        </w:rPr>
        <w:t>Introduction</w:t>
      </w:r>
    </w:p>
    <w:p w14:paraId="42307F7C" w14:textId="5D8A28D4" w:rsidR="00077AE7" w:rsidRPr="00C32F46" w:rsidRDefault="001A4ADC" w:rsidP="00AE1BA5">
      <w:pPr>
        <w:spacing w:line="360" w:lineRule="auto"/>
        <w:ind w:firstLine="720"/>
        <w:jc w:val="both"/>
        <w:rPr>
          <w:rFonts w:ascii="Times New Roman" w:hAnsi="Times New Roman" w:cs="Times New Roman"/>
          <w:sz w:val="24"/>
          <w:szCs w:val="24"/>
        </w:rPr>
      </w:pPr>
      <w:r w:rsidRPr="00C32F46">
        <w:rPr>
          <w:rFonts w:ascii="Times New Roman" w:hAnsi="Times New Roman"/>
          <w:sz w:val="24"/>
          <w:szCs w:val="24"/>
        </w:rPr>
        <w:t xml:space="preserve">Aquaculture, or the farming of fish, shellfish, and aquatic plants, has progressed from a marginal food-production activity to a cornerstone of global food security and nutrition, spanning freshwater, brackish, and marine environments and supporting livelihoods, economies, and cultures worldwide (Lucas, 2015; </w:t>
      </w:r>
      <w:r w:rsidR="005C21E5" w:rsidRPr="00C32F46">
        <w:rPr>
          <w:rFonts w:ascii="Times New Roman" w:hAnsi="Times New Roman"/>
          <w:sz w:val="24"/>
          <w:szCs w:val="24"/>
        </w:rPr>
        <w:t xml:space="preserve">Tacon, 2020; </w:t>
      </w:r>
      <w:r w:rsidRPr="00C32F46">
        <w:rPr>
          <w:rFonts w:ascii="Times New Roman" w:hAnsi="Times New Roman"/>
          <w:sz w:val="24"/>
          <w:szCs w:val="24"/>
        </w:rPr>
        <w:t xml:space="preserve">Mair </w:t>
      </w:r>
      <w:r w:rsidRPr="00C32F46">
        <w:rPr>
          <w:rFonts w:ascii="Times New Roman" w:hAnsi="Times New Roman"/>
          <w:i/>
          <w:iCs/>
          <w:sz w:val="24"/>
          <w:szCs w:val="24"/>
        </w:rPr>
        <w:t>et al</w:t>
      </w:r>
      <w:r w:rsidRPr="00C32F46">
        <w:rPr>
          <w:rFonts w:ascii="Times New Roman" w:hAnsi="Times New Roman"/>
          <w:sz w:val="24"/>
          <w:szCs w:val="24"/>
        </w:rPr>
        <w:t xml:space="preserve">., 2023). This expansion is closely linked to the constraints facing capture fisheries, and as the global </w:t>
      </w:r>
      <w:r w:rsidRPr="00C32F46">
        <w:rPr>
          <w:rFonts w:ascii="Times New Roman" w:hAnsi="Times New Roman"/>
          <w:sz w:val="24"/>
          <w:szCs w:val="24"/>
        </w:rPr>
        <w:lastRenderedPageBreak/>
        <w:t xml:space="preserve">population approaches a projected 9 billion by 2050, aquaculture is increasingly positioned as central to future dietary protein demand (Mair </w:t>
      </w:r>
      <w:r w:rsidRPr="00C32F46">
        <w:rPr>
          <w:rFonts w:ascii="Times New Roman" w:hAnsi="Times New Roman"/>
          <w:i/>
          <w:iCs/>
          <w:sz w:val="24"/>
          <w:szCs w:val="24"/>
        </w:rPr>
        <w:t>et al</w:t>
      </w:r>
      <w:r w:rsidRPr="00C32F46">
        <w:rPr>
          <w:rFonts w:ascii="Times New Roman" w:hAnsi="Times New Roman"/>
          <w:sz w:val="24"/>
          <w:szCs w:val="24"/>
        </w:rPr>
        <w:t xml:space="preserve">., 2023), a trend reflected in the diversification of farming systems from extensive pond culture to recirculating aquaculture systems (RAS) and integrated multi-trophic aquaculture (IMTA) (Boyd et al., 2020; Mansour </w:t>
      </w:r>
      <w:r w:rsidRPr="00C32F46">
        <w:rPr>
          <w:rFonts w:ascii="Times New Roman" w:hAnsi="Times New Roman"/>
          <w:i/>
          <w:iCs/>
          <w:sz w:val="24"/>
          <w:szCs w:val="24"/>
        </w:rPr>
        <w:t xml:space="preserve">et al., </w:t>
      </w:r>
      <w:r w:rsidRPr="00C32F46">
        <w:rPr>
          <w:rFonts w:ascii="Times New Roman" w:hAnsi="Times New Roman"/>
          <w:sz w:val="24"/>
          <w:szCs w:val="24"/>
        </w:rPr>
        <w:t xml:space="preserve">2022; Troell </w:t>
      </w:r>
      <w:r w:rsidRPr="00C32F46">
        <w:rPr>
          <w:rFonts w:ascii="Times New Roman" w:hAnsi="Times New Roman"/>
          <w:i/>
          <w:iCs/>
          <w:sz w:val="24"/>
          <w:szCs w:val="24"/>
        </w:rPr>
        <w:t xml:space="preserve">et al., </w:t>
      </w:r>
      <w:r w:rsidRPr="00C32F46">
        <w:rPr>
          <w:rFonts w:ascii="Times New Roman" w:hAnsi="Times New Roman"/>
          <w:sz w:val="24"/>
          <w:szCs w:val="24"/>
        </w:rPr>
        <w:t>2023). By 2023, global aquaculture and fisheries production had reached an all-time high of 223.2 million tonnes (185.4 million tonnes of aquatic animals and 37.8 million tonnes of seaweed), with aquaculture surpassing capture fisheries for the first time, accounting for 51% of aquatic-animal output, led by China (36%), India (8%), and Indonesia (7%). India's inland fish production increased from 2.823 million tonnes in 2000-01 to 13.113 million tonnes in 2022-23, thanks to programs like the Pradhan Mantri Matsya Sampada Yojana (IBEF, 2023; FAO, 2024). National fish output increased from 24.42 to 175.45 lakh tonnes between 1980-81 and 2022-23, with exports reaching 17,35,286 tonnes worth ₹63,969.14 crore and the sector's gross value added reaching ₹2,88,526 crore</w:t>
      </w:r>
      <w:r w:rsidR="00F9401E" w:rsidRPr="00C32F46">
        <w:rPr>
          <w:rFonts w:ascii="Times New Roman" w:hAnsi="Times New Roman"/>
          <w:sz w:val="24"/>
          <w:szCs w:val="24"/>
        </w:rPr>
        <w:t xml:space="preserve">, together contributing roughly 1.1% of India's GDP (HoFS, 2023). </w:t>
      </w:r>
      <w:r w:rsidRPr="00C32F46">
        <w:rPr>
          <w:rFonts w:ascii="Times New Roman" w:hAnsi="Times New Roman"/>
          <w:sz w:val="24"/>
          <w:szCs w:val="24"/>
        </w:rPr>
        <w:t>This rapid growth, however, is still associated with habitat destruction, effluent pollution, social inequity, and governance gaps, necessitating stronger institutional frameworks and ecosystem-based, feed-efficient management practices (</w:t>
      </w:r>
      <w:r w:rsidR="008F3994" w:rsidRPr="00C32F46">
        <w:rPr>
          <w:rFonts w:ascii="Times New Roman" w:hAnsi="Times New Roman"/>
          <w:sz w:val="24"/>
          <w:szCs w:val="24"/>
        </w:rPr>
        <w:t xml:space="preserve">Boyd </w:t>
      </w:r>
      <w:r w:rsidR="008F3994" w:rsidRPr="00C32F46">
        <w:rPr>
          <w:rFonts w:ascii="Times New Roman" w:hAnsi="Times New Roman"/>
          <w:i/>
          <w:iCs/>
          <w:sz w:val="24"/>
          <w:szCs w:val="24"/>
        </w:rPr>
        <w:t>et al.,</w:t>
      </w:r>
      <w:r w:rsidR="008F3994" w:rsidRPr="00C32F46">
        <w:rPr>
          <w:rFonts w:ascii="Times New Roman" w:hAnsi="Times New Roman"/>
          <w:sz w:val="24"/>
          <w:szCs w:val="24"/>
        </w:rPr>
        <w:t xml:space="preserve"> 2020; </w:t>
      </w:r>
      <w:r w:rsidRPr="00C32F46">
        <w:rPr>
          <w:rFonts w:ascii="Times New Roman" w:hAnsi="Times New Roman"/>
          <w:sz w:val="24"/>
          <w:szCs w:val="24"/>
        </w:rPr>
        <w:t xml:space="preserve">Ahmad </w:t>
      </w:r>
      <w:r w:rsidRPr="00C32F46">
        <w:rPr>
          <w:rFonts w:ascii="Times New Roman" w:hAnsi="Times New Roman"/>
          <w:i/>
          <w:iCs/>
          <w:sz w:val="24"/>
          <w:szCs w:val="24"/>
        </w:rPr>
        <w:t>et al</w:t>
      </w:r>
      <w:r w:rsidRPr="00C32F46">
        <w:rPr>
          <w:rFonts w:ascii="Times New Roman" w:hAnsi="Times New Roman"/>
          <w:sz w:val="24"/>
          <w:szCs w:val="24"/>
        </w:rPr>
        <w:t xml:space="preserve">., 2021; Mair </w:t>
      </w:r>
      <w:r w:rsidRPr="00C32F46">
        <w:rPr>
          <w:rFonts w:ascii="Times New Roman" w:hAnsi="Times New Roman"/>
          <w:i/>
          <w:iCs/>
          <w:sz w:val="24"/>
          <w:szCs w:val="24"/>
        </w:rPr>
        <w:t>et al</w:t>
      </w:r>
      <w:r w:rsidRPr="00C32F46">
        <w:rPr>
          <w:rFonts w:ascii="Times New Roman" w:hAnsi="Times New Roman"/>
          <w:sz w:val="24"/>
          <w:szCs w:val="24"/>
        </w:rPr>
        <w:t xml:space="preserve">., 2023; </w:t>
      </w:r>
      <w:proofErr w:type="spellStart"/>
      <w:r w:rsidRPr="00C32F46">
        <w:rPr>
          <w:rFonts w:ascii="Times New Roman" w:hAnsi="Times New Roman"/>
          <w:sz w:val="24"/>
          <w:szCs w:val="24"/>
        </w:rPr>
        <w:t>Verdegem</w:t>
      </w:r>
      <w:proofErr w:type="spellEnd"/>
      <w:r w:rsidRPr="00C32F46">
        <w:rPr>
          <w:rFonts w:ascii="Times New Roman" w:hAnsi="Times New Roman"/>
          <w:sz w:val="24"/>
          <w:szCs w:val="24"/>
        </w:rPr>
        <w:t xml:space="preserve"> </w:t>
      </w:r>
      <w:r w:rsidRPr="00C32F46">
        <w:rPr>
          <w:rFonts w:ascii="Times New Roman" w:hAnsi="Times New Roman"/>
          <w:i/>
          <w:iCs/>
          <w:sz w:val="24"/>
          <w:szCs w:val="24"/>
        </w:rPr>
        <w:t>et al</w:t>
      </w:r>
      <w:r w:rsidRPr="00C32F46">
        <w:rPr>
          <w:rFonts w:ascii="Times New Roman" w:hAnsi="Times New Roman"/>
          <w:sz w:val="24"/>
          <w:szCs w:val="24"/>
        </w:rPr>
        <w:t xml:space="preserve">., 2023), as well as a growing role in biodiversity conservation through restorative aquaculture (Nie, 2022). Rising production has pushed conventional culture systems to more intense, resource-efficient ways, with cage culture emerging as a major alternative (Kumar </w:t>
      </w:r>
      <w:r w:rsidRPr="00C32F46">
        <w:rPr>
          <w:rFonts w:ascii="Times New Roman" w:hAnsi="Times New Roman"/>
          <w:i/>
          <w:iCs/>
          <w:sz w:val="24"/>
          <w:szCs w:val="24"/>
        </w:rPr>
        <w:t>et al.,</w:t>
      </w:r>
      <w:r w:rsidRPr="00C32F46">
        <w:rPr>
          <w:rFonts w:ascii="Times New Roman" w:hAnsi="Times New Roman"/>
          <w:sz w:val="24"/>
          <w:szCs w:val="24"/>
        </w:rPr>
        <w:t xml:space="preserve"> 2020).</w:t>
      </w:r>
    </w:p>
    <w:p w14:paraId="22A0A612" w14:textId="311C39F6" w:rsidR="00077AE7" w:rsidRPr="00C32F46" w:rsidRDefault="001A4ADC" w:rsidP="00AE1BA5">
      <w:pPr>
        <w:spacing w:line="360" w:lineRule="auto"/>
        <w:ind w:firstLine="720"/>
        <w:jc w:val="both"/>
        <w:rPr>
          <w:rFonts w:ascii="Times New Roman" w:hAnsi="Times New Roman" w:cs="Times New Roman"/>
          <w:sz w:val="24"/>
          <w:szCs w:val="24"/>
        </w:rPr>
      </w:pPr>
      <w:r w:rsidRPr="00C32F46">
        <w:rPr>
          <w:rFonts w:ascii="Times New Roman" w:hAnsi="Times New Roman"/>
          <w:sz w:val="24"/>
          <w:szCs w:val="24"/>
        </w:rPr>
        <w:t>Cage culture</w:t>
      </w:r>
      <w:r w:rsidR="005C21E5" w:rsidRPr="00C32F46">
        <w:rPr>
          <w:rFonts w:ascii="Times New Roman" w:hAnsi="Times New Roman"/>
          <w:sz w:val="24"/>
          <w:szCs w:val="24"/>
        </w:rPr>
        <w:t xml:space="preserve"> is the </w:t>
      </w:r>
      <w:r w:rsidRPr="00C32F46">
        <w:rPr>
          <w:rFonts w:ascii="Times New Roman" w:hAnsi="Times New Roman"/>
          <w:sz w:val="24"/>
          <w:szCs w:val="24"/>
        </w:rPr>
        <w:t>rearing of fish in floating or submerged cages in lakes, rivers, reservoirs, and coastal waters, makes efficient use of water resources without requiring a large amount of land, and it has evolved from simple enclosures to advanced systems designed to improve growth, health, and sustainability (</w:t>
      </w:r>
      <w:r w:rsidR="005C21E5" w:rsidRPr="00C32F46">
        <w:rPr>
          <w:rFonts w:ascii="Times New Roman" w:hAnsi="Times New Roman"/>
          <w:sz w:val="24"/>
          <w:szCs w:val="24"/>
        </w:rPr>
        <w:t xml:space="preserve">Thia-Eng </w:t>
      </w:r>
      <w:r w:rsidR="005C21E5" w:rsidRPr="00C32F46">
        <w:rPr>
          <w:rFonts w:ascii="Times New Roman" w:hAnsi="Times New Roman"/>
          <w:i/>
          <w:iCs/>
          <w:sz w:val="24"/>
          <w:szCs w:val="24"/>
        </w:rPr>
        <w:t>et al.,</w:t>
      </w:r>
      <w:r w:rsidR="005C21E5" w:rsidRPr="00C32F46">
        <w:rPr>
          <w:rFonts w:ascii="Times New Roman" w:hAnsi="Times New Roman"/>
          <w:sz w:val="24"/>
          <w:szCs w:val="24"/>
        </w:rPr>
        <w:t xml:space="preserve"> 2002; </w:t>
      </w:r>
      <w:proofErr w:type="spellStart"/>
      <w:r w:rsidRPr="00C32F46">
        <w:rPr>
          <w:rFonts w:ascii="Times New Roman" w:hAnsi="Times New Roman"/>
          <w:sz w:val="24"/>
          <w:szCs w:val="24"/>
        </w:rPr>
        <w:t>Halwart</w:t>
      </w:r>
      <w:proofErr w:type="spellEnd"/>
      <w:r w:rsidRPr="00C32F46">
        <w:rPr>
          <w:rFonts w:ascii="Times New Roman" w:hAnsi="Times New Roman"/>
          <w:sz w:val="24"/>
          <w:szCs w:val="24"/>
        </w:rPr>
        <w:t xml:space="preserve"> </w:t>
      </w:r>
      <w:r w:rsidRPr="00C32F46">
        <w:rPr>
          <w:rFonts w:ascii="Times New Roman" w:hAnsi="Times New Roman"/>
          <w:i/>
          <w:iCs/>
          <w:sz w:val="24"/>
          <w:szCs w:val="24"/>
        </w:rPr>
        <w:t>et al.,</w:t>
      </w:r>
      <w:r w:rsidRPr="00C32F46">
        <w:rPr>
          <w:rFonts w:ascii="Times New Roman" w:hAnsi="Times New Roman"/>
          <w:sz w:val="24"/>
          <w:szCs w:val="24"/>
        </w:rPr>
        <w:t xml:space="preserve"> 2007; Kumar </w:t>
      </w:r>
      <w:r w:rsidRPr="00C32F46">
        <w:rPr>
          <w:rFonts w:ascii="Times New Roman" w:hAnsi="Times New Roman"/>
          <w:i/>
          <w:iCs/>
          <w:sz w:val="24"/>
          <w:szCs w:val="24"/>
        </w:rPr>
        <w:t>et al</w:t>
      </w:r>
      <w:r w:rsidRPr="00C32F46">
        <w:rPr>
          <w:rFonts w:ascii="Times New Roman" w:hAnsi="Times New Roman"/>
          <w:sz w:val="24"/>
          <w:szCs w:val="24"/>
        </w:rPr>
        <w:t>., 2020). It contributes significantly to supplementing wild fisheries and meeting global protein demand, while also providing direct and indirect employment and alternative livelihoods to small-scale farmers and fishing communities in countries such as India and Iraq (</w:t>
      </w:r>
      <w:r w:rsidR="005C21E5" w:rsidRPr="00C32F46">
        <w:rPr>
          <w:rFonts w:ascii="Times New Roman" w:hAnsi="Times New Roman"/>
          <w:sz w:val="24"/>
          <w:szCs w:val="24"/>
        </w:rPr>
        <w:t xml:space="preserve">Noakes </w:t>
      </w:r>
      <w:r w:rsidR="005C21E5" w:rsidRPr="00C32F46">
        <w:rPr>
          <w:rFonts w:ascii="Times New Roman" w:hAnsi="Times New Roman"/>
          <w:i/>
          <w:iCs/>
          <w:sz w:val="24"/>
          <w:szCs w:val="24"/>
        </w:rPr>
        <w:t>et al.,</w:t>
      </w:r>
      <w:r w:rsidR="005C21E5" w:rsidRPr="00C32F46">
        <w:rPr>
          <w:rFonts w:ascii="Times New Roman" w:hAnsi="Times New Roman"/>
          <w:sz w:val="24"/>
          <w:szCs w:val="24"/>
        </w:rPr>
        <w:t xml:space="preserve"> 2014; </w:t>
      </w:r>
      <w:r w:rsidRPr="00C32F46">
        <w:rPr>
          <w:rFonts w:ascii="Times New Roman" w:hAnsi="Times New Roman"/>
          <w:sz w:val="24"/>
          <w:szCs w:val="24"/>
        </w:rPr>
        <w:t xml:space="preserve">Ghosh </w:t>
      </w:r>
      <w:r w:rsidRPr="00C32F46">
        <w:rPr>
          <w:rFonts w:ascii="Times New Roman" w:hAnsi="Times New Roman"/>
          <w:i/>
          <w:iCs/>
          <w:sz w:val="24"/>
          <w:szCs w:val="24"/>
        </w:rPr>
        <w:t>et al.,</w:t>
      </w:r>
      <w:r w:rsidRPr="00C32F46">
        <w:rPr>
          <w:rFonts w:ascii="Times New Roman" w:hAnsi="Times New Roman"/>
          <w:sz w:val="24"/>
          <w:szCs w:val="24"/>
        </w:rPr>
        <w:t xml:space="preserve"> 2016; Kumar </w:t>
      </w:r>
      <w:r w:rsidRPr="00C32F46">
        <w:rPr>
          <w:rFonts w:ascii="Times New Roman" w:hAnsi="Times New Roman"/>
          <w:i/>
          <w:iCs/>
          <w:sz w:val="24"/>
          <w:szCs w:val="24"/>
        </w:rPr>
        <w:t xml:space="preserve">et al., </w:t>
      </w:r>
      <w:r w:rsidRPr="00C32F46">
        <w:rPr>
          <w:rFonts w:ascii="Times New Roman" w:hAnsi="Times New Roman"/>
          <w:sz w:val="24"/>
          <w:szCs w:val="24"/>
        </w:rPr>
        <w:t xml:space="preserve">2020; Salman </w:t>
      </w:r>
      <w:r w:rsidRPr="00C32F46">
        <w:rPr>
          <w:rFonts w:ascii="Times New Roman" w:hAnsi="Times New Roman"/>
          <w:i/>
          <w:iCs/>
          <w:sz w:val="24"/>
          <w:szCs w:val="24"/>
        </w:rPr>
        <w:t>et al</w:t>
      </w:r>
      <w:r w:rsidRPr="00C32F46">
        <w:rPr>
          <w:rFonts w:ascii="Times New Roman" w:hAnsi="Times New Roman"/>
          <w:sz w:val="24"/>
          <w:szCs w:val="24"/>
        </w:rPr>
        <w:t xml:space="preserve">., 2022). </w:t>
      </w:r>
      <w:r w:rsidR="00F9401E" w:rsidRPr="00C32F46">
        <w:rPr>
          <w:rFonts w:ascii="Times New Roman" w:hAnsi="Times New Roman"/>
          <w:sz w:val="24"/>
          <w:szCs w:val="24"/>
        </w:rPr>
        <w:t xml:space="preserve"> </w:t>
      </w:r>
      <w:r w:rsidR="00355F98" w:rsidRPr="00C32F46">
        <w:rPr>
          <w:rFonts w:ascii="Times New Roman" w:hAnsi="Times New Roman"/>
          <w:sz w:val="24"/>
          <w:szCs w:val="24"/>
        </w:rPr>
        <w:t xml:space="preserve">Its expansion, however, is hampered by high feed costs, disease outbreaks, regulatory constraints, and a lack of technical expertise, while poor site selection, stocking density, or water-quality management can lead to eutrophication and oxygen depletion. Recent technical advancements, such as underwater robots, drones, water-quality sensors, automated feeders, and digital </w:t>
      </w:r>
      <w:r w:rsidR="00355F98" w:rsidRPr="00C32F46">
        <w:rPr>
          <w:rFonts w:ascii="Times New Roman" w:hAnsi="Times New Roman"/>
          <w:sz w:val="24"/>
          <w:szCs w:val="24"/>
        </w:rPr>
        <w:lastRenderedPageBreak/>
        <w:t xml:space="preserve">monitoring, are increasingly being utilised to optimise feeding, monitor fish health, and minimise environmental risk in real time. Even so, excess feed and waste remain linked to eutrophication, algal blooms, invasive species such as water hyacinth, and fish kills from low dissolved oxygen (Njiru </w:t>
      </w:r>
      <w:r w:rsidR="00355F98" w:rsidRPr="00C32F46">
        <w:rPr>
          <w:rFonts w:ascii="Times New Roman" w:hAnsi="Times New Roman"/>
          <w:i/>
          <w:iCs/>
          <w:sz w:val="24"/>
          <w:szCs w:val="24"/>
        </w:rPr>
        <w:t>et al.,</w:t>
      </w:r>
      <w:r w:rsidR="00355F98" w:rsidRPr="00C32F46">
        <w:rPr>
          <w:rFonts w:ascii="Times New Roman" w:hAnsi="Times New Roman"/>
          <w:sz w:val="24"/>
          <w:szCs w:val="24"/>
        </w:rPr>
        <w:t xml:space="preserve"> 2018), underscoring the ongoing need for stronger policy, stakeholder involvement, and research on site selection, disease management, and feed efficiency to balance</w:t>
      </w:r>
      <w:r w:rsidR="00F9401E" w:rsidRPr="00C32F46">
        <w:rPr>
          <w:rFonts w:ascii="Times New Roman" w:hAnsi="Times New Roman"/>
          <w:sz w:val="24"/>
          <w:szCs w:val="24"/>
        </w:rPr>
        <w:t xml:space="preserve"> production with environmental protection (</w:t>
      </w:r>
      <w:r w:rsidR="000D510F" w:rsidRPr="00C32F46">
        <w:rPr>
          <w:rFonts w:ascii="Times New Roman" w:hAnsi="Times New Roman"/>
          <w:sz w:val="24"/>
          <w:szCs w:val="24"/>
        </w:rPr>
        <w:t>Huguenin, 1997</w:t>
      </w:r>
      <w:r w:rsidR="003C44C4" w:rsidRPr="00C32F46">
        <w:rPr>
          <w:rFonts w:ascii="Times New Roman" w:hAnsi="Times New Roman"/>
          <w:sz w:val="24"/>
          <w:szCs w:val="24"/>
        </w:rPr>
        <w:t xml:space="preserve">; Thia-Eng </w:t>
      </w:r>
      <w:r w:rsidR="003C44C4" w:rsidRPr="00C32F46">
        <w:rPr>
          <w:rFonts w:ascii="Times New Roman" w:hAnsi="Times New Roman"/>
          <w:i/>
          <w:sz w:val="24"/>
          <w:szCs w:val="24"/>
        </w:rPr>
        <w:t>et al.</w:t>
      </w:r>
      <w:r w:rsidR="003C44C4" w:rsidRPr="00C32F46">
        <w:rPr>
          <w:rFonts w:ascii="Times New Roman" w:hAnsi="Times New Roman"/>
          <w:sz w:val="24"/>
          <w:szCs w:val="24"/>
        </w:rPr>
        <w:t>, 2002</w:t>
      </w:r>
      <w:r w:rsidR="000D510F" w:rsidRPr="00C32F46">
        <w:rPr>
          <w:rFonts w:ascii="Times New Roman" w:hAnsi="Times New Roman"/>
          <w:sz w:val="24"/>
          <w:szCs w:val="24"/>
        </w:rPr>
        <w:t xml:space="preserve">; </w:t>
      </w:r>
      <w:proofErr w:type="spellStart"/>
      <w:r w:rsidR="00F9401E" w:rsidRPr="00C32F46">
        <w:rPr>
          <w:rFonts w:ascii="Times New Roman" w:hAnsi="Times New Roman"/>
          <w:sz w:val="24"/>
          <w:szCs w:val="24"/>
        </w:rPr>
        <w:t>Halwart</w:t>
      </w:r>
      <w:proofErr w:type="spellEnd"/>
      <w:r w:rsidR="00F9401E" w:rsidRPr="00C32F46">
        <w:rPr>
          <w:rFonts w:ascii="Times New Roman" w:hAnsi="Times New Roman"/>
          <w:sz w:val="24"/>
          <w:szCs w:val="24"/>
        </w:rPr>
        <w:t xml:space="preserve"> </w:t>
      </w:r>
      <w:r w:rsidR="00F9401E" w:rsidRPr="00C32F46">
        <w:rPr>
          <w:rFonts w:ascii="Times New Roman" w:hAnsi="Times New Roman"/>
          <w:i/>
          <w:sz w:val="24"/>
          <w:szCs w:val="24"/>
        </w:rPr>
        <w:t>et al.</w:t>
      </w:r>
      <w:r w:rsidR="00F9401E" w:rsidRPr="00C32F46">
        <w:rPr>
          <w:rFonts w:ascii="Times New Roman" w:hAnsi="Times New Roman"/>
          <w:sz w:val="24"/>
          <w:szCs w:val="24"/>
        </w:rPr>
        <w:t>, 2007;</w:t>
      </w:r>
      <w:r w:rsidR="000D510F" w:rsidRPr="00C32F46">
        <w:rPr>
          <w:rFonts w:ascii="Times New Roman" w:hAnsi="Times New Roman"/>
          <w:sz w:val="24"/>
          <w:szCs w:val="24"/>
        </w:rPr>
        <w:t xml:space="preserve"> Noakes </w:t>
      </w:r>
      <w:r w:rsidR="000D510F" w:rsidRPr="00C32F46">
        <w:rPr>
          <w:rFonts w:ascii="Times New Roman" w:hAnsi="Times New Roman"/>
          <w:i/>
          <w:sz w:val="24"/>
          <w:szCs w:val="24"/>
        </w:rPr>
        <w:t>et al.</w:t>
      </w:r>
      <w:r w:rsidR="000D510F" w:rsidRPr="00C32F46">
        <w:rPr>
          <w:rFonts w:ascii="Times New Roman" w:hAnsi="Times New Roman"/>
          <w:sz w:val="24"/>
          <w:szCs w:val="24"/>
        </w:rPr>
        <w:t>, 2014</w:t>
      </w:r>
      <w:r w:rsidR="008F3994">
        <w:rPr>
          <w:rFonts w:ascii="Times New Roman" w:hAnsi="Times New Roman" w:hint="cs"/>
          <w:sz w:val="24"/>
          <w:szCs w:val="24"/>
          <w:cs/>
        </w:rPr>
        <w:t>;</w:t>
      </w:r>
      <w:r w:rsidR="00F9401E" w:rsidRPr="00C32F46">
        <w:rPr>
          <w:rFonts w:ascii="Times New Roman" w:hAnsi="Times New Roman"/>
          <w:sz w:val="24"/>
          <w:szCs w:val="24"/>
        </w:rPr>
        <w:t xml:space="preserve"> Kumar </w:t>
      </w:r>
      <w:r w:rsidR="00F9401E" w:rsidRPr="00C32F46">
        <w:rPr>
          <w:rFonts w:ascii="Times New Roman" w:hAnsi="Times New Roman"/>
          <w:i/>
          <w:sz w:val="24"/>
          <w:szCs w:val="24"/>
        </w:rPr>
        <w:t>et al.</w:t>
      </w:r>
      <w:r w:rsidR="00F9401E" w:rsidRPr="00C32F46">
        <w:rPr>
          <w:rFonts w:ascii="Times New Roman" w:hAnsi="Times New Roman"/>
          <w:sz w:val="24"/>
          <w:szCs w:val="24"/>
        </w:rPr>
        <w:t xml:space="preserve">, 2020; Wei </w:t>
      </w:r>
      <w:r w:rsidR="00F9401E" w:rsidRPr="00C32F46">
        <w:rPr>
          <w:rFonts w:ascii="Times New Roman" w:hAnsi="Times New Roman"/>
          <w:i/>
          <w:sz w:val="24"/>
          <w:szCs w:val="24"/>
        </w:rPr>
        <w:t>et al.</w:t>
      </w:r>
      <w:r w:rsidR="00F9401E" w:rsidRPr="00C32F46">
        <w:rPr>
          <w:rFonts w:ascii="Times New Roman" w:hAnsi="Times New Roman"/>
          <w:sz w:val="24"/>
          <w:szCs w:val="24"/>
        </w:rPr>
        <w:t>, 2020).</w:t>
      </w:r>
    </w:p>
    <w:p w14:paraId="0E440412" w14:textId="19A5A65A" w:rsidR="00355F98" w:rsidRPr="00C32F46" w:rsidRDefault="00355F98" w:rsidP="00AE1BA5">
      <w:pPr>
        <w:spacing w:line="360" w:lineRule="auto"/>
        <w:ind w:firstLine="720"/>
        <w:jc w:val="both"/>
        <w:rPr>
          <w:rFonts w:ascii="Times New Roman" w:hAnsi="Times New Roman"/>
          <w:sz w:val="24"/>
          <w:szCs w:val="24"/>
        </w:rPr>
      </w:pPr>
      <w:r w:rsidRPr="00C32F46">
        <w:rPr>
          <w:rFonts w:ascii="Times New Roman" w:hAnsi="Times New Roman"/>
          <w:sz w:val="24"/>
          <w:szCs w:val="24"/>
        </w:rPr>
        <w:t xml:space="preserve">India's irrigation canals, which cover approximately 17 million hectares and supply approximately 26% of the country's irrigation, create aquatic habitats suitable for fish production, though their ecological conditions differ from natural water bodies due to variable water sources, flow regimes, and chemical runoff, with reduced flow during lean seasons frequently limiting plankton growth and fish productivity (Sinha </w:t>
      </w:r>
      <w:r w:rsidRPr="00C32F46">
        <w:rPr>
          <w:rFonts w:ascii="Times New Roman" w:hAnsi="Times New Roman"/>
          <w:i/>
          <w:iCs/>
          <w:sz w:val="24"/>
          <w:szCs w:val="24"/>
        </w:rPr>
        <w:t>et al.,</w:t>
      </w:r>
      <w:r w:rsidRPr="00C32F46">
        <w:rPr>
          <w:rFonts w:ascii="Times New Roman" w:hAnsi="Times New Roman"/>
          <w:sz w:val="24"/>
          <w:szCs w:val="24"/>
        </w:rPr>
        <w:t xml:space="preserve"> 2022). In Gujarat's semi-arid context, incorporating aquaculture into canal networks fed by rivers such as the Narmada and Sabarmati presents an opportunity to improve livelihoods and food security without requiring additional land or water, which could be supported by existing Water Users' Associations (Nigam </w:t>
      </w:r>
      <w:r w:rsidRPr="00C32F46">
        <w:rPr>
          <w:rFonts w:ascii="Times New Roman" w:hAnsi="Times New Roman"/>
          <w:i/>
          <w:iCs/>
          <w:sz w:val="24"/>
          <w:szCs w:val="24"/>
        </w:rPr>
        <w:t>et al.,</w:t>
      </w:r>
      <w:r w:rsidRPr="00C32F46">
        <w:rPr>
          <w:rFonts w:ascii="Times New Roman" w:hAnsi="Times New Roman"/>
          <w:sz w:val="24"/>
          <w:szCs w:val="24"/>
        </w:rPr>
        <w:t xml:space="preserve"> 2023). To realise this potential, site-specific strategies that address biodiversity conservation, control of agricultural-runoff-driven eutrophication, and maintenance of adequate dissolved oxygen are required, as conflicts between agricultural and fisheries users of shared water resources can arise. The Ganga Canal network, which has shaped rural economies since the nineteenth century while supporting aquatic biodiversity, exemplifies the multifunctional value of such systems (Setia </w:t>
      </w:r>
      <w:r w:rsidRPr="00C32F46">
        <w:rPr>
          <w:rFonts w:ascii="Times New Roman" w:hAnsi="Times New Roman"/>
          <w:i/>
          <w:iCs/>
          <w:sz w:val="24"/>
          <w:szCs w:val="24"/>
        </w:rPr>
        <w:t xml:space="preserve">et al., </w:t>
      </w:r>
      <w:r w:rsidRPr="00C32F46">
        <w:rPr>
          <w:rFonts w:ascii="Times New Roman" w:hAnsi="Times New Roman"/>
          <w:sz w:val="24"/>
          <w:szCs w:val="24"/>
        </w:rPr>
        <w:t>2025). However, rising urban and industrial water demand now necessitates governance innovations, real-time monitoring, and participatory management involving farmers, fishers, and authorities (</w:t>
      </w:r>
      <w:r w:rsidR="005C21E5" w:rsidRPr="00C32F46">
        <w:rPr>
          <w:rFonts w:ascii="Times New Roman" w:hAnsi="Times New Roman"/>
          <w:sz w:val="24"/>
          <w:szCs w:val="24"/>
        </w:rPr>
        <w:t xml:space="preserve">Tyagi </w:t>
      </w:r>
      <w:r w:rsidR="005C21E5" w:rsidRPr="00C32F46">
        <w:rPr>
          <w:rFonts w:ascii="Times New Roman" w:hAnsi="Times New Roman"/>
          <w:i/>
          <w:iCs/>
          <w:sz w:val="24"/>
          <w:szCs w:val="24"/>
        </w:rPr>
        <w:t>et al</w:t>
      </w:r>
      <w:r w:rsidR="005C21E5" w:rsidRPr="00C32F46">
        <w:rPr>
          <w:rFonts w:ascii="Times New Roman" w:hAnsi="Times New Roman"/>
          <w:sz w:val="24"/>
          <w:szCs w:val="24"/>
        </w:rPr>
        <w:t xml:space="preserve">., 2005; </w:t>
      </w:r>
      <w:r w:rsidRPr="00C32F46">
        <w:rPr>
          <w:rFonts w:ascii="Times New Roman" w:hAnsi="Times New Roman"/>
          <w:sz w:val="24"/>
          <w:szCs w:val="24"/>
        </w:rPr>
        <w:t xml:space="preserve">Nigam </w:t>
      </w:r>
      <w:r w:rsidRPr="00C32F46">
        <w:rPr>
          <w:rFonts w:ascii="Times New Roman" w:hAnsi="Times New Roman"/>
          <w:i/>
          <w:iCs/>
          <w:sz w:val="24"/>
          <w:szCs w:val="24"/>
        </w:rPr>
        <w:t>et al</w:t>
      </w:r>
      <w:r w:rsidRPr="00C32F46">
        <w:rPr>
          <w:rFonts w:ascii="Times New Roman" w:hAnsi="Times New Roman"/>
          <w:sz w:val="24"/>
          <w:szCs w:val="24"/>
        </w:rPr>
        <w:t>., 2023). Overall, irrigation canals, particularly in Gujarat, are an underutilised resource with significant potential for integrated aquaculture development (</w:t>
      </w:r>
      <w:r w:rsidR="005C21E5" w:rsidRPr="00C32F46">
        <w:rPr>
          <w:rFonts w:ascii="Times New Roman" w:hAnsi="Times New Roman"/>
          <w:sz w:val="24"/>
          <w:szCs w:val="24"/>
        </w:rPr>
        <w:t xml:space="preserve">Li </w:t>
      </w:r>
      <w:r w:rsidR="005C21E5" w:rsidRPr="00C32F46">
        <w:rPr>
          <w:rFonts w:ascii="Times New Roman" w:hAnsi="Times New Roman"/>
          <w:i/>
          <w:iCs/>
          <w:sz w:val="24"/>
          <w:szCs w:val="24"/>
        </w:rPr>
        <w:t>et al</w:t>
      </w:r>
      <w:r w:rsidR="005C21E5" w:rsidRPr="00C32F46">
        <w:rPr>
          <w:rFonts w:ascii="Times New Roman" w:hAnsi="Times New Roman"/>
          <w:sz w:val="24"/>
          <w:szCs w:val="24"/>
        </w:rPr>
        <w:t xml:space="preserve">., 2005; </w:t>
      </w:r>
      <w:r w:rsidRPr="00C32F46">
        <w:rPr>
          <w:rFonts w:ascii="Times New Roman" w:hAnsi="Times New Roman"/>
          <w:sz w:val="24"/>
          <w:szCs w:val="24"/>
        </w:rPr>
        <w:t xml:space="preserve">Gogoi </w:t>
      </w:r>
      <w:r w:rsidRPr="00C32F46">
        <w:rPr>
          <w:rFonts w:ascii="Times New Roman" w:hAnsi="Times New Roman"/>
          <w:i/>
          <w:iCs/>
          <w:sz w:val="24"/>
          <w:szCs w:val="24"/>
        </w:rPr>
        <w:t>et al.,</w:t>
      </w:r>
      <w:r w:rsidRPr="00C32F46">
        <w:rPr>
          <w:rFonts w:ascii="Times New Roman" w:hAnsi="Times New Roman"/>
          <w:sz w:val="24"/>
          <w:szCs w:val="24"/>
        </w:rPr>
        <w:t xml:space="preserve"> 2021; Sinha </w:t>
      </w:r>
      <w:r w:rsidRPr="00C32F46">
        <w:rPr>
          <w:rFonts w:ascii="Times New Roman" w:hAnsi="Times New Roman"/>
          <w:i/>
          <w:iCs/>
          <w:sz w:val="24"/>
          <w:szCs w:val="24"/>
        </w:rPr>
        <w:t>et al.,</w:t>
      </w:r>
      <w:r w:rsidRPr="00C32F46">
        <w:rPr>
          <w:rFonts w:ascii="Times New Roman" w:hAnsi="Times New Roman"/>
          <w:sz w:val="24"/>
          <w:szCs w:val="24"/>
        </w:rPr>
        <w:t xml:space="preserve"> 2022</w:t>
      </w:r>
      <w:r w:rsidR="005C21E5" w:rsidRPr="00C32F46">
        <w:rPr>
          <w:rFonts w:ascii="Times New Roman" w:hAnsi="Times New Roman"/>
          <w:sz w:val="24"/>
          <w:szCs w:val="24"/>
        </w:rPr>
        <w:t xml:space="preserve">; Nigam </w:t>
      </w:r>
      <w:r w:rsidR="005C21E5" w:rsidRPr="00C32F46">
        <w:rPr>
          <w:rFonts w:ascii="Times New Roman" w:hAnsi="Times New Roman"/>
          <w:i/>
          <w:iCs/>
          <w:sz w:val="24"/>
          <w:szCs w:val="24"/>
        </w:rPr>
        <w:t>et al.,</w:t>
      </w:r>
      <w:r w:rsidR="005C21E5" w:rsidRPr="00C32F46">
        <w:rPr>
          <w:rFonts w:ascii="Times New Roman" w:hAnsi="Times New Roman"/>
          <w:sz w:val="24"/>
          <w:szCs w:val="24"/>
        </w:rPr>
        <w:t xml:space="preserve"> 2023</w:t>
      </w:r>
      <w:r w:rsidRPr="00C32F46">
        <w:rPr>
          <w:rFonts w:ascii="Times New Roman" w:hAnsi="Times New Roman"/>
          <w:sz w:val="24"/>
          <w:szCs w:val="24"/>
        </w:rPr>
        <w:t>).</w:t>
      </w:r>
    </w:p>
    <w:p w14:paraId="6A1A3199" w14:textId="4B94A290" w:rsidR="00355F98" w:rsidRPr="00C32F46" w:rsidRDefault="00355F98" w:rsidP="00AE1BA5">
      <w:pPr>
        <w:spacing w:line="360" w:lineRule="auto"/>
        <w:ind w:firstLine="720"/>
        <w:jc w:val="both"/>
        <w:rPr>
          <w:rFonts w:ascii="Times New Roman" w:hAnsi="Times New Roman"/>
          <w:sz w:val="24"/>
          <w:szCs w:val="24"/>
        </w:rPr>
      </w:pPr>
      <w:r w:rsidRPr="00C32F46">
        <w:rPr>
          <w:rFonts w:ascii="Times New Roman" w:hAnsi="Times New Roman"/>
          <w:i/>
          <w:sz w:val="24"/>
          <w:szCs w:val="24"/>
        </w:rPr>
        <w:t xml:space="preserve">Pangasius spp., </w:t>
      </w:r>
      <w:r w:rsidRPr="00C32F46">
        <w:rPr>
          <w:rFonts w:ascii="Times New Roman" w:hAnsi="Times New Roman"/>
          <w:iCs/>
          <w:sz w:val="24"/>
          <w:szCs w:val="24"/>
        </w:rPr>
        <w:t>a fast-growing freshwater species native to Southeast Asia, is widely cultured for its ability to adapt to changing temperature, pH, and dissolved oxygen conditions, as well as its efficient, omnivorous feed conversion, with production expanding far beyond its native range after its introduction to Bangladesh in the 1990s and the development of induced breeding techniques (Huq and Rahman, 2022). Its cage culture</w:t>
      </w:r>
      <w:r w:rsidR="005C21E5" w:rsidRPr="00C32F46">
        <w:rPr>
          <w:rFonts w:ascii="Times New Roman" w:hAnsi="Times New Roman"/>
          <w:iCs/>
          <w:sz w:val="24"/>
          <w:szCs w:val="24"/>
        </w:rPr>
        <w:t xml:space="preserve"> </w:t>
      </w:r>
      <w:r w:rsidRPr="00C32F46">
        <w:rPr>
          <w:rFonts w:ascii="Times New Roman" w:hAnsi="Times New Roman"/>
          <w:iCs/>
          <w:sz w:val="24"/>
          <w:szCs w:val="24"/>
        </w:rPr>
        <w:t>using floating or fixed net cages in reservoirs, ponds, and swamp systems</w:t>
      </w:r>
      <w:r w:rsidR="005C21E5" w:rsidRPr="00C32F46">
        <w:rPr>
          <w:rFonts w:ascii="Times New Roman" w:hAnsi="Times New Roman"/>
          <w:iCs/>
          <w:sz w:val="24"/>
          <w:szCs w:val="24"/>
        </w:rPr>
        <w:t xml:space="preserve"> </w:t>
      </w:r>
      <w:r w:rsidRPr="00C32F46">
        <w:rPr>
          <w:rFonts w:ascii="Times New Roman" w:hAnsi="Times New Roman"/>
          <w:iCs/>
          <w:sz w:val="24"/>
          <w:szCs w:val="24"/>
        </w:rPr>
        <w:t xml:space="preserve">supports higher stocking densities and better resource </w:t>
      </w:r>
      <w:r w:rsidRPr="00C32F46">
        <w:rPr>
          <w:rFonts w:ascii="Times New Roman" w:hAnsi="Times New Roman"/>
          <w:iCs/>
          <w:sz w:val="24"/>
          <w:szCs w:val="24"/>
        </w:rPr>
        <w:lastRenderedPageBreak/>
        <w:t>use than traditional pond culture (</w:t>
      </w:r>
      <w:r w:rsidR="005C21E5" w:rsidRPr="00C32F46">
        <w:rPr>
          <w:rFonts w:ascii="Times New Roman" w:hAnsi="Times New Roman"/>
          <w:iCs/>
          <w:sz w:val="24"/>
          <w:szCs w:val="24"/>
        </w:rPr>
        <w:t xml:space="preserve">Vaishnav </w:t>
      </w:r>
      <w:r w:rsidR="005C21E5" w:rsidRPr="00C32F46">
        <w:rPr>
          <w:rFonts w:ascii="Times New Roman" w:hAnsi="Times New Roman"/>
          <w:i/>
          <w:sz w:val="24"/>
          <w:szCs w:val="24"/>
        </w:rPr>
        <w:t>et al.,</w:t>
      </w:r>
      <w:r w:rsidR="005C21E5" w:rsidRPr="00C32F46">
        <w:rPr>
          <w:rFonts w:ascii="Times New Roman" w:hAnsi="Times New Roman"/>
          <w:iCs/>
          <w:sz w:val="24"/>
          <w:szCs w:val="24"/>
        </w:rPr>
        <w:t xml:space="preserve"> 2017; </w:t>
      </w:r>
      <w:r w:rsidRPr="00C32F46">
        <w:rPr>
          <w:rFonts w:ascii="Times New Roman" w:hAnsi="Times New Roman"/>
          <w:iCs/>
          <w:sz w:val="24"/>
          <w:szCs w:val="24"/>
        </w:rPr>
        <w:t xml:space="preserve">Chaudhari </w:t>
      </w:r>
      <w:r w:rsidRPr="00C32F46">
        <w:rPr>
          <w:rFonts w:ascii="Times New Roman" w:hAnsi="Times New Roman"/>
          <w:i/>
          <w:sz w:val="24"/>
          <w:szCs w:val="24"/>
        </w:rPr>
        <w:t>et al</w:t>
      </w:r>
      <w:r w:rsidRPr="00C32F46">
        <w:rPr>
          <w:rFonts w:ascii="Times New Roman" w:hAnsi="Times New Roman"/>
          <w:iCs/>
          <w:sz w:val="24"/>
          <w:szCs w:val="24"/>
        </w:rPr>
        <w:t>., 2022;). However, high stocking densities also raise disease risk, including bacterial infection from multidrug-resistant, which is associated with considerable mortality and financial loss, making biosecurity and routine health monitoring essential</w:t>
      </w:r>
      <w:r w:rsidR="00F9401E" w:rsidRPr="00C32F46">
        <w:rPr>
          <w:rFonts w:ascii="Times New Roman" w:hAnsi="Times New Roman"/>
          <w:sz w:val="24"/>
          <w:szCs w:val="24"/>
        </w:rPr>
        <w:t xml:space="preserve"> (Das </w:t>
      </w:r>
      <w:r w:rsidR="00F9401E" w:rsidRPr="00C32F46">
        <w:rPr>
          <w:rFonts w:ascii="Times New Roman" w:hAnsi="Times New Roman"/>
          <w:i/>
          <w:sz w:val="24"/>
          <w:szCs w:val="24"/>
        </w:rPr>
        <w:t>et al.</w:t>
      </w:r>
      <w:r w:rsidR="00F9401E" w:rsidRPr="00C32F46">
        <w:rPr>
          <w:rFonts w:ascii="Times New Roman" w:hAnsi="Times New Roman"/>
          <w:sz w:val="24"/>
          <w:szCs w:val="24"/>
        </w:rPr>
        <w:t xml:space="preserve">, 2024; Rathod </w:t>
      </w:r>
      <w:r w:rsidR="00F9401E" w:rsidRPr="00C32F46">
        <w:rPr>
          <w:rFonts w:ascii="Times New Roman" w:hAnsi="Times New Roman"/>
          <w:i/>
          <w:sz w:val="24"/>
          <w:szCs w:val="24"/>
        </w:rPr>
        <w:t>et al.</w:t>
      </w:r>
      <w:r w:rsidR="00F9401E" w:rsidRPr="00C32F46">
        <w:rPr>
          <w:rFonts w:ascii="Times New Roman" w:hAnsi="Times New Roman"/>
          <w:sz w:val="24"/>
          <w:szCs w:val="24"/>
        </w:rPr>
        <w:t xml:space="preserve">, 2024). </w:t>
      </w:r>
      <w:r w:rsidRPr="00C32F46">
        <w:rPr>
          <w:rFonts w:ascii="Times New Roman" w:hAnsi="Times New Roman"/>
          <w:sz w:val="24"/>
          <w:szCs w:val="24"/>
        </w:rPr>
        <w:t>Optimal growth is related with pH 8.0-8.5, dissolved oxygen over 8 mg/L, temperatures of 24-25°C, and pelleted feeding at around 5% of body weight per day supplemented with probiotics (</w:t>
      </w:r>
      <w:r w:rsidR="005C21E5" w:rsidRPr="00C32F46">
        <w:rPr>
          <w:rFonts w:ascii="Times New Roman" w:hAnsi="Times New Roman"/>
          <w:sz w:val="24"/>
          <w:szCs w:val="24"/>
        </w:rPr>
        <w:t xml:space="preserve">Vaishnav </w:t>
      </w:r>
      <w:r w:rsidR="005C21E5" w:rsidRPr="00C32F46">
        <w:rPr>
          <w:rFonts w:ascii="Times New Roman" w:hAnsi="Times New Roman"/>
          <w:i/>
          <w:iCs/>
          <w:sz w:val="24"/>
          <w:szCs w:val="24"/>
        </w:rPr>
        <w:t>et al.,</w:t>
      </w:r>
      <w:r w:rsidR="005C21E5" w:rsidRPr="00C32F46">
        <w:rPr>
          <w:rFonts w:ascii="Times New Roman" w:hAnsi="Times New Roman"/>
          <w:sz w:val="24"/>
          <w:szCs w:val="24"/>
        </w:rPr>
        <w:t xml:space="preserve"> 2017; </w:t>
      </w:r>
      <w:r w:rsidRPr="00C32F46">
        <w:rPr>
          <w:rFonts w:ascii="Times New Roman" w:hAnsi="Times New Roman"/>
          <w:sz w:val="24"/>
          <w:szCs w:val="24"/>
        </w:rPr>
        <w:t xml:space="preserve">Chaudhari </w:t>
      </w:r>
      <w:r w:rsidRPr="00C32F46">
        <w:rPr>
          <w:rFonts w:ascii="Times New Roman" w:hAnsi="Times New Roman"/>
          <w:i/>
          <w:iCs/>
          <w:sz w:val="24"/>
          <w:szCs w:val="24"/>
        </w:rPr>
        <w:t>et al</w:t>
      </w:r>
      <w:r w:rsidRPr="00C32F46">
        <w:rPr>
          <w:rFonts w:ascii="Times New Roman" w:hAnsi="Times New Roman"/>
          <w:sz w:val="24"/>
          <w:szCs w:val="24"/>
        </w:rPr>
        <w:t xml:space="preserve">., 2022). Economically, the species contributes significantly to rural livelihoods approximately 14,000 cages in Indian reservoirs account for nearly 16% of total fish output and generate over seven lakh man-days of labour each year but high initial investment and fluctuating market prices limit profitability for small-scale farmers, a barrier that cost-effective designs such as galvanized-iron cages may help address (Pandit </w:t>
      </w:r>
      <w:r w:rsidRPr="00C32F46">
        <w:rPr>
          <w:rFonts w:ascii="Times New Roman" w:hAnsi="Times New Roman"/>
          <w:i/>
          <w:iCs/>
          <w:sz w:val="24"/>
          <w:szCs w:val="24"/>
        </w:rPr>
        <w:t>et al.,</w:t>
      </w:r>
      <w:r w:rsidRPr="00C32F46">
        <w:rPr>
          <w:rFonts w:ascii="Times New Roman" w:hAnsi="Times New Roman"/>
          <w:sz w:val="24"/>
          <w:szCs w:val="24"/>
        </w:rPr>
        <w:t xml:space="preserve"> 2021). </w:t>
      </w:r>
      <w:r w:rsidRPr="00C32F46">
        <w:rPr>
          <w:rFonts w:ascii="Times New Roman" w:hAnsi="Times New Roman"/>
          <w:i/>
          <w:iCs/>
          <w:sz w:val="24"/>
          <w:szCs w:val="24"/>
        </w:rPr>
        <w:t xml:space="preserve">Pangasius </w:t>
      </w:r>
      <w:proofErr w:type="spellStart"/>
      <w:r w:rsidRPr="00C32F46">
        <w:rPr>
          <w:rFonts w:ascii="Times New Roman" w:hAnsi="Times New Roman"/>
          <w:i/>
          <w:iCs/>
          <w:sz w:val="24"/>
          <w:szCs w:val="24"/>
        </w:rPr>
        <w:t>hypophthalmus</w:t>
      </w:r>
      <w:proofErr w:type="spellEnd"/>
      <w:r w:rsidRPr="00C32F46">
        <w:rPr>
          <w:rFonts w:ascii="Times New Roman" w:hAnsi="Times New Roman"/>
          <w:sz w:val="24"/>
          <w:szCs w:val="24"/>
        </w:rPr>
        <w:t xml:space="preserve"> is well suited to cage culture due to its fast growth, broad environmental tolerance, and efficient feed conversion</w:t>
      </w:r>
      <w:r w:rsidR="005C21E5" w:rsidRPr="00C32F46">
        <w:rPr>
          <w:rFonts w:ascii="Times New Roman" w:hAnsi="Times New Roman"/>
          <w:sz w:val="24"/>
          <w:szCs w:val="24"/>
        </w:rPr>
        <w:t xml:space="preserve"> </w:t>
      </w:r>
      <w:r w:rsidRPr="00C32F46">
        <w:rPr>
          <w:rFonts w:ascii="Times New Roman" w:hAnsi="Times New Roman"/>
          <w:sz w:val="24"/>
          <w:szCs w:val="24"/>
        </w:rPr>
        <w:t>with optimal performance near a stocking density of 2,600 fingerlings per cage</w:t>
      </w:r>
      <w:r w:rsidR="005C21E5" w:rsidRPr="00C32F46">
        <w:rPr>
          <w:rFonts w:ascii="Times New Roman" w:hAnsi="Times New Roman"/>
          <w:sz w:val="24"/>
          <w:szCs w:val="24"/>
        </w:rPr>
        <w:t xml:space="preserve"> </w:t>
      </w:r>
      <w:r w:rsidRPr="00C32F46">
        <w:rPr>
          <w:rFonts w:ascii="Times New Roman" w:hAnsi="Times New Roman"/>
          <w:sz w:val="24"/>
          <w:szCs w:val="24"/>
        </w:rPr>
        <w:t>provided input costs and market variability are offset through cost-effective technologies and integrated approaches such as polyculture (</w:t>
      </w:r>
      <w:r w:rsidR="005C21E5" w:rsidRPr="00C32F46">
        <w:rPr>
          <w:rFonts w:ascii="Times New Roman" w:hAnsi="Times New Roman"/>
          <w:sz w:val="24"/>
          <w:szCs w:val="24"/>
        </w:rPr>
        <w:t xml:space="preserve">Pandit </w:t>
      </w:r>
      <w:r w:rsidR="005C21E5" w:rsidRPr="00C32F46">
        <w:rPr>
          <w:rFonts w:ascii="Times New Roman" w:hAnsi="Times New Roman"/>
          <w:i/>
          <w:iCs/>
          <w:sz w:val="24"/>
          <w:szCs w:val="24"/>
        </w:rPr>
        <w:t>et al</w:t>
      </w:r>
      <w:r w:rsidR="005C21E5" w:rsidRPr="00C32F46">
        <w:rPr>
          <w:rFonts w:ascii="Times New Roman" w:hAnsi="Times New Roman"/>
          <w:sz w:val="24"/>
          <w:szCs w:val="24"/>
        </w:rPr>
        <w:t xml:space="preserve">., 2021; </w:t>
      </w:r>
      <w:r w:rsidRPr="00C32F46">
        <w:rPr>
          <w:rFonts w:ascii="Times New Roman" w:hAnsi="Times New Roman"/>
          <w:sz w:val="24"/>
          <w:szCs w:val="24"/>
        </w:rPr>
        <w:t xml:space="preserve">Chaudhari </w:t>
      </w:r>
      <w:r w:rsidRPr="00C32F46">
        <w:rPr>
          <w:rFonts w:ascii="Times New Roman" w:hAnsi="Times New Roman"/>
          <w:i/>
          <w:iCs/>
          <w:sz w:val="24"/>
          <w:szCs w:val="24"/>
        </w:rPr>
        <w:t>et al</w:t>
      </w:r>
      <w:r w:rsidRPr="00C32F46">
        <w:rPr>
          <w:rFonts w:ascii="Times New Roman" w:hAnsi="Times New Roman"/>
          <w:sz w:val="24"/>
          <w:szCs w:val="24"/>
        </w:rPr>
        <w:t>., 2022;</w:t>
      </w:r>
      <w:r w:rsidR="005C21E5" w:rsidRPr="00C32F46">
        <w:rPr>
          <w:rFonts w:ascii="Times New Roman" w:hAnsi="Times New Roman"/>
          <w:sz w:val="24"/>
          <w:szCs w:val="24"/>
        </w:rPr>
        <w:t xml:space="preserve"> </w:t>
      </w:r>
      <w:r w:rsidRPr="00C32F46">
        <w:rPr>
          <w:rFonts w:ascii="Times New Roman" w:hAnsi="Times New Roman"/>
          <w:sz w:val="24"/>
          <w:szCs w:val="24"/>
        </w:rPr>
        <w:t xml:space="preserve">Kunda </w:t>
      </w:r>
      <w:r w:rsidRPr="00C32F46">
        <w:rPr>
          <w:rFonts w:ascii="Times New Roman" w:hAnsi="Times New Roman"/>
          <w:i/>
          <w:iCs/>
          <w:sz w:val="24"/>
          <w:szCs w:val="24"/>
        </w:rPr>
        <w:t>et al.,</w:t>
      </w:r>
      <w:r w:rsidRPr="00C32F46">
        <w:rPr>
          <w:rFonts w:ascii="Times New Roman" w:hAnsi="Times New Roman"/>
          <w:sz w:val="24"/>
          <w:szCs w:val="24"/>
        </w:rPr>
        <w:t xml:space="preserve"> 2022; Perveen </w:t>
      </w:r>
      <w:r w:rsidRPr="00C32F46">
        <w:rPr>
          <w:rFonts w:ascii="Times New Roman" w:hAnsi="Times New Roman"/>
          <w:i/>
          <w:iCs/>
          <w:sz w:val="24"/>
          <w:szCs w:val="24"/>
        </w:rPr>
        <w:t>et al.,</w:t>
      </w:r>
      <w:r w:rsidRPr="00C32F46">
        <w:rPr>
          <w:rFonts w:ascii="Times New Roman" w:hAnsi="Times New Roman"/>
          <w:sz w:val="24"/>
          <w:szCs w:val="24"/>
        </w:rPr>
        <w:t xml:space="preserve"> 2023; </w:t>
      </w:r>
      <w:r w:rsidR="005C21E5" w:rsidRPr="00C32F46">
        <w:rPr>
          <w:rFonts w:ascii="Times New Roman" w:hAnsi="Times New Roman"/>
          <w:sz w:val="24"/>
          <w:szCs w:val="24"/>
        </w:rPr>
        <w:t xml:space="preserve">Das </w:t>
      </w:r>
      <w:r w:rsidR="005C21E5" w:rsidRPr="00C32F46">
        <w:rPr>
          <w:rFonts w:ascii="Times New Roman" w:hAnsi="Times New Roman"/>
          <w:i/>
          <w:iCs/>
          <w:sz w:val="24"/>
          <w:szCs w:val="24"/>
        </w:rPr>
        <w:t xml:space="preserve">et al., </w:t>
      </w:r>
      <w:r w:rsidR="005C21E5" w:rsidRPr="00C32F46">
        <w:rPr>
          <w:rFonts w:ascii="Times New Roman" w:hAnsi="Times New Roman"/>
          <w:sz w:val="24"/>
          <w:szCs w:val="24"/>
        </w:rPr>
        <w:t xml:space="preserve">2024; </w:t>
      </w:r>
      <w:r w:rsidRPr="00C32F46">
        <w:rPr>
          <w:rFonts w:ascii="Times New Roman" w:hAnsi="Times New Roman"/>
          <w:sz w:val="24"/>
          <w:szCs w:val="24"/>
        </w:rPr>
        <w:t xml:space="preserve">Rathod </w:t>
      </w:r>
      <w:r w:rsidRPr="00C32F46">
        <w:rPr>
          <w:rFonts w:ascii="Times New Roman" w:hAnsi="Times New Roman"/>
          <w:i/>
          <w:iCs/>
          <w:sz w:val="24"/>
          <w:szCs w:val="24"/>
        </w:rPr>
        <w:t>et al</w:t>
      </w:r>
      <w:r w:rsidRPr="00C32F46">
        <w:rPr>
          <w:rFonts w:ascii="Times New Roman" w:hAnsi="Times New Roman"/>
          <w:sz w:val="24"/>
          <w:szCs w:val="24"/>
        </w:rPr>
        <w:t>.</w:t>
      </w:r>
      <w:r w:rsidR="0052577B" w:rsidRPr="00C32F46">
        <w:rPr>
          <w:rFonts w:ascii="Times New Roman" w:hAnsi="Times New Roman"/>
          <w:sz w:val="24"/>
          <w:szCs w:val="24"/>
        </w:rPr>
        <w:t>, 2024</w:t>
      </w:r>
      <w:r w:rsidR="005C21E5" w:rsidRPr="00C32F46">
        <w:rPr>
          <w:rFonts w:ascii="Times New Roman" w:hAnsi="Times New Roman"/>
          <w:sz w:val="24"/>
          <w:szCs w:val="24"/>
        </w:rPr>
        <w:t>).</w:t>
      </w:r>
      <w:r w:rsidRPr="00C32F46">
        <w:rPr>
          <w:rFonts w:ascii="Times New Roman" w:hAnsi="Times New Roman"/>
          <w:sz w:val="24"/>
          <w:szCs w:val="24"/>
        </w:rPr>
        <w:t xml:space="preserve"> Assessing its growth, survival, and output under specific cultural circumstances is thus critical to improving farming operations and cage aquaculture's sustainability and profitability.</w:t>
      </w:r>
    </w:p>
    <w:p w14:paraId="2A740582" w14:textId="5CF5C6CB" w:rsidR="00441C61" w:rsidRPr="00C32F46" w:rsidRDefault="004B120E"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 xml:space="preserve">2. </w:t>
      </w:r>
      <w:r w:rsidR="0092599E" w:rsidRPr="00C32F46">
        <w:rPr>
          <w:rFonts w:ascii="Times New Roman" w:hAnsi="Times New Roman" w:cs="Times New Roman"/>
          <w:b/>
          <w:bCs/>
          <w:sz w:val="24"/>
          <w:szCs w:val="24"/>
        </w:rPr>
        <w:t>Material and Method</w:t>
      </w:r>
    </w:p>
    <w:p w14:paraId="0DA8E2B5" w14:textId="0F301757" w:rsidR="0092599E" w:rsidRPr="00C32F46" w:rsidRDefault="004B120E" w:rsidP="00AE1BA5">
      <w:pPr>
        <w:spacing w:line="360" w:lineRule="auto"/>
        <w:jc w:val="both"/>
        <w:rPr>
          <w:rFonts w:ascii="Times New Roman" w:hAnsi="Times New Roman" w:cs="Times New Roman"/>
          <w:b/>
          <w:bCs/>
          <w:sz w:val="24"/>
          <w:szCs w:val="24"/>
        </w:rPr>
      </w:pPr>
      <w:r w:rsidRPr="00C32F46">
        <w:rPr>
          <w:rFonts w:ascii="Times New Roman" w:hAnsi="Times New Roman"/>
          <w:b/>
          <w:sz w:val="24"/>
          <w:szCs w:val="24"/>
        </w:rPr>
        <w:t>2</w:t>
      </w:r>
      <w:r w:rsidR="0092599E" w:rsidRPr="00C32F46">
        <w:rPr>
          <w:rFonts w:ascii="Times New Roman" w:hAnsi="Times New Roman"/>
          <w:b/>
          <w:sz w:val="24"/>
          <w:szCs w:val="24"/>
        </w:rPr>
        <w:t>.1 Study Site</w:t>
      </w:r>
    </w:p>
    <w:p w14:paraId="22DE029E" w14:textId="1EFFA11F" w:rsidR="00751DC1" w:rsidRDefault="001D2C37" w:rsidP="00AE1BA5">
      <w:pPr>
        <w:spacing w:line="360" w:lineRule="auto"/>
        <w:jc w:val="both"/>
        <w:rPr>
          <w:rFonts w:ascii="Times New Roman" w:hAnsi="Times New Roman"/>
          <w:sz w:val="24"/>
          <w:szCs w:val="24"/>
        </w:rPr>
      </w:pPr>
      <w:r w:rsidRPr="00C32F46">
        <w:rPr>
          <w:rFonts w:ascii="Times New Roman" w:hAnsi="Times New Roman"/>
          <w:sz w:val="24"/>
          <w:szCs w:val="24"/>
        </w:rPr>
        <w:tab/>
      </w:r>
      <w:r w:rsidR="00355F98" w:rsidRPr="00C32F46">
        <w:rPr>
          <w:rFonts w:ascii="Times New Roman" w:hAnsi="Times New Roman"/>
          <w:sz w:val="24"/>
          <w:szCs w:val="24"/>
        </w:rPr>
        <w:t xml:space="preserve">The study was conducted in an irrigation canal near </w:t>
      </w:r>
      <w:proofErr w:type="spellStart"/>
      <w:r w:rsidR="00355F98" w:rsidRPr="00C32F46">
        <w:rPr>
          <w:rFonts w:ascii="Times New Roman" w:hAnsi="Times New Roman"/>
          <w:sz w:val="24"/>
          <w:szCs w:val="24"/>
        </w:rPr>
        <w:t>Gun</w:t>
      </w:r>
      <w:r w:rsidR="00E312E9" w:rsidRPr="00C32F46">
        <w:rPr>
          <w:rFonts w:ascii="Times New Roman" w:hAnsi="Times New Roman"/>
          <w:sz w:val="24"/>
          <w:szCs w:val="24"/>
        </w:rPr>
        <w:t>sa</w:t>
      </w:r>
      <w:r w:rsidR="00355F98" w:rsidRPr="00C32F46">
        <w:rPr>
          <w:rFonts w:ascii="Times New Roman" w:hAnsi="Times New Roman"/>
          <w:sz w:val="24"/>
          <w:szCs w:val="24"/>
        </w:rPr>
        <w:t>da</w:t>
      </w:r>
      <w:proofErr w:type="spellEnd"/>
      <w:r w:rsidR="00355F98" w:rsidRPr="00C32F46">
        <w:rPr>
          <w:rFonts w:ascii="Times New Roman" w:hAnsi="Times New Roman"/>
          <w:sz w:val="24"/>
          <w:szCs w:val="24"/>
        </w:rPr>
        <w:t xml:space="preserve"> village (21°11′11.94″N, 73°33′52.00″E)</w:t>
      </w:r>
      <w:r w:rsidR="00DA34DA" w:rsidRPr="00C32F46">
        <w:rPr>
          <w:rFonts w:ascii="Times New Roman" w:hAnsi="Times New Roman"/>
          <w:sz w:val="24"/>
          <w:szCs w:val="24"/>
        </w:rPr>
        <w:t xml:space="preserve"> that connects Ukai reservoir</w:t>
      </w:r>
      <w:r w:rsidR="00355F98" w:rsidRPr="00C32F46">
        <w:rPr>
          <w:rFonts w:ascii="Times New Roman" w:hAnsi="Times New Roman"/>
          <w:sz w:val="24"/>
          <w:szCs w:val="24"/>
        </w:rPr>
        <w:t xml:space="preserve"> in</w:t>
      </w:r>
      <w:r w:rsidR="007A102E" w:rsidRPr="00C32F46">
        <w:rPr>
          <w:rFonts w:ascii="Times New Roman" w:hAnsi="Times New Roman"/>
          <w:sz w:val="24"/>
          <w:szCs w:val="24"/>
        </w:rPr>
        <w:t xml:space="preserve"> Tapi district</w:t>
      </w:r>
      <w:r w:rsidR="0025786E" w:rsidRPr="00C32F46">
        <w:rPr>
          <w:rFonts w:ascii="Times New Roman" w:hAnsi="Times New Roman"/>
          <w:sz w:val="24"/>
          <w:szCs w:val="24"/>
        </w:rPr>
        <w:t xml:space="preserve"> in </w:t>
      </w:r>
      <w:r w:rsidR="00355F98" w:rsidRPr="00C32F46">
        <w:rPr>
          <w:rFonts w:ascii="Times New Roman" w:hAnsi="Times New Roman"/>
          <w:sz w:val="24"/>
          <w:szCs w:val="24"/>
        </w:rPr>
        <w:t>Gujarat, India, which draws a steady and permanent water supply from the Ukai reservoir system. The site was chosen</w:t>
      </w:r>
      <w:r w:rsidR="00B339D8">
        <w:rPr>
          <w:rFonts w:ascii="Times New Roman" w:hAnsi="Times New Roman"/>
          <w:sz w:val="24"/>
          <w:szCs w:val="24"/>
        </w:rPr>
        <w:t xml:space="preserve"> (figure 1)</w:t>
      </w:r>
      <w:r w:rsidR="00355F98" w:rsidRPr="00C32F46">
        <w:rPr>
          <w:rFonts w:ascii="Times New Roman" w:hAnsi="Times New Roman"/>
          <w:sz w:val="24"/>
          <w:szCs w:val="24"/>
        </w:rPr>
        <w:t xml:space="preserve"> for its consistent flow, modest depth, and good water exchange, as well as its location within an agriculturally dominated canal network that allowed cage culture to be integrated without interfering with irrigation activities.</w:t>
      </w:r>
    </w:p>
    <w:p w14:paraId="1FB745EC" w14:textId="77535DF5" w:rsidR="00827C4C" w:rsidRPr="00C32F46" w:rsidRDefault="00CC713B" w:rsidP="00AE1BA5">
      <w:pPr>
        <w:spacing w:line="360" w:lineRule="auto"/>
        <w:jc w:val="both"/>
        <w:rPr>
          <w:rFonts w:ascii="Times New Roman" w:hAnsi="Times New Roman"/>
          <w:sz w:val="24"/>
          <w:szCs w:val="24"/>
        </w:rPr>
      </w:pPr>
      <w:r w:rsidRPr="00C32F46">
        <w:rPr>
          <w:rFonts w:ascii="Times New Roman" w:hAnsi="Times New Roman"/>
          <w:b/>
          <w:bCs/>
          <w:sz w:val="24"/>
          <w:szCs w:val="24"/>
        </w:rPr>
        <w:t>2.2</w:t>
      </w:r>
      <w:r w:rsidR="00827C4C" w:rsidRPr="00C32F46">
        <w:rPr>
          <w:rFonts w:ascii="Times New Roman" w:hAnsi="Times New Roman"/>
          <w:b/>
          <w:sz w:val="24"/>
          <w:szCs w:val="24"/>
        </w:rPr>
        <w:t xml:space="preserve"> Experimental Animal</w:t>
      </w:r>
    </w:p>
    <w:p w14:paraId="67D167EC" w14:textId="25778D5E" w:rsidR="0092599E" w:rsidRPr="00C32F46" w:rsidRDefault="00355F98" w:rsidP="00AE1BA5">
      <w:pPr>
        <w:spacing w:line="360" w:lineRule="auto"/>
        <w:ind w:firstLine="720"/>
        <w:jc w:val="both"/>
        <w:rPr>
          <w:rFonts w:ascii="Times New Roman" w:hAnsi="Times New Roman"/>
          <w:sz w:val="24"/>
          <w:szCs w:val="24"/>
        </w:rPr>
      </w:pPr>
      <w:r w:rsidRPr="00C32F46">
        <w:rPr>
          <w:rFonts w:ascii="Times New Roman" w:hAnsi="Times New Roman"/>
          <w:i/>
          <w:iCs/>
          <w:sz w:val="24"/>
          <w:szCs w:val="24"/>
        </w:rPr>
        <w:t>Pangasius spp</w:t>
      </w:r>
      <w:r w:rsidRPr="00C32F46">
        <w:rPr>
          <w:rFonts w:ascii="Times New Roman" w:hAnsi="Times New Roman"/>
          <w:sz w:val="24"/>
          <w:szCs w:val="24"/>
        </w:rPr>
        <w:t xml:space="preserve">., a fast-growing freshwater species tolerant of low dissolved oxygen and high stocking density, was chosen as the experimental animal due to its proven adaptability for cage-based rearing. A registered hatchery provided uniform-sized fingerlings (~25 g) that were </w:t>
      </w:r>
      <w:r w:rsidRPr="00C32F46">
        <w:rPr>
          <w:rFonts w:ascii="Times New Roman" w:hAnsi="Times New Roman"/>
          <w:sz w:val="24"/>
          <w:szCs w:val="24"/>
        </w:rPr>
        <w:lastRenderedPageBreak/>
        <w:t>gradually acclimatised to canal water by mixing it with transport water before stocking. floaters, 25 mm polyester netting, and water-resistant rope anchors.</w:t>
      </w:r>
    </w:p>
    <w:p w14:paraId="1F15FC9A" w14:textId="48F785DC" w:rsidR="009B798F" w:rsidRPr="00C32F46" w:rsidRDefault="004B120E" w:rsidP="00AE1BA5">
      <w:pPr>
        <w:spacing w:line="360" w:lineRule="auto"/>
        <w:jc w:val="both"/>
        <w:rPr>
          <w:rFonts w:ascii="Times New Roman" w:hAnsi="Times New Roman"/>
          <w:b/>
          <w:sz w:val="24"/>
          <w:szCs w:val="24"/>
        </w:rPr>
      </w:pPr>
      <w:r w:rsidRPr="00894E4D">
        <w:rPr>
          <w:rFonts w:ascii="Times New Roman" w:hAnsi="Times New Roman"/>
          <w:b/>
          <w:sz w:val="24"/>
          <w:szCs w:val="24"/>
        </w:rPr>
        <w:t>2</w:t>
      </w:r>
      <w:r w:rsidR="0092599E" w:rsidRPr="00894E4D">
        <w:rPr>
          <w:rFonts w:ascii="Times New Roman" w:hAnsi="Times New Roman"/>
          <w:b/>
          <w:sz w:val="24"/>
          <w:szCs w:val="24"/>
        </w:rPr>
        <w:t>.</w:t>
      </w:r>
      <w:r w:rsidR="00812483" w:rsidRPr="00894E4D">
        <w:rPr>
          <w:rFonts w:ascii="Times New Roman" w:hAnsi="Times New Roman"/>
          <w:b/>
          <w:sz w:val="24"/>
          <w:szCs w:val="24"/>
        </w:rPr>
        <w:t>3</w:t>
      </w:r>
      <w:r w:rsidR="009B798F" w:rsidRPr="00894E4D">
        <w:rPr>
          <w:rFonts w:ascii="Times New Roman" w:hAnsi="Times New Roman"/>
          <w:b/>
          <w:sz w:val="24"/>
          <w:szCs w:val="24"/>
        </w:rPr>
        <w:t xml:space="preserve"> </w:t>
      </w:r>
      <w:r w:rsidR="00BE563F">
        <w:rPr>
          <w:rFonts w:ascii="Times New Roman" w:hAnsi="Times New Roman"/>
          <w:b/>
          <w:sz w:val="24"/>
          <w:szCs w:val="24"/>
        </w:rPr>
        <w:t>Fabrication and Installation</w:t>
      </w:r>
      <w:r w:rsidR="003A7EE7" w:rsidRPr="00894E4D">
        <w:rPr>
          <w:rFonts w:ascii="Times New Roman" w:hAnsi="Times New Roman"/>
          <w:b/>
          <w:sz w:val="24"/>
          <w:szCs w:val="24"/>
        </w:rPr>
        <w:t xml:space="preserve"> of experimental</w:t>
      </w:r>
      <w:r w:rsidR="009B798F" w:rsidRPr="00894E4D">
        <w:rPr>
          <w:rFonts w:ascii="Times New Roman" w:hAnsi="Times New Roman"/>
          <w:b/>
          <w:sz w:val="24"/>
          <w:szCs w:val="24"/>
        </w:rPr>
        <w:t xml:space="preserve"> </w:t>
      </w:r>
      <w:r w:rsidR="00CC713B" w:rsidRPr="00894E4D">
        <w:rPr>
          <w:rFonts w:ascii="Times New Roman" w:hAnsi="Times New Roman"/>
          <w:b/>
          <w:sz w:val="24"/>
          <w:szCs w:val="24"/>
        </w:rPr>
        <w:t>Cages</w:t>
      </w:r>
    </w:p>
    <w:p w14:paraId="27661202" w14:textId="58417ACF" w:rsidR="00CC713B" w:rsidRDefault="00CC713B" w:rsidP="00AE1BA5">
      <w:pPr>
        <w:spacing w:line="360" w:lineRule="auto"/>
        <w:ind w:firstLine="720"/>
        <w:jc w:val="both"/>
        <w:rPr>
          <w:rFonts w:ascii="Times New Roman" w:hAnsi="Times New Roman"/>
          <w:sz w:val="24"/>
          <w:szCs w:val="24"/>
        </w:rPr>
      </w:pPr>
      <w:r w:rsidRPr="00C32F46">
        <w:rPr>
          <w:rFonts w:ascii="Times New Roman" w:hAnsi="Times New Roman"/>
          <w:sz w:val="24"/>
          <w:szCs w:val="24"/>
        </w:rPr>
        <w:t xml:space="preserve">Three cages (3 m × 2 m × 1.5 m) </w:t>
      </w:r>
      <w:r w:rsidR="00517B56">
        <w:rPr>
          <w:rFonts w:ascii="Times New Roman" w:hAnsi="Times New Roman"/>
          <w:sz w:val="24"/>
          <w:szCs w:val="24"/>
        </w:rPr>
        <w:t xml:space="preserve">made </w:t>
      </w:r>
      <w:r w:rsidRPr="00C32F46">
        <w:rPr>
          <w:rFonts w:ascii="Times New Roman" w:hAnsi="Times New Roman"/>
          <w:sz w:val="24"/>
          <w:szCs w:val="24"/>
        </w:rPr>
        <w:t xml:space="preserve">of galvanised iron (GI), unplasticized polyvinyl chloride (UPVC), and bamboo </w:t>
      </w:r>
      <w:r w:rsidR="00517B56">
        <w:rPr>
          <w:rFonts w:ascii="Times New Roman" w:hAnsi="Times New Roman"/>
          <w:sz w:val="24"/>
          <w:szCs w:val="24"/>
        </w:rPr>
        <w:t xml:space="preserve">were selected </w:t>
      </w:r>
      <w:r w:rsidRPr="00C32F46">
        <w:rPr>
          <w:rFonts w:ascii="Times New Roman" w:hAnsi="Times New Roman"/>
          <w:sz w:val="24"/>
          <w:szCs w:val="24"/>
        </w:rPr>
        <w:t>to evaluate structural performance under identical conditions</w:t>
      </w:r>
      <w:r w:rsidR="00327C56">
        <w:rPr>
          <w:rFonts w:ascii="Times New Roman" w:hAnsi="Times New Roman"/>
          <w:sz w:val="24"/>
          <w:szCs w:val="24"/>
        </w:rPr>
        <w:t xml:space="preserve"> (</w:t>
      </w:r>
      <w:r w:rsidR="005F4595">
        <w:rPr>
          <w:rFonts w:ascii="Times New Roman" w:hAnsi="Times New Roman"/>
          <w:sz w:val="24"/>
          <w:szCs w:val="24"/>
        </w:rPr>
        <w:t>Figure 2)</w:t>
      </w:r>
      <w:r w:rsidRPr="00C32F46">
        <w:rPr>
          <w:rFonts w:ascii="Times New Roman" w:hAnsi="Times New Roman"/>
          <w:sz w:val="24"/>
          <w:szCs w:val="24"/>
        </w:rPr>
        <w:t>. The GI cage consist</w:t>
      </w:r>
      <w:r w:rsidR="005303FF">
        <w:rPr>
          <w:rFonts w:ascii="Times New Roman" w:hAnsi="Times New Roman"/>
          <w:sz w:val="24"/>
          <w:szCs w:val="24"/>
        </w:rPr>
        <w:t>ed</w:t>
      </w:r>
      <w:r w:rsidRPr="00C32F46">
        <w:rPr>
          <w:rFonts w:ascii="Times New Roman" w:hAnsi="Times New Roman"/>
          <w:sz w:val="24"/>
          <w:szCs w:val="24"/>
        </w:rPr>
        <w:t xml:space="preserve"> </w:t>
      </w:r>
      <w:r w:rsidR="005303FF">
        <w:rPr>
          <w:rFonts w:ascii="Times New Roman" w:hAnsi="Times New Roman"/>
          <w:sz w:val="24"/>
          <w:szCs w:val="24"/>
        </w:rPr>
        <w:t>with</w:t>
      </w:r>
      <w:r w:rsidRPr="00C32F46">
        <w:rPr>
          <w:rFonts w:ascii="Times New Roman" w:hAnsi="Times New Roman"/>
          <w:sz w:val="24"/>
          <w:szCs w:val="24"/>
        </w:rPr>
        <w:t xml:space="preserve"> </w:t>
      </w:r>
      <w:r w:rsidR="0059104B">
        <w:rPr>
          <w:rFonts w:ascii="Times New Roman" w:hAnsi="Times New Roman"/>
          <w:sz w:val="24"/>
          <w:szCs w:val="24"/>
        </w:rPr>
        <w:t xml:space="preserve">total of </w:t>
      </w:r>
      <w:r w:rsidRPr="00C32F46">
        <w:rPr>
          <w:rFonts w:ascii="Times New Roman" w:hAnsi="Times New Roman"/>
          <w:sz w:val="24"/>
          <w:szCs w:val="24"/>
        </w:rPr>
        <w:t>10-12 one-inch galvanised pipes welded into a strong frame, while the UPVC cage was made up of 12-14 pipe sections coupled with elbows, tees, and couplers. The bamboo cage was made up of 12-15 poles attached with nails and nylon rope. All three were equipped with capped 3-inch PVC</w:t>
      </w:r>
      <w:r w:rsidR="00DF2251">
        <w:rPr>
          <w:rFonts w:ascii="Times New Roman" w:hAnsi="Times New Roman"/>
          <w:sz w:val="24"/>
          <w:szCs w:val="24"/>
        </w:rPr>
        <w:t xml:space="preserve"> pipes.</w:t>
      </w:r>
    </w:p>
    <w:p w14:paraId="2C28FE90" w14:textId="5A9D78C2" w:rsidR="001402E2" w:rsidRPr="00AE1BA5" w:rsidRDefault="00FB2100" w:rsidP="00AE1BA5">
      <w:pPr>
        <w:spacing w:line="360" w:lineRule="auto"/>
        <w:ind w:firstLine="720"/>
        <w:jc w:val="both"/>
        <w:rPr>
          <w:rFonts w:ascii="Times New Roman" w:hAnsi="Times New Roman"/>
          <w:bCs/>
          <w:sz w:val="24"/>
          <w:szCs w:val="24"/>
        </w:rPr>
      </w:pPr>
      <w:r w:rsidRPr="00FB2100">
        <w:rPr>
          <w:rFonts w:ascii="Times New Roman" w:hAnsi="Times New Roman"/>
          <w:bCs/>
          <w:sz w:val="24"/>
          <w:szCs w:val="24"/>
        </w:rPr>
        <w:t>Experimental cages were installed in the canal under identical environmental conditions to evaluate the influence of cage material on the growth performance and survival of cultured fish. All cages were standardized with respect to dimensions, mesh size, and effective culture volume, differing only in the structural frame material. The cages were securely moored using concrete anchors and nylon ropes, aligned parallel to the prevailing water current, and spaced adequately to ensure unrestricted water exchange and minimize treatment interference. Each cage was suspended above the canal bed to prevent sediment accumulation, enhance waste flushing, and maintain favourable water quality throughout the experimental period. Regular inspections were conducted to verify structural integrity, anchoring stability, and mesh condition, ensuring consistent rearing conditions across all treatments</w:t>
      </w:r>
      <w:r>
        <w:rPr>
          <w:rFonts w:ascii="Times New Roman" w:hAnsi="Times New Roman"/>
          <w:bCs/>
          <w:sz w:val="24"/>
          <w:szCs w:val="24"/>
        </w:rPr>
        <w:t xml:space="preserve">. </w:t>
      </w:r>
    </w:p>
    <w:p w14:paraId="678CC21E" w14:textId="14EB9111" w:rsidR="0092599E" w:rsidRPr="00C32F46" w:rsidRDefault="007E3225" w:rsidP="00AE1BA5">
      <w:pPr>
        <w:spacing w:line="360" w:lineRule="auto"/>
        <w:jc w:val="both"/>
        <w:rPr>
          <w:rFonts w:ascii="Times New Roman" w:hAnsi="Times New Roman" w:cs="Times New Roman"/>
          <w:b/>
          <w:bCs/>
          <w:sz w:val="24"/>
          <w:szCs w:val="24"/>
        </w:rPr>
      </w:pPr>
      <w:r w:rsidRPr="00C32F46">
        <w:rPr>
          <w:rFonts w:ascii="Times New Roman" w:hAnsi="Times New Roman"/>
          <w:b/>
          <w:sz w:val="24"/>
          <w:szCs w:val="24"/>
        </w:rPr>
        <w:t xml:space="preserve">2.4 </w:t>
      </w:r>
      <w:r w:rsidR="0092599E" w:rsidRPr="00C32F46">
        <w:rPr>
          <w:rFonts w:ascii="Times New Roman" w:hAnsi="Times New Roman"/>
          <w:b/>
          <w:sz w:val="24"/>
          <w:szCs w:val="24"/>
        </w:rPr>
        <w:t>Stocking</w:t>
      </w:r>
      <w:r w:rsidR="009B798F" w:rsidRPr="00C32F46">
        <w:rPr>
          <w:rFonts w:ascii="Times New Roman" w:hAnsi="Times New Roman"/>
          <w:b/>
          <w:sz w:val="24"/>
          <w:szCs w:val="24"/>
        </w:rPr>
        <w:t xml:space="preserve"> and fish m</w:t>
      </w:r>
      <w:r w:rsidR="0092599E" w:rsidRPr="00C32F46">
        <w:rPr>
          <w:rFonts w:ascii="Times New Roman" w:hAnsi="Times New Roman"/>
          <w:b/>
          <w:sz w:val="24"/>
          <w:szCs w:val="24"/>
        </w:rPr>
        <w:t>onitoring</w:t>
      </w:r>
    </w:p>
    <w:p w14:paraId="47F2B948" w14:textId="77777777" w:rsidR="009B798F" w:rsidRPr="00C32F46" w:rsidRDefault="001D2C37" w:rsidP="00AE1BA5">
      <w:pPr>
        <w:spacing w:line="360" w:lineRule="auto"/>
        <w:jc w:val="both"/>
        <w:rPr>
          <w:rFonts w:ascii="Times New Roman" w:hAnsi="Times New Roman"/>
          <w:sz w:val="24"/>
          <w:szCs w:val="24"/>
        </w:rPr>
      </w:pPr>
      <w:r w:rsidRPr="00C32F46">
        <w:rPr>
          <w:rFonts w:ascii="Times New Roman" w:hAnsi="Times New Roman"/>
          <w:sz w:val="24"/>
          <w:szCs w:val="24"/>
        </w:rPr>
        <w:tab/>
      </w:r>
      <w:r w:rsidR="00355F98" w:rsidRPr="00C32F46">
        <w:rPr>
          <w:rFonts w:ascii="Times New Roman" w:hAnsi="Times New Roman"/>
          <w:sz w:val="24"/>
          <w:szCs w:val="24"/>
        </w:rPr>
        <w:t>Cages were put in adequately spaced, flow-stable positions to avoid overlap and irrigation interference, and they were fastened to canal-bank structures with 8 mm polyester rope, with periodic inspections to ensure stability throughout the trial.</w:t>
      </w:r>
    </w:p>
    <w:p w14:paraId="1DFFDCA1" w14:textId="121843EE" w:rsidR="0092599E" w:rsidRPr="00C32F46" w:rsidRDefault="00355F98" w:rsidP="00AE1BA5">
      <w:pPr>
        <w:spacing w:line="360" w:lineRule="auto"/>
        <w:ind w:firstLine="720"/>
        <w:jc w:val="both"/>
        <w:rPr>
          <w:rFonts w:ascii="Times New Roman" w:hAnsi="Times New Roman" w:cs="Times New Roman"/>
          <w:sz w:val="24"/>
          <w:szCs w:val="24"/>
        </w:rPr>
      </w:pPr>
      <w:r w:rsidRPr="00C32F46">
        <w:rPr>
          <w:rFonts w:ascii="Times New Roman" w:hAnsi="Times New Roman"/>
          <w:sz w:val="24"/>
          <w:szCs w:val="24"/>
        </w:rPr>
        <w:t xml:space="preserve"> Fingerlings were stocked at a constant density of 30/m³ (Kunda </w:t>
      </w:r>
      <w:r w:rsidRPr="00C32F46">
        <w:rPr>
          <w:rFonts w:ascii="Times New Roman" w:hAnsi="Times New Roman"/>
          <w:i/>
          <w:iCs/>
          <w:sz w:val="24"/>
          <w:szCs w:val="24"/>
        </w:rPr>
        <w:t xml:space="preserve">et al., </w:t>
      </w:r>
      <w:r w:rsidRPr="00C32F46">
        <w:rPr>
          <w:rFonts w:ascii="Times New Roman" w:hAnsi="Times New Roman"/>
          <w:sz w:val="24"/>
          <w:szCs w:val="24"/>
        </w:rPr>
        <w:t>2024), resulting in 270 fish per cage. All cages were stocked on the same day after acclimatisation to reduce handling stress. Fish were fed a commercial pelleted meal at an initial rate of 5% body weight, which was adjusted for growth and delivered twice daily (morning and evening) in equal parts per cage, with feeding behaviour monitored to prevent overfeeding and water-quality deterioration. Temperature, dissolved oxygen, alkalinity, hardness, and pH were monitored at regular intervals using methods to maintain conditions</w:t>
      </w:r>
      <w:r w:rsidR="0092599E" w:rsidRPr="00C32F46">
        <w:rPr>
          <w:rFonts w:ascii="Times New Roman" w:hAnsi="Times New Roman"/>
          <w:sz w:val="24"/>
          <w:szCs w:val="24"/>
        </w:rPr>
        <w:t xml:space="preserve"> within the tolerance range of </w:t>
      </w:r>
      <w:r w:rsidR="0092599E" w:rsidRPr="00C32F46">
        <w:rPr>
          <w:rFonts w:ascii="Times New Roman" w:hAnsi="Times New Roman"/>
          <w:i/>
          <w:sz w:val="24"/>
          <w:szCs w:val="24"/>
        </w:rPr>
        <w:t>Pangasius</w:t>
      </w:r>
      <w:r w:rsidR="0092599E" w:rsidRPr="00C32F46">
        <w:rPr>
          <w:rFonts w:ascii="Times New Roman" w:hAnsi="Times New Roman"/>
          <w:sz w:val="24"/>
          <w:szCs w:val="24"/>
        </w:rPr>
        <w:t xml:space="preserve"> </w:t>
      </w:r>
      <w:proofErr w:type="spellStart"/>
      <w:r w:rsidR="0092599E" w:rsidRPr="00C32F46">
        <w:rPr>
          <w:rFonts w:ascii="Times New Roman" w:hAnsi="Times New Roman"/>
          <w:i/>
          <w:iCs/>
          <w:sz w:val="24"/>
          <w:szCs w:val="24"/>
        </w:rPr>
        <w:t>spp</w:t>
      </w:r>
      <w:proofErr w:type="spellEnd"/>
      <w:r w:rsidR="00FE1289" w:rsidRPr="00C32F46">
        <w:rPr>
          <w:rFonts w:ascii="Times New Roman" w:hAnsi="Times New Roman"/>
          <w:i/>
          <w:iCs/>
          <w:sz w:val="24"/>
          <w:szCs w:val="24"/>
        </w:rPr>
        <w:t xml:space="preserve"> (</w:t>
      </w:r>
      <w:r w:rsidR="00FE1289" w:rsidRPr="00C32F46">
        <w:rPr>
          <w:rFonts w:ascii="Times New Roman" w:hAnsi="Times New Roman"/>
          <w:sz w:val="24"/>
          <w:szCs w:val="24"/>
        </w:rPr>
        <w:t>APHA,1998).</w:t>
      </w:r>
    </w:p>
    <w:p w14:paraId="7BBFDD42" w14:textId="364CA325" w:rsidR="0092599E" w:rsidRPr="00C32F46" w:rsidRDefault="004B120E" w:rsidP="00AE1BA5">
      <w:pPr>
        <w:spacing w:line="360" w:lineRule="auto"/>
        <w:jc w:val="both"/>
        <w:rPr>
          <w:rFonts w:ascii="Times New Roman" w:hAnsi="Times New Roman" w:cs="Times New Roman"/>
          <w:b/>
          <w:bCs/>
          <w:sz w:val="24"/>
          <w:szCs w:val="24"/>
        </w:rPr>
      </w:pPr>
      <w:r w:rsidRPr="00C32F46">
        <w:rPr>
          <w:rFonts w:ascii="Times New Roman" w:hAnsi="Times New Roman"/>
          <w:b/>
          <w:sz w:val="24"/>
          <w:szCs w:val="24"/>
        </w:rPr>
        <w:lastRenderedPageBreak/>
        <w:t>2</w:t>
      </w:r>
      <w:r w:rsidR="0092599E" w:rsidRPr="00C32F46">
        <w:rPr>
          <w:rFonts w:ascii="Times New Roman" w:hAnsi="Times New Roman"/>
          <w:b/>
          <w:sz w:val="24"/>
          <w:szCs w:val="24"/>
        </w:rPr>
        <w:t>.</w:t>
      </w:r>
      <w:r w:rsidR="007E3225" w:rsidRPr="00C32F46">
        <w:rPr>
          <w:rFonts w:ascii="Times New Roman" w:hAnsi="Times New Roman"/>
          <w:b/>
          <w:sz w:val="24"/>
          <w:szCs w:val="24"/>
        </w:rPr>
        <w:t>5</w:t>
      </w:r>
      <w:r w:rsidR="0092599E" w:rsidRPr="00C32F46">
        <w:rPr>
          <w:rFonts w:ascii="Times New Roman" w:hAnsi="Times New Roman"/>
          <w:b/>
          <w:sz w:val="24"/>
          <w:szCs w:val="24"/>
        </w:rPr>
        <w:t xml:space="preserve"> </w:t>
      </w:r>
      <w:r w:rsidR="001810F6" w:rsidRPr="00C32F46">
        <w:rPr>
          <w:rFonts w:ascii="Times New Roman" w:hAnsi="Times New Roman"/>
          <w:b/>
          <w:sz w:val="24"/>
          <w:szCs w:val="24"/>
        </w:rPr>
        <w:t>Fish s</w:t>
      </w:r>
      <w:r w:rsidR="0092599E" w:rsidRPr="00C32F46">
        <w:rPr>
          <w:rFonts w:ascii="Times New Roman" w:hAnsi="Times New Roman"/>
          <w:b/>
          <w:sz w:val="24"/>
          <w:szCs w:val="24"/>
        </w:rPr>
        <w:t>ampling</w:t>
      </w:r>
      <w:r w:rsidR="001810F6" w:rsidRPr="00C32F46">
        <w:rPr>
          <w:rFonts w:ascii="Times New Roman" w:hAnsi="Times New Roman"/>
          <w:b/>
          <w:sz w:val="24"/>
          <w:szCs w:val="24"/>
        </w:rPr>
        <w:t xml:space="preserve"> </w:t>
      </w:r>
      <w:r w:rsidR="00285C39">
        <w:rPr>
          <w:rFonts w:ascii="Times New Roman" w:hAnsi="Times New Roman"/>
          <w:b/>
          <w:sz w:val="24"/>
          <w:szCs w:val="24"/>
        </w:rPr>
        <w:t>and Growth parameters</w:t>
      </w:r>
    </w:p>
    <w:p w14:paraId="0A9825D7" w14:textId="6185A113" w:rsidR="0092599E" w:rsidRPr="00C32F46" w:rsidRDefault="001D2C37" w:rsidP="00AE1BA5">
      <w:pPr>
        <w:spacing w:line="360" w:lineRule="auto"/>
        <w:jc w:val="both"/>
        <w:rPr>
          <w:rFonts w:ascii="Times New Roman" w:hAnsi="Times New Roman" w:cs="Times New Roman"/>
          <w:sz w:val="24"/>
          <w:szCs w:val="24"/>
        </w:rPr>
      </w:pPr>
      <w:r w:rsidRPr="00C32F46">
        <w:rPr>
          <w:rFonts w:ascii="Times New Roman" w:hAnsi="Times New Roman"/>
          <w:sz w:val="24"/>
          <w:szCs w:val="24"/>
        </w:rPr>
        <w:tab/>
      </w:r>
      <w:r w:rsidR="0092599E" w:rsidRPr="00C32F46">
        <w:rPr>
          <w:rFonts w:ascii="Times New Roman" w:hAnsi="Times New Roman"/>
          <w:sz w:val="24"/>
          <w:szCs w:val="24"/>
        </w:rPr>
        <w:t>Fish were sampled fortnightly using hand nets to minimize stress, weighed on a digital balance, and returned to their cages. Growth performance was evaluated from initial and final body weights, using weight gain, average daily growth (ADG), feed conversion ratio (FCR), specific growth rate (SGR),</w:t>
      </w:r>
      <w:r w:rsidR="00072571">
        <w:rPr>
          <w:rFonts w:ascii="Times New Roman" w:hAnsi="Times New Roman"/>
          <w:sz w:val="24"/>
          <w:szCs w:val="24"/>
        </w:rPr>
        <w:t xml:space="preserve"> f</w:t>
      </w:r>
      <w:r w:rsidR="00760190">
        <w:rPr>
          <w:rFonts w:ascii="Times New Roman" w:hAnsi="Times New Roman"/>
          <w:sz w:val="24"/>
          <w:szCs w:val="24"/>
        </w:rPr>
        <w:t>eed conversion efficiency (</w:t>
      </w:r>
      <w:r w:rsidR="00072571">
        <w:rPr>
          <w:rFonts w:ascii="Times New Roman" w:hAnsi="Times New Roman"/>
          <w:sz w:val="24"/>
          <w:szCs w:val="24"/>
        </w:rPr>
        <w:t>FCE</w:t>
      </w:r>
      <w:r w:rsidR="00760190">
        <w:rPr>
          <w:rFonts w:ascii="Times New Roman" w:hAnsi="Times New Roman"/>
          <w:sz w:val="24"/>
          <w:szCs w:val="24"/>
        </w:rPr>
        <w:t>),</w:t>
      </w:r>
      <w:r w:rsidR="00000C01">
        <w:rPr>
          <w:rFonts w:ascii="Times New Roman" w:hAnsi="Times New Roman"/>
          <w:sz w:val="24"/>
          <w:szCs w:val="24"/>
        </w:rPr>
        <w:t xml:space="preserve"> protein eff</w:t>
      </w:r>
      <w:r w:rsidR="00236D13">
        <w:rPr>
          <w:rFonts w:ascii="Times New Roman" w:hAnsi="Times New Roman"/>
          <w:sz w:val="24"/>
          <w:szCs w:val="24"/>
        </w:rPr>
        <w:t>iciency ratio (PER),</w:t>
      </w:r>
      <w:r w:rsidR="00072571">
        <w:rPr>
          <w:rFonts w:ascii="Times New Roman" w:hAnsi="Times New Roman"/>
          <w:sz w:val="24"/>
          <w:szCs w:val="24"/>
        </w:rPr>
        <w:t xml:space="preserve"> </w:t>
      </w:r>
      <w:r w:rsidR="0092599E" w:rsidRPr="00C32F46">
        <w:rPr>
          <w:rFonts w:ascii="Times New Roman" w:hAnsi="Times New Roman"/>
          <w:sz w:val="24"/>
          <w:szCs w:val="24"/>
        </w:rPr>
        <w:t>and survival rate (Fatima et al., 2023):</w:t>
      </w:r>
    </w:p>
    <w:p w14:paraId="09F05C23" w14:textId="14FCC3C0" w:rsidR="0092599E" w:rsidRPr="00C32F46" w:rsidRDefault="006702DD"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Mean </w:t>
      </w:r>
      <w:r w:rsidR="00DB5281">
        <w:rPr>
          <w:rFonts w:ascii="Times New Roman" w:hAnsi="Times New Roman" w:cs="Times New Roman"/>
          <w:sz w:val="24"/>
          <w:szCs w:val="24"/>
        </w:rPr>
        <w:t>w</w:t>
      </w:r>
      <w:r w:rsidR="0092599E" w:rsidRPr="00C32F46">
        <w:rPr>
          <w:rFonts w:ascii="Times New Roman" w:hAnsi="Times New Roman" w:cs="Times New Roman"/>
          <w:sz w:val="24"/>
          <w:szCs w:val="24"/>
        </w:rPr>
        <w:t xml:space="preserve">eight </w:t>
      </w:r>
      <w:r w:rsidR="00DB5281">
        <w:rPr>
          <w:rFonts w:ascii="Times New Roman" w:hAnsi="Times New Roman" w:cs="Times New Roman"/>
          <w:sz w:val="24"/>
          <w:szCs w:val="24"/>
        </w:rPr>
        <w:t>g</w:t>
      </w:r>
      <w:r w:rsidR="0092599E" w:rsidRPr="00C32F46">
        <w:rPr>
          <w:rFonts w:ascii="Times New Roman" w:hAnsi="Times New Roman" w:cs="Times New Roman"/>
          <w:sz w:val="24"/>
          <w:szCs w:val="24"/>
        </w:rPr>
        <w:t xml:space="preserve">ain = </w:t>
      </w:r>
      <w:r w:rsidR="00C32F46" w:rsidRPr="00C32F46">
        <w:rPr>
          <w:rFonts w:ascii="Times New Roman" w:hAnsi="Times New Roman" w:cs="Times New Roman"/>
          <w:sz w:val="24"/>
          <w:szCs w:val="24"/>
        </w:rPr>
        <w:t>Final weight</w:t>
      </w:r>
      <w:r w:rsidR="00C32F46">
        <w:rPr>
          <w:rFonts w:ascii="Times New Roman" w:hAnsi="Times New Roman" w:cs="Times New Roman"/>
          <w:sz w:val="24"/>
          <w:szCs w:val="24"/>
        </w:rPr>
        <w:t xml:space="preserve"> </w:t>
      </w:r>
      <w:r w:rsidR="00C32F46" w:rsidRPr="00C32F46">
        <w:rPr>
          <w:rFonts w:ascii="Times New Roman" w:hAnsi="Times New Roman" w:cs="Times New Roman"/>
          <w:sz w:val="24"/>
          <w:szCs w:val="24"/>
        </w:rPr>
        <w:t>– Initial weight</w:t>
      </w:r>
      <w:r w:rsidR="0092599E" w:rsidRPr="00C32F46">
        <w:rPr>
          <w:rFonts w:ascii="Times New Roman" w:hAnsi="Times New Roman" w:cs="Times New Roman"/>
          <w:sz w:val="24"/>
          <w:szCs w:val="24"/>
        </w:rPr>
        <w:t xml:space="preserve">                                </w:t>
      </w:r>
    </w:p>
    <w:p w14:paraId="650B5293" w14:textId="5B4E6467" w:rsidR="0092599E" w:rsidRPr="00C32F46" w:rsidRDefault="00DB5281"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ADG</w:t>
      </w:r>
      <w:r w:rsidR="00CC652A">
        <w:rPr>
          <w:rFonts w:ascii="Times New Roman" w:hAnsi="Times New Roman" w:cs="Times New Roman"/>
          <w:sz w:val="24"/>
          <w:szCs w:val="24"/>
        </w:rPr>
        <w:t xml:space="preserve"> </w:t>
      </w:r>
      <w:proofErr w:type="gramStart"/>
      <w:r w:rsidR="001D4192">
        <w:rPr>
          <w:rFonts w:ascii="Times New Roman" w:hAnsi="Times New Roman" w:cs="Times New Roman"/>
          <w:sz w:val="24"/>
          <w:szCs w:val="24"/>
        </w:rPr>
        <w:t xml:space="preserve">= </w:t>
      </w:r>
      <w:r w:rsidR="0092599E" w:rsidRPr="00C32F46">
        <w:rPr>
          <w:rFonts w:ascii="Times New Roman" w:hAnsi="Times New Roman" w:cs="Times New Roman"/>
          <w:sz w:val="24"/>
          <w:szCs w:val="24"/>
        </w:rPr>
        <w:t xml:space="preserve"> </w:t>
      </w:r>
      <w:r w:rsidR="00053524">
        <w:rPr>
          <w:rFonts w:ascii="Times New Roman" w:hAnsi="Times New Roman" w:cs="Times New Roman"/>
          <w:sz w:val="24"/>
          <w:szCs w:val="24"/>
        </w:rPr>
        <w:t>(</w:t>
      </w:r>
      <w:proofErr w:type="gramEnd"/>
      <w:r w:rsidR="001D4192" w:rsidRPr="00C32F46">
        <w:rPr>
          <w:rFonts w:ascii="Times New Roman" w:hAnsi="Times New Roman" w:cs="Times New Roman"/>
          <w:sz w:val="24"/>
          <w:szCs w:val="24"/>
        </w:rPr>
        <w:t>Final weight</w:t>
      </w:r>
      <w:r w:rsidR="001D4192">
        <w:rPr>
          <w:rFonts w:ascii="Times New Roman" w:hAnsi="Times New Roman" w:cs="Times New Roman"/>
          <w:sz w:val="24"/>
          <w:szCs w:val="24"/>
        </w:rPr>
        <w:t xml:space="preserve"> </w:t>
      </w:r>
      <w:r w:rsidR="001D4192" w:rsidRPr="00C32F46">
        <w:rPr>
          <w:rFonts w:ascii="Times New Roman" w:hAnsi="Times New Roman" w:cs="Times New Roman"/>
          <w:sz w:val="24"/>
          <w:szCs w:val="24"/>
        </w:rPr>
        <w:t>– Initial weight</w:t>
      </w:r>
      <w:r w:rsidR="00053524">
        <w:rPr>
          <w:rFonts w:ascii="Times New Roman" w:hAnsi="Times New Roman" w:cs="Times New Roman"/>
          <w:sz w:val="24"/>
          <w:szCs w:val="24"/>
        </w:rPr>
        <w:t>)</w:t>
      </w:r>
      <w:r w:rsidR="00CC652A">
        <w:rPr>
          <w:rFonts w:ascii="Times New Roman" w:hAnsi="Times New Roman" w:cs="Times New Roman"/>
          <w:sz w:val="24"/>
          <w:szCs w:val="24"/>
        </w:rPr>
        <w:t xml:space="preserve"> </w:t>
      </w:r>
      <w:r w:rsidR="001D4192">
        <w:rPr>
          <w:rFonts w:ascii="Times New Roman" w:hAnsi="Times New Roman" w:cs="Times New Roman"/>
          <w:sz w:val="24"/>
          <w:szCs w:val="24"/>
        </w:rPr>
        <w:t>/</w:t>
      </w:r>
      <w:r w:rsidR="00CC652A">
        <w:rPr>
          <w:rFonts w:ascii="Times New Roman" w:hAnsi="Times New Roman" w:cs="Times New Roman"/>
          <w:sz w:val="24"/>
          <w:szCs w:val="24"/>
        </w:rPr>
        <w:t xml:space="preserve"> number of d</w:t>
      </w:r>
      <w:r w:rsidR="001D4192">
        <w:rPr>
          <w:rFonts w:ascii="Times New Roman" w:hAnsi="Times New Roman" w:cs="Times New Roman"/>
          <w:sz w:val="24"/>
          <w:szCs w:val="24"/>
        </w:rPr>
        <w:t>ays</w:t>
      </w:r>
      <w:r w:rsidR="001D4192" w:rsidRPr="00C32F46">
        <w:rPr>
          <w:rFonts w:ascii="Times New Roman" w:hAnsi="Times New Roman" w:cs="Times New Roman"/>
          <w:sz w:val="24"/>
          <w:szCs w:val="24"/>
        </w:rPr>
        <w:t xml:space="preserve">                                </w:t>
      </w:r>
      <w:r w:rsidR="0092599E" w:rsidRPr="00C32F46">
        <w:rPr>
          <w:rFonts w:ascii="Times New Roman" w:hAnsi="Times New Roman" w:cs="Times New Roman"/>
          <w:sz w:val="24"/>
          <w:szCs w:val="24"/>
        </w:rPr>
        <w:t xml:space="preserve">                                                             </w:t>
      </w:r>
    </w:p>
    <w:p w14:paraId="7E6BC384" w14:textId="7F4C3D8E" w:rsidR="0092599E" w:rsidRDefault="0092599E"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FCR= </w:t>
      </w:r>
      <w:r w:rsidR="008476D3">
        <w:rPr>
          <w:rFonts w:ascii="Times New Roman" w:hAnsi="Times New Roman" w:cs="Times New Roman"/>
          <w:sz w:val="24"/>
          <w:szCs w:val="24"/>
        </w:rPr>
        <w:t>Feed given / Weight Gain</w:t>
      </w:r>
    </w:p>
    <w:p w14:paraId="0902DA8F" w14:textId="08E2B29C" w:rsidR="00072571" w:rsidRPr="00C32F46" w:rsidRDefault="00072571"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FCE= </w:t>
      </w:r>
      <w:r w:rsidR="00535B6C">
        <w:rPr>
          <w:rFonts w:ascii="Times New Roman" w:hAnsi="Times New Roman" w:cs="Times New Roman"/>
          <w:sz w:val="24"/>
          <w:szCs w:val="24"/>
        </w:rPr>
        <w:t xml:space="preserve">Weight gain / Feed given </w:t>
      </w:r>
    </w:p>
    <w:p w14:paraId="0738914C" w14:textId="2E271286" w:rsidR="0092599E" w:rsidRDefault="0092599E"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SGR</w:t>
      </w:r>
      <w:r w:rsidR="00F10F34">
        <w:rPr>
          <w:rFonts w:ascii="Times New Roman" w:hAnsi="Times New Roman" w:cs="Times New Roman"/>
          <w:sz w:val="24"/>
          <w:szCs w:val="24"/>
        </w:rPr>
        <w:t xml:space="preserve"> (%) </w:t>
      </w:r>
      <w:r w:rsidRPr="00C32F46">
        <w:rPr>
          <w:rFonts w:ascii="Times New Roman" w:hAnsi="Times New Roman" w:cs="Times New Roman"/>
          <w:sz w:val="24"/>
          <w:szCs w:val="24"/>
        </w:rPr>
        <w:t>=</w:t>
      </w:r>
      <w:r w:rsidR="00F10F34">
        <w:rPr>
          <w:rFonts w:ascii="Times New Roman" w:hAnsi="Times New Roman" w:cs="Times New Roman"/>
          <w:sz w:val="24"/>
          <w:szCs w:val="24"/>
        </w:rPr>
        <w:t xml:space="preserve"> (</w:t>
      </w:r>
      <w:r w:rsidR="00053524">
        <w:rPr>
          <w:rFonts w:ascii="Times New Roman" w:hAnsi="Times New Roman" w:cs="Times New Roman"/>
          <w:sz w:val="24"/>
          <w:szCs w:val="24"/>
        </w:rPr>
        <w:t>L</w:t>
      </w:r>
      <w:r w:rsidR="00FE7530">
        <w:rPr>
          <w:rFonts w:ascii="Times New Roman" w:hAnsi="Times New Roman" w:cs="Times New Roman"/>
          <w:sz w:val="24"/>
          <w:szCs w:val="24"/>
        </w:rPr>
        <w:t xml:space="preserve">n </w:t>
      </w:r>
      <w:r w:rsidR="00F10F34">
        <w:rPr>
          <w:rFonts w:ascii="Times New Roman" w:hAnsi="Times New Roman" w:cs="Times New Roman"/>
          <w:sz w:val="24"/>
          <w:szCs w:val="24"/>
        </w:rPr>
        <w:t>final weight</w:t>
      </w:r>
      <w:r w:rsidR="00BE13B2">
        <w:rPr>
          <w:rFonts w:ascii="Times New Roman" w:hAnsi="Times New Roman" w:cs="Times New Roman"/>
          <w:sz w:val="24"/>
          <w:szCs w:val="24"/>
        </w:rPr>
        <w:t xml:space="preserve">- </w:t>
      </w:r>
      <w:r w:rsidR="00053524">
        <w:rPr>
          <w:rFonts w:ascii="Times New Roman" w:hAnsi="Times New Roman" w:cs="Times New Roman"/>
          <w:sz w:val="24"/>
          <w:szCs w:val="24"/>
        </w:rPr>
        <w:t xml:space="preserve">Ln </w:t>
      </w:r>
      <w:r w:rsidR="00BE13B2">
        <w:rPr>
          <w:rFonts w:ascii="Times New Roman" w:hAnsi="Times New Roman" w:cs="Times New Roman"/>
          <w:sz w:val="24"/>
          <w:szCs w:val="24"/>
        </w:rPr>
        <w:t>Initial weight</w:t>
      </w:r>
      <m:oMath>
        <m:r>
          <w:rPr>
            <w:rFonts w:ascii="Cambria Math" w:hAnsi="Cambria Math" w:cs="Times New Roman"/>
            <w:sz w:val="24"/>
            <w:szCs w:val="24"/>
          </w:rPr>
          <m:t xml:space="preserve"> ×</m:t>
        </m:r>
      </m:oMath>
      <w:r w:rsidR="00BE13B2">
        <w:rPr>
          <w:rFonts w:ascii="Times New Roman" w:hAnsi="Times New Roman" w:cs="Times New Roman"/>
          <w:sz w:val="24"/>
          <w:szCs w:val="24"/>
        </w:rPr>
        <w:t>100) / number of days</w:t>
      </w:r>
    </w:p>
    <w:p w14:paraId="1448FEAB" w14:textId="6CF5C2E7" w:rsidR="00000C01" w:rsidRPr="00C32F46" w:rsidRDefault="00000C01" w:rsidP="00AE1BA5">
      <w:pPr>
        <w:spacing w:line="360" w:lineRule="auto"/>
        <w:jc w:val="both"/>
        <w:rPr>
          <w:rFonts w:ascii="Times New Roman" w:hAnsi="Times New Roman" w:cs="Times New Roman"/>
          <w:sz w:val="24"/>
          <w:szCs w:val="24"/>
        </w:rPr>
      </w:pPr>
      <w:r>
        <w:rPr>
          <w:rFonts w:ascii="Times New Roman" w:hAnsi="Times New Roman" w:cs="Times New Roman"/>
          <w:sz w:val="24"/>
          <w:szCs w:val="24"/>
        </w:rPr>
        <w:t>PER</w:t>
      </w:r>
      <w:r w:rsidR="00236D13">
        <w:rPr>
          <w:rFonts w:ascii="Times New Roman" w:hAnsi="Times New Roman" w:cs="Times New Roman"/>
          <w:sz w:val="24"/>
          <w:szCs w:val="24"/>
        </w:rPr>
        <w:t xml:space="preserve"> (%) = Weight gain /</w:t>
      </w:r>
      <w:r w:rsidR="00C37F2A">
        <w:rPr>
          <w:rFonts w:ascii="Times New Roman" w:hAnsi="Times New Roman" w:cs="Times New Roman"/>
          <w:sz w:val="24"/>
          <w:szCs w:val="24"/>
        </w:rPr>
        <w:t xml:space="preserve"> Protein intake</w:t>
      </w:r>
    </w:p>
    <w:p w14:paraId="46A83E87" w14:textId="371D2933" w:rsidR="00C37F2A" w:rsidRPr="00DA1639" w:rsidRDefault="0092599E" w:rsidP="00AE1BA5">
      <w:pPr>
        <w:spacing w:before="240" w:line="360" w:lineRule="auto"/>
        <w:jc w:val="both"/>
        <w:rPr>
          <w:rFonts w:ascii="Times New Roman" w:hAnsi="Times New Roman" w:cs="Times New Roman"/>
          <w:sz w:val="24"/>
          <w:szCs w:val="24"/>
        </w:rPr>
      </w:pPr>
      <w:r w:rsidRPr="00C32F46">
        <w:rPr>
          <w:rFonts w:ascii="Times New Roman" w:hAnsi="Times New Roman" w:cs="Times New Roman"/>
          <w:sz w:val="24"/>
          <w:szCs w:val="24"/>
        </w:rPr>
        <w:t>Survival Rate</w:t>
      </w:r>
      <w:r w:rsidR="00014343">
        <w:rPr>
          <w:rFonts w:ascii="Times New Roman" w:hAnsi="Times New Roman" w:cs="Times New Roman"/>
          <w:sz w:val="24"/>
          <w:szCs w:val="24"/>
        </w:rPr>
        <w:t xml:space="preserve"> (%) </w:t>
      </w:r>
      <w:r w:rsidRPr="00014343">
        <w:rPr>
          <w:rFonts w:ascii="Times New Roman" w:hAnsi="Times New Roman" w:cs="Times New Roman"/>
          <w:sz w:val="24"/>
          <w:szCs w:val="24"/>
        </w:rPr>
        <w:t>=</w:t>
      </w:r>
      <w:r w:rsidR="00014343" w:rsidRPr="00014343">
        <w:rPr>
          <w:rFonts w:ascii="Times New Roman" w:hAnsi="Times New Roman" w:cs="Times New Roman"/>
          <w:sz w:val="24"/>
          <w:szCs w:val="24"/>
        </w:rPr>
        <w:t xml:space="preserve"> </w:t>
      </w:r>
      <w:r w:rsidR="00FE7530">
        <w:rPr>
          <w:rFonts w:ascii="Times New Roman" w:hAnsi="Times New Roman" w:cs="Times New Roman"/>
          <w:sz w:val="24"/>
          <w:szCs w:val="24"/>
        </w:rPr>
        <w:t>(</w:t>
      </w:r>
      <w:r w:rsidR="00014343">
        <w:rPr>
          <w:rFonts w:ascii="Times New Roman" w:hAnsi="Times New Roman" w:cs="Times New Roman"/>
          <w:sz w:val="24"/>
          <w:szCs w:val="24"/>
        </w:rPr>
        <w:t xml:space="preserve">Total </w:t>
      </w:r>
      <w:r w:rsidR="00014343" w:rsidRPr="00014343">
        <w:rPr>
          <w:rFonts w:ascii="Times New Roman" w:eastAsiaTheme="minorEastAsia" w:hAnsi="Times New Roman" w:cs="Times New Roman"/>
          <w:sz w:val="24"/>
          <w:szCs w:val="24"/>
        </w:rPr>
        <w:t>number of fish at the end of the experiment</w:t>
      </w:r>
      <w:r w:rsidR="007B4169">
        <w:rPr>
          <w:rFonts w:ascii="Times New Roman" w:eastAsiaTheme="minorEastAsia" w:hAnsi="Times New Roman" w:cs="Times New Roman"/>
          <w:sz w:val="24"/>
          <w:szCs w:val="24"/>
        </w:rPr>
        <w:t xml:space="preserve"> / </w:t>
      </w:r>
      <w:r w:rsidR="007B4169" w:rsidRPr="007B4169">
        <w:rPr>
          <w:rFonts w:ascii="Times New Roman" w:eastAsiaTheme="minorEastAsia" w:hAnsi="Times New Roman" w:cs="Times New Roman"/>
          <w:sz w:val="24"/>
          <w:szCs w:val="24"/>
        </w:rPr>
        <w:t>Tota</w:t>
      </w:r>
      <w:r w:rsidR="007B4169">
        <w:rPr>
          <w:rFonts w:ascii="Times New Roman" w:eastAsiaTheme="minorEastAsia" w:hAnsi="Times New Roman" w:cs="Times New Roman"/>
          <w:sz w:val="24"/>
          <w:szCs w:val="24"/>
        </w:rPr>
        <w:t>l</w:t>
      </w:r>
      <w:r w:rsidRPr="007B4169">
        <w:rPr>
          <w:rFonts w:ascii="Times New Roman" w:eastAsiaTheme="minorEastAsia" w:hAnsi="Times New Roman" w:cs="Times New Roman"/>
          <w:sz w:val="24"/>
          <w:szCs w:val="24"/>
        </w:rPr>
        <w:t xml:space="preserve"> </w:t>
      </w:r>
      <w:r w:rsidR="007B4169" w:rsidRPr="007B4169">
        <w:rPr>
          <w:rFonts w:ascii="Times New Roman" w:eastAsiaTheme="minorEastAsia" w:hAnsi="Times New Roman" w:cs="Times New Roman"/>
          <w:sz w:val="24"/>
          <w:szCs w:val="24"/>
        </w:rPr>
        <w:t>number of fish at the beginning of the experiment</w:t>
      </w:r>
      <w:r w:rsidR="00FE7530">
        <w:rPr>
          <w:rFonts w:ascii="Times New Roman" w:eastAsiaTheme="minorEastAsia" w:hAnsi="Times New Roman" w:cs="Times New Roman"/>
          <w:sz w:val="24"/>
          <w:szCs w:val="24"/>
        </w:rPr>
        <w:t>)</w:t>
      </w:r>
      <w:r w:rsidR="006702DD">
        <w:rPr>
          <w:rFonts w:ascii="Times New Roman" w:eastAsiaTheme="minorEastAsia" w:hAnsi="Times New Roman" w:cs="Times New Roman"/>
          <w:sz w:val="24"/>
          <w:szCs w:val="24"/>
        </w:rPr>
        <w:t xml:space="preserve"> </w:t>
      </w:r>
      <m:oMath>
        <m:r>
          <w:rPr>
            <w:rFonts w:ascii="Cambria Math" w:hAnsi="Cambria Math" w:cs="Times New Roman"/>
            <w:sz w:val="24"/>
            <w:szCs w:val="24"/>
          </w:rPr>
          <m:t>×</m:t>
        </m:r>
      </m:oMath>
      <w:r w:rsidR="006702DD">
        <w:rPr>
          <w:rFonts w:ascii="Times New Roman" w:eastAsiaTheme="minorEastAsia" w:hAnsi="Times New Roman" w:cs="Times New Roman"/>
          <w:sz w:val="24"/>
          <w:szCs w:val="24"/>
        </w:rPr>
        <w:t xml:space="preserve"> 100</w:t>
      </w:r>
      <w:r w:rsidR="001D2C37" w:rsidRPr="00C32F46">
        <w:rPr>
          <w:rFonts w:ascii="Times New Roman" w:hAnsi="Times New Roman"/>
          <w:sz w:val="24"/>
          <w:szCs w:val="24"/>
        </w:rPr>
        <w:tab/>
      </w:r>
    </w:p>
    <w:p w14:paraId="397887F3" w14:textId="3F739D35" w:rsidR="001810F6" w:rsidRPr="00C32F46" w:rsidRDefault="00553D9B" w:rsidP="00AE1BA5">
      <w:pPr>
        <w:spacing w:before="240" w:line="360" w:lineRule="auto"/>
        <w:jc w:val="both"/>
        <w:rPr>
          <w:rFonts w:ascii="Times New Roman" w:hAnsi="Times New Roman"/>
          <w:sz w:val="24"/>
          <w:szCs w:val="24"/>
        </w:rPr>
      </w:pPr>
      <w:r w:rsidRPr="00C32F46">
        <w:rPr>
          <w:rFonts w:ascii="Times New Roman" w:hAnsi="Times New Roman"/>
          <w:b/>
          <w:sz w:val="24"/>
          <w:szCs w:val="24"/>
        </w:rPr>
        <w:t xml:space="preserve">2.6 </w:t>
      </w:r>
      <w:r w:rsidR="001810F6" w:rsidRPr="00C32F46">
        <w:rPr>
          <w:rFonts w:ascii="Times New Roman" w:hAnsi="Times New Roman"/>
          <w:b/>
          <w:sz w:val="24"/>
          <w:szCs w:val="24"/>
        </w:rPr>
        <w:t>Statistical Analysis</w:t>
      </w:r>
      <w:r w:rsidR="001810F6" w:rsidRPr="00C32F46">
        <w:rPr>
          <w:rFonts w:ascii="Times New Roman" w:hAnsi="Times New Roman"/>
          <w:sz w:val="24"/>
          <w:szCs w:val="24"/>
        </w:rPr>
        <w:t xml:space="preserve"> </w:t>
      </w:r>
    </w:p>
    <w:p w14:paraId="73339024" w14:textId="42E20D1B" w:rsidR="00DB76F3" w:rsidRPr="00C37F2A" w:rsidRDefault="0092599E" w:rsidP="00AE1BA5">
      <w:pPr>
        <w:spacing w:line="360" w:lineRule="auto"/>
        <w:ind w:firstLine="720"/>
        <w:jc w:val="both"/>
        <w:rPr>
          <w:rFonts w:ascii="Times New Roman" w:hAnsi="Times New Roman"/>
          <w:sz w:val="24"/>
          <w:szCs w:val="24"/>
        </w:rPr>
      </w:pPr>
      <w:r w:rsidRPr="00C32F46">
        <w:rPr>
          <w:rFonts w:ascii="Times New Roman" w:hAnsi="Times New Roman"/>
          <w:sz w:val="24"/>
          <w:szCs w:val="24"/>
        </w:rPr>
        <w:t xml:space="preserve">Data were analysed using </w:t>
      </w:r>
      <w:r w:rsidR="00FA6608" w:rsidRPr="00C32F46">
        <w:rPr>
          <w:rFonts w:ascii="Times New Roman" w:hAnsi="Times New Roman"/>
          <w:sz w:val="24"/>
          <w:szCs w:val="24"/>
        </w:rPr>
        <w:t xml:space="preserve">IBM </w:t>
      </w:r>
      <w:r w:rsidRPr="00C32F46">
        <w:rPr>
          <w:rFonts w:ascii="Times New Roman" w:hAnsi="Times New Roman"/>
          <w:sz w:val="24"/>
          <w:szCs w:val="24"/>
        </w:rPr>
        <w:t>SPSS</w:t>
      </w:r>
      <w:r w:rsidR="00FA6608" w:rsidRPr="00C32F46">
        <w:rPr>
          <w:rFonts w:ascii="Times New Roman" w:hAnsi="Times New Roman"/>
          <w:sz w:val="24"/>
          <w:szCs w:val="24"/>
        </w:rPr>
        <w:t xml:space="preserve"> Software</w:t>
      </w:r>
      <w:r w:rsidRPr="00C32F46">
        <w:rPr>
          <w:rFonts w:ascii="Times New Roman" w:hAnsi="Times New Roman"/>
          <w:sz w:val="24"/>
          <w:szCs w:val="24"/>
        </w:rPr>
        <w:t xml:space="preserve"> (27.0) to compare growth and production parameters across the three cage materials. Results are expressed as mean ± standard error,</w:t>
      </w:r>
      <w:r w:rsidR="00FA6608" w:rsidRPr="00C32F46">
        <w:rPr>
          <w:rFonts w:ascii="Times New Roman" w:hAnsi="Times New Roman"/>
          <w:sz w:val="24"/>
          <w:szCs w:val="24"/>
        </w:rPr>
        <w:t xml:space="preserve"> </w:t>
      </w:r>
      <w:r w:rsidRPr="00C32F46">
        <w:rPr>
          <w:rFonts w:ascii="Times New Roman" w:hAnsi="Times New Roman"/>
          <w:sz w:val="24"/>
          <w:szCs w:val="24"/>
        </w:rPr>
        <w:t xml:space="preserve">with statistical significance set at </w:t>
      </w:r>
      <w:r w:rsidRPr="00C32F46">
        <w:rPr>
          <w:rFonts w:ascii="Times New Roman" w:hAnsi="Times New Roman"/>
          <w:i/>
          <w:sz w:val="24"/>
          <w:szCs w:val="24"/>
        </w:rPr>
        <w:t>p</w:t>
      </w:r>
      <w:r w:rsidRPr="00C32F46">
        <w:rPr>
          <w:rFonts w:ascii="Times New Roman" w:hAnsi="Times New Roman"/>
          <w:sz w:val="24"/>
          <w:szCs w:val="24"/>
        </w:rPr>
        <w:t xml:space="preserve"> &lt; 0.05.</w:t>
      </w:r>
    </w:p>
    <w:p w14:paraId="2151EC34" w14:textId="77777777" w:rsidR="00AE1BA5" w:rsidRDefault="00AE1BA5" w:rsidP="00AE1BA5">
      <w:pPr>
        <w:spacing w:line="360" w:lineRule="auto"/>
        <w:jc w:val="both"/>
        <w:rPr>
          <w:rFonts w:ascii="Times New Roman" w:hAnsi="Times New Roman" w:cs="Times New Roman"/>
          <w:b/>
          <w:bCs/>
          <w:sz w:val="24"/>
          <w:szCs w:val="24"/>
        </w:rPr>
      </w:pPr>
    </w:p>
    <w:p w14:paraId="38109451" w14:textId="77777777" w:rsidR="00AE1BA5" w:rsidRDefault="00AE1BA5" w:rsidP="00AE1BA5">
      <w:pPr>
        <w:spacing w:line="360" w:lineRule="auto"/>
        <w:jc w:val="both"/>
        <w:rPr>
          <w:rFonts w:ascii="Times New Roman" w:hAnsi="Times New Roman" w:cs="Times New Roman"/>
          <w:b/>
          <w:bCs/>
          <w:sz w:val="24"/>
          <w:szCs w:val="24"/>
        </w:rPr>
      </w:pPr>
    </w:p>
    <w:p w14:paraId="079687D1" w14:textId="5EDF5018" w:rsidR="00B47DF4" w:rsidRPr="00C32F46" w:rsidRDefault="00497876"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3. Result</w:t>
      </w:r>
      <w:r w:rsidR="00254D55">
        <w:rPr>
          <w:rFonts w:ascii="Times New Roman" w:hAnsi="Times New Roman" w:cs="Times New Roman"/>
          <w:b/>
          <w:bCs/>
          <w:sz w:val="24"/>
          <w:szCs w:val="24"/>
        </w:rPr>
        <w:t>s</w:t>
      </w:r>
      <w:r w:rsidRPr="00C32F46">
        <w:rPr>
          <w:rFonts w:ascii="Times New Roman" w:hAnsi="Times New Roman" w:cs="Times New Roman"/>
          <w:b/>
          <w:bCs/>
          <w:sz w:val="24"/>
          <w:szCs w:val="24"/>
        </w:rPr>
        <w:t xml:space="preserve"> </w:t>
      </w:r>
    </w:p>
    <w:p w14:paraId="7DF18083" w14:textId="16968EEE" w:rsidR="00D64F3B" w:rsidRPr="00C32F46" w:rsidRDefault="001D2C37" w:rsidP="00AE1BA5">
      <w:pPr>
        <w:spacing w:before="240" w:after="0" w:line="360" w:lineRule="auto"/>
        <w:jc w:val="both"/>
        <w:rPr>
          <w:rFonts w:ascii="Times New Roman" w:hAnsi="Times New Roman" w:cs="Times New Roman"/>
          <w:sz w:val="24"/>
          <w:szCs w:val="24"/>
        </w:rPr>
      </w:pPr>
      <w:r w:rsidRPr="00C32F46">
        <w:rPr>
          <w:rFonts w:ascii="Times New Roman" w:eastAsia="Times New Roman" w:hAnsi="Times New Roman" w:cs="Times New Roman"/>
          <w:sz w:val="24"/>
          <w:szCs w:val="24"/>
          <w:lang w:eastAsia="en-IN"/>
        </w:rPr>
        <w:tab/>
      </w:r>
      <w:r w:rsidR="00D64F3B" w:rsidRPr="00C32F46">
        <w:rPr>
          <w:rFonts w:ascii="Times New Roman" w:eastAsia="Times New Roman" w:hAnsi="Times New Roman" w:cs="Times New Roman"/>
          <w:sz w:val="24"/>
          <w:szCs w:val="24"/>
          <w:lang w:eastAsia="en-IN"/>
        </w:rPr>
        <w:t xml:space="preserve">This </w:t>
      </w:r>
      <w:r w:rsidR="00497876" w:rsidRPr="00C32F46">
        <w:rPr>
          <w:rFonts w:ascii="Times New Roman" w:eastAsia="Times New Roman" w:hAnsi="Times New Roman" w:cs="Times New Roman"/>
          <w:sz w:val="24"/>
          <w:szCs w:val="24"/>
          <w:lang w:eastAsia="en-IN"/>
        </w:rPr>
        <w:t xml:space="preserve">Study </w:t>
      </w:r>
      <w:r w:rsidR="0088228D" w:rsidRPr="00C32F46">
        <w:rPr>
          <w:rFonts w:ascii="Times New Roman" w:eastAsia="Times New Roman" w:hAnsi="Times New Roman" w:cs="Times New Roman"/>
          <w:sz w:val="24"/>
          <w:szCs w:val="24"/>
          <w:lang w:eastAsia="en-IN"/>
        </w:rPr>
        <w:t xml:space="preserve">examine </w:t>
      </w:r>
      <w:r w:rsidR="000E46AB" w:rsidRPr="00C32F46">
        <w:rPr>
          <w:rFonts w:ascii="Times New Roman" w:eastAsia="Times New Roman" w:hAnsi="Times New Roman" w:cs="Times New Roman"/>
          <w:sz w:val="24"/>
          <w:szCs w:val="24"/>
          <w:lang w:eastAsia="en-IN"/>
        </w:rPr>
        <w:t xml:space="preserve">that </w:t>
      </w:r>
      <w:r w:rsidR="00D64F3B" w:rsidRPr="00C32F46">
        <w:rPr>
          <w:rFonts w:ascii="Times New Roman" w:eastAsia="Times New Roman" w:hAnsi="Times New Roman" w:cs="Times New Roman"/>
          <w:sz w:val="24"/>
          <w:szCs w:val="24"/>
          <w:lang w:eastAsia="en-IN"/>
        </w:rPr>
        <w:t xml:space="preserve">60-day cage culture trial </w:t>
      </w:r>
      <w:r w:rsidR="0088228D" w:rsidRPr="00C32F46">
        <w:rPr>
          <w:rFonts w:ascii="Times New Roman" w:eastAsia="Times New Roman" w:hAnsi="Times New Roman" w:cs="Times New Roman"/>
          <w:sz w:val="24"/>
          <w:szCs w:val="24"/>
          <w:lang w:eastAsia="en-IN"/>
        </w:rPr>
        <w:t>for</w:t>
      </w:r>
      <w:r w:rsidR="00D64F3B" w:rsidRPr="00C32F46">
        <w:rPr>
          <w:rFonts w:ascii="Times New Roman" w:eastAsia="Times New Roman" w:hAnsi="Times New Roman" w:cs="Times New Roman"/>
          <w:sz w:val="24"/>
          <w:szCs w:val="24"/>
          <w:lang w:eastAsia="en-IN"/>
        </w:rPr>
        <w:t xml:space="preserve"> growth performance of </w:t>
      </w:r>
      <w:r w:rsidR="005A0FF1" w:rsidRPr="00C32F46">
        <w:rPr>
          <w:rFonts w:ascii="Times New Roman" w:eastAsia="Times New Roman" w:hAnsi="Times New Roman" w:cs="Times New Roman"/>
          <w:i/>
          <w:iCs/>
          <w:sz w:val="24"/>
          <w:szCs w:val="24"/>
          <w:lang w:eastAsia="en-IN"/>
        </w:rPr>
        <w:t>Pangasius spp.</w:t>
      </w:r>
      <w:r w:rsidR="00D64F3B" w:rsidRPr="00C32F46">
        <w:rPr>
          <w:rFonts w:ascii="Times New Roman" w:eastAsia="Times New Roman" w:hAnsi="Times New Roman" w:cs="Times New Roman"/>
          <w:sz w:val="24"/>
          <w:szCs w:val="24"/>
          <w:lang w:eastAsia="en-IN"/>
        </w:rPr>
        <w:t xml:space="preserve"> raised in three cage construction materials: bamboo (C1), UPVC (C2), and galvanised iron/GI (C3). Each cage was supplied with 270 fingerlings at a density of 30 fish/m³. Growth performance measures are presented first, followed by </w:t>
      </w:r>
      <w:r w:rsidR="00C37F2A">
        <w:rPr>
          <w:rFonts w:ascii="Times New Roman" w:eastAsia="Times New Roman" w:hAnsi="Times New Roman" w:cs="Times New Roman"/>
          <w:sz w:val="24"/>
          <w:szCs w:val="24"/>
          <w:lang w:eastAsia="en-IN"/>
        </w:rPr>
        <w:t xml:space="preserve">feed utilization </w:t>
      </w:r>
      <w:r w:rsidR="006D67A1">
        <w:rPr>
          <w:rFonts w:ascii="Times New Roman" w:eastAsia="Times New Roman" w:hAnsi="Times New Roman" w:cs="Times New Roman"/>
          <w:sz w:val="24"/>
          <w:szCs w:val="24"/>
          <w:lang w:eastAsia="en-IN"/>
        </w:rPr>
        <w:t xml:space="preserve">measures </w:t>
      </w:r>
      <w:proofErr w:type="gramStart"/>
      <w:r w:rsidR="006D67A1">
        <w:rPr>
          <w:rFonts w:ascii="Times New Roman" w:eastAsia="Times New Roman" w:hAnsi="Times New Roman" w:cs="Times New Roman"/>
          <w:sz w:val="24"/>
          <w:szCs w:val="24"/>
          <w:lang w:eastAsia="en-IN"/>
        </w:rPr>
        <w:t xml:space="preserve">and </w:t>
      </w:r>
      <w:r w:rsidR="00D64F3B" w:rsidRPr="00C32F46">
        <w:rPr>
          <w:rFonts w:ascii="Times New Roman" w:eastAsia="Times New Roman" w:hAnsi="Times New Roman" w:cs="Times New Roman"/>
          <w:sz w:val="24"/>
          <w:szCs w:val="24"/>
          <w:lang w:eastAsia="en-IN"/>
        </w:rPr>
        <w:t xml:space="preserve"> comparison</w:t>
      </w:r>
      <w:proofErr w:type="gramEnd"/>
      <w:r w:rsidR="00D64F3B" w:rsidRPr="00C32F46">
        <w:rPr>
          <w:rFonts w:ascii="Times New Roman" w:eastAsia="Times New Roman" w:hAnsi="Times New Roman" w:cs="Times New Roman"/>
          <w:sz w:val="24"/>
          <w:szCs w:val="24"/>
          <w:lang w:eastAsia="en-IN"/>
        </w:rPr>
        <w:t xml:space="preserve"> of physicochemical water quality between treatments. </w:t>
      </w:r>
    </w:p>
    <w:p w14:paraId="74A0AF86" w14:textId="7BC0346C" w:rsidR="00812717" w:rsidRPr="00C26AB6" w:rsidRDefault="000D4009" w:rsidP="00AE1BA5">
      <w:pPr>
        <w:spacing w:before="240"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D64F3B" w:rsidRPr="00C32F46">
        <w:rPr>
          <w:rFonts w:ascii="Times New Roman" w:hAnsi="Times New Roman" w:cs="Times New Roman"/>
          <w:b/>
          <w:bCs/>
          <w:sz w:val="24"/>
          <w:szCs w:val="24"/>
        </w:rPr>
        <w:t xml:space="preserve">.1 </w:t>
      </w:r>
      <w:r w:rsidR="006D67A1">
        <w:rPr>
          <w:rFonts w:ascii="Times New Roman" w:hAnsi="Times New Roman" w:cs="Times New Roman"/>
          <w:b/>
          <w:bCs/>
          <w:sz w:val="24"/>
          <w:szCs w:val="24"/>
        </w:rPr>
        <w:t>Growth performance of pangasius</w:t>
      </w:r>
    </w:p>
    <w:p w14:paraId="537A96B9" w14:textId="782AE6FF" w:rsidR="00812717" w:rsidRDefault="00FF1E52" w:rsidP="00AE1BA5">
      <w:pPr>
        <w:pStyle w:val="font-claude-response-body"/>
        <w:spacing w:line="360" w:lineRule="auto"/>
        <w:ind w:firstLine="720"/>
        <w:jc w:val="both"/>
      </w:pPr>
      <w:r>
        <w:lastRenderedPageBreak/>
        <w:t xml:space="preserve">The results of </w:t>
      </w:r>
      <w:r w:rsidR="00F039DA">
        <w:t xml:space="preserve">Growth </w:t>
      </w:r>
      <w:r>
        <w:t xml:space="preserve">parameters </w:t>
      </w:r>
      <w:r w:rsidR="00B32A4A">
        <w:t xml:space="preserve">include </w:t>
      </w:r>
      <w:r w:rsidR="00516A11">
        <w:t>m</w:t>
      </w:r>
      <w:r w:rsidR="00B32A4A">
        <w:t xml:space="preserve">ean weight </w:t>
      </w:r>
      <w:proofErr w:type="gramStart"/>
      <w:r w:rsidR="00DF2251">
        <w:t>gain</w:t>
      </w:r>
      <w:r w:rsidR="002047E6">
        <w:t>,</w:t>
      </w:r>
      <w:proofErr w:type="gramEnd"/>
      <w:r w:rsidR="00B32A4A">
        <w:t xml:space="preserve"> Specific Growth rate </w:t>
      </w:r>
      <w:r>
        <w:t>are prese</w:t>
      </w:r>
      <w:r w:rsidR="003740C4">
        <w:t xml:space="preserve">nted in </w:t>
      </w:r>
      <w:r w:rsidR="002047E6">
        <w:t>f</w:t>
      </w:r>
      <w:r w:rsidR="00812717" w:rsidRPr="00F15062">
        <w:t>igure</w:t>
      </w:r>
      <w:r w:rsidR="00812717" w:rsidRPr="00C32F46">
        <w:t xml:space="preserve"> </w:t>
      </w:r>
      <w:r w:rsidR="002047E6">
        <w:t>3</w:t>
      </w:r>
      <w:r w:rsidR="003740C4">
        <w:t>.</w:t>
      </w:r>
    </w:p>
    <w:p w14:paraId="26E5FFDB" w14:textId="77777777" w:rsidR="00DA1639" w:rsidRPr="008A7F58" w:rsidRDefault="00DA1639" w:rsidP="00AE1BA5">
      <w:pPr>
        <w:spacing w:line="360" w:lineRule="auto"/>
        <w:ind w:firstLine="720"/>
        <w:jc w:val="both"/>
        <w:rPr>
          <w:rFonts w:ascii="Times New Roman" w:hAnsi="Times New Roman" w:cs="Times New Roman"/>
          <w:sz w:val="24"/>
          <w:szCs w:val="22"/>
        </w:rPr>
      </w:pPr>
      <w:r w:rsidRPr="008A7F58">
        <w:rPr>
          <w:rFonts w:ascii="Times New Roman" w:hAnsi="Times New Roman" w:cs="Times New Roman"/>
          <w:sz w:val="24"/>
          <w:szCs w:val="22"/>
        </w:rPr>
        <w:t>During the 60-day culture period, mean body weights gradually grew across all treatments, reaching 44.2 ± 0.69 g (C1), 45.3 ± 0.69 g (C2), and 42.9 ± 0.69 g (C3) by Day 60 in Bamboo, UPVC, and GI cages, respectively.</w:t>
      </w:r>
      <w:r>
        <w:rPr>
          <w:rFonts w:ascii="Times New Roman" w:hAnsi="Times New Roman" w:cs="Times New Roman"/>
          <w:sz w:val="24"/>
          <w:szCs w:val="22"/>
        </w:rPr>
        <w:t xml:space="preserve"> </w:t>
      </w:r>
      <w:r w:rsidRPr="008A7F58">
        <w:rPr>
          <w:rFonts w:ascii="Times New Roman" w:hAnsi="Times New Roman" w:cs="Times New Roman"/>
          <w:sz w:val="24"/>
          <w:szCs w:val="22"/>
        </w:rPr>
        <w:t>UPVC cages (C2) had the largest end body weight, followed by bamboo (C1) and GI (C3). This rating remained stable during each fortnightly observation. The improved weight increase in UPVC cages is due to the chemically inert and smooth surface of the material, which reduces abrasion-induced stress on fish, guaranteeing that a greater proportion of absorbed energy is allocated into somatic growth rather than immunological and repair responses.</w:t>
      </w:r>
    </w:p>
    <w:p w14:paraId="2BE70085" w14:textId="2D2BDDE6" w:rsidR="00B561B6" w:rsidRPr="00C32F46" w:rsidRDefault="00DA1639" w:rsidP="00AE1BA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32F46">
        <w:rPr>
          <w:rFonts w:ascii="Times New Roman" w:eastAsia="Times New Roman" w:hAnsi="Times New Roman" w:cs="Times New Roman"/>
          <w:sz w:val="24"/>
          <w:szCs w:val="24"/>
          <w:lang w:eastAsia="en-IN"/>
        </w:rPr>
        <w:tab/>
        <w:t>SGR re</w:t>
      </w:r>
      <w:r>
        <w:rPr>
          <w:rFonts w:ascii="Times New Roman" w:eastAsia="Times New Roman" w:hAnsi="Times New Roman" w:cs="Times New Roman"/>
          <w:sz w:val="24"/>
          <w:szCs w:val="24"/>
          <w:lang w:eastAsia="en-IN"/>
        </w:rPr>
        <w:t>corded for various cages</w:t>
      </w:r>
      <w:r w:rsidRPr="00C32F46">
        <w:rPr>
          <w:rFonts w:ascii="Times New Roman" w:eastAsia="Times New Roman" w:hAnsi="Times New Roman" w:cs="Times New Roman"/>
          <w:sz w:val="24"/>
          <w:szCs w:val="24"/>
          <w:lang w:eastAsia="en-IN"/>
        </w:rPr>
        <w:t xml:space="preserve"> were 0.92 ± 0.02%/day (C1), 0.97 ± 0.02%/day (C2), and 0.89 ± 0.02%/day (C3), with UPVC (C2) being the highest and GI (C3) the lowest. The 0.08%/day difference between C2 and C3, while small at any given time, accumulates significantly over 60 days, agreeing with the 2.4 g difference in ultimate MWG.</w:t>
      </w:r>
    </w:p>
    <w:p w14:paraId="7CFC2C6E" w14:textId="7D83A1BE" w:rsidR="00E133BB" w:rsidRPr="00D61CCC" w:rsidRDefault="00EC24B8"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t xml:space="preserve">The </w:t>
      </w:r>
      <w:r w:rsidR="00886819">
        <w:rPr>
          <w:rFonts w:ascii="Times New Roman" w:hAnsi="Times New Roman" w:cs="Times New Roman"/>
          <w:sz w:val="24"/>
          <w:szCs w:val="24"/>
        </w:rPr>
        <w:t xml:space="preserve">body weight </w:t>
      </w:r>
      <w:r w:rsidR="007D5922">
        <w:rPr>
          <w:rFonts w:ascii="Times New Roman" w:hAnsi="Times New Roman" w:cs="Times New Roman"/>
          <w:sz w:val="24"/>
          <w:szCs w:val="24"/>
        </w:rPr>
        <w:t xml:space="preserve">gain </w:t>
      </w:r>
      <w:r w:rsidR="009C1D16">
        <w:rPr>
          <w:rFonts w:ascii="Times New Roman" w:hAnsi="Times New Roman" w:cs="Times New Roman"/>
          <w:sz w:val="24"/>
          <w:szCs w:val="24"/>
        </w:rPr>
        <w:t xml:space="preserve">percentage </w:t>
      </w:r>
      <w:r w:rsidRPr="00C32F46">
        <w:rPr>
          <w:rFonts w:ascii="Times New Roman" w:hAnsi="Times New Roman" w:cs="Times New Roman"/>
          <w:sz w:val="24"/>
          <w:szCs w:val="24"/>
        </w:rPr>
        <w:t>were 73.33 ± 2.41% (C1), 79.05 ± 2.41% (C2), and 70.92 ± 2.41% (C3). Fish in UPVC cages increased approximately 79% of their initial stocking weight after 60 days, compared to 73% in bamboo and 71% in GI cages. The ~8.1-percentage-point difference between C2 and C3 shows a productivity advantage that may compound over cage units or extended culture cycles. The increased growth percentage in UPVC cages is the result of improved survival, higher individual growth rates (SGR), and better feed utilisatio</w:t>
      </w:r>
      <w:r w:rsidR="00D61CCC">
        <w:rPr>
          <w:rFonts w:ascii="Times New Roman" w:hAnsi="Times New Roman" w:cs="Times New Roman"/>
          <w:sz w:val="24"/>
          <w:szCs w:val="24"/>
        </w:rPr>
        <w:t>n.</w:t>
      </w:r>
    </w:p>
    <w:p w14:paraId="560FAA3D" w14:textId="77777777" w:rsidR="00AE1BA5" w:rsidRDefault="00AE1BA5" w:rsidP="00AE1BA5">
      <w:pPr>
        <w:spacing w:line="360" w:lineRule="auto"/>
        <w:jc w:val="both"/>
        <w:rPr>
          <w:rFonts w:ascii="Times New Roman" w:hAnsi="Times New Roman" w:cs="Times New Roman"/>
          <w:b/>
          <w:bCs/>
          <w:sz w:val="24"/>
          <w:szCs w:val="24"/>
        </w:rPr>
      </w:pPr>
    </w:p>
    <w:p w14:paraId="2EA390A3" w14:textId="77777777" w:rsidR="00AE1BA5" w:rsidRDefault="00AE1BA5" w:rsidP="00AE1BA5">
      <w:pPr>
        <w:spacing w:line="360" w:lineRule="auto"/>
        <w:jc w:val="both"/>
        <w:rPr>
          <w:rFonts w:ascii="Times New Roman" w:hAnsi="Times New Roman" w:cs="Times New Roman"/>
          <w:b/>
          <w:bCs/>
          <w:sz w:val="24"/>
          <w:szCs w:val="24"/>
        </w:rPr>
      </w:pPr>
    </w:p>
    <w:p w14:paraId="064F4FB2" w14:textId="3202C09A" w:rsidR="0022420F" w:rsidRPr="00C32F46" w:rsidRDefault="00FA2C57"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007C2D06">
        <w:rPr>
          <w:rFonts w:ascii="Times New Roman" w:hAnsi="Times New Roman" w:cs="Times New Roman"/>
          <w:b/>
          <w:bCs/>
          <w:sz w:val="24"/>
          <w:szCs w:val="24"/>
        </w:rPr>
        <w:t>F</w:t>
      </w:r>
      <w:r w:rsidR="0022420F" w:rsidRPr="00C32F46">
        <w:rPr>
          <w:rFonts w:ascii="Times New Roman" w:hAnsi="Times New Roman" w:cs="Times New Roman"/>
          <w:b/>
          <w:bCs/>
          <w:sz w:val="24"/>
          <w:szCs w:val="24"/>
        </w:rPr>
        <w:t>eed</w:t>
      </w:r>
      <w:r w:rsidR="003445AF">
        <w:rPr>
          <w:rFonts w:ascii="Times New Roman" w:hAnsi="Times New Roman" w:cs="Times New Roman"/>
          <w:b/>
          <w:bCs/>
          <w:sz w:val="24"/>
          <w:szCs w:val="24"/>
        </w:rPr>
        <w:t xml:space="preserve"> </w:t>
      </w:r>
      <w:r w:rsidR="007C2D06">
        <w:rPr>
          <w:rFonts w:ascii="Times New Roman" w:hAnsi="Times New Roman" w:cs="Times New Roman"/>
          <w:b/>
          <w:bCs/>
          <w:sz w:val="24"/>
          <w:szCs w:val="24"/>
        </w:rPr>
        <w:t>U</w:t>
      </w:r>
      <w:r w:rsidR="003445AF">
        <w:rPr>
          <w:rFonts w:ascii="Times New Roman" w:hAnsi="Times New Roman" w:cs="Times New Roman"/>
          <w:b/>
          <w:bCs/>
          <w:sz w:val="24"/>
          <w:szCs w:val="24"/>
        </w:rPr>
        <w:t>tilization in</w:t>
      </w:r>
      <w:r w:rsidR="007C2D06">
        <w:rPr>
          <w:rFonts w:ascii="Times New Roman" w:hAnsi="Times New Roman" w:cs="Times New Roman"/>
          <w:b/>
          <w:bCs/>
          <w:sz w:val="24"/>
          <w:szCs w:val="24"/>
        </w:rPr>
        <w:t xml:space="preserve"> P</w:t>
      </w:r>
      <w:r w:rsidR="003445AF">
        <w:rPr>
          <w:rFonts w:ascii="Times New Roman" w:hAnsi="Times New Roman" w:cs="Times New Roman"/>
          <w:b/>
          <w:bCs/>
          <w:sz w:val="24"/>
          <w:szCs w:val="24"/>
        </w:rPr>
        <w:t>angasius</w:t>
      </w:r>
    </w:p>
    <w:p w14:paraId="6E419E11" w14:textId="2E14C38C" w:rsidR="0022420F" w:rsidRDefault="00B21A1F"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r>
      <w:r w:rsidR="008D6A53">
        <w:rPr>
          <w:rFonts w:ascii="Times New Roman" w:hAnsi="Times New Roman" w:cs="Times New Roman"/>
          <w:sz w:val="24"/>
          <w:szCs w:val="24"/>
        </w:rPr>
        <w:t xml:space="preserve">The results of feed utilization as a </w:t>
      </w:r>
      <w:r w:rsidR="00DF2251">
        <w:rPr>
          <w:rFonts w:ascii="Times New Roman" w:hAnsi="Times New Roman" w:cs="Times New Roman"/>
          <w:sz w:val="24"/>
          <w:szCs w:val="24"/>
        </w:rPr>
        <w:t>measure</w:t>
      </w:r>
      <w:r w:rsidR="008D6A53">
        <w:rPr>
          <w:rFonts w:ascii="Times New Roman" w:hAnsi="Times New Roman" w:cs="Times New Roman"/>
          <w:sz w:val="24"/>
          <w:szCs w:val="24"/>
        </w:rPr>
        <w:t xml:space="preserve"> of </w:t>
      </w:r>
      <w:r w:rsidR="008D6A53" w:rsidRPr="008D6A53">
        <w:rPr>
          <w:rFonts w:ascii="Times New Roman" w:hAnsi="Times New Roman" w:cs="Times New Roman"/>
          <w:sz w:val="24"/>
          <w:szCs w:val="24"/>
        </w:rPr>
        <w:t>Feed conversion ratio (FCR)</w:t>
      </w:r>
      <w:r w:rsidR="008D6A53">
        <w:rPr>
          <w:rFonts w:ascii="Times New Roman" w:hAnsi="Times New Roman" w:cs="Times New Roman"/>
          <w:sz w:val="24"/>
          <w:szCs w:val="24"/>
        </w:rPr>
        <w:t xml:space="preserve">, </w:t>
      </w:r>
      <w:r w:rsidR="008D6A53" w:rsidRPr="008D6A53">
        <w:rPr>
          <w:rFonts w:ascii="Times New Roman" w:hAnsi="Times New Roman" w:cs="Times New Roman"/>
          <w:sz w:val="24"/>
          <w:szCs w:val="24"/>
        </w:rPr>
        <w:t>Protein efficiency ratio (PER) and Feed conversion efficiency (FCE)</w:t>
      </w:r>
      <w:r w:rsidR="008D6A53">
        <w:rPr>
          <w:rFonts w:ascii="Times New Roman" w:hAnsi="Times New Roman" w:cs="Times New Roman"/>
          <w:sz w:val="24"/>
          <w:szCs w:val="24"/>
        </w:rPr>
        <w:t xml:space="preserve"> are illustrated in figure </w:t>
      </w:r>
      <w:r w:rsidR="00A05BA9">
        <w:rPr>
          <w:rFonts w:ascii="Times New Roman" w:hAnsi="Times New Roman" w:cs="Times New Roman"/>
          <w:sz w:val="24"/>
          <w:szCs w:val="24"/>
        </w:rPr>
        <w:t>4</w:t>
      </w:r>
      <w:r w:rsidR="008D6A53">
        <w:rPr>
          <w:rFonts w:ascii="Times New Roman" w:hAnsi="Times New Roman" w:cs="Times New Roman"/>
          <w:sz w:val="24"/>
          <w:szCs w:val="24"/>
        </w:rPr>
        <w:t xml:space="preserve"> (values are </w:t>
      </w:r>
      <w:r w:rsidR="000E3C8C">
        <w:rPr>
          <w:rFonts w:ascii="Times New Roman" w:hAnsi="Times New Roman" w:cs="Times New Roman"/>
          <w:sz w:val="24"/>
          <w:szCs w:val="24"/>
        </w:rPr>
        <w:t>in the form of M</w:t>
      </w:r>
      <w:r w:rsidR="008D6A53">
        <w:rPr>
          <w:rFonts w:ascii="Times New Roman" w:hAnsi="Times New Roman" w:cs="Times New Roman"/>
          <w:sz w:val="24"/>
          <w:szCs w:val="24"/>
        </w:rPr>
        <w:t>ean</w:t>
      </w:r>
      <w:r w:rsidR="000E3C8C">
        <w:rPr>
          <w:rFonts w:ascii="Times New Roman" w:hAnsi="Times New Roman" w:cs="Times New Roman"/>
          <w:sz w:val="24"/>
          <w:szCs w:val="24"/>
        </w:rPr>
        <w:t xml:space="preserve"> ± SE)</w:t>
      </w:r>
      <w:r w:rsidR="008D6A53">
        <w:rPr>
          <w:rFonts w:ascii="Times New Roman" w:hAnsi="Times New Roman" w:cs="Times New Roman"/>
          <w:sz w:val="24"/>
          <w:szCs w:val="24"/>
        </w:rPr>
        <w:t>.</w:t>
      </w:r>
      <w:r w:rsidR="008D6A53">
        <w:rPr>
          <w:rFonts w:ascii="Times New Roman" w:hAnsi="Times New Roman" w:cs="Times New Roman"/>
          <w:b/>
          <w:bCs/>
          <w:sz w:val="24"/>
          <w:szCs w:val="24"/>
        </w:rPr>
        <w:t xml:space="preserve"> </w:t>
      </w:r>
      <w:r w:rsidR="005A479C" w:rsidRPr="00C32F46">
        <w:rPr>
          <w:rFonts w:ascii="Times New Roman" w:hAnsi="Times New Roman" w:cs="Times New Roman"/>
          <w:sz w:val="24"/>
          <w:szCs w:val="24"/>
        </w:rPr>
        <w:t xml:space="preserve">FCR is an important metric of feed utilisation efficiency, with a lower value indicating greater feed conversion to body mass and a direct impact on production economics. </w:t>
      </w:r>
    </w:p>
    <w:p w14:paraId="6F0D4949" w14:textId="77777777" w:rsidR="00AF0B36" w:rsidRPr="00C32F46" w:rsidRDefault="00AF0B36"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 xml:space="preserve">The FCR values </w:t>
      </w:r>
      <w:r>
        <w:rPr>
          <w:rFonts w:ascii="Times New Roman" w:hAnsi="Times New Roman" w:cs="Times New Roman"/>
          <w:sz w:val="24"/>
          <w:szCs w:val="24"/>
        </w:rPr>
        <w:t xml:space="preserve">recorded </w:t>
      </w:r>
      <w:r w:rsidRPr="00C32F46">
        <w:rPr>
          <w:rFonts w:ascii="Times New Roman" w:hAnsi="Times New Roman" w:cs="Times New Roman"/>
          <w:sz w:val="24"/>
          <w:szCs w:val="24"/>
        </w:rPr>
        <w:t>were 3.01 ± 0.08 (C1), 2.83 ± 0.08 (C2), and 3.12 ± 0.08 (C3)</w:t>
      </w:r>
      <w:r>
        <w:rPr>
          <w:rFonts w:ascii="Times New Roman" w:hAnsi="Times New Roman" w:cs="Times New Roman"/>
          <w:sz w:val="24"/>
          <w:szCs w:val="24"/>
        </w:rPr>
        <w:t xml:space="preserve"> (figure 3a)</w:t>
      </w:r>
      <w:r w:rsidRPr="00C32F46">
        <w:rPr>
          <w:rFonts w:ascii="Times New Roman" w:hAnsi="Times New Roman" w:cs="Times New Roman"/>
          <w:sz w:val="24"/>
          <w:szCs w:val="24"/>
        </w:rPr>
        <w:t xml:space="preserve">. UPVC (C2) had the lowest and most efficient FCR while getting the highest total </w:t>
      </w:r>
      <w:r w:rsidRPr="00C32F46">
        <w:rPr>
          <w:rFonts w:ascii="Times New Roman" w:hAnsi="Times New Roman" w:cs="Times New Roman"/>
          <w:sz w:val="24"/>
          <w:szCs w:val="24"/>
        </w:rPr>
        <w:lastRenderedPageBreak/>
        <w:t>feed input (14,561.59 g), which is consistent with its higher survival and biomass; its lower FCR thus reflects actual metabolic efficiency rather than reduced intake.</w:t>
      </w:r>
    </w:p>
    <w:p w14:paraId="755B6825" w14:textId="08D7792F" w:rsidR="00AF0B36" w:rsidRPr="00C32F46" w:rsidRDefault="00AF0B36"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t>PER</w:t>
      </w:r>
      <w:r>
        <w:rPr>
          <w:rFonts w:ascii="Times New Roman" w:hAnsi="Times New Roman" w:cs="Times New Roman"/>
          <w:sz w:val="24"/>
          <w:szCs w:val="24"/>
        </w:rPr>
        <w:t xml:space="preserve"> </w:t>
      </w:r>
      <w:r w:rsidRPr="00C32F46">
        <w:rPr>
          <w:rFonts w:ascii="Times New Roman" w:hAnsi="Times New Roman" w:cs="Times New Roman"/>
          <w:sz w:val="24"/>
          <w:szCs w:val="24"/>
        </w:rPr>
        <w:t>evaluates how efficiently dietary protein is converted to body mass, with a higher value suggesting better protein utilisation for anabolic development. The experimental diet included 30% crude protein. The PER values were 1.11 ± 0.03 (C1), 1.18 ± 0.03 (C2), and 1.07 ± 0.03 (C3) for the bamboo, UPVC, and GI treatments, respectively. UPVC (C2) had the greatest PER, indicating the most efficient conversion of dietary protein into body tissue, whereas GI (C3) had the lowest, implying that a greater proportion of ingested protein was catabolised for energy rather than deposited for growth.</w:t>
      </w:r>
    </w:p>
    <w:p w14:paraId="5D8C6BB8" w14:textId="01AF2D7E" w:rsidR="00AF0B36" w:rsidRPr="0066617E" w:rsidRDefault="00DA1639"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Higher PER in UPVC cages is linked to lesser cortisol-mediated protein catabolism under low-stress settings. Persistent sub-lethal stress, such as that found in more abrasive GI cages, can activate the hypothalamic-pituitary-</w:t>
      </w:r>
      <w:proofErr w:type="spellStart"/>
      <w:r w:rsidRPr="00C32F46">
        <w:rPr>
          <w:rFonts w:ascii="Times New Roman" w:hAnsi="Times New Roman" w:cs="Times New Roman"/>
          <w:sz w:val="24"/>
          <w:szCs w:val="24"/>
        </w:rPr>
        <w:t>interrenal</w:t>
      </w:r>
      <w:proofErr w:type="spellEnd"/>
      <w:r w:rsidRPr="00C32F46">
        <w:rPr>
          <w:rFonts w:ascii="Times New Roman" w:hAnsi="Times New Roman" w:cs="Times New Roman"/>
          <w:sz w:val="24"/>
          <w:szCs w:val="24"/>
        </w:rPr>
        <w:t xml:space="preserve"> axis, increasing cortisol levels. Cortisol, in turn, increases proteolysis to supply gluconeogenic substrates, limiting the protein available for muscle deposition and lowering PER.</w:t>
      </w:r>
    </w:p>
    <w:p w14:paraId="1CC90BE0" w14:textId="1FBCBA5F" w:rsidR="00DA1639" w:rsidRPr="0005560D" w:rsidRDefault="00B21A1F"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r>
      <w:r w:rsidR="00C918E2" w:rsidRPr="00C32F46">
        <w:rPr>
          <w:rFonts w:ascii="Times New Roman" w:hAnsi="Times New Roman" w:cs="Times New Roman"/>
          <w:sz w:val="24"/>
          <w:szCs w:val="24"/>
        </w:rPr>
        <w:t xml:space="preserve">FCE, or the reciprocal of FCR, expresses the proportion of total feed consumed that is converted to body mass; unlike FCR, a larger value is preferred. </w:t>
      </w:r>
      <w:r w:rsidR="001B4EDD">
        <w:rPr>
          <w:rFonts w:ascii="Times New Roman" w:hAnsi="Times New Roman" w:cs="Times New Roman"/>
          <w:sz w:val="24"/>
          <w:szCs w:val="24"/>
        </w:rPr>
        <w:t>T</w:t>
      </w:r>
      <w:r w:rsidR="00CA4FD1" w:rsidRPr="00C32F46">
        <w:rPr>
          <w:rFonts w:ascii="Times New Roman" w:hAnsi="Times New Roman" w:cs="Times New Roman"/>
          <w:sz w:val="24"/>
          <w:szCs w:val="24"/>
        </w:rPr>
        <w:t>he FCE values were 0.33 ± 0.01 (C1), 0.35 ± 0.01 (C2), and 0.32 ± 0.01 (C3). UPVC (C2) converted the most feed to body mass (35%), GI (C3) the least (32%), and bamboo (C1) intermediate (33%). This three-percentage-point difference has significant commercial implications: for a farm producing 5,000 kg per cycle, a 3% FCE gain equates to 150-180 kg less feed required a significant savings given that feed accounts for 50-60% of variable production costs in cage aquaculture.</w:t>
      </w:r>
      <w:r w:rsidRPr="00C32F46">
        <w:rPr>
          <w:rFonts w:ascii="Times New Roman" w:hAnsi="Times New Roman" w:cs="Times New Roman"/>
          <w:sz w:val="24"/>
          <w:szCs w:val="24"/>
        </w:rPr>
        <w:tab/>
      </w:r>
    </w:p>
    <w:p w14:paraId="509D7D39" w14:textId="77777777" w:rsidR="00AE1BA5" w:rsidRDefault="00AE1BA5" w:rsidP="00AE1BA5">
      <w:pPr>
        <w:spacing w:line="360" w:lineRule="auto"/>
        <w:jc w:val="both"/>
        <w:rPr>
          <w:rFonts w:ascii="Times New Roman" w:eastAsia="Times New Roman" w:hAnsi="Times New Roman" w:cs="Times New Roman"/>
          <w:b/>
          <w:bCs/>
          <w:sz w:val="24"/>
          <w:szCs w:val="24"/>
          <w:lang w:eastAsia="en-IN"/>
        </w:rPr>
      </w:pPr>
    </w:p>
    <w:p w14:paraId="1E4B0AF0" w14:textId="53F09C00" w:rsidR="005770C2" w:rsidRPr="00E133BB" w:rsidRDefault="005770C2" w:rsidP="00AE1BA5">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en-IN"/>
        </w:rPr>
        <w:t>3.3</w:t>
      </w:r>
      <w:r w:rsidRPr="00C32F46">
        <w:rPr>
          <w:rFonts w:ascii="Times New Roman" w:eastAsia="Times New Roman" w:hAnsi="Times New Roman" w:cs="Times New Roman"/>
          <w:b/>
          <w:bCs/>
          <w:sz w:val="24"/>
          <w:szCs w:val="24"/>
          <w:lang w:eastAsia="en-IN"/>
        </w:rPr>
        <w:t xml:space="preserve"> Survival Rate (SR)</w:t>
      </w:r>
      <w:r w:rsidR="00E315C4">
        <w:rPr>
          <w:rFonts w:ascii="Times New Roman" w:eastAsia="Times New Roman" w:hAnsi="Times New Roman" w:cs="Times New Roman"/>
          <w:b/>
          <w:bCs/>
          <w:sz w:val="24"/>
          <w:szCs w:val="24"/>
          <w:lang w:eastAsia="en-IN"/>
        </w:rPr>
        <w:t xml:space="preserve"> of cage reared pangasius</w:t>
      </w:r>
    </w:p>
    <w:p w14:paraId="3FEF6970" w14:textId="4F9E5290" w:rsidR="005770C2" w:rsidRPr="00C32F46" w:rsidRDefault="005770C2" w:rsidP="00AE1BA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32F46">
        <w:rPr>
          <w:rFonts w:ascii="Times New Roman" w:eastAsia="Times New Roman" w:hAnsi="Times New Roman" w:cs="Times New Roman"/>
          <w:sz w:val="24"/>
          <w:szCs w:val="24"/>
          <w:lang w:eastAsia="en-IN"/>
        </w:rPr>
        <w:t>S</w:t>
      </w:r>
      <w:r>
        <w:rPr>
          <w:rFonts w:ascii="Times New Roman" w:eastAsia="Times New Roman" w:hAnsi="Times New Roman" w:cs="Times New Roman"/>
          <w:sz w:val="24"/>
          <w:szCs w:val="24"/>
          <w:lang w:eastAsia="en-IN"/>
        </w:rPr>
        <w:t>urvival rate</w:t>
      </w:r>
      <w:r w:rsidRPr="00C32F46">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 xml:space="preserve"> </w:t>
      </w:r>
      <w:r w:rsidRPr="00C32F46">
        <w:rPr>
          <w:rFonts w:ascii="Times New Roman" w:eastAsia="Times New Roman" w:hAnsi="Times New Roman" w:cs="Times New Roman"/>
          <w:sz w:val="24"/>
          <w:szCs w:val="24"/>
          <w:lang w:eastAsia="en-IN"/>
        </w:rPr>
        <w:t>is a direct indicator of fish welfare, cage structural integrity, and the absence of hazardous physicochemical conditions.</w:t>
      </w:r>
    </w:p>
    <w:p w14:paraId="13849CED" w14:textId="5BF49773" w:rsidR="005770C2" w:rsidRPr="006E0E96" w:rsidRDefault="005770C2"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 xml:space="preserve">The final survival rates were 91.85 ± 1.81% (C1), 95.18 ± 1.81% (C2), and 88.89 ± 1.81% (C3) (Maurya et al., 2025). </w:t>
      </w:r>
      <w:r w:rsidR="00622612">
        <w:rPr>
          <w:rFonts w:ascii="Times New Roman" w:hAnsi="Times New Roman" w:cs="Times New Roman"/>
          <w:sz w:val="24"/>
          <w:szCs w:val="24"/>
        </w:rPr>
        <w:t>Figure 5 estimates</w:t>
      </w:r>
      <w:r w:rsidR="00A42BC8">
        <w:rPr>
          <w:rFonts w:ascii="Times New Roman" w:hAnsi="Times New Roman" w:cs="Times New Roman"/>
          <w:sz w:val="24"/>
          <w:szCs w:val="24"/>
        </w:rPr>
        <w:t xml:space="preserve"> the survival rate</w:t>
      </w:r>
      <w:r w:rsidR="005748D4">
        <w:rPr>
          <w:rFonts w:ascii="Times New Roman" w:hAnsi="Times New Roman" w:cs="Times New Roman"/>
          <w:sz w:val="24"/>
          <w:szCs w:val="24"/>
        </w:rPr>
        <w:t xml:space="preserve"> of cage reared pangasius</w:t>
      </w:r>
      <w:r w:rsidR="00A42BC8">
        <w:rPr>
          <w:rFonts w:ascii="Times New Roman" w:hAnsi="Times New Roman" w:cs="Times New Roman"/>
          <w:sz w:val="24"/>
          <w:szCs w:val="24"/>
        </w:rPr>
        <w:t>, and found that</w:t>
      </w:r>
      <w:r w:rsidR="00622612">
        <w:rPr>
          <w:rFonts w:ascii="Times New Roman" w:hAnsi="Times New Roman" w:cs="Times New Roman"/>
          <w:sz w:val="24"/>
          <w:szCs w:val="24"/>
        </w:rPr>
        <w:t xml:space="preserve"> </w:t>
      </w:r>
      <w:r w:rsidRPr="00C32F46">
        <w:rPr>
          <w:rFonts w:ascii="Times New Roman" w:hAnsi="Times New Roman" w:cs="Times New Roman"/>
          <w:sz w:val="24"/>
          <w:szCs w:val="24"/>
        </w:rPr>
        <w:t>UPVC had the highest survival rate, whereas GI had the lowest</w:t>
      </w:r>
      <w:r>
        <w:rPr>
          <w:rFonts w:ascii="Times New Roman" w:hAnsi="Times New Roman" w:cs="Times New Roman"/>
          <w:sz w:val="24"/>
          <w:szCs w:val="24"/>
        </w:rPr>
        <w:t xml:space="preserve">, </w:t>
      </w:r>
      <w:r w:rsidRPr="00C32F46">
        <w:rPr>
          <w:rFonts w:ascii="Times New Roman" w:hAnsi="Times New Roman" w:cs="Times New Roman"/>
          <w:sz w:val="24"/>
          <w:szCs w:val="24"/>
        </w:rPr>
        <w:t>a 6.3-</w:t>
      </w:r>
      <w:r w:rsidRPr="00C32F46">
        <w:rPr>
          <w:rFonts w:ascii="Times New Roman" w:hAnsi="Times New Roman" w:cs="Times New Roman"/>
          <w:sz w:val="24"/>
          <w:szCs w:val="24"/>
        </w:rPr>
        <w:lastRenderedPageBreak/>
        <w:t>percentage-point</w:t>
      </w:r>
      <w:r>
        <w:rPr>
          <w:rFonts w:ascii="Times New Roman" w:hAnsi="Times New Roman" w:cs="Times New Roman"/>
          <w:sz w:val="24"/>
          <w:szCs w:val="24"/>
        </w:rPr>
        <w:t xml:space="preserve"> </w:t>
      </w:r>
      <w:r w:rsidRPr="00C32F46">
        <w:rPr>
          <w:rFonts w:ascii="Times New Roman" w:hAnsi="Times New Roman" w:cs="Times New Roman"/>
          <w:sz w:val="24"/>
          <w:szCs w:val="24"/>
        </w:rPr>
        <w:t>differential, corresponding to approximately 17 more surviving fish per cage at similar stocking density.</w:t>
      </w:r>
    </w:p>
    <w:p w14:paraId="3CCF135C" w14:textId="100152B3" w:rsidR="00512E5A" w:rsidRDefault="00451691"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3.4</w:t>
      </w:r>
      <w:r w:rsidR="00512E5A" w:rsidRPr="00C32F46">
        <w:rPr>
          <w:rFonts w:ascii="Times New Roman" w:hAnsi="Times New Roman" w:cs="Times New Roman"/>
          <w:b/>
          <w:bCs/>
          <w:sz w:val="24"/>
          <w:szCs w:val="24"/>
        </w:rPr>
        <w:t xml:space="preserve"> Biomass Yiel</w:t>
      </w:r>
      <w:r w:rsidR="00081FCA">
        <w:rPr>
          <w:rFonts w:ascii="Times New Roman" w:hAnsi="Times New Roman" w:cs="Times New Roman"/>
          <w:b/>
          <w:bCs/>
          <w:sz w:val="24"/>
          <w:szCs w:val="24"/>
        </w:rPr>
        <w:t>d</w:t>
      </w:r>
    </w:p>
    <w:p w14:paraId="5ABEA93A" w14:textId="36C0077B" w:rsidR="00C45FBE" w:rsidRPr="00C32F46" w:rsidRDefault="00C45FBE"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The primary commercial productivity parameter in cage aquaculture is final biomass (g per cage), which represents total harvestable fish weight per cage at the conclusion of the culture period and directly determines gross income per unit cage investment.</w:t>
      </w:r>
      <w:r w:rsidR="00776B48">
        <w:rPr>
          <w:rFonts w:ascii="Times New Roman" w:hAnsi="Times New Roman" w:cs="Times New Roman"/>
          <w:sz w:val="24"/>
          <w:szCs w:val="24"/>
        </w:rPr>
        <w:t xml:space="preserve"> Total biomass yielded id presented in figure </w:t>
      </w:r>
      <w:r w:rsidR="00A42BC8">
        <w:rPr>
          <w:rFonts w:ascii="Times New Roman" w:hAnsi="Times New Roman" w:cs="Times New Roman"/>
          <w:sz w:val="24"/>
          <w:szCs w:val="24"/>
        </w:rPr>
        <w:t>6</w:t>
      </w:r>
      <w:r w:rsidR="00776B48">
        <w:rPr>
          <w:rFonts w:ascii="Times New Roman" w:hAnsi="Times New Roman" w:cs="Times New Roman"/>
          <w:sz w:val="24"/>
          <w:szCs w:val="24"/>
        </w:rPr>
        <w:t>.</w:t>
      </w:r>
    </w:p>
    <w:p w14:paraId="56528821" w14:textId="2BB27C4A" w:rsidR="00857D04" w:rsidRDefault="00B21A1F"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r>
      <w:r w:rsidR="008B4660" w:rsidRPr="00C32F46">
        <w:rPr>
          <w:rFonts w:ascii="Times New Roman" w:hAnsi="Times New Roman" w:cs="Times New Roman"/>
          <w:sz w:val="24"/>
          <w:szCs w:val="24"/>
        </w:rPr>
        <w:t xml:space="preserve">UPVC (C2) produced the </w:t>
      </w:r>
      <w:r w:rsidR="00171922">
        <w:rPr>
          <w:rFonts w:ascii="Times New Roman" w:hAnsi="Times New Roman" w:cs="Times New Roman"/>
          <w:sz w:val="24"/>
          <w:szCs w:val="24"/>
        </w:rPr>
        <w:t xml:space="preserve">highest </w:t>
      </w:r>
      <w:r w:rsidR="008B4660" w:rsidRPr="00C32F46">
        <w:rPr>
          <w:rFonts w:ascii="Times New Roman" w:hAnsi="Times New Roman" w:cs="Times New Roman"/>
          <w:sz w:val="24"/>
          <w:szCs w:val="24"/>
        </w:rPr>
        <w:t>total biomass, followed by bamboo (C1) and GI (C3); the advantage of UPVC over GI was roughly 1,346 g per cage, representing a 13.1% yield gain from the same cage volume, stocking, and feeding rates.</w:t>
      </w:r>
    </w:p>
    <w:p w14:paraId="1BED66C3" w14:textId="4F05758A" w:rsidR="002F426B" w:rsidRDefault="00451691"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3.5</w:t>
      </w:r>
      <w:r w:rsidR="002F426B" w:rsidRPr="00C32F46">
        <w:rPr>
          <w:rFonts w:ascii="Times New Roman" w:hAnsi="Times New Roman" w:cs="Times New Roman"/>
          <w:b/>
          <w:bCs/>
          <w:sz w:val="24"/>
          <w:szCs w:val="24"/>
        </w:rPr>
        <w:t xml:space="preserve"> </w:t>
      </w:r>
      <w:proofErr w:type="spellStart"/>
      <w:r w:rsidR="00580AF1">
        <w:rPr>
          <w:rFonts w:ascii="Times New Roman" w:hAnsi="Times New Roman" w:cs="Times New Roman"/>
          <w:b/>
          <w:bCs/>
          <w:sz w:val="24"/>
          <w:szCs w:val="24"/>
        </w:rPr>
        <w:t>Physico</w:t>
      </w:r>
      <w:proofErr w:type="spellEnd"/>
      <w:r w:rsidR="00580AF1">
        <w:rPr>
          <w:rFonts w:ascii="Times New Roman" w:hAnsi="Times New Roman" w:cs="Times New Roman"/>
          <w:b/>
          <w:bCs/>
          <w:sz w:val="24"/>
          <w:szCs w:val="24"/>
        </w:rPr>
        <w:t>-chemical w</w:t>
      </w:r>
      <w:r w:rsidR="002F426B" w:rsidRPr="00C32F46">
        <w:rPr>
          <w:rFonts w:ascii="Times New Roman" w:hAnsi="Times New Roman" w:cs="Times New Roman"/>
          <w:b/>
          <w:bCs/>
          <w:sz w:val="24"/>
          <w:szCs w:val="24"/>
        </w:rPr>
        <w:t xml:space="preserve">ater </w:t>
      </w:r>
      <w:r w:rsidR="00580AF1">
        <w:rPr>
          <w:rFonts w:ascii="Times New Roman" w:hAnsi="Times New Roman" w:cs="Times New Roman"/>
          <w:b/>
          <w:bCs/>
          <w:sz w:val="24"/>
          <w:szCs w:val="24"/>
        </w:rPr>
        <w:t>q</w:t>
      </w:r>
      <w:r w:rsidR="002F426B" w:rsidRPr="00C32F46">
        <w:rPr>
          <w:rFonts w:ascii="Times New Roman" w:hAnsi="Times New Roman" w:cs="Times New Roman"/>
          <w:b/>
          <w:bCs/>
          <w:sz w:val="24"/>
          <w:szCs w:val="24"/>
        </w:rPr>
        <w:t xml:space="preserve">uality </w:t>
      </w:r>
      <w:r w:rsidR="00580AF1">
        <w:rPr>
          <w:rFonts w:ascii="Times New Roman" w:hAnsi="Times New Roman" w:cs="Times New Roman"/>
          <w:b/>
          <w:bCs/>
          <w:sz w:val="24"/>
          <w:szCs w:val="24"/>
        </w:rPr>
        <w:t>p</w:t>
      </w:r>
      <w:r w:rsidR="002F426B" w:rsidRPr="00C32F46">
        <w:rPr>
          <w:rFonts w:ascii="Times New Roman" w:hAnsi="Times New Roman" w:cs="Times New Roman"/>
          <w:b/>
          <w:bCs/>
          <w:sz w:val="24"/>
          <w:szCs w:val="24"/>
        </w:rPr>
        <w:t>arameters</w:t>
      </w:r>
    </w:p>
    <w:p w14:paraId="7E576E62" w14:textId="55C97B7F" w:rsidR="008E7436" w:rsidRPr="005D2122" w:rsidRDefault="00A441B6"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t>Physicochemical parameters were measured weekly at the cage site throughout the 60 days</w:t>
      </w:r>
      <w:r>
        <w:rPr>
          <w:rFonts w:ascii="Times New Roman" w:hAnsi="Times New Roman" w:cs="Times New Roman"/>
          <w:sz w:val="24"/>
          <w:szCs w:val="24"/>
        </w:rPr>
        <w:t xml:space="preserve"> as summarised in table</w:t>
      </w:r>
      <w:r w:rsidRPr="00C32F46">
        <w:rPr>
          <w:rFonts w:ascii="Times New Roman" w:hAnsi="Times New Roman" w:cs="Times New Roman"/>
          <w:sz w:val="24"/>
          <w:szCs w:val="24"/>
        </w:rPr>
        <w:t xml:space="preserve"> pH, dissolved oxygen, water temperature, total hardness, and total alkalinity are investigated separately below, each with its own table and figure; all recorded values were within the ranges suggested for productive freshwater fish rearing (Boyd, 1998). </w:t>
      </w:r>
      <w:r w:rsidR="00A42BC8">
        <w:rPr>
          <w:rFonts w:ascii="Times New Roman" w:hAnsi="Times New Roman" w:cs="Times New Roman"/>
          <w:sz w:val="24"/>
          <w:szCs w:val="24"/>
          <w:lang w:val="en-US"/>
        </w:rPr>
        <w:t>T</w:t>
      </w:r>
      <w:r w:rsidRPr="00C32F46">
        <w:rPr>
          <w:rFonts w:ascii="Times New Roman" w:hAnsi="Times New Roman" w:cs="Times New Roman"/>
          <w:sz w:val="24"/>
          <w:szCs w:val="24"/>
        </w:rPr>
        <w:t xml:space="preserve">able 1 </w:t>
      </w:r>
      <w:r w:rsidR="004E6C25">
        <w:rPr>
          <w:rFonts w:ascii="Times New Roman" w:hAnsi="Times New Roman" w:cs="Times New Roman"/>
          <w:sz w:val="24"/>
          <w:szCs w:val="24"/>
        </w:rPr>
        <w:t>illustrated the</w:t>
      </w:r>
      <w:r w:rsidR="000B17AC">
        <w:rPr>
          <w:rFonts w:ascii="Times New Roman" w:hAnsi="Times New Roman" w:cs="Times New Roman"/>
          <w:sz w:val="24"/>
          <w:szCs w:val="24"/>
        </w:rPr>
        <w:t xml:space="preserve"> weekly fluctuations in water quality parameters</w:t>
      </w:r>
      <w:r w:rsidRPr="00C32F46">
        <w:rPr>
          <w:rFonts w:ascii="Times New Roman" w:hAnsi="Times New Roman" w:cs="Times New Roman"/>
          <w:sz w:val="24"/>
          <w:szCs w:val="24"/>
        </w:rPr>
        <w:t>.</w:t>
      </w:r>
      <w:r>
        <w:rPr>
          <w:rFonts w:ascii="Times New Roman" w:hAnsi="Times New Roman" w:cs="Times New Roman"/>
          <w:sz w:val="24"/>
          <w:szCs w:val="24"/>
        </w:rPr>
        <w:t xml:space="preserve"> </w:t>
      </w:r>
      <w:r w:rsidRPr="00C32F46">
        <w:rPr>
          <w:rFonts w:ascii="Times New Roman" w:eastAsia="Times New Roman" w:hAnsi="Times New Roman" w:cs="Times New Roman"/>
          <w:sz w:val="24"/>
          <w:szCs w:val="24"/>
          <w:lang w:eastAsia="en-IN"/>
        </w:rPr>
        <w:t xml:space="preserve">Physicochemical parameters were measured weekly at the cage site throughout the 60-day period. </w:t>
      </w:r>
      <w:r w:rsidR="00D4471A" w:rsidRPr="00D4471A">
        <w:rPr>
          <w:rFonts w:ascii="Times New Roman" w:eastAsia="Times New Roman" w:hAnsi="Times New Roman" w:cs="Times New Roman"/>
          <w:sz w:val="24"/>
          <w:szCs w:val="24"/>
          <w:lang w:eastAsia="en-IN"/>
        </w:rPr>
        <w:t xml:space="preserve">pH remained relatively stable under slightly alkaline conditions </w:t>
      </w:r>
      <w:r w:rsidR="00D4471A" w:rsidRPr="003F0D8E">
        <w:rPr>
          <w:rFonts w:ascii="Times New Roman" w:eastAsia="Times New Roman" w:hAnsi="Times New Roman" w:cs="Times New Roman"/>
          <w:sz w:val="24"/>
          <w:szCs w:val="24"/>
          <w:lang w:eastAsia="en-IN"/>
        </w:rPr>
        <w:t>(7.4</w:t>
      </w:r>
      <w:r w:rsidR="003F0D8E" w:rsidRPr="003F0D8E">
        <w:rPr>
          <w:rFonts w:ascii="Times New Roman" w:eastAsia="Times New Roman" w:hAnsi="Times New Roman" w:cs="Times New Roman"/>
          <w:sz w:val="24"/>
          <w:szCs w:val="24"/>
          <w:lang w:eastAsia="en-IN"/>
        </w:rPr>
        <w:t>5</w:t>
      </w:r>
      <w:r w:rsidR="00D4471A" w:rsidRPr="003F0D8E">
        <w:rPr>
          <w:rFonts w:ascii="Times New Roman" w:eastAsia="Times New Roman" w:hAnsi="Times New Roman" w:cs="Times New Roman"/>
          <w:sz w:val="24"/>
          <w:szCs w:val="24"/>
          <w:lang w:eastAsia="en-IN"/>
        </w:rPr>
        <w:t>–7.</w:t>
      </w:r>
      <w:r w:rsidR="003F0D8E" w:rsidRPr="003F0D8E">
        <w:rPr>
          <w:rFonts w:ascii="Times New Roman" w:eastAsia="Times New Roman" w:hAnsi="Times New Roman" w:cs="Times New Roman"/>
          <w:sz w:val="24"/>
          <w:szCs w:val="24"/>
          <w:lang w:eastAsia="en-IN"/>
        </w:rPr>
        <w:t>75</w:t>
      </w:r>
      <w:proofErr w:type="gramStart"/>
      <w:r w:rsidR="00D4471A" w:rsidRPr="003F0D8E">
        <w:rPr>
          <w:rFonts w:ascii="Times New Roman" w:eastAsia="Times New Roman" w:hAnsi="Times New Roman" w:cs="Times New Roman"/>
          <w:sz w:val="24"/>
          <w:szCs w:val="24"/>
          <w:lang w:eastAsia="en-IN"/>
        </w:rPr>
        <w:t>)</w:t>
      </w:r>
      <w:r w:rsidR="00D4471A" w:rsidRPr="00D4471A">
        <w:rPr>
          <w:rFonts w:ascii="Times New Roman" w:eastAsia="Times New Roman" w:hAnsi="Times New Roman" w:cs="Times New Roman"/>
          <w:sz w:val="24"/>
          <w:szCs w:val="24"/>
          <w:lang w:eastAsia="en-IN"/>
        </w:rPr>
        <w:t>.</w:t>
      </w:r>
      <w:r w:rsidRPr="00C32F46">
        <w:rPr>
          <w:rFonts w:ascii="Times New Roman" w:eastAsia="Times New Roman" w:hAnsi="Times New Roman" w:cs="Times New Roman"/>
          <w:sz w:val="24"/>
          <w:szCs w:val="24"/>
          <w:lang w:eastAsia="en-IN"/>
        </w:rPr>
        <w:t>The</w:t>
      </w:r>
      <w:proofErr w:type="gramEnd"/>
      <w:r w:rsidRPr="00C32F46">
        <w:rPr>
          <w:rFonts w:ascii="Times New Roman" w:eastAsia="Times New Roman" w:hAnsi="Times New Roman" w:cs="Times New Roman"/>
          <w:sz w:val="24"/>
          <w:szCs w:val="24"/>
          <w:lang w:eastAsia="en-IN"/>
        </w:rPr>
        <w:t xml:space="preserve"> pH </w:t>
      </w:r>
      <w:r w:rsidR="004358E4">
        <w:rPr>
          <w:rFonts w:ascii="Times New Roman" w:eastAsia="Times New Roman" w:hAnsi="Times New Roman" w:cs="Times New Roman"/>
          <w:sz w:val="24"/>
          <w:szCs w:val="24"/>
          <w:lang w:eastAsia="en-IN"/>
        </w:rPr>
        <w:t>fluctuating between</w:t>
      </w:r>
      <w:r w:rsidRPr="00C32F46">
        <w:rPr>
          <w:rFonts w:ascii="Times New Roman" w:eastAsia="Times New Roman" w:hAnsi="Times New Roman" w:cs="Times New Roman"/>
          <w:sz w:val="24"/>
          <w:szCs w:val="24"/>
          <w:lang w:eastAsia="en-IN"/>
        </w:rPr>
        <w:t xml:space="preserve"> 7.4</w:t>
      </w:r>
      <w:r w:rsidR="004358E4">
        <w:rPr>
          <w:rFonts w:ascii="Times New Roman" w:eastAsia="Times New Roman" w:hAnsi="Times New Roman" w:cs="Times New Roman"/>
          <w:sz w:val="24"/>
          <w:szCs w:val="24"/>
          <w:lang w:eastAsia="en-IN"/>
        </w:rPr>
        <w:t>5</w:t>
      </w:r>
      <w:r w:rsidRPr="00C32F46">
        <w:rPr>
          <w:rFonts w:ascii="Times New Roman" w:eastAsia="Times New Roman" w:hAnsi="Times New Roman" w:cs="Times New Roman"/>
          <w:sz w:val="24"/>
          <w:szCs w:val="24"/>
          <w:lang w:eastAsia="en-IN"/>
        </w:rPr>
        <w:t xml:space="preserve"> to 7.7</w:t>
      </w:r>
      <w:r w:rsidR="004358E4">
        <w:rPr>
          <w:rFonts w:ascii="Times New Roman" w:eastAsia="Times New Roman" w:hAnsi="Times New Roman" w:cs="Times New Roman"/>
          <w:sz w:val="24"/>
          <w:szCs w:val="24"/>
          <w:lang w:eastAsia="en-IN"/>
        </w:rPr>
        <w:t xml:space="preserve">5; </w:t>
      </w:r>
      <w:r w:rsidR="00481358">
        <w:rPr>
          <w:rFonts w:ascii="Times New Roman" w:hAnsi="Times New Roman" w:cs="Times New Roman"/>
          <w:sz w:val="24"/>
          <w:szCs w:val="24"/>
        </w:rPr>
        <w:t xml:space="preserve">While, </w:t>
      </w:r>
      <w:r w:rsidR="00481358">
        <w:rPr>
          <w:rFonts w:ascii="Times New Roman" w:eastAsia="Times New Roman" w:hAnsi="Times New Roman" w:cs="Times New Roman"/>
          <w:sz w:val="24"/>
          <w:szCs w:val="24"/>
          <w:lang w:eastAsia="en-IN"/>
        </w:rPr>
        <w:t>d</w:t>
      </w:r>
      <w:r w:rsidR="00BE2122" w:rsidRPr="00C32F46">
        <w:rPr>
          <w:rFonts w:ascii="Times New Roman" w:eastAsia="Times New Roman" w:hAnsi="Times New Roman" w:cs="Times New Roman"/>
          <w:sz w:val="24"/>
          <w:szCs w:val="24"/>
          <w:lang w:eastAsia="en-IN"/>
        </w:rPr>
        <w:t>issolved oxygen ranged from 5.</w:t>
      </w:r>
      <w:r w:rsidR="000079AD">
        <w:rPr>
          <w:rFonts w:ascii="Times New Roman" w:eastAsia="Times New Roman" w:hAnsi="Times New Roman" w:cs="Times New Roman"/>
          <w:sz w:val="24"/>
          <w:szCs w:val="24"/>
          <w:lang w:eastAsia="en-IN"/>
        </w:rPr>
        <w:t>3</w:t>
      </w:r>
      <w:r w:rsidR="00BE2122" w:rsidRPr="00C32F46">
        <w:rPr>
          <w:rFonts w:ascii="Times New Roman" w:eastAsia="Times New Roman" w:hAnsi="Times New Roman" w:cs="Times New Roman"/>
          <w:sz w:val="24"/>
          <w:szCs w:val="24"/>
          <w:lang w:eastAsia="en-IN"/>
        </w:rPr>
        <w:t xml:space="preserve"> mg/L to 6.</w:t>
      </w:r>
      <w:r w:rsidR="000079AD">
        <w:rPr>
          <w:rFonts w:ascii="Times New Roman" w:eastAsia="Times New Roman" w:hAnsi="Times New Roman" w:cs="Times New Roman"/>
          <w:sz w:val="24"/>
          <w:szCs w:val="24"/>
          <w:lang w:eastAsia="en-IN"/>
        </w:rPr>
        <w:t>0</w:t>
      </w:r>
      <w:r w:rsidR="00BE2122" w:rsidRPr="00C32F46">
        <w:rPr>
          <w:rFonts w:ascii="Times New Roman" w:eastAsia="Times New Roman" w:hAnsi="Times New Roman" w:cs="Times New Roman"/>
          <w:sz w:val="24"/>
          <w:szCs w:val="24"/>
          <w:lang w:eastAsia="en-IN"/>
        </w:rPr>
        <w:t xml:space="preserve"> mg/L</w:t>
      </w:r>
      <w:r w:rsidR="000079AD">
        <w:rPr>
          <w:rFonts w:ascii="Times New Roman" w:eastAsia="Times New Roman" w:hAnsi="Times New Roman" w:cs="Times New Roman"/>
          <w:sz w:val="24"/>
          <w:szCs w:val="24"/>
          <w:lang w:eastAsia="en-IN"/>
        </w:rPr>
        <w:t>.</w:t>
      </w:r>
      <w:r w:rsidR="00D4471A" w:rsidRPr="00D4471A">
        <w:t xml:space="preserve"> </w:t>
      </w:r>
    </w:p>
    <w:p w14:paraId="19186209" w14:textId="163637FC" w:rsidR="002F426B" w:rsidRDefault="003F0D8E" w:rsidP="00AE1BA5">
      <w:pPr>
        <w:spacing w:line="360" w:lineRule="auto"/>
        <w:ind w:firstLine="720"/>
        <w:jc w:val="both"/>
        <w:rPr>
          <w:rFonts w:ascii="Times New Roman" w:hAnsi="Times New Roman" w:cs="Times New Roman"/>
          <w:sz w:val="24"/>
          <w:szCs w:val="24"/>
        </w:rPr>
      </w:pPr>
      <w:r w:rsidRPr="00D4471A">
        <w:rPr>
          <w:rFonts w:ascii="Times New Roman" w:eastAsia="Times New Roman" w:hAnsi="Times New Roman" w:cs="Times New Roman"/>
          <w:sz w:val="24"/>
          <w:szCs w:val="24"/>
          <w:lang w:eastAsia="en-IN"/>
        </w:rPr>
        <w:t xml:space="preserve">Water temperature remained within a narrow range, varying from </w:t>
      </w:r>
      <w:r w:rsidRPr="00A76D81">
        <w:rPr>
          <w:rFonts w:ascii="Times New Roman" w:eastAsia="Times New Roman" w:hAnsi="Times New Roman" w:cs="Times New Roman"/>
          <w:sz w:val="24"/>
          <w:szCs w:val="24"/>
          <w:lang w:eastAsia="en-IN"/>
        </w:rPr>
        <w:t>2</w:t>
      </w:r>
      <w:r w:rsidR="000024BF" w:rsidRPr="00A76D81">
        <w:rPr>
          <w:rFonts w:ascii="Times New Roman" w:eastAsia="Times New Roman" w:hAnsi="Times New Roman" w:cs="Times New Roman"/>
          <w:sz w:val="24"/>
          <w:szCs w:val="24"/>
          <w:lang w:eastAsia="en-IN"/>
        </w:rPr>
        <w:t>7</w:t>
      </w:r>
      <w:r w:rsidRPr="00A76D81">
        <w:rPr>
          <w:rFonts w:ascii="Times New Roman" w:eastAsia="Times New Roman" w:hAnsi="Times New Roman" w:cs="Times New Roman"/>
          <w:sz w:val="24"/>
          <w:szCs w:val="24"/>
          <w:lang w:eastAsia="en-IN"/>
        </w:rPr>
        <w:t>.0–2</w:t>
      </w:r>
      <w:r w:rsidR="000024BF" w:rsidRPr="00A76D81">
        <w:rPr>
          <w:rFonts w:ascii="Times New Roman" w:eastAsia="Times New Roman" w:hAnsi="Times New Roman" w:cs="Times New Roman"/>
          <w:sz w:val="24"/>
          <w:szCs w:val="24"/>
          <w:lang w:eastAsia="en-IN"/>
        </w:rPr>
        <w:t>8.0</w:t>
      </w:r>
      <w:r w:rsidRPr="00A76D81">
        <w:rPr>
          <w:rFonts w:ascii="Times New Roman" w:eastAsia="Times New Roman" w:hAnsi="Times New Roman" w:cs="Times New Roman"/>
          <w:sz w:val="24"/>
          <w:szCs w:val="24"/>
          <w:lang w:eastAsia="en-IN"/>
        </w:rPr>
        <w:t xml:space="preserve"> °C to 2</w:t>
      </w:r>
      <w:r w:rsidR="000024BF" w:rsidRPr="00A76D81">
        <w:rPr>
          <w:rFonts w:ascii="Times New Roman" w:eastAsia="Times New Roman" w:hAnsi="Times New Roman" w:cs="Times New Roman"/>
          <w:sz w:val="24"/>
          <w:szCs w:val="24"/>
          <w:lang w:eastAsia="en-IN"/>
        </w:rPr>
        <w:t>9.0</w:t>
      </w:r>
      <w:r w:rsidR="00A42BC8">
        <w:rPr>
          <w:rFonts w:ascii="Times New Roman" w:eastAsia="Times New Roman" w:hAnsi="Times New Roman" w:cs="Times New Roman"/>
          <w:sz w:val="24"/>
          <w:szCs w:val="24"/>
          <w:lang w:eastAsia="en-IN"/>
        </w:rPr>
        <w:t>℃</w:t>
      </w:r>
      <w:r w:rsidRPr="00A76D81">
        <w:rPr>
          <w:rFonts w:ascii="Times New Roman" w:eastAsia="Times New Roman" w:hAnsi="Times New Roman" w:cs="Times New Roman"/>
          <w:sz w:val="24"/>
          <w:szCs w:val="24"/>
          <w:lang w:eastAsia="en-IN"/>
        </w:rPr>
        <w:t>–</w:t>
      </w:r>
      <w:r w:rsidR="000024BF" w:rsidRPr="00A76D81">
        <w:rPr>
          <w:rFonts w:ascii="Times New Roman" w:eastAsia="Times New Roman" w:hAnsi="Times New Roman" w:cs="Times New Roman"/>
          <w:sz w:val="24"/>
          <w:szCs w:val="24"/>
          <w:lang w:eastAsia="en-IN"/>
        </w:rPr>
        <w:t>31.0</w:t>
      </w:r>
      <w:r w:rsidRPr="00A76D81">
        <w:rPr>
          <w:rFonts w:ascii="Times New Roman" w:eastAsia="Times New Roman" w:hAnsi="Times New Roman" w:cs="Times New Roman"/>
          <w:sz w:val="24"/>
          <w:szCs w:val="24"/>
          <w:lang w:eastAsia="en-IN"/>
        </w:rPr>
        <w:t xml:space="preserve"> °C</w:t>
      </w:r>
      <w:r w:rsidRPr="00D4471A">
        <w:rPr>
          <w:rFonts w:ascii="Times New Roman" w:eastAsia="Times New Roman" w:hAnsi="Times New Roman" w:cs="Times New Roman"/>
          <w:sz w:val="24"/>
          <w:szCs w:val="24"/>
          <w:lang w:eastAsia="en-IN"/>
        </w:rPr>
        <w:t xml:space="preserve"> throughout the experimental period</w:t>
      </w:r>
      <w:r w:rsidR="000024BF">
        <w:rPr>
          <w:rFonts w:ascii="Times New Roman" w:eastAsia="Times New Roman" w:hAnsi="Times New Roman" w:cs="Times New Roman"/>
          <w:sz w:val="24"/>
          <w:szCs w:val="24"/>
          <w:lang w:eastAsia="en-IN"/>
        </w:rPr>
        <w:t xml:space="preserve">. </w:t>
      </w:r>
      <w:r w:rsidR="002F426B" w:rsidRPr="00C32F46">
        <w:rPr>
          <w:rFonts w:ascii="Times New Roman" w:hAnsi="Times New Roman" w:cs="Times New Roman"/>
          <w:sz w:val="24"/>
          <w:szCs w:val="24"/>
        </w:rPr>
        <w:t>The total hardness ranged from 213.</w:t>
      </w:r>
      <w:r w:rsidR="00A76D81">
        <w:rPr>
          <w:rFonts w:ascii="Times New Roman" w:hAnsi="Times New Roman" w:cs="Times New Roman"/>
          <w:sz w:val="24"/>
          <w:szCs w:val="24"/>
        </w:rPr>
        <w:t>2</w:t>
      </w:r>
      <w:r w:rsidR="002F426B" w:rsidRPr="00C32F46">
        <w:rPr>
          <w:rFonts w:ascii="Times New Roman" w:hAnsi="Times New Roman" w:cs="Times New Roman"/>
          <w:sz w:val="24"/>
          <w:szCs w:val="24"/>
        </w:rPr>
        <w:t>5 to 218.</w:t>
      </w:r>
      <w:r w:rsidR="00A76D81">
        <w:rPr>
          <w:rFonts w:ascii="Times New Roman" w:hAnsi="Times New Roman" w:cs="Times New Roman"/>
          <w:sz w:val="24"/>
          <w:szCs w:val="24"/>
        </w:rPr>
        <w:t>5</w:t>
      </w:r>
      <w:r w:rsidR="002F426B" w:rsidRPr="00C32F46">
        <w:rPr>
          <w:rFonts w:ascii="Times New Roman" w:hAnsi="Times New Roman" w:cs="Times New Roman"/>
          <w:sz w:val="24"/>
          <w:szCs w:val="24"/>
        </w:rPr>
        <w:t xml:space="preserve">0 mg/L as </w:t>
      </w:r>
      <w:proofErr w:type="spellStart"/>
      <w:r w:rsidR="002F426B" w:rsidRPr="00C32F46">
        <w:rPr>
          <w:rFonts w:ascii="Times New Roman" w:hAnsi="Times New Roman" w:cs="Times New Roman"/>
          <w:sz w:val="24"/>
          <w:szCs w:val="24"/>
        </w:rPr>
        <w:t>CaCO</w:t>
      </w:r>
      <w:proofErr w:type="spellEnd"/>
      <w:r w:rsidR="002F426B" w:rsidRPr="00C32F46">
        <w:rPr>
          <w:rFonts w:ascii="Times New Roman" w:hAnsi="Times New Roman" w:cs="Times New Roman"/>
          <w:sz w:val="24"/>
          <w:szCs w:val="24"/>
        </w:rPr>
        <w:t>₃, classifying the water as moderately hard and well</w:t>
      </w:r>
      <w:r w:rsidR="00A65829">
        <w:rPr>
          <w:rFonts w:ascii="Times New Roman" w:hAnsi="Times New Roman" w:cs="Times New Roman"/>
          <w:sz w:val="24"/>
          <w:szCs w:val="24"/>
        </w:rPr>
        <w:t>.</w:t>
      </w:r>
      <w:r w:rsidR="00891FC3" w:rsidRPr="00891FC3">
        <w:t xml:space="preserve"> </w:t>
      </w:r>
      <w:r w:rsidR="0011548F" w:rsidRPr="001A3BE6">
        <w:rPr>
          <w:rFonts w:ascii="Times New Roman" w:hAnsi="Times New Roman" w:cs="Times New Roman"/>
          <w:sz w:val="24"/>
          <w:szCs w:val="22"/>
        </w:rPr>
        <w:t>T</w:t>
      </w:r>
      <w:r w:rsidR="00891FC3" w:rsidRPr="00891FC3">
        <w:rPr>
          <w:rFonts w:ascii="Times New Roman" w:hAnsi="Times New Roman" w:cs="Times New Roman"/>
          <w:sz w:val="24"/>
          <w:szCs w:val="24"/>
        </w:rPr>
        <w:t xml:space="preserve">otal alkalinity exhibited a gradual increasing trend from </w:t>
      </w:r>
      <w:r w:rsidR="00701659">
        <w:rPr>
          <w:rFonts w:ascii="Times New Roman" w:hAnsi="Times New Roman" w:cs="Times New Roman"/>
          <w:sz w:val="24"/>
          <w:szCs w:val="24"/>
        </w:rPr>
        <w:t>98</w:t>
      </w:r>
      <w:r w:rsidR="00891FC3" w:rsidRPr="00891FC3">
        <w:rPr>
          <w:rFonts w:ascii="Times New Roman" w:hAnsi="Times New Roman" w:cs="Times New Roman"/>
          <w:sz w:val="24"/>
          <w:szCs w:val="24"/>
        </w:rPr>
        <w:t xml:space="preserve"> to 1</w:t>
      </w:r>
      <w:r w:rsidR="00701659">
        <w:rPr>
          <w:rFonts w:ascii="Times New Roman" w:hAnsi="Times New Roman" w:cs="Times New Roman"/>
          <w:sz w:val="24"/>
          <w:szCs w:val="24"/>
        </w:rPr>
        <w:t>02</w:t>
      </w:r>
      <w:r w:rsidR="00891FC3" w:rsidRPr="00891FC3">
        <w:rPr>
          <w:rFonts w:ascii="Times New Roman" w:hAnsi="Times New Roman" w:cs="Times New Roman"/>
          <w:sz w:val="24"/>
          <w:szCs w:val="24"/>
        </w:rPr>
        <w:t xml:space="preserve"> mg</w:t>
      </w:r>
      <w:r w:rsidR="00701659">
        <w:rPr>
          <w:rFonts w:ascii="Times New Roman" w:hAnsi="Times New Roman" w:cs="Times New Roman"/>
          <w:sz w:val="24"/>
          <w:szCs w:val="24"/>
        </w:rPr>
        <w:t>/L</w:t>
      </w:r>
      <w:r w:rsidR="00891FC3" w:rsidRPr="00891FC3">
        <w:rPr>
          <w:rFonts w:ascii="Times New Roman" w:hAnsi="Times New Roman" w:cs="Times New Roman"/>
          <w:sz w:val="24"/>
          <w:szCs w:val="24"/>
        </w:rPr>
        <w:t>, interrupted by a temporary decline to 93</w:t>
      </w:r>
      <w:r w:rsidR="00701659">
        <w:rPr>
          <w:rFonts w:ascii="Times New Roman" w:hAnsi="Times New Roman" w:cs="Times New Roman"/>
          <w:sz w:val="24"/>
          <w:szCs w:val="24"/>
        </w:rPr>
        <w:t>-97</w:t>
      </w:r>
      <w:r w:rsidR="00891FC3" w:rsidRPr="00891FC3">
        <w:rPr>
          <w:rFonts w:ascii="Times New Roman" w:hAnsi="Times New Roman" w:cs="Times New Roman"/>
          <w:sz w:val="24"/>
          <w:szCs w:val="24"/>
        </w:rPr>
        <w:t xml:space="preserve"> mg</w:t>
      </w:r>
      <w:r w:rsidR="00701659">
        <w:rPr>
          <w:rFonts w:ascii="Times New Roman" w:hAnsi="Times New Roman" w:cs="Times New Roman"/>
          <w:sz w:val="24"/>
          <w:szCs w:val="24"/>
        </w:rPr>
        <w:t>/L</w:t>
      </w:r>
      <w:r w:rsidR="00891FC3" w:rsidRPr="00891FC3">
        <w:rPr>
          <w:rFonts w:ascii="Times New Roman" w:hAnsi="Times New Roman" w:cs="Times New Roman"/>
          <w:sz w:val="24"/>
          <w:szCs w:val="24"/>
        </w:rPr>
        <w:t xml:space="preserve"> in Week 2</w:t>
      </w:r>
      <w:r w:rsidR="002F426B" w:rsidRPr="00C32F46">
        <w:rPr>
          <w:rFonts w:ascii="Times New Roman" w:hAnsi="Times New Roman" w:cs="Times New Roman"/>
          <w:sz w:val="24"/>
          <w:szCs w:val="24"/>
        </w:rPr>
        <w:t xml:space="preserve">, indicating gradual bicarbonate/carbonate accumulation from decomposing organic matter (uneaten feed and excreta) around the cage. All values remained within Boyd's (1998) 75-150 mg/L recommended range and were broadly consistent with the 95-120 mg/L reported for Mekong Delta </w:t>
      </w:r>
      <w:r w:rsidR="002F426B" w:rsidRPr="00C32F46">
        <w:rPr>
          <w:rFonts w:ascii="Times New Roman" w:hAnsi="Times New Roman" w:cs="Times New Roman"/>
          <w:i/>
          <w:iCs/>
          <w:sz w:val="24"/>
          <w:szCs w:val="24"/>
        </w:rPr>
        <w:t xml:space="preserve">Pangasius spp. </w:t>
      </w:r>
      <w:r w:rsidR="002F426B" w:rsidRPr="00C32F46">
        <w:rPr>
          <w:rFonts w:ascii="Times New Roman" w:hAnsi="Times New Roman" w:cs="Times New Roman"/>
          <w:sz w:val="24"/>
          <w:szCs w:val="24"/>
        </w:rPr>
        <w:t xml:space="preserve">ponds (Swain </w:t>
      </w:r>
      <w:r w:rsidR="002F426B" w:rsidRPr="00C32F46">
        <w:rPr>
          <w:rFonts w:ascii="Times New Roman" w:hAnsi="Times New Roman" w:cs="Times New Roman"/>
          <w:i/>
          <w:iCs/>
          <w:sz w:val="24"/>
          <w:szCs w:val="24"/>
        </w:rPr>
        <w:t xml:space="preserve">et al., </w:t>
      </w:r>
      <w:r w:rsidR="002F426B" w:rsidRPr="00C32F46">
        <w:rPr>
          <w:rFonts w:ascii="Times New Roman" w:hAnsi="Times New Roman" w:cs="Times New Roman"/>
          <w:sz w:val="24"/>
          <w:szCs w:val="24"/>
        </w:rPr>
        <w:t>2025)</w:t>
      </w:r>
      <w:r w:rsidR="00E35520">
        <w:rPr>
          <w:rFonts w:ascii="Times New Roman" w:hAnsi="Times New Roman" w:cs="Times New Roman"/>
          <w:sz w:val="24"/>
          <w:szCs w:val="24"/>
        </w:rPr>
        <w:t>. By the analysis of water quality, it was found that</w:t>
      </w:r>
      <w:r w:rsidR="002F426B" w:rsidRPr="00C32F46">
        <w:rPr>
          <w:rFonts w:ascii="Times New Roman" w:hAnsi="Times New Roman" w:cs="Times New Roman"/>
          <w:sz w:val="24"/>
          <w:szCs w:val="24"/>
        </w:rPr>
        <w:t xml:space="preserve"> all five physicochemical parameters remained within ranges considered favourable for </w:t>
      </w:r>
      <w:r w:rsidR="002F426B" w:rsidRPr="00C32F46">
        <w:rPr>
          <w:rFonts w:ascii="Times New Roman" w:hAnsi="Times New Roman" w:cs="Times New Roman"/>
          <w:i/>
          <w:iCs/>
          <w:sz w:val="24"/>
          <w:szCs w:val="24"/>
        </w:rPr>
        <w:t>Pangasius spp.</w:t>
      </w:r>
      <w:r w:rsidR="002F426B" w:rsidRPr="00C32F46">
        <w:rPr>
          <w:rFonts w:ascii="Times New Roman" w:hAnsi="Times New Roman" w:cs="Times New Roman"/>
          <w:sz w:val="24"/>
          <w:szCs w:val="24"/>
        </w:rPr>
        <w:t xml:space="preserve"> growth and welfare throughout the 60-day trial.</w:t>
      </w:r>
    </w:p>
    <w:p w14:paraId="4161C48B" w14:textId="19AF0065" w:rsidR="00857D04" w:rsidRPr="00857D04" w:rsidRDefault="00857D04" w:rsidP="00AE1BA5">
      <w:pPr>
        <w:spacing w:line="360" w:lineRule="auto"/>
        <w:jc w:val="both"/>
        <w:rPr>
          <w:rFonts w:ascii="Times New Roman" w:hAnsi="Times New Roman" w:cs="Times New Roman"/>
          <w:b/>
          <w:bCs/>
          <w:sz w:val="24"/>
          <w:szCs w:val="24"/>
        </w:rPr>
      </w:pPr>
      <w:r w:rsidRPr="00857D04">
        <w:rPr>
          <w:rFonts w:ascii="Times New Roman" w:hAnsi="Times New Roman" w:cs="Times New Roman"/>
          <w:b/>
          <w:bCs/>
          <w:sz w:val="24"/>
          <w:szCs w:val="24"/>
        </w:rPr>
        <w:t>4. Discussion</w:t>
      </w:r>
    </w:p>
    <w:p w14:paraId="51EB016D" w14:textId="521B7711" w:rsidR="00481358" w:rsidRPr="00E35520" w:rsidRDefault="00B21A1F"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lastRenderedPageBreak/>
        <w:tab/>
      </w:r>
      <w:r w:rsidR="008B4660" w:rsidRPr="00C32F46">
        <w:rPr>
          <w:rFonts w:ascii="Times New Roman" w:hAnsi="Times New Roman" w:cs="Times New Roman"/>
          <w:sz w:val="24"/>
          <w:szCs w:val="24"/>
        </w:rPr>
        <w:t>Across</w:t>
      </w:r>
      <w:r w:rsidR="001458B9">
        <w:rPr>
          <w:rFonts w:ascii="Times New Roman" w:hAnsi="Times New Roman" w:cs="Times New Roman"/>
          <w:sz w:val="24"/>
          <w:szCs w:val="24"/>
        </w:rPr>
        <w:t xml:space="preserve"> the 6</w:t>
      </w:r>
      <w:r w:rsidR="00233918">
        <w:rPr>
          <w:rFonts w:ascii="Times New Roman" w:hAnsi="Times New Roman" w:cs="Times New Roman"/>
          <w:sz w:val="24"/>
          <w:szCs w:val="24"/>
        </w:rPr>
        <w:t>0 days of study period</w:t>
      </w:r>
      <w:r w:rsidR="00775181">
        <w:rPr>
          <w:rFonts w:ascii="Times New Roman" w:hAnsi="Times New Roman" w:cs="Times New Roman"/>
          <w:sz w:val="24"/>
          <w:szCs w:val="24"/>
        </w:rPr>
        <w:t>, total of</w:t>
      </w:r>
      <w:r w:rsidR="008B4660" w:rsidRPr="00C32F46">
        <w:rPr>
          <w:rFonts w:ascii="Times New Roman" w:hAnsi="Times New Roman" w:cs="Times New Roman"/>
          <w:sz w:val="24"/>
          <w:szCs w:val="24"/>
        </w:rPr>
        <w:t xml:space="preserve"> nine growth and production indices evaluated </w:t>
      </w:r>
      <w:r w:rsidR="002D0644">
        <w:rPr>
          <w:rFonts w:ascii="Times New Roman" w:hAnsi="Times New Roman" w:cs="Times New Roman"/>
          <w:sz w:val="24"/>
          <w:szCs w:val="24"/>
        </w:rPr>
        <w:t>namely M</w:t>
      </w:r>
      <w:r w:rsidR="008B4660" w:rsidRPr="00C32F46">
        <w:rPr>
          <w:rFonts w:ascii="Times New Roman" w:hAnsi="Times New Roman" w:cs="Times New Roman"/>
          <w:sz w:val="24"/>
          <w:szCs w:val="24"/>
        </w:rPr>
        <w:t xml:space="preserve">ean body weight, </w:t>
      </w:r>
      <w:r w:rsidR="00775181">
        <w:rPr>
          <w:rFonts w:ascii="Times New Roman" w:hAnsi="Times New Roman" w:cs="Times New Roman"/>
          <w:sz w:val="24"/>
          <w:szCs w:val="24"/>
        </w:rPr>
        <w:t>BW</w:t>
      </w:r>
      <w:r w:rsidR="008B4660" w:rsidRPr="00C32F46">
        <w:rPr>
          <w:rFonts w:ascii="Times New Roman" w:hAnsi="Times New Roman" w:cs="Times New Roman"/>
          <w:sz w:val="24"/>
          <w:szCs w:val="24"/>
        </w:rPr>
        <w:t>G, SGR, SR, FCR, PER, FCE,</w:t>
      </w:r>
      <w:r w:rsidR="00775181">
        <w:rPr>
          <w:rFonts w:ascii="Times New Roman" w:hAnsi="Times New Roman" w:cs="Times New Roman"/>
          <w:sz w:val="24"/>
          <w:szCs w:val="24"/>
        </w:rPr>
        <w:t xml:space="preserve"> </w:t>
      </w:r>
      <w:r w:rsidR="008B4660" w:rsidRPr="00C32F46">
        <w:rPr>
          <w:rFonts w:ascii="Times New Roman" w:hAnsi="Times New Roman" w:cs="Times New Roman"/>
          <w:sz w:val="24"/>
          <w:szCs w:val="24"/>
        </w:rPr>
        <w:t>and final biomass</w:t>
      </w:r>
      <w:r w:rsidR="00D941CC">
        <w:rPr>
          <w:rFonts w:ascii="Times New Roman" w:hAnsi="Times New Roman" w:cs="Times New Roman"/>
          <w:sz w:val="24"/>
          <w:szCs w:val="24"/>
        </w:rPr>
        <w:t>.</w:t>
      </w:r>
      <w:r w:rsidR="002D0644">
        <w:rPr>
          <w:rFonts w:ascii="Times New Roman" w:hAnsi="Times New Roman" w:cs="Times New Roman"/>
          <w:sz w:val="24"/>
          <w:szCs w:val="24"/>
        </w:rPr>
        <w:t xml:space="preserve"> </w:t>
      </w:r>
      <w:r w:rsidR="008B4660" w:rsidRPr="00C32F46">
        <w:rPr>
          <w:rFonts w:ascii="Times New Roman" w:hAnsi="Times New Roman" w:cs="Times New Roman"/>
          <w:sz w:val="24"/>
          <w:szCs w:val="24"/>
        </w:rPr>
        <w:t xml:space="preserve">UPVC (C2) significantly outperformed bamboo (C1) and GI (C3), </w:t>
      </w:r>
      <w:r w:rsidR="00AE13E0">
        <w:rPr>
          <w:rFonts w:ascii="Times New Roman" w:hAnsi="Times New Roman" w:cs="Times New Roman"/>
          <w:sz w:val="24"/>
          <w:szCs w:val="24"/>
        </w:rPr>
        <w:t xml:space="preserve">as order </w:t>
      </w:r>
      <w:r w:rsidR="00F510BD">
        <w:rPr>
          <w:rFonts w:ascii="Times New Roman" w:hAnsi="Times New Roman" w:cs="Times New Roman"/>
          <w:sz w:val="24"/>
          <w:szCs w:val="24"/>
        </w:rPr>
        <w:t xml:space="preserve">for comparison </w:t>
      </w:r>
      <w:proofErr w:type="gramStart"/>
      <w:r w:rsidR="00F510BD">
        <w:rPr>
          <w:rFonts w:ascii="Times New Roman" w:hAnsi="Times New Roman" w:cs="Times New Roman"/>
          <w:sz w:val="24"/>
          <w:szCs w:val="24"/>
        </w:rPr>
        <w:t>shows</w:t>
      </w:r>
      <w:r w:rsidR="008B4660" w:rsidRPr="00C32F46">
        <w:rPr>
          <w:rFonts w:ascii="Times New Roman" w:hAnsi="Times New Roman" w:cs="Times New Roman"/>
          <w:sz w:val="24"/>
          <w:szCs w:val="24"/>
        </w:rPr>
        <w:t xml:space="preserve">  C</w:t>
      </w:r>
      <w:proofErr w:type="gramEnd"/>
      <w:r w:rsidR="008B4660" w:rsidRPr="00C32F46">
        <w:rPr>
          <w:rFonts w:ascii="Times New Roman" w:hAnsi="Times New Roman" w:cs="Times New Roman"/>
          <w:sz w:val="24"/>
          <w:szCs w:val="24"/>
        </w:rPr>
        <w:t>2 &gt; C1 &gt; C3 holding across all parameters and sampling period. This consistency indicates a systematic cage-material effect on manufacturing outputs</w:t>
      </w:r>
      <w:r w:rsidR="009E58AB">
        <w:rPr>
          <w:rFonts w:ascii="Times New Roman" w:hAnsi="Times New Roman" w:cs="Times New Roman"/>
          <w:sz w:val="24"/>
          <w:szCs w:val="24"/>
        </w:rPr>
        <w:t>.</w:t>
      </w:r>
    </w:p>
    <w:p w14:paraId="16B2FE76" w14:textId="45DC87A3" w:rsidR="00933EA3" w:rsidRDefault="002005EB"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 </w:t>
      </w:r>
      <w:r w:rsidR="002A24BF">
        <w:rPr>
          <w:rFonts w:ascii="Times New Roman" w:hAnsi="Times New Roman" w:cs="Times New Roman"/>
          <w:b/>
          <w:bCs/>
          <w:sz w:val="24"/>
          <w:szCs w:val="24"/>
        </w:rPr>
        <w:t xml:space="preserve">Growth </w:t>
      </w:r>
      <w:r w:rsidR="0011336A">
        <w:rPr>
          <w:rFonts w:ascii="Times New Roman" w:hAnsi="Times New Roman" w:cs="Times New Roman"/>
          <w:b/>
          <w:bCs/>
          <w:sz w:val="24"/>
          <w:szCs w:val="24"/>
        </w:rPr>
        <w:t>performance</w:t>
      </w:r>
      <w:r w:rsidR="00754151">
        <w:rPr>
          <w:rFonts w:ascii="Times New Roman" w:hAnsi="Times New Roman" w:cs="Times New Roman"/>
          <w:b/>
          <w:bCs/>
          <w:sz w:val="24"/>
          <w:szCs w:val="24"/>
        </w:rPr>
        <w:t xml:space="preserve"> of pangasius</w:t>
      </w:r>
    </w:p>
    <w:p w14:paraId="6C2C5649" w14:textId="4249FB94" w:rsidR="00070CC3" w:rsidRDefault="00AC619C" w:rsidP="00AE1B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study </w:t>
      </w:r>
      <w:r w:rsidR="00925419">
        <w:rPr>
          <w:rFonts w:ascii="Times New Roman" w:hAnsi="Times New Roman" w:cs="Times New Roman"/>
          <w:sz w:val="24"/>
          <w:szCs w:val="24"/>
        </w:rPr>
        <w:t xml:space="preserve">UPVC cages recorded with </w:t>
      </w:r>
      <w:r>
        <w:rPr>
          <w:rFonts w:ascii="Times New Roman" w:hAnsi="Times New Roman" w:cs="Times New Roman"/>
          <w:sz w:val="24"/>
          <w:szCs w:val="24"/>
        </w:rPr>
        <w:t>highest mean bo</w:t>
      </w:r>
      <w:r w:rsidR="00F20564">
        <w:rPr>
          <w:rFonts w:ascii="Times New Roman" w:hAnsi="Times New Roman" w:cs="Times New Roman"/>
          <w:sz w:val="24"/>
          <w:szCs w:val="24"/>
        </w:rPr>
        <w:t>dy weight</w:t>
      </w:r>
      <w:r w:rsidR="00925419">
        <w:rPr>
          <w:rFonts w:ascii="Times New Roman" w:hAnsi="Times New Roman" w:cs="Times New Roman"/>
          <w:sz w:val="24"/>
          <w:szCs w:val="24"/>
        </w:rPr>
        <w:t xml:space="preserve"> (</w:t>
      </w:r>
      <w:r w:rsidR="00925419" w:rsidRPr="0011336A">
        <w:rPr>
          <w:rFonts w:ascii="Times New Roman" w:hAnsi="Times New Roman" w:cs="Times New Roman"/>
          <w:sz w:val="24"/>
          <w:szCs w:val="22"/>
        </w:rPr>
        <w:t>45</w:t>
      </w:r>
      <w:r w:rsidR="00925419">
        <w:rPr>
          <w:rFonts w:ascii="Times New Roman" w:hAnsi="Times New Roman" w:cs="Times New Roman"/>
          <w:sz w:val="24"/>
          <w:szCs w:val="22"/>
        </w:rPr>
        <w:t xml:space="preserve"> </w:t>
      </w:r>
      <w:r w:rsidR="00925419" w:rsidRPr="0011336A">
        <w:rPr>
          <w:rFonts w:ascii="Times New Roman" w:hAnsi="Times New Roman" w:cs="Times New Roman"/>
          <w:sz w:val="24"/>
          <w:szCs w:val="22"/>
        </w:rPr>
        <w:t xml:space="preserve">.3 ± 0.69 </w:t>
      </w:r>
      <w:proofErr w:type="gramStart"/>
      <w:r w:rsidR="00925419" w:rsidRPr="0011336A">
        <w:rPr>
          <w:rFonts w:ascii="Times New Roman" w:hAnsi="Times New Roman" w:cs="Times New Roman"/>
          <w:sz w:val="24"/>
          <w:szCs w:val="22"/>
        </w:rPr>
        <w:t>g</w:t>
      </w:r>
      <w:r w:rsidR="00925419">
        <w:rPr>
          <w:rFonts w:ascii="Times New Roman" w:hAnsi="Times New Roman" w:cs="Times New Roman"/>
          <w:sz w:val="24"/>
          <w:szCs w:val="22"/>
        </w:rPr>
        <w:t>)</w:t>
      </w:r>
      <w:r w:rsidR="00F20564">
        <w:rPr>
          <w:rFonts w:ascii="Times New Roman" w:hAnsi="Times New Roman" w:cs="Times New Roman"/>
          <w:sz w:val="24"/>
          <w:szCs w:val="24"/>
        </w:rPr>
        <w:t xml:space="preserve"> </w:t>
      </w:r>
      <w:r w:rsidR="00572A8B">
        <w:rPr>
          <w:rFonts w:ascii="Times New Roman" w:hAnsi="Times New Roman" w:cs="Times New Roman"/>
          <w:sz w:val="24"/>
          <w:szCs w:val="24"/>
        </w:rPr>
        <w:t xml:space="preserve"> and</w:t>
      </w:r>
      <w:proofErr w:type="gramEnd"/>
      <w:r w:rsidR="00572A8B">
        <w:rPr>
          <w:rFonts w:ascii="Times New Roman" w:hAnsi="Times New Roman" w:cs="Times New Roman"/>
          <w:sz w:val="24"/>
          <w:szCs w:val="24"/>
        </w:rPr>
        <w:t xml:space="preserve"> highest body weight gain (</w:t>
      </w:r>
      <w:r w:rsidR="00685CED" w:rsidRPr="00685CED">
        <w:rPr>
          <w:rFonts w:ascii="Times New Roman" w:hAnsi="Times New Roman" w:cs="Times New Roman"/>
          <w:sz w:val="24"/>
          <w:szCs w:val="24"/>
        </w:rPr>
        <w:t>79.05 ± 2.41%</w:t>
      </w:r>
      <w:r w:rsidR="00685CED">
        <w:rPr>
          <w:rFonts w:ascii="Times New Roman" w:hAnsi="Times New Roman" w:cs="Times New Roman"/>
          <w:sz w:val="24"/>
          <w:szCs w:val="24"/>
        </w:rPr>
        <w:t>) among all selected cages</w:t>
      </w:r>
      <w:r w:rsidR="00685CED">
        <w:rPr>
          <w:rFonts w:ascii="Times New Roman" w:hAnsi="Times New Roman" w:cs="Times New Roman"/>
          <w:sz w:val="24"/>
          <w:szCs w:val="22"/>
        </w:rPr>
        <w:t xml:space="preserve">. </w:t>
      </w:r>
      <w:r w:rsidR="00512197" w:rsidRPr="00512197">
        <w:rPr>
          <w:rFonts w:ascii="Times New Roman" w:hAnsi="Times New Roman" w:cs="Times New Roman"/>
          <w:sz w:val="24"/>
          <w:szCs w:val="24"/>
        </w:rPr>
        <w:t xml:space="preserve">Kumar </w:t>
      </w:r>
      <w:r w:rsidR="00512197" w:rsidRPr="00512197">
        <w:rPr>
          <w:rFonts w:ascii="Times New Roman" w:hAnsi="Times New Roman" w:cs="Times New Roman"/>
          <w:i/>
          <w:iCs/>
          <w:sz w:val="24"/>
          <w:szCs w:val="24"/>
        </w:rPr>
        <w:t>et al.</w:t>
      </w:r>
      <w:r w:rsidR="00512197" w:rsidRPr="00512197">
        <w:rPr>
          <w:rFonts w:ascii="Times New Roman" w:hAnsi="Times New Roman" w:cs="Times New Roman"/>
          <w:sz w:val="24"/>
          <w:szCs w:val="24"/>
        </w:rPr>
        <w:t xml:space="preserve"> (2017) reported a similar progressive increase in body weight for </w:t>
      </w:r>
      <w:proofErr w:type="spellStart"/>
      <w:r w:rsidR="00512197" w:rsidRPr="00512197">
        <w:rPr>
          <w:rFonts w:ascii="Times New Roman" w:hAnsi="Times New Roman" w:cs="Times New Roman"/>
          <w:i/>
          <w:iCs/>
          <w:sz w:val="24"/>
          <w:szCs w:val="24"/>
        </w:rPr>
        <w:t>Pangasianodon</w:t>
      </w:r>
      <w:proofErr w:type="spellEnd"/>
      <w:r w:rsidR="00512197" w:rsidRPr="00512197">
        <w:rPr>
          <w:rFonts w:ascii="Times New Roman" w:hAnsi="Times New Roman" w:cs="Times New Roman"/>
          <w:i/>
          <w:iCs/>
          <w:sz w:val="24"/>
          <w:szCs w:val="24"/>
        </w:rPr>
        <w:t xml:space="preserve"> </w:t>
      </w:r>
      <w:proofErr w:type="spellStart"/>
      <w:r w:rsidR="00512197" w:rsidRPr="00512197">
        <w:rPr>
          <w:rFonts w:ascii="Times New Roman" w:hAnsi="Times New Roman" w:cs="Times New Roman"/>
          <w:i/>
          <w:iCs/>
          <w:sz w:val="24"/>
          <w:szCs w:val="24"/>
        </w:rPr>
        <w:t>hypophthalmus</w:t>
      </w:r>
      <w:proofErr w:type="spellEnd"/>
      <w:r w:rsidR="00512197" w:rsidRPr="00512197">
        <w:rPr>
          <w:rFonts w:ascii="Times New Roman" w:hAnsi="Times New Roman" w:cs="Times New Roman"/>
          <w:sz w:val="24"/>
          <w:szCs w:val="24"/>
        </w:rPr>
        <w:t xml:space="preserve"> reared in floating net cages over an extended culture period, with growth performance generally found to be superior in cage systems compared to open pond rearing, which is consistent with the current findings.</w:t>
      </w:r>
    </w:p>
    <w:p w14:paraId="3D9DA376" w14:textId="3C19C8C8" w:rsidR="00BE6063" w:rsidRPr="00481358" w:rsidRDefault="00BC5392" w:rsidP="00AE1BA5">
      <w:pPr>
        <w:spacing w:line="360" w:lineRule="auto"/>
        <w:ind w:firstLine="720"/>
        <w:jc w:val="both"/>
        <w:rPr>
          <w:rFonts w:ascii="Times New Roman" w:hAnsi="Times New Roman" w:cs="Times New Roman"/>
          <w:sz w:val="24"/>
          <w:szCs w:val="24"/>
        </w:rPr>
      </w:pPr>
      <w:r w:rsidRPr="00BC5392">
        <w:rPr>
          <w:rFonts w:ascii="Times New Roman" w:hAnsi="Times New Roman" w:cs="Times New Roman"/>
          <w:sz w:val="24"/>
          <w:szCs w:val="24"/>
        </w:rPr>
        <w:t xml:space="preserve">The superior SGR achieved in UPVC cages may be attributed to reduced stress-induced energy expenditure, allowing greater metabolic resources to be allocated to anabolic growth. Conversely, the relatively rough surface of GI cages may have elicited chronic subclinical stress, </w:t>
      </w:r>
      <w:proofErr w:type="gramStart"/>
      <w:r w:rsidRPr="00BC5392">
        <w:rPr>
          <w:rFonts w:ascii="Times New Roman" w:hAnsi="Times New Roman" w:cs="Times New Roman"/>
          <w:sz w:val="24"/>
          <w:szCs w:val="24"/>
        </w:rPr>
        <w:t>increasing</w:t>
      </w:r>
      <w:proofErr w:type="gramEnd"/>
      <w:r w:rsidRPr="00BC5392">
        <w:rPr>
          <w:rFonts w:ascii="Times New Roman" w:hAnsi="Times New Roman" w:cs="Times New Roman"/>
          <w:sz w:val="24"/>
          <w:szCs w:val="24"/>
        </w:rPr>
        <w:t xml:space="preserve"> cortisol secretion and suppressing GH–IGF-1 signalling, thereby impairing protein synthesis and growth performance (Kumar et al., 2024).</w:t>
      </w:r>
      <w:r w:rsidR="005B5EB3">
        <w:rPr>
          <w:rFonts w:ascii="Times New Roman" w:hAnsi="Times New Roman" w:cs="Times New Roman"/>
          <w:sz w:val="24"/>
          <w:szCs w:val="24"/>
        </w:rPr>
        <w:t xml:space="preserve"> </w:t>
      </w:r>
      <w:r w:rsidR="005B5EB3" w:rsidRPr="005B5EB3">
        <w:rPr>
          <w:rFonts w:ascii="Times New Roman" w:hAnsi="Times New Roman" w:cs="Times New Roman"/>
          <w:sz w:val="24"/>
          <w:szCs w:val="24"/>
        </w:rPr>
        <w:t>Although the SGR recorded in the present study (0.89</w:t>
      </w:r>
      <w:r w:rsidR="00E5695C">
        <w:rPr>
          <w:rFonts w:ascii="Times New Roman" w:hAnsi="Times New Roman" w:cs="Times New Roman"/>
          <w:sz w:val="24"/>
          <w:szCs w:val="24"/>
        </w:rPr>
        <w:t>-</w:t>
      </w:r>
      <w:r w:rsidR="005B5EB3" w:rsidRPr="005B5EB3">
        <w:rPr>
          <w:rFonts w:ascii="Times New Roman" w:hAnsi="Times New Roman" w:cs="Times New Roman"/>
          <w:sz w:val="24"/>
          <w:szCs w:val="24"/>
        </w:rPr>
        <w:t xml:space="preserve">0.97% day⁻¹) was lower than the 2.20 ± 0.02% day⁻¹ reported by Husain et al. (2015) for intensively reared </w:t>
      </w:r>
      <w:proofErr w:type="spellStart"/>
      <w:r w:rsidR="005B5EB3" w:rsidRPr="005B5EB3">
        <w:rPr>
          <w:rFonts w:ascii="Times New Roman" w:hAnsi="Times New Roman" w:cs="Times New Roman"/>
          <w:i/>
          <w:iCs/>
          <w:sz w:val="24"/>
          <w:szCs w:val="24"/>
        </w:rPr>
        <w:t>Pangasianodon</w:t>
      </w:r>
      <w:proofErr w:type="spellEnd"/>
      <w:r w:rsidR="005B5EB3" w:rsidRPr="005B5EB3">
        <w:rPr>
          <w:rFonts w:ascii="Times New Roman" w:hAnsi="Times New Roman" w:cs="Times New Roman"/>
          <w:i/>
          <w:iCs/>
          <w:sz w:val="24"/>
          <w:szCs w:val="24"/>
        </w:rPr>
        <w:t xml:space="preserve"> </w:t>
      </w:r>
      <w:proofErr w:type="spellStart"/>
      <w:r w:rsidR="005B5EB3" w:rsidRPr="005B5EB3">
        <w:rPr>
          <w:rFonts w:ascii="Times New Roman" w:hAnsi="Times New Roman" w:cs="Times New Roman"/>
          <w:i/>
          <w:iCs/>
          <w:sz w:val="24"/>
          <w:szCs w:val="24"/>
        </w:rPr>
        <w:t>hypophthalmus</w:t>
      </w:r>
      <w:proofErr w:type="spellEnd"/>
      <w:r w:rsidR="005B5EB3" w:rsidRPr="005B5EB3">
        <w:rPr>
          <w:rFonts w:ascii="Times New Roman" w:hAnsi="Times New Roman" w:cs="Times New Roman"/>
          <w:sz w:val="24"/>
          <w:szCs w:val="24"/>
        </w:rPr>
        <w:t>, such differences are expected given the contrasting culture conditions. The higher growth reported under intensive management was achieved using smaller fingerlings, a higher feeding frequency, and controlled environmental conditions, all of which favour rapid growth and feed utilization. In contrast, the present study employed larger fish reared under semi-intensive cage culture, where growth rates generally decline with increasing body size due to allometric scaling of metabolism and a greater allocation of assimilated energy towards maintenance rather than somatic tissue deposition. Therefore, the comparatively lower SGR observed in the present study reflects normal physiological growth patterns rather than reduced culture performance.</w:t>
      </w:r>
    </w:p>
    <w:p w14:paraId="7DFE2816" w14:textId="5A1047C1" w:rsidR="002005EB" w:rsidRDefault="002005EB" w:rsidP="00AE1BA5">
      <w:pPr>
        <w:spacing w:line="360" w:lineRule="auto"/>
        <w:jc w:val="both"/>
        <w:rPr>
          <w:rFonts w:ascii="Times New Roman" w:hAnsi="Times New Roman" w:cs="Times New Roman"/>
          <w:b/>
          <w:bCs/>
          <w:sz w:val="24"/>
          <w:szCs w:val="24"/>
        </w:rPr>
      </w:pPr>
      <w:r w:rsidRPr="00F72288">
        <w:rPr>
          <w:rFonts w:ascii="Times New Roman" w:hAnsi="Times New Roman" w:cs="Times New Roman"/>
          <w:b/>
          <w:bCs/>
          <w:sz w:val="24"/>
          <w:szCs w:val="24"/>
        </w:rPr>
        <w:t xml:space="preserve">4.2 Feed Utilization </w:t>
      </w:r>
      <w:r w:rsidR="00F72288">
        <w:rPr>
          <w:rFonts w:ascii="Times New Roman" w:hAnsi="Times New Roman" w:cs="Times New Roman"/>
          <w:b/>
          <w:bCs/>
          <w:sz w:val="24"/>
          <w:szCs w:val="24"/>
        </w:rPr>
        <w:t>in Pangasius</w:t>
      </w:r>
    </w:p>
    <w:p w14:paraId="2E74D7D0" w14:textId="0499664F" w:rsidR="00BE6063" w:rsidRPr="00F72288" w:rsidRDefault="00070CC3"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Elevated FCR in GI cages may indicate greater metabolic overhead under physical and chemical stress, since stressed fish catabolise amino acids for gluconeogenesis, diverting protein away from muscle synthesis</w:t>
      </w:r>
      <w:r>
        <w:rPr>
          <w:rFonts w:ascii="Times New Roman" w:hAnsi="Times New Roman" w:cs="Times New Roman"/>
          <w:sz w:val="24"/>
          <w:szCs w:val="24"/>
        </w:rPr>
        <w:t xml:space="preserve">, </w:t>
      </w:r>
      <w:r w:rsidRPr="00C32F46">
        <w:rPr>
          <w:rFonts w:ascii="Times New Roman" w:hAnsi="Times New Roman" w:cs="Times New Roman"/>
          <w:sz w:val="24"/>
          <w:szCs w:val="24"/>
        </w:rPr>
        <w:t>a connection extensively documented in aquaculture physiology.</w:t>
      </w:r>
      <w:r>
        <w:rPr>
          <w:rFonts w:ascii="Times New Roman" w:hAnsi="Times New Roman" w:cs="Times New Roman"/>
          <w:sz w:val="24"/>
          <w:szCs w:val="24"/>
        </w:rPr>
        <w:t xml:space="preserve"> </w:t>
      </w:r>
      <w:r w:rsidRPr="00C32F46">
        <w:rPr>
          <w:rFonts w:ascii="Times New Roman" w:hAnsi="Times New Roman" w:cs="Times New Roman"/>
          <w:sz w:val="24"/>
          <w:szCs w:val="24"/>
        </w:rPr>
        <w:t xml:space="preserve">These FCR values (2.83-3.12) are higher than those reported by Vaishnav </w:t>
      </w:r>
      <w:r w:rsidRPr="00C32F46">
        <w:rPr>
          <w:rFonts w:ascii="Times New Roman" w:hAnsi="Times New Roman" w:cs="Times New Roman"/>
          <w:i/>
          <w:iCs/>
          <w:sz w:val="24"/>
          <w:szCs w:val="24"/>
        </w:rPr>
        <w:t>et al.</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lastRenderedPageBreak/>
        <w:t xml:space="preserve">(2017) for Pangasius spp. at Mahi Bajaj Sagar Dam and Kumar </w:t>
      </w:r>
      <w:r w:rsidRPr="00C32F46">
        <w:rPr>
          <w:rFonts w:ascii="Times New Roman" w:hAnsi="Times New Roman" w:cs="Times New Roman"/>
          <w:i/>
          <w:iCs/>
          <w:sz w:val="24"/>
          <w:szCs w:val="24"/>
        </w:rPr>
        <w:t>et al.</w:t>
      </w:r>
      <w:r w:rsidRPr="00C32F46">
        <w:rPr>
          <w:rFonts w:ascii="Times New Roman" w:hAnsi="Times New Roman" w:cs="Times New Roman"/>
          <w:sz w:val="24"/>
          <w:szCs w:val="24"/>
        </w:rPr>
        <w:t xml:space="preserve"> (2017) for cage-reared fry, indicating potential changes in feed quality, feeding rate, stocking size, and temperature regime between studies. The relative trend among materials, with UPVC ranking lowest, supports the broader assumption that reduced stress enhances feed conversion in cage-reared </w:t>
      </w:r>
      <w:r w:rsidRPr="006D6654">
        <w:rPr>
          <w:rFonts w:ascii="Times New Roman" w:hAnsi="Times New Roman" w:cs="Times New Roman"/>
          <w:sz w:val="24"/>
          <w:szCs w:val="24"/>
        </w:rPr>
        <w:t>Pangasius</w:t>
      </w:r>
      <w:r w:rsidRPr="00C32F46">
        <w:rPr>
          <w:rFonts w:ascii="Times New Roman" w:hAnsi="Times New Roman" w:cs="Times New Roman"/>
          <w:sz w:val="24"/>
          <w:szCs w:val="24"/>
        </w:rPr>
        <w:t>.</w:t>
      </w:r>
      <w:r w:rsidR="00E35520">
        <w:rPr>
          <w:rFonts w:ascii="Times New Roman" w:hAnsi="Times New Roman" w:cs="Times New Roman"/>
          <w:sz w:val="24"/>
          <w:szCs w:val="24"/>
        </w:rPr>
        <w:t xml:space="preserve"> </w:t>
      </w:r>
      <w:r w:rsidRPr="00C32F46">
        <w:rPr>
          <w:rFonts w:ascii="Times New Roman" w:hAnsi="Times New Roman" w:cs="Times New Roman"/>
          <w:sz w:val="24"/>
          <w:szCs w:val="24"/>
        </w:rPr>
        <w:t xml:space="preserve">PER in </w:t>
      </w:r>
      <w:r w:rsidRPr="00C32F46">
        <w:rPr>
          <w:rFonts w:ascii="Times New Roman" w:hAnsi="Times New Roman" w:cs="Times New Roman"/>
          <w:i/>
          <w:iCs/>
          <w:sz w:val="24"/>
          <w:szCs w:val="24"/>
        </w:rPr>
        <w:t>Pangasius spp.</w:t>
      </w:r>
      <w:r w:rsidRPr="00C32F46">
        <w:rPr>
          <w:rFonts w:ascii="Times New Roman" w:hAnsi="Times New Roman" w:cs="Times New Roman"/>
          <w:sz w:val="24"/>
          <w:szCs w:val="24"/>
        </w:rPr>
        <w:t xml:space="preserve"> has been found to be extremely sensitive to dietary protein levels and culture conditions. Jayant </w:t>
      </w:r>
      <w:r w:rsidRPr="00C32F46">
        <w:rPr>
          <w:rFonts w:ascii="Times New Roman" w:hAnsi="Times New Roman" w:cs="Times New Roman"/>
          <w:i/>
          <w:iCs/>
          <w:sz w:val="24"/>
          <w:szCs w:val="24"/>
        </w:rPr>
        <w:t>et al.</w:t>
      </w:r>
      <w:r w:rsidRPr="00C32F46">
        <w:rPr>
          <w:rFonts w:ascii="Times New Roman" w:hAnsi="Times New Roman" w:cs="Times New Roman"/>
          <w:sz w:val="24"/>
          <w:szCs w:val="24"/>
        </w:rPr>
        <w:t xml:space="preserve"> (2018) discovered that protein-utilization efficiency in juvenile striped catfish fed iso-energetic diets (20-45% crude protein) decreased if protein intake exceeded the optimum, since extra protein is catabolised for energy rather than maintained for growth. The PER values (1.07-1.18) observed with a 30% crude-protein diet are physiologically plausible and demonstrate efficient protein deposition under the trial conditions.</w:t>
      </w:r>
      <w:r>
        <w:rPr>
          <w:rFonts w:ascii="Times New Roman" w:hAnsi="Times New Roman" w:cs="Times New Roman"/>
          <w:sz w:val="24"/>
          <w:szCs w:val="24"/>
        </w:rPr>
        <w:t xml:space="preserve"> </w:t>
      </w:r>
      <w:r w:rsidRPr="00C32F46">
        <w:rPr>
          <w:rFonts w:ascii="Times New Roman" w:eastAsia="Times New Roman" w:hAnsi="Times New Roman" w:cs="Times New Roman"/>
          <w:sz w:val="24"/>
          <w:szCs w:val="24"/>
          <w:lang w:eastAsia="en-IN"/>
        </w:rPr>
        <w:t xml:space="preserve">The higher SGR in UPVC cages may reflect less energy allocated to stress responses, leaving more available for anabolic growth; fish in GI cages may have experienced subclinical stress from surface abrasion, potentially elevating cortisol and limiting GH-IGF-1 axis activity and protein synthesis (Kumar </w:t>
      </w:r>
      <w:r w:rsidRPr="00C32F46">
        <w:rPr>
          <w:rFonts w:ascii="Times New Roman" w:eastAsia="Times New Roman" w:hAnsi="Times New Roman" w:cs="Times New Roman"/>
          <w:i/>
          <w:iCs/>
          <w:sz w:val="24"/>
          <w:szCs w:val="24"/>
          <w:lang w:eastAsia="en-IN"/>
        </w:rPr>
        <w:t>et al.,</w:t>
      </w:r>
      <w:r w:rsidRPr="00C32F46">
        <w:rPr>
          <w:rFonts w:ascii="Times New Roman" w:eastAsia="Times New Roman" w:hAnsi="Times New Roman" w:cs="Times New Roman"/>
          <w:sz w:val="24"/>
          <w:szCs w:val="24"/>
          <w:lang w:eastAsia="en-IN"/>
        </w:rPr>
        <w:t xml:space="preserve"> 2024). The SGR values (0.89-0.97%/day) are lower than the 2.20 ± 0.02%/day reported by Husain </w:t>
      </w:r>
      <w:r w:rsidRPr="00C32F46">
        <w:rPr>
          <w:rFonts w:ascii="Times New Roman" w:eastAsia="Times New Roman" w:hAnsi="Times New Roman" w:cs="Times New Roman"/>
          <w:i/>
          <w:iCs/>
          <w:sz w:val="24"/>
          <w:szCs w:val="24"/>
          <w:lang w:eastAsia="en-IN"/>
        </w:rPr>
        <w:t>et al.</w:t>
      </w:r>
      <w:r w:rsidRPr="00C32F46">
        <w:rPr>
          <w:rFonts w:ascii="Times New Roman" w:eastAsia="Times New Roman" w:hAnsi="Times New Roman" w:cs="Times New Roman"/>
          <w:sz w:val="24"/>
          <w:szCs w:val="24"/>
          <w:lang w:eastAsia="en-IN"/>
        </w:rPr>
        <w:t xml:space="preserve"> (2015) for fingerlings fed three times daily under intensive conditions (FCR 1.81 ± 0.02). This may be due to the larger initial fingerling size and semi-intensive feeding regime used in this trial, as SGR tends to decline as fish approach larger body size.</w:t>
      </w:r>
      <w:r w:rsidR="00BE6063">
        <w:rPr>
          <w:rFonts w:ascii="Times New Roman" w:hAnsi="Times New Roman" w:cs="Times New Roman"/>
          <w:sz w:val="24"/>
          <w:szCs w:val="24"/>
        </w:rPr>
        <w:t xml:space="preserve"> </w:t>
      </w:r>
      <w:r w:rsidR="00BE6063" w:rsidRPr="00C32F46">
        <w:rPr>
          <w:rFonts w:ascii="Times New Roman" w:hAnsi="Times New Roman" w:cs="Times New Roman"/>
          <w:sz w:val="24"/>
          <w:szCs w:val="24"/>
        </w:rPr>
        <w:t xml:space="preserve">These FCE values (0.32-0.35) are consistent with the 0.30-0.40 range described by Habibie </w:t>
      </w:r>
      <w:r w:rsidR="00BE6063" w:rsidRPr="00C32F46">
        <w:rPr>
          <w:rFonts w:ascii="Times New Roman" w:hAnsi="Times New Roman" w:cs="Times New Roman"/>
          <w:i/>
          <w:iCs/>
          <w:sz w:val="24"/>
          <w:szCs w:val="24"/>
        </w:rPr>
        <w:t>et al</w:t>
      </w:r>
      <w:r w:rsidR="00BE6063" w:rsidRPr="00C32F46">
        <w:rPr>
          <w:rFonts w:ascii="Times New Roman" w:hAnsi="Times New Roman" w:cs="Times New Roman"/>
          <w:sz w:val="24"/>
          <w:szCs w:val="24"/>
        </w:rPr>
        <w:t xml:space="preserve">. (2020) for tropical catfish cage culture. Vaishnav </w:t>
      </w:r>
      <w:r w:rsidR="00BE6063" w:rsidRPr="00C32F46">
        <w:rPr>
          <w:rFonts w:ascii="Times New Roman" w:hAnsi="Times New Roman" w:cs="Times New Roman"/>
          <w:i/>
          <w:iCs/>
          <w:sz w:val="24"/>
          <w:szCs w:val="24"/>
        </w:rPr>
        <w:t>et al.</w:t>
      </w:r>
      <w:r w:rsidR="00BE6063" w:rsidRPr="00C32F46">
        <w:rPr>
          <w:rFonts w:ascii="Times New Roman" w:hAnsi="Times New Roman" w:cs="Times New Roman"/>
          <w:sz w:val="24"/>
          <w:szCs w:val="24"/>
        </w:rPr>
        <w:t xml:space="preserve"> (2017) found a gross conversion efficiency of approximately 0.85 for </w:t>
      </w:r>
      <w:r w:rsidR="00BE6063" w:rsidRPr="00C32F46">
        <w:rPr>
          <w:rFonts w:ascii="Times New Roman" w:hAnsi="Times New Roman" w:cs="Times New Roman"/>
          <w:i/>
          <w:iCs/>
          <w:sz w:val="24"/>
          <w:szCs w:val="24"/>
        </w:rPr>
        <w:t>Pangasius spp.</w:t>
      </w:r>
      <w:r w:rsidR="00BE6063" w:rsidRPr="00C32F46">
        <w:rPr>
          <w:rFonts w:ascii="Times New Roman" w:hAnsi="Times New Roman" w:cs="Times New Roman"/>
          <w:sz w:val="24"/>
          <w:szCs w:val="24"/>
        </w:rPr>
        <w:t xml:space="preserve"> under heavy stocking, with FCE known to fluctuate inversely with stocking density and feed wastage both relevant concerns for the current study.</w:t>
      </w:r>
    </w:p>
    <w:p w14:paraId="2E7CEDBF" w14:textId="36AF92AE" w:rsidR="0066617E" w:rsidRPr="00AE1BA5" w:rsidRDefault="00070CC3"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Nonetheless, all three treatments maintained economic productivity, with UPVC producing the biggest percentage gain.</w:t>
      </w:r>
    </w:p>
    <w:p w14:paraId="5B51D20F" w14:textId="77777777" w:rsidR="0020618A" w:rsidRDefault="0020618A" w:rsidP="00AE1BA5">
      <w:pPr>
        <w:spacing w:line="360" w:lineRule="auto"/>
        <w:jc w:val="both"/>
        <w:rPr>
          <w:rFonts w:ascii="Times New Roman" w:hAnsi="Times New Roman" w:cs="Times New Roman"/>
          <w:b/>
          <w:bCs/>
          <w:sz w:val="24"/>
          <w:szCs w:val="24"/>
        </w:rPr>
      </w:pPr>
    </w:p>
    <w:p w14:paraId="1C11165D" w14:textId="20F11225" w:rsidR="006674B3" w:rsidRPr="006674B3" w:rsidRDefault="00BE6063"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4.3 </w:t>
      </w:r>
      <w:r w:rsidR="006674B3" w:rsidRPr="006674B3">
        <w:rPr>
          <w:rFonts w:ascii="Times New Roman" w:hAnsi="Times New Roman" w:cs="Times New Roman"/>
          <w:b/>
          <w:bCs/>
          <w:sz w:val="24"/>
          <w:szCs w:val="24"/>
        </w:rPr>
        <w:t xml:space="preserve">Survival rate </w:t>
      </w:r>
      <w:r w:rsidR="00E71A22">
        <w:rPr>
          <w:rFonts w:ascii="Times New Roman" w:hAnsi="Times New Roman" w:cs="Times New Roman"/>
          <w:b/>
          <w:bCs/>
          <w:sz w:val="24"/>
          <w:szCs w:val="24"/>
        </w:rPr>
        <w:t xml:space="preserve">(%) of </w:t>
      </w:r>
      <w:r w:rsidR="00E315C4">
        <w:rPr>
          <w:rFonts w:ascii="Times New Roman" w:hAnsi="Times New Roman" w:cs="Times New Roman"/>
          <w:b/>
          <w:bCs/>
          <w:sz w:val="24"/>
          <w:szCs w:val="24"/>
        </w:rPr>
        <w:t xml:space="preserve">cage reared </w:t>
      </w:r>
      <w:r w:rsidR="00FB0B2A">
        <w:rPr>
          <w:rFonts w:ascii="Times New Roman" w:hAnsi="Times New Roman" w:cs="Times New Roman"/>
          <w:b/>
          <w:bCs/>
          <w:sz w:val="24"/>
          <w:szCs w:val="24"/>
        </w:rPr>
        <w:t>pangasius</w:t>
      </w:r>
    </w:p>
    <w:p w14:paraId="3A2FE6D0" w14:textId="7A0F8AE8" w:rsidR="00F72288" w:rsidRDefault="006674B3"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Lower survival in GI cages could be attributed to mechanical abrasion from the galvanised surface, which compromises the epidermal mucous barrier and creates entrance points for opportunistic diseases, especially during early post-stocking adjustment. Bamboo's intermediate survival rate (91.85%) is consistent with a smoother natural-fibre surface that causes less damage than GI, but does not match UPVC's inertness. These survival rates (88.89-95.18%) are within the 85-97% range reported for cage-cultured catfish (</w:t>
      </w:r>
      <w:proofErr w:type="spellStart"/>
      <w:r w:rsidRPr="00C32F46">
        <w:rPr>
          <w:rFonts w:ascii="Times New Roman" w:hAnsi="Times New Roman" w:cs="Times New Roman"/>
          <w:sz w:val="24"/>
          <w:szCs w:val="24"/>
        </w:rPr>
        <w:t>Windarti</w:t>
      </w:r>
      <w:proofErr w:type="spellEnd"/>
      <w:r w:rsidRPr="00C32F46">
        <w:rPr>
          <w:rFonts w:ascii="Times New Roman" w:hAnsi="Times New Roman" w:cs="Times New Roman"/>
          <w:sz w:val="24"/>
          <w:szCs w:val="24"/>
        </w:rPr>
        <w:t xml:space="preserve"> </w:t>
      </w:r>
      <w:r w:rsidRPr="00C32F46">
        <w:rPr>
          <w:rFonts w:ascii="Times New Roman" w:hAnsi="Times New Roman" w:cs="Times New Roman"/>
          <w:i/>
          <w:iCs/>
          <w:sz w:val="24"/>
          <w:szCs w:val="24"/>
        </w:rPr>
        <w:t>et al.,</w:t>
      </w:r>
      <w:r w:rsidRPr="00C32F46">
        <w:rPr>
          <w:rFonts w:ascii="Times New Roman" w:hAnsi="Times New Roman" w:cs="Times New Roman"/>
          <w:sz w:val="24"/>
          <w:szCs w:val="24"/>
        </w:rPr>
        <w:t xml:space="preserve"> 2023; </w:t>
      </w:r>
      <w:r w:rsidRPr="00C32F46">
        <w:rPr>
          <w:rFonts w:ascii="Times New Roman" w:hAnsi="Times New Roman" w:cs="Times New Roman"/>
          <w:sz w:val="24"/>
          <w:szCs w:val="24"/>
        </w:rPr>
        <w:lastRenderedPageBreak/>
        <w:t xml:space="preserve">Rasheed </w:t>
      </w:r>
      <w:r w:rsidRPr="00C32F46">
        <w:rPr>
          <w:rFonts w:ascii="Times New Roman" w:hAnsi="Times New Roman" w:cs="Times New Roman"/>
          <w:i/>
          <w:iCs/>
          <w:sz w:val="24"/>
          <w:szCs w:val="24"/>
        </w:rPr>
        <w:t>et al.,</w:t>
      </w:r>
      <w:r w:rsidRPr="00C32F46">
        <w:rPr>
          <w:rFonts w:ascii="Times New Roman" w:hAnsi="Times New Roman" w:cs="Times New Roman"/>
          <w:sz w:val="24"/>
          <w:szCs w:val="24"/>
        </w:rPr>
        <w:t xml:space="preserve"> 2026), which is higher than the 85% threshold Patel </w:t>
      </w:r>
      <w:r w:rsidRPr="00C32F46">
        <w:rPr>
          <w:rFonts w:ascii="Times New Roman" w:hAnsi="Times New Roman" w:cs="Times New Roman"/>
          <w:i/>
          <w:iCs/>
          <w:sz w:val="24"/>
          <w:szCs w:val="24"/>
        </w:rPr>
        <w:t>et al.</w:t>
      </w:r>
      <w:r w:rsidRPr="00C32F46">
        <w:rPr>
          <w:rFonts w:ascii="Times New Roman" w:hAnsi="Times New Roman" w:cs="Times New Roman"/>
          <w:sz w:val="24"/>
          <w:szCs w:val="24"/>
        </w:rPr>
        <w:t xml:space="preserve"> (2023) connect with effective cage management for tropical air-breathing catfish.</w:t>
      </w:r>
    </w:p>
    <w:p w14:paraId="55B10FF0" w14:textId="0B03131F" w:rsidR="0061169E" w:rsidRDefault="0061169E" w:rsidP="0061169E">
      <w:pPr>
        <w:spacing w:line="360" w:lineRule="auto"/>
        <w:jc w:val="both"/>
        <w:rPr>
          <w:rFonts w:ascii="Times New Roman" w:hAnsi="Times New Roman" w:cs="Times New Roman"/>
          <w:b/>
          <w:bCs/>
          <w:sz w:val="24"/>
          <w:szCs w:val="24"/>
        </w:rPr>
      </w:pPr>
      <w:r w:rsidRPr="0061169E">
        <w:rPr>
          <w:rFonts w:ascii="Times New Roman" w:hAnsi="Times New Roman" w:cs="Times New Roman"/>
          <w:b/>
          <w:bCs/>
          <w:sz w:val="24"/>
          <w:szCs w:val="24"/>
        </w:rPr>
        <w:t>4.4 Biomass yield</w:t>
      </w:r>
    </w:p>
    <w:p w14:paraId="0D77C79C" w14:textId="13BC5A64" w:rsidR="0061169E" w:rsidRPr="00407763" w:rsidRDefault="00407763" w:rsidP="00407763">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 xml:space="preserve">Final biomass indicates the combined contribution of survival and </w:t>
      </w:r>
      <w:proofErr w:type="gramStart"/>
      <w:r w:rsidRPr="00C32F46">
        <w:rPr>
          <w:rFonts w:ascii="Times New Roman" w:hAnsi="Times New Roman" w:cs="Times New Roman"/>
          <w:sz w:val="24"/>
          <w:szCs w:val="24"/>
        </w:rPr>
        <w:t>mean</w:t>
      </w:r>
      <w:proofErr w:type="gramEnd"/>
      <w:r w:rsidRPr="00C32F46">
        <w:rPr>
          <w:rFonts w:ascii="Times New Roman" w:hAnsi="Times New Roman" w:cs="Times New Roman"/>
          <w:sz w:val="24"/>
          <w:szCs w:val="24"/>
        </w:rPr>
        <w:t xml:space="preserve"> final body weight; UPVC outperformed both (95.18% survival, 45.3 g final weight), yielding the highest total biomass. Harvest</w:t>
      </w:r>
      <w:r>
        <w:rPr>
          <w:rFonts w:ascii="Times New Roman" w:hAnsi="Times New Roman" w:cs="Times New Roman"/>
          <w:sz w:val="24"/>
          <w:szCs w:val="24"/>
        </w:rPr>
        <w:t>ed</w:t>
      </w:r>
      <w:r w:rsidRPr="00C32F46">
        <w:rPr>
          <w:rFonts w:ascii="Times New Roman" w:hAnsi="Times New Roman" w:cs="Times New Roman"/>
          <w:sz w:val="24"/>
          <w:szCs w:val="24"/>
        </w:rPr>
        <w:t xml:space="preserve"> densities (10,296-11,642 g per 9 m³ cage, ~1.14-1.29 kg/m³) range</w:t>
      </w:r>
      <w:r>
        <w:rPr>
          <w:rFonts w:ascii="Times New Roman" w:hAnsi="Times New Roman" w:cs="Times New Roman"/>
          <w:sz w:val="24"/>
          <w:szCs w:val="24"/>
        </w:rPr>
        <w:t>d</w:t>
      </w:r>
      <w:r w:rsidRPr="00C32F46">
        <w:rPr>
          <w:rFonts w:ascii="Times New Roman" w:hAnsi="Times New Roman" w:cs="Times New Roman"/>
          <w:sz w:val="24"/>
          <w:szCs w:val="24"/>
        </w:rPr>
        <w:t xml:space="preserve"> from 0.8 to 2.5 kg/m³. Ramteke </w:t>
      </w:r>
      <w:r w:rsidRPr="00C32F46">
        <w:rPr>
          <w:rFonts w:ascii="Times New Roman" w:hAnsi="Times New Roman" w:cs="Times New Roman"/>
          <w:i/>
          <w:iCs/>
          <w:sz w:val="24"/>
          <w:szCs w:val="24"/>
        </w:rPr>
        <w:t>et al.</w:t>
      </w:r>
      <w:r w:rsidRPr="00C32F46">
        <w:rPr>
          <w:rFonts w:ascii="Times New Roman" w:hAnsi="Times New Roman" w:cs="Times New Roman"/>
          <w:sz w:val="24"/>
          <w:szCs w:val="24"/>
        </w:rPr>
        <w:t xml:space="preserve"> (2023) identify warm-water catfish cage culture as feasible, indicating that the trial conditions were both productive and environmentally sustainable.</w:t>
      </w:r>
    </w:p>
    <w:p w14:paraId="2129DE27" w14:textId="5178C381" w:rsidR="00E315C4" w:rsidRDefault="00FB0B2A" w:rsidP="00AE1B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20618A">
        <w:rPr>
          <w:rFonts w:ascii="Times New Roman" w:hAnsi="Times New Roman" w:cs="Times New Roman"/>
          <w:b/>
          <w:bCs/>
          <w:sz w:val="24"/>
          <w:szCs w:val="24"/>
        </w:rPr>
        <w:t xml:space="preserve">5 </w:t>
      </w:r>
      <w:proofErr w:type="spellStart"/>
      <w:r>
        <w:rPr>
          <w:rFonts w:ascii="Times New Roman" w:hAnsi="Times New Roman" w:cs="Times New Roman"/>
          <w:b/>
          <w:bCs/>
          <w:sz w:val="24"/>
          <w:szCs w:val="24"/>
        </w:rPr>
        <w:t>Physico</w:t>
      </w:r>
      <w:proofErr w:type="spellEnd"/>
      <w:r>
        <w:rPr>
          <w:rFonts w:ascii="Times New Roman" w:hAnsi="Times New Roman" w:cs="Times New Roman"/>
          <w:b/>
          <w:bCs/>
          <w:sz w:val="24"/>
          <w:szCs w:val="24"/>
        </w:rPr>
        <w:t>-chemical water parameters</w:t>
      </w:r>
    </w:p>
    <w:p w14:paraId="72715C41" w14:textId="1B921A7C" w:rsidR="00FB0B2A" w:rsidRDefault="00886CAA" w:rsidP="00AE1BA5">
      <w:pPr>
        <w:spacing w:line="360" w:lineRule="auto"/>
        <w:ind w:firstLine="720"/>
        <w:jc w:val="both"/>
        <w:rPr>
          <w:rFonts w:ascii="Times New Roman" w:hAnsi="Times New Roman" w:cs="Times New Roman"/>
          <w:sz w:val="24"/>
          <w:szCs w:val="24"/>
        </w:rPr>
      </w:pPr>
      <w:r w:rsidRPr="00886CAA">
        <w:rPr>
          <w:rFonts w:ascii="Times New Roman" w:hAnsi="Times New Roman" w:cs="Times New Roman"/>
          <w:sz w:val="24"/>
          <w:szCs w:val="24"/>
        </w:rPr>
        <w:t xml:space="preserve">Throughout the </w:t>
      </w:r>
      <w:r>
        <w:rPr>
          <w:rFonts w:ascii="Times New Roman" w:hAnsi="Times New Roman" w:cs="Times New Roman"/>
          <w:sz w:val="24"/>
          <w:szCs w:val="24"/>
        </w:rPr>
        <w:t xml:space="preserve">rearing </w:t>
      </w:r>
      <w:r w:rsidRPr="00886CAA">
        <w:rPr>
          <w:rFonts w:ascii="Times New Roman" w:hAnsi="Times New Roman" w:cs="Times New Roman"/>
          <w:sz w:val="24"/>
          <w:szCs w:val="24"/>
        </w:rPr>
        <w:t>period, the monitored physicochemical parameters, including temperature, pH, dissolved oxygen, total alkalinity</w:t>
      </w:r>
      <w:r>
        <w:rPr>
          <w:rFonts w:ascii="Times New Roman" w:hAnsi="Times New Roman" w:cs="Times New Roman"/>
          <w:sz w:val="24"/>
          <w:szCs w:val="24"/>
        </w:rPr>
        <w:t xml:space="preserve"> and total hardness were found</w:t>
      </w:r>
      <w:r w:rsidRPr="00886CAA">
        <w:rPr>
          <w:rFonts w:ascii="Times New Roman" w:hAnsi="Times New Roman" w:cs="Times New Roman"/>
          <w:sz w:val="24"/>
          <w:szCs w:val="24"/>
        </w:rPr>
        <w:t xml:space="preserve"> within the optimal limits for pangasius. These stable water quality conditions provided a favourable rearing environment, minimizing environmental stress and ensuring that the observed differences in growth performance were predominantly associated with cage material rather than fluctuations in water quality.</w:t>
      </w:r>
      <w:r w:rsidR="00FB0B2A" w:rsidRPr="00886CAA">
        <w:rPr>
          <w:rFonts w:ascii="Times New Roman" w:hAnsi="Times New Roman" w:cs="Times New Roman"/>
          <w:sz w:val="24"/>
          <w:szCs w:val="24"/>
        </w:rPr>
        <w:t xml:space="preserve"> </w:t>
      </w:r>
    </w:p>
    <w:p w14:paraId="399B2D76" w14:textId="69105B5D" w:rsidR="00DA4152" w:rsidRDefault="00E23B8D" w:rsidP="00AE1BA5">
      <w:pPr>
        <w:spacing w:line="360" w:lineRule="auto"/>
        <w:ind w:firstLine="720"/>
        <w:jc w:val="both"/>
        <w:rPr>
          <w:rFonts w:ascii="Times New Roman" w:hAnsi="Times New Roman" w:cs="Times New Roman"/>
          <w:sz w:val="24"/>
          <w:szCs w:val="24"/>
        </w:rPr>
      </w:pPr>
      <w:r w:rsidRPr="00E23B8D">
        <w:rPr>
          <w:rFonts w:ascii="Times New Roman" w:hAnsi="Times New Roman" w:cs="Times New Roman"/>
          <w:sz w:val="24"/>
          <w:szCs w:val="24"/>
        </w:rPr>
        <w:t>The pH values recorded throughout the study remained within the optimal range (</w:t>
      </w:r>
      <w:r w:rsidR="00856855">
        <w:rPr>
          <w:rFonts w:ascii="Times New Roman" w:hAnsi="Times New Roman" w:cs="Times New Roman"/>
          <w:sz w:val="24"/>
          <w:szCs w:val="24"/>
        </w:rPr>
        <w:t>7</w:t>
      </w:r>
      <w:r w:rsidRPr="00E23B8D">
        <w:rPr>
          <w:rFonts w:ascii="Times New Roman" w:hAnsi="Times New Roman" w:cs="Times New Roman"/>
          <w:sz w:val="24"/>
          <w:szCs w:val="24"/>
        </w:rPr>
        <w:t>.</w:t>
      </w:r>
      <w:r w:rsidR="00856855">
        <w:rPr>
          <w:rFonts w:ascii="Times New Roman" w:hAnsi="Times New Roman" w:cs="Times New Roman"/>
          <w:sz w:val="24"/>
          <w:szCs w:val="24"/>
        </w:rPr>
        <w:t>4</w:t>
      </w:r>
      <w:r w:rsidRPr="00E23B8D">
        <w:rPr>
          <w:rFonts w:ascii="Times New Roman" w:hAnsi="Times New Roman" w:cs="Times New Roman"/>
          <w:sz w:val="24"/>
          <w:szCs w:val="24"/>
        </w:rPr>
        <w:t>5–</w:t>
      </w:r>
      <w:r w:rsidR="00856855">
        <w:rPr>
          <w:rFonts w:ascii="Times New Roman" w:hAnsi="Times New Roman" w:cs="Times New Roman"/>
          <w:sz w:val="24"/>
          <w:szCs w:val="24"/>
        </w:rPr>
        <w:t>7.75</w:t>
      </w:r>
      <w:r w:rsidRPr="00E23B8D">
        <w:rPr>
          <w:rFonts w:ascii="Times New Roman" w:hAnsi="Times New Roman" w:cs="Times New Roman"/>
          <w:sz w:val="24"/>
          <w:szCs w:val="24"/>
        </w:rPr>
        <w:t xml:space="preserve">) for freshwater fish culture recommended by Boyd (1998), thereby providing favourable conditions for normal metabolic and physiological functions. The slight increase in pH during </w:t>
      </w:r>
      <w:r w:rsidR="00311973">
        <w:rPr>
          <w:rFonts w:ascii="Times New Roman" w:hAnsi="Times New Roman" w:cs="Times New Roman"/>
          <w:sz w:val="24"/>
          <w:szCs w:val="24"/>
        </w:rPr>
        <w:t>day</w:t>
      </w:r>
      <w:r w:rsidR="00420278">
        <w:rPr>
          <w:rFonts w:ascii="Times New Roman" w:hAnsi="Times New Roman" w:cs="Times New Roman"/>
          <w:sz w:val="24"/>
          <w:szCs w:val="24"/>
        </w:rPr>
        <w:t xml:space="preserve"> 4</w:t>
      </w:r>
      <w:r w:rsidR="000F146E">
        <w:rPr>
          <w:rFonts w:ascii="Times New Roman" w:hAnsi="Times New Roman" w:cs="Times New Roman"/>
          <w:sz w:val="24"/>
          <w:szCs w:val="24"/>
        </w:rPr>
        <w:t>3</w:t>
      </w:r>
      <w:r w:rsidR="00DA78C1" w:rsidRPr="00E23B8D">
        <w:rPr>
          <w:rFonts w:ascii="Times New Roman" w:hAnsi="Times New Roman" w:cs="Times New Roman"/>
          <w:sz w:val="24"/>
          <w:szCs w:val="24"/>
        </w:rPr>
        <w:t>–</w:t>
      </w:r>
      <w:r w:rsidR="000F146E">
        <w:rPr>
          <w:rFonts w:ascii="Times New Roman" w:hAnsi="Times New Roman" w:cs="Times New Roman"/>
          <w:sz w:val="24"/>
          <w:szCs w:val="24"/>
        </w:rPr>
        <w:t>49 (</w:t>
      </w:r>
      <w:r w:rsidR="00DA78C1">
        <w:rPr>
          <w:rFonts w:ascii="Times New Roman" w:hAnsi="Times New Roman" w:cs="Times New Roman"/>
          <w:sz w:val="24"/>
          <w:szCs w:val="24"/>
        </w:rPr>
        <w:t>7.40</w:t>
      </w:r>
      <w:r w:rsidR="00DA78C1" w:rsidRPr="00E23B8D">
        <w:rPr>
          <w:rFonts w:ascii="Times New Roman" w:hAnsi="Times New Roman" w:cs="Times New Roman"/>
          <w:sz w:val="24"/>
          <w:szCs w:val="24"/>
        </w:rPr>
        <w:t>–</w:t>
      </w:r>
      <w:r w:rsidR="00DA78C1">
        <w:rPr>
          <w:rFonts w:ascii="Times New Roman" w:hAnsi="Times New Roman" w:cs="Times New Roman"/>
          <w:sz w:val="24"/>
          <w:szCs w:val="24"/>
        </w:rPr>
        <w:t xml:space="preserve">7.50) </w:t>
      </w:r>
      <w:r w:rsidRPr="00E23B8D">
        <w:rPr>
          <w:rFonts w:ascii="Times New Roman" w:hAnsi="Times New Roman" w:cs="Times New Roman"/>
          <w:sz w:val="24"/>
          <w:szCs w:val="24"/>
        </w:rPr>
        <w:t xml:space="preserve">and </w:t>
      </w:r>
      <w:r w:rsidR="00420278">
        <w:rPr>
          <w:rFonts w:ascii="Times New Roman" w:hAnsi="Times New Roman" w:cs="Times New Roman"/>
          <w:sz w:val="24"/>
          <w:szCs w:val="24"/>
        </w:rPr>
        <w:t xml:space="preserve">day </w:t>
      </w:r>
      <w:r w:rsidR="00200EC4">
        <w:rPr>
          <w:rFonts w:ascii="Times New Roman" w:hAnsi="Times New Roman" w:cs="Times New Roman"/>
          <w:sz w:val="24"/>
          <w:szCs w:val="24"/>
        </w:rPr>
        <w:t>50</w:t>
      </w:r>
      <w:r w:rsidR="00200EC4" w:rsidRPr="00E23B8D">
        <w:rPr>
          <w:rFonts w:ascii="Times New Roman" w:hAnsi="Times New Roman" w:cs="Times New Roman"/>
          <w:sz w:val="24"/>
          <w:szCs w:val="24"/>
        </w:rPr>
        <w:t>–</w:t>
      </w:r>
      <w:r w:rsidR="00420278">
        <w:rPr>
          <w:rFonts w:ascii="Times New Roman" w:hAnsi="Times New Roman" w:cs="Times New Roman"/>
          <w:sz w:val="24"/>
          <w:szCs w:val="24"/>
        </w:rPr>
        <w:t>56</w:t>
      </w:r>
      <w:r w:rsidRPr="00E23B8D">
        <w:rPr>
          <w:rFonts w:ascii="Times New Roman" w:hAnsi="Times New Roman" w:cs="Times New Roman"/>
          <w:sz w:val="24"/>
          <w:szCs w:val="24"/>
        </w:rPr>
        <w:t xml:space="preserve"> (</w:t>
      </w:r>
      <w:r w:rsidR="00200EC4">
        <w:rPr>
          <w:rFonts w:ascii="Times New Roman" w:hAnsi="Times New Roman" w:cs="Times New Roman"/>
          <w:sz w:val="24"/>
          <w:szCs w:val="24"/>
        </w:rPr>
        <w:t>7.65</w:t>
      </w:r>
      <w:r w:rsidR="00200EC4" w:rsidRPr="00E23B8D">
        <w:rPr>
          <w:rFonts w:ascii="Times New Roman" w:hAnsi="Times New Roman" w:cs="Times New Roman"/>
          <w:sz w:val="24"/>
          <w:szCs w:val="24"/>
        </w:rPr>
        <w:t>–</w:t>
      </w:r>
      <w:r w:rsidRPr="00E23B8D">
        <w:rPr>
          <w:rFonts w:ascii="Times New Roman" w:hAnsi="Times New Roman" w:cs="Times New Roman"/>
          <w:sz w:val="24"/>
          <w:szCs w:val="24"/>
        </w:rPr>
        <w:t>7.7</w:t>
      </w:r>
      <w:r w:rsidR="00200EC4">
        <w:rPr>
          <w:rFonts w:ascii="Times New Roman" w:hAnsi="Times New Roman" w:cs="Times New Roman"/>
          <w:sz w:val="24"/>
          <w:szCs w:val="24"/>
        </w:rPr>
        <w:t>5</w:t>
      </w:r>
      <w:r w:rsidRPr="00E23B8D">
        <w:rPr>
          <w:rFonts w:ascii="Times New Roman" w:hAnsi="Times New Roman" w:cs="Times New Roman"/>
          <w:sz w:val="24"/>
          <w:szCs w:val="24"/>
        </w:rPr>
        <w:t>) can be attributed to elevated phytoplankton photosynthetic activity, which consumed dissolved CO₂ and increased water alkalinity during daylight hours. Importantly, the observed weekly pH variation was well below the threshold associated with impaired gill function and disruption of acid–base regulation in warm-water fish (Ye et al., 2025). Therefore, pH remained stable throughout the experimental period and was unlikely to have confounded the growth responses observed among the different cage treatments.</w:t>
      </w:r>
      <w:r w:rsidR="00DA7294">
        <w:rPr>
          <w:rFonts w:ascii="Times New Roman" w:hAnsi="Times New Roman" w:cs="Times New Roman"/>
          <w:sz w:val="24"/>
          <w:szCs w:val="24"/>
        </w:rPr>
        <w:t xml:space="preserve"> </w:t>
      </w:r>
    </w:p>
    <w:p w14:paraId="3A1199A1" w14:textId="1869C84D" w:rsidR="00DA7294" w:rsidRDefault="00DA7294" w:rsidP="00AE1BA5">
      <w:pPr>
        <w:spacing w:line="360" w:lineRule="auto"/>
        <w:ind w:firstLine="720"/>
        <w:jc w:val="both"/>
        <w:rPr>
          <w:rFonts w:ascii="Times New Roman" w:hAnsi="Times New Roman" w:cs="Times New Roman"/>
          <w:sz w:val="24"/>
          <w:szCs w:val="24"/>
        </w:rPr>
      </w:pPr>
      <w:r w:rsidRPr="00DA7294">
        <w:rPr>
          <w:rFonts w:ascii="Times New Roman" w:hAnsi="Times New Roman" w:cs="Times New Roman"/>
          <w:sz w:val="24"/>
          <w:szCs w:val="24"/>
        </w:rPr>
        <w:t>The consistently high dissolved oxygen concentrations (5.</w:t>
      </w:r>
      <w:r w:rsidR="003A3FFF">
        <w:rPr>
          <w:rFonts w:ascii="Times New Roman" w:hAnsi="Times New Roman" w:cs="Times New Roman"/>
          <w:sz w:val="24"/>
          <w:szCs w:val="24"/>
        </w:rPr>
        <w:t>3</w:t>
      </w:r>
      <w:r w:rsidR="003A3FFF" w:rsidRPr="00E23B8D">
        <w:rPr>
          <w:rFonts w:ascii="Times New Roman" w:hAnsi="Times New Roman" w:cs="Times New Roman"/>
          <w:sz w:val="24"/>
          <w:szCs w:val="24"/>
        </w:rPr>
        <w:t>–</w:t>
      </w:r>
      <w:r w:rsidRPr="00DA7294">
        <w:rPr>
          <w:rFonts w:ascii="Times New Roman" w:hAnsi="Times New Roman" w:cs="Times New Roman"/>
          <w:sz w:val="24"/>
          <w:szCs w:val="24"/>
        </w:rPr>
        <w:t>6.</w:t>
      </w:r>
      <w:r w:rsidR="003A3FFF">
        <w:rPr>
          <w:rFonts w:ascii="Times New Roman" w:hAnsi="Times New Roman" w:cs="Times New Roman"/>
          <w:sz w:val="24"/>
          <w:szCs w:val="24"/>
        </w:rPr>
        <w:t>2</w:t>
      </w:r>
      <w:r w:rsidRPr="00DA7294">
        <w:rPr>
          <w:rFonts w:ascii="Times New Roman" w:hAnsi="Times New Roman" w:cs="Times New Roman"/>
          <w:sz w:val="24"/>
          <w:szCs w:val="24"/>
        </w:rPr>
        <w:t xml:space="preserve"> mg L⁻¹) recorded during the study exceeded the minimum requirement of 4.0 mg L⁻¹ recommended for warm-water fish culture (Boyd, 1998), indicating that oxygen availability was not a limiting factor for fish growth. Such conditions likely supported efficient energy production, active feeding behaviour, and nutrient assimilation while minimizing physiological stress, thereby allowing </w:t>
      </w:r>
      <w:r w:rsidRPr="00DA7294">
        <w:rPr>
          <w:rFonts w:ascii="Times New Roman" w:hAnsi="Times New Roman" w:cs="Times New Roman"/>
          <w:sz w:val="24"/>
          <w:szCs w:val="24"/>
        </w:rPr>
        <w:lastRenderedPageBreak/>
        <w:t>growth performance to reflect the effects of the experimental cage materials rather than environmental oxygen limitations.</w:t>
      </w:r>
      <w:r w:rsidR="00C90265" w:rsidRPr="00C90265">
        <w:t xml:space="preserve"> </w:t>
      </w:r>
      <w:r w:rsidR="00C90265" w:rsidRPr="00C90265">
        <w:rPr>
          <w:rFonts w:ascii="Times New Roman" w:hAnsi="Times New Roman" w:cs="Times New Roman"/>
          <w:sz w:val="24"/>
          <w:szCs w:val="24"/>
        </w:rPr>
        <w:t xml:space="preserve">According to Zannat et al. (2023), dissolved oxygen concentrations below 4 mg L⁻¹ in cage culture systems can induce sublethal stress and reduce voluntary feed intake in cultured fish. However, </w:t>
      </w:r>
      <w:proofErr w:type="spellStart"/>
      <w:r w:rsidR="00C90265" w:rsidRPr="00C90265">
        <w:rPr>
          <w:rFonts w:ascii="Times New Roman" w:hAnsi="Times New Roman" w:cs="Times New Roman"/>
          <w:i/>
          <w:iCs/>
          <w:sz w:val="24"/>
          <w:szCs w:val="24"/>
        </w:rPr>
        <w:t>Pangasianodon</w:t>
      </w:r>
      <w:proofErr w:type="spellEnd"/>
      <w:r w:rsidR="00C90265" w:rsidRPr="00C90265">
        <w:rPr>
          <w:rFonts w:ascii="Times New Roman" w:hAnsi="Times New Roman" w:cs="Times New Roman"/>
          <w:i/>
          <w:iCs/>
          <w:sz w:val="24"/>
          <w:szCs w:val="24"/>
        </w:rPr>
        <w:t xml:space="preserve"> </w:t>
      </w:r>
      <w:proofErr w:type="spellStart"/>
      <w:r w:rsidR="00C90265" w:rsidRPr="00C90265">
        <w:rPr>
          <w:rFonts w:ascii="Times New Roman" w:hAnsi="Times New Roman" w:cs="Times New Roman"/>
          <w:i/>
          <w:iCs/>
          <w:sz w:val="24"/>
          <w:szCs w:val="24"/>
        </w:rPr>
        <w:t>hypophthalmus</w:t>
      </w:r>
      <w:proofErr w:type="spellEnd"/>
      <w:r w:rsidR="00C90265" w:rsidRPr="00C90265">
        <w:rPr>
          <w:rFonts w:ascii="Times New Roman" w:hAnsi="Times New Roman" w:cs="Times New Roman"/>
          <w:sz w:val="24"/>
          <w:szCs w:val="24"/>
        </w:rPr>
        <w:t xml:space="preserve"> exhibits greater resilience to transient hypoxic conditions owing to its facultative air-breathing capability, which helps maintain physiological function under short-term oxygen depletion.</w:t>
      </w:r>
    </w:p>
    <w:p w14:paraId="61188724" w14:textId="179AE18F" w:rsidR="001872A6" w:rsidRDefault="0075340D" w:rsidP="00AE1BA5">
      <w:pPr>
        <w:spacing w:line="360" w:lineRule="auto"/>
        <w:ind w:firstLine="720"/>
        <w:jc w:val="both"/>
        <w:rPr>
          <w:rFonts w:ascii="Times New Roman" w:hAnsi="Times New Roman" w:cs="Times New Roman"/>
          <w:i/>
          <w:iCs/>
          <w:sz w:val="24"/>
          <w:szCs w:val="24"/>
        </w:rPr>
      </w:pPr>
      <w:r>
        <w:rPr>
          <w:rFonts w:ascii="Times New Roman" w:hAnsi="Times New Roman" w:cs="Times New Roman"/>
          <w:sz w:val="24"/>
          <w:szCs w:val="24"/>
        </w:rPr>
        <w:t>Wa</w:t>
      </w:r>
      <w:r w:rsidR="00DF7E7E">
        <w:rPr>
          <w:rFonts w:ascii="Times New Roman" w:hAnsi="Times New Roman" w:cs="Times New Roman"/>
          <w:sz w:val="24"/>
          <w:szCs w:val="24"/>
        </w:rPr>
        <w:t>ter temperature recorded in the range from 27</w:t>
      </w:r>
      <w:r w:rsidR="001C6692">
        <w:rPr>
          <w:rFonts w:ascii="Times New Roman" w:hAnsi="Times New Roman" w:cs="Times New Roman"/>
          <w:sz w:val="24"/>
          <w:szCs w:val="24"/>
        </w:rPr>
        <w:t>℃</w:t>
      </w:r>
      <w:r w:rsidR="00DF7E7E">
        <w:rPr>
          <w:rFonts w:ascii="Times New Roman" w:hAnsi="Times New Roman" w:cs="Times New Roman"/>
          <w:sz w:val="24"/>
          <w:szCs w:val="24"/>
        </w:rPr>
        <w:t xml:space="preserve"> to </w:t>
      </w:r>
      <w:r w:rsidR="001C6692">
        <w:rPr>
          <w:rFonts w:ascii="Times New Roman" w:hAnsi="Times New Roman" w:cs="Times New Roman"/>
          <w:sz w:val="24"/>
          <w:szCs w:val="24"/>
        </w:rPr>
        <w:t xml:space="preserve">31℃, which is similar to </w:t>
      </w:r>
      <w:r w:rsidR="001872A6">
        <w:rPr>
          <w:rFonts w:ascii="Times New Roman" w:hAnsi="Times New Roman" w:cs="Times New Roman"/>
          <w:sz w:val="24"/>
          <w:szCs w:val="24"/>
        </w:rPr>
        <w:t>Islam et al.</w:t>
      </w:r>
      <w:r w:rsidR="005F441F">
        <w:rPr>
          <w:rFonts w:ascii="Times New Roman" w:hAnsi="Times New Roman" w:cs="Times New Roman"/>
          <w:sz w:val="24"/>
          <w:szCs w:val="24"/>
        </w:rPr>
        <w:t xml:space="preserve"> </w:t>
      </w:r>
      <w:r w:rsidR="001872A6">
        <w:rPr>
          <w:rFonts w:ascii="Times New Roman" w:hAnsi="Times New Roman" w:cs="Times New Roman"/>
          <w:sz w:val="24"/>
          <w:szCs w:val="24"/>
        </w:rPr>
        <w:t xml:space="preserve">(2019) </w:t>
      </w:r>
      <w:r w:rsidR="001C6692">
        <w:rPr>
          <w:rFonts w:ascii="Times New Roman" w:hAnsi="Times New Roman" w:cs="Times New Roman"/>
          <w:sz w:val="24"/>
          <w:szCs w:val="24"/>
        </w:rPr>
        <w:t xml:space="preserve">who </w:t>
      </w:r>
      <w:r w:rsidR="001872A6">
        <w:rPr>
          <w:rFonts w:ascii="Times New Roman" w:hAnsi="Times New Roman" w:cs="Times New Roman"/>
          <w:sz w:val="24"/>
          <w:szCs w:val="24"/>
        </w:rPr>
        <w:t xml:space="preserve">confirmed that </w:t>
      </w:r>
      <w:r w:rsidR="004C2CF7">
        <w:rPr>
          <w:rFonts w:ascii="Times New Roman" w:hAnsi="Times New Roman" w:cs="Times New Roman"/>
          <w:sz w:val="24"/>
          <w:szCs w:val="24"/>
        </w:rPr>
        <w:t xml:space="preserve">temperature of 28 </w:t>
      </w:r>
      <w:r w:rsidR="00CA0D26">
        <w:rPr>
          <w:rFonts w:ascii="Times New Roman" w:hAnsi="Times New Roman" w:cs="Times New Roman"/>
          <w:sz w:val="24"/>
          <w:szCs w:val="24"/>
        </w:rPr>
        <w:t xml:space="preserve">℃ </w:t>
      </w:r>
      <w:r w:rsidR="004C2CF7">
        <w:rPr>
          <w:rFonts w:ascii="Times New Roman" w:hAnsi="Times New Roman" w:cs="Times New Roman"/>
          <w:sz w:val="24"/>
          <w:szCs w:val="24"/>
        </w:rPr>
        <w:t xml:space="preserve">and 32 </w:t>
      </w:r>
      <w:r w:rsidR="00CA0D26">
        <w:rPr>
          <w:rFonts w:ascii="Times New Roman" w:hAnsi="Times New Roman" w:cs="Times New Roman"/>
          <w:sz w:val="24"/>
          <w:szCs w:val="24"/>
        </w:rPr>
        <w:t xml:space="preserve">℃ </w:t>
      </w:r>
      <w:r w:rsidR="004C2CF7">
        <w:rPr>
          <w:rFonts w:ascii="Times New Roman" w:hAnsi="Times New Roman" w:cs="Times New Roman"/>
          <w:sz w:val="24"/>
          <w:szCs w:val="24"/>
        </w:rPr>
        <w:t>leads to better growth</w:t>
      </w:r>
      <w:r w:rsidR="005F441F">
        <w:rPr>
          <w:rFonts w:ascii="Times New Roman" w:hAnsi="Times New Roman" w:cs="Times New Roman"/>
          <w:sz w:val="24"/>
          <w:szCs w:val="24"/>
        </w:rPr>
        <w:t xml:space="preserve"> in </w:t>
      </w:r>
      <w:r w:rsidR="005F441F" w:rsidRPr="005F441F">
        <w:rPr>
          <w:rFonts w:ascii="Times New Roman" w:hAnsi="Times New Roman" w:cs="Times New Roman"/>
          <w:i/>
          <w:iCs/>
          <w:sz w:val="24"/>
          <w:szCs w:val="24"/>
        </w:rPr>
        <w:t xml:space="preserve">pangasius </w:t>
      </w:r>
      <w:proofErr w:type="spellStart"/>
      <w:r w:rsidR="005F441F" w:rsidRPr="005F441F">
        <w:rPr>
          <w:rFonts w:ascii="Times New Roman" w:hAnsi="Times New Roman" w:cs="Times New Roman"/>
          <w:i/>
          <w:iCs/>
          <w:sz w:val="24"/>
          <w:szCs w:val="24"/>
        </w:rPr>
        <w:t>hypophthalamus</w:t>
      </w:r>
      <w:proofErr w:type="spellEnd"/>
      <w:r w:rsidR="0066617E" w:rsidRPr="0066617E">
        <w:rPr>
          <w:rFonts w:ascii="Times New Roman" w:hAnsi="Times New Roman" w:cs="Times New Roman"/>
          <w:sz w:val="24"/>
          <w:szCs w:val="24"/>
        </w:rPr>
        <w:t>.</w:t>
      </w:r>
    </w:p>
    <w:p w14:paraId="10575389" w14:textId="0F684B00" w:rsidR="005F441F" w:rsidRDefault="008F5039" w:rsidP="00AE1BA5">
      <w:pPr>
        <w:spacing w:line="360" w:lineRule="auto"/>
        <w:ind w:firstLine="720"/>
        <w:jc w:val="both"/>
        <w:rPr>
          <w:rFonts w:ascii="Times New Roman" w:hAnsi="Times New Roman" w:cs="Times New Roman"/>
          <w:sz w:val="24"/>
          <w:szCs w:val="22"/>
        </w:rPr>
      </w:pPr>
      <w:r w:rsidRPr="008F5039">
        <w:rPr>
          <w:rFonts w:ascii="Times New Roman" w:hAnsi="Times New Roman" w:cs="Times New Roman"/>
          <w:sz w:val="24"/>
          <w:szCs w:val="22"/>
        </w:rPr>
        <w:t xml:space="preserve">The </w:t>
      </w:r>
      <w:r w:rsidR="00CC07E2">
        <w:rPr>
          <w:rFonts w:ascii="Times New Roman" w:hAnsi="Times New Roman" w:cs="Times New Roman"/>
          <w:sz w:val="24"/>
          <w:szCs w:val="22"/>
        </w:rPr>
        <w:t>t</w:t>
      </w:r>
      <w:r>
        <w:rPr>
          <w:rFonts w:ascii="Times New Roman" w:hAnsi="Times New Roman" w:cs="Times New Roman"/>
          <w:sz w:val="24"/>
          <w:szCs w:val="22"/>
        </w:rPr>
        <w:t xml:space="preserve">otal </w:t>
      </w:r>
      <w:r w:rsidR="00CC07E2">
        <w:rPr>
          <w:rFonts w:ascii="Times New Roman" w:hAnsi="Times New Roman" w:cs="Times New Roman"/>
          <w:sz w:val="24"/>
          <w:szCs w:val="22"/>
        </w:rPr>
        <w:t xml:space="preserve">hardness recorded </w:t>
      </w:r>
      <w:r w:rsidR="001C6692">
        <w:rPr>
          <w:rFonts w:ascii="Times New Roman" w:hAnsi="Times New Roman" w:cs="Times New Roman"/>
          <w:sz w:val="24"/>
          <w:szCs w:val="22"/>
        </w:rPr>
        <w:t xml:space="preserve">in the range from </w:t>
      </w:r>
      <w:r w:rsidR="00CC07E2">
        <w:rPr>
          <w:rFonts w:ascii="Times New Roman" w:hAnsi="Times New Roman" w:cs="Times New Roman"/>
          <w:sz w:val="24"/>
          <w:szCs w:val="22"/>
        </w:rPr>
        <w:t>213</w:t>
      </w:r>
      <w:r w:rsidR="00F64002">
        <w:rPr>
          <w:rFonts w:ascii="Times New Roman" w:hAnsi="Times New Roman" w:cs="Times New Roman"/>
          <w:sz w:val="24"/>
          <w:szCs w:val="22"/>
        </w:rPr>
        <w:t>.25-</w:t>
      </w:r>
      <w:r w:rsidR="00055619">
        <w:rPr>
          <w:rFonts w:ascii="Times New Roman" w:hAnsi="Times New Roman" w:cs="Times New Roman"/>
          <w:sz w:val="24"/>
          <w:szCs w:val="22"/>
        </w:rPr>
        <w:t>218.50</w:t>
      </w:r>
      <w:r w:rsidR="00CC07E2">
        <w:rPr>
          <w:rFonts w:ascii="Times New Roman" w:hAnsi="Times New Roman" w:cs="Times New Roman"/>
          <w:sz w:val="24"/>
          <w:szCs w:val="22"/>
        </w:rPr>
        <w:t xml:space="preserve"> mg/L</w:t>
      </w:r>
      <w:r w:rsidR="002A0A03">
        <w:rPr>
          <w:rFonts w:ascii="Times New Roman" w:hAnsi="Times New Roman" w:cs="Times New Roman"/>
          <w:sz w:val="24"/>
          <w:szCs w:val="22"/>
        </w:rPr>
        <w:t xml:space="preserve"> which is well above the productive hardness range noted by Boyd (19</w:t>
      </w:r>
      <w:r w:rsidR="005474DA">
        <w:rPr>
          <w:rFonts w:ascii="Times New Roman" w:hAnsi="Times New Roman" w:cs="Times New Roman"/>
          <w:sz w:val="24"/>
          <w:szCs w:val="22"/>
        </w:rPr>
        <w:t>98).</w:t>
      </w:r>
      <w:r w:rsidR="00325A6D" w:rsidRPr="00325A6D">
        <w:t xml:space="preserve"> </w:t>
      </w:r>
      <w:r w:rsidR="00A868EA" w:rsidRPr="00A868EA">
        <w:rPr>
          <w:rFonts w:ascii="Times New Roman" w:hAnsi="Times New Roman" w:cs="Times New Roman"/>
          <w:sz w:val="24"/>
          <w:szCs w:val="22"/>
        </w:rPr>
        <w:t>Adequate water hardness throughout the culture period likely enhanced the physicochemical stability of the rearing environment by buffering against rapid pH fluctuations. Moreover, the availability of calcium and magnesium ions plays a critical role in skeletal mineralization, scale development, and ion</w:t>
      </w:r>
      <w:r w:rsidR="00F64002">
        <w:rPr>
          <w:rFonts w:ascii="Times New Roman" w:hAnsi="Times New Roman" w:cs="Times New Roman"/>
          <w:sz w:val="24"/>
          <w:szCs w:val="22"/>
        </w:rPr>
        <w:t>-</w:t>
      </w:r>
      <w:r w:rsidR="00A868EA" w:rsidRPr="00A868EA">
        <w:rPr>
          <w:rFonts w:ascii="Times New Roman" w:hAnsi="Times New Roman" w:cs="Times New Roman"/>
          <w:sz w:val="24"/>
          <w:szCs w:val="22"/>
        </w:rPr>
        <w:t xml:space="preserve">regulatory processes, thereby supporting normal physiological function and promoting optimal growth in </w:t>
      </w:r>
      <w:proofErr w:type="spellStart"/>
      <w:r w:rsidR="00A868EA" w:rsidRPr="00A868EA">
        <w:rPr>
          <w:rFonts w:ascii="Times New Roman" w:hAnsi="Times New Roman" w:cs="Times New Roman"/>
          <w:i/>
          <w:iCs/>
          <w:sz w:val="24"/>
          <w:szCs w:val="22"/>
        </w:rPr>
        <w:t>Pangasianodon</w:t>
      </w:r>
      <w:proofErr w:type="spellEnd"/>
      <w:r w:rsidR="00A868EA" w:rsidRPr="00A868EA">
        <w:rPr>
          <w:rFonts w:ascii="Times New Roman" w:hAnsi="Times New Roman" w:cs="Times New Roman"/>
          <w:i/>
          <w:iCs/>
          <w:sz w:val="24"/>
          <w:szCs w:val="22"/>
        </w:rPr>
        <w:t xml:space="preserve"> </w:t>
      </w:r>
      <w:proofErr w:type="spellStart"/>
      <w:r w:rsidR="00A868EA" w:rsidRPr="00A868EA">
        <w:rPr>
          <w:rFonts w:ascii="Times New Roman" w:hAnsi="Times New Roman" w:cs="Times New Roman"/>
          <w:i/>
          <w:iCs/>
          <w:sz w:val="24"/>
          <w:szCs w:val="22"/>
        </w:rPr>
        <w:t>hypophthalmus</w:t>
      </w:r>
      <w:proofErr w:type="spellEnd"/>
      <w:r w:rsidR="00A868EA" w:rsidRPr="00A868EA">
        <w:rPr>
          <w:rFonts w:ascii="Times New Roman" w:hAnsi="Times New Roman" w:cs="Times New Roman"/>
          <w:sz w:val="24"/>
          <w:szCs w:val="22"/>
        </w:rPr>
        <w:t xml:space="preserve"> fingerlings.</w:t>
      </w:r>
    </w:p>
    <w:p w14:paraId="6EBAFF97" w14:textId="364D27CC" w:rsidR="008E74F1" w:rsidRPr="008E74F1" w:rsidRDefault="008E74F1" w:rsidP="00AE1BA5">
      <w:pPr>
        <w:spacing w:line="360" w:lineRule="auto"/>
        <w:ind w:firstLine="720"/>
        <w:jc w:val="both"/>
        <w:rPr>
          <w:rFonts w:ascii="Times New Roman" w:hAnsi="Times New Roman" w:cs="Times New Roman"/>
          <w:sz w:val="24"/>
          <w:szCs w:val="24"/>
        </w:rPr>
      </w:pPr>
      <w:r w:rsidRPr="008E74F1">
        <w:rPr>
          <w:rFonts w:ascii="Times New Roman" w:hAnsi="Times New Roman" w:cs="Times New Roman"/>
          <w:sz w:val="24"/>
          <w:szCs w:val="24"/>
        </w:rPr>
        <w:t>The total alkalinity recorded during the study (</w:t>
      </w:r>
      <w:r w:rsidR="00055619">
        <w:rPr>
          <w:rFonts w:ascii="Times New Roman" w:hAnsi="Times New Roman" w:cs="Times New Roman"/>
          <w:sz w:val="24"/>
          <w:szCs w:val="24"/>
        </w:rPr>
        <w:t>93</w:t>
      </w:r>
      <w:r>
        <w:rPr>
          <w:rFonts w:ascii="Times New Roman" w:hAnsi="Times New Roman" w:cs="Times New Roman"/>
          <w:sz w:val="24"/>
          <w:szCs w:val="24"/>
        </w:rPr>
        <w:t>-</w:t>
      </w:r>
      <w:r w:rsidRPr="008E74F1">
        <w:rPr>
          <w:rFonts w:ascii="Times New Roman" w:hAnsi="Times New Roman" w:cs="Times New Roman"/>
          <w:sz w:val="24"/>
          <w:szCs w:val="24"/>
        </w:rPr>
        <w:t>1</w:t>
      </w:r>
      <w:r w:rsidR="00055619">
        <w:rPr>
          <w:rFonts w:ascii="Times New Roman" w:hAnsi="Times New Roman" w:cs="Times New Roman"/>
          <w:sz w:val="24"/>
          <w:szCs w:val="24"/>
        </w:rPr>
        <w:t>22</w:t>
      </w:r>
      <w:r w:rsidRPr="008E74F1">
        <w:rPr>
          <w:rFonts w:ascii="Times New Roman" w:hAnsi="Times New Roman" w:cs="Times New Roman"/>
          <w:sz w:val="24"/>
          <w:szCs w:val="24"/>
        </w:rPr>
        <w:t xml:space="preserve"> mg</w:t>
      </w:r>
      <w:r w:rsidR="00055619">
        <w:rPr>
          <w:rFonts w:ascii="Times New Roman" w:hAnsi="Times New Roman" w:cs="Times New Roman"/>
          <w:sz w:val="24"/>
          <w:szCs w:val="24"/>
        </w:rPr>
        <w:t>/L</w:t>
      </w:r>
      <w:r w:rsidRPr="008E74F1">
        <w:rPr>
          <w:rFonts w:ascii="Times New Roman" w:hAnsi="Times New Roman" w:cs="Times New Roman"/>
          <w:sz w:val="24"/>
          <w:szCs w:val="24"/>
        </w:rPr>
        <w:t>) remained within the optimum range recommended for warm-water fish culture (75</w:t>
      </w:r>
      <w:r>
        <w:rPr>
          <w:rFonts w:ascii="Times New Roman" w:hAnsi="Times New Roman" w:cs="Times New Roman"/>
          <w:sz w:val="24"/>
          <w:szCs w:val="24"/>
        </w:rPr>
        <w:t>-</w:t>
      </w:r>
      <w:r w:rsidRPr="008E74F1">
        <w:rPr>
          <w:rFonts w:ascii="Times New Roman" w:hAnsi="Times New Roman" w:cs="Times New Roman"/>
          <w:sz w:val="24"/>
          <w:szCs w:val="24"/>
        </w:rPr>
        <w:t>150 mg</w:t>
      </w:r>
      <w:r w:rsidR="00055619">
        <w:rPr>
          <w:rFonts w:ascii="Times New Roman" w:hAnsi="Times New Roman" w:cs="Times New Roman"/>
          <w:sz w:val="24"/>
          <w:szCs w:val="24"/>
        </w:rPr>
        <w:t>/L</w:t>
      </w:r>
      <w:r w:rsidRPr="008E74F1">
        <w:rPr>
          <w:rFonts w:ascii="Times New Roman" w:hAnsi="Times New Roman" w:cs="Times New Roman"/>
          <w:sz w:val="24"/>
          <w:szCs w:val="24"/>
        </w:rPr>
        <w:t xml:space="preserve">; Boyd, 1998) and was comparable to values reported from commercial </w:t>
      </w:r>
      <w:proofErr w:type="spellStart"/>
      <w:r w:rsidRPr="008E74F1">
        <w:rPr>
          <w:rFonts w:ascii="Times New Roman" w:hAnsi="Times New Roman" w:cs="Times New Roman"/>
          <w:i/>
          <w:iCs/>
          <w:sz w:val="24"/>
          <w:szCs w:val="24"/>
        </w:rPr>
        <w:t>Pangasianodon</w:t>
      </w:r>
      <w:proofErr w:type="spellEnd"/>
      <w:r w:rsidRPr="008E74F1">
        <w:rPr>
          <w:rFonts w:ascii="Times New Roman" w:hAnsi="Times New Roman" w:cs="Times New Roman"/>
          <w:i/>
          <w:iCs/>
          <w:sz w:val="24"/>
          <w:szCs w:val="24"/>
        </w:rPr>
        <w:t xml:space="preserve"> </w:t>
      </w:r>
      <w:proofErr w:type="spellStart"/>
      <w:r w:rsidRPr="008E74F1">
        <w:rPr>
          <w:rFonts w:ascii="Times New Roman" w:hAnsi="Times New Roman" w:cs="Times New Roman"/>
          <w:i/>
          <w:iCs/>
          <w:sz w:val="24"/>
          <w:szCs w:val="24"/>
        </w:rPr>
        <w:t>hypophthalmus</w:t>
      </w:r>
      <w:proofErr w:type="spellEnd"/>
      <w:r w:rsidRPr="008E74F1">
        <w:rPr>
          <w:rFonts w:ascii="Times New Roman" w:hAnsi="Times New Roman" w:cs="Times New Roman"/>
          <w:sz w:val="24"/>
          <w:szCs w:val="24"/>
        </w:rPr>
        <w:t xml:space="preserve"> production ponds in the Mekong Delta (Swain et al., 2025). Adequate alkalinity is essential for maintaining the acid</w:t>
      </w:r>
      <w:r w:rsidR="00055619">
        <w:rPr>
          <w:rFonts w:ascii="Times New Roman" w:hAnsi="Times New Roman" w:cs="Times New Roman"/>
          <w:sz w:val="24"/>
          <w:szCs w:val="24"/>
        </w:rPr>
        <w:t>-</w:t>
      </w:r>
      <w:r w:rsidRPr="008E74F1">
        <w:rPr>
          <w:rFonts w:ascii="Times New Roman" w:hAnsi="Times New Roman" w:cs="Times New Roman"/>
          <w:sz w:val="24"/>
          <w:szCs w:val="24"/>
        </w:rPr>
        <w:t>base balance of aquatic systems by buffering hydrogen ions released during microbial decomposition and other biogeochemical processes. This buffering capacity likely contributed to the minimal temporal variation in pH observed throughout the experimental period, thereby providing a stable water chemistry that supported normal physiological function and optimal growth of the cultured fish.</w:t>
      </w:r>
    </w:p>
    <w:p w14:paraId="60F7FDDD" w14:textId="61AAD6DE" w:rsidR="00376877" w:rsidRPr="00C32F46" w:rsidRDefault="00376877"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4.</w:t>
      </w:r>
      <w:r w:rsidR="0020618A">
        <w:rPr>
          <w:rFonts w:ascii="Times New Roman" w:hAnsi="Times New Roman" w:cs="Times New Roman"/>
          <w:b/>
          <w:bCs/>
          <w:sz w:val="24"/>
          <w:szCs w:val="24"/>
        </w:rPr>
        <w:t>6</w:t>
      </w:r>
      <w:r w:rsidR="00BE6063">
        <w:rPr>
          <w:rFonts w:ascii="Times New Roman" w:hAnsi="Times New Roman" w:cs="Times New Roman"/>
          <w:b/>
          <w:bCs/>
          <w:sz w:val="24"/>
          <w:szCs w:val="24"/>
        </w:rPr>
        <w:t xml:space="preserve"> </w:t>
      </w:r>
      <w:r w:rsidRPr="00C32F46">
        <w:rPr>
          <w:rFonts w:ascii="Times New Roman" w:hAnsi="Times New Roman" w:cs="Times New Roman"/>
          <w:b/>
          <w:bCs/>
          <w:sz w:val="24"/>
          <w:szCs w:val="24"/>
        </w:rPr>
        <w:t>Why Does UPVC Perform Best?</w:t>
      </w:r>
    </w:p>
    <w:p w14:paraId="360408E9" w14:textId="67429517" w:rsidR="00B34189" w:rsidRPr="003400E4" w:rsidRDefault="00422D68"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r>
      <w:r w:rsidR="00376877" w:rsidRPr="00C32F46">
        <w:rPr>
          <w:rFonts w:ascii="Times New Roman" w:hAnsi="Times New Roman" w:cs="Times New Roman"/>
          <w:sz w:val="24"/>
          <w:szCs w:val="24"/>
        </w:rPr>
        <w:t xml:space="preserve">UPVC is a chemically inert, non-corrosive polymer with a smooth surface that prevents mechanical abrasion during fish movement along the cage wall, so protecting the fish's epidermal mucous layer and scale cover, which serve as its primary defence against infection. Mechanical strength, corrosion resistance, and non-toxicity are significant criteria for frame material selection in cage aquaculture systems, with PVC and HDPE outperforming metallic options in terms of corrosion resistance (Kumar &amp; Karnatak, 2014). The chemical inertness of </w:t>
      </w:r>
      <w:r w:rsidR="00376877" w:rsidRPr="00C32F46">
        <w:rPr>
          <w:rFonts w:ascii="Times New Roman" w:hAnsi="Times New Roman" w:cs="Times New Roman"/>
          <w:sz w:val="24"/>
          <w:szCs w:val="24"/>
        </w:rPr>
        <w:lastRenderedPageBreak/>
        <w:t>UPVC reduces the risk of hazardous ion leaching under the slightly alkaline circumstances observed (pH 7.4</w:t>
      </w:r>
      <w:r w:rsidR="009F0E5E">
        <w:rPr>
          <w:rFonts w:ascii="Times New Roman" w:hAnsi="Times New Roman" w:cs="Times New Roman"/>
          <w:sz w:val="24"/>
          <w:szCs w:val="24"/>
        </w:rPr>
        <w:t>5</w:t>
      </w:r>
      <w:r w:rsidR="00376877" w:rsidRPr="00C32F46">
        <w:rPr>
          <w:rFonts w:ascii="Times New Roman" w:hAnsi="Times New Roman" w:cs="Times New Roman"/>
          <w:sz w:val="24"/>
          <w:szCs w:val="24"/>
        </w:rPr>
        <w:t>-7.7</w:t>
      </w:r>
      <w:r w:rsidR="009F0E5E">
        <w:rPr>
          <w:rFonts w:ascii="Times New Roman" w:hAnsi="Times New Roman" w:cs="Times New Roman"/>
          <w:sz w:val="24"/>
          <w:szCs w:val="24"/>
        </w:rPr>
        <w:t>5</w:t>
      </w:r>
      <w:r w:rsidR="00376877" w:rsidRPr="00C32F46">
        <w:rPr>
          <w:rFonts w:ascii="Times New Roman" w:hAnsi="Times New Roman" w:cs="Times New Roman"/>
          <w:sz w:val="24"/>
          <w:szCs w:val="24"/>
        </w:rPr>
        <w:t>). These characteristics are compatible with a lower-stress cage environment in which a greater proportion of metabolic energy is accessible for growth.</w:t>
      </w:r>
    </w:p>
    <w:p w14:paraId="4532A7CF" w14:textId="4CA836C1" w:rsidR="00376877" w:rsidRPr="00C32F46" w:rsidRDefault="00376877"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4.</w:t>
      </w:r>
      <w:r w:rsidR="0020618A">
        <w:rPr>
          <w:rFonts w:ascii="Times New Roman" w:hAnsi="Times New Roman" w:cs="Times New Roman"/>
          <w:b/>
          <w:bCs/>
          <w:sz w:val="24"/>
          <w:szCs w:val="24"/>
        </w:rPr>
        <w:t>7</w:t>
      </w:r>
      <w:r w:rsidRPr="00C32F46">
        <w:rPr>
          <w:rFonts w:ascii="Times New Roman" w:hAnsi="Times New Roman" w:cs="Times New Roman"/>
          <w:b/>
          <w:bCs/>
          <w:sz w:val="24"/>
          <w:szCs w:val="24"/>
        </w:rPr>
        <w:t xml:space="preserve"> Bamboo: A Practical Alternative</w:t>
      </w:r>
    </w:p>
    <w:p w14:paraId="11F46A34" w14:textId="439A76BC" w:rsidR="00CC4D59" w:rsidRPr="00C32F46" w:rsidRDefault="00422D68"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r>
      <w:r w:rsidR="00376877" w:rsidRPr="00C32F46">
        <w:rPr>
          <w:rFonts w:ascii="Times New Roman" w:hAnsi="Times New Roman" w:cs="Times New Roman"/>
          <w:sz w:val="24"/>
          <w:szCs w:val="24"/>
        </w:rPr>
        <w:t>Bamboo outperformed GI in all parameters, lagging UPVC only marginally. Debnath (2025) found 86.8 ± 2.1% survival and 2.26 ± 0.14 FCR for bamboo-caged Indian major carp in a Northeast Indian forest water body, indicating bamboo as a low-input choice. Bamboo provides a realistic, locally available, low-cost option for smallholder farmers in areas where UPVC's capital cost may be prohibitive; the growth percentage (73.33%) and survival (91.85%) shown here support its economic sustainability for short-term experiments. Its main disadvantage is structural durability, since it is susceptible to fungal rot and loses integrity after extended submersion, limiting its service life in comparison to synthetic frames.</w:t>
      </w:r>
    </w:p>
    <w:p w14:paraId="3B22A996" w14:textId="514C2E0A" w:rsidR="00CC4D59" w:rsidRPr="00C32F46" w:rsidRDefault="00CC4D59" w:rsidP="00AE1BA5">
      <w:pPr>
        <w:spacing w:line="360" w:lineRule="auto"/>
        <w:jc w:val="both"/>
        <w:rPr>
          <w:rFonts w:ascii="Times New Roman" w:hAnsi="Times New Roman" w:cs="Times New Roman"/>
          <w:b/>
          <w:bCs/>
          <w:sz w:val="24"/>
          <w:szCs w:val="24"/>
        </w:rPr>
      </w:pPr>
      <w:proofErr w:type="gramStart"/>
      <w:r w:rsidRPr="00C32F46">
        <w:rPr>
          <w:rFonts w:ascii="Times New Roman" w:hAnsi="Times New Roman" w:cs="Times New Roman"/>
          <w:b/>
          <w:bCs/>
          <w:sz w:val="24"/>
          <w:szCs w:val="24"/>
        </w:rPr>
        <w:t>4.</w:t>
      </w:r>
      <w:r w:rsidR="0020618A">
        <w:rPr>
          <w:rFonts w:ascii="Times New Roman" w:hAnsi="Times New Roman" w:cs="Times New Roman"/>
          <w:b/>
          <w:bCs/>
          <w:sz w:val="24"/>
          <w:szCs w:val="24"/>
        </w:rPr>
        <w:t>8</w:t>
      </w:r>
      <w:r w:rsidR="00995F07">
        <w:rPr>
          <w:rFonts w:ascii="Times New Roman" w:hAnsi="Times New Roman" w:cs="Times New Roman"/>
          <w:b/>
          <w:bCs/>
          <w:sz w:val="24"/>
          <w:szCs w:val="24"/>
        </w:rPr>
        <w:t xml:space="preserve"> </w:t>
      </w:r>
      <w:r w:rsidRPr="00C32F46">
        <w:rPr>
          <w:rFonts w:ascii="Times New Roman" w:hAnsi="Times New Roman" w:cs="Times New Roman"/>
          <w:b/>
          <w:bCs/>
          <w:sz w:val="24"/>
          <w:szCs w:val="24"/>
        </w:rPr>
        <w:t xml:space="preserve"> Limitations</w:t>
      </w:r>
      <w:proofErr w:type="gramEnd"/>
      <w:r w:rsidRPr="00C32F46">
        <w:rPr>
          <w:rFonts w:ascii="Times New Roman" w:hAnsi="Times New Roman" w:cs="Times New Roman"/>
          <w:b/>
          <w:bCs/>
          <w:sz w:val="24"/>
          <w:szCs w:val="24"/>
        </w:rPr>
        <w:t xml:space="preserve"> of GI Cages: Practical Recommendations</w:t>
      </w:r>
    </w:p>
    <w:p w14:paraId="6B13A506" w14:textId="17C9EB7B" w:rsidR="00CC4D59" w:rsidRPr="00C32F46" w:rsidRDefault="00422D68"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r>
      <w:r w:rsidR="00CC4D59" w:rsidRPr="00C32F46">
        <w:rPr>
          <w:rFonts w:ascii="Times New Roman" w:hAnsi="Times New Roman" w:cs="Times New Roman"/>
          <w:sz w:val="24"/>
          <w:szCs w:val="24"/>
        </w:rPr>
        <w:t xml:space="preserve">Direct comparisons of cage frame materials for Pangasius spp. are uncommon in the literature; most existing studies, including the floating net cage trial at Mahi Bajaj Sagar Dam (Vaishnav </w:t>
      </w:r>
      <w:r w:rsidR="00CC4D59" w:rsidRPr="00C32F46">
        <w:rPr>
          <w:rFonts w:ascii="Times New Roman" w:hAnsi="Times New Roman" w:cs="Times New Roman"/>
          <w:i/>
          <w:iCs/>
          <w:sz w:val="24"/>
          <w:szCs w:val="24"/>
        </w:rPr>
        <w:t xml:space="preserve">et al., </w:t>
      </w:r>
      <w:r w:rsidR="00CC4D59" w:rsidRPr="00C32F46">
        <w:rPr>
          <w:rFonts w:ascii="Times New Roman" w:hAnsi="Times New Roman" w:cs="Times New Roman"/>
          <w:sz w:val="24"/>
          <w:szCs w:val="24"/>
        </w:rPr>
        <w:t>2017), have focused on stocking density and nutrition rather than frame or mesh material, indicating that this study fills a significant gap. According to engineering assessments, metal frames require a water-resistant coating and regular maintenance, and metal-ion leaching (iron, copper, zinc) has been linked to poor gill function and decreased growth in sensitive species. The abrasive GI surface, combined with potential zinc or iron leaching as coatings breakdown in alkaline circumstances, suggests a lower welfare environment that may limit growth, feed efficiency, and survival.</w:t>
      </w:r>
    </w:p>
    <w:p w14:paraId="4A33FCB9" w14:textId="77777777" w:rsidR="00CC4D59" w:rsidRPr="00C32F46" w:rsidRDefault="00CC4D59" w:rsidP="00AE1BA5">
      <w:pPr>
        <w:spacing w:line="360" w:lineRule="auto"/>
        <w:ind w:firstLine="720"/>
        <w:jc w:val="both"/>
        <w:rPr>
          <w:rFonts w:ascii="Times New Roman" w:hAnsi="Times New Roman" w:cs="Times New Roman"/>
          <w:sz w:val="24"/>
          <w:szCs w:val="24"/>
        </w:rPr>
      </w:pPr>
      <w:r w:rsidRPr="00C32F46">
        <w:rPr>
          <w:rFonts w:ascii="Times New Roman" w:hAnsi="Times New Roman" w:cs="Times New Roman"/>
          <w:sz w:val="24"/>
          <w:szCs w:val="24"/>
        </w:rPr>
        <w:t>Based on these findings, farmers who use GI cages should: (a) inspect and repair deteriorated mesh sections on a regular basis; (b) apply water-resistant protective coatings to metallic components to reduce abrasion and ion leaching; and (c) consider switching to UPVC or bamboo where economically feasible, especially at the fingerling stage when fish are most vulnerable to surface abrasion.</w:t>
      </w:r>
    </w:p>
    <w:p w14:paraId="7A3EC556" w14:textId="0C08ACDC" w:rsidR="00004B38" w:rsidRPr="00C32F46" w:rsidRDefault="00004B38" w:rsidP="00AE1BA5">
      <w:pPr>
        <w:spacing w:line="360" w:lineRule="auto"/>
        <w:jc w:val="both"/>
        <w:rPr>
          <w:rFonts w:ascii="Times New Roman" w:hAnsi="Times New Roman" w:cs="Times New Roman"/>
          <w:b/>
          <w:bCs/>
          <w:sz w:val="24"/>
          <w:szCs w:val="24"/>
        </w:rPr>
      </w:pPr>
      <w:r w:rsidRPr="00C32F46">
        <w:rPr>
          <w:rFonts w:ascii="Times New Roman" w:hAnsi="Times New Roman" w:cs="Times New Roman"/>
          <w:b/>
          <w:bCs/>
          <w:sz w:val="24"/>
          <w:szCs w:val="24"/>
        </w:rPr>
        <w:t>Conclusion</w:t>
      </w:r>
    </w:p>
    <w:p w14:paraId="774A98A0" w14:textId="1F572F0B" w:rsidR="00B53378" w:rsidRDefault="00422D68"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ab/>
      </w:r>
      <w:r w:rsidR="00B53378" w:rsidRPr="00C32F46">
        <w:rPr>
          <w:rFonts w:ascii="Times New Roman" w:hAnsi="Times New Roman" w:cs="Times New Roman"/>
          <w:sz w:val="24"/>
          <w:szCs w:val="24"/>
        </w:rPr>
        <w:t xml:space="preserve">This study demonstrates that irrigation canals are an ideal setting for cage culture of </w:t>
      </w:r>
      <w:proofErr w:type="spellStart"/>
      <w:r w:rsidR="00B53378" w:rsidRPr="00C32F46">
        <w:rPr>
          <w:rFonts w:ascii="Times New Roman" w:hAnsi="Times New Roman" w:cs="Times New Roman"/>
          <w:i/>
          <w:iCs/>
          <w:sz w:val="24"/>
          <w:szCs w:val="24"/>
        </w:rPr>
        <w:t>Pangasi</w:t>
      </w:r>
      <w:r w:rsidR="00EE11C2">
        <w:rPr>
          <w:rFonts w:ascii="Times New Roman" w:hAnsi="Times New Roman" w:cs="Times New Roman"/>
          <w:i/>
          <w:iCs/>
          <w:sz w:val="24"/>
          <w:szCs w:val="24"/>
        </w:rPr>
        <w:t>anodon</w:t>
      </w:r>
      <w:proofErr w:type="spellEnd"/>
      <w:r w:rsidR="00EE11C2">
        <w:rPr>
          <w:rFonts w:ascii="Times New Roman" w:hAnsi="Times New Roman" w:cs="Times New Roman"/>
          <w:i/>
          <w:iCs/>
          <w:sz w:val="24"/>
          <w:szCs w:val="24"/>
        </w:rPr>
        <w:t xml:space="preserve"> hypothalamus</w:t>
      </w:r>
      <w:r w:rsidR="00B53378" w:rsidRPr="00C32F46">
        <w:rPr>
          <w:rFonts w:ascii="Times New Roman" w:hAnsi="Times New Roman" w:cs="Times New Roman"/>
          <w:i/>
          <w:iCs/>
          <w:sz w:val="24"/>
          <w:szCs w:val="24"/>
        </w:rPr>
        <w:t>.,</w:t>
      </w:r>
      <w:r w:rsidR="00B53378" w:rsidRPr="00C32F46">
        <w:rPr>
          <w:rFonts w:ascii="Times New Roman" w:hAnsi="Times New Roman" w:cs="Times New Roman"/>
          <w:sz w:val="24"/>
          <w:szCs w:val="24"/>
        </w:rPr>
        <w:t xml:space="preserve"> with cage material having a substantial impact on growth, survival, feed utilisation, and production efficiency. </w:t>
      </w:r>
      <w:r w:rsidR="00CA0B26" w:rsidRPr="00C32F46">
        <w:rPr>
          <w:rFonts w:ascii="Times New Roman" w:hAnsi="Times New Roman" w:cs="Times New Roman"/>
          <w:sz w:val="24"/>
          <w:szCs w:val="24"/>
        </w:rPr>
        <w:t xml:space="preserve">These findings are consistent with UPVC's </w:t>
      </w:r>
      <w:r w:rsidR="00CA0B26" w:rsidRPr="00C32F46">
        <w:rPr>
          <w:rFonts w:ascii="Times New Roman" w:hAnsi="Times New Roman" w:cs="Times New Roman"/>
          <w:sz w:val="24"/>
          <w:szCs w:val="24"/>
        </w:rPr>
        <w:lastRenderedPageBreak/>
        <w:t>smooth, non-corrosive, and long-lasting surface, which promotes a more positive cultural environment. Given its local availability, bamboo remains a practical, low-cost alternative, but GI's inferior performance signals that it is less suitable for long-term use.</w:t>
      </w:r>
      <w:r w:rsidR="00EE11C2">
        <w:rPr>
          <w:rFonts w:ascii="Times New Roman" w:hAnsi="Times New Roman" w:cs="Times New Roman"/>
          <w:sz w:val="24"/>
          <w:szCs w:val="24"/>
        </w:rPr>
        <w:t xml:space="preserve"> </w:t>
      </w:r>
      <w:r w:rsidR="00B53378" w:rsidRPr="00C32F46">
        <w:rPr>
          <w:rFonts w:ascii="Times New Roman" w:hAnsi="Times New Roman" w:cs="Times New Roman"/>
          <w:sz w:val="24"/>
          <w:szCs w:val="24"/>
        </w:rPr>
        <w:t>UPVC is the ideal material overall, bamboo is a potential economic alternative when synthetic materials are prohibitively expensive, and GI is the least suitable for long-term culture. Future research should focus on long-term cage durability, commercial-scale economic analysis, and stocking density and feeding plan optimisation.</w:t>
      </w:r>
    </w:p>
    <w:p w14:paraId="3433157F" w14:textId="77777777" w:rsidR="00CA0F2C" w:rsidRPr="000839CE" w:rsidRDefault="00CA0F2C" w:rsidP="00CA0F2C">
      <w:pPr>
        <w:rPr>
          <w:rFonts w:ascii="Times New Roman" w:hAnsi="Times New Roman" w:cs="Times New Roman"/>
          <w:b/>
        </w:rPr>
      </w:pPr>
      <w:r w:rsidRPr="000839CE">
        <w:rPr>
          <w:rFonts w:ascii="Times New Roman" w:hAnsi="Times New Roman" w:cs="Times New Roman"/>
          <w:b/>
        </w:rPr>
        <w:t>Declaration of AI Use</w:t>
      </w:r>
    </w:p>
    <w:p w14:paraId="26CC89DF" w14:textId="77777777" w:rsidR="00CA0F2C" w:rsidRPr="000839CE" w:rsidRDefault="00CA0F2C" w:rsidP="00CA0F2C">
      <w:pPr>
        <w:rPr>
          <w:rFonts w:ascii="Times New Roman" w:hAnsi="Times New Roman" w:cs="Times New Roman"/>
        </w:rPr>
      </w:pPr>
    </w:p>
    <w:p w14:paraId="0FD1F699" w14:textId="77777777" w:rsidR="00CA0F2C" w:rsidRPr="000839CE" w:rsidRDefault="00CA0F2C" w:rsidP="00CA0F2C">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DF674A" w14:textId="77777777" w:rsidR="00CA0F2C" w:rsidRDefault="00CA0F2C" w:rsidP="00AE1BA5">
      <w:pPr>
        <w:spacing w:line="360" w:lineRule="auto"/>
        <w:jc w:val="both"/>
        <w:rPr>
          <w:rFonts w:ascii="Times New Roman" w:hAnsi="Times New Roman" w:cs="Times New Roman"/>
          <w:sz w:val="24"/>
          <w:szCs w:val="24"/>
        </w:rPr>
      </w:pPr>
    </w:p>
    <w:p w14:paraId="5D39871F" w14:textId="4A295D73" w:rsidR="005B368A" w:rsidRPr="00203CB8" w:rsidRDefault="00203CB8" w:rsidP="00AE1BA5">
      <w:pPr>
        <w:spacing w:line="360" w:lineRule="auto"/>
        <w:jc w:val="both"/>
        <w:rPr>
          <w:rFonts w:ascii="Times New Roman" w:hAnsi="Times New Roman" w:cs="Times New Roman"/>
          <w:b/>
          <w:bCs/>
          <w:sz w:val="24"/>
          <w:szCs w:val="24"/>
        </w:rPr>
      </w:pPr>
      <w:r w:rsidRPr="00203CB8">
        <w:rPr>
          <w:rFonts w:ascii="Times New Roman" w:hAnsi="Times New Roman" w:cs="Times New Roman"/>
          <w:b/>
          <w:bCs/>
          <w:sz w:val="24"/>
          <w:szCs w:val="24"/>
        </w:rPr>
        <w:t>Limitation</w:t>
      </w:r>
    </w:p>
    <w:p w14:paraId="11B26ED4" w14:textId="3AF138CE" w:rsidR="00203CB8" w:rsidRDefault="00203CB8" w:rsidP="00AE1BA5">
      <w:pPr>
        <w:spacing w:line="360" w:lineRule="auto"/>
        <w:jc w:val="both"/>
        <w:rPr>
          <w:rFonts w:ascii="Times New Roman" w:hAnsi="Times New Roman"/>
          <w:sz w:val="24"/>
          <w:szCs w:val="24"/>
        </w:rPr>
      </w:pPr>
      <w:r>
        <w:rPr>
          <w:rFonts w:ascii="Times New Roman" w:hAnsi="Times New Roman" w:cs="Times New Roman"/>
          <w:sz w:val="24"/>
          <w:szCs w:val="24"/>
        </w:rPr>
        <w:t xml:space="preserve">The conducted study only measures </w:t>
      </w:r>
      <w:r w:rsidR="00E030F0" w:rsidRPr="00C32F46">
        <w:rPr>
          <w:rFonts w:ascii="Times New Roman" w:hAnsi="Times New Roman"/>
          <w:sz w:val="24"/>
          <w:szCs w:val="24"/>
        </w:rPr>
        <w:t xml:space="preserve">structural performance </w:t>
      </w:r>
      <w:r w:rsidR="00E030F0">
        <w:rPr>
          <w:rFonts w:ascii="Times New Roman" w:hAnsi="Times New Roman"/>
          <w:sz w:val="24"/>
          <w:szCs w:val="24"/>
        </w:rPr>
        <w:t xml:space="preserve">of selected cage materials </w:t>
      </w:r>
      <w:r w:rsidR="00E030F0" w:rsidRPr="00C32F46">
        <w:rPr>
          <w:rFonts w:ascii="Times New Roman" w:hAnsi="Times New Roman"/>
          <w:sz w:val="24"/>
          <w:szCs w:val="24"/>
        </w:rPr>
        <w:t>under identical conditions.</w:t>
      </w:r>
      <w:r w:rsidR="00E030F0">
        <w:rPr>
          <w:rFonts w:ascii="Times New Roman" w:hAnsi="Times New Roman"/>
          <w:sz w:val="24"/>
          <w:szCs w:val="24"/>
        </w:rPr>
        <w:t xml:space="preserve"> </w:t>
      </w:r>
      <w:proofErr w:type="gramStart"/>
      <w:r w:rsidR="00E030F0">
        <w:rPr>
          <w:rFonts w:ascii="Times New Roman" w:hAnsi="Times New Roman"/>
          <w:sz w:val="24"/>
          <w:szCs w:val="24"/>
        </w:rPr>
        <w:t>It  is</w:t>
      </w:r>
      <w:proofErr w:type="gramEnd"/>
      <w:r w:rsidR="00E030F0">
        <w:rPr>
          <w:rFonts w:ascii="Times New Roman" w:hAnsi="Times New Roman"/>
          <w:sz w:val="24"/>
          <w:szCs w:val="24"/>
        </w:rPr>
        <w:t xml:space="preserve"> not </w:t>
      </w:r>
      <w:r w:rsidR="002A7C9B">
        <w:rPr>
          <w:rFonts w:ascii="Times New Roman" w:hAnsi="Times New Roman"/>
          <w:sz w:val="24"/>
          <w:szCs w:val="24"/>
        </w:rPr>
        <w:t>providing</w:t>
      </w:r>
      <w:r w:rsidR="00E030F0">
        <w:rPr>
          <w:rFonts w:ascii="Times New Roman" w:hAnsi="Times New Roman"/>
          <w:sz w:val="24"/>
          <w:szCs w:val="24"/>
        </w:rPr>
        <w:t xml:space="preserve"> economic </w:t>
      </w:r>
      <w:r w:rsidR="00440A0F">
        <w:rPr>
          <w:rFonts w:ascii="Times New Roman" w:hAnsi="Times New Roman"/>
          <w:sz w:val="24"/>
          <w:szCs w:val="24"/>
        </w:rPr>
        <w:t xml:space="preserve">feasibility for </w:t>
      </w:r>
      <w:r w:rsidR="00FA7E1A">
        <w:rPr>
          <w:rFonts w:ascii="Times New Roman" w:hAnsi="Times New Roman"/>
          <w:sz w:val="24"/>
          <w:szCs w:val="24"/>
        </w:rPr>
        <w:t>selected</w:t>
      </w:r>
      <w:r w:rsidR="00440A0F">
        <w:rPr>
          <w:rFonts w:ascii="Times New Roman" w:hAnsi="Times New Roman"/>
          <w:sz w:val="24"/>
          <w:szCs w:val="24"/>
        </w:rPr>
        <w:t xml:space="preserve"> cage materials.</w:t>
      </w:r>
    </w:p>
    <w:p w14:paraId="5E861667" w14:textId="77777777" w:rsidR="00966FD7" w:rsidRDefault="00966FD7" w:rsidP="00AE1BA5">
      <w:pPr>
        <w:spacing w:after="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Competing Interests</w:t>
      </w:r>
    </w:p>
    <w:p w14:paraId="59166899" w14:textId="77777777" w:rsidR="00966FD7" w:rsidRDefault="00966FD7" w:rsidP="00AE1BA5">
      <w:pPr>
        <w:spacing w:after="120" w:line="360" w:lineRule="auto"/>
        <w:rPr>
          <w:rFonts w:ascii="Times New Roman" w:eastAsia="Times New Roman" w:hAnsi="Times New Roman" w:cs="Times New Roman"/>
          <w:sz w:val="24"/>
          <w:szCs w:val="24"/>
        </w:rPr>
      </w:pPr>
      <w:r w:rsidRPr="00A86DD5">
        <w:rPr>
          <w:rFonts w:ascii="Times New Roman" w:eastAsia="Times New Roman" w:hAnsi="Times New Roman" w:cs="Times New Roman"/>
          <w:sz w:val="24"/>
          <w:szCs w:val="24"/>
        </w:rPr>
        <w:t>The authors declare that they have no competing interests.</w:t>
      </w:r>
    </w:p>
    <w:p w14:paraId="102F08AA" w14:textId="77777777" w:rsidR="00027F61" w:rsidRDefault="00027F61" w:rsidP="00AE1BA5">
      <w:pPr>
        <w:spacing w:line="360" w:lineRule="auto"/>
        <w:jc w:val="both"/>
        <w:rPr>
          <w:rFonts w:ascii="Times New Roman" w:hAnsi="Times New Roman" w:cs="Times New Roman"/>
          <w:b/>
          <w:bCs/>
          <w:sz w:val="24"/>
          <w:szCs w:val="24"/>
        </w:rPr>
      </w:pPr>
    </w:p>
    <w:p w14:paraId="0B90CCC7" w14:textId="77777777" w:rsidR="00027F61" w:rsidRDefault="00027F61" w:rsidP="00AE1BA5">
      <w:pPr>
        <w:spacing w:line="360" w:lineRule="auto"/>
        <w:jc w:val="both"/>
        <w:rPr>
          <w:rFonts w:ascii="Times New Roman" w:hAnsi="Times New Roman" w:cs="Times New Roman"/>
          <w:b/>
          <w:bCs/>
          <w:sz w:val="24"/>
          <w:szCs w:val="24"/>
        </w:rPr>
      </w:pPr>
    </w:p>
    <w:p w14:paraId="7AA0BD79" w14:textId="77777777" w:rsidR="00027F61" w:rsidRDefault="00027F61" w:rsidP="00AE1BA5">
      <w:pPr>
        <w:spacing w:line="360" w:lineRule="auto"/>
        <w:jc w:val="both"/>
        <w:rPr>
          <w:rFonts w:ascii="Times New Roman" w:hAnsi="Times New Roman" w:cs="Times New Roman"/>
          <w:b/>
          <w:bCs/>
          <w:sz w:val="24"/>
          <w:szCs w:val="24"/>
        </w:rPr>
      </w:pPr>
    </w:p>
    <w:p w14:paraId="0BA47037" w14:textId="77777777" w:rsidR="00027F61" w:rsidRDefault="00027F61" w:rsidP="00AE1BA5">
      <w:pPr>
        <w:spacing w:line="360" w:lineRule="auto"/>
        <w:jc w:val="both"/>
        <w:rPr>
          <w:rFonts w:ascii="Times New Roman" w:hAnsi="Times New Roman" w:cs="Times New Roman"/>
          <w:b/>
          <w:bCs/>
          <w:sz w:val="24"/>
          <w:szCs w:val="24"/>
        </w:rPr>
      </w:pPr>
    </w:p>
    <w:p w14:paraId="676C5D47" w14:textId="0391CE4F" w:rsidR="00C95C48" w:rsidRPr="00CA0B26" w:rsidRDefault="00CA0B26" w:rsidP="00AE1BA5">
      <w:pPr>
        <w:spacing w:line="360" w:lineRule="auto"/>
        <w:jc w:val="both"/>
        <w:rPr>
          <w:rFonts w:ascii="Times New Roman" w:hAnsi="Times New Roman" w:cs="Times New Roman"/>
          <w:b/>
          <w:bCs/>
          <w:sz w:val="24"/>
          <w:szCs w:val="24"/>
        </w:rPr>
      </w:pPr>
      <w:r w:rsidRPr="00CA0B26">
        <w:rPr>
          <w:rFonts w:ascii="Times New Roman" w:hAnsi="Times New Roman" w:cs="Times New Roman"/>
          <w:b/>
          <w:bCs/>
          <w:sz w:val="24"/>
          <w:szCs w:val="24"/>
        </w:rPr>
        <w:t>References</w:t>
      </w:r>
    </w:p>
    <w:p w14:paraId="6712433D" w14:textId="77777777" w:rsidR="002A7CE1" w:rsidRPr="00C32F46" w:rsidRDefault="002A7CE1" w:rsidP="00AE1BA5">
      <w:pPr>
        <w:spacing w:line="360" w:lineRule="auto"/>
        <w:jc w:val="both"/>
        <w:rPr>
          <w:rFonts w:ascii="Times New Roman" w:hAnsi="Times New Roman" w:cs="Times New Roman"/>
          <w:b/>
          <w:bCs/>
          <w:sz w:val="24"/>
          <w:szCs w:val="24"/>
          <w:lang w:val="en-US"/>
        </w:rPr>
      </w:pPr>
      <w:r w:rsidRPr="00C32F46">
        <w:rPr>
          <w:rFonts w:ascii="Times New Roman" w:hAnsi="Times New Roman" w:cs="Times New Roman"/>
          <w:sz w:val="24"/>
          <w:szCs w:val="24"/>
        </w:rPr>
        <w:t xml:space="preserve">Ahmad, A., Abdullah, S., Hasan, H., Othman, A., &amp; Ismail, N. (2021). Aquaculture </w:t>
      </w:r>
      <w:r w:rsidRPr="00C32F46">
        <w:rPr>
          <w:rFonts w:ascii="Times New Roman" w:hAnsi="Times New Roman" w:cs="Times New Roman"/>
          <w:sz w:val="24"/>
          <w:szCs w:val="24"/>
        </w:rPr>
        <w:tab/>
        <w:t xml:space="preserve">industry: Supply and demand, best practices, effluent and its current issues and </w:t>
      </w:r>
      <w:r w:rsidRPr="00C32F46">
        <w:rPr>
          <w:rFonts w:ascii="Times New Roman" w:hAnsi="Times New Roman" w:cs="Times New Roman"/>
          <w:sz w:val="24"/>
          <w:szCs w:val="24"/>
        </w:rPr>
        <w:tab/>
        <w:t xml:space="preserve">treatment </w:t>
      </w:r>
      <w:proofErr w:type="gramStart"/>
      <w:r w:rsidRPr="00C32F46">
        <w:rPr>
          <w:rFonts w:ascii="Times New Roman" w:hAnsi="Times New Roman" w:cs="Times New Roman"/>
          <w:sz w:val="24"/>
          <w:szCs w:val="24"/>
        </w:rPr>
        <w:t>technology..</w:t>
      </w:r>
      <w:proofErr w:type="gramEnd"/>
      <w:r w:rsidRPr="00C32F46">
        <w:rPr>
          <w:rFonts w:ascii="Times New Roman" w:hAnsi="Times New Roman" w:cs="Times New Roman"/>
          <w:sz w:val="24"/>
          <w:szCs w:val="24"/>
        </w:rPr>
        <w:t xml:space="preserve"> </w:t>
      </w:r>
      <w:r w:rsidRPr="00C32F46">
        <w:rPr>
          <w:rFonts w:ascii="Times New Roman" w:hAnsi="Times New Roman" w:cs="Times New Roman"/>
          <w:i/>
          <w:iCs/>
          <w:sz w:val="24"/>
          <w:szCs w:val="24"/>
        </w:rPr>
        <w:t>Journal of environmental management</w:t>
      </w:r>
      <w:r w:rsidRPr="00C32F46">
        <w:rPr>
          <w:rFonts w:ascii="Times New Roman" w:hAnsi="Times New Roman" w:cs="Times New Roman"/>
          <w:sz w:val="24"/>
          <w:szCs w:val="24"/>
        </w:rPr>
        <w:t xml:space="preserve">, 287, </w:t>
      </w:r>
      <w:proofErr w:type="gramStart"/>
      <w:r w:rsidRPr="00C32F46">
        <w:rPr>
          <w:rFonts w:ascii="Times New Roman" w:hAnsi="Times New Roman" w:cs="Times New Roman"/>
          <w:sz w:val="24"/>
          <w:szCs w:val="24"/>
        </w:rPr>
        <w:t>112271 .</w:t>
      </w:r>
      <w:proofErr w:type="gramEnd"/>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8" w:history="1">
        <w:r w:rsidRPr="00C32F46">
          <w:rPr>
            <w:rStyle w:val="Hyperlink"/>
            <w:rFonts w:ascii="Times New Roman" w:hAnsi="Times New Roman" w:cs="Times New Roman"/>
            <w:sz w:val="24"/>
            <w:szCs w:val="24"/>
          </w:rPr>
          <w:t>https://doi.org/10.1016/j.jenvman.2021.112271</w:t>
        </w:r>
      </w:hyperlink>
      <w:r w:rsidRPr="00C32F46">
        <w:rPr>
          <w:rFonts w:ascii="Times New Roman" w:hAnsi="Times New Roman" w:cs="Times New Roman"/>
          <w:sz w:val="24"/>
          <w:szCs w:val="24"/>
        </w:rPr>
        <w:t>.</w:t>
      </w:r>
    </w:p>
    <w:p w14:paraId="42AA7B36" w14:textId="77777777" w:rsidR="002A7CE1" w:rsidRPr="00C32F46" w:rsidRDefault="002A7CE1" w:rsidP="00AE1BA5">
      <w:pPr>
        <w:spacing w:line="360" w:lineRule="auto"/>
        <w:ind w:left="720" w:hanging="720"/>
        <w:jc w:val="both"/>
        <w:rPr>
          <w:rFonts w:ascii="Times New Roman" w:hAnsi="Times New Roman" w:cs="Times New Roman"/>
          <w:sz w:val="24"/>
          <w:szCs w:val="24"/>
        </w:rPr>
      </w:pPr>
      <w:r w:rsidRPr="00C32F46">
        <w:rPr>
          <w:rFonts w:ascii="Times New Roman" w:hAnsi="Times New Roman" w:cs="Times New Roman"/>
          <w:sz w:val="24"/>
          <w:szCs w:val="24"/>
        </w:rPr>
        <w:lastRenderedPageBreak/>
        <w:t>American Public Health Association (APHA). (1998). Standard methods for the examination of water and wastewater (20th ed.). American Public Health Association, American Water Works Association, &amp; Water Environment Federation.</w:t>
      </w:r>
    </w:p>
    <w:p w14:paraId="2145B0B8" w14:textId="79A6716E"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Boyd, C. E. (1998). </w:t>
      </w:r>
      <w:r w:rsidRPr="00C32F46">
        <w:rPr>
          <w:rStyle w:val="Emphasis"/>
          <w:rFonts w:ascii="Times New Roman" w:hAnsi="Times New Roman" w:cs="Times New Roman"/>
          <w:sz w:val="24"/>
          <w:szCs w:val="24"/>
        </w:rPr>
        <w:t>Water quality for pond aquaculture</w:t>
      </w:r>
      <w:r w:rsidRPr="00C32F46">
        <w:rPr>
          <w:rFonts w:ascii="Times New Roman" w:hAnsi="Times New Roman" w:cs="Times New Roman"/>
          <w:sz w:val="24"/>
          <w:szCs w:val="24"/>
        </w:rPr>
        <w:t xml:space="preserve"> (Research and Development </w:t>
      </w:r>
      <w:r w:rsidRPr="00C32F46">
        <w:rPr>
          <w:rFonts w:ascii="Times New Roman" w:hAnsi="Times New Roman" w:cs="Times New Roman"/>
          <w:sz w:val="24"/>
          <w:szCs w:val="24"/>
        </w:rPr>
        <w:tab/>
        <w:t xml:space="preserve">Series </w:t>
      </w:r>
      <w:r w:rsidRPr="00C32F46">
        <w:rPr>
          <w:rFonts w:ascii="Times New Roman" w:hAnsi="Times New Roman" w:cs="Times New Roman"/>
          <w:sz w:val="24"/>
          <w:szCs w:val="24"/>
        </w:rPr>
        <w:tab/>
        <w:t xml:space="preserve">No. 43). International Centre for Aquaculture and </w:t>
      </w:r>
      <w:r w:rsidRPr="00C32F46">
        <w:rPr>
          <w:rFonts w:ascii="Times New Roman" w:hAnsi="Times New Roman" w:cs="Times New Roman"/>
          <w:sz w:val="24"/>
          <w:szCs w:val="24"/>
        </w:rPr>
        <w:tab/>
        <w:t xml:space="preserve">Aquatic Environments, </w:t>
      </w:r>
      <w:r w:rsidRPr="00C32F46">
        <w:rPr>
          <w:rFonts w:ascii="Times New Roman" w:hAnsi="Times New Roman" w:cs="Times New Roman"/>
          <w:sz w:val="24"/>
          <w:szCs w:val="24"/>
        </w:rPr>
        <w:tab/>
        <w:t xml:space="preserve">Alabama Agricultural Experiment Station, Auburn </w:t>
      </w:r>
      <w:r w:rsidRPr="00C32F46">
        <w:rPr>
          <w:rFonts w:ascii="Times New Roman" w:hAnsi="Times New Roman" w:cs="Times New Roman"/>
          <w:sz w:val="24"/>
          <w:szCs w:val="24"/>
        </w:rPr>
        <w:tab/>
        <w:t>University.</w:t>
      </w:r>
    </w:p>
    <w:p w14:paraId="09993E1E" w14:textId="08A62982"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Boyd, C., D’Abramo, L., Glencross, B., </w:t>
      </w:r>
      <w:proofErr w:type="spellStart"/>
      <w:r w:rsidRPr="00C32F46">
        <w:rPr>
          <w:rFonts w:ascii="Times New Roman" w:hAnsi="Times New Roman" w:cs="Times New Roman"/>
          <w:sz w:val="24"/>
          <w:szCs w:val="24"/>
        </w:rPr>
        <w:t>Huyben</w:t>
      </w:r>
      <w:proofErr w:type="spellEnd"/>
      <w:r w:rsidRPr="00C32F46">
        <w:rPr>
          <w:rFonts w:ascii="Times New Roman" w:hAnsi="Times New Roman" w:cs="Times New Roman"/>
          <w:sz w:val="24"/>
          <w:szCs w:val="24"/>
        </w:rPr>
        <w:t xml:space="preserve">, D., Juarez, L., Lockwood, G., </w:t>
      </w:r>
      <w:r w:rsidRPr="00C32F46">
        <w:rPr>
          <w:rFonts w:ascii="Times New Roman" w:hAnsi="Times New Roman" w:cs="Times New Roman"/>
          <w:sz w:val="24"/>
          <w:szCs w:val="24"/>
        </w:rPr>
        <w:tab/>
        <w:t xml:space="preserve">McNevin, </w:t>
      </w:r>
      <w:r w:rsidRPr="00C32F46">
        <w:rPr>
          <w:rFonts w:ascii="Times New Roman" w:hAnsi="Times New Roman" w:cs="Times New Roman"/>
          <w:sz w:val="24"/>
          <w:szCs w:val="24"/>
        </w:rPr>
        <w:tab/>
        <w:t xml:space="preserve">A., Tacon, A., </w:t>
      </w:r>
      <w:proofErr w:type="spellStart"/>
      <w:r w:rsidRPr="00C32F46">
        <w:rPr>
          <w:rFonts w:ascii="Times New Roman" w:hAnsi="Times New Roman" w:cs="Times New Roman"/>
          <w:sz w:val="24"/>
          <w:szCs w:val="24"/>
        </w:rPr>
        <w:t>Teletchea</w:t>
      </w:r>
      <w:proofErr w:type="spellEnd"/>
      <w:r w:rsidRPr="00C32F46">
        <w:rPr>
          <w:rFonts w:ascii="Times New Roman" w:hAnsi="Times New Roman" w:cs="Times New Roman"/>
          <w:sz w:val="24"/>
          <w:szCs w:val="24"/>
        </w:rPr>
        <w:t xml:space="preserve">, F., Tomasso, J., Tucker, C., &amp; Valenti, </w:t>
      </w:r>
      <w:r w:rsidRPr="00C32F46">
        <w:rPr>
          <w:rFonts w:ascii="Times New Roman" w:hAnsi="Times New Roman" w:cs="Times New Roman"/>
          <w:sz w:val="24"/>
          <w:szCs w:val="24"/>
        </w:rPr>
        <w:tab/>
        <w:t xml:space="preserve">W. (2020). </w:t>
      </w:r>
      <w:r w:rsidRPr="00C32F46">
        <w:rPr>
          <w:rFonts w:ascii="Times New Roman" w:hAnsi="Times New Roman" w:cs="Times New Roman"/>
          <w:sz w:val="24"/>
          <w:szCs w:val="24"/>
        </w:rPr>
        <w:tab/>
        <w:t xml:space="preserve">Achieving sustainable aquaculture: Historical and current </w:t>
      </w:r>
      <w:r w:rsidRPr="00C32F46">
        <w:rPr>
          <w:rFonts w:ascii="Times New Roman" w:hAnsi="Times New Roman" w:cs="Times New Roman"/>
          <w:sz w:val="24"/>
          <w:szCs w:val="24"/>
        </w:rPr>
        <w:tab/>
        <w:t xml:space="preserve">perspectives and future </w:t>
      </w:r>
      <w:r w:rsidRPr="00C32F46">
        <w:rPr>
          <w:rFonts w:ascii="Times New Roman" w:hAnsi="Times New Roman" w:cs="Times New Roman"/>
          <w:sz w:val="24"/>
          <w:szCs w:val="24"/>
        </w:rPr>
        <w:tab/>
        <w:t xml:space="preserve">needs and challenges. Journal of the World </w:t>
      </w:r>
      <w:r w:rsidRPr="00C32F46">
        <w:rPr>
          <w:rFonts w:ascii="Times New Roman" w:hAnsi="Times New Roman" w:cs="Times New Roman"/>
          <w:sz w:val="24"/>
          <w:szCs w:val="24"/>
        </w:rPr>
        <w:tab/>
        <w:t xml:space="preserve">Aquaculture Society. </w:t>
      </w:r>
      <w:r w:rsidRPr="00C32F46">
        <w:rPr>
          <w:rFonts w:ascii="Times New Roman" w:hAnsi="Times New Roman" w:cs="Times New Roman"/>
          <w:sz w:val="24"/>
          <w:szCs w:val="24"/>
        </w:rPr>
        <w:tab/>
      </w:r>
      <w:hyperlink r:id="rId9" w:history="1">
        <w:r w:rsidRPr="00C32F46">
          <w:rPr>
            <w:rStyle w:val="Hyperlink"/>
            <w:rFonts w:ascii="Times New Roman" w:hAnsi="Times New Roman" w:cs="Times New Roman"/>
            <w:sz w:val="24"/>
            <w:szCs w:val="24"/>
          </w:rPr>
          <w:t>https://doi.org/10.1111/jwas.12714</w:t>
        </w:r>
      </w:hyperlink>
      <w:r w:rsidRPr="00C32F46">
        <w:rPr>
          <w:rFonts w:ascii="Times New Roman" w:hAnsi="Times New Roman" w:cs="Times New Roman"/>
          <w:sz w:val="24"/>
          <w:szCs w:val="24"/>
        </w:rPr>
        <w:t>.</w:t>
      </w:r>
    </w:p>
    <w:p w14:paraId="56F0AC03" w14:textId="69932310"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Chaudhari, M., Haque, M., &amp; Kashyap, V. (2022). Growth performance of </w:t>
      </w:r>
      <w:r w:rsidRPr="00C32F46">
        <w:rPr>
          <w:rFonts w:ascii="Times New Roman" w:hAnsi="Times New Roman" w:cs="Times New Roman"/>
          <w:sz w:val="24"/>
          <w:szCs w:val="24"/>
        </w:rPr>
        <w:tab/>
      </w:r>
      <w:r w:rsidRPr="00C32F46">
        <w:rPr>
          <w:rFonts w:ascii="Times New Roman" w:hAnsi="Times New Roman" w:cs="Times New Roman"/>
          <w:i/>
          <w:iCs/>
          <w:sz w:val="24"/>
          <w:szCs w:val="24"/>
        </w:rPr>
        <w:t xml:space="preserve">Pangasius </w:t>
      </w:r>
      <w:r w:rsidRPr="00C32F46">
        <w:rPr>
          <w:rFonts w:ascii="Times New Roman" w:hAnsi="Times New Roman" w:cs="Times New Roman"/>
          <w:i/>
          <w:iCs/>
          <w:sz w:val="24"/>
          <w:szCs w:val="24"/>
        </w:rPr>
        <w:tab/>
        <w:t>sp.</w:t>
      </w:r>
      <w:r w:rsidRPr="00C32F46">
        <w:rPr>
          <w:rFonts w:ascii="Times New Roman" w:hAnsi="Times New Roman" w:cs="Times New Roman"/>
          <w:sz w:val="24"/>
          <w:szCs w:val="24"/>
        </w:rPr>
        <w:t xml:space="preserve"> </w:t>
      </w:r>
      <w:r w:rsidRPr="00C32F46">
        <w:rPr>
          <w:rFonts w:ascii="Times New Roman" w:hAnsi="Times New Roman" w:cs="Times New Roman"/>
          <w:i/>
          <w:iCs/>
          <w:sz w:val="24"/>
          <w:szCs w:val="24"/>
        </w:rPr>
        <w:t>International Journal of Fisheries and Aquatic Studies</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10" w:history="1">
        <w:r w:rsidRPr="00C32F46">
          <w:rPr>
            <w:rStyle w:val="Hyperlink"/>
            <w:rFonts w:ascii="Times New Roman" w:hAnsi="Times New Roman" w:cs="Times New Roman"/>
            <w:sz w:val="24"/>
            <w:szCs w:val="24"/>
          </w:rPr>
          <w:t>https://doi.org/10.22271/fish.2022.v10.i6a.2743</w:t>
        </w:r>
      </w:hyperlink>
    </w:p>
    <w:p w14:paraId="6A03C1E2" w14:textId="07C3BA94" w:rsidR="002A7CE1" w:rsidRPr="00C32F46" w:rsidRDefault="002A7CE1" w:rsidP="00AE1BA5">
      <w:pPr>
        <w:tabs>
          <w:tab w:val="left" w:pos="720"/>
        </w:tabs>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Das, B., Kumar, V., Baitha, R., Ramteke, M., Adhikari, A., </w:t>
      </w:r>
      <w:proofErr w:type="spellStart"/>
      <w:r w:rsidRPr="00C32F46">
        <w:rPr>
          <w:rFonts w:ascii="Times New Roman" w:hAnsi="Times New Roman" w:cs="Times New Roman"/>
          <w:sz w:val="24"/>
          <w:szCs w:val="24"/>
        </w:rPr>
        <w:t>Bisai</w:t>
      </w:r>
      <w:proofErr w:type="spellEnd"/>
      <w:r w:rsidRPr="00C32F46">
        <w:rPr>
          <w:rFonts w:ascii="Times New Roman" w:hAnsi="Times New Roman" w:cs="Times New Roman"/>
          <w:sz w:val="24"/>
          <w:szCs w:val="24"/>
        </w:rPr>
        <w:t xml:space="preserve">, K., Jana, A., &amp; </w:t>
      </w:r>
      <w:r w:rsidRPr="00C32F46">
        <w:rPr>
          <w:rFonts w:ascii="Times New Roman" w:hAnsi="Times New Roman" w:cs="Times New Roman"/>
          <w:sz w:val="24"/>
          <w:szCs w:val="24"/>
        </w:rPr>
        <w:tab/>
        <w:t xml:space="preserve">Das, A. </w:t>
      </w:r>
      <w:r w:rsidRPr="00C32F46">
        <w:rPr>
          <w:rFonts w:ascii="Times New Roman" w:hAnsi="Times New Roman" w:cs="Times New Roman"/>
          <w:sz w:val="24"/>
          <w:szCs w:val="24"/>
        </w:rPr>
        <w:tab/>
        <w:t xml:space="preserve">(2024). The emergence of multidrug-resistant </w:t>
      </w:r>
      <w:r w:rsidRPr="00C32F46">
        <w:rPr>
          <w:rFonts w:ascii="Times New Roman" w:hAnsi="Times New Roman" w:cs="Times New Roman"/>
          <w:i/>
          <w:iCs/>
          <w:sz w:val="24"/>
          <w:szCs w:val="24"/>
        </w:rPr>
        <w:t>Proteus vulgaris</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t xml:space="preserve">infection in cage </w:t>
      </w:r>
      <w:r w:rsidRPr="00C32F46">
        <w:rPr>
          <w:rFonts w:ascii="Times New Roman" w:hAnsi="Times New Roman" w:cs="Times New Roman"/>
          <w:sz w:val="24"/>
          <w:szCs w:val="24"/>
        </w:rPr>
        <w:tab/>
        <w:t xml:space="preserve">reared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molecular </w:t>
      </w:r>
      <w:r w:rsidRPr="00C32F46">
        <w:rPr>
          <w:rFonts w:ascii="Times New Roman" w:hAnsi="Times New Roman" w:cs="Times New Roman"/>
          <w:sz w:val="24"/>
          <w:szCs w:val="24"/>
        </w:rPr>
        <w:tab/>
        <w:t>characterization and host-</w:t>
      </w:r>
      <w:r w:rsidRPr="00C32F46">
        <w:rPr>
          <w:rFonts w:ascii="Times New Roman" w:hAnsi="Times New Roman" w:cs="Times New Roman"/>
          <w:sz w:val="24"/>
          <w:szCs w:val="24"/>
        </w:rPr>
        <w:tab/>
        <w:t xml:space="preserve">pathogen </w:t>
      </w:r>
      <w:r w:rsidRPr="00C32F46">
        <w:rPr>
          <w:rFonts w:ascii="Times New Roman" w:hAnsi="Times New Roman" w:cs="Times New Roman"/>
          <w:sz w:val="24"/>
          <w:szCs w:val="24"/>
        </w:rPr>
        <w:tab/>
        <w:t xml:space="preserve">response. </w:t>
      </w:r>
      <w:r w:rsidRPr="00C32F46">
        <w:rPr>
          <w:rFonts w:ascii="Times New Roman" w:hAnsi="Times New Roman" w:cs="Times New Roman"/>
          <w:i/>
          <w:iCs/>
          <w:sz w:val="24"/>
          <w:szCs w:val="24"/>
        </w:rPr>
        <w:t>Microbial pathogenesis</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t xml:space="preserve">107029. </w:t>
      </w:r>
      <w:r w:rsidRPr="00C32F46">
        <w:rPr>
          <w:rFonts w:ascii="Times New Roman" w:hAnsi="Times New Roman" w:cs="Times New Roman"/>
          <w:sz w:val="24"/>
          <w:szCs w:val="24"/>
        </w:rPr>
        <w:tab/>
      </w:r>
      <w:hyperlink r:id="rId11" w:history="1">
        <w:r w:rsidRPr="00C32F46">
          <w:rPr>
            <w:rStyle w:val="Hyperlink"/>
            <w:rFonts w:ascii="Times New Roman" w:hAnsi="Times New Roman" w:cs="Times New Roman"/>
            <w:sz w:val="24"/>
            <w:szCs w:val="24"/>
          </w:rPr>
          <w:t>https://doi.org/10.1016/j.micpath.2024.107029</w:t>
        </w:r>
      </w:hyperlink>
    </w:p>
    <w:p w14:paraId="2D31F04A"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Department of Fisheries. (2023). Handbook on fisheries statistics 2023. Ministry of </w:t>
      </w:r>
      <w:r w:rsidRPr="00C32F46">
        <w:rPr>
          <w:rFonts w:ascii="Times New Roman" w:hAnsi="Times New Roman" w:cs="Times New Roman"/>
          <w:sz w:val="24"/>
          <w:szCs w:val="24"/>
        </w:rPr>
        <w:tab/>
        <w:t xml:space="preserve">Fisheries, Animal Husbandry and Dairying, Government of India. </w:t>
      </w:r>
      <w:r w:rsidRPr="00C32F46">
        <w:rPr>
          <w:rFonts w:ascii="Times New Roman" w:hAnsi="Times New Roman" w:cs="Times New Roman"/>
          <w:sz w:val="24"/>
          <w:szCs w:val="24"/>
        </w:rPr>
        <w:tab/>
      </w:r>
      <w:hyperlink r:id="rId12" w:history="1">
        <w:r w:rsidRPr="00C32F46">
          <w:rPr>
            <w:rStyle w:val="Hyperlink"/>
            <w:rFonts w:ascii="Times New Roman" w:hAnsi="Times New Roman" w:cs="Times New Roman"/>
            <w:sz w:val="24"/>
            <w:szCs w:val="24"/>
          </w:rPr>
          <w:t>https://dof.gov.in</w:t>
        </w:r>
      </w:hyperlink>
    </w:p>
    <w:p w14:paraId="6FDC2404" w14:textId="7AD96826"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FAO (2024). The State of World Fisheries and Aquaculture 2024. Blue </w:t>
      </w:r>
      <w:r w:rsidRPr="00C32F46">
        <w:rPr>
          <w:rFonts w:ascii="Times New Roman" w:hAnsi="Times New Roman" w:cs="Times New Roman"/>
          <w:sz w:val="24"/>
          <w:szCs w:val="24"/>
        </w:rPr>
        <w:tab/>
        <w:t xml:space="preserve">Transformation in </w:t>
      </w:r>
      <w:r w:rsidRPr="00C32F46">
        <w:rPr>
          <w:rFonts w:ascii="Times New Roman" w:hAnsi="Times New Roman" w:cs="Times New Roman"/>
          <w:sz w:val="24"/>
          <w:szCs w:val="24"/>
        </w:rPr>
        <w:tab/>
        <w:t>action. Rome.</w:t>
      </w:r>
    </w:p>
    <w:p w14:paraId="6B5EA530" w14:textId="77777777" w:rsidR="002A7CE1" w:rsidRPr="00C32F46" w:rsidRDefault="002A7CE1" w:rsidP="00AE1BA5">
      <w:pPr>
        <w:spacing w:line="360" w:lineRule="auto"/>
        <w:ind w:left="720" w:hanging="720"/>
        <w:jc w:val="both"/>
        <w:rPr>
          <w:rFonts w:ascii="Times New Roman" w:hAnsi="Times New Roman" w:cs="Times New Roman"/>
          <w:sz w:val="24"/>
          <w:szCs w:val="24"/>
        </w:rPr>
      </w:pPr>
      <w:r w:rsidRPr="00C32F46">
        <w:rPr>
          <w:rFonts w:ascii="Times New Roman" w:hAnsi="Times New Roman" w:cs="Times New Roman"/>
          <w:sz w:val="24"/>
          <w:szCs w:val="24"/>
        </w:rPr>
        <w:t xml:space="preserve">Fatima, S., Afzal, A., Rashid, H., Iqbal, S., Zafar, R., Khalid, K., ... Carter, C. G. (2023). Dietary replacement of soybean meal with black soldier fly larvae meal in juvenile </w:t>
      </w:r>
      <w:proofErr w:type="spellStart"/>
      <w:r w:rsidRPr="00C32F46">
        <w:rPr>
          <w:rFonts w:ascii="Times New Roman" w:hAnsi="Times New Roman" w:cs="Times New Roman"/>
          <w:i/>
          <w:iCs/>
          <w:sz w:val="24"/>
          <w:szCs w:val="24"/>
        </w:rPr>
        <w:t>Labeo</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rohita</w:t>
      </w:r>
      <w:proofErr w:type="spellEnd"/>
      <w:r w:rsidRPr="00C32F46">
        <w:rPr>
          <w:rFonts w:ascii="Times New Roman" w:hAnsi="Times New Roman" w:cs="Times New Roman"/>
          <w:sz w:val="24"/>
          <w:szCs w:val="24"/>
        </w:rPr>
        <w:t xml:space="preserve"> and </w:t>
      </w:r>
      <w:proofErr w:type="spellStart"/>
      <w:r w:rsidRPr="00C32F46">
        <w:rPr>
          <w:rFonts w:ascii="Times New Roman" w:hAnsi="Times New Roman" w:cs="Times New Roman"/>
          <w:i/>
          <w:iCs/>
          <w:sz w:val="24"/>
          <w:szCs w:val="24"/>
        </w:rPr>
        <w:t>Catla</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catla</w:t>
      </w:r>
      <w:proofErr w:type="spellEnd"/>
      <w:r w:rsidRPr="00C32F46">
        <w:rPr>
          <w:rFonts w:ascii="Times New Roman" w:hAnsi="Times New Roman" w:cs="Times New Roman"/>
          <w:sz w:val="24"/>
          <w:szCs w:val="24"/>
        </w:rPr>
        <w:t>. </w:t>
      </w:r>
      <w:r w:rsidRPr="00C32F46">
        <w:rPr>
          <w:rFonts w:ascii="Times New Roman" w:hAnsi="Times New Roman" w:cs="Times New Roman"/>
          <w:i/>
          <w:iCs/>
          <w:sz w:val="24"/>
          <w:szCs w:val="24"/>
        </w:rPr>
        <w:t>PLOS ONE, 18</w:t>
      </w:r>
      <w:r w:rsidRPr="00C32F46">
        <w:rPr>
          <w:rFonts w:ascii="Times New Roman" w:hAnsi="Times New Roman" w:cs="Times New Roman"/>
          <w:sz w:val="24"/>
          <w:szCs w:val="24"/>
        </w:rPr>
        <w:t>(11), e0294864.</w:t>
      </w:r>
    </w:p>
    <w:p w14:paraId="28F40678" w14:textId="453196E3"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Ghosh, S., Edward, L., Mahesh, U., &amp; Sadhu, N. (2016). Overview of cage culture – </w:t>
      </w:r>
      <w:r w:rsidRPr="00C32F46">
        <w:rPr>
          <w:rFonts w:ascii="Times New Roman" w:hAnsi="Times New Roman" w:cs="Times New Roman"/>
          <w:sz w:val="24"/>
          <w:szCs w:val="24"/>
        </w:rPr>
        <w:tab/>
        <w:t>Indian perspective.</w:t>
      </w:r>
    </w:p>
    <w:p w14:paraId="34A8EFF4" w14:textId="77777777" w:rsidR="002A7CE1" w:rsidRPr="00C32F46" w:rsidRDefault="002A7CE1" w:rsidP="00AE1BA5">
      <w:pPr>
        <w:spacing w:line="360" w:lineRule="auto"/>
        <w:ind w:left="720" w:hanging="720"/>
        <w:jc w:val="both"/>
        <w:rPr>
          <w:rFonts w:ascii="Times New Roman" w:hAnsi="Times New Roman" w:cs="Times New Roman"/>
          <w:sz w:val="24"/>
          <w:szCs w:val="24"/>
        </w:rPr>
      </w:pPr>
      <w:r w:rsidRPr="00C32F46">
        <w:rPr>
          <w:rFonts w:ascii="Times New Roman" w:hAnsi="Times New Roman" w:cs="Times New Roman"/>
          <w:sz w:val="24"/>
          <w:szCs w:val="24"/>
        </w:rPr>
        <w:lastRenderedPageBreak/>
        <w:t xml:space="preserve">Gogoi, P., Parida, P., Sinha, A., </w:t>
      </w:r>
      <w:proofErr w:type="spellStart"/>
      <w:r w:rsidRPr="00C32F46">
        <w:rPr>
          <w:rFonts w:ascii="Times New Roman" w:hAnsi="Times New Roman" w:cs="Times New Roman"/>
          <w:sz w:val="24"/>
          <w:szCs w:val="24"/>
        </w:rPr>
        <w:t>Tayung</w:t>
      </w:r>
      <w:proofErr w:type="spellEnd"/>
      <w:r w:rsidRPr="00C32F46">
        <w:rPr>
          <w:rFonts w:ascii="Times New Roman" w:hAnsi="Times New Roman" w:cs="Times New Roman"/>
          <w:sz w:val="24"/>
          <w:szCs w:val="24"/>
        </w:rPr>
        <w:t xml:space="preserve">, T., Suresh, V., &amp; Das, B. (2021). Canals </w:t>
      </w:r>
      <w:r w:rsidRPr="00C32F46">
        <w:rPr>
          <w:rFonts w:ascii="Times New Roman" w:hAnsi="Times New Roman" w:cs="Times New Roman"/>
          <w:sz w:val="24"/>
          <w:szCs w:val="24"/>
        </w:rPr>
        <w:tab/>
        <w:t xml:space="preserve">in Indian Sundarbans: Opportunities towards livelihood improvement </w:t>
      </w:r>
      <w:r w:rsidRPr="00C32F46">
        <w:rPr>
          <w:rFonts w:ascii="Times New Roman" w:hAnsi="Times New Roman" w:cs="Times New Roman"/>
          <w:sz w:val="24"/>
          <w:szCs w:val="24"/>
        </w:rPr>
        <w:tab/>
        <w:t xml:space="preserve">through fisheries intervention. </w:t>
      </w:r>
      <w:r w:rsidRPr="00C32F46">
        <w:rPr>
          <w:rFonts w:ascii="Times New Roman" w:hAnsi="Times New Roman" w:cs="Times New Roman"/>
          <w:i/>
          <w:iCs/>
          <w:sz w:val="24"/>
          <w:szCs w:val="24"/>
        </w:rPr>
        <w:t>Indian farming</w:t>
      </w:r>
      <w:r w:rsidRPr="00C32F46">
        <w:rPr>
          <w:rFonts w:ascii="Times New Roman" w:hAnsi="Times New Roman" w:cs="Times New Roman"/>
          <w:sz w:val="24"/>
          <w:szCs w:val="24"/>
        </w:rPr>
        <w:t>, 70.</w:t>
      </w:r>
    </w:p>
    <w:p w14:paraId="500A2C9F" w14:textId="77777777" w:rsidR="002A7CE1" w:rsidRPr="00C32F46" w:rsidRDefault="002A7CE1" w:rsidP="00AE1BA5">
      <w:pPr>
        <w:spacing w:line="360" w:lineRule="auto"/>
        <w:jc w:val="both"/>
        <w:rPr>
          <w:rFonts w:ascii="Times New Roman" w:hAnsi="Times New Roman" w:cs="Times New Roman"/>
          <w:sz w:val="24"/>
          <w:szCs w:val="24"/>
        </w:rPr>
      </w:pPr>
      <w:proofErr w:type="spellStart"/>
      <w:r w:rsidRPr="00C32F46">
        <w:rPr>
          <w:rFonts w:ascii="Times New Roman" w:hAnsi="Times New Roman" w:cs="Times New Roman"/>
          <w:sz w:val="24"/>
          <w:szCs w:val="24"/>
        </w:rPr>
        <w:t>Halwart</w:t>
      </w:r>
      <w:proofErr w:type="spellEnd"/>
      <w:r w:rsidRPr="00C32F46">
        <w:rPr>
          <w:rFonts w:ascii="Times New Roman" w:hAnsi="Times New Roman" w:cs="Times New Roman"/>
          <w:sz w:val="24"/>
          <w:szCs w:val="24"/>
        </w:rPr>
        <w:t xml:space="preserve">, M., Soto, D., &amp; Arthur, J. (2007). Cage </w:t>
      </w:r>
      <w:proofErr w:type="gramStart"/>
      <w:r w:rsidRPr="00C32F46">
        <w:rPr>
          <w:rFonts w:ascii="Times New Roman" w:hAnsi="Times New Roman" w:cs="Times New Roman"/>
          <w:sz w:val="24"/>
          <w:szCs w:val="24"/>
        </w:rPr>
        <w:t>aquaculture :</w:t>
      </w:r>
      <w:proofErr w:type="gramEnd"/>
      <w:r w:rsidRPr="00C32F46">
        <w:rPr>
          <w:rFonts w:ascii="Times New Roman" w:hAnsi="Times New Roman" w:cs="Times New Roman"/>
          <w:sz w:val="24"/>
          <w:szCs w:val="24"/>
        </w:rPr>
        <w:t xml:space="preserve"> regional reviews and </w:t>
      </w:r>
      <w:r w:rsidRPr="00C32F46">
        <w:rPr>
          <w:rFonts w:ascii="Times New Roman" w:hAnsi="Times New Roman" w:cs="Times New Roman"/>
          <w:sz w:val="24"/>
          <w:szCs w:val="24"/>
        </w:rPr>
        <w:tab/>
        <w:t>global overview.</w:t>
      </w:r>
    </w:p>
    <w:p w14:paraId="315EA674"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Huguenin, J. (1997). The design, operations and economics of cage culture systems. </w:t>
      </w:r>
      <w:r w:rsidRPr="00C32F46">
        <w:rPr>
          <w:rFonts w:ascii="Times New Roman" w:hAnsi="Times New Roman" w:cs="Times New Roman"/>
          <w:sz w:val="24"/>
          <w:szCs w:val="24"/>
        </w:rPr>
        <w:tab/>
      </w:r>
      <w:r w:rsidRPr="00C32F46">
        <w:rPr>
          <w:rFonts w:ascii="Times New Roman" w:hAnsi="Times New Roman" w:cs="Times New Roman"/>
          <w:i/>
          <w:iCs/>
          <w:sz w:val="24"/>
          <w:szCs w:val="24"/>
        </w:rPr>
        <w:t>Aquacultural Engineering</w:t>
      </w:r>
      <w:r w:rsidRPr="00C32F46">
        <w:rPr>
          <w:rFonts w:ascii="Times New Roman" w:hAnsi="Times New Roman" w:cs="Times New Roman"/>
          <w:sz w:val="24"/>
          <w:szCs w:val="24"/>
        </w:rPr>
        <w:t xml:space="preserve">, 16, 167-203. </w:t>
      </w:r>
      <w:hyperlink r:id="rId13" w:history="1">
        <w:r w:rsidRPr="00C32F46">
          <w:rPr>
            <w:rStyle w:val="Hyperlink"/>
            <w:rFonts w:ascii="Times New Roman" w:hAnsi="Times New Roman" w:cs="Times New Roman"/>
            <w:sz w:val="24"/>
            <w:szCs w:val="24"/>
          </w:rPr>
          <w:t>https://doi.org/10.1016/s0144-</w:t>
        </w:r>
        <w:r w:rsidRPr="00C32F46">
          <w:rPr>
            <w:rStyle w:val="Hyperlink"/>
            <w:rFonts w:ascii="Times New Roman" w:hAnsi="Times New Roman" w:cs="Times New Roman"/>
            <w:sz w:val="24"/>
            <w:szCs w:val="24"/>
          </w:rPr>
          <w:tab/>
          <w:t>8609(96)01018-7</w:t>
        </w:r>
      </w:hyperlink>
      <w:r w:rsidRPr="00C32F46">
        <w:rPr>
          <w:rFonts w:ascii="Times New Roman" w:hAnsi="Times New Roman" w:cs="Times New Roman"/>
          <w:sz w:val="24"/>
          <w:szCs w:val="24"/>
        </w:rPr>
        <w:t>.</w:t>
      </w:r>
    </w:p>
    <w:p w14:paraId="1724900D"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Huq, K., &amp;, S. (2022). Pangas pond culture in Bangladesh. </w:t>
      </w:r>
      <w:r w:rsidRPr="00C32F46">
        <w:rPr>
          <w:rFonts w:ascii="Times New Roman" w:hAnsi="Times New Roman" w:cs="Times New Roman"/>
          <w:sz w:val="24"/>
          <w:szCs w:val="24"/>
        </w:rPr>
        <w:tab/>
      </w:r>
      <w:hyperlink r:id="rId14" w:history="1">
        <w:r w:rsidRPr="00C32F46">
          <w:rPr>
            <w:rStyle w:val="Hyperlink"/>
            <w:rFonts w:ascii="Times New Roman" w:hAnsi="Times New Roman" w:cs="Times New Roman"/>
            <w:sz w:val="24"/>
            <w:szCs w:val="24"/>
          </w:rPr>
          <w:t>https://doi.org/10.1079/ac.70673.20203483391</w:t>
        </w:r>
      </w:hyperlink>
    </w:p>
    <w:p w14:paraId="70B70961" w14:textId="08A2EBDF"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Husain, A., Hossain, A., Mandal, S. C., Kabir, A., &amp; Rahman, M. (2015). </w:t>
      </w:r>
      <w:r w:rsidRPr="00C32F46">
        <w:rPr>
          <w:rFonts w:ascii="Times New Roman" w:hAnsi="Times New Roman" w:cs="Times New Roman"/>
          <w:sz w:val="24"/>
          <w:szCs w:val="24"/>
        </w:rPr>
        <w:tab/>
        <w:t xml:space="preserve">Optimization of </w:t>
      </w:r>
      <w:r w:rsidRPr="00C32F46">
        <w:rPr>
          <w:rFonts w:ascii="Times New Roman" w:hAnsi="Times New Roman" w:cs="Times New Roman"/>
          <w:sz w:val="24"/>
          <w:szCs w:val="24"/>
        </w:rPr>
        <w:tab/>
        <w:t xml:space="preserve">feeding frequency on the growth performance of Thai pangas, </w:t>
      </w:r>
      <w:r w:rsidRPr="00C32F46">
        <w:rPr>
          <w:rFonts w:ascii="Times New Roman" w:hAnsi="Times New Roman" w:cs="Times New Roman"/>
          <w:sz w:val="24"/>
          <w:szCs w:val="24"/>
        </w:rPr>
        <w:tab/>
      </w:r>
      <w:r w:rsidRPr="00C32F46">
        <w:rPr>
          <w:rFonts w:ascii="Times New Roman" w:hAnsi="Times New Roman" w:cs="Times New Roman"/>
          <w:i/>
          <w:iCs/>
          <w:sz w:val="24"/>
          <w:szCs w:val="24"/>
        </w:rPr>
        <w:t xml:space="preserve">Pangasius </w:t>
      </w:r>
      <w:r w:rsidRPr="00C32F46">
        <w:rPr>
          <w:rFonts w:ascii="Times New Roman" w:hAnsi="Times New Roman" w:cs="Times New Roman"/>
          <w:i/>
          <w:iCs/>
          <w:sz w:val="24"/>
          <w:szCs w:val="24"/>
        </w:rPr>
        <w:tab/>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(Sauvage, 1878). Dhaka University </w:t>
      </w:r>
      <w:r w:rsidRPr="00C32F46">
        <w:rPr>
          <w:rFonts w:ascii="Times New Roman" w:hAnsi="Times New Roman" w:cs="Times New Roman"/>
          <w:i/>
          <w:iCs/>
          <w:sz w:val="24"/>
          <w:szCs w:val="24"/>
        </w:rPr>
        <w:t xml:space="preserve">Journal of </w:t>
      </w:r>
      <w:r w:rsidRPr="00C32F46">
        <w:rPr>
          <w:rFonts w:ascii="Times New Roman" w:hAnsi="Times New Roman" w:cs="Times New Roman"/>
          <w:i/>
          <w:iCs/>
          <w:sz w:val="24"/>
          <w:szCs w:val="24"/>
        </w:rPr>
        <w:tab/>
        <w:t xml:space="preserve">Biological </w:t>
      </w:r>
      <w:r w:rsidRPr="00C32F46">
        <w:rPr>
          <w:rFonts w:ascii="Times New Roman" w:hAnsi="Times New Roman" w:cs="Times New Roman"/>
          <w:i/>
          <w:iCs/>
          <w:sz w:val="24"/>
          <w:szCs w:val="24"/>
        </w:rPr>
        <w:tab/>
        <w:t>Sciences</w:t>
      </w:r>
      <w:r w:rsidRPr="00C32F46">
        <w:rPr>
          <w:rFonts w:ascii="Times New Roman" w:hAnsi="Times New Roman" w:cs="Times New Roman"/>
          <w:sz w:val="24"/>
          <w:szCs w:val="24"/>
        </w:rPr>
        <w:t xml:space="preserve">, 24(1). </w:t>
      </w:r>
      <w:hyperlink r:id="rId15" w:history="1">
        <w:r w:rsidRPr="00C32F46">
          <w:rPr>
            <w:rStyle w:val="Hyperlink"/>
            <w:rFonts w:ascii="Times New Roman" w:hAnsi="Times New Roman" w:cs="Times New Roman"/>
            <w:sz w:val="24"/>
            <w:szCs w:val="24"/>
          </w:rPr>
          <w:t>https://doi.org/10.3329/dujbs.v24i1.46312</w:t>
        </w:r>
      </w:hyperlink>
    </w:p>
    <w:p w14:paraId="38EFB318" w14:textId="033A0E31" w:rsidR="002A7CE1" w:rsidRDefault="002A7CE1" w:rsidP="00AE1BA5">
      <w:pPr>
        <w:spacing w:line="360" w:lineRule="auto"/>
        <w:jc w:val="both"/>
        <w:rPr>
          <w:sz w:val="24"/>
          <w:szCs w:val="24"/>
        </w:rPr>
      </w:pPr>
      <w:r w:rsidRPr="00C32F46">
        <w:rPr>
          <w:rFonts w:ascii="Times New Roman" w:hAnsi="Times New Roman" w:cs="Times New Roman"/>
          <w:sz w:val="24"/>
          <w:szCs w:val="24"/>
        </w:rPr>
        <w:t xml:space="preserve">India Brand Equity Foundation. (2023). Fisheries sector in India. </w:t>
      </w:r>
      <w:r w:rsidRPr="00C32F46">
        <w:rPr>
          <w:rFonts w:ascii="Times New Roman" w:hAnsi="Times New Roman" w:cs="Times New Roman"/>
          <w:sz w:val="24"/>
          <w:szCs w:val="24"/>
        </w:rPr>
        <w:tab/>
      </w:r>
      <w:hyperlink r:id="rId16" w:history="1">
        <w:r w:rsidRPr="00C32F46">
          <w:rPr>
            <w:rStyle w:val="Hyperlink"/>
            <w:rFonts w:ascii="Times New Roman" w:hAnsi="Times New Roman" w:cs="Times New Roman"/>
            <w:sz w:val="24"/>
            <w:szCs w:val="24"/>
          </w:rPr>
          <w:t>https://www.ibef.org/industry/fisheries-sector-india</w:t>
        </w:r>
      </w:hyperlink>
    </w:p>
    <w:p w14:paraId="7DF55B4B" w14:textId="4F9EF2A6" w:rsidR="001872A6" w:rsidRPr="00C32F46" w:rsidRDefault="001872A6" w:rsidP="00AE1BA5">
      <w:pPr>
        <w:spacing w:line="360" w:lineRule="auto"/>
        <w:ind w:left="720" w:hanging="720"/>
        <w:jc w:val="both"/>
        <w:rPr>
          <w:rFonts w:ascii="Times New Roman" w:hAnsi="Times New Roman" w:cs="Times New Roman"/>
          <w:sz w:val="24"/>
          <w:szCs w:val="24"/>
        </w:rPr>
      </w:pPr>
      <w:r w:rsidRPr="001872A6">
        <w:rPr>
          <w:rFonts w:ascii="Times New Roman" w:hAnsi="Times New Roman" w:cs="Times New Roman"/>
          <w:sz w:val="24"/>
          <w:szCs w:val="24"/>
        </w:rPr>
        <w:t xml:space="preserve">Islam, M. A., Uddin, M. H., Uddin, M. J., &amp; Shahjahan, M. (2019). Temperature changes influenced the growth performance and physiological functions of Thai pangas </w:t>
      </w:r>
      <w:proofErr w:type="spellStart"/>
      <w:r w:rsidRPr="001872A6">
        <w:rPr>
          <w:rFonts w:ascii="Times New Roman" w:hAnsi="Times New Roman" w:cs="Times New Roman"/>
          <w:sz w:val="24"/>
          <w:szCs w:val="24"/>
        </w:rPr>
        <w:t>Pangasianodon</w:t>
      </w:r>
      <w:proofErr w:type="spellEnd"/>
      <w:r w:rsidRPr="001872A6">
        <w:rPr>
          <w:rFonts w:ascii="Times New Roman" w:hAnsi="Times New Roman" w:cs="Times New Roman"/>
          <w:sz w:val="24"/>
          <w:szCs w:val="24"/>
        </w:rPr>
        <w:t xml:space="preserve"> </w:t>
      </w:r>
      <w:proofErr w:type="spellStart"/>
      <w:r w:rsidRPr="001872A6">
        <w:rPr>
          <w:rFonts w:ascii="Times New Roman" w:hAnsi="Times New Roman" w:cs="Times New Roman"/>
          <w:sz w:val="24"/>
          <w:szCs w:val="24"/>
        </w:rPr>
        <w:t>hypophthalmus</w:t>
      </w:r>
      <w:proofErr w:type="spellEnd"/>
      <w:r w:rsidRPr="001872A6">
        <w:rPr>
          <w:rFonts w:ascii="Times New Roman" w:hAnsi="Times New Roman" w:cs="Times New Roman"/>
          <w:sz w:val="24"/>
          <w:szCs w:val="24"/>
        </w:rPr>
        <w:t>. </w:t>
      </w:r>
      <w:r w:rsidRPr="001872A6">
        <w:rPr>
          <w:rFonts w:ascii="Times New Roman" w:hAnsi="Times New Roman" w:cs="Times New Roman"/>
          <w:i/>
          <w:iCs/>
          <w:sz w:val="24"/>
          <w:szCs w:val="24"/>
        </w:rPr>
        <w:t>Aquaculture Reports</w:t>
      </w:r>
      <w:r w:rsidRPr="001872A6">
        <w:rPr>
          <w:rFonts w:ascii="Times New Roman" w:hAnsi="Times New Roman" w:cs="Times New Roman"/>
          <w:sz w:val="24"/>
          <w:szCs w:val="24"/>
        </w:rPr>
        <w:t>, </w:t>
      </w:r>
      <w:r w:rsidRPr="001872A6">
        <w:rPr>
          <w:rFonts w:ascii="Times New Roman" w:hAnsi="Times New Roman" w:cs="Times New Roman"/>
          <w:i/>
          <w:iCs/>
          <w:sz w:val="24"/>
          <w:szCs w:val="24"/>
        </w:rPr>
        <w:t>13</w:t>
      </w:r>
      <w:r w:rsidRPr="001872A6">
        <w:rPr>
          <w:rFonts w:ascii="Times New Roman" w:hAnsi="Times New Roman" w:cs="Times New Roman"/>
          <w:sz w:val="24"/>
          <w:szCs w:val="24"/>
        </w:rPr>
        <w:t>, 100179.</w:t>
      </w:r>
    </w:p>
    <w:p w14:paraId="5EB66613" w14:textId="6D3F8A73"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Jayant, M., Muralidhar, A. P., Sahu, N. P., Jain, K. K., Pal, A. K., &amp; Srivastava, P. </w:t>
      </w:r>
      <w:r w:rsidRPr="00C32F46">
        <w:rPr>
          <w:rFonts w:ascii="Times New Roman" w:hAnsi="Times New Roman" w:cs="Times New Roman"/>
          <w:sz w:val="24"/>
          <w:szCs w:val="24"/>
        </w:rPr>
        <w:tab/>
        <w:t xml:space="preserve">P. </w:t>
      </w:r>
      <w:r w:rsidRPr="00C32F46">
        <w:rPr>
          <w:rFonts w:ascii="Times New Roman" w:hAnsi="Times New Roman" w:cs="Times New Roman"/>
          <w:sz w:val="24"/>
          <w:szCs w:val="24"/>
        </w:rPr>
        <w:tab/>
        <w:t xml:space="preserve">(2018). Protein requirement of juvenile striped catfish,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r w:rsidRPr="00C32F46">
        <w:rPr>
          <w:rFonts w:ascii="Times New Roman" w:hAnsi="Times New Roman" w:cs="Times New Roman"/>
          <w:i/>
          <w:iCs/>
          <w:sz w:val="24"/>
          <w:szCs w:val="24"/>
        </w:rPr>
        <w:tab/>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i/>
          <w:iCs/>
          <w:sz w:val="24"/>
          <w:szCs w:val="24"/>
        </w:rPr>
        <w:t>.</w:t>
      </w:r>
      <w:r w:rsidRPr="00C32F46">
        <w:rPr>
          <w:rFonts w:ascii="Times New Roman" w:hAnsi="Times New Roman" w:cs="Times New Roman"/>
          <w:sz w:val="24"/>
          <w:szCs w:val="24"/>
        </w:rPr>
        <w:t xml:space="preserve"> </w:t>
      </w:r>
      <w:r w:rsidRPr="00C32F46">
        <w:rPr>
          <w:rFonts w:ascii="Times New Roman" w:hAnsi="Times New Roman" w:cs="Times New Roman"/>
          <w:i/>
          <w:iCs/>
          <w:sz w:val="24"/>
          <w:szCs w:val="24"/>
        </w:rPr>
        <w:t>Aquaculture International</w:t>
      </w:r>
      <w:r w:rsidRPr="00C32F46">
        <w:rPr>
          <w:rFonts w:ascii="Times New Roman" w:hAnsi="Times New Roman" w:cs="Times New Roman"/>
          <w:sz w:val="24"/>
          <w:szCs w:val="24"/>
        </w:rPr>
        <w:t xml:space="preserve">, 26(2), 555–568. </w:t>
      </w:r>
      <w:r w:rsidRPr="00C32F46">
        <w:rPr>
          <w:rFonts w:ascii="Times New Roman" w:hAnsi="Times New Roman" w:cs="Times New Roman"/>
          <w:sz w:val="24"/>
          <w:szCs w:val="24"/>
        </w:rPr>
        <w:tab/>
      </w:r>
      <w:hyperlink r:id="rId17" w:history="1">
        <w:r w:rsidRPr="00C32F46">
          <w:rPr>
            <w:rStyle w:val="Hyperlink"/>
            <w:rFonts w:ascii="Times New Roman" w:hAnsi="Times New Roman" w:cs="Times New Roman"/>
            <w:sz w:val="24"/>
            <w:szCs w:val="24"/>
          </w:rPr>
          <w:t>https://doi.org/10.1007/s10499-017-0216-0</w:t>
        </w:r>
      </w:hyperlink>
    </w:p>
    <w:p w14:paraId="1676D640" w14:textId="77777777" w:rsidR="002A7CE1" w:rsidRPr="00C32F46" w:rsidRDefault="002A7CE1" w:rsidP="00AE1BA5">
      <w:pPr>
        <w:spacing w:after="200" w:line="360" w:lineRule="auto"/>
        <w:jc w:val="both"/>
        <w:rPr>
          <w:rStyle w:val="Hyperlink"/>
          <w:rFonts w:ascii="Times New Roman" w:hAnsi="Times New Roman" w:cs="Times New Roman"/>
          <w:sz w:val="24"/>
          <w:szCs w:val="24"/>
        </w:rPr>
      </w:pPr>
      <w:r w:rsidRPr="00C32F46">
        <w:rPr>
          <w:rFonts w:ascii="Times New Roman" w:hAnsi="Times New Roman" w:cs="Times New Roman"/>
          <w:sz w:val="24"/>
          <w:szCs w:val="24"/>
        </w:rPr>
        <w:t xml:space="preserve">Kumar, M., Dube, K., Tiwari, V. K., Reddy, A. K., &amp; Chaturvedi, C. S. (2017). </w:t>
      </w:r>
      <w:r w:rsidRPr="00C32F46">
        <w:rPr>
          <w:rFonts w:ascii="Times New Roman" w:hAnsi="Times New Roman" w:cs="Times New Roman"/>
          <w:sz w:val="24"/>
          <w:szCs w:val="24"/>
        </w:rPr>
        <w:tab/>
        <w:t xml:space="preserve">Comparative performance of </w:t>
      </w:r>
      <w:proofErr w:type="spellStart"/>
      <w:r w:rsidRPr="00C32F46">
        <w:rPr>
          <w:rStyle w:val="Emphasis"/>
          <w:rFonts w:ascii="Times New Roman" w:hAnsi="Times New Roman" w:cs="Times New Roman"/>
          <w:sz w:val="24"/>
          <w:szCs w:val="24"/>
        </w:rPr>
        <w:t>Pangasianodon</w:t>
      </w:r>
      <w:proofErr w:type="spellEnd"/>
      <w:r w:rsidRPr="00C32F46">
        <w:rPr>
          <w:rStyle w:val="Emphasis"/>
          <w:rFonts w:ascii="Times New Roman" w:hAnsi="Times New Roman" w:cs="Times New Roman"/>
          <w:sz w:val="24"/>
          <w:szCs w:val="24"/>
        </w:rPr>
        <w:t xml:space="preserve"> </w:t>
      </w:r>
      <w:proofErr w:type="spellStart"/>
      <w:r w:rsidRPr="00C32F46">
        <w:rPr>
          <w:rStyle w:val="Emphasis"/>
          <w:rFonts w:ascii="Times New Roman" w:hAnsi="Times New Roman" w:cs="Times New Roman"/>
          <w:sz w:val="24"/>
          <w:szCs w:val="24"/>
        </w:rPr>
        <w:t>hypophthalmus</w:t>
      </w:r>
      <w:proofErr w:type="spellEnd"/>
      <w:r w:rsidRPr="00C32F46">
        <w:rPr>
          <w:rFonts w:ascii="Times New Roman" w:hAnsi="Times New Roman" w:cs="Times New Roman"/>
          <w:sz w:val="24"/>
          <w:szCs w:val="24"/>
        </w:rPr>
        <w:t xml:space="preserve"> (Sauvage, 1878) </w:t>
      </w:r>
      <w:r w:rsidRPr="00C32F46">
        <w:rPr>
          <w:rFonts w:ascii="Times New Roman" w:hAnsi="Times New Roman" w:cs="Times New Roman"/>
          <w:sz w:val="24"/>
          <w:szCs w:val="24"/>
        </w:rPr>
        <w:tab/>
        <w:t xml:space="preserve">culture in cages and ponds. </w:t>
      </w:r>
      <w:r w:rsidRPr="00C32F46">
        <w:rPr>
          <w:rFonts w:ascii="Times New Roman" w:hAnsi="Times New Roman" w:cs="Times New Roman"/>
          <w:i/>
          <w:iCs/>
          <w:sz w:val="24"/>
          <w:szCs w:val="24"/>
        </w:rPr>
        <w:t>International</w:t>
      </w:r>
      <w:r w:rsidRPr="00C32F46">
        <w:rPr>
          <w:rStyle w:val="Emphasis"/>
          <w:rFonts w:ascii="Times New Roman" w:hAnsi="Times New Roman" w:cs="Times New Roman"/>
          <w:sz w:val="24"/>
          <w:szCs w:val="24"/>
        </w:rPr>
        <w:t xml:space="preserve"> Journal of Current Microbiology and </w:t>
      </w:r>
      <w:r w:rsidRPr="00C32F46">
        <w:rPr>
          <w:rStyle w:val="Emphasis"/>
          <w:rFonts w:ascii="Times New Roman" w:hAnsi="Times New Roman" w:cs="Times New Roman"/>
          <w:sz w:val="24"/>
          <w:szCs w:val="24"/>
        </w:rPr>
        <w:tab/>
        <w:t>Applied Sciences, 6(10)</w:t>
      </w:r>
      <w:r w:rsidRPr="00C32F46">
        <w:rPr>
          <w:rFonts w:ascii="Times New Roman" w:hAnsi="Times New Roman" w:cs="Times New Roman"/>
          <w:sz w:val="24"/>
          <w:szCs w:val="24"/>
        </w:rPr>
        <w:t xml:space="preserve"> 1679–1688. </w:t>
      </w:r>
      <w:r w:rsidRPr="00C32F46">
        <w:rPr>
          <w:rFonts w:ascii="Times New Roman" w:hAnsi="Times New Roman" w:cs="Times New Roman"/>
          <w:sz w:val="24"/>
          <w:szCs w:val="24"/>
        </w:rPr>
        <w:tab/>
      </w:r>
      <w:hyperlink r:id="rId18" w:history="1">
        <w:r w:rsidRPr="00C32F46">
          <w:rPr>
            <w:rStyle w:val="Hyperlink"/>
            <w:rFonts w:ascii="Times New Roman" w:hAnsi="Times New Roman" w:cs="Times New Roman"/>
            <w:sz w:val="24"/>
            <w:szCs w:val="24"/>
          </w:rPr>
          <w:t>https://doi.org/10.20546/ijcmas.2017.610.203</w:t>
        </w:r>
      </w:hyperlink>
    </w:p>
    <w:p w14:paraId="4A10DEAC" w14:textId="132BEC2E"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Kumar, N., Thorat, S. T., </w:t>
      </w:r>
      <w:proofErr w:type="spellStart"/>
      <w:r w:rsidRPr="00C32F46">
        <w:rPr>
          <w:rFonts w:ascii="Times New Roman" w:hAnsi="Times New Roman" w:cs="Times New Roman"/>
          <w:sz w:val="24"/>
          <w:szCs w:val="24"/>
        </w:rPr>
        <w:t>Kochewad</w:t>
      </w:r>
      <w:proofErr w:type="spellEnd"/>
      <w:r w:rsidRPr="00C32F46">
        <w:rPr>
          <w:rFonts w:ascii="Times New Roman" w:hAnsi="Times New Roman" w:cs="Times New Roman"/>
          <w:sz w:val="24"/>
          <w:szCs w:val="24"/>
        </w:rPr>
        <w:t xml:space="preserve">, S. A., &amp; Reddy, K. S. (2024). Manganese </w:t>
      </w:r>
      <w:r w:rsidRPr="00C32F46">
        <w:rPr>
          <w:rFonts w:ascii="Times New Roman" w:hAnsi="Times New Roman" w:cs="Times New Roman"/>
          <w:sz w:val="24"/>
          <w:szCs w:val="24"/>
        </w:rPr>
        <w:tab/>
        <w:t xml:space="preserve">nutrient </w:t>
      </w:r>
      <w:r w:rsidRPr="00C32F46">
        <w:rPr>
          <w:rFonts w:ascii="Times New Roman" w:hAnsi="Times New Roman" w:cs="Times New Roman"/>
          <w:sz w:val="24"/>
          <w:szCs w:val="24"/>
        </w:rPr>
        <w:tab/>
        <w:t xml:space="preserve">mitigates ammonia, arsenic toxicity and high temperature stress using </w:t>
      </w:r>
      <w:r w:rsidRPr="00C32F46">
        <w:rPr>
          <w:rFonts w:ascii="Times New Roman" w:hAnsi="Times New Roman" w:cs="Times New Roman"/>
          <w:sz w:val="24"/>
          <w:szCs w:val="24"/>
        </w:rPr>
        <w:tab/>
        <w:t xml:space="preserve">gene </w:t>
      </w:r>
      <w:r w:rsidRPr="00C32F46">
        <w:rPr>
          <w:rFonts w:ascii="Times New Roman" w:hAnsi="Times New Roman" w:cs="Times New Roman"/>
          <w:sz w:val="24"/>
          <w:szCs w:val="24"/>
        </w:rPr>
        <w:lastRenderedPageBreak/>
        <w:tab/>
        <w:t xml:space="preserve">regulation via </w:t>
      </w:r>
      <w:proofErr w:type="spellStart"/>
      <w:r w:rsidRPr="00C32F46">
        <w:rPr>
          <w:rFonts w:ascii="Times New Roman" w:hAnsi="Times New Roman" w:cs="Times New Roman"/>
          <w:sz w:val="24"/>
          <w:szCs w:val="24"/>
        </w:rPr>
        <w:t>NFkB</w:t>
      </w:r>
      <w:proofErr w:type="spellEnd"/>
      <w:r w:rsidRPr="00C32F46">
        <w:rPr>
          <w:rFonts w:ascii="Times New Roman" w:hAnsi="Times New Roman" w:cs="Times New Roman"/>
          <w:sz w:val="24"/>
          <w:szCs w:val="24"/>
        </w:rPr>
        <w:t xml:space="preserve"> mechanism in fish. </w:t>
      </w:r>
      <w:r w:rsidRPr="00C32F46">
        <w:rPr>
          <w:rFonts w:ascii="Times New Roman" w:hAnsi="Times New Roman" w:cs="Times New Roman"/>
          <w:i/>
          <w:iCs/>
          <w:sz w:val="24"/>
          <w:szCs w:val="24"/>
        </w:rPr>
        <w:t>Scientific Reports</w:t>
      </w:r>
      <w:r w:rsidRPr="00C32F46">
        <w:rPr>
          <w:rFonts w:ascii="Times New Roman" w:hAnsi="Times New Roman" w:cs="Times New Roman"/>
          <w:sz w:val="24"/>
          <w:szCs w:val="24"/>
        </w:rPr>
        <w:t xml:space="preserve">, 14. </w:t>
      </w:r>
      <w:r w:rsidRPr="00C32F46">
        <w:rPr>
          <w:rFonts w:ascii="Times New Roman" w:hAnsi="Times New Roman" w:cs="Times New Roman"/>
          <w:sz w:val="24"/>
          <w:szCs w:val="24"/>
        </w:rPr>
        <w:tab/>
      </w:r>
      <w:hyperlink r:id="rId19" w:history="1">
        <w:r w:rsidRPr="00C32F46">
          <w:rPr>
            <w:rStyle w:val="Hyperlink"/>
            <w:rFonts w:ascii="Times New Roman" w:hAnsi="Times New Roman" w:cs="Times New Roman"/>
            <w:sz w:val="24"/>
            <w:szCs w:val="24"/>
          </w:rPr>
          <w:t>https://doi.org/10.1038/s41598- 024-51740-1</w:t>
        </w:r>
      </w:hyperlink>
    </w:p>
    <w:p w14:paraId="043B5982" w14:textId="77777777" w:rsidR="002A7CE1" w:rsidRPr="00C32F46" w:rsidRDefault="002A7CE1" w:rsidP="00AE1BA5">
      <w:pPr>
        <w:spacing w:after="200" w:line="360" w:lineRule="auto"/>
        <w:jc w:val="both"/>
        <w:rPr>
          <w:rStyle w:val="Hyperlink"/>
          <w:rFonts w:ascii="Times New Roman" w:hAnsi="Times New Roman" w:cs="Times New Roman"/>
          <w:sz w:val="24"/>
          <w:szCs w:val="24"/>
        </w:rPr>
      </w:pPr>
      <w:r w:rsidRPr="00C32F46">
        <w:rPr>
          <w:rFonts w:ascii="Times New Roman" w:hAnsi="Times New Roman" w:cs="Times New Roman"/>
          <w:sz w:val="24"/>
          <w:szCs w:val="24"/>
        </w:rPr>
        <w:t xml:space="preserve">Kumar, V., &amp; Karnatak, G. (2014). Engineering consideration for cage aquaculture. </w:t>
      </w:r>
      <w:r w:rsidRPr="00C32F46">
        <w:rPr>
          <w:rFonts w:ascii="Times New Roman" w:hAnsi="Times New Roman" w:cs="Times New Roman"/>
          <w:sz w:val="24"/>
          <w:szCs w:val="24"/>
        </w:rPr>
        <w:tab/>
      </w:r>
      <w:r w:rsidRPr="00C32F46">
        <w:rPr>
          <w:rFonts w:ascii="Times New Roman" w:hAnsi="Times New Roman" w:cs="Times New Roman"/>
          <w:i/>
          <w:iCs/>
          <w:sz w:val="24"/>
          <w:szCs w:val="24"/>
        </w:rPr>
        <w:t>IOSR Journal of Engineering</w:t>
      </w:r>
      <w:r w:rsidRPr="00C32F46">
        <w:rPr>
          <w:rFonts w:ascii="Times New Roman" w:hAnsi="Times New Roman" w:cs="Times New Roman"/>
          <w:sz w:val="24"/>
          <w:szCs w:val="24"/>
        </w:rPr>
        <w:t xml:space="preserve">, 4(6), 11–18. </w:t>
      </w:r>
      <w:hyperlink r:id="rId20" w:history="1">
        <w:r w:rsidRPr="00C32F46">
          <w:rPr>
            <w:rStyle w:val="Hyperlink"/>
            <w:rFonts w:ascii="Times New Roman" w:hAnsi="Times New Roman" w:cs="Times New Roman"/>
            <w:sz w:val="24"/>
            <w:szCs w:val="24"/>
          </w:rPr>
          <w:t>https://doi.org/10.9790/3021-</w:t>
        </w:r>
        <w:r w:rsidRPr="00C32F46">
          <w:rPr>
            <w:rStyle w:val="Hyperlink"/>
            <w:rFonts w:ascii="Times New Roman" w:hAnsi="Times New Roman" w:cs="Times New Roman"/>
            <w:sz w:val="24"/>
            <w:szCs w:val="24"/>
          </w:rPr>
          <w:tab/>
          <w:t>04661118</w:t>
        </w:r>
      </w:hyperlink>
    </w:p>
    <w:p w14:paraId="73E58EB7" w14:textId="171069FE"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Kumar, V., &amp; Panwar, G. (2020). Cage culture system principles and practices in </w:t>
      </w:r>
      <w:r w:rsidRPr="00C32F46">
        <w:rPr>
          <w:rFonts w:ascii="Times New Roman" w:hAnsi="Times New Roman" w:cs="Times New Roman"/>
          <w:sz w:val="24"/>
          <w:szCs w:val="24"/>
        </w:rPr>
        <w:tab/>
        <w:t xml:space="preserve">India: A </w:t>
      </w:r>
      <w:r w:rsidRPr="00C32F46">
        <w:rPr>
          <w:rFonts w:ascii="Times New Roman" w:hAnsi="Times New Roman" w:cs="Times New Roman"/>
          <w:sz w:val="24"/>
          <w:szCs w:val="24"/>
        </w:rPr>
        <w:tab/>
        <w:t xml:space="preserve">review. </w:t>
      </w:r>
      <w:r w:rsidRPr="00C32F46">
        <w:rPr>
          <w:rFonts w:ascii="Times New Roman" w:hAnsi="Times New Roman" w:cs="Times New Roman"/>
          <w:i/>
          <w:iCs/>
          <w:sz w:val="24"/>
          <w:szCs w:val="24"/>
        </w:rPr>
        <w:t>International Journal of Chemical Studies</w:t>
      </w:r>
      <w:r w:rsidRPr="00C32F46">
        <w:rPr>
          <w:rFonts w:ascii="Times New Roman" w:hAnsi="Times New Roman" w:cs="Times New Roman"/>
          <w:sz w:val="24"/>
          <w:szCs w:val="24"/>
        </w:rPr>
        <w:t xml:space="preserve">, 8, 118-124. </w:t>
      </w:r>
      <w:r w:rsidRPr="00C32F46">
        <w:rPr>
          <w:rFonts w:ascii="Times New Roman" w:hAnsi="Times New Roman" w:cs="Times New Roman"/>
          <w:sz w:val="24"/>
          <w:szCs w:val="24"/>
        </w:rPr>
        <w:tab/>
      </w:r>
      <w:hyperlink r:id="rId21" w:history="1">
        <w:r w:rsidRPr="00C32F46">
          <w:rPr>
            <w:rStyle w:val="Hyperlink"/>
            <w:rFonts w:ascii="Times New Roman" w:hAnsi="Times New Roman" w:cs="Times New Roman"/>
            <w:sz w:val="24"/>
            <w:szCs w:val="24"/>
          </w:rPr>
          <w:t>https://doi.org/10.22271/chemi.2020.v8.i5b.10456</w:t>
        </w:r>
      </w:hyperlink>
      <w:r w:rsidRPr="00C32F46">
        <w:rPr>
          <w:rFonts w:ascii="Times New Roman" w:hAnsi="Times New Roman" w:cs="Times New Roman"/>
          <w:sz w:val="24"/>
          <w:szCs w:val="24"/>
        </w:rPr>
        <w:t>.</w:t>
      </w:r>
    </w:p>
    <w:p w14:paraId="48A0EF0D" w14:textId="77777777" w:rsidR="002A7CE1" w:rsidRPr="00C32F46" w:rsidRDefault="002A7CE1" w:rsidP="00AE1BA5">
      <w:pPr>
        <w:spacing w:line="360" w:lineRule="auto"/>
        <w:ind w:left="720" w:hanging="720"/>
        <w:jc w:val="both"/>
        <w:rPr>
          <w:rFonts w:ascii="Times New Roman" w:hAnsi="Times New Roman" w:cs="Times New Roman"/>
          <w:sz w:val="24"/>
          <w:szCs w:val="24"/>
        </w:rPr>
      </w:pPr>
      <w:r w:rsidRPr="00C32F46">
        <w:rPr>
          <w:rFonts w:ascii="Times New Roman" w:hAnsi="Times New Roman" w:cs="Times New Roman"/>
          <w:sz w:val="24"/>
          <w:szCs w:val="24"/>
        </w:rPr>
        <w:t>Kunda, M., Kawsar, M. A., Adikari, D., Rishan, S. T., Harun-Al-Rashid, A., &amp; Pandit, D. (2024). Investigation of the pangas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cultivation sustainability in cages at the </w:t>
      </w:r>
      <w:proofErr w:type="spellStart"/>
      <w:r w:rsidRPr="00C32F46">
        <w:rPr>
          <w:rFonts w:ascii="Times New Roman" w:hAnsi="Times New Roman" w:cs="Times New Roman"/>
          <w:sz w:val="24"/>
          <w:szCs w:val="24"/>
        </w:rPr>
        <w:t>Ratargul</w:t>
      </w:r>
      <w:proofErr w:type="spellEnd"/>
      <w:r w:rsidRPr="00C32F46">
        <w:rPr>
          <w:rFonts w:ascii="Times New Roman" w:hAnsi="Times New Roman" w:cs="Times New Roman"/>
          <w:sz w:val="24"/>
          <w:szCs w:val="24"/>
        </w:rPr>
        <w:t xml:space="preserve"> Freshwater Swamp Forest of Bangladesh. Aquaculture, </w:t>
      </w:r>
      <w:r w:rsidRPr="00C32F46">
        <w:rPr>
          <w:rFonts w:ascii="Times New Roman" w:hAnsi="Times New Roman" w:cs="Times New Roman"/>
          <w:i/>
          <w:iCs/>
          <w:sz w:val="24"/>
          <w:szCs w:val="24"/>
        </w:rPr>
        <w:t>Fish and Fisheries</w:t>
      </w:r>
      <w:r w:rsidRPr="00C32F46">
        <w:rPr>
          <w:rFonts w:ascii="Times New Roman" w:hAnsi="Times New Roman" w:cs="Times New Roman"/>
          <w:sz w:val="24"/>
          <w:szCs w:val="24"/>
        </w:rPr>
        <w:t xml:space="preserve">, 4, e193. </w:t>
      </w:r>
      <w:hyperlink r:id="rId22" w:history="1">
        <w:r w:rsidRPr="00C32F46">
          <w:rPr>
            <w:rStyle w:val="Hyperlink"/>
            <w:rFonts w:ascii="Times New Roman" w:hAnsi="Times New Roman" w:cs="Times New Roman"/>
            <w:sz w:val="24"/>
            <w:szCs w:val="24"/>
          </w:rPr>
          <w:t>https://doi.org/10.1002/aff2.193</w:t>
        </w:r>
      </w:hyperlink>
    </w:p>
    <w:p w14:paraId="4ABE5BCB"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Li, Q., Gowing, J., &amp; </w:t>
      </w:r>
      <w:proofErr w:type="spellStart"/>
      <w:r w:rsidRPr="00C32F46">
        <w:rPr>
          <w:rFonts w:ascii="Times New Roman" w:hAnsi="Times New Roman" w:cs="Times New Roman"/>
          <w:sz w:val="24"/>
          <w:szCs w:val="24"/>
        </w:rPr>
        <w:t>Mayilswami</w:t>
      </w:r>
      <w:proofErr w:type="spellEnd"/>
      <w:r w:rsidRPr="00C32F46">
        <w:rPr>
          <w:rFonts w:ascii="Times New Roman" w:hAnsi="Times New Roman" w:cs="Times New Roman"/>
          <w:sz w:val="24"/>
          <w:szCs w:val="24"/>
        </w:rPr>
        <w:t xml:space="preserve">, C. (2005). Multiple‐use management in a large </w:t>
      </w:r>
      <w:r w:rsidRPr="00C32F46">
        <w:rPr>
          <w:rFonts w:ascii="Times New Roman" w:hAnsi="Times New Roman" w:cs="Times New Roman"/>
          <w:sz w:val="24"/>
          <w:szCs w:val="24"/>
        </w:rPr>
        <w:tab/>
        <w:t xml:space="preserve">irrigation system: an assessment of technical constraints to integrating </w:t>
      </w:r>
      <w:r w:rsidRPr="00C32F46">
        <w:rPr>
          <w:rFonts w:ascii="Times New Roman" w:hAnsi="Times New Roman" w:cs="Times New Roman"/>
          <w:sz w:val="24"/>
          <w:szCs w:val="24"/>
        </w:rPr>
        <w:tab/>
        <w:t xml:space="preserve">aquaculture within irrigation canals. </w:t>
      </w:r>
      <w:r w:rsidRPr="00C32F46">
        <w:rPr>
          <w:rFonts w:ascii="Times New Roman" w:hAnsi="Times New Roman" w:cs="Times New Roman"/>
          <w:i/>
          <w:iCs/>
          <w:sz w:val="24"/>
          <w:szCs w:val="24"/>
        </w:rPr>
        <w:t>Irrigation and Drainage</w:t>
      </w:r>
      <w:r w:rsidRPr="00C32F46">
        <w:rPr>
          <w:rFonts w:ascii="Times New Roman" w:hAnsi="Times New Roman" w:cs="Times New Roman"/>
          <w:sz w:val="24"/>
          <w:szCs w:val="24"/>
        </w:rPr>
        <w:t xml:space="preserve">, 54. </w:t>
      </w:r>
      <w:r w:rsidRPr="00C32F46">
        <w:rPr>
          <w:rFonts w:ascii="Times New Roman" w:hAnsi="Times New Roman" w:cs="Times New Roman"/>
          <w:sz w:val="24"/>
          <w:szCs w:val="24"/>
        </w:rPr>
        <w:tab/>
      </w:r>
      <w:hyperlink r:id="rId23" w:history="1">
        <w:r w:rsidRPr="00C32F46">
          <w:rPr>
            <w:rStyle w:val="Hyperlink"/>
            <w:rFonts w:ascii="Times New Roman" w:hAnsi="Times New Roman" w:cs="Times New Roman"/>
            <w:sz w:val="24"/>
            <w:szCs w:val="24"/>
          </w:rPr>
          <w:t>https://doi.org/10.1002/ird.149</w:t>
        </w:r>
      </w:hyperlink>
      <w:r w:rsidRPr="00C32F46">
        <w:rPr>
          <w:rFonts w:ascii="Times New Roman" w:hAnsi="Times New Roman" w:cs="Times New Roman"/>
          <w:sz w:val="24"/>
          <w:szCs w:val="24"/>
        </w:rPr>
        <w:t>.</w:t>
      </w:r>
    </w:p>
    <w:p w14:paraId="03D455CA"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Lucas, J. (2015). Aquaculture. </w:t>
      </w:r>
      <w:r w:rsidRPr="00C32F46">
        <w:rPr>
          <w:rFonts w:ascii="Times New Roman" w:hAnsi="Times New Roman" w:cs="Times New Roman"/>
          <w:i/>
          <w:iCs/>
          <w:sz w:val="24"/>
          <w:szCs w:val="24"/>
        </w:rPr>
        <w:t>Current Biology</w:t>
      </w:r>
      <w:r w:rsidRPr="00C32F46">
        <w:rPr>
          <w:rFonts w:ascii="Times New Roman" w:hAnsi="Times New Roman" w:cs="Times New Roman"/>
          <w:sz w:val="24"/>
          <w:szCs w:val="24"/>
        </w:rPr>
        <w:t xml:space="preserve">, 25, R1064-R1065. </w:t>
      </w:r>
      <w:r w:rsidRPr="00C32F46">
        <w:rPr>
          <w:rFonts w:ascii="Times New Roman" w:hAnsi="Times New Roman" w:cs="Times New Roman"/>
          <w:sz w:val="24"/>
          <w:szCs w:val="24"/>
        </w:rPr>
        <w:tab/>
      </w:r>
      <w:hyperlink r:id="rId24" w:history="1">
        <w:r w:rsidRPr="00C32F46">
          <w:rPr>
            <w:rStyle w:val="Hyperlink"/>
            <w:rFonts w:ascii="Times New Roman" w:hAnsi="Times New Roman" w:cs="Times New Roman"/>
            <w:sz w:val="24"/>
            <w:szCs w:val="24"/>
          </w:rPr>
          <w:t>https://doi.org/10.1016/j.cub.2015.08.013</w:t>
        </w:r>
      </w:hyperlink>
      <w:r w:rsidRPr="00C32F46">
        <w:rPr>
          <w:rFonts w:ascii="Times New Roman" w:hAnsi="Times New Roman" w:cs="Times New Roman"/>
          <w:sz w:val="24"/>
          <w:szCs w:val="24"/>
        </w:rPr>
        <w:t>.</w:t>
      </w:r>
    </w:p>
    <w:p w14:paraId="03EBCE19"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Mair, G., </w:t>
      </w:r>
      <w:proofErr w:type="spellStart"/>
      <w:r w:rsidRPr="00C32F46">
        <w:rPr>
          <w:rFonts w:ascii="Times New Roman" w:hAnsi="Times New Roman" w:cs="Times New Roman"/>
          <w:sz w:val="24"/>
          <w:szCs w:val="24"/>
        </w:rPr>
        <w:t>Halwart</w:t>
      </w:r>
      <w:proofErr w:type="spellEnd"/>
      <w:r w:rsidRPr="00C32F46">
        <w:rPr>
          <w:rFonts w:ascii="Times New Roman" w:hAnsi="Times New Roman" w:cs="Times New Roman"/>
          <w:sz w:val="24"/>
          <w:szCs w:val="24"/>
        </w:rPr>
        <w:t xml:space="preserve">, M., Derun, Y., &amp; Costa‐Pierce, B. (2023). A decadal outlook for </w:t>
      </w:r>
      <w:r w:rsidRPr="00C32F46">
        <w:rPr>
          <w:rFonts w:ascii="Times New Roman" w:hAnsi="Times New Roman" w:cs="Times New Roman"/>
          <w:sz w:val="24"/>
          <w:szCs w:val="24"/>
        </w:rPr>
        <w:tab/>
        <w:t xml:space="preserve">global aquaculture. </w:t>
      </w:r>
      <w:r w:rsidRPr="00C32F46">
        <w:rPr>
          <w:rFonts w:ascii="Times New Roman" w:hAnsi="Times New Roman" w:cs="Times New Roman"/>
          <w:i/>
          <w:iCs/>
          <w:sz w:val="24"/>
          <w:szCs w:val="24"/>
        </w:rPr>
        <w:t>Journal of the World Aquaculture Society</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25" w:history="1">
        <w:r w:rsidRPr="00C32F46">
          <w:rPr>
            <w:rStyle w:val="Hyperlink"/>
            <w:rFonts w:ascii="Times New Roman" w:hAnsi="Times New Roman" w:cs="Times New Roman"/>
            <w:sz w:val="24"/>
            <w:szCs w:val="24"/>
          </w:rPr>
          <w:t>https://doi.org/10.1111/jwas.12977</w:t>
        </w:r>
      </w:hyperlink>
      <w:r w:rsidRPr="00C32F46">
        <w:rPr>
          <w:rFonts w:ascii="Times New Roman" w:hAnsi="Times New Roman" w:cs="Times New Roman"/>
          <w:sz w:val="24"/>
          <w:szCs w:val="24"/>
        </w:rPr>
        <w:t>.</w:t>
      </w:r>
    </w:p>
    <w:p w14:paraId="084E52E7" w14:textId="19A874BF"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Mansour, A., Ashour, M., </w:t>
      </w:r>
      <w:proofErr w:type="spellStart"/>
      <w:r w:rsidRPr="00C32F46">
        <w:rPr>
          <w:rFonts w:ascii="Times New Roman" w:hAnsi="Times New Roman" w:cs="Times New Roman"/>
          <w:sz w:val="24"/>
          <w:szCs w:val="24"/>
        </w:rPr>
        <w:t>Alprol</w:t>
      </w:r>
      <w:proofErr w:type="spellEnd"/>
      <w:r w:rsidRPr="00C32F46">
        <w:rPr>
          <w:rFonts w:ascii="Times New Roman" w:hAnsi="Times New Roman" w:cs="Times New Roman"/>
          <w:sz w:val="24"/>
          <w:szCs w:val="24"/>
        </w:rPr>
        <w:t xml:space="preserve">, A., &amp; </w:t>
      </w:r>
      <w:proofErr w:type="spellStart"/>
      <w:r w:rsidRPr="00C32F46">
        <w:rPr>
          <w:rFonts w:ascii="Times New Roman" w:hAnsi="Times New Roman" w:cs="Times New Roman"/>
          <w:sz w:val="24"/>
          <w:szCs w:val="24"/>
        </w:rPr>
        <w:t>Alsaqufi</w:t>
      </w:r>
      <w:proofErr w:type="spellEnd"/>
      <w:r w:rsidRPr="00C32F46">
        <w:rPr>
          <w:rFonts w:ascii="Times New Roman" w:hAnsi="Times New Roman" w:cs="Times New Roman"/>
          <w:sz w:val="24"/>
          <w:szCs w:val="24"/>
        </w:rPr>
        <w:t xml:space="preserve">, A. (2022). Aquatic Plants and </w:t>
      </w:r>
      <w:r w:rsidRPr="00C32F46">
        <w:rPr>
          <w:rFonts w:ascii="Times New Roman" w:hAnsi="Times New Roman" w:cs="Times New Roman"/>
          <w:sz w:val="24"/>
          <w:szCs w:val="24"/>
        </w:rPr>
        <w:tab/>
        <w:t xml:space="preserve">Aquatic </w:t>
      </w:r>
      <w:r w:rsidRPr="00C32F46">
        <w:rPr>
          <w:rFonts w:ascii="Times New Roman" w:hAnsi="Times New Roman" w:cs="Times New Roman"/>
          <w:sz w:val="24"/>
          <w:szCs w:val="24"/>
        </w:rPr>
        <w:tab/>
        <w:t xml:space="preserve">Animals in the Context of Sustainability: Cultivation Techniques, </w:t>
      </w:r>
      <w:r w:rsidRPr="00C32F46">
        <w:rPr>
          <w:rFonts w:ascii="Times New Roman" w:hAnsi="Times New Roman" w:cs="Times New Roman"/>
          <w:sz w:val="24"/>
          <w:szCs w:val="24"/>
        </w:rPr>
        <w:tab/>
        <w:t xml:space="preserve">Integration, and </w:t>
      </w:r>
      <w:r w:rsidRPr="00C32F46">
        <w:rPr>
          <w:rFonts w:ascii="Times New Roman" w:hAnsi="Times New Roman" w:cs="Times New Roman"/>
          <w:sz w:val="24"/>
          <w:szCs w:val="24"/>
        </w:rPr>
        <w:tab/>
        <w:t xml:space="preserve">Blue Revolution. </w:t>
      </w:r>
      <w:r w:rsidRPr="00C32F46">
        <w:rPr>
          <w:rFonts w:ascii="Times New Roman" w:hAnsi="Times New Roman" w:cs="Times New Roman"/>
          <w:i/>
          <w:iCs/>
          <w:sz w:val="24"/>
          <w:szCs w:val="24"/>
        </w:rPr>
        <w:t>Sustainability</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26" w:history="1">
        <w:r w:rsidRPr="00C32F46">
          <w:rPr>
            <w:rStyle w:val="Hyperlink"/>
            <w:rFonts w:ascii="Times New Roman" w:hAnsi="Times New Roman" w:cs="Times New Roman"/>
            <w:sz w:val="24"/>
            <w:szCs w:val="24"/>
          </w:rPr>
          <w:t>https://doi.org/10.3390/su14063257</w:t>
        </w:r>
      </w:hyperlink>
      <w:r w:rsidRPr="00C32F46">
        <w:rPr>
          <w:rFonts w:ascii="Times New Roman" w:hAnsi="Times New Roman" w:cs="Times New Roman"/>
          <w:sz w:val="24"/>
          <w:szCs w:val="24"/>
        </w:rPr>
        <w:t>.</w:t>
      </w:r>
    </w:p>
    <w:p w14:paraId="3FCF15C6" w14:textId="77777777" w:rsidR="002A7CE1" w:rsidRPr="00C32F46" w:rsidRDefault="002A7CE1" w:rsidP="00AE1BA5">
      <w:pPr>
        <w:spacing w:after="200" w:line="360" w:lineRule="auto"/>
        <w:jc w:val="both"/>
        <w:rPr>
          <w:rStyle w:val="Hyperlink"/>
          <w:rFonts w:ascii="Times New Roman" w:hAnsi="Times New Roman" w:cs="Times New Roman"/>
          <w:sz w:val="24"/>
          <w:szCs w:val="24"/>
        </w:rPr>
      </w:pPr>
      <w:r w:rsidRPr="00C32F46">
        <w:rPr>
          <w:rFonts w:ascii="Times New Roman" w:hAnsi="Times New Roman" w:cs="Times New Roman"/>
          <w:sz w:val="24"/>
          <w:szCs w:val="24"/>
        </w:rPr>
        <w:t xml:space="preserve">Maurya, V. S., Dixit, M., &amp; Vyas, V. (2025). Comparative evaluation of growth </w:t>
      </w:r>
      <w:r w:rsidRPr="00C32F46">
        <w:rPr>
          <w:rFonts w:ascii="Times New Roman" w:hAnsi="Times New Roman" w:cs="Times New Roman"/>
          <w:sz w:val="24"/>
          <w:szCs w:val="24"/>
        </w:rPr>
        <w:tab/>
        <w:t xml:space="preserve">performance, mortality rate, survival rate, and feed conversion ratio (FCR) of </w:t>
      </w:r>
      <w:r w:rsidRPr="00C32F46">
        <w:rPr>
          <w:rFonts w:ascii="Times New Roman" w:hAnsi="Times New Roman" w:cs="Times New Roman"/>
          <w:sz w:val="24"/>
          <w:szCs w:val="24"/>
        </w:rPr>
        <w:tab/>
      </w:r>
      <w:r w:rsidRPr="00C32F46">
        <w:rPr>
          <w:rStyle w:val="Emphasis"/>
          <w:rFonts w:ascii="Times New Roman" w:hAnsi="Times New Roman" w:cs="Times New Roman"/>
          <w:sz w:val="24"/>
          <w:szCs w:val="24"/>
        </w:rPr>
        <w:t xml:space="preserve">Pangasius </w:t>
      </w:r>
      <w:proofErr w:type="spellStart"/>
      <w:r w:rsidRPr="00C32F46">
        <w:rPr>
          <w:rStyle w:val="Emphasis"/>
          <w:rFonts w:ascii="Times New Roman" w:hAnsi="Times New Roman" w:cs="Times New Roman"/>
          <w:sz w:val="24"/>
          <w:szCs w:val="24"/>
        </w:rPr>
        <w:t>pangasius</w:t>
      </w:r>
      <w:proofErr w:type="spellEnd"/>
      <w:r w:rsidRPr="00C32F46">
        <w:rPr>
          <w:rFonts w:ascii="Times New Roman" w:hAnsi="Times New Roman" w:cs="Times New Roman"/>
          <w:sz w:val="24"/>
          <w:szCs w:val="24"/>
        </w:rPr>
        <w:t xml:space="preserve"> in </w:t>
      </w:r>
      <w:proofErr w:type="spellStart"/>
      <w:r w:rsidRPr="00C32F46">
        <w:rPr>
          <w:rFonts w:ascii="Times New Roman" w:hAnsi="Times New Roman" w:cs="Times New Roman"/>
          <w:sz w:val="24"/>
          <w:szCs w:val="24"/>
        </w:rPr>
        <w:t>biofloc</w:t>
      </w:r>
      <w:proofErr w:type="spellEnd"/>
      <w:r w:rsidRPr="00C32F46">
        <w:rPr>
          <w:rFonts w:ascii="Times New Roman" w:hAnsi="Times New Roman" w:cs="Times New Roman"/>
          <w:sz w:val="24"/>
          <w:szCs w:val="24"/>
        </w:rPr>
        <w:t xml:space="preserve"> tank and cage culture systems. </w:t>
      </w:r>
      <w:r w:rsidRPr="00C32F46">
        <w:rPr>
          <w:rStyle w:val="Emphasis"/>
          <w:rFonts w:ascii="Times New Roman" w:hAnsi="Times New Roman" w:cs="Times New Roman"/>
          <w:sz w:val="24"/>
          <w:szCs w:val="24"/>
        </w:rPr>
        <w:t xml:space="preserve">International </w:t>
      </w:r>
      <w:r w:rsidRPr="00C32F46">
        <w:rPr>
          <w:rStyle w:val="Emphasis"/>
          <w:rFonts w:ascii="Times New Roman" w:hAnsi="Times New Roman" w:cs="Times New Roman"/>
          <w:sz w:val="24"/>
          <w:szCs w:val="24"/>
        </w:rPr>
        <w:tab/>
        <w:t>Journal for Research in Applied Science &amp; Engineering Technology, 13</w:t>
      </w:r>
      <w:r w:rsidRPr="00C32F46">
        <w:rPr>
          <w:rFonts w:ascii="Times New Roman" w:hAnsi="Times New Roman" w:cs="Times New Roman"/>
          <w:sz w:val="24"/>
          <w:szCs w:val="24"/>
        </w:rPr>
        <w:t xml:space="preserve">(11). </w:t>
      </w:r>
      <w:r w:rsidRPr="00C32F46">
        <w:rPr>
          <w:rFonts w:ascii="Times New Roman" w:hAnsi="Times New Roman" w:cs="Times New Roman"/>
          <w:sz w:val="24"/>
          <w:szCs w:val="24"/>
        </w:rPr>
        <w:tab/>
      </w:r>
      <w:hyperlink r:id="rId27" w:history="1">
        <w:r w:rsidRPr="00C32F46">
          <w:rPr>
            <w:rStyle w:val="Hyperlink"/>
            <w:rFonts w:ascii="Times New Roman" w:hAnsi="Times New Roman" w:cs="Times New Roman"/>
            <w:sz w:val="24"/>
            <w:szCs w:val="24"/>
          </w:rPr>
          <w:t>https://doi.org/10.22214/ijraset.2025.75018</w:t>
        </w:r>
      </w:hyperlink>
    </w:p>
    <w:p w14:paraId="06832D11"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Nie, P. (2022). More and diverse contributions from aquaculture. </w:t>
      </w:r>
      <w:r w:rsidRPr="00C32F46">
        <w:rPr>
          <w:rFonts w:ascii="Times New Roman" w:hAnsi="Times New Roman" w:cs="Times New Roman"/>
          <w:i/>
          <w:iCs/>
          <w:sz w:val="24"/>
          <w:szCs w:val="24"/>
        </w:rPr>
        <w:t xml:space="preserve">Reviews in </w:t>
      </w:r>
      <w:r w:rsidRPr="00C32F46">
        <w:rPr>
          <w:rFonts w:ascii="Times New Roman" w:hAnsi="Times New Roman" w:cs="Times New Roman"/>
          <w:i/>
          <w:iCs/>
          <w:sz w:val="24"/>
          <w:szCs w:val="24"/>
        </w:rPr>
        <w:tab/>
        <w:t>Aquaculture</w:t>
      </w:r>
      <w:r w:rsidRPr="00C32F46">
        <w:rPr>
          <w:rFonts w:ascii="Times New Roman" w:hAnsi="Times New Roman" w:cs="Times New Roman"/>
          <w:sz w:val="24"/>
          <w:szCs w:val="24"/>
        </w:rPr>
        <w:t xml:space="preserve">. </w:t>
      </w:r>
      <w:hyperlink r:id="rId28" w:history="1">
        <w:r w:rsidRPr="00C32F46">
          <w:rPr>
            <w:rStyle w:val="Hyperlink"/>
            <w:rFonts w:ascii="Times New Roman" w:hAnsi="Times New Roman" w:cs="Times New Roman"/>
            <w:sz w:val="24"/>
            <w:szCs w:val="24"/>
          </w:rPr>
          <w:t>https://doi.org/10.1111/raq.12757</w:t>
        </w:r>
      </w:hyperlink>
      <w:r w:rsidRPr="00C32F46">
        <w:rPr>
          <w:rFonts w:ascii="Times New Roman" w:hAnsi="Times New Roman" w:cs="Times New Roman"/>
          <w:sz w:val="24"/>
          <w:szCs w:val="24"/>
        </w:rPr>
        <w:t>.</w:t>
      </w:r>
    </w:p>
    <w:p w14:paraId="71649A5F" w14:textId="2D5D2A44"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lastRenderedPageBreak/>
        <w:t xml:space="preserve">Nigam, J., Raju, T., &amp; Pannala, R. (2023). Performance Evaluation of Irrigation </w:t>
      </w:r>
      <w:r w:rsidRPr="00C32F46">
        <w:rPr>
          <w:rFonts w:ascii="Times New Roman" w:hAnsi="Times New Roman" w:cs="Times New Roman"/>
          <w:sz w:val="24"/>
          <w:szCs w:val="24"/>
        </w:rPr>
        <w:tab/>
        <w:t xml:space="preserve">Canals </w:t>
      </w:r>
      <w:r w:rsidRPr="00C32F46">
        <w:rPr>
          <w:rFonts w:ascii="Times New Roman" w:hAnsi="Times New Roman" w:cs="Times New Roman"/>
          <w:sz w:val="24"/>
          <w:szCs w:val="24"/>
        </w:rPr>
        <w:tab/>
        <w:t xml:space="preserve">Using Data Envelopment Analysis for Efficient and Sustainable </w:t>
      </w:r>
      <w:r w:rsidRPr="00C32F46">
        <w:rPr>
          <w:rFonts w:ascii="Times New Roman" w:hAnsi="Times New Roman" w:cs="Times New Roman"/>
          <w:sz w:val="24"/>
          <w:szCs w:val="24"/>
        </w:rPr>
        <w:tab/>
        <w:t xml:space="preserve">Irrigation </w:t>
      </w:r>
      <w:r w:rsidRPr="00C32F46">
        <w:rPr>
          <w:rFonts w:ascii="Times New Roman" w:hAnsi="Times New Roman" w:cs="Times New Roman"/>
          <w:sz w:val="24"/>
          <w:szCs w:val="24"/>
        </w:rPr>
        <w:tab/>
        <w:t xml:space="preserve">Management in Jharkhand State, India. </w:t>
      </w:r>
      <w:r w:rsidRPr="00C32F46">
        <w:rPr>
          <w:rFonts w:ascii="Times New Roman" w:hAnsi="Times New Roman" w:cs="Times New Roman"/>
          <w:i/>
          <w:iCs/>
          <w:sz w:val="24"/>
          <w:szCs w:val="24"/>
        </w:rPr>
        <w:t>Energies</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29" w:history="1">
        <w:r w:rsidRPr="00C32F46">
          <w:rPr>
            <w:rStyle w:val="Hyperlink"/>
            <w:rFonts w:ascii="Times New Roman" w:hAnsi="Times New Roman" w:cs="Times New Roman"/>
            <w:sz w:val="24"/>
            <w:szCs w:val="24"/>
          </w:rPr>
          <w:t>https://doi.org/10.3390/en16145490</w:t>
        </w:r>
      </w:hyperlink>
      <w:r w:rsidRPr="00C32F46">
        <w:rPr>
          <w:rFonts w:ascii="Times New Roman" w:hAnsi="Times New Roman" w:cs="Times New Roman"/>
          <w:sz w:val="24"/>
          <w:szCs w:val="24"/>
        </w:rPr>
        <w:t>.</w:t>
      </w:r>
    </w:p>
    <w:p w14:paraId="3B832D5E" w14:textId="77777777" w:rsidR="002A7CE1" w:rsidRPr="00C32F46" w:rsidRDefault="002A7CE1" w:rsidP="00AE1BA5">
      <w:pPr>
        <w:spacing w:line="360" w:lineRule="auto"/>
        <w:ind w:left="720" w:hanging="720"/>
        <w:jc w:val="both"/>
        <w:rPr>
          <w:rFonts w:ascii="Times New Roman" w:hAnsi="Times New Roman" w:cs="Times New Roman"/>
          <w:sz w:val="24"/>
          <w:szCs w:val="24"/>
        </w:rPr>
      </w:pPr>
      <w:r w:rsidRPr="00C32F46">
        <w:rPr>
          <w:rFonts w:ascii="Times New Roman" w:hAnsi="Times New Roman" w:cs="Times New Roman"/>
          <w:sz w:val="24"/>
          <w:szCs w:val="24"/>
        </w:rPr>
        <w:t xml:space="preserve">Njiru, J., Aura, C., &amp; </w:t>
      </w:r>
      <w:proofErr w:type="spellStart"/>
      <w:r w:rsidRPr="00C32F46">
        <w:rPr>
          <w:rFonts w:ascii="Times New Roman" w:hAnsi="Times New Roman" w:cs="Times New Roman"/>
          <w:sz w:val="24"/>
          <w:szCs w:val="24"/>
        </w:rPr>
        <w:t>Okechi</w:t>
      </w:r>
      <w:proofErr w:type="spellEnd"/>
      <w:r w:rsidRPr="00C32F46">
        <w:rPr>
          <w:rFonts w:ascii="Times New Roman" w:hAnsi="Times New Roman" w:cs="Times New Roman"/>
          <w:sz w:val="24"/>
          <w:szCs w:val="24"/>
        </w:rPr>
        <w:t xml:space="preserve">, J. (2018). Cage fish culture in Lake Victoria: A boon or a disaster in </w:t>
      </w:r>
      <w:proofErr w:type="gramStart"/>
      <w:r w:rsidRPr="00C32F46">
        <w:rPr>
          <w:rFonts w:ascii="Times New Roman" w:hAnsi="Times New Roman" w:cs="Times New Roman"/>
          <w:sz w:val="24"/>
          <w:szCs w:val="24"/>
        </w:rPr>
        <w:t>waiting?.</w:t>
      </w:r>
      <w:proofErr w:type="gramEnd"/>
      <w:r w:rsidRPr="00C32F46">
        <w:rPr>
          <w:rFonts w:ascii="Times New Roman" w:hAnsi="Times New Roman" w:cs="Times New Roman"/>
          <w:sz w:val="24"/>
          <w:szCs w:val="24"/>
        </w:rPr>
        <w:t xml:space="preserve"> </w:t>
      </w:r>
      <w:r w:rsidRPr="00C32F46">
        <w:rPr>
          <w:rFonts w:ascii="Times New Roman" w:hAnsi="Times New Roman" w:cs="Times New Roman"/>
          <w:i/>
          <w:iCs/>
          <w:sz w:val="24"/>
          <w:szCs w:val="24"/>
        </w:rPr>
        <w:t>Fisheries Management and Ecology</w:t>
      </w:r>
      <w:r w:rsidRPr="00C32F46">
        <w:rPr>
          <w:rFonts w:ascii="Times New Roman" w:hAnsi="Times New Roman" w:cs="Times New Roman"/>
          <w:sz w:val="24"/>
          <w:szCs w:val="24"/>
        </w:rPr>
        <w:t xml:space="preserve">. </w:t>
      </w:r>
      <w:hyperlink r:id="rId30" w:history="1">
        <w:r w:rsidRPr="00C32F46">
          <w:rPr>
            <w:rStyle w:val="Hyperlink"/>
            <w:rFonts w:ascii="Times New Roman" w:hAnsi="Times New Roman" w:cs="Times New Roman"/>
            <w:sz w:val="24"/>
            <w:szCs w:val="24"/>
          </w:rPr>
          <w:t>https://doi.org/10.1111/fme.12283</w:t>
        </w:r>
      </w:hyperlink>
      <w:r w:rsidRPr="00C32F46">
        <w:rPr>
          <w:rFonts w:ascii="Times New Roman" w:hAnsi="Times New Roman" w:cs="Times New Roman"/>
          <w:sz w:val="24"/>
          <w:szCs w:val="24"/>
        </w:rPr>
        <w:t>.</w:t>
      </w:r>
    </w:p>
    <w:p w14:paraId="3270368E" w14:textId="6A2B335D"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Noakes, D., Woo, P., &amp; Bruno, D. (2014). Overview of cage culture and its </w:t>
      </w:r>
      <w:r w:rsidRPr="00C32F46">
        <w:rPr>
          <w:rFonts w:ascii="Times New Roman" w:hAnsi="Times New Roman" w:cs="Times New Roman"/>
          <w:sz w:val="24"/>
          <w:szCs w:val="24"/>
        </w:rPr>
        <w:tab/>
        <w:t xml:space="preserve">importance </w:t>
      </w:r>
      <w:r w:rsidRPr="00C32F46">
        <w:rPr>
          <w:rFonts w:ascii="Times New Roman" w:hAnsi="Times New Roman" w:cs="Times New Roman"/>
          <w:sz w:val="24"/>
          <w:szCs w:val="24"/>
        </w:rPr>
        <w:tab/>
        <w:t xml:space="preserve">in the 21st </w:t>
      </w:r>
      <w:proofErr w:type="gramStart"/>
      <w:r w:rsidRPr="00C32F46">
        <w:rPr>
          <w:rFonts w:ascii="Times New Roman" w:hAnsi="Times New Roman" w:cs="Times New Roman"/>
          <w:sz w:val="24"/>
          <w:szCs w:val="24"/>
        </w:rPr>
        <w:t>century..</w:t>
      </w:r>
      <w:proofErr w:type="gramEnd"/>
      <w:r w:rsidRPr="00C32F46">
        <w:rPr>
          <w:rFonts w:ascii="Times New Roman" w:hAnsi="Times New Roman" w:cs="Times New Roman"/>
          <w:sz w:val="24"/>
          <w:szCs w:val="24"/>
        </w:rPr>
        <w:t xml:space="preserve"> . </w:t>
      </w:r>
      <w:hyperlink r:id="rId31" w:history="1">
        <w:r w:rsidRPr="00C32F46">
          <w:rPr>
            <w:rStyle w:val="Hyperlink"/>
            <w:rFonts w:ascii="Times New Roman" w:hAnsi="Times New Roman" w:cs="Times New Roman"/>
            <w:sz w:val="24"/>
            <w:szCs w:val="24"/>
          </w:rPr>
          <w:t>https://doi.org/10.1079/9781780642079.0001</w:t>
        </w:r>
      </w:hyperlink>
      <w:r w:rsidRPr="00C32F46">
        <w:rPr>
          <w:rFonts w:ascii="Times New Roman" w:hAnsi="Times New Roman" w:cs="Times New Roman"/>
          <w:sz w:val="24"/>
          <w:szCs w:val="24"/>
        </w:rPr>
        <w:t>.</w:t>
      </w:r>
    </w:p>
    <w:p w14:paraId="15E9C366" w14:textId="3FA049C0" w:rsidR="002A7CE1" w:rsidRPr="00C32F46" w:rsidRDefault="002A7CE1" w:rsidP="00AE1BA5">
      <w:pPr>
        <w:spacing w:line="360" w:lineRule="auto"/>
        <w:jc w:val="both"/>
        <w:rPr>
          <w:rStyle w:val="Hyperlink"/>
          <w:rFonts w:ascii="Times New Roman" w:hAnsi="Times New Roman" w:cs="Times New Roman"/>
          <w:color w:val="auto"/>
          <w:sz w:val="24"/>
          <w:szCs w:val="24"/>
          <w:u w:val="none"/>
        </w:rPr>
      </w:pPr>
      <w:r w:rsidRPr="00C32F46">
        <w:rPr>
          <w:rFonts w:ascii="Times New Roman" w:hAnsi="Times New Roman" w:cs="Times New Roman"/>
          <w:sz w:val="24"/>
          <w:szCs w:val="24"/>
        </w:rPr>
        <w:t xml:space="preserve">Pandit, A., Das, B., Chandra, G., Roy, A., Debroy, P., Yadav, A., Chakraborty, L., &amp; </w:t>
      </w:r>
      <w:r w:rsidRPr="00C32F46">
        <w:rPr>
          <w:rFonts w:ascii="Times New Roman" w:hAnsi="Times New Roman" w:cs="Times New Roman"/>
          <w:sz w:val="24"/>
          <w:szCs w:val="24"/>
        </w:rPr>
        <w:tab/>
        <w:t xml:space="preserve">Biswas, D. (2021). Impact of cage culture in reservoir on the livelihood of </w:t>
      </w:r>
      <w:r w:rsidRPr="00C32F46">
        <w:rPr>
          <w:rFonts w:ascii="Times New Roman" w:hAnsi="Times New Roman" w:cs="Times New Roman"/>
          <w:sz w:val="24"/>
          <w:szCs w:val="24"/>
        </w:rPr>
        <w:tab/>
        <w:t xml:space="preserve">fishers: A case study in Jharkhand, India. </w:t>
      </w:r>
      <w:r w:rsidRPr="00C32F46">
        <w:rPr>
          <w:rFonts w:ascii="Times New Roman" w:hAnsi="Times New Roman" w:cs="Times New Roman"/>
          <w:i/>
          <w:iCs/>
          <w:sz w:val="24"/>
          <w:szCs w:val="24"/>
        </w:rPr>
        <w:t>Indian Journal of Fisheries</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32" w:history="1">
        <w:r w:rsidRPr="00C32F46">
          <w:rPr>
            <w:rStyle w:val="Hyperlink"/>
            <w:rFonts w:ascii="Times New Roman" w:hAnsi="Times New Roman" w:cs="Times New Roman"/>
            <w:sz w:val="24"/>
            <w:szCs w:val="24"/>
          </w:rPr>
          <w:t>https://doi.org/10.21077/ijf.2021.68.1.93390-09</w:t>
        </w:r>
      </w:hyperlink>
    </w:p>
    <w:p w14:paraId="43F9E36A" w14:textId="3EEA1520"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Patel, P. P., </w:t>
      </w:r>
      <w:proofErr w:type="spellStart"/>
      <w:r w:rsidRPr="00C32F46">
        <w:rPr>
          <w:rFonts w:ascii="Times New Roman" w:hAnsi="Times New Roman" w:cs="Times New Roman"/>
          <w:sz w:val="24"/>
          <w:szCs w:val="24"/>
        </w:rPr>
        <w:t>Timbadia</w:t>
      </w:r>
      <w:proofErr w:type="spellEnd"/>
      <w:r w:rsidRPr="00C32F46">
        <w:rPr>
          <w:rFonts w:ascii="Times New Roman" w:hAnsi="Times New Roman" w:cs="Times New Roman"/>
          <w:sz w:val="24"/>
          <w:szCs w:val="24"/>
        </w:rPr>
        <w:t xml:space="preserve">, S. C., </w:t>
      </w:r>
      <w:proofErr w:type="spellStart"/>
      <w:r w:rsidRPr="00C32F46">
        <w:rPr>
          <w:rFonts w:ascii="Times New Roman" w:hAnsi="Times New Roman" w:cs="Times New Roman"/>
          <w:sz w:val="24"/>
          <w:szCs w:val="24"/>
        </w:rPr>
        <w:t>Borichangar</w:t>
      </w:r>
      <w:proofErr w:type="spellEnd"/>
      <w:r w:rsidRPr="00C32F46">
        <w:rPr>
          <w:rFonts w:ascii="Times New Roman" w:hAnsi="Times New Roman" w:cs="Times New Roman"/>
          <w:sz w:val="24"/>
          <w:szCs w:val="24"/>
        </w:rPr>
        <w:t xml:space="preserve">, R. V., Vanza, J. G., &amp; Solanki, H. G. </w:t>
      </w:r>
      <w:r w:rsidRPr="00C32F46">
        <w:rPr>
          <w:rFonts w:ascii="Times New Roman" w:hAnsi="Times New Roman" w:cs="Times New Roman"/>
          <w:sz w:val="24"/>
          <w:szCs w:val="24"/>
        </w:rPr>
        <w:tab/>
        <w:t xml:space="preserve">(2023). </w:t>
      </w:r>
      <w:r w:rsidRPr="00C32F46">
        <w:rPr>
          <w:rFonts w:ascii="Times New Roman" w:hAnsi="Times New Roman" w:cs="Times New Roman"/>
          <w:sz w:val="24"/>
          <w:szCs w:val="24"/>
        </w:rPr>
        <w:tab/>
        <w:t xml:space="preserve">Culture of Striped Catfish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through Net </w:t>
      </w:r>
      <w:r w:rsidRPr="00C32F46">
        <w:rPr>
          <w:rFonts w:ascii="Times New Roman" w:hAnsi="Times New Roman" w:cs="Times New Roman"/>
          <w:sz w:val="24"/>
          <w:szCs w:val="24"/>
        </w:rPr>
        <w:tab/>
        <w:t xml:space="preserve">Cages in </w:t>
      </w:r>
      <w:r w:rsidRPr="00C32F46">
        <w:rPr>
          <w:rFonts w:ascii="Times New Roman" w:hAnsi="Times New Roman" w:cs="Times New Roman"/>
          <w:sz w:val="24"/>
          <w:szCs w:val="24"/>
        </w:rPr>
        <w:tab/>
        <w:t xml:space="preserve">Carp Pond under varying Stocking Density. </w:t>
      </w:r>
      <w:r w:rsidRPr="00C32F46">
        <w:rPr>
          <w:rFonts w:ascii="Times New Roman" w:hAnsi="Times New Roman" w:cs="Times New Roman"/>
          <w:i/>
          <w:iCs/>
          <w:sz w:val="24"/>
          <w:szCs w:val="24"/>
        </w:rPr>
        <w:t>Journal of Krishi Vigyan</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33" w:history="1">
        <w:r w:rsidRPr="00C32F46">
          <w:rPr>
            <w:rStyle w:val="Hyperlink"/>
            <w:rFonts w:ascii="Times New Roman" w:hAnsi="Times New Roman" w:cs="Times New Roman"/>
            <w:sz w:val="24"/>
            <w:szCs w:val="24"/>
          </w:rPr>
          <w:t>https://doi.org/10.5958/2349-4433.2023.00007.7</w:t>
        </w:r>
      </w:hyperlink>
    </w:p>
    <w:p w14:paraId="64963EA9"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Perveen, S., Khan, N., Yin, F., Rasool, F., Wang, C., Butt, M., &amp; Irm, M. (2023). </w:t>
      </w:r>
      <w:r w:rsidRPr="00C32F46">
        <w:rPr>
          <w:rFonts w:ascii="Times New Roman" w:hAnsi="Times New Roman" w:cs="Times New Roman"/>
          <w:sz w:val="24"/>
          <w:szCs w:val="24"/>
        </w:rPr>
        <w:tab/>
        <w:t xml:space="preserve">Development of </w:t>
      </w:r>
      <w:r w:rsidRPr="00C32F46">
        <w:rPr>
          <w:rFonts w:ascii="Times New Roman" w:hAnsi="Times New Roman" w:cs="Times New Roman"/>
          <w:i/>
          <w:iCs/>
          <w:sz w:val="24"/>
          <w:szCs w:val="24"/>
        </w:rPr>
        <w:t xml:space="preserve">Pangasius </w:t>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polyculture production in Pakistan </w:t>
      </w:r>
      <w:r w:rsidRPr="00C32F46">
        <w:rPr>
          <w:rFonts w:ascii="Times New Roman" w:hAnsi="Times New Roman" w:cs="Times New Roman"/>
          <w:sz w:val="24"/>
          <w:szCs w:val="24"/>
        </w:rPr>
        <w:tab/>
        <w:t xml:space="preserve">when cultured with freshwater and Chinese carps. </w:t>
      </w:r>
      <w:r w:rsidRPr="00C32F46">
        <w:rPr>
          <w:rFonts w:ascii="Times New Roman" w:hAnsi="Times New Roman" w:cs="Times New Roman"/>
          <w:i/>
          <w:iCs/>
          <w:sz w:val="24"/>
          <w:szCs w:val="24"/>
        </w:rPr>
        <w:t>Aquaculture International</w:t>
      </w:r>
      <w:r w:rsidRPr="00C32F46">
        <w:rPr>
          <w:rFonts w:ascii="Times New Roman" w:hAnsi="Times New Roman" w:cs="Times New Roman"/>
          <w:sz w:val="24"/>
          <w:szCs w:val="24"/>
        </w:rPr>
        <w:t>,</w:t>
      </w:r>
    </w:p>
    <w:p w14:paraId="3FA6BEE4" w14:textId="77777777" w:rsidR="00AE1BA5" w:rsidRDefault="00AE1BA5" w:rsidP="00AE1BA5">
      <w:pPr>
        <w:spacing w:after="200" w:line="360" w:lineRule="auto"/>
        <w:jc w:val="both"/>
        <w:rPr>
          <w:rFonts w:ascii="Times New Roman" w:hAnsi="Times New Roman" w:cs="Times New Roman"/>
          <w:sz w:val="24"/>
          <w:szCs w:val="24"/>
        </w:rPr>
      </w:pPr>
    </w:p>
    <w:p w14:paraId="4BD615DD" w14:textId="77777777" w:rsidR="00AE1BA5" w:rsidRDefault="00AE1BA5" w:rsidP="00AE1BA5">
      <w:pPr>
        <w:spacing w:after="200" w:line="360" w:lineRule="auto"/>
        <w:jc w:val="both"/>
        <w:rPr>
          <w:rFonts w:ascii="Times New Roman" w:hAnsi="Times New Roman" w:cs="Times New Roman"/>
          <w:sz w:val="24"/>
          <w:szCs w:val="24"/>
        </w:rPr>
      </w:pPr>
    </w:p>
    <w:p w14:paraId="72EEBB79" w14:textId="7AF60977"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Ramteke, M., Swain, H. S., Upadhyay, A., Kumar, V., Kumari, S., &amp; Das, B. </w:t>
      </w:r>
      <w:r w:rsidRPr="00C32F46">
        <w:rPr>
          <w:rFonts w:ascii="Times New Roman" w:hAnsi="Times New Roman" w:cs="Times New Roman"/>
          <w:sz w:val="24"/>
          <w:szCs w:val="24"/>
        </w:rPr>
        <w:tab/>
        <w:t xml:space="preserve">(2023). </w:t>
      </w:r>
      <w:r w:rsidRPr="00C32F46">
        <w:rPr>
          <w:rFonts w:ascii="Times New Roman" w:hAnsi="Times New Roman" w:cs="Times New Roman"/>
          <w:sz w:val="24"/>
          <w:szCs w:val="24"/>
        </w:rPr>
        <w:tab/>
        <w:t xml:space="preserve">Multivariate characterization of biochemical and physiological </w:t>
      </w:r>
      <w:r w:rsidRPr="00C32F46">
        <w:rPr>
          <w:rFonts w:ascii="Times New Roman" w:hAnsi="Times New Roman" w:cs="Times New Roman"/>
          <w:sz w:val="24"/>
          <w:szCs w:val="24"/>
        </w:rPr>
        <w:tab/>
        <w:t xml:space="preserve">attributes umpires </w:t>
      </w:r>
      <w:r w:rsidRPr="00C32F46">
        <w:rPr>
          <w:rFonts w:ascii="Times New Roman" w:hAnsi="Times New Roman" w:cs="Times New Roman"/>
          <w:sz w:val="24"/>
          <w:szCs w:val="24"/>
        </w:rPr>
        <w:tab/>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for a welfare-based open-</w:t>
      </w:r>
      <w:r w:rsidRPr="00C32F46">
        <w:rPr>
          <w:rFonts w:ascii="Times New Roman" w:hAnsi="Times New Roman" w:cs="Times New Roman"/>
          <w:sz w:val="24"/>
          <w:szCs w:val="24"/>
        </w:rPr>
        <w:tab/>
        <w:t xml:space="preserve">water cage culture. </w:t>
      </w:r>
      <w:r w:rsidRPr="00C32F46">
        <w:rPr>
          <w:rFonts w:ascii="Times New Roman" w:hAnsi="Times New Roman" w:cs="Times New Roman"/>
          <w:sz w:val="24"/>
          <w:szCs w:val="24"/>
        </w:rPr>
        <w:tab/>
      </w:r>
      <w:r w:rsidRPr="00C32F46">
        <w:rPr>
          <w:rFonts w:ascii="Times New Roman" w:hAnsi="Times New Roman" w:cs="Times New Roman"/>
          <w:i/>
          <w:iCs/>
          <w:sz w:val="24"/>
          <w:szCs w:val="24"/>
        </w:rPr>
        <w:t>Environmental Science and Pollution Research</w:t>
      </w:r>
      <w:r w:rsidRPr="00C32F46">
        <w:rPr>
          <w:rFonts w:ascii="Times New Roman" w:hAnsi="Times New Roman" w:cs="Times New Roman"/>
          <w:sz w:val="24"/>
          <w:szCs w:val="24"/>
        </w:rPr>
        <w:t>, 30, 80628-</w:t>
      </w:r>
      <w:r w:rsidRPr="00C32F46">
        <w:rPr>
          <w:rFonts w:ascii="Times New Roman" w:hAnsi="Times New Roman" w:cs="Times New Roman"/>
          <w:sz w:val="24"/>
          <w:szCs w:val="24"/>
        </w:rPr>
        <w:tab/>
        <w:t xml:space="preserve">80642. </w:t>
      </w:r>
      <w:r w:rsidRPr="00C32F46">
        <w:rPr>
          <w:rFonts w:ascii="Times New Roman" w:hAnsi="Times New Roman" w:cs="Times New Roman"/>
          <w:sz w:val="24"/>
          <w:szCs w:val="24"/>
        </w:rPr>
        <w:tab/>
      </w:r>
      <w:hyperlink r:id="rId34" w:history="1">
        <w:r w:rsidRPr="00C32F46">
          <w:rPr>
            <w:rStyle w:val="Hyperlink"/>
            <w:rFonts w:ascii="Times New Roman" w:hAnsi="Times New Roman" w:cs="Times New Roman"/>
            <w:sz w:val="24"/>
            <w:szCs w:val="24"/>
          </w:rPr>
          <w:t>https://doi.org/10.1007/s11356-023-27937-8</w:t>
        </w:r>
      </w:hyperlink>
    </w:p>
    <w:p w14:paraId="4B9B083E" w14:textId="77777777"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Rasheed, A., Iqbal, K. J., Khan, N., Asghar, M., Haider, M. Z., &amp; Kousar, T. (2026). </w:t>
      </w:r>
      <w:r w:rsidRPr="00C32F46">
        <w:rPr>
          <w:rFonts w:ascii="Times New Roman" w:hAnsi="Times New Roman" w:cs="Times New Roman"/>
          <w:sz w:val="24"/>
          <w:szCs w:val="24"/>
        </w:rPr>
        <w:tab/>
        <w:t xml:space="preserve">Comparative performance, physiology, and economics of Nile tilapia </w:t>
      </w:r>
      <w:r w:rsidRPr="00C32F46">
        <w:rPr>
          <w:rFonts w:ascii="Times New Roman" w:hAnsi="Times New Roman" w:cs="Times New Roman"/>
          <w:sz w:val="24"/>
          <w:szCs w:val="24"/>
        </w:rPr>
        <w:tab/>
        <w:t>(</w:t>
      </w:r>
      <w:r w:rsidRPr="00C32F46">
        <w:rPr>
          <w:rFonts w:ascii="Times New Roman" w:hAnsi="Times New Roman" w:cs="Times New Roman"/>
          <w:i/>
          <w:iCs/>
          <w:sz w:val="24"/>
          <w:szCs w:val="24"/>
        </w:rPr>
        <w:t>Oreochromis niloticus</w:t>
      </w:r>
      <w:r w:rsidRPr="00C32F46">
        <w:rPr>
          <w:rFonts w:ascii="Times New Roman" w:hAnsi="Times New Roman" w:cs="Times New Roman"/>
          <w:sz w:val="24"/>
          <w:szCs w:val="24"/>
        </w:rPr>
        <w:t>) and Pangasius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at </w:t>
      </w:r>
      <w:r w:rsidRPr="00C32F46">
        <w:rPr>
          <w:rFonts w:ascii="Times New Roman" w:hAnsi="Times New Roman" w:cs="Times New Roman"/>
          <w:sz w:val="24"/>
          <w:szCs w:val="24"/>
        </w:rPr>
        <w:lastRenderedPageBreak/>
        <w:tab/>
        <w:t xml:space="preserve">varying stocking densities in riverine cage culture. </w:t>
      </w:r>
      <w:r w:rsidRPr="00C32F46">
        <w:rPr>
          <w:rFonts w:ascii="Times New Roman" w:hAnsi="Times New Roman" w:cs="Times New Roman"/>
          <w:i/>
          <w:iCs/>
          <w:sz w:val="24"/>
          <w:szCs w:val="24"/>
        </w:rPr>
        <w:t xml:space="preserve">Canadian Journal of Animal </w:t>
      </w:r>
      <w:r w:rsidRPr="00C32F46">
        <w:rPr>
          <w:rFonts w:ascii="Times New Roman" w:hAnsi="Times New Roman" w:cs="Times New Roman"/>
          <w:i/>
          <w:iCs/>
          <w:sz w:val="24"/>
          <w:szCs w:val="24"/>
        </w:rPr>
        <w:tab/>
        <w:t>Science</w:t>
      </w:r>
      <w:r w:rsidRPr="00C32F46">
        <w:rPr>
          <w:rFonts w:ascii="Times New Roman" w:hAnsi="Times New Roman" w:cs="Times New Roman"/>
          <w:sz w:val="24"/>
          <w:szCs w:val="24"/>
        </w:rPr>
        <w:t xml:space="preserve">. </w:t>
      </w:r>
      <w:hyperlink r:id="rId35" w:history="1">
        <w:r w:rsidRPr="00C32F46">
          <w:rPr>
            <w:rStyle w:val="Hyperlink"/>
            <w:rFonts w:ascii="Times New Roman" w:hAnsi="Times New Roman" w:cs="Times New Roman"/>
            <w:sz w:val="24"/>
            <w:szCs w:val="24"/>
          </w:rPr>
          <w:t>https://doi.org/10.1139/cjas-2025-0106</w:t>
        </w:r>
      </w:hyperlink>
    </w:p>
    <w:p w14:paraId="159812F6" w14:textId="0B72AAB6"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Rathod, S., Das, B., Tandel, R., Chatterjee, S., Das, N., Tripathi, G., Kumar, S., </w:t>
      </w:r>
      <w:r w:rsidRPr="00C32F46">
        <w:rPr>
          <w:rFonts w:ascii="Times New Roman" w:hAnsi="Times New Roman" w:cs="Times New Roman"/>
          <w:sz w:val="24"/>
          <w:szCs w:val="24"/>
        </w:rPr>
        <w:tab/>
        <w:t xml:space="preserve">Panda, S., </w:t>
      </w:r>
      <w:r w:rsidRPr="00C32F46">
        <w:rPr>
          <w:rFonts w:ascii="Times New Roman" w:hAnsi="Times New Roman" w:cs="Times New Roman"/>
          <w:sz w:val="24"/>
          <w:szCs w:val="24"/>
        </w:rPr>
        <w:tab/>
        <w:t xml:space="preserve">Patil, P., &amp; Manna, S. (2024). Isolation and characterization of </w:t>
      </w:r>
      <w:r w:rsidRPr="00C32F46">
        <w:rPr>
          <w:rFonts w:ascii="Times New Roman" w:hAnsi="Times New Roman" w:cs="Times New Roman"/>
          <w:sz w:val="24"/>
          <w:szCs w:val="24"/>
        </w:rPr>
        <w:tab/>
      </w:r>
      <w:r w:rsidRPr="00C32F46">
        <w:rPr>
          <w:rFonts w:ascii="Times New Roman" w:hAnsi="Times New Roman" w:cs="Times New Roman"/>
          <w:i/>
          <w:iCs/>
          <w:sz w:val="24"/>
          <w:szCs w:val="24"/>
        </w:rPr>
        <w:t xml:space="preserve">Saprolegnia </w:t>
      </w:r>
      <w:r w:rsidRPr="00C32F46">
        <w:rPr>
          <w:rFonts w:ascii="Times New Roman" w:hAnsi="Times New Roman" w:cs="Times New Roman"/>
          <w:i/>
          <w:iCs/>
          <w:sz w:val="24"/>
          <w:szCs w:val="24"/>
        </w:rPr>
        <w:tab/>
        <w:t>parasitica</w:t>
      </w:r>
      <w:r w:rsidRPr="00C32F46">
        <w:rPr>
          <w:rFonts w:ascii="Times New Roman" w:hAnsi="Times New Roman" w:cs="Times New Roman"/>
          <w:sz w:val="24"/>
          <w:szCs w:val="24"/>
        </w:rPr>
        <w:t xml:space="preserve"> from cage-reared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and its </w:t>
      </w:r>
      <w:r w:rsidRPr="00C32F46">
        <w:rPr>
          <w:rFonts w:ascii="Times New Roman" w:hAnsi="Times New Roman" w:cs="Times New Roman"/>
          <w:sz w:val="24"/>
          <w:szCs w:val="24"/>
        </w:rPr>
        <w:tab/>
      </w:r>
      <w:proofErr w:type="spellStart"/>
      <w:r w:rsidRPr="00C32F46">
        <w:rPr>
          <w:rFonts w:ascii="Times New Roman" w:hAnsi="Times New Roman" w:cs="Times New Roman"/>
          <w:sz w:val="24"/>
          <w:szCs w:val="24"/>
        </w:rPr>
        <w:t>sensitivityto</w:t>
      </w:r>
      <w:proofErr w:type="spellEnd"/>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t xml:space="preserve">different antifungal compounds. </w:t>
      </w:r>
      <w:r w:rsidRPr="00C32F46">
        <w:rPr>
          <w:rFonts w:ascii="Times New Roman" w:hAnsi="Times New Roman" w:cs="Times New Roman"/>
          <w:i/>
          <w:iCs/>
          <w:sz w:val="24"/>
          <w:szCs w:val="24"/>
        </w:rPr>
        <w:t>Scientific Reports</w:t>
      </w:r>
      <w:r w:rsidRPr="00C32F46">
        <w:rPr>
          <w:rFonts w:ascii="Times New Roman" w:hAnsi="Times New Roman" w:cs="Times New Roman"/>
          <w:sz w:val="24"/>
          <w:szCs w:val="24"/>
        </w:rPr>
        <w:t xml:space="preserve">, 14. </w:t>
      </w:r>
      <w:r w:rsidRPr="00C32F46">
        <w:rPr>
          <w:rFonts w:ascii="Times New Roman" w:hAnsi="Times New Roman" w:cs="Times New Roman"/>
          <w:sz w:val="24"/>
          <w:szCs w:val="24"/>
        </w:rPr>
        <w:tab/>
      </w:r>
      <w:hyperlink r:id="rId36" w:history="1">
        <w:r w:rsidRPr="00C32F46">
          <w:rPr>
            <w:rStyle w:val="Hyperlink"/>
            <w:rFonts w:ascii="Times New Roman" w:hAnsi="Times New Roman" w:cs="Times New Roman"/>
            <w:sz w:val="24"/>
            <w:szCs w:val="24"/>
          </w:rPr>
          <w:t>https://doi.org/10.1038/s41598-024- 80075-0</w:t>
        </w:r>
      </w:hyperlink>
      <w:r w:rsidRPr="00C32F46">
        <w:rPr>
          <w:rStyle w:val="Hyperlink"/>
          <w:rFonts w:ascii="Times New Roman" w:hAnsi="Times New Roman" w:cs="Times New Roman"/>
          <w:sz w:val="24"/>
          <w:szCs w:val="24"/>
        </w:rPr>
        <w:t>.</w:t>
      </w:r>
    </w:p>
    <w:p w14:paraId="061C1215"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Salman, N., Saleh, K., &amp; Taher, M. (2022). Cage Culture in Iraq, Current Status &amp; </w:t>
      </w:r>
      <w:r w:rsidRPr="00C32F46">
        <w:rPr>
          <w:rFonts w:ascii="Times New Roman" w:hAnsi="Times New Roman" w:cs="Times New Roman"/>
          <w:sz w:val="24"/>
          <w:szCs w:val="24"/>
        </w:rPr>
        <w:tab/>
        <w:t xml:space="preserve">Potential: A Review. Basrah </w:t>
      </w:r>
      <w:r w:rsidRPr="00C32F46">
        <w:rPr>
          <w:rFonts w:ascii="Times New Roman" w:hAnsi="Times New Roman" w:cs="Times New Roman"/>
          <w:i/>
          <w:iCs/>
          <w:sz w:val="24"/>
          <w:szCs w:val="24"/>
        </w:rPr>
        <w:t>Journal of Agricultural Sciences</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37" w:history="1">
        <w:r w:rsidRPr="00C32F46">
          <w:rPr>
            <w:rStyle w:val="Hyperlink"/>
            <w:rFonts w:ascii="Times New Roman" w:hAnsi="Times New Roman" w:cs="Times New Roman"/>
            <w:sz w:val="24"/>
            <w:szCs w:val="24"/>
          </w:rPr>
          <w:t>https://doi.org/10.37077/25200860.2022.35.2.27</w:t>
        </w:r>
      </w:hyperlink>
      <w:r w:rsidRPr="00C32F46">
        <w:rPr>
          <w:rFonts w:ascii="Times New Roman" w:hAnsi="Times New Roman" w:cs="Times New Roman"/>
          <w:sz w:val="24"/>
          <w:szCs w:val="24"/>
        </w:rPr>
        <w:t>.</w:t>
      </w:r>
    </w:p>
    <w:p w14:paraId="7DEE5145" w14:textId="79B65B92"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Setiav, S., Khan, M., </w:t>
      </w:r>
      <w:proofErr w:type="spellStart"/>
      <w:r w:rsidRPr="00C32F46">
        <w:rPr>
          <w:rFonts w:ascii="Times New Roman" w:hAnsi="Times New Roman" w:cs="Times New Roman"/>
          <w:sz w:val="24"/>
          <w:szCs w:val="24"/>
        </w:rPr>
        <w:t>Manavvi</w:t>
      </w:r>
      <w:proofErr w:type="spellEnd"/>
      <w:r w:rsidRPr="00C32F46">
        <w:rPr>
          <w:rFonts w:ascii="Times New Roman" w:hAnsi="Times New Roman" w:cs="Times New Roman"/>
          <w:sz w:val="24"/>
          <w:szCs w:val="24"/>
        </w:rPr>
        <w:t xml:space="preserve">, S., &amp; Pasupuleti, R. (2025). Manifestations of </w:t>
      </w:r>
      <w:r w:rsidRPr="00C32F46">
        <w:rPr>
          <w:rFonts w:ascii="Times New Roman" w:hAnsi="Times New Roman" w:cs="Times New Roman"/>
          <w:sz w:val="24"/>
          <w:szCs w:val="24"/>
        </w:rPr>
        <w:tab/>
        <w:t xml:space="preserve">Cultural </w:t>
      </w:r>
      <w:r w:rsidRPr="00C32F46">
        <w:rPr>
          <w:rFonts w:ascii="Times New Roman" w:hAnsi="Times New Roman" w:cs="Times New Roman"/>
          <w:sz w:val="24"/>
          <w:szCs w:val="24"/>
        </w:rPr>
        <w:tab/>
        <w:t xml:space="preserve">and Vernacular Built Heritage Around Canals: Insights from the Ganga </w:t>
      </w:r>
      <w:r w:rsidRPr="00C32F46">
        <w:rPr>
          <w:rFonts w:ascii="Times New Roman" w:hAnsi="Times New Roman" w:cs="Times New Roman"/>
          <w:sz w:val="24"/>
          <w:szCs w:val="24"/>
        </w:rPr>
        <w:tab/>
        <w:t xml:space="preserve">Canal </w:t>
      </w:r>
      <w:r w:rsidRPr="00C32F46">
        <w:rPr>
          <w:rFonts w:ascii="Times New Roman" w:hAnsi="Times New Roman" w:cs="Times New Roman"/>
          <w:sz w:val="24"/>
          <w:szCs w:val="24"/>
        </w:rPr>
        <w:tab/>
        <w:t xml:space="preserve">Route in India. </w:t>
      </w:r>
      <w:r w:rsidRPr="00C32F46">
        <w:rPr>
          <w:rFonts w:ascii="Times New Roman" w:hAnsi="Times New Roman" w:cs="Times New Roman"/>
          <w:i/>
          <w:iCs/>
          <w:sz w:val="24"/>
          <w:szCs w:val="24"/>
        </w:rPr>
        <w:t>ISVS e-journal</w:t>
      </w:r>
      <w:r w:rsidRPr="00C32F46">
        <w:rPr>
          <w:rFonts w:ascii="Times New Roman" w:hAnsi="Times New Roman" w:cs="Times New Roman"/>
          <w:sz w:val="24"/>
          <w:szCs w:val="24"/>
        </w:rPr>
        <w:t xml:space="preserve">. </w:t>
      </w:r>
      <w:hyperlink r:id="rId38" w:history="1">
        <w:r w:rsidRPr="00C32F46">
          <w:rPr>
            <w:rStyle w:val="Hyperlink"/>
            <w:rFonts w:ascii="Times New Roman" w:hAnsi="Times New Roman" w:cs="Times New Roman"/>
            <w:sz w:val="24"/>
            <w:szCs w:val="24"/>
          </w:rPr>
          <w:t>https://doi.org/10.61275/isvsej-2025-12-05-04</w:t>
        </w:r>
      </w:hyperlink>
      <w:r w:rsidRPr="00C32F46">
        <w:rPr>
          <w:rFonts w:ascii="Times New Roman" w:hAnsi="Times New Roman" w:cs="Times New Roman"/>
          <w:sz w:val="24"/>
          <w:szCs w:val="24"/>
        </w:rPr>
        <w:t>.</w:t>
      </w:r>
    </w:p>
    <w:p w14:paraId="3AB0B343" w14:textId="36AA588E"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Sinha, A., Roy, A., Gogoi, P., </w:t>
      </w:r>
      <w:proofErr w:type="spellStart"/>
      <w:r w:rsidRPr="00C32F46">
        <w:rPr>
          <w:rFonts w:ascii="Times New Roman" w:hAnsi="Times New Roman" w:cs="Times New Roman"/>
          <w:sz w:val="24"/>
          <w:szCs w:val="24"/>
        </w:rPr>
        <w:t>Tayung</w:t>
      </w:r>
      <w:proofErr w:type="spellEnd"/>
      <w:r w:rsidRPr="00C32F46">
        <w:rPr>
          <w:rFonts w:ascii="Times New Roman" w:hAnsi="Times New Roman" w:cs="Times New Roman"/>
          <w:sz w:val="24"/>
          <w:szCs w:val="24"/>
        </w:rPr>
        <w:t xml:space="preserve">, T., Ramteke, M., Mitra, A., Mondal, S., &amp; </w:t>
      </w:r>
      <w:r w:rsidRPr="00C32F46">
        <w:rPr>
          <w:rFonts w:ascii="Times New Roman" w:hAnsi="Times New Roman" w:cs="Times New Roman"/>
          <w:sz w:val="24"/>
          <w:szCs w:val="24"/>
        </w:rPr>
        <w:tab/>
        <w:t xml:space="preserve">Das, B. </w:t>
      </w:r>
      <w:r w:rsidRPr="00C32F46">
        <w:rPr>
          <w:rFonts w:ascii="Times New Roman" w:hAnsi="Times New Roman" w:cs="Times New Roman"/>
          <w:sz w:val="24"/>
          <w:szCs w:val="24"/>
        </w:rPr>
        <w:tab/>
        <w:t xml:space="preserve">(2022). Exploration of canal resources as a potential source for fish </w:t>
      </w:r>
      <w:r w:rsidRPr="00C32F46">
        <w:rPr>
          <w:rFonts w:ascii="Times New Roman" w:hAnsi="Times New Roman" w:cs="Times New Roman"/>
          <w:sz w:val="24"/>
          <w:szCs w:val="24"/>
        </w:rPr>
        <w:tab/>
        <w:t xml:space="preserve">production </w:t>
      </w:r>
      <w:r w:rsidRPr="00C32F46">
        <w:rPr>
          <w:rFonts w:ascii="Times New Roman" w:hAnsi="Times New Roman" w:cs="Times New Roman"/>
          <w:sz w:val="24"/>
          <w:szCs w:val="24"/>
        </w:rPr>
        <w:tab/>
        <w:t>in the Indian Sundarbans.</w:t>
      </w:r>
    </w:p>
    <w:p w14:paraId="27D9DA19" w14:textId="4E5BB035"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Swain, P., Sahoo, S., Das, R., Sarkar, S., Mahapatra, A. S., Seshagiri, B., </w:t>
      </w:r>
      <w:r w:rsidRPr="00C32F46">
        <w:rPr>
          <w:rFonts w:ascii="Times New Roman" w:hAnsi="Times New Roman" w:cs="Times New Roman"/>
          <w:sz w:val="24"/>
          <w:szCs w:val="24"/>
        </w:rPr>
        <w:tab/>
      </w:r>
      <w:proofErr w:type="spellStart"/>
      <w:r w:rsidRPr="00C32F46">
        <w:rPr>
          <w:rFonts w:ascii="Times New Roman" w:hAnsi="Times New Roman" w:cs="Times New Roman"/>
          <w:sz w:val="24"/>
          <w:szCs w:val="24"/>
        </w:rPr>
        <w:t>Rangacharyulu</w:t>
      </w:r>
      <w:proofErr w:type="spellEnd"/>
      <w:r w:rsidRPr="00C32F46">
        <w:rPr>
          <w:rFonts w:ascii="Times New Roman" w:hAnsi="Times New Roman" w:cs="Times New Roman"/>
          <w:sz w:val="24"/>
          <w:szCs w:val="24"/>
        </w:rPr>
        <w:t xml:space="preserve">, P. </w:t>
      </w:r>
      <w:r w:rsidRPr="00C32F46">
        <w:rPr>
          <w:rFonts w:ascii="Times New Roman" w:hAnsi="Times New Roman" w:cs="Times New Roman"/>
          <w:sz w:val="24"/>
          <w:szCs w:val="24"/>
        </w:rPr>
        <w:tab/>
        <w:t xml:space="preserve">V., Rathod, R., &amp; Mishra, S. S. (2025). Influence of pond </w:t>
      </w:r>
      <w:r w:rsidRPr="00C32F46">
        <w:rPr>
          <w:rFonts w:ascii="Times New Roman" w:hAnsi="Times New Roman" w:cs="Times New Roman"/>
          <w:sz w:val="24"/>
          <w:szCs w:val="24"/>
        </w:rPr>
        <w:tab/>
        <w:t xml:space="preserve">water total alkalinity on </w:t>
      </w:r>
      <w:r w:rsidRPr="00C32F46">
        <w:rPr>
          <w:rFonts w:ascii="Times New Roman" w:hAnsi="Times New Roman" w:cs="Times New Roman"/>
          <w:sz w:val="24"/>
          <w:szCs w:val="24"/>
        </w:rPr>
        <w:tab/>
        <w:t xml:space="preserve">disease dynamics in Indian tropical freshwater </w:t>
      </w:r>
      <w:r w:rsidRPr="00C32F46">
        <w:rPr>
          <w:rFonts w:ascii="Times New Roman" w:hAnsi="Times New Roman" w:cs="Times New Roman"/>
          <w:sz w:val="24"/>
          <w:szCs w:val="24"/>
        </w:rPr>
        <w:tab/>
        <w:t xml:space="preserve">aquaculture: Evidence from case </w:t>
      </w:r>
      <w:r w:rsidRPr="00C32F46">
        <w:rPr>
          <w:rFonts w:ascii="Times New Roman" w:hAnsi="Times New Roman" w:cs="Times New Roman"/>
          <w:sz w:val="24"/>
          <w:szCs w:val="24"/>
        </w:rPr>
        <w:tab/>
        <w:t xml:space="preserve">studies. </w:t>
      </w:r>
      <w:r w:rsidRPr="00C32F46">
        <w:rPr>
          <w:rFonts w:ascii="Times New Roman" w:hAnsi="Times New Roman" w:cs="Times New Roman"/>
          <w:i/>
          <w:iCs/>
          <w:sz w:val="24"/>
          <w:szCs w:val="24"/>
        </w:rPr>
        <w:t xml:space="preserve">Environmental Science and Pollution </w:t>
      </w:r>
      <w:r w:rsidRPr="00C32F46">
        <w:rPr>
          <w:rFonts w:ascii="Times New Roman" w:hAnsi="Times New Roman" w:cs="Times New Roman"/>
          <w:i/>
          <w:iCs/>
          <w:sz w:val="24"/>
          <w:szCs w:val="24"/>
        </w:rPr>
        <w:tab/>
        <w:t>Research</w:t>
      </w:r>
      <w:r w:rsidRPr="00C32F46">
        <w:rPr>
          <w:rFonts w:ascii="Times New Roman" w:hAnsi="Times New Roman" w:cs="Times New Roman"/>
          <w:sz w:val="24"/>
          <w:szCs w:val="24"/>
        </w:rPr>
        <w:t xml:space="preserve">, 32, 24914 - 24921. </w:t>
      </w:r>
      <w:r w:rsidRPr="00C32F46">
        <w:rPr>
          <w:rFonts w:ascii="Times New Roman" w:hAnsi="Times New Roman" w:cs="Times New Roman"/>
          <w:sz w:val="24"/>
          <w:szCs w:val="24"/>
        </w:rPr>
        <w:tab/>
      </w:r>
      <w:hyperlink r:id="rId39" w:history="1">
        <w:r w:rsidRPr="00C32F46">
          <w:rPr>
            <w:rStyle w:val="Hyperlink"/>
            <w:rFonts w:ascii="Times New Roman" w:hAnsi="Times New Roman" w:cs="Times New Roman"/>
            <w:sz w:val="24"/>
            <w:szCs w:val="24"/>
          </w:rPr>
          <w:t>https://doi.org/10.1007/s11356-025-37050-7</w:t>
        </w:r>
      </w:hyperlink>
    </w:p>
    <w:p w14:paraId="6B90B2DE" w14:textId="77777777"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Tacon, A. (2020). Trends in Global Aquaculture and Aquafeed Production: 2000–</w:t>
      </w:r>
      <w:r w:rsidRPr="00C32F46">
        <w:rPr>
          <w:rFonts w:ascii="Times New Roman" w:hAnsi="Times New Roman" w:cs="Times New Roman"/>
          <w:sz w:val="24"/>
          <w:szCs w:val="24"/>
        </w:rPr>
        <w:tab/>
        <w:t xml:space="preserve">2017. </w:t>
      </w:r>
      <w:r w:rsidRPr="00C32F46">
        <w:rPr>
          <w:rFonts w:ascii="Times New Roman" w:hAnsi="Times New Roman" w:cs="Times New Roman"/>
          <w:sz w:val="24"/>
          <w:szCs w:val="24"/>
        </w:rPr>
        <w:tab/>
      </w:r>
      <w:r w:rsidRPr="00C32F46">
        <w:rPr>
          <w:rFonts w:ascii="Times New Roman" w:hAnsi="Times New Roman" w:cs="Times New Roman"/>
          <w:i/>
          <w:iCs/>
          <w:sz w:val="24"/>
          <w:szCs w:val="24"/>
        </w:rPr>
        <w:t>Reviews in Fisheries Science &amp; Aquaculture</w:t>
      </w:r>
      <w:r w:rsidRPr="00C32F46">
        <w:rPr>
          <w:rFonts w:ascii="Times New Roman" w:hAnsi="Times New Roman" w:cs="Times New Roman"/>
          <w:sz w:val="24"/>
          <w:szCs w:val="24"/>
        </w:rPr>
        <w:t xml:space="preserve">, 28, 43-56. </w:t>
      </w:r>
      <w:r w:rsidRPr="00C32F46">
        <w:rPr>
          <w:rFonts w:ascii="Times New Roman" w:hAnsi="Times New Roman" w:cs="Times New Roman"/>
          <w:sz w:val="24"/>
          <w:szCs w:val="24"/>
        </w:rPr>
        <w:tab/>
      </w:r>
      <w:hyperlink r:id="rId40" w:history="1">
        <w:r w:rsidRPr="00C32F46">
          <w:rPr>
            <w:rStyle w:val="Hyperlink"/>
            <w:rFonts w:ascii="Times New Roman" w:hAnsi="Times New Roman" w:cs="Times New Roman"/>
            <w:sz w:val="24"/>
            <w:szCs w:val="24"/>
          </w:rPr>
          <w:t>https://doi.org/10.1080/23308249.2019.1649634</w:t>
        </w:r>
      </w:hyperlink>
      <w:r w:rsidRPr="00C32F46">
        <w:rPr>
          <w:rFonts w:ascii="Times New Roman" w:hAnsi="Times New Roman" w:cs="Times New Roman"/>
          <w:sz w:val="24"/>
          <w:szCs w:val="24"/>
        </w:rPr>
        <w:t>.</w:t>
      </w:r>
    </w:p>
    <w:p w14:paraId="292ADAEC" w14:textId="77777777"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The Fish Site. (2015). </w:t>
      </w:r>
      <w:r w:rsidRPr="00C32F46">
        <w:rPr>
          <w:rStyle w:val="Emphasis"/>
          <w:rFonts w:ascii="Times New Roman" w:hAnsi="Times New Roman" w:cs="Times New Roman"/>
          <w:sz w:val="24"/>
          <w:szCs w:val="24"/>
        </w:rPr>
        <w:t>Pangasius farming: Water quality and biosecurity</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hyperlink r:id="rId41" w:history="1">
        <w:r w:rsidRPr="00C32F46">
          <w:rPr>
            <w:rStyle w:val="Hyperlink"/>
            <w:rFonts w:ascii="Times New Roman" w:hAnsi="Times New Roman" w:cs="Times New Roman"/>
            <w:sz w:val="24"/>
            <w:szCs w:val="24"/>
          </w:rPr>
          <w:t>https://thefishsite.com/articles/pangasius-farming-water-quality-and-</w:t>
        </w:r>
        <w:r w:rsidRPr="00C32F46">
          <w:rPr>
            <w:rStyle w:val="Hyperlink"/>
            <w:rFonts w:ascii="Times New Roman" w:hAnsi="Times New Roman" w:cs="Times New Roman"/>
            <w:sz w:val="24"/>
            <w:szCs w:val="24"/>
          </w:rPr>
          <w:tab/>
          <w:t>biosecurity</w:t>
        </w:r>
      </w:hyperlink>
    </w:p>
    <w:p w14:paraId="6C1D5557" w14:textId="2E83B387" w:rsidR="002A7CE1" w:rsidRPr="00C32F46" w:rsidRDefault="002A7CE1" w:rsidP="00AE1BA5">
      <w:pPr>
        <w:spacing w:line="360" w:lineRule="auto"/>
        <w:jc w:val="both"/>
        <w:rPr>
          <w:rFonts w:ascii="Times New Roman" w:hAnsi="Times New Roman" w:cs="Times New Roman"/>
          <w:sz w:val="24"/>
          <w:szCs w:val="24"/>
        </w:rPr>
      </w:pPr>
      <w:proofErr w:type="spellStart"/>
      <w:r w:rsidRPr="00C32F46">
        <w:rPr>
          <w:rFonts w:ascii="Times New Roman" w:hAnsi="Times New Roman" w:cs="Times New Roman"/>
          <w:sz w:val="24"/>
          <w:szCs w:val="24"/>
        </w:rPr>
        <w:t>ThiaEng</w:t>
      </w:r>
      <w:proofErr w:type="spellEnd"/>
      <w:r w:rsidRPr="00C32F46">
        <w:rPr>
          <w:rFonts w:ascii="Times New Roman" w:hAnsi="Times New Roman" w:cs="Times New Roman"/>
          <w:sz w:val="24"/>
          <w:szCs w:val="24"/>
        </w:rPr>
        <w:t xml:space="preserve">, C., Tech, E., Woo, P., Bruno, D., &amp; Lim, L. (2002). Introduction and </w:t>
      </w:r>
      <w:r w:rsidRPr="00C32F46">
        <w:rPr>
          <w:rFonts w:ascii="Times New Roman" w:hAnsi="Times New Roman" w:cs="Times New Roman"/>
          <w:sz w:val="24"/>
          <w:szCs w:val="24"/>
        </w:rPr>
        <w:tab/>
        <w:t xml:space="preserve">history of </w:t>
      </w:r>
      <w:r w:rsidRPr="00C32F46">
        <w:rPr>
          <w:rFonts w:ascii="Times New Roman" w:hAnsi="Times New Roman" w:cs="Times New Roman"/>
          <w:sz w:val="24"/>
          <w:szCs w:val="24"/>
        </w:rPr>
        <w:tab/>
        <w:t xml:space="preserve">cage </w:t>
      </w:r>
      <w:proofErr w:type="gramStart"/>
      <w:r w:rsidRPr="00C32F46">
        <w:rPr>
          <w:rFonts w:ascii="Times New Roman" w:hAnsi="Times New Roman" w:cs="Times New Roman"/>
          <w:sz w:val="24"/>
          <w:szCs w:val="24"/>
        </w:rPr>
        <w:t>culture..</w:t>
      </w:r>
      <w:proofErr w:type="gramEnd"/>
      <w:r w:rsidRPr="00C32F46">
        <w:rPr>
          <w:rFonts w:ascii="Times New Roman" w:hAnsi="Times New Roman" w:cs="Times New Roman"/>
          <w:sz w:val="24"/>
          <w:szCs w:val="24"/>
        </w:rPr>
        <w:t xml:space="preserve"> , 1-39. </w:t>
      </w:r>
      <w:hyperlink r:id="rId42" w:history="1">
        <w:r w:rsidRPr="00C32F46">
          <w:rPr>
            <w:rStyle w:val="Hyperlink"/>
            <w:rFonts w:ascii="Times New Roman" w:hAnsi="Times New Roman" w:cs="Times New Roman"/>
            <w:sz w:val="24"/>
            <w:szCs w:val="24"/>
          </w:rPr>
          <w:t>https://doi.org/10.1079/9780851994437.0001</w:t>
        </w:r>
      </w:hyperlink>
      <w:r w:rsidRPr="00C32F46">
        <w:rPr>
          <w:rFonts w:ascii="Times New Roman" w:hAnsi="Times New Roman" w:cs="Times New Roman"/>
          <w:sz w:val="24"/>
          <w:szCs w:val="24"/>
        </w:rPr>
        <w:t>.</w:t>
      </w:r>
    </w:p>
    <w:p w14:paraId="3C5FE0FE" w14:textId="5CAD64AC"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Troell, M., Costa‐Pierce, B., Stead, S., Cottrell, R., </w:t>
      </w:r>
      <w:proofErr w:type="spellStart"/>
      <w:r w:rsidRPr="00C32F46">
        <w:rPr>
          <w:rFonts w:ascii="Times New Roman" w:hAnsi="Times New Roman" w:cs="Times New Roman"/>
          <w:sz w:val="24"/>
          <w:szCs w:val="24"/>
        </w:rPr>
        <w:t>Brugere</w:t>
      </w:r>
      <w:proofErr w:type="spellEnd"/>
      <w:r w:rsidRPr="00C32F46">
        <w:rPr>
          <w:rFonts w:ascii="Times New Roman" w:hAnsi="Times New Roman" w:cs="Times New Roman"/>
          <w:sz w:val="24"/>
          <w:szCs w:val="24"/>
        </w:rPr>
        <w:t xml:space="preserve">, C., Farmery, A., Little, </w:t>
      </w:r>
      <w:r w:rsidRPr="00C32F46">
        <w:rPr>
          <w:rFonts w:ascii="Times New Roman" w:hAnsi="Times New Roman" w:cs="Times New Roman"/>
          <w:sz w:val="24"/>
          <w:szCs w:val="24"/>
        </w:rPr>
        <w:tab/>
        <w:t xml:space="preserve">D., </w:t>
      </w:r>
      <w:r w:rsidRPr="00C32F46">
        <w:rPr>
          <w:rFonts w:ascii="Times New Roman" w:hAnsi="Times New Roman" w:cs="Times New Roman"/>
          <w:sz w:val="24"/>
          <w:szCs w:val="24"/>
        </w:rPr>
        <w:tab/>
        <w:t xml:space="preserve">Strand, Å., Pullin, R., Soto, D., Beveridge, M., Salie, K., Dresdner, J., Moraes‐Valenti, </w:t>
      </w:r>
      <w:r w:rsidRPr="00C32F46">
        <w:rPr>
          <w:rFonts w:ascii="Times New Roman" w:hAnsi="Times New Roman" w:cs="Times New Roman"/>
          <w:sz w:val="24"/>
          <w:szCs w:val="24"/>
        </w:rPr>
        <w:lastRenderedPageBreak/>
        <w:tab/>
        <w:t xml:space="preserve">P., Blanchard, J., James, P., Yossa, R., Allison, E., Devaney, C., &amp; Barg, U. (2023). </w:t>
      </w:r>
      <w:r w:rsidRPr="00C32F46">
        <w:rPr>
          <w:rFonts w:ascii="Times New Roman" w:hAnsi="Times New Roman" w:cs="Times New Roman"/>
          <w:sz w:val="24"/>
          <w:szCs w:val="24"/>
        </w:rPr>
        <w:tab/>
        <w:t xml:space="preserve">Perspectives on aquaculture's contribution to the </w:t>
      </w:r>
      <w:r w:rsidRPr="00C32F46">
        <w:rPr>
          <w:rFonts w:ascii="Times New Roman" w:hAnsi="Times New Roman" w:cs="Times New Roman"/>
          <w:sz w:val="24"/>
          <w:szCs w:val="24"/>
        </w:rPr>
        <w:tab/>
        <w:t xml:space="preserve">Sustainable Development Goals </w:t>
      </w:r>
      <w:r w:rsidRPr="00C32F46">
        <w:rPr>
          <w:rFonts w:ascii="Times New Roman" w:hAnsi="Times New Roman" w:cs="Times New Roman"/>
          <w:sz w:val="24"/>
          <w:szCs w:val="24"/>
        </w:rPr>
        <w:tab/>
        <w:t xml:space="preserve">for improved human and planetary health. </w:t>
      </w:r>
      <w:r w:rsidRPr="00C32F46">
        <w:rPr>
          <w:rFonts w:ascii="Times New Roman" w:hAnsi="Times New Roman" w:cs="Times New Roman"/>
          <w:sz w:val="24"/>
          <w:szCs w:val="24"/>
        </w:rPr>
        <w:tab/>
      </w:r>
      <w:r w:rsidRPr="00C32F46">
        <w:rPr>
          <w:rFonts w:ascii="Times New Roman" w:hAnsi="Times New Roman" w:cs="Times New Roman"/>
          <w:i/>
          <w:iCs/>
          <w:sz w:val="24"/>
          <w:szCs w:val="24"/>
        </w:rPr>
        <w:t xml:space="preserve">Journal of the World Aquaculture </w:t>
      </w:r>
      <w:r w:rsidRPr="00C32F46">
        <w:rPr>
          <w:rFonts w:ascii="Times New Roman" w:hAnsi="Times New Roman" w:cs="Times New Roman"/>
          <w:i/>
          <w:iCs/>
          <w:sz w:val="24"/>
          <w:szCs w:val="24"/>
        </w:rPr>
        <w:tab/>
        <w:t>Society</w:t>
      </w:r>
      <w:r w:rsidRPr="00C32F46">
        <w:rPr>
          <w:rFonts w:ascii="Times New Roman" w:hAnsi="Times New Roman" w:cs="Times New Roman"/>
          <w:sz w:val="24"/>
          <w:szCs w:val="24"/>
        </w:rPr>
        <w:t xml:space="preserve">. </w:t>
      </w:r>
      <w:hyperlink r:id="rId43" w:history="1">
        <w:r w:rsidRPr="00C32F46">
          <w:rPr>
            <w:rStyle w:val="Hyperlink"/>
            <w:rFonts w:ascii="Times New Roman" w:hAnsi="Times New Roman" w:cs="Times New Roman"/>
            <w:sz w:val="24"/>
            <w:szCs w:val="24"/>
          </w:rPr>
          <w:t>https://doi.org/10.1111/jwas.12946</w:t>
        </w:r>
      </w:hyperlink>
      <w:r w:rsidRPr="00C32F46">
        <w:rPr>
          <w:rFonts w:ascii="Times New Roman" w:hAnsi="Times New Roman" w:cs="Times New Roman"/>
          <w:sz w:val="24"/>
          <w:szCs w:val="24"/>
        </w:rPr>
        <w:t>.</w:t>
      </w:r>
    </w:p>
    <w:p w14:paraId="454749D0" w14:textId="184BB525" w:rsidR="002A7CE1" w:rsidRPr="00C32F46" w:rsidRDefault="002A7CE1" w:rsidP="00AE1BA5">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Tyagi, N., Agrawal, A., Sakthivadivel, R., &amp; </w:t>
      </w:r>
      <w:proofErr w:type="spellStart"/>
      <w:r w:rsidRPr="00C32F46">
        <w:rPr>
          <w:rFonts w:ascii="Times New Roman" w:hAnsi="Times New Roman" w:cs="Times New Roman"/>
          <w:sz w:val="24"/>
          <w:szCs w:val="24"/>
        </w:rPr>
        <w:t>Ambast</w:t>
      </w:r>
      <w:proofErr w:type="spellEnd"/>
      <w:r w:rsidRPr="00C32F46">
        <w:rPr>
          <w:rFonts w:ascii="Times New Roman" w:hAnsi="Times New Roman" w:cs="Times New Roman"/>
          <w:sz w:val="24"/>
          <w:szCs w:val="24"/>
        </w:rPr>
        <w:t xml:space="preserve">, S. (2005). Water </w:t>
      </w:r>
      <w:r w:rsidRPr="00C32F46">
        <w:rPr>
          <w:rFonts w:ascii="Times New Roman" w:hAnsi="Times New Roman" w:cs="Times New Roman"/>
          <w:sz w:val="24"/>
          <w:szCs w:val="24"/>
        </w:rPr>
        <w:tab/>
        <w:t xml:space="preserve">management </w:t>
      </w:r>
      <w:r w:rsidRPr="00C32F46">
        <w:rPr>
          <w:rFonts w:ascii="Times New Roman" w:hAnsi="Times New Roman" w:cs="Times New Roman"/>
          <w:sz w:val="24"/>
          <w:szCs w:val="24"/>
        </w:rPr>
        <w:tab/>
        <w:t xml:space="preserve">decisions on small farms under scarce canal water supply: A case </w:t>
      </w:r>
      <w:r w:rsidRPr="00C32F46">
        <w:rPr>
          <w:rFonts w:ascii="Times New Roman" w:hAnsi="Times New Roman" w:cs="Times New Roman"/>
          <w:sz w:val="24"/>
          <w:szCs w:val="24"/>
        </w:rPr>
        <w:tab/>
        <w:t xml:space="preserve">study from NW </w:t>
      </w:r>
      <w:r w:rsidRPr="00C32F46">
        <w:rPr>
          <w:rFonts w:ascii="Times New Roman" w:hAnsi="Times New Roman" w:cs="Times New Roman"/>
          <w:sz w:val="24"/>
          <w:szCs w:val="24"/>
        </w:rPr>
        <w:tab/>
        <w:t xml:space="preserve">India. </w:t>
      </w:r>
      <w:r w:rsidRPr="00C32F46">
        <w:rPr>
          <w:rFonts w:ascii="Times New Roman" w:hAnsi="Times New Roman" w:cs="Times New Roman"/>
          <w:i/>
          <w:iCs/>
          <w:sz w:val="24"/>
          <w:szCs w:val="24"/>
        </w:rPr>
        <w:t>Agricultural Water Management</w:t>
      </w:r>
      <w:r w:rsidRPr="00C32F46">
        <w:rPr>
          <w:rFonts w:ascii="Times New Roman" w:hAnsi="Times New Roman" w:cs="Times New Roman"/>
          <w:sz w:val="24"/>
          <w:szCs w:val="24"/>
        </w:rPr>
        <w:t xml:space="preserve">, 77, 180-195. </w:t>
      </w:r>
      <w:r w:rsidRPr="00C32F46">
        <w:rPr>
          <w:rFonts w:ascii="Times New Roman" w:hAnsi="Times New Roman" w:cs="Times New Roman"/>
          <w:sz w:val="24"/>
          <w:szCs w:val="24"/>
        </w:rPr>
        <w:tab/>
      </w:r>
      <w:hyperlink r:id="rId44" w:history="1">
        <w:r w:rsidRPr="00C32F46">
          <w:rPr>
            <w:rStyle w:val="Hyperlink"/>
            <w:rFonts w:ascii="Times New Roman" w:hAnsi="Times New Roman" w:cs="Times New Roman"/>
            <w:sz w:val="24"/>
            <w:szCs w:val="24"/>
          </w:rPr>
          <w:t>https://doi.org/10.1016/j.agwat.2004.09.031</w:t>
        </w:r>
      </w:hyperlink>
      <w:r w:rsidRPr="00C32F46">
        <w:rPr>
          <w:rFonts w:ascii="Times New Roman" w:hAnsi="Times New Roman" w:cs="Times New Roman"/>
          <w:sz w:val="24"/>
          <w:szCs w:val="24"/>
        </w:rPr>
        <w:t>.</w:t>
      </w:r>
    </w:p>
    <w:p w14:paraId="5AE78CB9" w14:textId="2B7104F1"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Vaishnav, M., Sharma, S. K., Sharma, B. K., &amp; Ojha, M. L. (2017). Growth </w:t>
      </w:r>
      <w:r w:rsidRPr="00C32F46">
        <w:rPr>
          <w:rFonts w:ascii="Times New Roman" w:hAnsi="Times New Roman" w:cs="Times New Roman"/>
          <w:sz w:val="24"/>
          <w:szCs w:val="24"/>
        </w:rPr>
        <w:tab/>
        <w:t xml:space="preserve">performance of </w:t>
      </w:r>
      <w:r w:rsidRPr="00C32F46">
        <w:rPr>
          <w:rStyle w:val="Emphasis"/>
          <w:rFonts w:ascii="Times New Roman" w:hAnsi="Times New Roman" w:cs="Times New Roman"/>
          <w:sz w:val="24"/>
          <w:szCs w:val="24"/>
        </w:rPr>
        <w:t>Pangasius</w:t>
      </w:r>
      <w:r w:rsidRPr="00C32F46">
        <w:rPr>
          <w:rFonts w:ascii="Times New Roman" w:hAnsi="Times New Roman" w:cs="Times New Roman"/>
          <w:sz w:val="24"/>
          <w:szCs w:val="24"/>
        </w:rPr>
        <w:t xml:space="preserve"> sp. cultured at different stocking density in floating </w:t>
      </w:r>
      <w:r w:rsidRPr="00C32F46">
        <w:rPr>
          <w:rFonts w:ascii="Times New Roman" w:hAnsi="Times New Roman" w:cs="Times New Roman"/>
          <w:sz w:val="24"/>
          <w:szCs w:val="24"/>
        </w:rPr>
        <w:tab/>
        <w:t xml:space="preserve">net </w:t>
      </w:r>
      <w:r w:rsidRPr="00C32F46">
        <w:rPr>
          <w:rFonts w:ascii="Times New Roman" w:hAnsi="Times New Roman" w:cs="Times New Roman"/>
          <w:sz w:val="24"/>
          <w:szCs w:val="24"/>
        </w:rPr>
        <w:tab/>
        <w:t xml:space="preserve">cages in Mahi Bajaj Sagar Dam of </w:t>
      </w:r>
      <w:proofErr w:type="spellStart"/>
      <w:r w:rsidRPr="00C32F46">
        <w:rPr>
          <w:rFonts w:ascii="Times New Roman" w:hAnsi="Times New Roman" w:cs="Times New Roman"/>
          <w:sz w:val="24"/>
          <w:szCs w:val="24"/>
        </w:rPr>
        <w:t>Banswara</w:t>
      </w:r>
      <w:proofErr w:type="spellEnd"/>
      <w:r w:rsidRPr="00C32F46">
        <w:rPr>
          <w:rFonts w:ascii="Times New Roman" w:hAnsi="Times New Roman" w:cs="Times New Roman"/>
          <w:sz w:val="24"/>
          <w:szCs w:val="24"/>
        </w:rPr>
        <w:t xml:space="preserve"> (Rajasthan). </w:t>
      </w:r>
      <w:r w:rsidRPr="00C32F46">
        <w:rPr>
          <w:rStyle w:val="Emphasis"/>
          <w:rFonts w:ascii="Times New Roman" w:hAnsi="Times New Roman" w:cs="Times New Roman"/>
          <w:sz w:val="24"/>
          <w:szCs w:val="24"/>
        </w:rPr>
        <w:t xml:space="preserve">Journal of </w:t>
      </w:r>
      <w:r w:rsidRPr="00C32F46">
        <w:rPr>
          <w:rStyle w:val="Emphasis"/>
          <w:rFonts w:ascii="Times New Roman" w:hAnsi="Times New Roman" w:cs="Times New Roman"/>
          <w:sz w:val="24"/>
          <w:szCs w:val="24"/>
        </w:rPr>
        <w:tab/>
        <w:t>Entomology and Zoology Studies, 5</w:t>
      </w:r>
      <w:r w:rsidRPr="00C32F46">
        <w:rPr>
          <w:rFonts w:ascii="Times New Roman" w:hAnsi="Times New Roman" w:cs="Times New Roman"/>
          <w:sz w:val="24"/>
          <w:szCs w:val="24"/>
        </w:rPr>
        <w:t>(5), 649–652.</w:t>
      </w:r>
    </w:p>
    <w:p w14:paraId="000E7F16" w14:textId="29D75A62"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Vaishnav, M., Sharma, S. K., Sharma, B. K., &amp; Ojha, M. L. (2017). Growth </w:t>
      </w:r>
      <w:r w:rsidRPr="00C32F46">
        <w:rPr>
          <w:rFonts w:ascii="Times New Roman" w:hAnsi="Times New Roman" w:cs="Times New Roman"/>
          <w:sz w:val="24"/>
          <w:szCs w:val="24"/>
        </w:rPr>
        <w:tab/>
        <w:t xml:space="preserve">performance of </w:t>
      </w:r>
      <w:r w:rsidRPr="00C32F46">
        <w:rPr>
          <w:rStyle w:val="Emphasis"/>
          <w:rFonts w:ascii="Times New Roman" w:hAnsi="Times New Roman" w:cs="Times New Roman"/>
          <w:sz w:val="24"/>
          <w:szCs w:val="24"/>
        </w:rPr>
        <w:t>Pangasius</w:t>
      </w:r>
      <w:r w:rsidRPr="00C32F46">
        <w:rPr>
          <w:rFonts w:ascii="Times New Roman" w:hAnsi="Times New Roman" w:cs="Times New Roman"/>
          <w:sz w:val="24"/>
          <w:szCs w:val="24"/>
        </w:rPr>
        <w:t xml:space="preserve"> sp. cultured at different stocking density in floating </w:t>
      </w:r>
      <w:r w:rsidRPr="00C32F46">
        <w:rPr>
          <w:rFonts w:ascii="Times New Roman" w:hAnsi="Times New Roman" w:cs="Times New Roman"/>
          <w:sz w:val="24"/>
          <w:szCs w:val="24"/>
        </w:rPr>
        <w:tab/>
        <w:t xml:space="preserve">net </w:t>
      </w:r>
      <w:r w:rsidRPr="00C32F46">
        <w:rPr>
          <w:rFonts w:ascii="Times New Roman" w:hAnsi="Times New Roman" w:cs="Times New Roman"/>
          <w:sz w:val="24"/>
          <w:szCs w:val="24"/>
        </w:rPr>
        <w:tab/>
        <w:t xml:space="preserve">cages in Mahi Bajaj Sagar Dam of </w:t>
      </w:r>
      <w:proofErr w:type="spellStart"/>
      <w:r w:rsidRPr="00C32F46">
        <w:rPr>
          <w:rFonts w:ascii="Times New Roman" w:hAnsi="Times New Roman" w:cs="Times New Roman"/>
          <w:sz w:val="24"/>
          <w:szCs w:val="24"/>
        </w:rPr>
        <w:t>Banswara</w:t>
      </w:r>
      <w:proofErr w:type="spellEnd"/>
      <w:r w:rsidRPr="00C32F46">
        <w:rPr>
          <w:rFonts w:ascii="Times New Roman" w:hAnsi="Times New Roman" w:cs="Times New Roman"/>
          <w:sz w:val="24"/>
          <w:szCs w:val="24"/>
        </w:rPr>
        <w:t xml:space="preserve"> (Rajasthan). </w:t>
      </w:r>
      <w:r w:rsidRPr="00C32F46">
        <w:rPr>
          <w:rStyle w:val="Emphasis"/>
          <w:rFonts w:ascii="Times New Roman" w:hAnsi="Times New Roman" w:cs="Times New Roman"/>
          <w:sz w:val="24"/>
          <w:szCs w:val="24"/>
        </w:rPr>
        <w:t xml:space="preserve">Journal of </w:t>
      </w:r>
      <w:r w:rsidRPr="00C32F46">
        <w:rPr>
          <w:rStyle w:val="Emphasis"/>
          <w:rFonts w:ascii="Times New Roman" w:hAnsi="Times New Roman" w:cs="Times New Roman"/>
          <w:sz w:val="24"/>
          <w:szCs w:val="24"/>
        </w:rPr>
        <w:tab/>
        <w:t>Entomology and Zoology Studies, 5</w:t>
      </w:r>
      <w:r w:rsidRPr="00C32F46">
        <w:rPr>
          <w:rFonts w:ascii="Times New Roman" w:hAnsi="Times New Roman" w:cs="Times New Roman"/>
          <w:sz w:val="24"/>
          <w:szCs w:val="24"/>
        </w:rPr>
        <w:t>(5), 649–652.</w:t>
      </w:r>
    </w:p>
    <w:p w14:paraId="472E155B" w14:textId="45B32A5B" w:rsidR="002A7CE1" w:rsidRPr="00C32F46" w:rsidRDefault="002A7CE1" w:rsidP="00AE1BA5">
      <w:pPr>
        <w:spacing w:line="360" w:lineRule="auto"/>
        <w:jc w:val="both"/>
        <w:rPr>
          <w:rFonts w:ascii="Times New Roman" w:hAnsi="Times New Roman" w:cs="Times New Roman"/>
          <w:sz w:val="24"/>
          <w:szCs w:val="24"/>
        </w:rPr>
      </w:pPr>
      <w:proofErr w:type="spellStart"/>
      <w:r w:rsidRPr="00C32F46">
        <w:rPr>
          <w:rFonts w:ascii="Times New Roman" w:hAnsi="Times New Roman" w:cs="Times New Roman"/>
          <w:sz w:val="24"/>
          <w:szCs w:val="24"/>
        </w:rPr>
        <w:t>Verdegem</w:t>
      </w:r>
      <w:proofErr w:type="spellEnd"/>
      <w:r w:rsidRPr="00C32F46">
        <w:rPr>
          <w:rFonts w:ascii="Times New Roman" w:hAnsi="Times New Roman" w:cs="Times New Roman"/>
          <w:sz w:val="24"/>
          <w:szCs w:val="24"/>
        </w:rPr>
        <w:t xml:space="preserve">, M., Buschmann, A., Latt, U., Dalsgaard, A., &amp; </w:t>
      </w:r>
      <w:proofErr w:type="spellStart"/>
      <w:r w:rsidRPr="00C32F46">
        <w:rPr>
          <w:rFonts w:ascii="Times New Roman" w:hAnsi="Times New Roman" w:cs="Times New Roman"/>
          <w:sz w:val="24"/>
          <w:szCs w:val="24"/>
        </w:rPr>
        <w:t>Lovatelli</w:t>
      </w:r>
      <w:proofErr w:type="spellEnd"/>
      <w:r w:rsidRPr="00C32F46">
        <w:rPr>
          <w:rFonts w:ascii="Times New Roman" w:hAnsi="Times New Roman" w:cs="Times New Roman"/>
          <w:sz w:val="24"/>
          <w:szCs w:val="24"/>
        </w:rPr>
        <w:t xml:space="preserve">, A. (2023). The </w:t>
      </w:r>
      <w:r w:rsidRPr="00C32F46">
        <w:rPr>
          <w:rFonts w:ascii="Times New Roman" w:hAnsi="Times New Roman" w:cs="Times New Roman"/>
          <w:sz w:val="24"/>
          <w:szCs w:val="24"/>
        </w:rPr>
        <w:tab/>
        <w:t xml:space="preserve">contribution of aquaculture systems to global aquaculture production. </w:t>
      </w:r>
      <w:r w:rsidRPr="00C32F46">
        <w:rPr>
          <w:rFonts w:ascii="Times New Roman" w:hAnsi="Times New Roman" w:cs="Times New Roman"/>
          <w:i/>
          <w:iCs/>
          <w:sz w:val="24"/>
          <w:szCs w:val="24"/>
        </w:rPr>
        <w:t xml:space="preserve">Journal </w:t>
      </w:r>
      <w:r w:rsidRPr="00C32F46">
        <w:rPr>
          <w:rFonts w:ascii="Times New Roman" w:hAnsi="Times New Roman" w:cs="Times New Roman"/>
          <w:i/>
          <w:iCs/>
          <w:sz w:val="24"/>
          <w:szCs w:val="24"/>
        </w:rPr>
        <w:tab/>
        <w:t xml:space="preserve">of </w:t>
      </w:r>
      <w:r w:rsidRPr="00C32F46">
        <w:rPr>
          <w:rFonts w:ascii="Times New Roman" w:hAnsi="Times New Roman" w:cs="Times New Roman"/>
          <w:i/>
          <w:iCs/>
          <w:sz w:val="24"/>
          <w:szCs w:val="24"/>
        </w:rPr>
        <w:tab/>
        <w:t>the World Aquaculture Society</w:t>
      </w:r>
      <w:r w:rsidRPr="00C32F46">
        <w:rPr>
          <w:rFonts w:ascii="Times New Roman" w:hAnsi="Times New Roman" w:cs="Times New Roman"/>
          <w:sz w:val="24"/>
          <w:szCs w:val="24"/>
        </w:rPr>
        <w:t xml:space="preserve">. </w:t>
      </w:r>
      <w:hyperlink r:id="rId45" w:history="1">
        <w:r w:rsidRPr="00C32F46">
          <w:rPr>
            <w:rStyle w:val="Hyperlink"/>
            <w:rFonts w:ascii="Times New Roman" w:hAnsi="Times New Roman" w:cs="Times New Roman"/>
            <w:sz w:val="24"/>
            <w:szCs w:val="24"/>
          </w:rPr>
          <w:t>https://doi.org/10.1111/jwas.12963</w:t>
        </w:r>
      </w:hyperlink>
      <w:r w:rsidRPr="00C32F46">
        <w:rPr>
          <w:rFonts w:ascii="Times New Roman" w:hAnsi="Times New Roman" w:cs="Times New Roman"/>
          <w:sz w:val="24"/>
          <w:szCs w:val="24"/>
        </w:rPr>
        <w:t>.</w:t>
      </w:r>
    </w:p>
    <w:p w14:paraId="38EB2317" w14:textId="1E684FE0" w:rsidR="00AE1BA5" w:rsidRDefault="002A7CE1" w:rsidP="00027F61">
      <w:pPr>
        <w:spacing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Wei, Y., Wei, Q., &amp; An, D. (2020). Intelligent monitoring and control technologies </w:t>
      </w:r>
      <w:r w:rsidRPr="00C32F46">
        <w:rPr>
          <w:rFonts w:ascii="Times New Roman" w:hAnsi="Times New Roman" w:cs="Times New Roman"/>
          <w:sz w:val="24"/>
          <w:szCs w:val="24"/>
        </w:rPr>
        <w:tab/>
        <w:t xml:space="preserve">of </w:t>
      </w:r>
      <w:r w:rsidRPr="00C32F46">
        <w:rPr>
          <w:rFonts w:ascii="Times New Roman" w:hAnsi="Times New Roman" w:cs="Times New Roman"/>
          <w:sz w:val="24"/>
          <w:szCs w:val="24"/>
        </w:rPr>
        <w:tab/>
        <w:t xml:space="preserve">open sea cage culture: A review. </w:t>
      </w:r>
      <w:proofErr w:type="spellStart"/>
      <w:r w:rsidRPr="00C32F46">
        <w:rPr>
          <w:rFonts w:ascii="Times New Roman" w:hAnsi="Times New Roman" w:cs="Times New Roman"/>
          <w:sz w:val="24"/>
          <w:szCs w:val="24"/>
        </w:rPr>
        <w:t>Comput</w:t>
      </w:r>
      <w:proofErr w:type="spellEnd"/>
      <w:r w:rsidRPr="00C32F46">
        <w:rPr>
          <w:rFonts w:ascii="Times New Roman" w:hAnsi="Times New Roman" w:cs="Times New Roman"/>
          <w:sz w:val="24"/>
          <w:szCs w:val="24"/>
        </w:rPr>
        <w:t xml:space="preserve">. Electron. Agric., 169, 105119. </w:t>
      </w:r>
      <w:r w:rsidRPr="00C32F46">
        <w:rPr>
          <w:rFonts w:ascii="Times New Roman" w:hAnsi="Times New Roman" w:cs="Times New Roman"/>
          <w:sz w:val="24"/>
          <w:szCs w:val="24"/>
        </w:rPr>
        <w:tab/>
      </w:r>
      <w:hyperlink r:id="rId46" w:history="1">
        <w:r w:rsidRPr="00C32F46">
          <w:rPr>
            <w:rStyle w:val="Hyperlink"/>
            <w:rFonts w:ascii="Times New Roman" w:hAnsi="Times New Roman" w:cs="Times New Roman"/>
            <w:sz w:val="24"/>
            <w:szCs w:val="24"/>
          </w:rPr>
          <w:t>https://doi.org/10.1016/j.compag.2019.105119</w:t>
        </w:r>
      </w:hyperlink>
      <w:r w:rsidRPr="00C32F46">
        <w:rPr>
          <w:rFonts w:ascii="Times New Roman" w:hAnsi="Times New Roman" w:cs="Times New Roman"/>
          <w:sz w:val="24"/>
          <w:szCs w:val="24"/>
        </w:rPr>
        <w:t>.</w:t>
      </w:r>
    </w:p>
    <w:p w14:paraId="75E5DFDC" w14:textId="089AE260"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Windarti, W., Siregar, S. H., </w:t>
      </w:r>
      <w:proofErr w:type="spellStart"/>
      <w:r w:rsidRPr="00C32F46">
        <w:rPr>
          <w:rFonts w:ascii="Times New Roman" w:hAnsi="Times New Roman" w:cs="Times New Roman"/>
          <w:sz w:val="24"/>
          <w:szCs w:val="24"/>
        </w:rPr>
        <w:t>Simarmata</w:t>
      </w:r>
      <w:proofErr w:type="spellEnd"/>
      <w:r w:rsidRPr="00C32F46">
        <w:rPr>
          <w:rFonts w:ascii="Times New Roman" w:hAnsi="Times New Roman" w:cs="Times New Roman"/>
          <w:sz w:val="24"/>
          <w:szCs w:val="24"/>
        </w:rPr>
        <w:t xml:space="preserve">, A. H., &amp; Samiaji, J. (2023). Survival and </w:t>
      </w:r>
      <w:r w:rsidRPr="00C32F46">
        <w:rPr>
          <w:rFonts w:ascii="Times New Roman" w:hAnsi="Times New Roman" w:cs="Times New Roman"/>
          <w:sz w:val="24"/>
          <w:szCs w:val="24"/>
        </w:rPr>
        <w:tab/>
        <w:t xml:space="preserve">Growth of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hypopthalmus</w:t>
      </w:r>
      <w:proofErr w:type="spellEnd"/>
      <w:r w:rsidRPr="00C32F46">
        <w:rPr>
          <w:rFonts w:ascii="Times New Roman" w:hAnsi="Times New Roman" w:cs="Times New Roman"/>
          <w:sz w:val="24"/>
          <w:szCs w:val="24"/>
        </w:rPr>
        <w:t xml:space="preserve"> Fed with </w:t>
      </w:r>
      <w:r w:rsidRPr="00C32F46">
        <w:rPr>
          <w:rFonts w:ascii="Times New Roman" w:hAnsi="Times New Roman" w:cs="Times New Roman"/>
          <w:i/>
          <w:iCs/>
          <w:sz w:val="24"/>
          <w:szCs w:val="24"/>
        </w:rPr>
        <w:t>Moringa oleifera</w:t>
      </w:r>
      <w:r w:rsidRPr="00C32F46">
        <w:rPr>
          <w:rFonts w:ascii="Times New Roman" w:hAnsi="Times New Roman" w:cs="Times New Roman"/>
          <w:sz w:val="24"/>
          <w:szCs w:val="24"/>
        </w:rPr>
        <w:t xml:space="preserve"> Enriched </w:t>
      </w:r>
      <w:r w:rsidRPr="00C32F46">
        <w:rPr>
          <w:rFonts w:ascii="Times New Roman" w:hAnsi="Times New Roman" w:cs="Times New Roman"/>
          <w:sz w:val="24"/>
          <w:szCs w:val="24"/>
        </w:rPr>
        <w:tab/>
        <w:t xml:space="preserve">Pellets and Reared in Tank with Aquaponic System and Dark Condition. </w:t>
      </w:r>
      <w:proofErr w:type="spellStart"/>
      <w:r w:rsidRPr="00C32F46">
        <w:rPr>
          <w:rFonts w:ascii="Times New Roman" w:hAnsi="Times New Roman" w:cs="Times New Roman"/>
          <w:sz w:val="24"/>
          <w:szCs w:val="24"/>
        </w:rPr>
        <w:t>Jurnal</w:t>
      </w:r>
      <w:proofErr w:type="spellEnd"/>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r>
      <w:proofErr w:type="spellStart"/>
      <w:r w:rsidRPr="00C32F46">
        <w:rPr>
          <w:rFonts w:ascii="Times New Roman" w:hAnsi="Times New Roman" w:cs="Times New Roman"/>
          <w:sz w:val="24"/>
          <w:szCs w:val="24"/>
        </w:rPr>
        <w:t>Natur</w:t>
      </w:r>
      <w:proofErr w:type="spellEnd"/>
      <w:r w:rsidRPr="00C32F46">
        <w:rPr>
          <w:rFonts w:ascii="Times New Roman" w:hAnsi="Times New Roman" w:cs="Times New Roman"/>
          <w:sz w:val="24"/>
          <w:szCs w:val="24"/>
        </w:rPr>
        <w:t xml:space="preserve"> Indonesia. </w:t>
      </w:r>
      <w:hyperlink r:id="rId47" w:history="1">
        <w:r w:rsidRPr="00C32F46">
          <w:rPr>
            <w:rStyle w:val="Hyperlink"/>
            <w:rFonts w:ascii="Times New Roman" w:hAnsi="Times New Roman" w:cs="Times New Roman"/>
            <w:sz w:val="24"/>
            <w:szCs w:val="24"/>
          </w:rPr>
          <w:t>https://doi.org/10.31258/jnat.21.1.1-6</w:t>
        </w:r>
      </w:hyperlink>
    </w:p>
    <w:p w14:paraId="0EC9FCED" w14:textId="77777777"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Ye, T., Zhang, X., Liu, F., Liang, X., Guo, D., Lou, B., &amp; Xie, Z. (2025). Adaptive </w:t>
      </w:r>
      <w:r w:rsidRPr="00C32F46">
        <w:rPr>
          <w:rFonts w:ascii="Times New Roman" w:hAnsi="Times New Roman" w:cs="Times New Roman"/>
          <w:sz w:val="24"/>
          <w:szCs w:val="24"/>
        </w:rPr>
        <w:tab/>
        <w:t xml:space="preserve">Responses of Large Yellow Croaker </w:t>
      </w:r>
      <w:proofErr w:type="spellStart"/>
      <w:r w:rsidRPr="00C32F46">
        <w:rPr>
          <w:rFonts w:ascii="Times New Roman" w:hAnsi="Times New Roman" w:cs="Times New Roman"/>
          <w:i/>
          <w:iCs/>
          <w:sz w:val="24"/>
          <w:szCs w:val="24"/>
        </w:rPr>
        <w:t>Larimichthys</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crocea</w:t>
      </w:r>
      <w:proofErr w:type="spellEnd"/>
      <w:r w:rsidRPr="00C32F46">
        <w:rPr>
          <w:rFonts w:ascii="Times New Roman" w:hAnsi="Times New Roman" w:cs="Times New Roman"/>
          <w:sz w:val="24"/>
          <w:szCs w:val="24"/>
        </w:rPr>
        <w:t xml:space="preserve"> to Ocean </w:t>
      </w:r>
      <w:r w:rsidRPr="00C32F46">
        <w:rPr>
          <w:rFonts w:ascii="Times New Roman" w:hAnsi="Times New Roman" w:cs="Times New Roman"/>
          <w:sz w:val="24"/>
          <w:szCs w:val="24"/>
        </w:rPr>
        <w:tab/>
        <w:t xml:space="preserve">Acidification: Integrative Analysis of Gill and Kidney Transcriptomics and </w:t>
      </w:r>
      <w:r w:rsidRPr="00C32F46">
        <w:rPr>
          <w:rFonts w:ascii="Times New Roman" w:hAnsi="Times New Roman" w:cs="Times New Roman"/>
          <w:sz w:val="24"/>
          <w:szCs w:val="24"/>
        </w:rPr>
        <w:tab/>
        <w:t xml:space="preserve">Antioxidant Enzyme Activities. </w:t>
      </w:r>
      <w:r w:rsidRPr="00C32F46">
        <w:rPr>
          <w:rFonts w:ascii="Times New Roman" w:hAnsi="Times New Roman" w:cs="Times New Roman"/>
          <w:i/>
          <w:iCs/>
          <w:sz w:val="24"/>
          <w:szCs w:val="24"/>
        </w:rPr>
        <w:t>Antioxidants</w:t>
      </w:r>
      <w:r w:rsidRPr="00C32F46">
        <w:rPr>
          <w:rFonts w:ascii="Times New Roman" w:hAnsi="Times New Roman" w:cs="Times New Roman"/>
          <w:sz w:val="24"/>
          <w:szCs w:val="24"/>
        </w:rPr>
        <w:t xml:space="preserve">, 14. </w:t>
      </w:r>
      <w:r w:rsidRPr="00C32F46">
        <w:rPr>
          <w:rFonts w:ascii="Times New Roman" w:hAnsi="Times New Roman" w:cs="Times New Roman"/>
          <w:sz w:val="24"/>
          <w:szCs w:val="24"/>
        </w:rPr>
        <w:tab/>
      </w:r>
      <w:hyperlink r:id="rId48" w:history="1">
        <w:r w:rsidRPr="00C32F46">
          <w:rPr>
            <w:rStyle w:val="Hyperlink"/>
            <w:rFonts w:ascii="Times New Roman" w:hAnsi="Times New Roman" w:cs="Times New Roman"/>
            <w:sz w:val="24"/>
            <w:szCs w:val="24"/>
          </w:rPr>
          <w:t>https://doi.org/10.3390/antiox14070872</w:t>
        </w:r>
      </w:hyperlink>
    </w:p>
    <w:p w14:paraId="75F8C944" w14:textId="13D4D329"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lastRenderedPageBreak/>
        <w:t xml:space="preserve">Zaki, M., Khalil, H. S., Allam, B. W., Khalil, R., </w:t>
      </w:r>
      <w:proofErr w:type="spellStart"/>
      <w:r w:rsidRPr="00C32F46">
        <w:rPr>
          <w:rFonts w:ascii="Times New Roman" w:hAnsi="Times New Roman" w:cs="Times New Roman"/>
          <w:sz w:val="24"/>
          <w:szCs w:val="24"/>
        </w:rPr>
        <w:t>Basuini</w:t>
      </w:r>
      <w:proofErr w:type="spellEnd"/>
      <w:r w:rsidRPr="00C32F46">
        <w:rPr>
          <w:rFonts w:ascii="Times New Roman" w:hAnsi="Times New Roman" w:cs="Times New Roman"/>
          <w:sz w:val="24"/>
          <w:szCs w:val="24"/>
        </w:rPr>
        <w:t xml:space="preserve">, M., Nour, A., Labib, E., </w:t>
      </w:r>
      <w:r w:rsidRPr="00C32F46">
        <w:rPr>
          <w:rFonts w:ascii="Times New Roman" w:hAnsi="Times New Roman" w:cs="Times New Roman"/>
          <w:sz w:val="24"/>
          <w:szCs w:val="24"/>
        </w:rPr>
        <w:tab/>
        <w:t xml:space="preserve">Elkholy, I. S. E., </w:t>
      </w:r>
      <w:proofErr w:type="spellStart"/>
      <w:r w:rsidRPr="00C32F46">
        <w:rPr>
          <w:rFonts w:ascii="Times New Roman" w:hAnsi="Times New Roman" w:cs="Times New Roman"/>
          <w:sz w:val="24"/>
          <w:szCs w:val="24"/>
        </w:rPr>
        <w:t>Verdegem</w:t>
      </w:r>
      <w:proofErr w:type="spellEnd"/>
      <w:r w:rsidRPr="00C32F46">
        <w:rPr>
          <w:rFonts w:ascii="Times New Roman" w:hAnsi="Times New Roman" w:cs="Times New Roman"/>
          <w:sz w:val="24"/>
          <w:szCs w:val="24"/>
        </w:rPr>
        <w:t xml:space="preserve">, M., &amp; Abdel‐Latif, H. M. (2023). Assessment of </w:t>
      </w:r>
      <w:r w:rsidRPr="00C32F46">
        <w:rPr>
          <w:rFonts w:ascii="Times New Roman" w:hAnsi="Times New Roman" w:cs="Times New Roman"/>
          <w:sz w:val="24"/>
          <w:szCs w:val="24"/>
        </w:rPr>
        <w:tab/>
        <w:t xml:space="preserve">zootechnical parameters, intestinal digestive enzymes, haemato-immune </w:t>
      </w:r>
      <w:r w:rsidRPr="00C32F46">
        <w:rPr>
          <w:rFonts w:ascii="Times New Roman" w:hAnsi="Times New Roman" w:cs="Times New Roman"/>
          <w:sz w:val="24"/>
          <w:szCs w:val="24"/>
        </w:rPr>
        <w:tab/>
        <w:t xml:space="preserve">responses, </w:t>
      </w:r>
      <w:r w:rsidRPr="00C32F46">
        <w:rPr>
          <w:rFonts w:ascii="Times New Roman" w:hAnsi="Times New Roman" w:cs="Times New Roman"/>
          <w:sz w:val="24"/>
          <w:szCs w:val="24"/>
        </w:rPr>
        <w:tab/>
        <w:t xml:space="preserve">and hepatic antioxidant status of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t xml:space="preserve">fingerlings reared </w:t>
      </w:r>
      <w:r w:rsidRPr="00C32F46">
        <w:rPr>
          <w:rFonts w:ascii="Times New Roman" w:hAnsi="Times New Roman" w:cs="Times New Roman"/>
          <w:sz w:val="24"/>
          <w:szCs w:val="24"/>
        </w:rPr>
        <w:tab/>
        <w:t xml:space="preserve">under different stocking densities. </w:t>
      </w:r>
      <w:r w:rsidRPr="00C32F46">
        <w:rPr>
          <w:rFonts w:ascii="Times New Roman" w:hAnsi="Times New Roman" w:cs="Times New Roman"/>
          <w:i/>
          <w:iCs/>
          <w:sz w:val="24"/>
          <w:szCs w:val="24"/>
        </w:rPr>
        <w:t>Aquaculture International</w:t>
      </w:r>
      <w:r w:rsidRPr="00C32F46">
        <w:rPr>
          <w:rFonts w:ascii="Times New Roman" w:hAnsi="Times New Roman" w:cs="Times New Roman"/>
          <w:sz w:val="24"/>
          <w:szCs w:val="24"/>
        </w:rPr>
        <w:t xml:space="preserve">, </w:t>
      </w:r>
      <w:r w:rsidRPr="00C32F46">
        <w:rPr>
          <w:rFonts w:ascii="Times New Roman" w:hAnsi="Times New Roman" w:cs="Times New Roman"/>
          <w:sz w:val="24"/>
          <w:szCs w:val="24"/>
        </w:rPr>
        <w:tab/>
        <w:t xml:space="preserve">1-24. </w:t>
      </w:r>
      <w:r w:rsidRPr="00C32F46">
        <w:rPr>
          <w:rFonts w:ascii="Times New Roman" w:hAnsi="Times New Roman" w:cs="Times New Roman"/>
          <w:sz w:val="24"/>
          <w:szCs w:val="24"/>
        </w:rPr>
        <w:tab/>
      </w:r>
      <w:hyperlink r:id="rId49" w:history="1">
        <w:r w:rsidRPr="00C32F46">
          <w:rPr>
            <w:rStyle w:val="Hyperlink"/>
            <w:rFonts w:ascii="Times New Roman" w:hAnsi="Times New Roman" w:cs="Times New Roman"/>
            <w:sz w:val="24"/>
            <w:szCs w:val="24"/>
          </w:rPr>
          <w:t>https://doi.org/10.1007/s10499-023-01092-w</w:t>
        </w:r>
      </w:hyperlink>
    </w:p>
    <w:p w14:paraId="644E263E" w14:textId="66B5842A" w:rsidR="002A7CE1" w:rsidRPr="00C32F46" w:rsidRDefault="002A7CE1" w:rsidP="00AE1BA5">
      <w:pPr>
        <w:spacing w:after="200" w:line="360" w:lineRule="auto"/>
        <w:jc w:val="both"/>
        <w:rPr>
          <w:rFonts w:ascii="Times New Roman" w:hAnsi="Times New Roman" w:cs="Times New Roman"/>
          <w:sz w:val="24"/>
          <w:szCs w:val="24"/>
        </w:rPr>
      </w:pPr>
      <w:r w:rsidRPr="00C32F46">
        <w:rPr>
          <w:rFonts w:ascii="Times New Roman" w:hAnsi="Times New Roman" w:cs="Times New Roman"/>
          <w:sz w:val="24"/>
          <w:szCs w:val="24"/>
        </w:rPr>
        <w:t xml:space="preserve">Zannat, M., Hossain, F., Rahman, U., Rohani, M. F., &amp; Shahjahan, M. (2023). An </w:t>
      </w:r>
      <w:r w:rsidRPr="00C32F46">
        <w:rPr>
          <w:rFonts w:ascii="Times New Roman" w:hAnsi="Times New Roman" w:cs="Times New Roman"/>
          <w:sz w:val="24"/>
          <w:szCs w:val="24"/>
        </w:rPr>
        <w:tab/>
        <w:t>overview of climate-driven stress responses in striped catfish (</w:t>
      </w:r>
      <w:proofErr w:type="spellStart"/>
      <w:r w:rsidRPr="00C32F46">
        <w:rPr>
          <w:rFonts w:ascii="Times New Roman" w:hAnsi="Times New Roman" w:cs="Times New Roman"/>
          <w:i/>
          <w:iCs/>
          <w:sz w:val="24"/>
          <w:szCs w:val="24"/>
        </w:rPr>
        <w:t>Pangasianodon</w:t>
      </w:r>
      <w:proofErr w:type="spellEnd"/>
      <w:r w:rsidRPr="00C32F46">
        <w:rPr>
          <w:rFonts w:ascii="Times New Roman" w:hAnsi="Times New Roman" w:cs="Times New Roman"/>
          <w:i/>
          <w:iCs/>
          <w:sz w:val="24"/>
          <w:szCs w:val="24"/>
        </w:rPr>
        <w:t xml:space="preserve"> </w:t>
      </w:r>
      <w:r w:rsidRPr="00C32F46">
        <w:rPr>
          <w:rFonts w:ascii="Times New Roman" w:hAnsi="Times New Roman" w:cs="Times New Roman"/>
          <w:i/>
          <w:iCs/>
          <w:sz w:val="24"/>
          <w:szCs w:val="24"/>
        </w:rPr>
        <w:tab/>
      </w:r>
      <w:proofErr w:type="spellStart"/>
      <w:r w:rsidRPr="00C32F46">
        <w:rPr>
          <w:rFonts w:ascii="Times New Roman" w:hAnsi="Times New Roman" w:cs="Times New Roman"/>
          <w:i/>
          <w:iCs/>
          <w:sz w:val="24"/>
          <w:szCs w:val="24"/>
        </w:rPr>
        <w:t>hypophthalmus</w:t>
      </w:r>
      <w:proofErr w:type="spellEnd"/>
      <w:r w:rsidRPr="00C32F46">
        <w:rPr>
          <w:rFonts w:ascii="Times New Roman" w:hAnsi="Times New Roman" w:cs="Times New Roman"/>
          <w:sz w:val="24"/>
          <w:szCs w:val="24"/>
        </w:rPr>
        <w:t xml:space="preserve">) – prospects in aquaculture. Asian </w:t>
      </w:r>
      <w:r w:rsidRPr="00C32F46">
        <w:rPr>
          <w:rFonts w:ascii="Times New Roman" w:hAnsi="Times New Roman" w:cs="Times New Roman"/>
          <w:i/>
          <w:iCs/>
          <w:sz w:val="24"/>
          <w:szCs w:val="24"/>
        </w:rPr>
        <w:t xml:space="preserve">Journal of Medical and </w:t>
      </w:r>
      <w:r w:rsidRPr="00C32F46">
        <w:rPr>
          <w:rFonts w:ascii="Times New Roman" w:hAnsi="Times New Roman" w:cs="Times New Roman"/>
          <w:i/>
          <w:iCs/>
          <w:sz w:val="24"/>
          <w:szCs w:val="24"/>
        </w:rPr>
        <w:tab/>
        <w:t xml:space="preserve">Biological </w:t>
      </w:r>
      <w:r w:rsidRPr="00C32F46">
        <w:rPr>
          <w:rFonts w:ascii="Times New Roman" w:hAnsi="Times New Roman" w:cs="Times New Roman"/>
          <w:i/>
          <w:iCs/>
          <w:sz w:val="24"/>
          <w:szCs w:val="24"/>
        </w:rPr>
        <w:tab/>
        <w:t>Research</w:t>
      </w:r>
      <w:r w:rsidRPr="00C32F46">
        <w:rPr>
          <w:rFonts w:ascii="Times New Roman" w:hAnsi="Times New Roman" w:cs="Times New Roman"/>
          <w:sz w:val="24"/>
          <w:szCs w:val="24"/>
        </w:rPr>
        <w:t xml:space="preserve">, 9(3), 70–88. </w:t>
      </w:r>
      <w:hyperlink r:id="rId50" w:history="1">
        <w:r w:rsidRPr="00C32F46">
          <w:rPr>
            <w:rStyle w:val="Hyperlink"/>
            <w:rFonts w:ascii="Times New Roman" w:hAnsi="Times New Roman" w:cs="Times New Roman"/>
            <w:sz w:val="24"/>
            <w:szCs w:val="24"/>
          </w:rPr>
          <w:t>https://doi.org/10.3329/ajmbr.v9i3.66474</w:t>
        </w:r>
      </w:hyperlink>
    </w:p>
    <w:p w14:paraId="6923B9A6" w14:textId="54A35EC0" w:rsidR="00E57B2E" w:rsidRPr="00C32F46" w:rsidRDefault="00E57B2E" w:rsidP="00226E12">
      <w:pPr>
        <w:spacing w:line="276" w:lineRule="auto"/>
        <w:jc w:val="both"/>
        <w:rPr>
          <w:rFonts w:ascii="Times New Roman" w:hAnsi="Times New Roman" w:cs="Times New Roman"/>
          <w:sz w:val="24"/>
          <w:szCs w:val="24"/>
        </w:rPr>
      </w:pPr>
    </w:p>
    <w:p w14:paraId="24964898" w14:textId="2D850F6A" w:rsidR="007F7413" w:rsidRPr="00C32F46" w:rsidRDefault="001402E2" w:rsidP="001402E2">
      <w:pPr>
        <w:spacing w:line="276" w:lineRule="auto"/>
        <w:jc w:val="center"/>
        <w:rPr>
          <w:rFonts w:ascii="Times New Roman" w:hAnsi="Times New Roman" w:cs="Times New Roman"/>
          <w:sz w:val="24"/>
          <w:szCs w:val="24"/>
        </w:rPr>
      </w:pPr>
      <w:r>
        <w:rPr>
          <w:rFonts w:ascii="Times New Roman" w:hAnsi="Times New Roman"/>
          <w:noProof/>
          <w:sz w:val="24"/>
          <w:szCs w:val="24"/>
        </w:rPr>
        <w:drawing>
          <wp:inline distT="0" distB="0" distL="0" distR="0" wp14:anchorId="64AD102D" wp14:editId="5E5270CD">
            <wp:extent cx="5539740" cy="4344607"/>
            <wp:effectExtent l="0" t="0" r="3810" b="0"/>
            <wp:docPr id="104897340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73404" name="Picture 1048973404"/>
                    <pic:cNvPicPr/>
                  </pic:nvPicPr>
                  <pic:blipFill rotWithShape="1">
                    <a:blip r:embed="rId51">
                      <a:extLst>
                        <a:ext uri="{28A0092B-C50C-407E-A947-70E740481C1C}">
                          <a14:useLocalDpi xmlns:a14="http://schemas.microsoft.com/office/drawing/2010/main" val="0"/>
                        </a:ext>
                      </a:extLst>
                    </a:blip>
                    <a:srcRect l="16087" b="4945"/>
                    <a:stretch>
                      <a:fillRect/>
                    </a:stretch>
                  </pic:blipFill>
                  <pic:spPr bwMode="auto">
                    <a:xfrm>
                      <a:off x="0" y="0"/>
                      <a:ext cx="5546556" cy="4349953"/>
                    </a:xfrm>
                    <a:prstGeom prst="rect">
                      <a:avLst/>
                    </a:prstGeom>
                    <a:ln>
                      <a:noFill/>
                    </a:ln>
                    <a:extLst>
                      <a:ext uri="{53640926-AAD7-44D8-BBD7-CCE9431645EC}">
                        <a14:shadowObscured xmlns:a14="http://schemas.microsoft.com/office/drawing/2010/main"/>
                      </a:ext>
                    </a:extLst>
                  </pic:spPr>
                </pic:pic>
              </a:graphicData>
            </a:graphic>
          </wp:inline>
        </w:drawing>
      </w:r>
    </w:p>
    <w:p w14:paraId="1222B220" w14:textId="77777777" w:rsidR="001402E2" w:rsidRPr="00C32F46" w:rsidRDefault="001402E2" w:rsidP="001402E2">
      <w:pPr>
        <w:spacing w:line="276" w:lineRule="auto"/>
        <w:jc w:val="center"/>
        <w:rPr>
          <w:rFonts w:ascii="Times New Roman" w:hAnsi="Times New Roman"/>
          <w:b/>
          <w:bCs/>
          <w:sz w:val="24"/>
          <w:szCs w:val="24"/>
        </w:rPr>
      </w:pPr>
      <w:r w:rsidRPr="00C32F46">
        <w:rPr>
          <w:rFonts w:ascii="Times New Roman" w:hAnsi="Times New Roman"/>
          <w:b/>
          <w:bCs/>
          <w:sz w:val="24"/>
          <w:szCs w:val="24"/>
        </w:rPr>
        <w:t>Figure 1. Study site- Irrigatio</w:t>
      </w:r>
      <w:r>
        <w:rPr>
          <w:rFonts w:ascii="Times New Roman" w:hAnsi="Times New Roman"/>
          <w:b/>
          <w:bCs/>
          <w:sz w:val="24"/>
          <w:szCs w:val="24"/>
        </w:rPr>
        <w:t xml:space="preserve">n canal at </w:t>
      </w:r>
      <w:proofErr w:type="spellStart"/>
      <w:r>
        <w:rPr>
          <w:rFonts w:ascii="Times New Roman" w:hAnsi="Times New Roman"/>
          <w:b/>
          <w:bCs/>
          <w:sz w:val="24"/>
          <w:szCs w:val="24"/>
        </w:rPr>
        <w:t>Gunsada</w:t>
      </w:r>
      <w:proofErr w:type="spellEnd"/>
      <w:r>
        <w:rPr>
          <w:rFonts w:ascii="Times New Roman" w:hAnsi="Times New Roman"/>
          <w:b/>
          <w:bCs/>
          <w:sz w:val="24"/>
          <w:szCs w:val="24"/>
        </w:rPr>
        <w:t xml:space="preserve"> village, Tapi district, Gujarat</w:t>
      </w:r>
    </w:p>
    <w:p w14:paraId="43A9D5A6" w14:textId="77777777" w:rsidR="007F7413" w:rsidRPr="00C32F46" w:rsidRDefault="007F7413" w:rsidP="00226E12">
      <w:pPr>
        <w:spacing w:line="276" w:lineRule="auto"/>
        <w:jc w:val="both"/>
        <w:rPr>
          <w:rFonts w:ascii="Times New Roman" w:hAnsi="Times New Roman" w:cs="Times New Roman"/>
          <w:sz w:val="24"/>
          <w:szCs w:val="24"/>
        </w:rPr>
      </w:pPr>
    </w:p>
    <w:p w14:paraId="4FE7C26B" w14:textId="215D4467" w:rsidR="007F7413" w:rsidRPr="00C32F46" w:rsidRDefault="003D334F" w:rsidP="00226E12">
      <w:pPr>
        <w:spacing w:line="276" w:lineRule="auto"/>
        <w:jc w:val="both"/>
        <w:rPr>
          <w:rFonts w:ascii="Times New Roman" w:hAnsi="Times New Roman" w:cs="Times New Roman"/>
          <w:sz w:val="24"/>
          <w:szCs w:val="24"/>
        </w:rPr>
      </w:pPr>
      <w:r w:rsidRPr="00C32F46">
        <w:rPr>
          <w:rFonts w:ascii="Times New Roman" w:hAnsi="Times New Roman" w:cs="Times New Roman"/>
          <w:noProof/>
          <w:sz w:val="24"/>
          <w:szCs w:val="24"/>
        </w:rPr>
        <w:lastRenderedPageBreak/>
        <w:drawing>
          <wp:inline distT="0" distB="0" distL="0" distR="0" wp14:anchorId="1215FA7D" wp14:editId="29517EB4">
            <wp:extent cx="5669162" cy="3216729"/>
            <wp:effectExtent l="0" t="0" r="8255" b="3175"/>
            <wp:docPr id="52840330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03305" name="Picture 528403305"/>
                    <pic:cNvPicPr/>
                  </pic:nvPicPr>
                  <pic:blipFill rotWithShape="1">
                    <a:blip r:embed="rId52">
                      <a:extLst>
                        <a:ext uri="{28A0092B-C50C-407E-A947-70E740481C1C}">
                          <a14:useLocalDpi xmlns:a14="http://schemas.microsoft.com/office/drawing/2010/main" val="0"/>
                        </a:ext>
                      </a:extLst>
                    </a:blip>
                    <a:srcRect l="4274" t="4664" r="5501" b="21393"/>
                    <a:stretch>
                      <a:fillRect/>
                    </a:stretch>
                  </pic:blipFill>
                  <pic:spPr bwMode="auto">
                    <a:xfrm>
                      <a:off x="0" y="0"/>
                      <a:ext cx="5675206" cy="3220158"/>
                    </a:xfrm>
                    <a:prstGeom prst="rect">
                      <a:avLst/>
                    </a:prstGeom>
                    <a:ln>
                      <a:noFill/>
                    </a:ln>
                    <a:extLst>
                      <a:ext uri="{53640926-AAD7-44D8-BBD7-CCE9431645EC}">
                        <a14:shadowObscured xmlns:a14="http://schemas.microsoft.com/office/drawing/2010/main"/>
                      </a:ext>
                    </a:extLst>
                  </pic:spPr>
                </pic:pic>
              </a:graphicData>
            </a:graphic>
          </wp:inline>
        </w:drawing>
      </w:r>
    </w:p>
    <w:p w14:paraId="1D0CD018" w14:textId="5A1327B1" w:rsidR="00422D68" w:rsidRDefault="003D334F" w:rsidP="00595F35">
      <w:pPr>
        <w:spacing w:line="276" w:lineRule="auto"/>
        <w:ind w:left="720" w:hanging="720"/>
        <w:jc w:val="both"/>
        <w:rPr>
          <w:rFonts w:ascii="Times New Roman" w:hAnsi="Times New Roman" w:cs="Times New Roman"/>
          <w:b/>
          <w:bCs/>
          <w:sz w:val="24"/>
          <w:szCs w:val="24"/>
        </w:rPr>
      </w:pPr>
      <w:r w:rsidRPr="00595F35">
        <w:rPr>
          <w:rFonts w:ascii="Times New Roman" w:hAnsi="Times New Roman" w:cs="Times New Roman"/>
          <w:b/>
          <w:bCs/>
          <w:sz w:val="24"/>
          <w:szCs w:val="24"/>
        </w:rPr>
        <w:t xml:space="preserve">Figure </w:t>
      </w:r>
      <w:r w:rsidR="00AF4985" w:rsidRPr="00595F35">
        <w:rPr>
          <w:rFonts w:ascii="Times New Roman" w:hAnsi="Times New Roman" w:cs="Times New Roman"/>
          <w:b/>
          <w:bCs/>
          <w:sz w:val="24"/>
          <w:szCs w:val="24"/>
        </w:rPr>
        <w:t>2. A)</w:t>
      </w:r>
      <w:r w:rsidR="009C37C2" w:rsidRPr="00595F35">
        <w:rPr>
          <w:rFonts w:ascii="Times New Roman" w:hAnsi="Times New Roman" w:cs="Times New Roman"/>
          <w:b/>
          <w:bCs/>
          <w:sz w:val="24"/>
          <w:szCs w:val="24"/>
        </w:rPr>
        <w:t xml:space="preserve"> GI Cage frame B)</w:t>
      </w:r>
      <w:r w:rsidR="006B28A1" w:rsidRPr="00595F35">
        <w:rPr>
          <w:rFonts w:ascii="Times New Roman" w:hAnsi="Times New Roman" w:cs="Times New Roman"/>
          <w:b/>
          <w:bCs/>
          <w:sz w:val="24"/>
          <w:szCs w:val="24"/>
        </w:rPr>
        <w:t xml:space="preserve"> </w:t>
      </w:r>
      <w:r w:rsidR="00292907" w:rsidRPr="00595F35">
        <w:rPr>
          <w:rFonts w:ascii="Times New Roman" w:hAnsi="Times New Roman" w:cs="Times New Roman"/>
          <w:b/>
          <w:bCs/>
          <w:sz w:val="24"/>
          <w:szCs w:val="24"/>
        </w:rPr>
        <w:t>B</w:t>
      </w:r>
      <w:r w:rsidR="006B28A1" w:rsidRPr="00595F35">
        <w:rPr>
          <w:rFonts w:ascii="Times New Roman" w:hAnsi="Times New Roman" w:cs="Times New Roman"/>
          <w:b/>
          <w:bCs/>
          <w:sz w:val="24"/>
          <w:szCs w:val="24"/>
        </w:rPr>
        <w:t>amboo frame C)</w:t>
      </w:r>
      <w:r w:rsidR="00483CB0" w:rsidRPr="00595F35">
        <w:rPr>
          <w:rFonts w:ascii="Times New Roman" w:hAnsi="Times New Roman" w:cs="Times New Roman"/>
          <w:b/>
          <w:bCs/>
          <w:sz w:val="24"/>
          <w:szCs w:val="24"/>
        </w:rPr>
        <w:t xml:space="preserve"> UPVC Cage frame</w:t>
      </w:r>
      <w:r w:rsidR="00292907" w:rsidRPr="00595F35">
        <w:rPr>
          <w:rFonts w:ascii="Times New Roman" w:hAnsi="Times New Roman" w:cs="Times New Roman"/>
          <w:b/>
          <w:bCs/>
          <w:sz w:val="24"/>
          <w:szCs w:val="24"/>
        </w:rPr>
        <w:t xml:space="preserve"> D)</w:t>
      </w:r>
      <w:r w:rsidR="00E27D10" w:rsidRPr="00595F35">
        <w:rPr>
          <w:rFonts w:ascii="Times New Roman" w:hAnsi="Times New Roman" w:cs="Times New Roman"/>
          <w:b/>
          <w:bCs/>
          <w:sz w:val="24"/>
          <w:szCs w:val="24"/>
        </w:rPr>
        <w:t xml:space="preserve"> </w:t>
      </w:r>
      <w:r w:rsidR="00292907" w:rsidRPr="00595F35">
        <w:rPr>
          <w:rFonts w:ascii="Times New Roman" w:hAnsi="Times New Roman" w:cs="Times New Roman"/>
          <w:b/>
          <w:bCs/>
          <w:sz w:val="24"/>
          <w:szCs w:val="24"/>
        </w:rPr>
        <w:t>Installation of Experimental cages E)</w:t>
      </w:r>
      <w:r w:rsidR="00E27D10" w:rsidRPr="00595F35">
        <w:rPr>
          <w:rFonts w:ascii="Times New Roman" w:hAnsi="Times New Roman" w:cs="Times New Roman"/>
          <w:b/>
          <w:bCs/>
          <w:sz w:val="24"/>
          <w:szCs w:val="24"/>
        </w:rPr>
        <w:t xml:space="preserve"> pangasius fingerling</w:t>
      </w:r>
    </w:p>
    <w:p w14:paraId="2ED82DB9" w14:textId="77777777" w:rsidR="001402E2" w:rsidRPr="00C32F46" w:rsidRDefault="001402E2" w:rsidP="001402E2">
      <w:pPr>
        <w:pStyle w:val="font-claude-response-body"/>
        <w:spacing w:line="276" w:lineRule="auto"/>
        <w:jc w:val="center"/>
        <w:rPr>
          <w:noProof/>
        </w:rPr>
      </w:pPr>
      <w:r>
        <w:rPr>
          <w:noProof/>
        </w:rPr>
        <w:lastRenderedPageBreak/>
        <w:drawing>
          <wp:inline distT="0" distB="0" distL="0" distR="0" wp14:anchorId="7327D34E" wp14:editId="10EABBDA">
            <wp:extent cx="5858171" cy="5655733"/>
            <wp:effectExtent l="0" t="0" r="0" b="2540"/>
            <wp:docPr id="74573986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739861" name="Picture 745739861"/>
                    <pic:cNvPicPr/>
                  </pic:nvPicPr>
                  <pic:blipFill rotWithShape="1">
                    <a:blip r:embed="rId53">
                      <a:extLst>
                        <a:ext uri="{28A0092B-C50C-407E-A947-70E740481C1C}">
                          <a14:useLocalDpi xmlns:a14="http://schemas.microsoft.com/office/drawing/2010/main" val="0"/>
                        </a:ext>
                      </a:extLst>
                    </a:blip>
                    <a:srcRect l="4787" r="6669" b="3985"/>
                    <a:stretch>
                      <a:fillRect/>
                    </a:stretch>
                  </pic:blipFill>
                  <pic:spPr bwMode="auto">
                    <a:xfrm>
                      <a:off x="0" y="0"/>
                      <a:ext cx="5886737" cy="5683312"/>
                    </a:xfrm>
                    <a:prstGeom prst="rect">
                      <a:avLst/>
                    </a:prstGeom>
                    <a:ln>
                      <a:noFill/>
                    </a:ln>
                    <a:extLst>
                      <a:ext uri="{53640926-AAD7-44D8-BBD7-CCE9431645EC}">
                        <a14:shadowObscured xmlns:a14="http://schemas.microsoft.com/office/drawing/2010/main"/>
                      </a:ext>
                    </a:extLst>
                  </pic:spPr>
                </pic:pic>
              </a:graphicData>
            </a:graphic>
          </wp:inline>
        </w:drawing>
      </w:r>
    </w:p>
    <w:p w14:paraId="365EEFF1" w14:textId="77777777" w:rsidR="001402E2" w:rsidRPr="00516A11" w:rsidRDefault="001402E2" w:rsidP="001402E2">
      <w:pPr>
        <w:tabs>
          <w:tab w:val="left" w:pos="1140"/>
        </w:tabs>
        <w:spacing w:line="276" w:lineRule="auto"/>
        <w:ind w:left="1140" w:hanging="1140"/>
        <w:jc w:val="both"/>
        <w:rPr>
          <w:rFonts w:ascii="Times New Roman" w:hAnsi="Times New Roman" w:cs="Times New Roman"/>
          <w:b/>
          <w:bCs/>
          <w:sz w:val="24"/>
          <w:szCs w:val="24"/>
        </w:rPr>
      </w:pPr>
      <w:r w:rsidRPr="00F15062">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F15062">
        <w:rPr>
          <w:rFonts w:ascii="Times New Roman" w:hAnsi="Times New Roman" w:cs="Times New Roman"/>
          <w:b/>
          <w:bCs/>
          <w:sz w:val="24"/>
          <w:szCs w:val="24"/>
        </w:rPr>
        <w:t>. Growth performance of Pangasius in cage culture system</w:t>
      </w:r>
      <w:r>
        <w:rPr>
          <w:rFonts w:ascii="Times New Roman" w:hAnsi="Times New Roman" w:cs="Times New Roman"/>
          <w:b/>
          <w:bCs/>
          <w:sz w:val="24"/>
          <w:szCs w:val="24"/>
        </w:rPr>
        <w:t>: A) Mean body weight B) SGR C) Mean weight gain</w:t>
      </w:r>
    </w:p>
    <w:p w14:paraId="4F2E06CD" w14:textId="77777777" w:rsidR="001402E2" w:rsidRPr="00C32F46" w:rsidRDefault="001402E2" w:rsidP="001402E2">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4B02621" wp14:editId="49B858D6">
            <wp:extent cx="5953760" cy="5012267"/>
            <wp:effectExtent l="0" t="0" r="8890" b="0"/>
            <wp:docPr id="47974331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43311" name="Picture 479743311"/>
                    <pic:cNvPicPr/>
                  </pic:nvPicPr>
                  <pic:blipFill rotWithShape="1">
                    <a:blip r:embed="rId54">
                      <a:extLst>
                        <a:ext uri="{28A0092B-C50C-407E-A947-70E740481C1C}">
                          <a14:useLocalDpi xmlns:a14="http://schemas.microsoft.com/office/drawing/2010/main" val="0"/>
                        </a:ext>
                      </a:extLst>
                    </a:blip>
                    <a:srcRect l="5318" r="5074" b="3600"/>
                    <a:stretch>
                      <a:fillRect/>
                    </a:stretch>
                  </pic:blipFill>
                  <pic:spPr bwMode="auto">
                    <a:xfrm>
                      <a:off x="0" y="0"/>
                      <a:ext cx="5968458" cy="5024641"/>
                    </a:xfrm>
                    <a:prstGeom prst="rect">
                      <a:avLst/>
                    </a:prstGeom>
                    <a:ln>
                      <a:noFill/>
                    </a:ln>
                    <a:extLst>
                      <a:ext uri="{53640926-AAD7-44D8-BBD7-CCE9431645EC}">
                        <a14:shadowObscured xmlns:a14="http://schemas.microsoft.com/office/drawing/2010/main"/>
                      </a:ext>
                    </a:extLst>
                  </pic:spPr>
                </pic:pic>
              </a:graphicData>
            </a:graphic>
          </wp:inline>
        </w:drawing>
      </w:r>
    </w:p>
    <w:p w14:paraId="33C7D7D7" w14:textId="77777777" w:rsidR="001402E2" w:rsidRPr="00DA1639" w:rsidRDefault="001402E2" w:rsidP="001402E2">
      <w:pPr>
        <w:spacing w:line="276" w:lineRule="auto"/>
        <w:ind w:left="720" w:hanging="720"/>
        <w:jc w:val="both"/>
        <w:rPr>
          <w:rFonts w:ascii="Times New Roman" w:hAnsi="Times New Roman" w:cs="Times New Roman"/>
          <w:b/>
          <w:bCs/>
          <w:sz w:val="24"/>
          <w:szCs w:val="24"/>
        </w:rPr>
      </w:pPr>
      <w:r w:rsidRPr="001000DA">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1000DA">
        <w:rPr>
          <w:rFonts w:ascii="Times New Roman" w:hAnsi="Times New Roman" w:cs="Times New Roman"/>
          <w:b/>
          <w:bCs/>
          <w:sz w:val="24"/>
          <w:szCs w:val="24"/>
        </w:rPr>
        <w:t xml:space="preserve">. Analysis of feed utilization by pangasius in different cage </w:t>
      </w:r>
      <w:proofErr w:type="gramStart"/>
      <w:r w:rsidRPr="001000DA">
        <w:rPr>
          <w:rFonts w:ascii="Times New Roman" w:hAnsi="Times New Roman" w:cs="Times New Roman"/>
          <w:b/>
          <w:bCs/>
          <w:sz w:val="24"/>
          <w:szCs w:val="24"/>
        </w:rPr>
        <w:t>types :</w:t>
      </w:r>
      <w:proofErr w:type="gramEnd"/>
      <w:r w:rsidRPr="001000DA">
        <w:rPr>
          <w:rFonts w:ascii="Times New Roman" w:hAnsi="Times New Roman" w:cs="Times New Roman"/>
          <w:b/>
          <w:bCs/>
          <w:sz w:val="24"/>
          <w:szCs w:val="24"/>
        </w:rPr>
        <w:t xml:space="preserve"> A) Feed conversion ratio (</w:t>
      </w:r>
      <w:proofErr w:type="gramStart"/>
      <w:r w:rsidRPr="001000DA">
        <w:rPr>
          <w:rFonts w:ascii="Times New Roman" w:hAnsi="Times New Roman" w:cs="Times New Roman"/>
          <w:b/>
          <w:bCs/>
          <w:sz w:val="24"/>
          <w:szCs w:val="24"/>
        </w:rPr>
        <w:t>FCR)  B</w:t>
      </w:r>
      <w:proofErr w:type="gramEnd"/>
      <w:r w:rsidRPr="001000DA">
        <w:rPr>
          <w:rFonts w:ascii="Times New Roman" w:hAnsi="Times New Roman" w:cs="Times New Roman"/>
          <w:b/>
          <w:bCs/>
          <w:sz w:val="24"/>
          <w:szCs w:val="24"/>
        </w:rPr>
        <w:t>) Protein efficiency ratio (PER) and C) Feed conversion efficiency (FCE)</w:t>
      </w:r>
    </w:p>
    <w:p w14:paraId="4123B343" w14:textId="0D0EF744" w:rsidR="001402E2" w:rsidRPr="001402E2" w:rsidRDefault="001402E2" w:rsidP="001402E2">
      <w:pPr>
        <w:spacing w:line="276" w:lineRule="auto"/>
        <w:ind w:left="720" w:hanging="720"/>
        <w:jc w:val="center"/>
        <w:rPr>
          <w:rFonts w:ascii="Times New Roman" w:hAnsi="Times New Roman" w:cs="Times New Roman"/>
          <w:b/>
          <w:bCs/>
          <w:sz w:val="24"/>
          <w:szCs w:val="24"/>
        </w:rPr>
      </w:pPr>
      <w:r w:rsidRPr="00C32F46">
        <w:rPr>
          <w:noProof/>
          <w:sz w:val="24"/>
          <w:szCs w:val="24"/>
        </w:rPr>
        <w:drawing>
          <wp:inline distT="0" distB="0" distL="0" distR="0" wp14:anchorId="69270DEC" wp14:editId="2E2C3E8C">
            <wp:extent cx="3343910" cy="2404533"/>
            <wp:effectExtent l="0" t="0" r="8890" b="0"/>
            <wp:docPr id="32" name="Chart 32">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1A0DEAB" w14:textId="77777777" w:rsidR="001402E2" w:rsidRPr="00140005" w:rsidRDefault="001402E2" w:rsidP="001402E2">
      <w:pPr>
        <w:spacing w:before="100" w:beforeAutospacing="1" w:after="100" w:afterAutospacing="1" w:line="276" w:lineRule="auto"/>
        <w:jc w:val="center"/>
        <w:rPr>
          <w:rFonts w:ascii="Times New Roman" w:eastAsia="Times New Roman" w:hAnsi="Times New Roman" w:cs="Times New Roman"/>
          <w:sz w:val="24"/>
          <w:szCs w:val="24"/>
          <w:lang w:eastAsia="en-IN"/>
        </w:rPr>
      </w:pPr>
      <w:r w:rsidRPr="00140005">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140005">
        <w:rPr>
          <w:rFonts w:ascii="Times New Roman" w:hAnsi="Times New Roman" w:cs="Times New Roman"/>
          <w:b/>
          <w:bCs/>
          <w:sz w:val="24"/>
          <w:szCs w:val="24"/>
        </w:rPr>
        <w:t>. Survival rate (%) of pangasius in different cage types</w:t>
      </w:r>
    </w:p>
    <w:p w14:paraId="18354DC0" w14:textId="77777777" w:rsidR="001402E2" w:rsidRPr="00C32F46" w:rsidRDefault="001402E2" w:rsidP="001402E2">
      <w:pPr>
        <w:spacing w:line="276" w:lineRule="auto"/>
        <w:jc w:val="center"/>
        <w:rPr>
          <w:rFonts w:ascii="Times New Roman" w:hAnsi="Times New Roman" w:cs="Times New Roman"/>
          <w:b/>
          <w:bCs/>
          <w:sz w:val="24"/>
          <w:szCs w:val="24"/>
        </w:rPr>
      </w:pPr>
      <w:r w:rsidRPr="00C32F46">
        <w:rPr>
          <w:rFonts w:ascii="Times New Roman" w:hAnsi="Times New Roman" w:cs="Times New Roman"/>
          <w:noProof/>
          <w:sz w:val="24"/>
          <w:szCs w:val="24"/>
        </w:rPr>
        <w:lastRenderedPageBreak/>
        <w:drawing>
          <wp:inline distT="0" distB="0" distL="0" distR="0" wp14:anchorId="6FA0EECF" wp14:editId="0701F369">
            <wp:extent cx="3814233" cy="2497667"/>
            <wp:effectExtent l="0" t="0" r="15240" b="17145"/>
            <wp:docPr id="37" name="Chart 37">
              <a:extLst xmlns:a="http://schemas.openxmlformats.org/drawingml/2006/main">
                <a:ext uri="{FF2B5EF4-FFF2-40B4-BE49-F238E27FC236}">
                  <a16:creationId xmlns:a16="http://schemas.microsoft.com/office/drawing/2014/main" id="{00000000-0008-0000-07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FF47107" w14:textId="77777777" w:rsidR="001402E2" w:rsidRPr="00CC4DA0" w:rsidRDefault="001402E2" w:rsidP="001402E2">
      <w:pPr>
        <w:spacing w:line="276" w:lineRule="auto"/>
        <w:jc w:val="center"/>
        <w:rPr>
          <w:rFonts w:ascii="Times New Roman" w:hAnsi="Times New Roman" w:cs="Times New Roman"/>
          <w:b/>
          <w:bCs/>
          <w:sz w:val="24"/>
          <w:szCs w:val="24"/>
        </w:rPr>
      </w:pPr>
      <w:r w:rsidRPr="005103BE">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5103BE">
        <w:rPr>
          <w:rFonts w:ascii="Times New Roman" w:hAnsi="Times New Roman" w:cs="Times New Roman"/>
          <w:b/>
          <w:bCs/>
          <w:sz w:val="24"/>
          <w:szCs w:val="24"/>
        </w:rPr>
        <w:t>.</w:t>
      </w:r>
      <w:r>
        <w:rPr>
          <w:rFonts w:ascii="Times New Roman" w:hAnsi="Times New Roman" w:cs="Times New Roman"/>
          <w:b/>
          <w:bCs/>
          <w:sz w:val="24"/>
          <w:szCs w:val="24"/>
        </w:rPr>
        <w:t xml:space="preserve"> </w:t>
      </w:r>
      <w:r w:rsidRPr="005103BE">
        <w:rPr>
          <w:rFonts w:ascii="Times New Roman" w:hAnsi="Times New Roman" w:cs="Times New Roman"/>
          <w:b/>
          <w:bCs/>
          <w:sz w:val="24"/>
          <w:szCs w:val="24"/>
        </w:rPr>
        <w:t>Biomass yielded</w:t>
      </w:r>
      <w:r>
        <w:rPr>
          <w:rFonts w:ascii="Times New Roman" w:hAnsi="Times New Roman" w:cs="Times New Roman"/>
          <w:b/>
          <w:bCs/>
          <w:sz w:val="24"/>
          <w:szCs w:val="24"/>
        </w:rPr>
        <w:t xml:space="preserve"> (g)</w:t>
      </w:r>
      <w:r w:rsidRPr="005103BE">
        <w:rPr>
          <w:rFonts w:ascii="Times New Roman" w:hAnsi="Times New Roman" w:cs="Times New Roman"/>
          <w:b/>
          <w:bCs/>
          <w:sz w:val="24"/>
          <w:szCs w:val="24"/>
        </w:rPr>
        <w:t xml:space="preserve"> in different experimental cage types</w:t>
      </w:r>
    </w:p>
    <w:p w14:paraId="46434447" w14:textId="77777777" w:rsidR="001402E2" w:rsidRDefault="001402E2" w:rsidP="00595F35">
      <w:pPr>
        <w:spacing w:line="276" w:lineRule="auto"/>
        <w:ind w:left="720" w:hanging="720"/>
        <w:jc w:val="both"/>
        <w:rPr>
          <w:rFonts w:ascii="Times New Roman" w:hAnsi="Times New Roman" w:cs="Times New Roman"/>
          <w:b/>
          <w:bCs/>
          <w:sz w:val="24"/>
          <w:szCs w:val="24"/>
        </w:rPr>
      </w:pPr>
    </w:p>
    <w:p w14:paraId="2D616E8E" w14:textId="77777777" w:rsidR="005D2122" w:rsidRDefault="005D2122" w:rsidP="00595F35">
      <w:pPr>
        <w:spacing w:line="276" w:lineRule="auto"/>
        <w:ind w:left="720" w:hanging="720"/>
        <w:jc w:val="both"/>
        <w:rPr>
          <w:rFonts w:ascii="Times New Roman" w:hAnsi="Times New Roman" w:cs="Times New Roman"/>
          <w:b/>
          <w:bCs/>
          <w:sz w:val="24"/>
          <w:szCs w:val="24"/>
        </w:rPr>
      </w:pPr>
    </w:p>
    <w:p w14:paraId="2D93A9EE" w14:textId="77777777" w:rsidR="005D2122" w:rsidRPr="008E7436" w:rsidRDefault="005D2122" w:rsidP="005D2122">
      <w:pPr>
        <w:spacing w:line="276" w:lineRule="auto"/>
        <w:jc w:val="center"/>
        <w:rPr>
          <w:rFonts w:ascii="Times New Roman" w:eastAsia="Times New Roman" w:hAnsi="Times New Roman" w:cs="Times New Roman"/>
          <w:b/>
          <w:bCs/>
          <w:sz w:val="24"/>
          <w:szCs w:val="24"/>
          <w:lang w:eastAsia="en-IN"/>
        </w:rPr>
      </w:pPr>
      <w:r w:rsidRPr="008E7436">
        <w:rPr>
          <w:rFonts w:ascii="Times New Roman" w:eastAsia="Times New Roman" w:hAnsi="Times New Roman" w:cs="Times New Roman"/>
          <w:b/>
          <w:bCs/>
          <w:sz w:val="24"/>
          <w:szCs w:val="24"/>
          <w:lang w:eastAsia="en-IN"/>
        </w:rPr>
        <w:t xml:space="preserve">Table 1. </w:t>
      </w:r>
      <w:proofErr w:type="spellStart"/>
      <w:r w:rsidRPr="008E7436">
        <w:rPr>
          <w:rFonts w:ascii="Times New Roman" w:eastAsia="Times New Roman" w:hAnsi="Times New Roman" w:cs="Times New Roman"/>
          <w:b/>
          <w:bCs/>
          <w:sz w:val="24"/>
          <w:szCs w:val="24"/>
          <w:lang w:eastAsia="en-IN"/>
        </w:rPr>
        <w:t>Physico</w:t>
      </w:r>
      <w:proofErr w:type="spellEnd"/>
      <w:r w:rsidRPr="008E7436">
        <w:rPr>
          <w:rFonts w:ascii="Times New Roman" w:eastAsia="Times New Roman" w:hAnsi="Times New Roman" w:cs="Times New Roman"/>
          <w:b/>
          <w:bCs/>
          <w:sz w:val="24"/>
          <w:szCs w:val="24"/>
          <w:lang w:eastAsia="en-IN"/>
        </w:rPr>
        <w:t>-chemical water parameters recorded during experiment</w:t>
      </w:r>
    </w:p>
    <w:tbl>
      <w:tblPr>
        <w:tblStyle w:val="PlainTable2"/>
        <w:tblpPr w:leftFromText="180" w:rightFromText="180" w:vertAnchor="text" w:horzAnchor="margin" w:tblpY="252"/>
        <w:tblW w:w="8905" w:type="dxa"/>
        <w:tblLook w:val="04A0" w:firstRow="1" w:lastRow="0" w:firstColumn="1" w:lastColumn="0" w:noHBand="0" w:noVBand="1"/>
      </w:tblPr>
      <w:tblGrid>
        <w:gridCol w:w="1523"/>
        <w:gridCol w:w="1209"/>
        <w:gridCol w:w="1190"/>
        <w:gridCol w:w="1576"/>
        <w:gridCol w:w="1877"/>
        <w:gridCol w:w="1530"/>
      </w:tblGrid>
      <w:tr w:rsidR="005D2122" w:rsidRPr="00C32F46" w14:paraId="0FCA76DA" w14:textId="77777777" w:rsidTr="00027F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79CC99D9" w14:textId="77777777" w:rsidR="005D2122" w:rsidRPr="00C32F46" w:rsidRDefault="005D2122" w:rsidP="005D2122">
            <w:pPr>
              <w:spacing w:line="276" w:lineRule="auto"/>
              <w:jc w:val="center"/>
              <w:rPr>
                <w:rFonts w:ascii="Times New Roman" w:hAnsi="Times New Roman" w:cs="Times New Roman"/>
                <w:b w:val="0"/>
                <w:bCs w:val="0"/>
                <w:sz w:val="24"/>
                <w:szCs w:val="24"/>
              </w:rPr>
            </w:pPr>
            <w:r>
              <w:rPr>
                <w:rFonts w:ascii="Times New Roman" w:hAnsi="Times New Roman" w:cs="Times New Roman"/>
                <w:sz w:val="24"/>
                <w:szCs w:val="24"/>
              </w:rPr>
              <w:t>Days</w:t>
            </w:r>
          </w:p>
        </w:tc>
        <w:tc>
          <w:tcPr>
            <w:tcW w:w="1209" w:type="dxa"/>
          </w:tcPr>
          <w:p w14:paraId="39372054"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pH</w:t>
            </w:r>
          </w:p>
        </w:tc>
        <w:tc>
          <w:tcPr>
            <w:tcW w:w="1190" w:type="dxa"/>
          </w:tcPr>
          <w:p w14:paraId="12E01228"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Dissolved Oxygen (mg/L)</w:t>
            </w:r>
          </w:p>
        </w:tc>
        <w:tc>
          <w:tcPr>
            <w:tcW w:w="1576" w:type="dxa"/>
          </w:tcPr>
          <w:p w14:paraId="392541A1"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Water Temperature (°C)</w:t>
            </w:r>
          </w:p>
        </w:tc>
        <w:tc>
          <w:tcPr>
            <w:tcW w:w="1877" w:type="dxa"/>
          </w:tcPr>
          <w:p w14:paraId="655380B2"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 xml:space="preserve">Total Hardness (mg/L </w:t>
            </w:r>
            <w:r>
              <w:rPr>
                <w:rFonts w:ascii="Times New Roman" w:hAnsi="Times New Roman" w:cs="Times New Roman"/>
                <w:sz w:val="24"/>
                <w:szCs w:val="24"/>
              </w:rPr>
              <w:t xml:space="preserve">as </w:t>
            </w:r>
            <w:proofErr w:type="spellStart"/>
            <w:r w:rsidRPr="00C32F46">
              <w:rPr>
                <w:rFonts w:ascii="Times New Roman" w:hAnsi="Times New Roman" w:cs="Times New Roman"/>
                <w:sz w:val="24"/>
                <w:szCs w:val="24"/>
              </w:rPr>
              <w:t>CaCO</w:t>
            </w:r>
            <w:proofErr w:type="spellEnd"/>
            <w:r w:rsidRPr="00C32F46">
              <w:rPr>
                <w:rFonts w:ascii="Times New Roman" w:hAnsi="Times New Roman" w:cs="Times New Roman"/>
                <w:sz w:val="24"/>
                <w:szCs w:val="24"/>
              </w:rPr>
              <w:t>₃)</w:t>
            </w:r>
          </w:p>
        </w:tc>
        <w:tc>
          <w:tcPr>
            <w:tcW w:w="1530" w:type="dxa"/>
          </w:tcPr>
          <w:p w14:paraId="4F7D2A3E" w14:textId="77777777" w:rsidR="005D2122" w:rsidRPr="00C32F46" w:rsidRDefault="005D2122" w:rsidP="005D212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32F46">
              <w:rPr>
                <w:rFonts w:ascii="Times New Roman" w:hAnsi="Times New Roman" w:cs="Times New Roman"/>
                <w:sz w:val="24"/>
                <w:szCs w:val="24"/>
              </w:rPr>
              <w:t xml:space="preserve">Total Alkalinity (mg/L </w:t>
            </w:r>
            <w:r>
              <w:rPr>
                <w:rFonts w:ascii="Times New Roman" w:hAnsi="Times New Roman" w:cs="Times New Roman"/>
                <w:sz w:val="24"/>
                <w:szCs w:val="24"/>
              </w:rPr>
              <w:t xml:space="preserve">as </w:t>
            </w:r>
            <w:proofErr w:type="spellStart"/>
            <w:r w:rsidRPr="00C32F46">
              <w:rPr>
                <w:rFonts w:ascii="Times New Roman" w:hAnsi="Times New Roman" w:cs="Times New Roman"/>
                <w:sz w:val="24"/>
                <w:szCs w:val="24"/>
              </w:rPr>
              <w:t>CaCO</w:t>
            </w:r>
            <w:proofErr w:type="spellEnd"/>
            <w:r w:rsidRPr="00C32F46">
              <w:rPr>
                <w:rFonts w:ascii="Times New Roman" w:hAnsi="Times New Roman" w:cs="Times New Roman"/>
                <w:sz w:val="24"/>
                <w:szCs w:val="24"/>
              </w:rPr>
              <w:t>₃)</w:t>
            </w:r>
          </w:p>
        </w:tc>
      </w:tr>
      <w:tr w:rsidR="005D2122" w:rsidRPr="00C32F46" w14:paraId="3019E11E" w14:textId="77777777" w:rsidTr="00027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653E3301"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0-7</w:t>
            </w:r>
          </w:p>
        </w:tc>
        <w:tc>
          <w:tcPr>
            <w:tcW w:w="1209" w:type="dxa"/>
          </w:tcPr>
          <w:p w14:paraId="1E3794D7" w14:textId="77777777" w:rsidR="005D2122" w:rsidRPr="009B0AA4"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B0AA4">
              <w:rPr>
                <w:rFonts w:ascii="Times New Roman" w:hAnsi="Times New Roman" w:cs="Times New Roman"/>
                <w:sz w:val="24"/>
                <w:szCs w:val="24"/>
              </w:rPr>
              <w:t>7.4</w:t>
            </w:r>
            <w:r>
              <w:rPr>
                <w:rFonts w:ascii="Times New Roman" w:hAnsi="Times New Roman" w:cs="Times New Roman"/>
                <w:sz w:val="24"/>
                <w:szCs w:val="24"/>
              </w:rPr>
              <w:t>5–</w:t>
            </w:r>
            <w:r w:rsidRPr="009B0AA4">
              <w:rPr>
                <w:rFonts w:ascii="Times New Roman" w:hAnsi="Times New Roman" w:cs="Times New Roman"/>
                <w:sz w:val="24"/>
                <w:szCs w:val="24"/>
              </w:rPr>
              <w:t>7.55</w:t>
            </w:r>
          </w:p>
        </w:tc>
        <w:tc>
          <w:tcPr>
            <w:tcW w:w="1190" w:type="dxa"/>
          </w:tcPr>
          <w:p w14:paraId="5555D006"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5.3–5.5</w:t>
            </w:r>
          </w:p>
        </w:tc>
        <w:tc>
          <w:tcPr>
            <w:tcW w:w="1576" w:type="dxa"/>
          </w:tcPr>
          <w:p w14:paraId="581A60CD"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27–29</w:t>
            </w:r>
          </w:p>
        </w:tc>
        <w:tc>
          <w:tcPr>
            <w:tcW w:w="1877" w:type="dxa"/>
          </w:tcPr>
          <w:p w14:paraId="07008486"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217.50–218.50</w:t>
            </w:r>
          </w:p>
        </w:tc>
        <w:tc>
          <w:tcPr>
            <w:tcW w:w="1530" w:type="dxa"/>
          </w:tcPr>
          <w:p w14:paraId="39E8B94F"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98–102</w:t>
            </w:r>
          </w:p>
        </w:tc>
      </w:tr>
      <w:tr w:rsidR="005D2122" w:rsidRPr="00C32F46" w14:paraId="698A6C00" w14:textId="77777777" w:rsidTr="00027F61">
        <w:tc>
          <w:tcPr>
            <w:cnfStyle w:val="001000000000" w:firstRow="0" w:lastRow="0" w:firstColumn="1" w:lastColumn="0" w:oddVBand="0" w:evenVBand="0" w:oddHBand="0" w:evenHBand="0" w:firstRowFirstColumn="0" w:firstRowLastColumn="0" w:lastRowFirstColumn="0" w:lastRowLastColumn="0"/>
            <w:tcW w:w="1523" w:type="dxa"/>
          </w:tcPr>
          <w:p w14:paraId="6BDE186F"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8-14</w:t>
            </w:r>
          </w:p>
        </w:tc>
        <w:tc>
          <w:tcPr>
            <w:tcW w:w="1209" w:type="dxa"/>
          </w:tcPr>
          <w:p w14:paraId="425C40AD" w14:textId="77777777" w:rsidR="005D2122" w:rsidRPr="009B0AA4"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0AA4">
              <w:rPr>
                <w:rFonts w:ascii="Times New Roman" w:hAnsi="Times New Roman" w:cs="Times New Roman"/>
                <w:sz w:val="24"/>
                <w:szCs w:val="24"/>
              </w:rPr>
              <w:t>7.45</w:t>
            </w:r>
            <w:r>
              <w:rPr>
                <w:rFonts w:ascii="Times New Roman" w:hAnsi="Times New Roman" w:cs="Times New Roman"/>
                <w:sz w:val="24"/>
                <w:szCs w:val="24"/>
              </w:rPr>
              <w:t>–</w:t>
            </w:r>
            <w:r w:rsidRPr="009B0AA4">
              <w:rPr>
                <w:rFonts w:ascii="Times New Roman" w:hAnsi="Times New Roman" w:cs="Times New Roman"/>
                <w:sz w:val="24"/>
                <w:szCs w:val="24"/>
              </w:rPr>
              <w:t>7.55</w:t>
            </w:r>
          </w:p>
        </w:tc>
        <w:tc>
          <w:tcPr>
            <w:tcW w:w="1190" w:type="dxa"/>
          </w:tcPr>
          <w:p w14:paraId="682A0B7B"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5.7–5.9</w:t>
            </w:r>
          </w:p>
        </w:tc>
        <w:tc>
          <w:tcPr>
            <w:tcW w:w="1576" w:type="dxa"/>
          </w:tcPr>
          <w:p w14:paraId="30075755"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29–31</w:t>
            </w:r>
          </w:p>
        </w:tc>
        <w:tc>
          <w:tcPr>
            <w:tcW w:w="1877" w:type="dxa"/>
          </w:tcPr>
          <w:p w14:paraId="24AE3611"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215.00–216.00</w:t>
            </w:r>
          </w:p>
        </w:tc>
        <w:tc>
          <w:tcPr>
            <w:tcW w:w="1530" w:type="dxa"/>
          </w:tcPr>
          <w:p w14:paraId="4A5CEA04"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93–97</w:t>
            </w:r>
          </w:p>
        </w:tc>
      </w:tr>
      <w:tr w:rsidR="005D2122" w:rsidRPr="00C32F46" w14:paraId="204A241A" w14:textId="77777777" w:rsidTr="00027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7E5E1FF3"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15-21</w:t>
            </w:r>
          </w:p>
        </w:tc>
        <w:tc>
          <w:tcPr>
            <w:tcW w:w="1209" w:type="dxa"/>
          </w:tcPr>
          <w:p w14:paraId="7BFCB951"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7.40</w:t>
            </w:r>
            <w:r>
              <w:rPr>
                <w:rFonts w:ascii="Times New Roman" w:hAnsi="Times New Roman" w:cs="Times New Roman"/>
                <w:sz w:val="24"/>
                <w:szCs w:val="24"/>
              </w:rPr>
              <w:t>–</w:t>
            </w:r>
            <w:r w:rsidRPr="002905B8">
              <w:rPr>
                <w:rFonts w:ascii="Times New Roman" w:hAnsi="Times New Roman" w:cs="Times New Roman"/>
                <w:sz w:val="24"/>
                <w:szCs w:val="24"/>
              </w:rPr>
              <w:t>7.50</w:t>
            </w:r>
          </w:p>
        </w:tc>
        <w:tc>
          <w:tcPr>
            <w:tcW w:w="1190" w:type="dxa"/>
          </w:tcPr>
          <w:p w14:paraId="295E4500"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5.6–5.8</w:t>
            </w:r>
          </w:p>
        </w:tc>
        <w:tc>
          <w:tcPr>
            <w:tcW w:w="1576" w:type="dxa"/>
          </w:tcPr>
          <w:tbl>
            <w:tblPr>
              <w:tblW w:w="0" w:type="auto"/>
              <w:tblCellSpacing w:w="15" w:type="dxa"/>
              <w:tblLook w:val="04A0" w:firstRow="1" w:lastRow="0" w:firstColumn="1" w:lastColumn="0" w:noHBand="0" w:noVBand="1"/>
            </w:tblPr>
            <w:tblGrid>
              <w:gridCol w:w="96"/>
            </w:tblGrid>
            <w:tr w:rsidR="005D2122" w14:paraId="616880CD" w14:textId="77777777" w:rsidTr="0092376B">
              <w:trPr>
                <w:tblCellSpacing w:w="15" w:type="dxa"/>
              </w:trPr>
              <w:tc>
                <w:tcPr>
                  <w:tcW w:w="0" w:type="auto"/>
                  <w:tcMar>
                    <w:top w:w="15" w:type="dxa"/>
                    <w:left w:w="15" w:type="dxa"/>
                    <w:bottom w:w="15" w:type="dxa"/>
                    <w:right w:w="15" w:type="dxa"/>
                  </w:tcMar>
                  <w:vAlign w:val="center"/>
                  <w:hideMark/>
                </w:tcPr>
                <w:p w14:paraId="2089CC1F" w14:textId="77777777" w:rsidR="005D2122" w:rsidRDefault="005D2122" w:rsidP="006C6609">
                  <w:pPr>
                    <w:framePr w:hSpace="180" w:wrap="around" w:vAnchor="text" w:hAnchor="margin" w:y="252"/>
                    <w:jc w:val="center"/>
                    <w:rPr>
                      <w:rFonts w:ascii="Times New Roman" w:hAnsi="Times New Roman" w:cs="Times New Roman"/>
                      <w:sz w:val="24"/>
                      <w:szCs w:val="24"/>
                    </w:rPr>
                  </w:pPr>
                </w:p>
              </w:tc>
            </w:tr>
          </w:tbl>
          <w:p w14:paraId="01221384" w14:textId="77777777" w:rsidR="005D2122"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sz w:val="24"/>
                <w:szCs w:val="24"/>
              </w:rPr>
            </w:pPr>
          </w:p>
          <w:p w14:paraId="135356AB"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10BC1">
              <w:rPr>
                <w:rFonts w:ascii="Times New Roman" w:hAnsi="Times New Roman" w:cs="Times New Roman"/>
                <w:sz w:val="24"/>
                <w:szCs w:val="24"/>
              </w:rPr>
              <w:t>28</w:t>
            </w:r>
            <w:r>
              <w:rPr>
                <w:rFonts w:ascii="Times New Roman" w:hAnsi="Times New Roman" w:cs="Times New Roman"/>
                <w:sz w:val="24"/>
                <w:szCs w:val="24"/>
              </w:rPr>
              <w:t>–30</w:t>
            </w:r>
          </w:p>
        </w:tc>
        <w:tc>
          <w:tcPr>
            <w:tcW w:w="1877" w:type="dxa"/>
          </w:tcPr>
          <w:p w14:paraId="7F309BEF"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213.25–214.25</w:t>
            </w:r>
          </w:p>
        </w:tc>
        <w:tc>
          <w:tcPr>
            <w:tcW w:w="1530" w:type="dxa"/>
          </w:tcPr>
          <w:p w14:paraId="06DB25EA"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110–114</w:t>
            </w:r>
          </w:p>
        </w:tc>
      </w:tr>
      <w:tr w:rsidR="005D2122" w:rsidRPr="00C32F46" w14:paraId="7A531E7D" w14:textId="77777777" w:rsidTr="00027F61">
        <w:tc>
          <w:tcPr>
            <w:cnfStyle w:val="001000000000" w:firstRow="0" w:lastRow="0" w:firstColumn="1" w:lastColumn="0" w:oddVBand="0" w:evenVBand="0" w:oddHBand="0" w:evenHBand="0" w:firstRowFirstColumn="0" w:firstRowLastColumn="0" w:lastRowFirstColumn="0" w:lastRowLastColumn="0"/>
            <w:tcW w:w="1523" w:type="dxa"/>
          </w:tcPr>
          <w:p w14:paraId="5757C5B9"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22-28</w:t>
            </w:r>
          </w:p>
        </w:tc>
        <w:tc>
          <w:tcPr>
            <w:tcW w:w="1209" w:type="dxa"/>
          </w:tcPr>
          <w:p w14:paraId="5D492099"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7.50</w:t>
            </w:r>
            <w:r>
              <w:rPr>
                <w:rFonts w:ascii="Times New Roman" w:hAnsi="Times New Roman" w:cs="Times New Roman"/>
                <w:sz w:val="24"/>
                <w:szCs w:val="24"/>
              </w:rPr>
              <w:t>–</w:t>
            </w:r>
            <w:r w:rsidRPr="002905B8">
              <w:rPr>
                <w:rFonts w:ascii="Times New Roman" w:hAnsi="Times New Roman" w:cs="Times New Roman"/>
                <w:sz w:val="24"/>
                <w:szCs w:val="24"/>
              </w:rPr>
              <w:t>7.60</w:t>
            </w:r>
          </w:p>
        </w:tc>
        <w:tc>
          <w:tcPr>
            <w:tcW w:w="1190" w:type="dxa"/>
          </w:tcPr>
          <w:p w14:paraId="597477FB"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5.8–6.0</w:t>
            </w:r>
          </w:p>
        </w:tc>
        <w:tc>
          <w:tcPr>
            <w:tcW w:w="1576" w:type="dxa"/>
          </w:tcPr>
          <w:p w14:paraId="642BAF53"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27–29</w:t>
            </w:r>
          </w:p>
        </w:tc>
        <w:tc>
          <w:tcPr>
            <w:tcW w:w="1877" w:type="dxa"/>
          </w:tcPr>
          <w:p w14:paraId="7AF1E681"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216.75–217.75</w:t>
            </w:r>
          </w:p>
        </w:tc>
        <w:tc>
          <w:tcPr>
            <w:tcW w:w="1530" w:type="dxa"/>
          </w:tcPr>
          <w:p w14:paraId="2D24DD86"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111–115</w:t>
            </w:r>
          </w:p>
        </w:tc>
      </w:tr>
      <w:tr w:rsidR="005D2122" w:rsidRPr="00C32F46" w14:paraId="26D4142B" w14:textId="77777777" w:rsidTr="00027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61C5A62E"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29-35</w:t>
            </w:r>
          </w:p>
        </w:tc>
        <w:tc>
          <w:tcPr>
            <w:tcW w:w="1209" w:type="dxa"/>
          </w:tcPr>
          <w:p w14:paraId="76852DD1"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7.55</w:t>
            </w:r>
            <w:r>
              <w:rPr>
                <w:rFonts w:ascii="Times New Roman" w:hAnsi="Times New Roman" w:cs="Times New Roman"/>
                <w:sz w:val="24"/>
                <w:szCs w:val="24"/>
              </w:rPr>
              <w:t>–</w:t>
            </w:r>
            <w:r w:rsidRPr="002905B8">
              <w:rPr>
                <w:rFonts w:ascii="Times New Roman" w:hAnsi="Times New Roman" w:cs="Times New Roman"/>
                <w:sz w:val="24"/>
                <w:szCs w:val="24"/>
              </w:rPr>
              <w:t>7.65</w:t>
            </w:r>
          </w:p>
        </w:tc>
        <w:tc>
          <w:tcPr>
            <w:tcW w:w="1190" w:type="dxa"/>
          </w:tcPr>
          <w:p w14:paraId="6E3B9579"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6.0–6.2</w:t>
            </w:r>
          </w:p>
        </w:tc>
        <w:tc>
          <w:tcPr>
            <w:tcW w:w="1576" w:type="dxa"/>
          </w:tcPr>
          <w:p w14:paraId="7EE2282F"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29–31</w:t>
            </w:r>
          </w:p>
        </w:tc>
        <w:tc>
          <w:tcPr>
            <w:tcW w:w="1877" w:type="dxa"/>
          </w:tcPr>
          <w:p w14:paraId="452C7C33"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216.50–217.50</w:t>
            </w:r>
          </w:p>
        </w:tc>
        <w:tc>
          <w:tcPr>
            <w:tcW w:w="1530" w:type="dxa"/>
          </w:tcPr>
          <w:p w14:paraId="56A5845F"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112–116</w:t>
            </w:r>
          </w:p>
        </w:tc>
      </w:tr>
      <w:tr w:rsidR="005D2122" w:rsidRPr="00C32F46" w14:paraId="788F29A8" w14:textId="77777777" w:rsidTr="00027F61">
        <w:tc>
          <w:tcPr>
            <w:cnfStyle w:val="001000000000" w:firstRow="0" w:lastRow="0" w:firstColumn="1" w:lastColumn="0" w:oddVBand="0" w:evenVBand="0" w:oddHBand="0" w:evenHBand="0" w:firstRowFirstColumn="0" w:firstRowLastColumn="0" w:lastRowFirstColumn="0" w:lastRowLastColumn="0"/>
            <w:tcW w:w="1523" w:type="dxa"/>
          </w:tcPr>
          <w:p w14:paraId="31167F6D"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36-42</w:t>
            </w:r>
          </w:p>
        </w:tc>
        <w:tc>
          <w:tcPr>
            <w:tcW w:w="1209" w:type="dxa"/>
          </w:tcPr>
          <w:p w14:paraId="47234F37"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7.60</w:t>
            </w:r>
            <w:r>
              <w:rPr>
                <w:rFonts w:ascii="Times New Roman" w:hAnsi="Times New Roman" w:cs="Times New Roman"/>
                <w:sz w:val="24"/>
                <w:szCs w:val="24"/>
              </w:rPr>
              <w:t>–</w:t>
            </w:r>
            <w:r w:rsidRPr="002905B8">
              <w:rPr>
                <w:rFonts w:ascii="Times New Roman" w:hAnsi="Times New Roman" w:cs="Times New Roman"/>
                <w:sz w:val="24"/>
                <w:szCs w:val="24"/>
              </w:rPr>
              <w:t>7.70</w:t>
            </w:r>
          </w:p>
        </w:tc>
        <w:tc>
          <w:tcPr>
            <w:tcW w:w="1190" w:type="dxa"/>
          </w:tcPr>
          <w:p w14:paraId="30A2C9EC"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5.8–6.0</w:t>
            </w:r>
          </w:p>
        </w:tc>
        <w:tc>
          <w:tcPr>
            <w:tcW w:w="1576" w:type="dxa"/>
          </w:tcPr>
          <w:p w14:paraId="70292D83"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29–31</w:t>
            </w:r>
          </w:p>
        </w:tc>
        <w:tc>
          <w:tcPr>
            <w:tcW w:w="1877" w:type="dxa"/>
          </w:tcPr>
          <w:p w14:paraId="76C3DF11"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215.75–216.75</w:t>
            </w:r>
          </w:p>
        </w:tc>
        <w:tc>
          <w:tcPr>
            <w:tcW w:w="1530" w:type="dxa"/>
          </w:tcPr>
          <w:p w14:paraId="53517F58"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113–117</w:t>
            </w:r>
          </w:p>
        </w:tc>
      </w:tr>
      <w:tr w:rsidR="005D2122" w:rsidRPr="00C32F46" w14:paraId="2A705C9E" w14:textId="77777777" w:rsidTr="00027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273E184E"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43-49</w:t>
            </w:r>
          </w:p>
        </w:tc>
        <w:tc>
          <w:tcPr>
            <w:tcW w:w="1209" w:type="dxa"/>
          </w:tcPr>
          <w:p w14:paraId="14372EFF"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7.40</w:t>
            </w:r>
            <w:r>
              <w:rPr>
                <w:rFonts w:ascii="Times New Roman" w:hAnsi="Times New Roman" w:cs="Times New Roman"/>
                <w:sz w:val="24"/>
                <w:szCs w:val="24"/>
              </w:rPr>
              <w:t>–</w:t>
            </w:r>
            <w:r w:rsidRPr="002905B8">
              <w:rPr>
                <w:rFonts w:ascii="Times New Roman" w:hAnsi="Times New Roman" w:cs="Times New Roman"/>
                <w:sz w:val="24"/>
                <w:szCs w:val="24"/>
              </w:rPr>
              <w:t>7.50</w:t>
            </w:r>
          </w:p>
        </w:tc>
        <w:tc>
          <w:tcPr>
            <w:tcW w:w="1190" w:type="dxa"/>
          </w:tcPr>
          <w:p w14:paraId="2412AB21" w14:textId="77777777" w:rsidR="005D2122" w:rsidRPr="002905B8"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5.7–5.9</w:t>
            </w:r>
          </w:p>
        </w:tc>
        <w:tc>
          <w:tcPr>
            <w:tcW w:w="1576" w:type="dxa"/>
          </w:tcPr>
          <w:p w14:paraId="7B3BD731"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28–30</w:t>
            </w:r>
          </w:p>
        </w:tc>
        <w:tc>
          <w:tcPr>
            <w:tcW w:w="1877" w:type="dxa"/>
          </w:tcPr>
          <w:p w14:paraId="41BB7A92"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214.75–215.75</w:t>
            </w:r>
          </w:p>
        </w:tc>
        <w:tc>
          <w:tcPr>
            <w:tcW w:w="1530" w:type="dxa"/>
          </w:tcPr>
          <w:p w14:paraId="505A11F9" w14:textId="77777777" w:rsidR="005D2122" w:rsidRPr="00C32F46" w:rsidRDefault="005D2122" w:rsidP="005D212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117–121</w:t>
            </w:r>
          </w:p>
        </w:tc>
      </w:tr>
      <w:tr w:rsidR="005D2122" w:rsidRPr="00C32F46" w14:paraId="2373A00E" w14:textId="77777777" w:rsidTr="00027F61">
        <w:tc>
          <w:tcPr>
            <w:cnfStyle w:val="001000000000" w:firstRow="0" w:lastRow="0" w:firstColumn="1" w:lastColumn="0" w:oddVBand="0" w:evenVBand="0" w:oddHBand="0" w:evenHBand="0" w:firstRowFirstColumn="0" w:firstRowLastColumn="0" w:lastRowFirstColumn="0" w:lastRowLastColumn="0"/>
            <w:tcW w:w="1523" w:type="dxa"/>
          </w:tcPr>
          <w:p w14:paraId="339DE71A" w14:textId="77777777" w:rsidR="005D2122" w:rsidRPr="00C32F46" w:rsidRDefault="005D2122" w:rsidP="005D2122">
            <w:pPr>
              <w:spacing w:line="276" w:lineRule="auto"/>
              <w:jc w:val="center"/>
              <w:rPr>
                <w:rFonts w:ascii="Times New Roman" w:hAnsi="Times New Roman" w:cs="Times New Roman"/>
                <w:b w:val="0"/>
                <w:bCs w:val="0"/>
                <w:sz w:val="24"/>
                <w:szCs w:val="24"/>
              </w:rPr>
            </w:pPr>
            <w:r w:rsidRPr="00C32F46">
              <w:rPr>
                <w:rFonts w:ascii="Times New Roman" w:hAnsi="Times New Roman" w:cs="Times New Roman"/>
                <w:sz w:val="24"/>
                <w:szCs w:val="24"/>
              </w:rPr>
              <w:t>50-56</w:t>
            </w:r>
          </w:p>
        </w:tc>
        <w:tc>
          <w:tcPr>
            <w:tcW w:w="1209" w:type="dxa"/>
          </w:tcPr>
          <w:p w14:paraId="4BB791C8"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5B8">
              <w:rPr>
                <w:rFonts w:ascii="Times New Roman" w:hAnsi="Times New Roman" w:cs="Times New Roman"/>
                <w:sz w:val="24"/>
                <w:szCs w:val="24"/>
              </w:rPr>
              <w:t>7.65</w:t>
            </w:r>
            <w:r>
              <w:rPr>
                <w:rFonts w:ascii="Times New Roman" w:hAnsi="Times New Roman" w:cs="Times New Roman"/>
                <w:sz w:val="24"/>
                <w:szCs w:val="24"/>
              </w:rPr>
              <w:t>–</w:t>
            </w:r>
            <w:r w:rsidRPr="002905B8">
              <w:rPr>
                <w:rFonts w:ascii="Times New Roman" w:hAnsi="Times New Roman" w:cs="Times New Roman"/>
                <w:sz w:val="24"/>
                <w:szCs w:val="24"/>
              </w:rPr>
              <w:t>7.75</w:t>
            </w:r>
          </w:p>
        </w:tc>
        <w:tc>
          <w:tcPr>
            <w:tcW w:w="1190" w:type="dxa"/>
          </w:tcPr>
          <w:p w14:paraId="5C608E7B" w14:textId="77777777" w:rsidR="005D2122" w:rsidRPr="002905B8"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5.8–6.0</w:t>
            </w:r>
          </w:p>
        </w:tc>
        <w:tc>
          <w:tcPr>
            <w:tcW w:w="1576" w:type="dxa"/>
          </w:tcPr>
          <w:p w14:paraId="7F46E2F1"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29–31</w:t>
            </w:r>
          </w:p>
        </w:tc>
        <w:tc>
          <w:tcPr>
            <w:tcW w:w="1877" w:type="dxa"/>
          </w:tcPr>
          <w:p w14:paraId="5D7D24B8"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216.75–217.75</w:t>
            </w:r>
          </w:p>
        </w:tc>
        <w:tc>
          <w:tcPr>
            <w:tcW w:w="1530" w:type="dxa"/>
          </w:tcPr>
          <w:p w14:paraId="24F699B6" w14:textId="77777777" w:rsidR="005D2122" w:rsidRPr="00C32F46" w:rsidRDefault="005D2122" w:rsidP="005D212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118–122</w:t>
            </w:r>
          </w:p>
        </w:tc>
      </w:tr>
    </w:tbl>
    <w:p w14:paraId="28E224FD" w14:textId="77777777" w:rsidR="005D2122" w:rsidRDefault="005D2122" w:rsidP="00595F35">
      <w:pPr>
        <w:spacing w:line="276" w:lineRule="auto"/>
        <w:ind w:left="720" w:hanging="720"/>
        <w:jc w:val="both"/>
        <w:rPr>
          <w:rFonts w:ascii="Times New Roman" w:hAnsi="Times New Roman" w:cs="Times New Roman"/>
          <w:b/>
          <w:bCs/>
          <w:sz w:val="24"/>
          <w:szCs w:val="24"/>
        </w:rPr>
      </w:pPr>
    </w:p>
    <w:p w14:paraId="00182B9C" w14:textId="77777777" w:rsidR="005D2122" w:rsidRPr="00595F35" w:rsidRDefault="005D2122" w:rsidP="00595F35">
      <w:pPr>
        <w:spacing w:line="276" w:lineRule="auto"/>
        <w:ind w:left="720" w:hanging="720"/>
        <w:jc w:val="both"/>
        <w:rPr>
          <w:rFonts w:ascii="Times New Roman" w:hAnsi="Times New Roman" w:cs="Times New Roman"/>
          <w:b/>
          <w:bCs/>
          <w:sz w:val="24"/>
          <w:szCs w:val="24"/>
        </w:rPr>
      </w:pPr>
    </w:p>
    <w:sectPr w:rsidR="005D2122" w:rsidRPr="00595F35" w:rsidSect="00DB76F3">
      <w:headerReference w:type="even" r:id="rId57"/>
      <w:headerReference w:type="default" r:id="rId58"/>
      <w:footerReference w:type="even" r:id="rId59"/>
      <w:footerReference w:type="default" r:id="rId60"/>
      <w:headerReference w:type="first" r:id="rId61"/>
      <w:footerReference w:type="first" r:id="rId62"/>
      <w:type w:val="evenPage"/>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E1DF5" w14:textId="77777777" w:rsidR="006F562B" w:rsidRDefault="006F562B" w:rsidP="0076002F">
      <w:pPr>
        <w:spacing w:after="0" w:line="240" w:lineRule="auto"/>
      </w:pPr>
      <w:r>
        <w:separator/>
      </w:r>
    </w:p>
  </w:endnote>
  <w:endnote w:type="continuationSeparator" w:id="0">
    <w:p w14:paraId="763F7C07" w14:textId="77777777" w:rsidR="006F562B" w:rsidRDefault="006F562B" w:rsidP="00760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308725"/>
      <w:docPartObj>
        <w:docPartGallery w:val="Page Numbers (Bottom of Page)"/>
        <w:docPartUnique/>
      </w:docPartObj>
    </w:sdtPr>
    <w:sdtEndPr>
      <w:rPr>
        <w:noProof/>
      </w:rPr>
    </w:sdtEndPr>
    <w:sdtContent>
      <w:p w14:paraId="26A2DF30" w14:textId="5ECDBF40" w:rsidR="00E57B2E" w:rsidRDefault="00E57B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91CDBC" w14:textId="77777777" w:rsidR="00E57B2E" w:rsidRPr="00801AF9" w:rsidRDefault="00E57B2E">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9720" w14:textId="77777777" w:rsidR="006C6609" w:rsidRDefault="006C66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496C" w14:textId="77777777" w:rsidR="006C6609" w:rsidRDefault="006C6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A9F7" w14:textId="77777777" w:rsidR="006F562B" w:rsidRDefault="006F562B" w:rsidP="0076002F">
      <w:pPr>
        <w:spacing w:after="0" w:line="240" w:lineRule="auto"/>
      </w:pPr>
      <w:r>
        <w:separator/>
      </w:r>
    </w:p>
  </w:footnote>
  <w:footnote w:type="continuationSeparator" w:id="0">
    <w:p w14:paraId="0DB8C6C4" w14:textId="77777777" w:rsidR="006F562B" w:rsidRDefault="006F562B" w:rsidP="00760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C146" w14:textId="50BE9BBF" w:rsidR="006C6609" w:rsidRDefault="006C6609">
    <w:pPr>
      <w:pStyle w:val="Header"/>
    </w:pPr>
    <w:r>
      <w:rPr>
        <w:noProof/>
      </w:rPr>
      <w:pict w14:anchorId="5234DA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55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6DE7" w14:textId="21116449" w:rsidR="006C6609" w:rsidRDefault="006C6609">
    <w:pPr>
      <w:pStyle w:val="Header"/>
    </w:pPr>
    <w:r>
      <w:rPr>
        <w:noProof/>
      </w:rPr>
      <w:pict w14:anchorId="1CFFEC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55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CA99" w14:textId="5F19B71A" w:rsidR="006C6609" w:rsidRDefault="006C6609">
    <w:pPr>
      <w:pStyle w:val="Header"/>
    </w:pPr>
    <w:r>
      <w:rPr>
        <w:noProof/>
      </w:rPr>
      <w:pict w14:anchorId="37DE1D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155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BA0"/>
    <w:multiLevelType w:val="hybridMultilevel"/>
    <w:tmpl w:val="82E4C5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FC3F9F"/>
    <w:multiLevelType w:val="hybridMultilevel"/>
    <w:tmpl w:val="D910E1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08906046">
    <w:abstractNumId w:val="0"/>
  </w:num>
  <w:num w:numId="2" w16cid:durableId="1589388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1E"/>
    <w:rsid w:val="00000C01"/>
    <w:rsid w:val="000024BF"/>
    <w:rsid w:val="00004B38"/>
    <w:rsid w:val="000079AD"/>
    <w:rsid w:val="00014343"/>
    <w:rsid w:val="0002111A"/>
    <w:rsid w:val="0002303D"/>
    <w:rsid w:val="00025AF7"/>
    <w:rsid w:val="00027F61"/>
    <w:rsid w:val="00037F73"/>
    <w:rsid w:val="0004146D"/>
    <w:rsid w:val="000476F9"/>
    <w:rsid w:val="00053524"/>
    <w:rsid w:val="0005560D"/>
    <w:rsid w:val="00055619"/>
    <w:rsid w:val="00070CC3"/>
    <w:rsid w:val="000719BD"/>
    <w:rsid w:val="00072571"/>
    <w:rsid w:val="00076D32"/>
    <w:rsid w:val="00077AE7"/>
    <w:rsid w:val="00081FCA"/>
    <w:rsid w:val="000841ED"/>
    <w:rsid w:val="00085742"/>
    <w:rsid w:val="0009088B"/>
    <w:rsid w:val="00095020"/>
    <w:rsid w:val="000A46B3"/>
    <w:rsid w:val="000A69A4"/>
    <w:rsid w:val="000B17AC"/>
    <w:rsid w:val="000B6BA9"/>
    <w:rsid w:val="000B6D56"/>
    <w:rsid w:val="000D0608"/>
    <w:rsid w:val="000D4009"/>
    <w:rsid w:val="000D510F"/>
    <w:rsid w:val="000E3C8C"/>
    <w:rsid w:val="000E46AB"/>
    <w:rsid w:val="000E4E72"/>
    <w:rsid w:val="000E78CC"/>
    <w:rsid w:val="000F146E"/>
    <w:rsid w:val="000F1780"/>
    <w:rsid w:val="000F6069"/>
    <w:rsid w:val="000F66F7"/>
    <w:rsid w:val="001000DA"/>
    <w:rsid w:val="00102792"/>
    <w:rsid w:val="00104CDC"/>
    <w:rsid w:val="0010716C"/>
    <w:rsid w:val="0011079C"/>
    <w:rsid w:val="0011336A"/>
    <w:rsid w:val="0011548F"/>
    <w:rsid w:val="0013057A"/>
    <w:rsid w:val="00132FE4"/>
    <w:rsid w:val="00140005"/>
    <w:rsid w:val="001402E2"/>
    <w:rsid w:val="001458B9"/>
    <w:rsid w:val="00166C5F"/>
    <w:rsid w:val="00167B8F"/>
    <w:rsid w:val="00171922"/>
    <w:rsid w:val="0017774E"/>
    <w:rsid w:val="001810F6"/>
    <w:rsid w:val="0018287D"/>
    <w:rsid w:val="0018301C"/>
    <w:rsid w:val="001872A6"/>
    <w:rsid w:val="00187A32"/>
    <w:rsid w:val="00191AC9"/>
    <w:rsid w:val="001945FA"/>
    <w:rsid w:val="0019582A"/>
    <w:rsid w:val="00196D17"/>
    <w:rsid w:val="001A3BE6"/>
    <w:rsid w:val="001A3E5A"/>
    <w:rsid w:val="001A4ADC"/>
    <w:rsid w:val="001B3F3B"/>
    <w:rsid w:val="001B4EDD"/>
    <w:rsid w:val="001C344D"/>
    <w:rsid w:val="001C3682"/>
    <w:rsid w:val="001C6692"/>
    <w:rsid w:val="001C6B17"/>
    <w:rsid w:val="001D2C37"/>
    <w:rsid w:val="001D33FE"/>
    <w:rsid w:val="001D4192"/>
    <w:rsid w:val="001D4820"/>
    <w:rsid w:val="001D7C41"/>
    <w:rsid w:val="001F1AE0"/>
    <w:rsid w:val="001F62DA"/>
    <w:rsid w:val="00200540"/>
    <w:rsid w:val="002005EB"/>
    <w:rsid w:val="00200EC4"/>
    <w:rsid w:val="002027E4"/>
    <w:rsid w:val="00203CB8"/>
    <w:rsid w:val="002047E6"/>
    <w:rsid w:val="0020618A"/>
    <w:rsid w:val="002107A7"/>
    <w:rsid w:val="002110A6"/>
    <w:rsid w:val="002176A7"/>
    <w:rsid w:val="00217794"/>
    <w:rsid w:val="002225EF"/>
    <w:rsid w:val="0022303E"/>
    <w:rsid w:val="0022420F"/>
    <w:rsid w:val="00226C03"/>
    <w:rsid w:val="00226E12"/>
    <w:rsid w:val="00230CEF"/>
    <w:rsid w:val="00233918"/>
    <w:rsid w:val="00236D13"/>
    <w:rsid w:val="00244D6B"/>
    <w:rsid w:val="00254D55"/>
    <w:rsid w:val="0025786E"/>
    <w:rsid w:val="002610DF"/>
    <w:rsid w:val="00267723"/>
    <w:rsid w:val="002700E1"/>
    <w:rsid w:val="00273397"/>
    <w:rsid w:val="00281A1D"/>
    <w:rsid w:val="00283305"/>
    <w:rsid w:val="00284795"/>
    <w:rsid w:val="0028498D"/>
    <w:rsid w:val="00285C39"/>
    <w:rsid w:val="0028676A"/>
    <w:rsid w:val="002905B8"/>
    <w:rsid w:val="00292907"/>
    <w:rsid w:val="0029564D"/>
    <w:rsid w:val="002A0A03"/>
    <w:rsid w:val="002A24BF"/>
    <w:rsid w:val="002A7C9B"/>
    <w:rsid w:val="002A7CE1"/>
    <w:rsid w:val="002B0AFD"/>
    <w:rsid w:val="002C46B0"/>
    <w:rsid w:val="002D0644"/>
    <w:rsid w:val="002D2DCD"/>
    <w:rsid w:val="002D5611"/>
    <w:rsid w:val="002F0133"/>
    <w:rsid w:val="002F15D9"/>
    <w:rsid w:val="002F1703"/>
    <w:rsid w:val="002F29E4"/>
    <w:rsid w:val="002F2D43"/>
    <w:rsid w:val="002F426B"/>
    <w:rsid w:val="002F4531"/>
    <w:rsid w:val="0030320E"/>
    <w:rsid w:val="00307F43"/>
    <w:rsid w:val="00311973"/>
    <w:rsid w:val="00315F9C"/>
    <w:rsid w:val="00324254"/>
    <w:rsid w:val="00325A6D"/>
    <w:rsid w:val="00327C56"/>
    <w:rsid w:val="00336CB7"/>
    <w:rsid w:val="00336DF6"/>
    <w:rsid w:val="00337C7F"/>
    <w:rsid w:val="003400E4"/>
    <w:rsid w:val="00341367"/>
    <w:rsid w:val="003421C1"/>
    <w:rsid w:val="00343FE2"/>
    <w:rsid w:val="003445AF"/>
    <w:rsid w:val="00354C05"/>
    <w:rsid w:val="00355F98"/>
    <w:rsid w:val="00356B58"/>
    <w:rsid w:val="003740C4"/>
    <w:rsid w:val="0037634A"/>
    <w:rsid w:val="00376877"/>
    <w:rsid w:val="00376A52"/>
    <w:rsid w:val="00386898"/>
    <w:rsid w:val="00391FB1"/>
    <w:rsid w:val="003954EB"/>
    <w:rsid w:val="003A3FFF"/>
    <w:rsid w:val="003A53D1"/>
    <w:rsid w:val="003A7EE7"/>
    <w:rsid w:val="003C44C4"/>
    <w:rsid w:val="003C4802"/>
    <w:rsid w:val="003D325A"/>
    <w:rsid w:val="003D327F"/>
    <w:rsid w:val="003D334F"/>
    <w:rsid w:val="003E385E"/>
    <w:rsid w:val="003E4DDF"/>
    <w:rsid w:val="003E6945"/>
    <w:rsid w:val="003E71DB"/>
    <w:rsid w:val="003F0D8E"/>
    <w:rsid w:val="003F13E2"/>
    <w:rsid w:val="003F5F42"/>
    <w:rsid w:val="00401769"/>
    <w:rsid w:val="00407763"/>
    <w:rsid w:val="00410BC1"/>
    <w:rsid w:val="00412CF7"/>
    <w:rsid w:val="00417B8A"/>
    <w:rsid w:val="00420278"/>
    <w:rsid w:val="0042029D"/>
    <w:rsid w:val="00422D68"/>
    <w:rsid w:val="00426D83"/>
    <w:rsid w:val="00432828"/>
    <w:rsid w:val="00433332"/>
    <w:rsid w:val="004358E4"/>
    <w:rsid w:val="00437A94"/>
    <w:rsid w:val="00440A0F"/>
    <w:rsid w:val="00441C61"/>
    <w:rsid w:val="00445C12"/>
    <w:rsid w:val="00451691"/>
    <w:rsid w:val="00456A21"/>
    <w:rsid w:val="0046091A"/>
    <w:rsid w:val="00461AE3"/>
    <w:rsid w:val="00461BC7"/>
    <w:rsid w:val="004631EF"/>
    <w:rsid w:val="00463D31"/>
    <w:rsid w:val="0047526E"/>
    <w:rsid w:val="00481358"/>
    <w:rsid w:val="00483CB0"/>
    <w:rsid w:val="00497876"/>
    <w:rsid w:val="004A09B9"/>
    <w:rsid w:val="004A6AB7"/>
    <w:rsid w:val="004B120E"/>
    <w:rsid w:val="004B3573"/>
    <w:rsid w:val="004C2CF7"/>
    <w:rsid w:val="004C629F"/>
    <w:rsid w:val="004E1553"/>
    <w:rsid w:val="004E279D"/>
    <w:rsid w:val="004E6C25"/>
    <w:rsid w:val="004F542B"/>
    <w:rsid w:val="00501C7E"/>
    <w:rsid w:val="005102B9"/>
    <w:rsid w:val="005103BE"/>
    <w:rsid w:val="0051065A"/>
    <w:rsid w:val="00512197"/>
    <w:rsid w:val="00512E5A"/>
    <w:rsid w:val="00516A11"/>
    <w:rsid w:val="00517B56"/>
    <w:rsid w:val="00523FE7"/>
    <w:rsid w:val="0052577B"/>
    <w:rsid w:val="005264B8"/>
    <w:rsid w:val="005303FF"/>
    <w:rsid w:val="0053186D"/>
    <w:rsid w:val="00535B6C"/>
    <w:rsid w:val="005474DA"/>
    <w:rsid w:val="00553D9B"/>
    <w:rsid w:val="00556B13"/>
    <w:rsid w:val="005612EA"/>
    <w:rsid w:val="0056300E"/>
    <w:rsid w:val="00563FCF"/>
    <w:rsid w:val="00564BAA"/>
    <w:rsid w:val="00571F77"/>
    <w:rsid w:val="00572A8B"/>
    <w:rsid w:val="00572AA8"/>
    <w:rsid w:val="005748D4"/>
    <w:rsid w:val="005770C2"/>
    <w:rsid w:val="00580AF1"/>
    <w:rsid w:val="00585166"/>
    <w:rsid w:val="005862D8"/>
    <w:rsid w:val="0059104B"/>
    <w:rsid w:val="005912B6"/>
    <w:rsid w:val="00595F35"/>
    <w:rsid w:val="00597D61"/>
    <w:rsid w:val="005A0FF1"/>
    <w:rsid w:val="005A479C"/>
    <w:rsid w:val="005A5D30"/>
    <w:rsid w:val="005B2F9D"/>
    <w:rsid w:val="005B368A"/>
    <w:rsid w:val="005B5EB3"/>
    <w:rsid w:val="005C21E5"/>
    <w:rsid w:val="005C7F64"/>
    <w:rsid w:val="005D2122"/>
    <w:rsid w:val="005D2DA3"/>
    <w:rsid w:val="005D7C93"/>
    <w:rsid w:val="005E1F94"/>
    <w:rsid w:val="005E2513"/>
    <w:rsid w:val="005E6D42"/>
    <w:rsid w:val="005F1CAC"/>
    <w:rsid w:val="005F215A"/>
    <w:rsid w:val="005F441F"/>
    <w:rsid w:val="005F4595"/>
    <w:rsid w:val="005F66A5"/>
    <w:rsid w:val="006038DF"/>
    <w:rsid w:val="0061169E"/>
    <w:rsid w:val="00620AD9"/>
    <w:rsid w:val="00622612"/>
    <w:rsid w:val="006243B5"/>
    <w:rsid w:val="00633241"/>
    <w:rsid w:val="00635056"/>
    <w:rsid w:val="0064308B"/>
    <w:rsid w:val="00643D29"/>
    <w:rsid w:val="006511D1"/>
    <w:rsid w:val="00665A90"/>
    <w:rsid w:val="0066617E"/>
    <w:rsid w:val="00666634"/>
    <w:rsid w:val="00667360"/>
    <w:rsid w:val="006674B3"/>
    <w:rsid w:val="006702DD"/>
    <w:rsid w:val="00675EA2"/>
    <w:rsid w:val="006832F4"/>
    <w:rsid w:val="00685CED"/>
    <w:rsid w:val="00695A1A"/>
    <w:rsid w:val="00696188"/>
    <w:rsid w:val="006A0EF0"/>
    <w:rsid w:val="006A266B"/>
    <w:rsid w:val="006A2703"/>
    <w:rsid w:val="006B2186"/>
    <w:rsid w:val="006B28A1"/>
    <w:rsid w:val="006C133D"/>
    <w:rsid w:val="006C6609"/>
    <w:rsid w:val="006D6654"/>
    <w:rsid w:val="006D67A1"/>
    <w:rsid w:val="006D7BF3"/>
    <w:rsid w:val="006E095D"/>
    <w:rsid w:val="006E0E96"/>
    <w:rsid w:val="006E5C10"/>
    <w:rsid w:val="006E6B49"/>
    <w:rsid w:val="006F28E2"/>
    <w:rsid w:val="006F4B4F"/>
    <w:rsid w:val="006F562B"/>
    <w:rsid w:val="00701659"/>
    <w:rsid w:val="007031B7"/>
    <w:rsid w:val="00703F00"/>
    <w:rsid w:val="00706373"/>
    <w:rsid w:val="00711BCD"/>
    <w:rsid w:val="007145CA"/>
    <w:rsid w:val="00716F86"/>
    <w:rsid w:val="007174CB"/>
    <w:rsid w:val="007237FE"/>
    <w:rsid w:val="0073293C"/>
    <w:rsid w:val="00740DD7"/>
    <w:rsid w:val="00744D17"/>
    <w:rsid w:val="007477B7"/>
    <w:rsid w:val="00751DC1"/>
    <w:rsid w:val="0075340D"/>
    <w:rsid w:val="00754151"/>
    <w:rsid w:val="0076002F"/>
    <w:rsid w:val="00760190"/>
    <w:rsid w:val="00764633"/>
    <w:rsid w:val="00775181"/>
    <w:rsid w:val="00776B48"/>
    <w:rsid w:val="007843D0"/>
    <w:rsid w:val="007A102E"/>
    <w:rsid w:val="007A6390"/>
    <w:rsid w:val="007A675D"/>
    <w:rsid w:val="007B4169"/>
    <w:rsid w:val="007B418A"/>
    <w:rsid w:val="007C1D76"/>
    <w:rsid w:val="007C2D06"/>
    <w:rsid w:val="007D129D"/>
    <w:rsid w:val="007D535F"/>
    <w:rsid w:val="007D5829"/>
    <w:rsid w:val="007D5922"/>
    <w:rsid w:val="007D5D33"/>
    <w:rsid w:val="007D77CD"/>
    <w:rsid w:val="007D7D3C"/>
    <w:rsid w:val="007E3225"/>
    <w:rsid w:val="007F085F"/>
    <w:rsid w:val="007F382F"/>
    <w:rsid w:val="007F7413"/>
    <w:rsid w:val="00801AF9"/>
    <w:rsid w:val="008106DE"/>
    <w:rsid w:val="00812483"/>
    <w:rsid w:val="00812717"/>
    <w:rsid w:val="0081552B"/>
    <w:rsid w:val="00817B83"/>
    <w:rsid w:val="00825AD4"/>
    <w:rsid w:val="00827C4C"/>
    <w:rsid w:val="00833089"/>
    <w:rsid w:val="008476D3"/>
    <w:rsid w:val="00856855"/>
    <w:rsid w:val="00857D04"/>
    <w:rsid w:val="0086197B"/>
    <w:rsid w:val="00863728"/>
    <w:rsid w:val="008703D2"/>
    <w:rsid w:val="00872F88"/>
    <w:rsid w:val="00874AA1"/>
    <w:rsid w:val="0088228D"/>
    <w:rsid w:val="00886023"/>
    <w:rsid w:val="00886819"/>
    <w:rsid w:val="00886CAA"/>
    <w:rsid w:val="008912CD"/>
    <w:rsid w:val="00891591"/>
    <w:rsid w:val="00891FC3"/>
    <w:rsid w:val="0089386B"/>
    <w:rsid w:val="00894E4D"/>
    <w:rsid w:val="00896EFB"/>
    <w:rsid w:val="008A7F58"/>
    <w:rsid w:val="008B4660"/>
    <w:rsid w:val="008B4EC7"/>
    <w:rsid w:val="008D0890"/>
    <w:rsid w:val="008D16BB"/>
    <w:rsid w:val="008D2C74"/>
    <w:rsid w:val="008D6A53"/>
    <w:rsid w:val="008D6E67"/>
    <w:rsid w:val="008E28E0"/>
    <w:rsid w:val="008E7436"/>
    <w:rsid w:val="008E74F1"/>
    <w:rsid w:val="008F3994"/>
    <w:rsid w:val="008F5039"/>
    <w:rsid w:val="00924C37"/>
    <w:rsid w:val="00925419"/>
    <w:rsid w:val="0092599E"/>
    <w:rsid w:val="00927731"/>
    <w:rsid w:val="0092779E"/>
    <w:rsid w:val="009311F2"/>
    <w:rsid w:val="00933EA3"/>
    <w:rsid w:val="009373F2"/>
    <w:rsid w:val="00944392"/>
    <w:rsid w:val="00945155"/>
    <w:rsid w:val="009553D8"/>
    <w:rsid w:val="00963EA4"/>
    <w:rsid w:val="00966FD7"/>
    <w:rsid w:val="0097086D"/>
    <w:rsid w:val="0097218D"/>
    <w:rsid w:val="009743B3"/>
    <w:rsid w:val="00995F07"/>
    <w:rsid w:val="009A11E7"/>
    <w:rsid w:val="009B0AA4"/>
    <w:rsid w:val="009B7877"/>
    <w:rsid w:val="009B798F"/>
    <w:rsid w:val="009C1D16"/>
    <w:rsid w:val="009C37C2"/>
    <w:rsid w:val="009D336C"/>
    <w:rsid w:val="009D361D"/>
    <w:rsid w:val="009D6C95"/>
    <w:rsid w:val="009E0973"/>
    <w:rsid w:val="009E38DE"/>
    <w:rsid w:val="009E58AB"/>
    <w:rsid w:val="009E7DD7"/>
    <w:rsid w:val="009F0E5E"/>
    <w:rsid w:val="00A00A07"/>
    <w:rsid w:val="00A05BA9"/>
    <w:rsid w:val="00A1108E"/>
    <w:rsid w:val="00A17981"/>
    <w:rsid w:val="00A36432"/>
    <w:rsid w:val="00A365DD"/>
    <w:rsid w:val="00A42BC8"/>
    <w:rsid w:val="00A441B6"/>
    <w:rsid w:val="00A46AC5"/>
    <w:rsid w:val="00A65829"/>
    <w:rsid w:val="00A67828"/>
    <w:rsid w:val="00A75963"/>
    <w:rsid w:val="00A76D81"/>
    <w:rsid w:val="00A81950"/>
    <w:rsid w:val="00A82076"/>
    <w:rsid w:val="00A8266A"/>
    <w:rsid w:val="00A868EA"/>
    <w:rsid w:val="00A87236"/>
    <w:rsid w:val="00A87B43"/>
    <w:rsid w:val="00A923EA"/>
    <w:rsid w:val="00A92592"/>
    <w:rsid w:val="00AB37D8"/>
    <w:rsid w:val="00AB5A61"/>
    <w:rsid w:val="00AC423C"/>
    <w:rsid w:val="00AC619C"/>
    <w:rsid w:val="00AC6BFF"/>
    <w:rsid w:val="00AD3CAA"/>
    <w:rsid w:val="00AE13E0"/>
    <w:rsid w:val="00AE1BA5"/>
    <w:rsid w:val="00AF0B36"/>
    <w:rsid w:val="00AF327C"/>
    <w:rsid w:val="00AF3E9F"/>
    <w:rsid w:val="00AF4985"/>
    <w:rsid w:val="00B045C2"/>
    <w:rsid w:val="00B04F08"/>
    <w:rsid w:val="00B21A1F"/>
    <w:rsid w:val="00B32A4A"/>
    <w:rsid w:val="00B339D8"/>
    <w:rsid w:val="00B33DB2"/>
    <w:rsid w:val="00B34189"/>
    <w:rsid w:val="00B37C80"/>
    <w:rsid w:val="00B47C7F"/>
    <w:rsid w:val="00B47DF4"/>
    <w:rsid w:val="00B53378"/>
    <w:rsid w:val="00B55C2D"/>
    <w:rsid w:val="00B561B6"/>
    <w:rsid w:val="00B57894"/>
    <w:rsid w:val="00B76C4F"/>
    <w:rsid w:val="00B87733"/>
    <w:rsid w:val="00BA3D69"/>
    <w:rsid w:val="00BB096A"/>
    <w:rsid w:val="00BB5ED6"/>
    <w:rsid w:val="00BC5392"/>
    <w:rsid w:val="00BC59BA"/>
    <w:rsid w:val="00BE13B2"/>
    <w:rsid w:val="00BE2122"/>
    <w:rsid w:val="00BE3728"/>
    <w:rsid w:val="00BE563F"/>
    <w:rsid w:val="00BE6063"/>
    <w:rsid w:val="00BF6D70"/>
    <w:rsid w:val="00C122F0"/>
    <w:rsid w:val="00C20D24"/>
    <w:rsid w:val="00C21237"/>
    <w:rsid w:val="00C26AB6"/>
    <w:rsid w:val="00C32F46"/>
    <w:rsid w:val="00C37ABB"/>
    <w:rsid w:val="00C37F2A"/>
    <w:rsid w:val="00C45FBE"/>
    <w:rsid w:val="00C50D87"/>
    <w:rsid w:val="00C72A4A"/>
    <w:rsid w:val="00C73605"/>
    <w:rsid w:val="00C76236"/>
    <w:rsid w:val="00C86CF7"/>
    <w:rsid w:val="00C90265"/>
    <w:rsid w:val="00C90B97"/>
    <w:rsid w:val="00C918E2"/>
    <w:rsid w:val="00C95C48"/>
    <w:rsid w:val="00CA0B26"/>
    <w:rsid w:val="00CA0D26"/>
    <w:rsid w:val="00CA0F2C"/>
    <w:rsid w:val="00CA45E4"/>
    <w:rsid w:val="00CA4FD1"/>
    <w:rsid w:val="00CC07E2"/>
    <w:rsid w:val="00CC4D59"/>
    <w:rsid w:val="00CC4DA0"/>
    <w:rsid w:val="00CC652A"/>
    <w:rsid w:val="00CC713B"/>
    <w:rsid w:val="00CD1A33"/>
    <w:rsid w:val="00CD25A5"/>
    <w:rsid w:val="00CE5D8E"/>
    <w:rsid w:val="00CF3E1C"/>
    <w:rsid w:val="00CF5AC5"/>
    <w:rsid w:val="00CF5DD5"/>
    <w:rsid w:val="00CF640E"/>
    <w:rsid w:val="00D039C8"/>
    <w:rsid w:val="00D07A52"/>
    <w:rsid w:val="00D07ABF"/>
    <w:rsid w:val="00D142C8"/>
    <w:rsid w:val="00D32903"/>
    <w:rsid w:val="00D40F52"/>
    <w:rsid w:val="00D42FD6"/>
    <w:rsid w:val="00D4471A"/>
    <w:rsid w:val="00D61CCC"/>
    <w:rsid w:val="00D64F3B"/>
    <w:rsid w:val="00D7180C"/>
    <w:rsid w:val="00D941CC"/>
    <w:rsid w:val="00DA1639"/>
    <w:rsid w:val="00DA34DA"/>
    <w:rsid w:val="00DA4152"/>
    <w:rsid w:val="00DA7294"/>
    <w:rsid w:val="00DA78C1"/>
    <w:rsid w:val="00DB4B3F"/>
    <w:rsid w:val="00DB5281"/>
    <w:rsid w:val="00DB5F78"/>
    <w:rsid w:val="00DB76F3"/>
    <w:rsid w:val="00DE770B"/>
    <w:rsid w:val="00DF0060"/>
    <w:rsid w:val="00DF2251"/>
    <w:rsid w:val="00DF7E7E"/>
    <w:rsid w:val="00E030F0"/>
    <w:rsid w:val="00E0746D"/>
    <w:rsid w:val="00E11D37"/>
    <w:rsid w:val="00E128FF"/>
    <w:rsid w:val="00E133BB"/>
    <w:rsid w:val="00E1442E"/>
    <w:rsid w:val="00E23B8D"/>
    <w:rsid w:val="00E27D10"/>
    <w:rsid w:val="00E312E9"/>
    <w:rsid w:val="00E315C4"/>
    <w:rsid w:val="00E31FD1"/>
    <w:rsid w:val="00E328C0"/>
    <w:rsid w:val="00E35520"/>
    <w:rsid w:val="00E405FF"/>
    <w:rsid w:val="00E430A3"/>
    <w:rsid w:val="00E5310B"/>
    <w:rsid w:val="00E5541B"/>
    <w:rsid w:val="00E5695C"/>
    <w:rsid w:val="00E57B2E"/>
    <w:rsid w:val="00E61021"/>
    <w:rsid w:val="00E65B00"/>
    <w:rsid w:val="00E66460"/>
    <w:rsid w:val="00E701C3"/>
    <w:rsid w:val="00E71A22"/>
    <w:rsid w:val="00E72842"/>
    <w:rsid w:val="00E74983"/>
    <w:rsid w:val="00E74F1F"/>
    <w:rsid w:val="00E87162"/>
    <w:rsid w:val="00E92D90"/>
    <w:rsid w:val="00EA24EF"/>
    <w:rsid w:val="00EA2A82"/>
    <w:rsid w:val="00EC24B8"/>
    <w:rsid w:val="00ED685E"/>
    <w:rsid w:val="00EE11C2"/>
    <w:rsid w:val="00EE1B1C"/>
    <w:rsid w:val="00EE26C3"/>
    <w:rsid w:val="00EE280E"/>
    <w:rsid w:val="00EF2E78"/>
    <w:rsid w:val="00EF3119"/>
    <w:rsid w:val="00F00F55"/>
    <w:rsid w:val="00F039DA"/>
    <w:rsid w:val="00F05F8D"/>
    <w:rsid w:val="00F10F34"/>
    <w:rsid w:val="00F126FC"/>
    <w:rsid w:val="00F15062"/>
    <w:rsid w:val="00F20564"/>
    <w:rsid w:val="00F2273E"/>
    <w:rsid w:val="00F441E9"/>
    <w:rsid w:val="00F4693D"/>
    <w:rsid w:val="00F510BD"/>
    <w:rsid w:val="00F64002"/>
    <w:rsid w:val="00F72288"/>
    <w:rsid w:val="00F854BB"/>
    <w:rsid w:val="00F87F32"/>
    <w:rsid w:val="00F92EB3"/>
    <w:rsid w:val="00F9401E"/>
    <w:rsid w:val="00F9711A"/>
    <w:rsid w:val="00FA1597"/>
    <w:rsid w:val="00FA2C57"/>
    <w:rsid w:val="00FA6608"/>
    <w:rsid w:val="00FA7E1A"/>
    <w:rsid w:val="00FB0B2A"/>
    <w:rsid w:val="00FB2100"/>
    <w:rsid w:val="00FB28DC"/>
    <w:rsid w:val="00FC16DD"/>
    <w:rsid w:val="00FC6CFE"/>
    <w:rsid w:val="00FD47C6"/>
    <w:rsid w:val="00FE1289"/>
    <w:rsid w:val="00FE7530"/>
    <w:rsid w:val="00FF1E52"/>
    <w:rsid w:val="00FF2A3C"/>
    <w:rsid w:val="00FF504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A7155"/>
  <w15:chartTrackingRefBased/>
  <w15:docId w15:val="{98AF4688-B485-437B-B5C5-527C2C70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A53"/>
    <w:rPr>
      <w:rFonts w:cs="Mangal"/>
    </w:rPr>
  </w:style>
  <w:style w:type="paragraph" w:styleId="Heading1">
    <w:name w:val="heading 1"/>
    <w:basedOn w:val="Normal"/>
    <w:next w:val="Normal"/>
    <w:link w:val="Heading1Char"/>
    <w:uiPriority w:val="9"/>
    <w:qFormat/>
    <w:rsid w:val="000F606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bidi="gu-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41ED"/>
    <w:rPr>
      <w:color w:val="0563C1" w:themeColor="hyperlink"/>
      <w:u w:val="single"/>
    </w:rPr>
  </w:style>
  <w:style w:type="character" w:styleId="UnresolvedMention">
    <w:name w:val="Unresolved Mention"/>
    <w:basedOn w:val="DefaultParagraphFont"/>
    <w:uiPriority w:val="99"/>
    <w:semiHidden/>
    <w:unhideWhenUsed/>
    <w:rsid w:val="000841ED"/>
    <w:rPr>
      <w:color w:val="605E5C"/>
      <w:shd w:val="clear" w:color="auto" w:fill="E1DFDD"/>
    </w:rPr>
  </w:style>
  <w:style w:type="paragraph" w:styleId="ListParagraph">
    <w:name w:val="List Paragraph"/>
    <w:basedOn w:val="Normal"/>
    <w:uiPriority w:val="34"/>
    <w:qFormat/>
    <w:rsid w:val="003C4802"/>
    <w:pPr>
      <w:ind w:left="720"/>
      <w:contextualSpacing/>
    </w:pPr>
  </w:style>
  <w:style w:type="paragraph" w:styleId="NormalWeb">
    <w:name w:val="Normal (Web)"/>
    <w:basedOn w:val="Normal"/>
    <w:uiPriority w:val="99"/>
    <w:semiHidden/>
    <w:unhideWhenUsed/>
    <w:rsid w:val="008D089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7600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02F"/>
    <w:rPr>
      <w:rFonts w:cs="Mangal"/>
    </w:rPr>
  </w:style>
  <w:style w:type="paragraph" w:styleId="Footer">
    <w:name w:val="footer"/>
    <w:basedOn w:val="Normal"/>
    <w:link w:val="FooterChar"/>
    <w:uiPriority w:val="99"/>
    <w:unhideWhenUsed/>
    <w:rsid w:val="007600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02F"/>
    <w:rPr>
      <w:rFonts w:cs="Mangal"/>
    </w:rPr>
  </w:style>
  <w:style w:type="character" w:customStyle="1" w:styleId="Heading1Char">
    <w:name w:val="Heading 1 Char"/>
    <w:basedOn w:val="DefaultParagraphFont"/>
    <w:link w:val="Heading1"/>
    <w:uiPriority w:val="9"/>
    <w:rsid w:val="000F6069"/>
    <w:rPr>
      <w:rFonts w:asciiTheme="majorHAnsi" w:eastAsiaTheme="majorEastAsia" w:hAnsiTheme="majorHAnsi" w:cstheme="majorBidi"/>
      <w:color w:val="2F5496" w:themeColor="accent1" w:themeShade="BF"/>
      <w:kern w:val="2"/>
      <w:sz w:val="40"/>
      <w:szCs w:val="40"/>
      <w:lang w:bidi="gu-IN"/>
      <w14:ligatures w14:val="standardContextual"/>
    </w:rPr>
  </w:style>
  <w:style w:type="paragraph" w:styleId="BodyText">
    <w:name w:val="Body Text"/>
    <w:basedOn w:val="Normal"/>
    <w:link w:val="BodyTextChar"/>
    <w:uiPriority w:val="1"/>
    <w:qFormat/>
    <w:rsid w:val="000F6069"/>
    <w:pPr>
      <w:widowControl w:val="0"/>
      <w:autoSpaceDE w:val="0"/>
      <w:autoSpaceDN w:val="0"/>
      <w:spacing w:after="0" w:line="240" w:lineRule="auto"/>
    </w:pPr>
    <w:rPr>
      <w:rFonts w:ascii="Times New Roman" w:eastAsia="Times New Roman" w:hAnsi="Times New Roman" w:cs="Times New Roman"/>
      <w:sz w:val="24"/>
      <w:szCs w:val="24"/>
      <w:lang w:val="en-US" w:bidi="ar-SA"/>
    </w:rPr>
  </w:style>
  <w:style w:type="character" w:customStyle="1" w:styleId="BodyTextChar">
    <w:name w:val="Body Text Char"/>
    <w:basedOn w:val="DefaultParagraphFont"/>
    <w:link w:val="BodyText"/>
    <w:uiPriority w:val="1"/>
    <w:rsid w:val="000F6069"/>
    <w:rPr>
      <w:rFonts w:ascii="Times New Roman" w:eastAsia="Times New Roman" w:hAnsi="Times New Roman" w:cs="Times New Roman"/>
      <w:sz w:val="24"/>
      <w:szCs w:val="24"/>
      <w:lang w:val="en-US" w:bidi="ar-SA"/>
    </w:rPr>
  </w:style>
  <w:style w:type="paragraph" w:customStyle="1" w:styleId="font-claude-response-body">
    <w:name w:val="font-claude-response-body"/>
    <w:basedOn w:val="Normal"/>
    <w:rsid w:val="00AB37D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B37D8"/>
    <w:rPr>
      <w:b/>
      <w:bCs/>
    </w:rPr>
  </w:style>
  <w:style w:type="character" w:styleId="Emphasis">
    <w:name w:val="Emphasis"/>
    <w:basedOn w:val="DefaultParagraphFont"/>
    <w:uiPriority w:val="20"/>
    <w:qFormat/>
    <w:rsid w:val="00AB37D8"/>
    <w:rPr>
      <w:i/>
      <w:iCs/>
    </w:rPr>
  </w:style>
  <w:style w:type="table" w:styleId="TableGrid">
    <w:name w:val="Table Grid"/>
    <w:basedOn w:val="TableNormal"/>
    <w:uiPriority w:val="39"/>
    <w:rsid w:val="00812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702DD"/>
    <w:rPr>
      <w:color w:val="666666"/>
    </w:rPr>
  </w:style>
  <w:style w:type="table" w:styleId="PlainTable2">
    <w:name w:val="Plain Table 2"/>
    <w:basedOn w:val="TableNormal"/>
    <w:uiPriority w:val="42"/>
    <w:rsid w:val="00966FD7"/>
    <w:pPr>
      <w:spacing w:after="0" w:line="240" w:lineRule="auto"/>
    </w:pPr>
    <w:rPr>
      <w:kern w:val="2"/>
      <w:szCs w:val="22"/>
      <w:lang w:bidi="ar-SA"/>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966FD7"/>
    <w:pPr>
      <w:autoSpaceDE w:val="0"/>
      <w:autoSpaceDN w:val="0"/>
      <w:adjustRightInd w:val="0"/>
      <w:spacing w:after="0" w:line="240" w:lineRule="auto"/>
    </w:pPr>
    <w:rPr>
      <w:rFonts w:ascii="Times New Roman" w:hAnsi="Times New Roman" w:cs="Times New Roman"/>
      <w:color w:val="000000"/>
      <w:sz w:val="24"/>
      <w:szCs w:val="24"/>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20240">
      <w:bodyDiv w:val="1"/>
      <w:marLeft w:val="0"/>
      <w:marRight w:val="0"/>
      <w:marTop w:val="0"/>
      <w:marBottom w:val="0"/>
      <w:divBdr>
        <w:top w:val="none" w:sz="0" w:space="0" w:color="auto"/>
        <w:left w:val="none" w:sz="0" w:space="0" w:color="auto"/>
        <w:bottom w:val="none" w:sz="0" w:space="0" w:color="auto"/>
        <w:right w:val="none" w:sz="0" w:space="0" w:color="auto"/>
      </w:divBdr>
    </w:div>
    <w:div w:id="288442286">
      <w:bodyDiv w:val="1"/>
      <w:marLeft w:val="0"/>
      <w:marRight w:val="0"/>
      <w:marTop w:val="0"/>
      <w:marBottom w:val="0"/>
      <w:divBdr>
        <w:top w:val="none" w:sz="0" w:space="0" w:color="auto"/>
        <w:left w:val="none" w:sz="0" w:space="0" w:color="auto"/>
        <w:bottom w:val="none" w:sz="0" w:space="0" w:color="auto"/>
        <w:right w:val="none" w:sz="0" w:space="0" w:color="auto"/>
      </w:divBdr>
    </w:div>
    <w:div w:id="290746347">
      <w:bodyDiv w:val="1"/>
      <w:marLeft w:val="0"/>
      <w:marRight w:val="0"/>
      <w:marTop w:val="0"/>
      <w:marBottom w:val="0"/>
      <w:divBdr>
        <w:top w:val="none" w:sz="0" w:space="0" w:color="auto"/>
        <w:left w:val="none" w:sz="0" w:space="0" w:color="auto"/>
        <w:bottom w:val="none" w:sz="0" w:space="0" w:color="auto"/>
        <w:right w:val="none" w:sz="0" w:space="0" w:color="auto"/>
      </w:divBdr>
      <w:divsChild>
        <w:div w:id="769938041">
          <w:marLeft w:val="547"/>
          <w:marRight w:val="0"/>
          <w:marTop w:val="0"/>
          <w:marBottom w:val="0"/>
          <w:divBdr>
            <w:top w:val="none" w:sz="0" w:space="0" w:color="auto"/>
            <w:left w:val="none" w:sz="0" w:space="0" w:color="auto"/>
            <w:bottom w:val="none" w:sz="0" w:space="0" w:color="auto"/>
            <w:right w:val="none" w:sz="0" w:space="0" w:color="auto"/>
          </w:divBdr>
        </w:div>
      </w:divsChild>
    </w:div>
    <w:div w:id="351033798">
      <w:bodyDiv w:val="1"/>
      <w:marLeft w:val="0"/>
      <w:marRight w:val="0"/>
      <w:marTop w:val="0"/>
      <w:marBottom w:val="0"/>
      <w:divBdr>
        <w:top w:val="none" w:sz="0" w:space="0" w:color="auto"/>
        <w:left w:val="none" w:sz="0" w:space="0" w:color="auto"/>
        <w:bottom w:val="none" w:sz="0" w:space="0" w:color="auto"/>
        <w:right w:val="none" w:sz="0" w:space="0" w:color="auto"/>
      </w:divBdr>
    </w:div>
    <w:div w:id="467741746">
      <w:bodyDiv w:val="1"/>
      <w:marLeft w:val="0"/>
      <w:marRight w:val="0"/>
      <w:marTop w:val="0"/>
      <w:marBottom w:val="0"/>
      <w:divBdr>
        <w:top w:val="none" w:sz="0" w:space="0" w:color="auto"/>
        <w:left w:val="none" w:sz="0" w:space="0" w:color="auto"/>
        <w:bottom w:val="none" w:sz="0" w:space="0" w:color="auto"/>
        <w:right w:val="none" w:sz="0" w:space="0" w:color="auto"/>
      </w:divBdr>
      <w:divsChild>
        <w:div w:id="367796861">
          <w:marLeft w:val="0"/>
          <w:marRight w:val="0"/>
          <w:marTop w:val="0"/>
          <w:marBottom w:val="0"/>
          <w:divBdr>
            <w:top w:val="none" w:sz="0" w:space="0" w:color="auto"/>
            <w:left w:val="none" w:sz="0" w:space="0" w:color="auto"/>
            <w:bottom w:val="none" w:sz="0" w:space="0" w:color="auto"/>
            <w:right w:val="none" w:sz="0" w:space="0" w:color="auto"/>
          </w:divBdr>
          <w:divsChild>
            <w:div w:id="1511673532">
              <w:marLeft w:val="0"/>
              <w:marRight w:val="0"/>
              <w:marTop w:val="0"/>
              <w:marBottom w:val="0"/>
              <w:divBdr>
                <w:top w:val="none" w:sz="0" w:space="0" w:color="auto"/>
                <w:left w:val="none" w:sz="0" w:space="0" w:color="auto"/>
                <w:bottom w:val="none" w:sz="0" w:space="0" w:color="auto"/>
                <w:right w:val="none" w:sz="0" w:space="0" w:color="auto"/>
              </w:divBdr>
              <w:divsChild>
                <w:div w:id="1776633630">
                  <w:marLeft w:val="0"/>
                  <w:marRight w:val="0"/>
                  <w:marTop w:val="0"/>
                  <w:marBottom w:val="0"/>
                  <w:divBdr>
                    <w:top w:val="none" w:sz="0" w:space="0" w:color="auto"/>
                    <w:left w:val="none" w:sz="0" w:space="0" w:color="auto"/>
                    <w:bottom w:val="none" w:sz="0" w:space="0" w:color="auto"/>
                    <w:right w:val="none" w:sz="0" w:space="0" w:color="auto"/>
                  </w:divBdr>
                  <w:divsChild>
                    <w:div w:id="21440788">
                      <w:marLeft w:val="0"/>
                      <w:marRight w:val="0"/>
                      <w:marTop w:val="0"/>
                      <w:marBottom w:val="0"/>
                      <w:divBdr>
                        <w:top w:val="none" w:sz="0" w:space="0" w:color="auto"/>
                        <w:left w:val="none" w:sz="0" w:space="0" w:color="auto"/>
                        <w:bottom w:val="none" w:sz="0" w:space="0" w:color="auto"/>
                        <w:right w:val="none" w:sz="0" w:space="0" w:color="auto"/>
                      </w:divBdr>
                      <w:divsChild>
                        <w:div w:id="1657565675">
                          <w:marLeft w:val="0"/>
                          <w:marRight w:val="0"/>
                          <w:marTop w:val="0"/>
                          <w:marBottom w:val="0"/>
                          <w:divBdr>
                            <w:top w:val="none" w:sz="0" w:space="0" w:color="auto"/>
                            <w:left w:val="none" w:sz="0" w:space="0" w:color="auto"/>
                            <w:bottom w:val="none" w:sz="0" w:space="0" w:color="auto"/>
                            <w:right w:val="none" w:sz="0" w:space="0" w:color="auto"/>
                          </w:divBdr>
                          <w:divsChild>
                            <w:div w:id="432558725">
                              <w:marLeft w:val="0"/>
                              <w:marRight w:val="0"/>
                              <w:marTop w:val="0"/>
                              <w:marBottom w:val="0"/>
                              <w:divBdr>
                                <w:top w:val="none" w:sz="0" w:space="0" w:color="auto"/>
                                <w:left w:val="none" w:sz="0" w:space="0" w:color="auto"/>
                                <w:bottom w:val="none" w:sz="0" w:space="0" w:color="auto"/>
                                <w:right w:val="none" w:sz="0" w:space="0" w:color="auto"/>
                              </w:divBdr>
                              <w:divsChild>
                                <w:div w:id="17113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198930">
      <w:bodyDiv w:val="1"/>
      <w:marLeft w:val="0"/>
      <w:marRight w:val="0"/>
      <w:marTop w:val="0"/>
      <w:marBottom w:val="0"/>
      <w:divBdr>
        <w:top w:val="none" w:sz="0" w:space="0" w:color="auto"/>
        <w:left w:val="none" w:sz="0" w:space="0" w:color="auto"/>
        <w:bottom w:val="none" w:sz="0" w:space="0" w:color="auto"/>
        <w:right w:val="none" w:sz="0" w:space="0" w:color="auto"/>
      </w:divBdr>
    </w:div>
    <w:div w:id="690451144">
      <w:bodyDiv w:val="1"/>
      <w:marLeft w:val="0"/>
      <w:marRight w:val="0"/>
      <w:marTop w:val="0"/>
      <w:marBottom w:val="0"/>
      <w:divBdr>
        <w:top w:val="none" w:sz="0" w:space="0" w:color="auto"/>
        <w:left w:val="none" w:sz="0" w:space="0" w:color="auto"/>
        <w:bottom w:val="none" w:sz="0" w:space="0" w:color="auto"/>
        <w:right w:val="none" w:sz="0" w:space="0" w:color="auto"/>
      </w:divBdr>
    </w:div>
    <w:div w:id="848565658">
      <w:bodyDiv w:val="1"/>
      <w:marLeft w:val="0"/>
      <w:marRight w:val="0"/>
      <w:marTop w:val="0"/>
      <w:marBottom w:val="0"/>
      <w:divBdr>
        <w:top w:val="none" w:sz="0" w:space="0" w:color="auto"/>
        <w:left w:val="none" w:sz="0" w:space="0" w:color="auto"/>
        <w:bottom w:val="none" w:sz="0" w:space="0" w:color="auto"/>
        <w:right w:val="none" w:sz="0" w:space="0" w:color="auto"/>
      </w:divBdr>
    </w:div>
    <w:div w:id="911936199">
      <w:bodyDiv w:val="1"/>
      <w:marLeft w:val="0"/>
      <w:marRight w:val="0"/>
      <w:marTop w:val="0"/>
      <w:marBottom w:val="0"/>
      <w:divBdr>
        <w:top w:val="none" w:sz="0" w:space="0" w:color="auto"/>
        <w:left w:val="none" w:sz="0" w:space="0" w:color="auto"/>
        <w:bottom w:val="none" w:sz="0" w:space="0" w:color="auto"/>
        <w:right w:val="none" w:sz="0" w:space="0" w:color="auto"/>
      </w:divBdr>
    </w:div>
    <w:div w:id="1076708221">
      <w:bodyDiv w:val="1"/>
      <w:marLeft w:val="0"/>
      <w:marRight w:val="0"/>
      <w:marTop w:val="0"/>
      <w:marBottom w:val="0"/>
      <w:divBdr>
        <w:top w:val="none" w:sz="0" w:space="0" w:color="auto"/>
        <w:left w:val="none" w:sz="0" w:space="0" w:color="auto"/>
        <w:bottom w:val="none" w:sz="0" w:space="0" w:color="auto"/>
        <w:right w:val="none" w:sz="0" w:space="0" w:color="auto"/>
      </w:divBdr>
      <w:divsChild>
        <w:div w:id="381909035">
          <w:marLeft w:val="547"/>
          <w:marRight w:val="0"/>
          <w:marTop w:val="0"/>
          <w:marBottom w:val="0"/>
          <w:divBdr>
            <w:top w:val="none" w:sz="0" w:space="0" w:color="auto"/>
            <w:left w:val="none" w:sz="0" w:space="0" w:color="auto"/>
            <w:bottom w:val="none" w:sz="0" w:space="0" w:color="auto"/>
            <w:right w:val="none" w:sz="0" w:space="0" w:color="auto"/>
          </w:divBdr>
        </w:div>
      </w:divsChild>
    </w:div>
    <w:div w:id="1186596954">
      <w:bodyDiv w:val="1"/>
      <w:marLeft w:val="0"/>
      <w:marRight w:val="0"/>
      <w:marTop w:val="0"/>
      <w:marBottom w:val="0"/>
      <w:divBdr>
        <w:top w:val="none" w:sz="0" w:space="0" w:color="auto"/>
        <w:left w:val="none" w:sz="0" w:space="0" w:color="auto"/>
        <w:bottom w:val="none" w:sz="0" w:space="0" w:color="auto"/>
        <w:right w:val="none" w:sz="0" w:space="0" w:color="auto"/>
      </w:divBdr>
    </w:div>
    <w:div w:id="1229145762">
      <w:bodyDiv w:val="1"/>
      <w:marLeft w:val="0"/>
      <w:marRight w:val="0"/>
      <w:marTop w:val="0"/>
      <w:marBottom w:val="0"/>
      <w:divBdr>
        <w:top w:val="none" w:sz="0" w:space="0" w:color="auto"/>
        <w:left w:val="none" w:sz="0" w:space="0" w:color="auto"/>
        <w:bottom w:val="none" w:sz="0" w:space="0" w:color="auto"/>
        <w:right w:val="none" w:sz="0" w:space="0" w:color="auto"/>
      </w:divBdr>
      <w:divsChild>
        <w:div w:id="1509251297">
          <w:marLeft w:val="0"/>
          <w:marRight w:val="0"/>
          <w:marTop w:val="0"/>
          <w:marBottom w:val="0"/>
          <w:divBdr>
            <w:top w:val="none" w:sz="0" w:space="0" w:color="auto"/>
            <w:left w:val="none" w:sz="0" w:space="0" w:color="auto"/>
            <w:bottom w:val="none" w:sz="0" w:space="0" w:color="auto"/>
            <w:right w:val="none" w:sz="0" w:space="0" w:color="auto"/>
          </w:divBdr>
          <w:divsChild>
            <w:div w:id="1232035642">
              <w:marLeft w:val="0"/>
              <w:marRight w:val="0"/>
              <w:marTop w:val="0"/>
              <w:marBottom w:val="0"/>
              <w:divBdr>
                <w:top w:val="none" w:sz="0" w:space="0" w:color="auto"/>
                <w:left w:val="none" w:sz="0" w:space="0" w:color="auto"/>
                <w:bottom w:val="none" w:sz="0" w:space="0" w:color="auto"/>
                <w:right w:val="none" w:sz="0" w:space="0" w:color="auto"/>
              </w:divBdr>
              <w:divsChild>
                <w:div w:id="1534540496">
                  <w:marLeft w:val="0"/>
                  <w:marRight w:val="0"/>
                  <w:marTop w:val="0"/>
                  <w:marBottom w:val="0"/>
                  <w:divBdr>
                    <w:top w:val="none" w:sz="0" w:space="0" w:color="auto"/>
                    <w:left w:val="none" w:sz="0" w:space="0" w:color="auto"/>
                    <w:bottom w:val="none" w:sz="0" w:space="0" w:color="auto"/>
                    <w:right w:val="none" w:sz="0" w:space="0" w:color="auto"/>
                  </w:divBdr>
                  <w:divsChild>
                    <w:div w:id="2060856195">
                      <w:marLeft w:val="0"/>
                      <w:marRight w:val="0"/>
                      <w:marTop w:val="0"/>
                      <w:marBottom w:val="0"/>
                      <w:divBdr>
                        <w:top w:val="none" w:sz="0" w:space="0" w:color="auto"/>
                        <w:left w:val="none" w:sz="0" w:space="0" w:color="auto"/>
                        <w:bottom w:val="none" w:sz="0" w:space="0" w:color="auto"/>
                        <w:right w:val="none" w:sz="0" w:space="0" w:color="auto"/>
                      </w:divBdr>
                      <w:divsChild>
                        <w:div w:id="2035301730">
                          <w:marLeft w:val="0"/>
                          <w:marRight w:val="0"/>
                          <w:marTop w:val="0"/>
                          <w:marBottom w:val="0"/>
                          <w:divBdr>
                            <w:top w:val="none" w:sz="0" w:space="0" w:color="auto"/>
                            <w:left w:val="none" w:sz="0" w:space="0" w:color="auto"/>
                            <w:bottom w:val="none" w:sz="0" w:space="0" w:color="auto"/>
                            <w:right w:val="none" w:sz="0" w:space="0" w:color="auto"/>
                          </w:divBdr>
                          <w:divsChild>
                            <w:div w:id="1730686395">
                              <w:marLeft w:val="0"/>
                              <w:marRight w:val="0"/>
                              <w:marTop w:val="0"/>
                              <w:marBottom w:val="0"/>
                              <w:divBdr>
                                <w:top w:val="none" w:sz="0" w:space="0" w:color="auto"/>
                                <w:left w:val="none" w:sz="0" w:space="0" w:color="auto"/>
                                <w:bottom w:val="none" w:sz="0" w:space="0" w:color="auto"/>
                                <w:right w:val="none" w:sz="0" w:space="0" w:color="auto"/>
                              </w:divBdr>
                              <w:divsChild>
                                <w:div w:id="37971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182464">
      <w:bodyDiv w:val="1"/>
      <w:marLeft w:val="0"/>
      <w:marRight w:val="0"/>
      <w:marTop w:val="0"/>
      <w:marBottom w:val="0"/>
      <w:divBdr>
        <w:top w:val="none" w:sz="0" w:space="0" w:color="auto"/>
        <w:left w:val="none" w:sz="0" w:space="0" w:color="auto"/>
        <w:bottom w:val="none" w:sz="0" w:space="0" w:color="auto"/>
        <w:right w:val="none" w:sz="0" w:space="0" w:color="auto"/>
      </w:divBdr>
    </w:div>
    <w:div w:id="1281109075">
      <w:bodyDiv w:val="1"/>
      <w:marLeft w:val="0"/>
      <w:marRight w:val="0"/>
      <w:marTop w:val="0"/>
      <w:marBottom w:val="0"/>
      <w:divBdr>
        <w:top w:val="none" w:sz="0" w:space="0" w:color="auto"/>
        <w:left w:val="none" w:sz="0" w:space="0" w:color="auto"/>
        <w:bottom w:val="none" w:sz="0" w:space="0" w:color="auto"/>
        <w:right w:val="none" w:sz="0" w:space="0" w:color="auto"/>
      </w:divBdr>
      <w:divsChild>
        <w:div w:id="1930574650">
          <w:marLeft w:val="0"/>
          <w:marRight w:val="0"/>
          <w:marTop w:val="0"/>
          <w:marBottom w:val="0"/>
          <w:divBdr>
            <w:top w:val="none" w:sz="0" w:space="0" w:color="auto"/>
            <w:left w:val="none" w:sz="0" w:space="0" w:color="auto"/>
            <w:bottom w:val="none" w:sz="0" w:space="0" w:color="auto"/>
            <w:right w:val="none" w:sz="0" w:space="0" w:color="auto"/>
          </w:divBdr>
          <w:divsChild>
            <w:div w:id="2074230091">
              <w:marLeft w:val="0"/>
              <w:marRight w:val="0"/>
              <w:marTop w:val="0"/>
              <w:marBottom w:val="0"/>
              <w:divBdr>
                <w:top w:val="none" w:sz="0" w:space="0" w:color="auto"/>
                <w:left w:val="none" w:sz="0" w:space="0" w:color="auto"/>
                <w:bottom w:val="none" w:sz="0" w:space="0" w:color="auto"/>
                <w:right w:val="none" w:sz="0" w:space="0" w:color="auto"/>
              </w:divBdr>
              <w:divsChild>
                <w:div w:id="546570887">
                  <w:marLeft w:val="0"/>
                  <w:marRight w:val="0"/>
                  <w:marTop w:val="0"/>
                  <w:marBottom w:val="0"/>
                  <w:divBdr>
                    <w:top w:val="none" w:sz="0" w:space="0" w:color="auto"/>
                    <w:left w:val="none" w:sz="0" w:space="0" w:color="auto"/>
                    <w:bottom w:val="none" w:sz="0" w:space="0" w:color="auto"/>
                    <w:right w:val="none" w:sz="0" w:space="0" w:color="auto"/>
                  </w:divBdr>
                  <w:divsChild>
                    <w:div w:id="2008096804">
                      <w:marLeft w:val="0"/>
                      <w:marRight w:val="0"/>
                      <w:marTop w:val="0"/>
                      <w:marBottom w:val="0"/>
                      <w:divBdr>
                        <w:top w:val="none" w:sz="0" w:space="0" w:color="auto"/>
                        <w:left w:val="none" w:sz="0" w:space="0" w:color="auto"/>
                        <w:bottom w:val="none" w:sz="0" w:space="0" w:color="auto"/>
                        <w:right w:val="none" w:sz="0" w:space="0" w:color="auto"/>
                      </w:divBdr>
                      <w:divsChild>
                        <w:div w:id="1260868780">
                          <w:marLeft w:val="0"/>
                          <w:marRight w:val="0"/>
                          <w:marTop w:val="0"/>
                          <w:marBottom w:val="0"/>
                          <w:divBdr>
                            <w:top w:val="none" w:sz="0" w:space="0" w:color="auto"/>
                            <w:left w:val="none" w:sz="0" w:space="0" w:color="auto"/>
                            <w:bottom w:val="none" w:sz="0" w:space="0" w:color="auto"/>
                            <w:right w:val="none" w:sz="0" w:space="0" w:color="auto"/>
                          </w:divBdr>
                          <w:divsChild>
                            <w:div w:id="13583343">
                              <w:marLeft w:val="0"/>
                              <w:marRight w:val="0"/>
                              <w:marTop w:val="0"/>
                              <w:marBottom w:val="0"/>
                              <w:divBdr>
                                <w:top w:val="none" w:sz="0" w:space="0" w:color="auto"/>
                                <w:left w:val="none" w:sz="0" w:space="0" w:color="auto"/>
                                <w:bottom w:val="none" w:sz="0" w:space="0" w:color="auto"/>
                                <w:right w:val="none" w:sz="0" w:space="0" w:color="auto"/>
                              </w:divBdr>
                              <w:divsChild>
                                <w:div w:id="12669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561192">
      <w:bodyDiv w:val="1"/>
      <w:marLeft w:val="0"/>
      <w:marRight w:val="0"/>
      <w:marTop w:val="0"/>
      <w:marBottom w:val="0"/>
      <w:divBdr>
        <w:top w:val="none" w:sz="0" w:space="0" w:color="auto"/>
        <w:left w:val="none" w:sz="0" w:space="0" w:color="auto"/>
        <w:bottom w:val="none" w:sz="0" w:space="0" w:color="auto"/>
        <w:right w:val="none" w:sz="0" w:space="0" w:color="auto"/>
      </w:divBdr>
    </w:div>
    <w:div w:id="1399478897">
      <w:bodyDiv w:val="1"/>
      <w:marLeft w:val="0"/>
      <w:marRight w:val="0"/>
      <w:marTop w:val="0"/>
      <w:marBottom w:val="0"/>
      <w:divBdr>
        <w:top w:val="none" w:sz="0" w:space="0" w:color="auto"/>
        <w:left w:val="none" w:sz="0" w:space="0" w:color="auto"/>
        <w:bottom w:val="none" w:sz="0" w:space="0" w:color="auto"/>
        <w:right w:val="none" w:sz="0" w:space="0" w:color="auto"/>
      </w:divBdr>
      <w:divsChild>
        <w:div w:id="840511547">
          <w:marLeft w:val="0"/>
          <w:marRight w:val="0"/>
          <w:marTop w:val="30"/>
          <w:marBottom w:val="0"/>
          <w:divBdr>
            <w:top w:val="single" w:sz="2" w:space="0" w:color="E4E4E7"/>
            <w:left w:val="single" w:sz="2" w:space="0" w:color="E4E4E7"/>
            <w:bottom w:val="single" w:sz="2" w:space="0" w:color="E4E4E7"/>
            <w:right w:val="single" w:sz="2" w:space="0" w:color="E4E4E7"/>
          </w:divBdr>
          <w:divsChild>
            <w:div w:id="90256687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469881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403677729">
      <w:bodyDiv w:val="1"/>
      <w:marLeft w:val="0"/>
      <w:marRight w:val="0"/>
      <w:marTop w:val="0"/>
      <w:marBottom w:val="0"/>
      <w:divBdr>
        <w:top w:val="none" w:sz="0" w:space="0" w:color="auto"/>
        <w:left w:val="none" w:sz="0" w:space="0" w:color="auto"/>
        <w:bottom w:val="none" w:sz="0" w:space="0" w:color="auto"/>
        <w:right w:val="none" w:sz="0" w:space="0" w:color="auto"/>
      </w:divBdr>
    </w:div>
    <w:div w:id="1481267408">
      <w:bodyDiv w:val="1"/>
      <w:marLeft w:val="0"/>
      <w:marRight w:val="0"/>
      <w:marTop w:val="0"/>
      <w:marBottom w:val="0"/>
      <w:divBdr>
        <w:top w:val="none" w:sz="0" w:space="0" w:color="auto"/>
        <w:left w:val="none" w:sz="0" w:space="0" w:color="auto"/>
        <w:bottom w:val="none" w:sz="0" w:space="0" w:color="auto"/>
        <w:right w:val="none" w:sz="0" w:space="0" w:color="auto"/>
      </w:divBdr>
    </w:div>
    <w:div w:id="1838686289">
      <w:bodyDiv w:val="1"/>
      <w:marLeft w:val="0"/>
      <w:marRight w:val="0"/>
      <w:marTop w:val="0"/>
      <w:marBottom w:val="0"/>
      <w:divBdr>
        <w:top w:val="none" w:sz="0" w:space="0" w:color="auto"/>
        <w:left w:val="none" w:sz="0" w:space="0" w:color="auto"/>
        <w:bottom w:val="none" w:sz="0" w:space="0" w:color="auto"/>
        <w:right w:val="none" w:sz="0" w:space="0" w:color="auto"/>
      </w:divBdr>
      <w:divsChild>
        <w:div w:id="505874042">
          <w:marLeft w:val="0"/>
          <w:marRight w:val="0"/>
          <w:marTop w:val="0"/>
          <w:marBottom w:val="0"/>
          <w:divBdr>
            <w:top w:val="none" w:sz="0" w:space="0" w:color="auto"/>
            <w:left w:val="none" w:sz="0" w:space="0" w:color="auto"/>
            <w:bottom w:val="none" w:sz="0" w:space="0" w:color="auto"/>
            <w:right w:val="none" w:sz="0" w:space="0" w:color="auto"/>
          </w:divBdr>
        </w:div>
      </w:divsChild>
    </w:div>
    <w:div w:id="202463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144-%098609(96)01018-7" TargetMode="External"/><Relationship Id="rId18" Type="http://schemas.openxmlformats.org/officeDocument/2006/relationships/hyperlink" Target="https://doi.org/10.20546/ijcmas.2017.610.203" TargetMode="External"/><Relationship Id="rId26" Type="http://schemas.openxmlformats.org/officeDocument/2006/relationships/hyperlink" Target="https://doi.org/10.3390/su14063257" TargetMode="External"/><Relationship Id="rId39" Type="http://schemas.openxmlformats.org/officeDocument/2006/relationships/hyperlink" Target="https://doi.org/10.1007/s11356-025-37050-7" TargetMode="External"/><Relationship Id="rId21" Type="http://schemas.openxmlformats.org/officeDocument/2006/relationships/hyperlink" Target="https://doi.org/10.22271/chemi.2020.v8.i5b.10456" TargetMode="External"/><Relationship Id="rId34" Type="http://schemas.openxmlformats.org/officeDocument/2006/relationships/hyperlink" Target="https://doi.org/10.1007/s11356-023-27937-8" TargetMode="External"/><Relationship Id="rId42" Type="http://schemas.openxmlformats.org/officeDocument/2006/relationships/hyperlink" Target="https://doi.org/10.1079/9780851994437.0001" TargetMode="External"/><Relationship Id="rId47" Type="http://schemas.openxmlformats.org/officeDocument/2006/relationships/hyperlink" Target="https://doi.org/10.31258/jnat.21.1.1-6" TargetMode="External"/><Relationship Id="rId50" Type="http://schemas.openxmlformats.org/officeDocument/2006/relationships/hyperlink" Target="https://doi.org/10.3329/ajmbr.v9i3.66474" TargetMode="External"/><Relationship Id="rId55" Type="http://schemas.openxmlformats.org/officeDocument/2006/relationships/chart" Target="charts/chart1.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bef.org/industry/fisheries-sector-india" TargetMode="External"/><Relationship Id="rId29" Type="http://schemas.openxmlformats.org/officeDocument/2006/relationships/hyperlink" Target="https://doi.org/10.3390/en16145490" TargetMode="External"/><Relationship Id="rId11" Type="http://schemas.openxmlformats.org/officeDocument/2006/relationships/hyperlink" Target="https://doi.org/10.1016/j.micpath.2024.107029" TargetMode="External"/><Relationship Id="rId24" Type="http://schemas.openxmlformats.org/officeDocument/2006/relationships/hyperlink" Target="https://doi.org/10.1016/j.cub.2015.08.013" TargetMode="External"/><Relationship Id="rId32" Type="http://schemas.openxmlformats.org/officeDocument/2006/relationships/hyperlink" Target="https://doi.org/10.21077/ijf.2021.68.1.93390-09" TargetMode="External"/><Relationship Id="rId37" Type="http://schemas.openxmlformats.org/officeDocument/2006/relationships/hyperlink" Target="https://doi.org/10.37077/25200860.2022.35.2.27" TargetMode="External"/><Relationship Id="rId40" Type="http://schemas.openxmlformats.org/officeDocument/2006/relationships/hyperlink" Target="https://doi.org/10.1080/23308249.2019.1649634" TargetMode="External"/><Relationship Id="rId45" Type="http://schemas.openxmlformats.org/officeDocument/2006/relationships/hyperlink" Target="https://doi.org/10.1111/jwas.12963" TargetMode="External"/><Relationship Id="rId53" Type="http://schemas.openxmlformats.org/officeDocument/2006/relationships/image" Target="media/image3.tif"/><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https://doi.org/10.1038/s41598-%20024-51740-1" TargetMode="External"/><Relationship Id="rId14" Type="http://schemas.openxmlformats.org/officeDocument/2006/relationships/hyperlink" Target="https://doi.org/10.1079/ac.70673.20203483391" TargetMode="External"/><Relationship Id="rId22" Type="http://schemas.openxmlformats.org/officeDocument/2006/relationships/hyperlink" Target="https://doi.org/10.1002/aff2.193" TargetMode="External"/><Relationship Id="rId27" Type="http://schemas.openxmlformats.org/officeDocument/2006/relationships/hyperlink" Target="https://doi.org/10.22214/ijraset.2025.75018" TargetMode="External"/><Relationship Id="rId30" Type="http://schemas.openxmlformats.org/officeDocument/2006/relationships/hyperlink" Target="https://doi.org/10.1111/fme.12283" TargetMode="External"/><Relationship Id="rId35" Type="http://schemas.openxmlformats.org/officeDocument/2006/relationships/hyperlink" Target="https://doi.org/10.1139/cjas-2025-0106" TargetMode="External"/><Relationship Id="rId43" Type="http://schemas.openxmlformats.org/officeDocument/2006/relationships/hyperlink" Target="https://doi.org/10.1111/jwas.12946" TargetMode="External"/><Relationship Id="rId48" Type="http://schemas.openxmlformats.org/officeDocument/2006/relationships/hyperlink" Target="https://doi.org/10.3390/antiox14070872" TargetMode="External"/><Relationship Id="rId56" Type="http://schemas.openxmlformats.org/officeDocument/2006/relationships/chart" Target="charts/chart2.xml"/><Relationship Id="rId64" Type="http://schemas.openxmlformats.org/officeDocument/2006/relationships/theme" Target="theme/theme1.xml"/><Relationship Id="rId8" Type="http://schemas.openxmlformats.org/officeDocument/2006/relationships/hyperlink" Target="https://doi.org/10.1016/j.jenvman.2021.112271" TargetMode="External"/><Relationship Id="rId51" Type="http://schemas.openxmlformats.org/officeDocument/2006/relationships/image" Target="media/image1.tif"/><Relationship Id="rId3" Type="http://schemas.openxmlformats.org/officeDocument/2006/relationships/styles" Target="styles.xml"/><Relationship Id="rId12" Type="http://schemas.openxmlformats.org/officeDocument/2006/relationships/hyperlink" Target="https://dof.gov.in" TargetMode="External"/><Relationship Id="rId17" Type="http://schemas.openxmlformats.org/officeDocument/2006/relationships/hyperlink" Target="https://doi.org/10.1007/s10499-017-0216-0" TargetMode="External"/><Relationship Id="rId25" Type="http://schemas.openxmlformats.org/officeDocument/2006/relationships/hyperlink" Target="https://doi.org/10.1111/jwas.12977" TargetMode="External"/><Relationship Id="rId33" Type="http://schemas.openxmlformats.org/officeDocument/2006/relationships/hyperlink" Target="https://doi.org/10.5958/2349-4433.2023.00007.7" TargetMode="External"/><Relationship Id="rId38" Type="http://schemas.openxmlformats.org/officeDocument/2006/relationships/hyperlink" Target="https://doi.org/10.61275/isvsej-2025-12-05-04" TargetMode="External"/><Relationship Id="rId46" Type="http://schemas.openxmlformats.org/officeDocument/2006/relationships/hyperlink" Target="https://doi.org/10.1016/j.compag.2019.105119" TargetMode="External"/><Relationship Id="rId59" Type="http://schemas.openxmlformats.org/officeDocument/2006/relationships/footer" Target="footer1.xml"/><Relationship Id="rId20" Type="http://schemas.openxmlformats.org/officeDocument/2006/relationships/hyperlink" Target="https://doi.org/10.9790/3021-%0904661118" TargetMode="External"/><Relationship Id="rId41" Type="http://schemas.openxmlformats.org/officeDocument/2006/relationships/hyperlink" Target="https://thefishsite.com/articles/pangasius-farming-water-quality-and-%09biosecurity" TargetMode="External"/><Relationship Id="rId54" Type="http://schemas.openxmlformats.org/officeDocument/2006/relationships/image" Target="media/image4.tif"/><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29/dujbs.v24i1.46312" TargetMode="External"/><Relationship Id="rId23" Type="http://schemas.openxmlformats.org/officeDocument/2006/relationships/hyperlink" Target="https://doi.org/10.1002/ird.149" TargetMode="External"/><Relationship Id="rId28" Type="http://schemas.openxmlformats.org/officeDocument/2006/relationships/hyperlink" Target="https://doi.org/10.1111/raq.12757" TargetMode="External"/><Relationship Id="rId36" Type="http://schemas.openxmlformats.org/officeDocument/2006/relationships/hyperlink" Target="https://doi.org/10.1038/s41598-024-%2080075-0" TargetMode="External"/><Relationship Id="rId49" Type="http://schemas.openxmlformats.org/officeDocument/2006/relationships/hyperlink" Target="https://doi.org/10.1007/s10499-023-01092-w" TargetMode="External"/><Relationship Id="rId57" Type="http://schemas.openxmlformats.org/officeDocument/2006/relationships/header" Target="header1.xml"/><Relationship Id="rId10" Type="http://schemas.openxmlformats.org/officeDocument/2006/relationships/hyperlink" Target="https://doi.org/10.22271/fish.2022.v10.i6a.2743" TargetMode="External"/><Relationship Id="rId31" Type="http://schemas.openxmlformats.org/officeDocument/2006/relationships/hyperlink" Target="https://doi.org/10.1079/9781780642079.0001" TargetMode="External"/><Relationship Id="rId44" Type="http://schemas.openxmlformats.org/officeDocument/2006/relationships/hyperlink" Target="https://doi.org/10.1016/j.agwat.2004.09.031" TargetMode="External"/><Relationship Id="rId52" Type="http://schemas.openxmlformats.org/officeDocument/2006/relationships/image" Target="media/image2.TIF"/><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111/jwas.1271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M.F.Sc%20files\Thesis%20writing\Final%20chapter\VISHESH%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esktop\M.F.Sc%20files\Thesis%20writing\Final%20chapter\VISHESH%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IN" sz="1400"/>
              <a:t>Survival</a:t>
            </a:r>
            <a:r>
              <a:rPr lang="en-IN" sz="1400" baseline="0"/>
              <a:t> </a:t>
            </a:r>
            <a:r>
              <a:rPr lang="en-IN" sz="1400"/>
              <a:t>rate (%)</a:t>
            </a:r>
          </a:p>
        </c:rich>
      </c:tx>
      <c:overlay val="0"/>
    </c:title>
    <c:autoTitleDeleted val="0"/>
    <c:plotArea>
      <c:layout>
        <c:manualLayout>
          <c:layoutTarget val="inner"/>
          <c:xMode val="edge"/>
          <c:yMode val="edge"/>
          <c:x val="0.1708242091040395"/>
          <c:y val="0.23324589276673011"/>
          <c:w val="0.78849531752317925"/>
          <c:h val="0.51034228398833736"/>
        </c:manualLayout>
      </c:layout>
      <c:barChart>
        <c:barDir val="col"/>
        <c:grouping val="clustered"/>
        <c:varyColors val="0"/>
        <c:ser>
          <c:idx val="0"/>
          <c:order val="0"/>
          <c:tx>
            <c:strRef>
              <c:f>GROWTH!$H$4</c:f>
              <c:strCache>
                <c:ptCount val="1"/>
                <c:pt idx="0">
                  <c:v>SR</c:v>
                </c:pt>
              </c:strCache>
            </c:strRef>
          </c:tx>
          <c:spPr>
            <a:solidFill>
              <a:schemeClr val="accent6">
                <a:lumMod val="60000"/>
                <a:lumOff val="40000"/>
              </a:schemeClr>
            </a:solidFill>
            <a:ln w="12700">
              <a:solidFill>
                <a:schemeClr val="tx1"/>
              </a:solidFill>
            </a:ln>
            <a:scene3d>
              <a:camera prst="orthographicFront"/>
              <a:lightRig rig="contrasting" dir="t">
                <a:rot lat="0" lon="0" rev="1500000"/>
              </a:lightRig>
            </a:scene3d>
            <a:sp3d prstMaterial="metal">
              <a:bevelT w="88900" h="88900"/>
            </a:sp3d>
          </c:spPr>
          <c:invertIfNegative val="0"/>
          <c:dLbls>
            <c:dLbl>
              <c:idx val="0"/>
              <c:layout>
                <c:manualLayout>
                  <c:x val="0"/>
                  <c:y val="-5.3667262969588549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543-4BD2-ABBF-1516D0ABAB85}"/>
                </c:ext>
              </c:extLst>
            </c:dLbl>
            <c:dLbl>
              <c:idx val="1"/>
              <c:layout>
                <c:manualLayout>
                  <c:x val="-2.8050490883590462E-3"/>
                  <c:y val="-5.3667262969588569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543-4BD2-ABBF-1516D0ABAB85}"/>
                </c:ext>
              </c:extLst>
            </c:dLbl>
            <c:dLbl>
              <c:idx val="2"/>
              <c:layout>
                <c:manualLayout>
                  <c:x val="0"/>
                  <c:y val="-5.8139534883720929E-2"/>
                </c:manualLayout>
              </c:layout>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543-4BD2-ABBF-1516D0ABAB85}"/>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errBars>
          <c:cat>
            <c:strRef>
              <c:f>GROWTH!$G$5:$G$7</c:f>
              <c:strCache>
                <c:ptCount val="3"/>
                <c:pt idx="0">
                  <c:v>C1</c:v>
                </c:pt>
                <c:pt idx="1">
                  <c:v>C2</c:v>
                </c:pt>
                <c:pt idx="2">
                  <c:v>C3</c:v>
                </c:pt>
              </c:strCache>
            </c:strRef>
          </c:cat>
          <c:val>
            <c:numRef>
              <c:f>GROWTH!$H$5:$H$7</c:f>
              <c:numCache>
                <c:formatCode>General</c:formatCode>
                <c:ptCount val="3"/>
                <c:pt idx="0">
                  <c:v>91.851851851851848</c:v>
                </c:pt>
                <c:pt idx="1">
                  <c:v>95.18518518518519</c:v>
                </c:pt>
                <c:pt idx="2">
                  <c:v>88.888888888888886</c:v>
                </c:pt>
              </c:numCache>
            </c:numRef>
          </c:val>
          <c:extLst>
            <c:ext xmlns:c16="http://schemas.microsoft.com/office/drawing/2014/chart" uri="{C3380CC4-5D6E-409C-BE32-E72D297353CC}">
              <c16:uniqueId val="{00000003-C543-4BD2-ABBF-1516D0ABAB85}"/>
            </c:ext>
          </c:extLst>
        </c:ser>
        <c:dLbls>
          <c:dLblPos val="outEnd"/>
          <c:showLegendKey val="0"/>
          <c:showVal val="1"/>
          <c:showCatName val="0"/>
          <c:showSerName val="0"/>
          <c:showPercent val="0"/>
          <c:showBubbleSize val="0"/>
        </c:dLbls>
        <c:gapWidth val="150"/>
        <c:axId val="224672384"/>
        <c:axId val="224674560"/>
      </c:barChart>
      <c:catAx>
        <c:axId val="224672384"/>
        <c:scaling>
          <c:orientation val="minMax"/>
        </c:scaling>
        <c:delete val="0"/>
        <c:axPos val="b"/>
        <c:title>
          <c:tx>
            <c:rich>
              <a:bodyPr/>
              <a:lstStyle/>
              <a:p>
                <a:pPr>
                  <a:defRPr/>
                </a:pPr>
                <a:r>
                  <a:rPr lang="en-US"/>
                  <a:t>Cage</a:t>
                </a:r>
                <a:r>
                  <a:rPr lang="en-US" baseline="0"/>
                  <a:t> Type</a:t>
                </a:r>
                <a:endParaRPr lang="en-US"/>
              </a:p>
            </c:rich>
          </c:tx>
          <c:layout>
            <c:manualLayout>
              <c:xMode val="edge"/>
              <c:yMode val="edge"/>
              <c:x val="0.45717601220705395"/>
              <c:y val="0.85473924961153691"/>
            </c:manualLayout>
          </c:layout>
          <c:overlay val="0"/>
        </c:title>
        <c:numFmt formatCode="General" sourceLinked="0"/>
        <c:majorTickMark val="out"/>
        <c:minorTickMark val="none"/>
        <c:tickLblPos val="nextTo"/>
        <c:crossAx val="224674560"/>
        <c:crosses val="autoZero"/>
        <c:auto val="1"/>
        <c:lblAlgn val="ctr"/>
        <c:lblOffset val="100"/>
        <c:noMultiLvlLbl val="0"/>
      </c:catAx>
      <c:valAx>
        <c:axId val="224674560"/>
        <c:scaling>
          <c:orientation val="minMax"/>
        </c:scaling>
        <c:delete val="0"/>
        <c:axPos val="l"/>
        <c:title>
          <c:tx>
            <c:rich>
              <a:bodyPr rot="-5400000" vert="horz"/>
              <a:lstStyle/>
              <a:p>
                <a:pPr>
                  <a:defRPr/>
                </a:pPr>
                <a:r>
                  <a:rPr lang="en-US"/>
                  <a:t>Survival</a:t>
                </a:r>
                <a:r>
                  <a:rPr lang="en-US" baseline="0"/>
                  <a:t> rate </a:t>
                </a:r>
                <a:r>
                  <a:rPr lang="en-US"/>
                  <a:t>%</a:t>
                </a:r>
              </a:p>
            </c:rich>
          </c:tx>
          <c:layout>
            <c:manualLayout>
              <c:xMode val="edge"/>
              <c:yMode val="edge"/>
              <c:x val="6.7185388808647427E-3"/>
              <c:y val="0.31051774708870933"/>
            </c:manualLayout>
          </c:layout>
          <c:overlay val="0"/>
        </c:title>
        <c:numFmt formatCode="General" sourceLinked="1"/>
        <c:majorTickMark val="out"/>
        <c:minorTickMark val="none"/>
        <c:tickLblPos val="nextTo"/>
        <c:crossAx val="224672384"/>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1">
                <a:solidFill>
                  <a:schemeClr val="tx1"/>
                </a:solidFill>
              </a:rPr>
              <a:t>Biomass yielded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GROWTH!$AB$4</c:f>
              <c:strCache>
                <c:ptCount val="1"/>
                <c:pt idx="0">
                  <c:v>BIOMASS</c:v>
                </c:pt>
              </c:strCache>
            </c:strRef>
          </c:tx>
          <c:spPr>
            <a:solidFill>
              <a:schemeClr val="accent2"/>
            </a:solidFill>
            <a:ln>
              <a:noFill/>
            </a:ln>
            <a:effectLst/>
            <a:scene3d>
              <a:camera prst="orthographicFront"/>
              <a:lightRig rig="contrasting" dir="t">
                <a:rot lat="0" lon="0" rev="1500000"/>
              </a:lightRig>
            </a:scene3d>
            <a:sp3d prstMaterial="metal">
              <a:bevelT w="88900" h="88900"/>
            </a:sp3d>
          </c:spPr>
          <c:invertIfNegative val="0"/>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EFA-4B04-9E5D-C1CBE6DD5F12}"/>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EFA-4B04-9E5D-C1CBE6DD5F12}"/>
                </c:ext>
              </c:extLst>
            </c:dLbl>
            <c:dLbl>
              <c:idx val="2"/>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EFA-4B04-9E5D-C1CBE6DD5F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spPr>
              <a:noFill/>
              <a:ln w="9525" cap="flat" cmpd="sng" algn="ctr">
                <a:solidFill>
                  <a:schemeClr val="tx1">
                    <a:lumMod val="65000"/>
                    <a:lumOff val="35000"/>
                  </a:schemeClr>
                </a:solidFill>
                <a:round/>
              </a:ln>
              <a:effectLst/>
            </c:spPr>
          </c:errBars>
          <c:cat>
            <c:strRef>
              <c:f>GROWTH!$AA$5:$AA$7</c:f>
              <c:strCache>
                <c:ptCount val="3"/>
                <c:pt idx="0">
                  <c:v>C1</c:v>
                </c:pt>
                <c:pt idx="1">
                  <c:v>C2</c:v>
                </c:pt>
                <c:pt idx="2">
                  <c:v>C3</c:v>
                </c:pt>
              </c:strCache>
            </c:strRef>
          </c:cat>
          <c:val>
            <c:numRef>
              <c:f>GROWTH!$AB$5:$AB$7</c:f>
              <c:numCache>
                <c:formatCode>General</c:formatCode>
                <c:ptCount val="3"/>
                <c:pt idx="0">
                  <c:v>10961.6</c:v>
                </c:pt>
                <c:pt idx="1">
                  <c:v>11642.099999999999</c:v>
                </c:pt>
                <c:pt idx="2">
                  <c:v>10296</c:v>
                </c:pt>
              </c:numCache>
            </c:numRef>
          </c:val>
          <c:extLst>
            <c:ext xmlns:c16="http://schemas.microsoft.com/office/drawing/2014/chart" uri="{C3380CC4-5D6E-409C-BE32-E72D297353CC}">
              <c16:uniqueId val="{00000003-8EFA-4B04-9E5D-C1CBE6DD5F12}"/>
            </c:ext>
          </c:extLst>
        </c:ser>
        <c:dLbls>
          <c:dLblPos val="outEnd"/>
          <c:showLegendKey val="0"/>
          <c:showVal val="1"/>
          <c:showCatName val="0"/>
          <c:showSerName val="0"/>
          <c:showPercent val="0"/>
          <c:showBubbleSize val="0"/>
        </c:dLbls>
        <c:gapWidth val="219"/>
        <c:overlap val="-27"/>
        <c:axId val="224940800"/>
        <c:axId val="224942720"/>
      </c:barChart>
      <c:catAx>
        <c:axId val="224940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Cage Type</a:t>
                </a:r>
              </a:p>
            </c:rich>
          </c:tx>
          <c:layout>
            <c:manualLayout>
              <c:xMode val="edge"/>
              <c:yMode val="edge"/>
              <c:x val="0.45285609460107812"/>
              <c:y val="0.870014685664291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942720"/>
        <c:crosses val="autoZero"/>
        <c:auto val="1"/>
        <c:lblAlgn val="ctr"/>
        <c:lblOffset val="100"/>
        <c:noMultiLvlLbl val="0"/>
      </c:catAx>
      <c:valAx>
        <c:axId val="2249427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Biomass in g</a:t>
                </a:r>
              </a:p>
            </c:rich>
          </c:tx>
          <c:layout>
            <c:manualLayout>
              <c:xMode val="edge"/>
              <c:yMode val="edge"/>
              <c:x val="2.0833333333333332E-2"/>
              <c:y val="0.309166041744781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22494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AA9FC-43EC-40EF-B616-1C71FA20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8023</Words>
  <Characters>45733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1166</cp:lastModifiedBy>
  <cp:revision>7</cp:revision>
  <dcterms:created xsi:type="dcterms:W3CDTF">2026-07-30T07:55:00Z</dcterms:created>
  <dcterms:modified xsi:type="dcterms:W3CDTF">2026-07-31T12:22:00Z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8f683443-9b86-4d96-8408-ad20151dcde4</vt:lpwstr>
  </property>
</Properties>
</file>