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23C6B" w14:textId="77777777" w:rsidR="00820B56" w:rsidRDefault="00000000" w:rsidP="00B403FD">
      <w:pPr>
        <w:spacing w:before="100" w:beforeAutospacing="1" w:after="100" w:afterAutospacing="1"/>
        <w:jc w:val="center"/>
      </w:pPr>
      <w:r>
        <w:rPr>
          <w:b/>
          <w:bCs/>
          <w:sz w:val="30"/>
          <w:szCs w:val="30"/>
        </w:rPr>
        <w:t>Evolutionary Toxicology of Insecticide Resistance in Indian Cereal Ecosystems: A Critical Appraisal of Selection Regimes, Mechanistic Evidence and Management Inference</w:t>
      </w:r>
    </w:p>
    <w:p w14:paraId="1CF4C531" w14:textId="77777777" w:rsidR="00820B56" w:rsidRDefault="00000000" w:rsidP="00B403FD">
      <w:pPr>
        <w:spacing w:before="100" w:beforeAutospacing="1" w:after="100" w:afterAutospacing="1"/>
      </w:pPr>
      <w:r>
        <w:rPr>
          <w:b/>
          <w:bCs/>
          <w:sz w:val="24"/>
          <w:szCs w:val="24"/>
        </w:rPr>
        <w:t>Abstract</w:t>
      </w:r>
    </w:p>
    <w:p w14:paraId="753DA6FD" w14:textId="77777777" w:rsidR="00820B56" w:rsidRDefault="00000000" w:rsidP="00B403FD">
      <w:pPr>
        <w:spacing w:before="100" w:beforeAutospacing="1" w:after="100" w:afterAutospacing="1"/>
        <w:jc w:val="both"/>
      </w:pPr>
      <w:r>
        <w:t xml:space="preserve">Insecticide resistance in the pest complexes of rice, wheat, maize and stored cereals represents one of the most consequential evolutionary responses to human chemical intervention in South Asian agriculture, yet the evidence supporting resistance management decisions in India remains uneven in both quality and coverage. This review evaluates critically the state of knowledge on the evolutionary toxicology of insecticide resistance in Indian cereal ecosystems, treating resistance as the outcome of quantifiable evolutionary parameters rather than as a descriptive property of pest populations. Literature was identified through open scholarly indexes and metadata registries, supplemented by citation searching, and appraised for design adequacy, mechanistic depth, geographical relevance and evidential alignment with the claims made. Four analytical themes are developed. First, the selection landscape of Indian cereal systems is characterised by near-continuous host availability, short generation times, extensive dispersal and a narrowing set of effective modes of action, a combination that theory predicts should accelerate adaptation. Second, mechanistic understanding of field-evolved resistance in rice planthoppers, stem borers and stored-grain beetles </w:t>
      </w:r>
      <w:proofErr w:type="gramStart"/>
      <w:r>
        <w:t>derives</w:t>
      </w:r>
      <w:proofErr w:type="gramEnd"/>
      <w:r>
        <w:t xml:space="preserve"> predominantly from East Asian, Brazilian and Australian laboratories, so that mechanisms are frequently assumed rather than demonstrated for Indian populations. Third, phosphine resistance in stored cereals constitutes the clearest exception, since an India-specific dihydrolipoamide dehydrogenase variant has been characterised genetically and surveyed at high frequency in southern India. Fourth, the Indian field literature is dominated by short-term efficacy trials and single-season bioassays that cannot estimate allele frequencies, dominance, fitness costs or rates of change, which are precisely the parameters that resistance management strategies require. The principal unresolved questions concern the frequency and geographical structure of resistance alleles in Indian populations, the magnitude and modifiability of fitness costs, and whether recommended rotations achieve genuine heterogeneity of selection at the scale at which pests actually disperse. Resistance management in Indian cereals will remain provisional until longitudinal, genotype-based surveillance replaces episodic phenotypic screening.</w:t>
      </w:r>
    </w:p>
    <w:p w14:paraId="593C2EF8" w14:textId="77777777" w:rsidR="00820B56" w:rsidRDefault="00000000" w:rsidP="00B403FD">
      <w:pPr>
        <w:spacing w:before="100" w:beforeAutospacing="1" w:after="100" w:afterAutospacing="1"/>
      </w:pPr>
      <w:r>
        <w:rPr>
          <w:b/>
          <w:bCs/>
          <w:sz w:val="24"/>
          <w:szCs w:val="24"/>
        </w:rPr>
        <w:t>Keywords</w:t>
      </w:r>
    </w:p>
    <w:p w14:paraId="74E2D20F" w14:textId="77777777" w:rsidR="00820B56" w:rsidRDefault="00000000" w:rsidP="00B403FD">
      <w:pPr>
        <w:spacing w:before="100" w:beforeAutospacing="1" w:after="100" w:afterAutospacing="1"/>
        <w:jc w:val="both"/>
      </w:pPr>
      <w:r>
        <w:t xml:space="preserve">insecticide resistance management; evolutionary toxicology; </w:t>
      </w:r>
      <w:proofErr w:type="spellStart"/>
      <w:r>
        <w:rPr>
          <w:i/>
          <w:iCs/>
        </w:rPr>
        <w:t>Nilaparvata</w:t>
      </w:r>
      <w:proofErr w:type="spellEnd"/>
      <w:r>
        <w:rPr>
          <w:i/>
          <w:iCs/>
        </w:rPr>
        <w:t xml:space="preserve"> </w:t>
      </w:r>
      <w:proofErr w:type="spellStart"/>
      <w:r>
        <w:rPr>
          <w:i/>
          <w:iCs/>
        </w:rPr>
        <w:t>lugens</w:t>
      </w:r>
      <w:proofErr w:type="spellEnd"/>
      <w:r>
        <w:t>; phosphine resistance; cytochrome P450; ryanodine receptor; cereal cropping systems; India</w:t>
      </w:r>
    </w:p>
    <w:p w14:paraId="3CA16DDB" w14:textId="77777777" w:rsidR="00820B56" w:rsidRDefault="00000000" w:rsidP="00B403FD">
      <w:pPr>
        <w:pStyle w:val="Heading1"/>
        <w:spacing w:before="100" w:beforeAutospacing="1" w:after="100" w:afterAutospacing="1"/>
      </w:pPr>
      <w:r>
        <w:rPr>
          <w:b/>
          <w:bCs/>
          <w:color w:val="000000"/>
          <w:sz w:val="26"/>
          <w:szCs w:val="26"/>
        </w:rPr>
        <w:t>1. Introduction</w:t>
      </w:r>
    </w:p>
    <w:p w14:paraId="18002D53" w14:textId="77777777" w:rsidR="00820B56" w:rsidRDefault="00000000" w:rsidP="00B403FD">
      <w:pPr>
        <w:spacing w:before="100" w:beforeAutospacing="1" w:after="100" w:afterAutospacing="1"/>
        <w:jc w:val="both"/>
      </w:pPr>
      <w:r>
        <w:t xml:space="preserve">Cereal production in India rests on a small number of crops that are cultivated intensively, over large contiguous areas, and increasingly under irrigation that permits two or three crops each year. Rice, wheat and maize together account for the greater part of the national cropped area, and the arthropod complexes associated with them have been managed for six decades primarily through the application of synthetic insecticides. That reliance has been productive in the short term and costly in the longer term, because the repeated imposition of a strong, spatially extensive and temporally regular mortality factor is precisely the condition under which heritable resistance is expected to evolve. Globally, agricultural pesticide use in active ingredient terms has approximately doubled since 1990 and continued to rise through the most recent decade for which comprehensive statistics are available (Food and Agriculture Organization of the United Nations, 2025), and the diversity of chemistry available to counter adaptation has not expanded at a comparable rate (Sparks et al., 2020; Sparks &amp; </w:t>
      </w:r>
      <w:proofErr w:type="spellStart"/>
      <w:r>
        <w:t>Nauen</w:t>
      </w:r>
      <w:proofErr w:type="spellEnd"/>
      <w:r>
        <w:t>, 2015).</w:t>
      </w:r>
    </w:p>
    <w:p w14:paraId="59D7768F" w14:textId="77777777" w:rsidR="00820B56" w:rsidRDefault="00000000" w:rsidP="00B403FD">
      <w:pPr>
        <w:spacing w:before="100" w:beforeAutospacing="1" w:after="100" w:afterAutospacing="1"/>
        <w:jc w:val="both"/>
      </w:pPr>
      <w:r>
        <w:t xml:space="preserve">Evolutionary toxicology, as the term is used here, denotes the study of how toxicant exposure alters the genetic composition of exposed populations, and how the evolutionary and ecological properties of </w:t>
      </w:r>
      <w:r>
        <w:lastRenderedPageBreak/>
        <w:t xml:space="preserve">those populations in turn determine toxicological outcomes in the field. The framework differs from conventional resistance monitoring in its emphasis on parameters rather than phenotypes. Whether a </w:t>
      </w:r>
      <w:proofErr w:type="gramStart"/>
      <w:r>
        <w:t>resistance allele spreads</w:t>
      </w:r>
      <w:proofErr w:type="gramEnd"/>
      <w:r>
        <w:t xml:space="preserve"> depends on its initial frequency, its dominance under the doses that insects actually encounter, the fitness it confers in the absence of exposure, the spatial structure of selection and the rate of gene flow between treated and untreated patches. Theoretical treatments of this parameter space are mature. Reduced dominance and reduced heritability of the resistance phenotype delay adaptation under a wide range of assumptions (</w:t>
      </w:r>
      <w:proofErr w:type="spellStart"/>
      <w:r>
        <w:t>Tabashnik</w:t>
      </w:r>
      <w:proofErr w:type="spellEnd"/>
      <w:r>
        <w:t xml:space="preserve"> et al., 2004), heterogeneity of selection generated by simultaneous exposure to unrelated modes of action generally outperforms sequential alternation (REX Consortium, 2013), and the ranking of management strategies depends on the genetic architecture of resistance and on the life history and dispersal behaviour of the pest (Hobbs et al., 2023; South &amp; Hastings, 2018; Sudo et al., 2018).</w:t>
      </w:r>
    </w:p>
    <w:p w14:paraId="39EC28A3" w14:textId="77777777" w:rsidR="00820B56" w:rsidRDefault="00000000" w:rsidP="00B403FD">
      <w:pPr>
        <w:spacing w:before="100" w:beforeAutospacing="1" w:after="100" w:afterAutospacing="1"/>
        <w:jc w:val="both"/>
      </w:pPr>
      <w:r>
        <w:t>The mechanistic basis of resistance is equally well characterised in general terms. Target-site substitutions in the nicotinic acetylcholine receptor, the ryanodine receptor, the gamma-aminobutyric acid-gated chloride channel and acetylcholinesterase reduce the affinity of the corresponding insecticide classes for their binding sites, while overexpression, duplication and functional divergence of cytochrome P450 monooxygenases, esterases, glutathione S-transferases and adenosine triphosphate-binding cassette transporters increase the rate at which toxicants are metabolised or removed (</w:t>
      </w:r>
      <w:proofErr w:type="spellStart"/>
      <w:r>
        <w:t>Dermauw</w:t>
      </w:r>
      <w:proofErr w:type="spellEnd"/>
      <w:r>
        <w:t xml:space="preserve"> &amp; Van Leeuwen, 2014; </w:t>
      </w:r>
      <w:proofErr w:type="spellStart"/>
      <w:r>
        <w:t>Nauen</w:t>
      </w:r>
      <w:proofErr w:type="spellEnd"/>
      <w:r>
        <w:t xml:space="preserve"> et al., 2022). In several intensively studied pests the two categories interact, and multiple mechanisms accumulate within single populations over time (Bass et al., 2014). For pest species of Asian rice in particular, the evidence base is substantial: overexpression of the cytochrome P450 </w:t>
      </w:r>
      <w:r>
        <w:rPr>
          <w:i/>
          <w:iCs/>
        </w:rPr>
        <w:t>CYP6ER1</w:t>
      </w:r>
      <w:r>
        <w:t xml:space="preserve"> is associated with field-evolved neonicotinoid resistance in the brown planthopper, </w:t>
      </w:r>
      <w:proofErr w:type="spellStart"/>
      <w:r>
        <w:rPr>
          <w:i/>
          <w:iCs/>
        </w:rPr>
        <w:t>Nilaparvata</w:t>
      </w:r>
      <w:proofErr w:type="spellEnd"/>
      <w:r>
        <w:rPr>
          <w:i/>
          <w:iCs/>
        </w:rPr>
        <w:t xml:space="preserve"> </w:t>
      </w:r>
      <w:proofErr w:type="spellStart"/>
      <w:r>
        <w:rPr>
          <w:i/>
          <w:iCs/>
        </w:rPr>
        <w:t>lugens</w:t>
      </w:r>
      <w:proofErr w:type="spellEnd"/>
      <w:r>
        <w:t xml:space="preserve"> (Bass et al., 2011; Garrood et al., 2016; Wu et al., 2018), duplication and divergence of the same P450 lineage has generated novel catalytic functions and cross-resistance (Duarte et al., 2022), and substitutions in the ryanodine receptor underpin diamide resistance in the striped rice stem borer, </w:t>
      </w:r>
      <w:r>
        <w:rPr>
          <w:i/>
          <w:iCs/>
        </w:rPr>
        <w:t xml:space="preserve">Chilo </w:t>
      </w:r>
      <w:proofErr w:type="spellStart"/>
      <w:r>
        <w:rPr>
          <w:i/>
          <w:iCs/>
        </w:rPr>
        <w:t>suppressalis</w:t>
      </w:r>
      <w:proofErr w:type="spellEnd"/>
      <w:r>
        <w:t xml:space="preserve"> (Huang et al., 2021; Yao et al., 2017).</w:t>
      </w:r>
    </w:p>
    <w:p w14:paraId="33DFC324" w14:textId="77777777" w:rsidR="00820B56" w:rsidRDefault="00000000" w:rsidP="00B403FD">
      <w:pPr>
        <w:spacing w:before="100" w:beforeAutospacing="1" w:after="100" w:afterAutospacing="1"/>
        <w:jc w:val="both"/>
      </w:pPr>
      <w:r>
        <w:t xml:space="preserve">Against this background, the position of India within the international literature is anomalous. Indian cereal systems host several of the pest species for which the most detailed evolutionary and molecular understanding exists, and Indian populations have been included in multi-country surveys of resistance phenotypes and expression profiles (Garrood et al., 2016; Horgan et al., 2015; </w:t>
      </w:r>
      <w:proofErr w:type="spellStart"/>
      <w:r>
        <w:t>Kulye</w:t>
      </w:r>
      <w:proofErr w:type="spellEnd"/>
      <w:r>
        <w:t xml:space="preserve"> et al., 2021). India also possesses the single most distinctive contribution to the genetics of fumigant resistance published to date, in the form of dihydrolipoamide dehydrogenase variants recovered at high frequency from storage facilities in the south of the country (Kaur et al., 2015). Yet the domestic literature that guides advisory recommendations consists overwhelmingly of single-season efficacy trials and discriminating-dose bioassays conducted at one or a few locations, without genotyping, without longitudinal replication and, in most cases, without reference to a defensible susceptible baseline. The result is a conspicuous mismatch: the parameters that resistance management theory identifies as decisive are not the parameters that Indian field studies measure.</w:t>
      </w:r>
    </w:p>
    <w:p w14:paraId="2A4E1252" w14:textId="77777777" w:rsidR="00820B56" w:rsidRDefault="00000000" w:rsidP="00B403FD">
      <w:pPr>
        <w:spacing w:before="100" w:beforeAutospacing="1" w:after="100" w:afterAutospacing="1"/>
        <w:jc w:val="both"/>
      </w:pPr>
      <w:r>
        <w:t xml:space="preserve">Existing reviews do not resolve this mismatch. Syntheses of neonicotinoid resistance (Bass et al., 2015), diamide resistance (Richardson et al., 2020), </w:t>
      </w:r>
      <w:r>
        <w:rPr>
          <w:i/>
          <w:iCs/>
        </w:rPr>
        <w:t>Bacillus thuringiensis</w:t>
      </w:r>
      <w:r>
        <w:t xml:space="preserve"> protein resistance (Jurat-Fuentes et al., 2021), fall armyworm biology and management (Kenis et al., 2023; Tay et al., 2023) and stored-product entomology (</w:t>
      </w:r>
      <w:proofErr w:type="spellStart"/>
      <w:r>
        <w:t>Hagstrum</w:t>
      </w:r>
      <w:proofErr w:type="spellEnd"/>
      <w:r>
        <w:t xml:space="preserve"> &amp; Phillips, 2017) are authoritative but organised by chemistry or by taxon rather than by production system, and they draw their empirical weight from regions where longitudinal monitoring programmes exist. Reviews of fitness costs (Freeman et al., 2021; Gul et al., 2023) and of virulence adaptation to host-plant resistance (Horgan, 2024) similarly treat South Asian material as one contributory data source among many. No published synthesis asks what the accumulated evolutionary evidence permits an Indian cereal advisory system to conclude, or where the inferential chain from published mechanism to local recommendation actually breaks.</w:t>
      </w:r>
    </w:p>
    <w:p w14:paraId="2B682F5F" w14:textId="77777777" w:rsidR="00363A72" w:rsidRDefault="00363A72" w:rsidP="00B403FD">
      <w:pPr>
        <w:pStyle w:val="Heading2"/>
        <w:spacing w:before="100" w:beforeAutospacing="1" w:after="100" w:afterAutospacing="1"/>
        <w:rPr>
          <w:b/>
          <w:bCs/>
          <w:color w:val="000000"/>
          <w:sz w:val="23"/>
          <w:szCs w:val="23"/>
        </w:rPr>
      </w:pPr>
    </w:p>
    <w:p w14:paraId="0936B910" w14:textId="77777777" w:rsidR="00363A72" w:rsidRDefault="00363A72" w:rsidP="00B403FD">
      <w:pPr>
        <w:pStyle w:val="Heading2"/>
        <w:spacing w:before="100" w:beforeAutospacing="1" w:after="100" w:afterAutospacing="1"/>
        <w:rPr>
          <w:b/>
          <w:bCs/>
          <w:color w:val="000000"/>
          <w:sz w:val="23"/>
          <w:szCs w:val="23"/>
        </w:rPr>
      </w:pPr>
    </w:p>
    <w:p w14:paraId="1021B041" w14:textId="56EE260E" w:rsidR="00820B56" w:rsidRDefault="00000000" w:rsidP="00B403FD">
      <w:pPr>
        <w:pStyle w:val="Heading2"/>
        <w:spacing w:before="100" w:beforeAutospacing="1" w:after="100" w:afterAutospacing="1"/>
      </w:pPr>
      <w:r>
        <w:rPr>
          <w:b/>
          <w:bCs/>
          <w:color w:val="000000"/>
          <w:sz w:val="23"/>
          <w:szCs w:val="23"/>
        </w:rPr>
        <w:lastRenderedPageBreak/>
        <w:t>1.1 Scope, Research Gap and Objectives</w:t>
      </w:r>
    </w:p>
    <w:p w14:paraId="777366A1" w14:textId="77777777" w:rsidR="00820B56" w:rsidRDefault="00000000" w:rsidP="00B403FD">
      <w:pPr>
        <w:spacing w:before="100" w:beforeAutospacing="1" w:after="100" w:afterAutospacing="1"/>
        <w:jc w:val="both"/>
      </w:pPr>
      <w:r>
        <w:t xml:space="preserve">This review concerns the evolution of resistance to synthetic insecticides and fumigants in arthropod pests of cereals grown and stored in India, with the principal focus on rice, wheat and maize and on the field and post-harvest phases of those systems. The pest groups considered are the delphacid planthoppers of rice, the lepidopteran stem borers and leaf feeders of rice and maize, the invasive fall armyworm, and the coleopteran pests of stored cereal grain. Herbicide and fungicide resistance, resistance in non-cereal crops except </w:t>
      </w:r>
      <w:proofErr w:type="gramStart"/>
      <w:r>
        <w:t>where</w:t>
      </w:r>
      <w:proofErr w:type="gramEnd"/>
      <w:r>
        <w:t xml:space="preserve"> used as an explicit comparator, acaricide resistance, vector-borne disease systems, and the human and environmental toxicology of pesticide residues fall outside the scope. Transgenic insecticidal traits are discussed only as a comparative case, since no insect-resistant transgenic cereal is cultivated commercially in India.</w:t>
      </w:r>
    </w:p>
    <w:p w14:paraId="21353776" w14:textId="77777777" w:rsidR="00820B56" w:rsidRDefault="00000000" w:rsidP="00B403FD">
      <w:pPr>
        <w:spacing w:before="100" w:beforeAutospacing="1" w:after="100" w:afterAutospacing="1"/>
        <w:jc w:val="both"/>
      </w:pPr>
      <w:r>
        <w:t>The gap addressed is specific. Resistance management guidance for Indian cereals is issued on the basis of phenotypic efficacy data, whereas the evolutionary parameters that determine whether such guidance can work, namely resistance allele frequency, dominance under field-realistic doses, fitness cost, cross-resistance structure and the spatial scale of gene flow, are largely unmeasured in Indian populations and are imported by assumption from East Asian, Brazilian and Australian studies. The extent, defensibility and consequences of that importation have not been assessed critically.</w:t>
      </w:r>
    </w:p>
    <w:p w14:paraId="119D5ED8" w14:textId="77777777" w:rsidR="00820B56" w:rsidRDefault="00000000" w:rsidP="00B403FD">
      <w:pPr>
        <w:spacing w:before="100" w:beforeAutospacing="1" w:after="100" w:afterAutospacing="1"/>
        <w:jc w:val="both"/>
      </w:pPr>
      <w:r>
        <w:t xml:space="preserve">Four objectives follow. The first is to specify the evolutionary parameters that govern resistance in cereal pest populations and to establish how each is estimated and how each can be </w:t>
      </w:r>
      <w:proofErr w:type="spellStart"/>
      <w:r>
        <w:t>misestimated</w:t>
      </w:r>
      <w:proofErr w:type="spellEnd"/>
      <w:r>
        <w:t>. The second is to characterise the selection landscape imposed by Indian cereal cropping and storage practice and to evaluate what that landscape predicts. The third is to assess, separately for rice planthoppers, lepidopteran borers and the fall armyworm, and stored-grain beetles, how far mechanistic conclusions drawn elsewhere are transferable to Indian populations and where India-specific evidence exists. The fourth is to identify the surveillance and experimental designs that would convert the present descriptive evidence base into one capable of supporting resistance management decisions. The intended contribution is an integrated critical assessment of inferential adequacy rather than a further catalogue of resistance ratios.</w:t>
      </w:r>
    </w:p>
    <w:p w14:paraId="5D4C480D" w14:textId="77777777" w:rsidR="00820B56" w:rsidRDefault="00000000" w:rsidP="00B403FD">
      <w:pPr>
        <w:pStyle w:val="Heading1"/>
        <w:spacing w:before="100" w:beforeAutospacing="1" w:after="100" w:afterAutospacing="1"/>
      </w:pPr>
      <w:r>
        <w:rPr>
          <w:b/>
          <w:bCs/>
          <w:color w:val="000000"/>
          <w:sz w:val="26"/>
          <w:szCs w:val="26"/>
        </w:rPr>
        <w:t>2. Methods for Literature Selection</w:t>
      </w:r>
    </w:p>
    <w:p w14:paraId="527514C8" w14:textId="77777777" w:rsidR="00820B56" w:rsidRDefault="00000000" w:rsidP="00B403FD">
      <w:pPr>
        <w:pStyle w:val="Heading2"/>
        <w:spacing w:before="100" w:beforeAutospacing="1" w:after="100" w:afterAutospacing="1"/>
      </w:pPr>
      <w:r>
        <w:rPr>
          <w:b/>
          <w:bCs/>
          <w:color w:val="000000"/>
          <w:sz w:val="23"/>
          <w:szCs w:val="23"/>
        </w:rPr>
        <w:t>2.1 Review Design and Rationale</w:t>
      </w:r>
    </w:p>
    <w:p w14:paraId="70AB125F" w14:textId="77777777" w:rsidR="00820B56" w:rsidRDefault="00000000" w:rsidP="00B403FD">
      <w:pPr>
        <w:spacing w:before="100" w:beforeAutospacing="1" w:after="100" w:afterAutospacing="1"/>
        <w:jc w:val="both"/>
      </w:pPr>
      <w:r>
        <w:t>A critical narrative review was selected in preference to a systematic review, scoping review or meta-analysis because the governing question concerns the adequacy of inference across heterogeneous evidence types rather than the pooled magnitude of a defined effect. The relevant literature spans molecular genetics, quantitative genetics, toxicological bioassay, population ecology and agronomic practice, and reports outcomes that are not commensurable: resistance ratios derived from incompatible bioassay protocols, allele frequencies, expression fold changes, control failure probabilities and yield responses. Quantitative pooling of such material would create a spurious impression of comparability. The narrative form also permits explicit evaluation of what a body of evidence cannot support, which is central to the present argument and which formal effect-size synthesis does not accommodate.</w:t>
      </w:r>
    </w:p>
    <w:p w14:paraId="6DECBEEB" w14:textId="77777777" w:rsidR="00820B56" w:rsidRDefault="00000000" w:rsidP="00B403FD">
      <w:pPr>
        <w:spacing w:before="100" w:beforeAutospacing="1" w:after="100" w:afterAutospacing="1"/>
        <w:jc w:val="both"/>
      </w:pPr>
      <w:r>
        <w:t>Adoption of a narrative format does not relax the requirement for transparency or appraisal. The review was structured according to published guidance on the conduct and reporting of narrative literature reviews (Ferrari, 2015), and the quality domains of the Scale for the Assessment of Narrative Review Articles, namely justification of importance, statement of aims, description of the literature search, referencing, scientific reasoning and appropriate presentation of data, were used as internal checkpoints during drafting (</w:t>
      </w:r>
      <w:proofErr w:type="spellStart"/>
      <w:r>
        <w:t>Baethge</w:t>
      </w:r>
      <w:proofErr w:type="spellEnd"/>
      <w:r>
        <w:t xml:space="preserve"> et al., 2019).</w:t>
      </w:r>
    </w:p>
    <w:p w14:paraId="2E6539AE" w14:textId="77777777" w:rsidR="00820B56" w:rsidRDefault="00000000" w:rsidP="00B403FD">
      <w:pPr>
        <w:pStyle w:val="Heading2"/>
        <w:spacing w:before="100" w:beforeAutospacing="1" w:after="100" w:afterAutospacing="1"/>
      </w:pPr>
      <w:r>
        <w:rPr>
          <w:b/>
          <w:bCs/>
          <w:color w:val="000000"/>
          <w:sz w:val="23"/>
          <w:szCs w:val="23"/>
        </w:rPr>
        <w:t>2.2 Information Sources</w:t>
      </w:r>
    </w:p>
    <w:p w14:paraId="7C6288DF" w14:textId="77777777" w:rsidR="00820B56" w:rsidRDefault="00000000" w:rsidP="00B403FD">
      <w:pPr>
        <w:spacing w:before="100" w:beforeAutospacing="1" w:after="100" w:afterAutospacing="1"/>
        <w:jc w:val="both"/>
      </w:pPr>
      <w:r>
        <w:lastRenderedPageBreak/>
        <w:t xml:space="preserve">Searching was conducted through openly accessible scholarly indexes and bibliographic infrastructure, specifically </w:t>
      </w:r>
      <w:proofErr w:type="spellStart"/>
      <w:r>
        <w:t>OpenAlex</w:t>
      </w:r>
      <w:proofErr w:type="spellEnd"/>
      <w:r>
        <w:t xml:space="preserve">, the </w:t>
      </w:r>
      <w:proofErr w:type="spellStart"/>
      <w:r>
        <w:t>Crossref</w:t>
      </w:r>
      <w:proofErr w:type="spellEnd"/>
      <w:r>
        <w:t xml:space="preserve"> metadata registry, Europe PubMed Central and general web search of institutional and publisher pages for verification of bibliographic details. Subscription-based citation indexes were not accessible during the preparation of this review, and no search of such resources is claimed. Database searching was supplemented by backward citation searching from recent reviews and primary papers, forward citation checking through </w:t>
      </w:r>
      <w:proofErr w:type="spellStart"/>
      <w:r>
        <w:t>OpenAlex</w:t>
      </w:r>
      <w:proofErr w:type="spellEnd"/>
      <w:r>
        <w:t xml:space="preserve"> citation links, related-record inspection, and targeted retrieval of institutional material from the Food and Agriculture Organization of the United Nations. Each candidate reference was checked against the </w:t>
      </w:r>
      <w:proofErr w:type="spellStart"/>
      <w:r>
        <w:t>Crossref</w:t>
      </w:r>
      <w:proofErr w:type="spellEnd"/>
      <w:r>
        <w:t xml:space="preserve"> registry for author list, title, journal, volume, issue, pagination and year, and the digital object identifier of every retained source was confirmed to resolve to the cited article.</w:t>
      </w:r>
    </w:p>
    <w:p w14:paraId="6B29C9D8" w14:textId="77777777" w:rsidR="00820B56" w:rsidRDefault="00000000" w:rsidP="00B403FD">
      <w:pPr>
        <w:pStyle w:val="Heading2"/>
        <w:spacing w:before="100" w:beforeAutospacing="1" w:after="100" w:afterAutospacing="1"/>
      </w:pPr>
      <w:r>
        <w:rPr>
          <w:b/>
          <w:bCs/>
          <w:color w:val="000000"/>
          <w:sz w:val="23"/>
          <w:szCs w:val="23"/>
        </w:rPr>
        <w:t>2.3 Search Strategy and Search Period</w:t>
      </w:r>
    </w:p>
    <w:p w14:paraId="3D3166F8" w14:textId="77777777" w:rsidR="00820B56" w:rsidRDefault="00000000" w:rsidP="00B403FD">
      <w:pPr>
        <w:spacing w:before="100" w:beforeAutospacing="1" w:after="100" w:afterAutospacing="1"/>
        <w:jc w:val="both"/>
      </w:pPr>
      <w:r>
        <w:t>Search concepts were constructed around four axes: the pest taxon or group, the toxicological or genetic mechanism, the crop or storage context, and the evolutionary or management construct. Representative strings included combinations of the form (insecticide resistance OR resistance ratio OR susceptibility) AND (</w:t>
      </w:r>
      <w:proofErr w:type="spellStart"/>
      <w:r>
        <w:rPr>
          <w:i/>
          <w:iCs/>
        </w:rPr>
        <w:t>Nilaparvata</w:t>
      </w:r>
      <w:proofErr w:type="spellEnd"/>
      <w:r>
        <w:rPr>
          <w:i/>
          <w:iCs/>
        </w:rPr>
        <w:t xml:space="preserve"> </w:t>
      </w:r>
      <w:proofErr w:type="spellStart"/>
      <w:r>
        <w:rPr>
          <w:i/>
          <w:iCs/>
        </w:rPr>
        <w:t>lugens</w:t>
      </w:r>
      <w:proofErr w:type="spellEnd"/>
      <w:r>
        <w:t xml:space="preserve"> OR </w:t>
      </w:r>
      <w:proofErr w:type="spellStart"/>
      <w:r>
        <w:rPr>
          <w:i/>
          <w:iCs/>
        </w:rPr>
        <w:t>Sogatella</w:t>
      </w:r>
      <w:proofErr w:type="spellEnd"/>
      <w:r>
        <w:rPr>
          <w:i/>
          <w:iCs/>
        </w:rPr>
        <w:t xml:space="preserve"> </w:t>
      </w:r>
      <w:proofErr w:type="spellStart"/>
      <w:r>
        <w:rPr>
          <w:i/>
          <w:iCs/>
        </w:rPr>
        <w:t>furcifera</w:t>
      </w:r>
      <w:proofErr w:type="spellEnd"/>
      <w:r>
        <w:t xml:space="preserve"> OR </w:t>
      </w:r>
      <w:r>
        <w:rPr>
          <w:i/>
          <w:iCs/>
        </w:rPr>
        <w:t xml:space="preserve">Chilo </w:t>
      </w:r>
      <w:proofErr w:type="spellStart"/>
      <w:r>
        <w:rPr>
          <w:i/>
          <w:iCs/>
        </w:rPr>
        <w:t>suppressalis</w:t>
      </w:r>
      <w:proofErr w:type="spellEnd"/>
      <w:r>
        <w:t xml:space="preserve"> OR </w:t>
      </w:r>
      <w:proofErr w:type="spellStart"/>
      <w:r>
        <w:rPr>
          <w:i/>
          <w:iCs/>
        </w:rPr>
        <w:t>Scirpophaga</w:t>
      </w:r>
      <w:proofErr w:type="spellEnd"/>
      <w:r>
        <w:rPr>
          <w:i/>
          <w:iCs/>
        </w:rPr>
        <w:t xml:space="preserve"> </w:t>
      </w:r>
      <w:proofErr w:type="spellStart"/>
      <w:r>
        <w:rPr>
          <w:i/>
          <w:iCs/>
        </w:rPr>
        <w:t>incertulas</w:t>
      </w:r>
      <w:proofErr w:type="spellEnd"/>
      <w:r>
        <w:t xml:space="preserve"> OR </w:t>
      </w:r>
      <w:proofErr w:type="spellStart"/>
      <w:r>
        <w:rPr>
          <w:i/>
          <w:iCs/>
        </w:rPr>
        <w:t>Cnaphalocrocis</w:t>
      </w:r>
      <w:proofErr w:type="spellEnd"/>
      <w:r>
        <w:rPr>
          <w:i/>
          <w:iCs/>
        </w:rPr>
        <w:t xml:space="preserve"> </w:t>
      </w:r>
      <w:proofErr w:type="spellStart"/>
      <w:r>
        <w:rPr>
          <w:i/>
          <w:iCs/>
        </w:rPr>
        <w:t>medinalis</w:t>
      </w:r>
      <w:proofErr w:type="spellEnd"/>
      <w:r>
        <w:t xml:space="preserve"> OR </w:t>
      </w:r>
      <w:r>
        <w:rPr>
          <w:i/>
          <w:iCs/>
        </w:rPr>
        <w:t xml:space="preserve">Spodoptera </w:t>
      </w:r>
      <w:proofErr w:type="spellStart"/>
      <w:r>
        <w:rPr>
          <w:i/>
          <w:iCs/>
        </w:rPr>
        <w:t>frugiperda</w:t>
      </w:r>
      <w:proofErr w:type="spellEnd"/>
      <w:r>
        <w:t xml:space="preserve"> OR </w:t>
      </w:r>
      <w:proofErr w:type="spellStart"/>
      <w:r>
        <w:rPr>
          <w:i/>
          <w:iCs/>
        </w:rPr>
        <w:t>Rhyzopertha</w:t>
      </w:r>
      <w:proofErr w:type="spellEnd"/>
      <w:r>
        <w:rPr>
          <w:i/>
          <w:iCs/>
        </w:rPr>
        <w:t xml:space="preserve"> </w:t>
      </w:r>
      <w:proofErr w:type="spellStart"/>
      <w:r>
        <w:rPr>
          <w:i/>
          <w:iCs/>
        </w:rPr>
        <w:t>dominica</w:t>
      </w:r>
      <w:proofErr w:type="spellEnd"/>
      <w:r>
        <w:t xml:space="preserve"> OR </w:t>
      </w:r>
      <w:r>
        <w:rPr>
          <w:i/>
          <w:iCs/>
        </w:rPr>
        <w:t xml:space="preserve">Tribolium </w:t>
      </w:r>
      <w:proofErr w:type="spellStart"/>
      <w:r>
        <w:rPr>
          <w:i/>
          <w:iCs/>
        </w:rPr>
        <w:t>castaneum</w:t>
      </w:r>
      <w:proofErr w:type="spellEnd"/>
      <w:r>
        <w:t xml:space="preserve"> OR </w:t>
      </w:r>
      <w:r>
        <w:rPr>
          <w:i/>
          <w:iCs/>
        </w:rPr>
        <w:t>Sitophilus oryzae</w:t>
      </w:r>
      <w:r>
        <w:t xml:space="preserve">); (cytochrome P450 OR </w:t>
      </w:r>
      <w:r>
        <w:rPr>
          <w:i/>
          <w:iCs/>
        </w:rPr>
        <w:t>CYP6ER1</w:t>
      </w:r>
      <w:r>
        <w:t xml:space="preserve"> OR ryanodine receptor OR nicotinic acetylcholine receptor OR dihydrolipoamide dehydrogenase OR ABC transporter) AND (target-site OR metabolic OR overexpression OR mutation); (rice OR wheat OR maize OR stored grain OR fumigation) AND (India OR South Asia); and (fitness cost OR dominance OR gene flow OR rotation OR mixture OR mosaic OR refuge OR resistance management) AND (model OR field-evolved OR monitoring). Terms were combined with Boolean operators and truncated where the index supported it, and species names were searched both as binomials and as common names. The search period extended from 1 January 1984 to 31 May 2026. Foundational publications preceding this window were eligible where required to explain the historical development of a concept.</w:t>
      </w:r>
    </w:p>
    <w:p w14:paraId="2B48098B" w14:textId="77777777" w:rsidR="00820B56" w:rsidRDefault="00000000" w:rsidP="00B403FD">
      <w:pPr>
        <w:pStyle w:val="Heading2"/>
        <w:spacing w:before="100" w:beforeAutospacing="1" w:after="100" w:afterAutospacing="1"/>
      </w:pPr>
      <w:r>
        <w:rPr>
          <w:b/>
          <w:bCs/>
          <w:color w:val="000000"/>
          <w:sz w:val="23"/>
          <w:szCs w:val="23"/>
        </w:rPr>
        <w:t>2.4 Eligibility Criteria</w:t>
      </w:r>
    </w:p>
    <w:p w14:paraId="05A2DDFC" w14:textId="77777777" w:rsidR="00820B56" w:rsidRDefault="00000000" w:rsidP="00B403FD">
      <w:pPr>
        <w:spacing w:before="100" w:beforeAutospacing="1" w:after="100" w:afterAutospacing="1"/>
        <w:jc w:val="both"/>
      </w:pPr>
      <w:r>
        <w:t>Publications were eligible if they reported original research, quantitative synthesis or authoritative review concerning resistance to insecticides or fumigants in arthropod pests of cereals, or concerning the evolutionary, genetic or modelling principles that govern such resistance. Studies of non-cereal systems were eligible where they supplied mechanistic or theoretical material of direct transferable relevance, and this transferability is stated explicitly wherever such sources are used. Eligible designs included field and laboratory bioassays with defined reference strains, molecular characterisation of resistance mechanisms, population genetic and genomic analyses, quantitative genetic estimates of heritability or fitness, simulation and analytical modelling, and longitudinal monitoring series. Publications were excluded if they lacked a verifiable bibliographic record, appeared in outlets without evident peer review, reported efficacy without any reference to susceptibility status where resistance inference was nonetheless drawn, or were preprints for which peer-reviewed equivalents existed. Only material published in English was assessed, and no translation was undertaken. Retracted publications were excluded.</w:t>
      </w:r>
    </w:p>
    <w:p w14:paraId="542AC0C5" w14:textId="77777777" w:rsidR="00820B56" w:rsidRDefault="00000000" w:rsidP="00B403FD">
      <w:pPr>
        <w:pStyle w:val="Heading2"/>
        <w:spacing w:before="100" w:beforeAutospacing="1" w:after="100" w:afterAutospacing="1"/>
      </w:pPr>
      <w:r>
        <w:rPr>
          <w:b/>
          <w:bCs/>
          <w:color w:val="000000"/>
          <w:sz w:val="23"/>
          <w:szCs w:val="23"/>
        </w:rPr>
        <w:t>2.5 Screening, Duplicate Handling and Study Selection</w:t>
      </w:r>
    </w:p>
    <w:p w14:paraId="07323690" w14:textId="77777777" w:rsidR="00820B56" w:rsidRDefault="00000000" w:rsidP="00B403FD">
      <w:pPr>
        <w:spacing w:before="100" w:beforeAutospacing="1" w:after="100" w:afterAutospacing="1"/>
        <w:jc w:val="both"/>
      </w:pPr>
      <w:r>
        <w:t xml:space="preserve">Records retrieved from each index were screened first on title and abstract for topical relevance, then in full text where the abstract indicated that the study addressed a mechanism, parameter or population of interest. Duplicates arising from overlap between </w:t>
      </w:r>
      <w:proofErr w:type="spellStart"/>
      <w:r>
        <w:t>OpenAlex</w:t>
      </w:r>
      <w:proofErr w:type="spellEnd"/>
      <w:r>
        <w:t xml:space="preserve">, </w:t>
      </w:r>
      <w:proofErr w:type="spellStart"/>
      <w:r>
        <w:t>Crossref</w:t>
      </w:r>
      <w:proofErr w:type="spellEnd"/>
      <w:r>
        <w:t xml:space="preserve"> and Europe PubMed Central were identified by digital object identifier and, where an identifier was absent, by matched title and first-author surname, and were consolidated to a single record. Where indexes disagreed on year of publication, the year of the version of record associated with the journal volume and issue was adopted. Sources that could not be verified bibliographically, or for which the digital object identifier did not resolve to the described article, were discarded irrespective of apparent relevance. Because selection </w:t>
      </w:r>
      <w:r>
        <w:lastRenderedPageBreak/>
        <w:t>was purposive rather than exhaustive, no record counts are reported and no flow diagram is presented; the selection process was not systematic in the technical sense, and presenting it as though it were would misrepresent the method.</w:t>
      </w:r>
    </w:p>
    <w:p w14:paraId="2C63E27E" w14:textId="77777777" w:rsidR="00820B56" w:rsidRDefault="00000000" w:rsidP="00B403FD">
      <w:pPr>
        <w:pStyle w:val="Heading2"/>
        <w:spacing w:before="100" w:beforeAutospacing="1" w:after="100" w:afterAutospacing="1"/>
      </w:pPr>
      <w:r>
        <w:rPr>
          <w:b/>
          <w:bCs/>
          <w:color w:val="000000"/>
          <w:sz w:val="23"/>
          <w:szCs w:val="23"/>
        </w:rPr>
        <w:t>2.6 Critical Appraisal and Evidence Synthesis</w:t>
      </w:r>
    </w:p>
    <w:p w14:paraId="0EF4CDC0" w14:textId="77777777" w:rsidR="00820B56" w:rsidRDefault="00000000" w:rsidP="00B403FD">
      <w:pPr>
        <w:spacing w:before="100" w:beforeAutospacing="1" w:after="100" w:afterAutospacing="1"/>
        <w:jc w:val="both"/>
      </w:pPr>
      <w:r>
        <w:t>Retained studies were appraised against criteria appropriate to their design. Bioassay studies were assessed for the provenance and genetic status of the reference strain, the number and independence of field populations, the exposure route and its correspondence with field exposure, replication, the reporting of confidence intervals around lethal concentration estimates, and whether resistance ratios were interpreted in relation to label rates. Molecular studies were assessed for functional validation, for whether an association between a marker and a phenotype was supported by genetic or heterologous expression evidence, and for whether the populations examined were field-derived or laboratory-selected. Modelling studies were assessed for the transparency and plausibility of their parameterisation and for sensitivity analysis. Population genetic studies were assessed for sampling design and marker resolution. No formal risk-of-bias instrument was applied, since no validated tool exists for this combination of designs and the information required to score one is absent from most of the primary reports.</w:t>
      </w:r>
    </w:p>
    <w:p w14:paraId="6085E749" w14:textId="77777777" w:rsidR="00820B56" w:rsidRDefault="00000000" w:rsidP="00B403FD">
      <w:pPr>
        <w:spacing w:before="100" w:beforeAutospacing="1" w:after="100" w:afterAutospacing="1"/>
        <w:jc w:val="both"/>
      </w:pPr>
      <w:r>
        <w:t>Themes were developed inductively from the appraised material and then organised around the evolutionary parameters that the theoretical literature identifies as decisive, so that empirical findings could be assessed for their capacity to inform those parameters. Where studies disagreed, the disagreement was examined for methodological explanation before any biological explanation was accepted, since differences in bioassay method, reference strain and exposure duration are known to generate apparent discrepancies of the same order as genuine population differences. Confidence in each conclusion is stated in the text and is calibrated to the strength, consistency and geographical relevance of the supporting evidence.</w:t>
      </w:r>
    </w:p>
    <w:p w14:paraId="0C06BFA1" w14:textId="77777777" w:rsidR="00820B56" w:rsidRDefault="00000000" w:rsidP="00B403FD">
      <w:pPr>
        <w:pStyle w:val="Heading1"/>
        <w:spacing w:before="100" w:beforeAutospacing="1" w:after="100" w:afterAutospacing="1"/>
      </w:pPr>
      <w:r>
        <w:rPr>
          <w:b/>
          <w:bCs/>
          <w:color w:val="000000"/>
          <w:sz w:val="26"/>
          <w:szCs w:val="26"/>
        </w:rPr>
        <w:t>3. Evolutionary Parameters that Govern Resistance in Cereal Pest Populations</w:t>
      </w:r>
    </w:p>
    <w:p w14:paraId="79F22A5F" w14:textId="77777777" w:rsidR="00820B56" w:rsidRDefault="00000000" w:rsidP="00B403FD">
      <w:pPr>
        <w:spacing w:before="100" w:beforeAutospacing="1" w:after="100" w:afterAutospacing="1"/>
        <w:jc w:val="both"/>
      </w:pPr>
      <w:r>
        <w:t>The analytical value of an evolutionary framing lies in its insistence that resistance is not a property of an insecticide but an outcome of a selection process with measurable inputs. Four parameter classes carry most of the explanatory weight, and each is estimated in the Indian literature either indirectly or not at all.</w:t>
      </w:r>
    </w:p>
    <w:p w14:paraId="5A508921" w14:textId="77777777" w:rsidR="00820B56" w:rsidRDefault="00000000" w:rsidP="00B403FD">
      <w:pPr>
        <w:pStyle w:val="Heading2"/>
        <w:spacing w:before="100" w:beforeAutospacing="1" w:after="100" w:afterAutospacing="1"/>
      </w:pPr>
      <w:r>
        <w:rPr>
          <w:b/>
          <w:bCs/>
          <w:color w:val="000000"/>
          <w:sz w:val="23"/>
          <w:szCs w:val="23"/>
        </w:rPr>
        <w:t>3.1 Standing variation, mutational origin and the pre-adaptation problem</w:t>
      </w:r>
    </w:p>
    <w:p w14:paraId="5EA99253" w14:textId="77777777" w:rsidR="00820B56" w:rsidRDefault="00000000" w:rsidP="00B403FD">
      <w:pPr>
        <w:spacing w:before="100" w:beforeAutospacing="1" w:after="100" w:afterAutospacing="1"/>
        <w:jc w:val="both"/>
      </w:pPr>
      <w:r>
        <w:t xml:space="preserve">Resistance alleles may be present in a population before the corresponding insecticide is ever applied, or may arise by mutation and gene amplification during the period of exposure. The distinction matters because it determines the shape of the early response. Where alleles are already segregating, response begins immediately and is approximately proportional to the initial frequency; where alleles must arise de novo, there is a lag whose length depends on population size and mutation rate. Gene amplification and copy-number variation occupy an intermediate position, since the underlying structural mutations occur at rates far higher than point mutations and can therefore recur independently in separate populations. Copy-number increase at cytochrome P450 loci has been shown to elevate insecticide resistance in the fall armyworm, </w:t>
      </w:r>
      <w:r>
        <w:rPr>
          <w:i/>
          <w:iCs/>
        </w:rPr>
        <w:t xml:space="preserve">Spodoptera </w:t>
      </w:r>
      <w:proofErr w:type="spellStart"/>
      <w:r>
        <w:rPr>
          <w:i/>
          <w:iCs/>
        </w:rPr>
        <w:t>frugiperda</w:t>
      </w:r>
      <w:proofErr w:type="spellEnd"/>
      <w:r>
        <w:t xml:space="preserve"> (Gimenez et al., 2020), and duplication followed by functional divergence within the </w:t>
      </w:r>
      <w:r>
        <w:rPr>
          <w:i/>
          <w:iCs/>
        </w:rPr>
        <w:t>CYP6ER1</w:t>
      </w:r>
      <w:r>
        <w:t xml:space="preserve"> lineage of </w:t>
      </w:r>
      <w:r>
        <w:rPr>
          <w:i/>
          <w:iCs/>
        </w:rPr>
        <w:t xml:space="preserve">N. </w:t>
      </w:r>
      <w:proofErr w:type="spellStart"/>
      <w:r>
        <w:rPr>
          <w:i/>
          <w:iCs/>
        </w:rPr>
        <w:t>lugens</w:t>
      </w:r>
      <w:proofErr w:type="spellEnd"/>
      <w:r>
        <w:t xml:space="preserve"> has generated enzymes with catalytic properties absent from the ancestral gene, producing cross-resistance patterns that could not have been predicted from the parental sequence (Duarte et al., 2022). The practical implication is that resistance to a compound may be present before that compound is deployed, and that a mechanism selected by one chemistry may confer protection against another to which the population has never been exposed.</w:t>
      </w:r>
    </w:p>
    <w:p w14:paraId="2A5F641A" w14:textId="77777777" w:rsidR="00820B56" w:rsidRDefault="00000000" w:rsidP="00B403FD">
      <w:pPr>
        <w:spacing w:before="100" w:beforeAutospacing="1" w:after="100" w:afterAutospacing="1"/>
        <w:jc w:val="both"/>
      </w:pPr>
      <w:r>
        <w:lastRenderedPageBreak/>
        <w:t xml:space="preserve">Invasive species present the pre-adaptation problem in its most acute form. A colonising population arrives carrying the allelic composition of its source, so that the resistance status of an invader is initially a historical rather than a local variable. Genome resequencing of fall armyworm populations invading China demonstrated that the invading material already carried alleles associated with resistance to organophosphate and pyrethroid insecticides, while remaining susceptible to a </w:t>
      </w:r>
      <w:r>
        <w:rPr>
          <w:i/>
          <w:iCs/>
        </w:rPr>
        <w:t>Bacillus thuringiensis</w:t>
      </w:r>
      <w:r>
        <w:t xml:space="preserve"> protein under field conditions (Zhang et al., 2020). Any inference that early control failure in a newly invaded region reflects locally evolved resistance is therefore unsafe unless the founding genotype has been characterised.</w:t>
      </w:r>
    </w:p>
    <w:p w14:paraId="28900D24" w14:textId="77777777" w:rsidR="00820B56" w:rsidRDefault="00000000" w:rsidP="00B403FD">
      <w:pPr>
        <w:pStyle w:val="Heading2"/>
        <w:spacing w:before="100" w:beforeAutospacing="1" w:after="100" w:afterAutospacing="1"/>
      </w:pPr>
      <w:r>
        <w:rPr>
          <w:b/>
          <w:bCs/>
          <w:color w:val="000000"/>
          <w:sz w:val="23"/>
          <w:szCs w:val="23"/>
        </w:rPr>
        <w:t>3.2 Dominance, effective dose and the shape of the selection function</w:t>
      </w:r>
    </w:p>
    <w:p w14:paraId="3954F3CC" w14:textId="77777777" w:rsidR="00820B56" w:rsidRDefault="00000000" w:rsidP="00B403FD">
      <w:pPr>
        <w:spacing w:before="100" w:beforeAutospacing="1" w:after="100" w:afterAutospacing="1"/>
        <w:jc w:val="both"/>
      </w:pPr>
      <w:r>
        <w:t>Dominance is not a fixed property of an allele but a function of the dose at which the heterozygote is evaluated. A substitution that is effectively recessive at a high, uniformly delivered dose becomes functionally dominant when the dose declines through spray drift, canopy interception, degradation or dilution of the applied formulation. This dependence is the reason why the high-dose concept remains central to resistance management theory, and why measures that reduce the dominance of the resistance phenotype are predicted to delay adaptation at least as effectively as measures that reduce heritability (</w:t>
      </w:r>
      <w:proofErr w:type="spellStart"/>
      <w:r>
        <w:t>Tabashnik</w:t>
      </w:r>
      <w:proofErr w:type="spellEnd"/>
      <w:r>
        <w:t xml:space="preserve"> et al., 2004). It is also the reason why declining product quality, deliberate rate reduction and uneven spray coverage are evolutionary rather than merely agronomic problems.</w:t>
      </w:r>
    </w:p>
    <w:p w14:paraId="0B19AB29" w14:textId="77777777" w:rsidR="00820B56" w:rsidRDefault="00000000" w:rsidP="00B403FD">
      <w:pPr>
        <w:spacing w:before="100" w:beforeAutospacing="1" w:after="100" w:afterAutospacing="1"/>
        <w:jc w:val="both"/>
      </w:pPr>
      <w:r>
        <w:t>In fumigation the same logic applies with unusual clarity, because the exposure is spatially integrated and can be measured. Strong phosphine resistance in stored-grain beetles is inherited as an incompletely recessive autosomal trait, so that heterozygotes survive intermediate concentrations that kill homozygous susceptible individuals but are themselves killed at high concentrations maintained for adequate duration (Jagadeesan et al., 2012). Leaking structures and truncated exposure periods therefore convert a recessive trait into an effectively dominant one and select heterozygotes directly, which is the single most consequential operational point to emerge from the phosphine literature.</w:t>
      </w:r>
    </w:p>
    <w:p w14:paraId="72C7F365" w14:textId="77777777" w:rsidR="00820B56" w:rsidRDefault="00000000" w:rsidP="00B403FD">
      <w:pPr>
        <w:pStyle w:val="Heading2"/>
        <w:spacing w:before="100" w:beforeAutospacing="1" w:after="100" w:afterAutospacing="1"/>
      </w:pPr>
      <w:r>
        <w:rPr>
          <w:b/>
          <w:bCs/>
          <w:color w:val="000000"/>
          <w:sz w:val="23"/>
          <w:szCs w:val="23"/>
        </w:rPr>
        <w:t>3.3 Dispersal, gene flow and the operational scale of adaptation</w:t>
      </w:r>
    </w:p>
    <w:p w14:paraId="7BD17009" w14:textId="77777777" w:rsidR="00820B56" w:rsidRDefault="00000000" w:rsidP="00B403FD">
      <w:pPr>
        <w:spacing w:before="100" w:beforeAutospacing="1" w:after="100" w:afterAutospacing="1"/>
        <w:jc w:val="both"/>
      </w:pPr>
      <w:r>
        <w:t xml:space="preserve">Selection acts locally, but adaptation is expressed at whatever spatial scale gene flow integrates. Where a pest disperses over hundreds of kilometres within a season, a management regime imposed on individual holdings cannot generate the spatial heterogeneity of selection that theory requires, because migrants homogenise allele frequencies faster than local practice differentiates them. Rice planthoppers illustrate the point directly. Comparative monitoring across East Asia, the Red River Delta and the Mekong Delta showed similar trajectories of imidacloprid and thiamethoxam resistance in </w:t>
      </w:r>
      <w:r>
        <w:rPr>
          <w:i/>
          <w:iCs/>
        </w:rPr>
        <w:t xml:space="preserve">N. </w:t>
      </w:r>
      <w:proofErr w:type="spellStart"/>
      <w:r>
        <w:rPr>
          <w:i/>
          <w:iCs/>
        </w:rPr>
        <w:t>lugens</w:t>
      </w:r>
      <w:proofErr w:type="spellEnd"/>
      <w:r>
        <w:t xml:space="preserve"> between East Asia and the Red River Delta but a divergent pattern in the Mekong Delta, a structure consistent with the northward migration of resistant populations along established migratory routes and with the recommendation that monitoring in source regions is necessary for management in recipient regions (Matsumura et al., 2018).</w:t>
      </w:r>
    </w:p>
    <w:p w14:paraId="2CC3FD56" w14:textId="77777777" w:rsidR="00820B56" w:rsidRDefault="00000000" w:rsidP="00B403FD">
      <w:pPr>
        <w:spacing w:before="100" w:beforeAutospacing="1" w:after="100" w:afterAutospacing="1"/>
        <w:jc w:val="both"/>
      </w:pPr>
      <w:r>
        <w:t>Modelling work has shown that the ranking of resistance management strategies is itself sensitive to dispersal and to the timing of selection relative to the insect life cycle, so that a strategy that is optimal for a sedentary pest with one generation per season may be actively counterproductive for a mobile multivoltine pest (Sudo et al., 2018). Because Indian rice systems host both highly mobile planthoppers and comparatively sedentary stem borers, and because storage populations of beetles are moved with the commodity rather than by flight, no single spatial prescription can be correct across the cereal sector.</w:t>
      </w:r>
    </w:p>
    <w:p w14:paraId="75DA8DA7" w14:textId="77777777" w:rsidR="00820B56" w:rsidRDefault="00000000" w:rsidP="00B403FD">
      <w:pPr>
        <w:pStyle w:val="Heading2"/>
        <w:spacing w:before="100" w:beforeAutospacing="1" w:after="100" w:afterAutospacing="1"/>
      </w:pPr>
      <w:r>
        <w:rPr>
          <w:b/>
          <w:bCs/>
          <w:color w:val="000000"/>
          <w:sz w:val="23"/>
          <w:szCs w:val="23"/>
        </w:rPr>
        <w:t>3.4 Fitness costs, compensatory evolution and the durability of susceptibility</w:t>
      </w:r>
    </w:p>
    <w:p w14:paraId="5C792F76" w14:textId="77777777" w:rsidR="00820B56" w:rsidRDefault="00000000" w:rsidP="00B403FD">
      <w:pPr>
        <w:spacing w:before="100" w:beforeAutospacing="1" w:after="100" w:afterAutospacing="1"/>
        <w:jc w:val="both"/>
      </w:pPr>
      <w:r>
        <w:t xml:space="preserve">The expectation that resistance will decline when selection is relaxed rests on the existence of a fitness cost. Costs are frequently detected, but their magnitude and even their sign depend on genetic background, on the environment in which fitness is assessed and on whether the comparison isolates the resistance locus from the remainder of the genome. Methodological reviews have argued that a large </w:t>
      </w:r>
      <w:r>
        <w:lastRenderedPageBreak/>
        <w:t>proportion of published fitness estimates are confounded by unmatched genetic backgrounds and by assessment under benign laboratory conditions, and that near-isogenic lines and field-realistic environments are required before a cost can be regarded as established (Freeman et al., 2021; Gul et al., 2023). The point is not merely technical. If costs are overestimated, rotation intervals will be set too short and susceptibility will not in fact recover.</w:t>
      </w:r>
    </w:p>
    <w:p w14:paraId="301E9C02" w14:textId="77777777" w:rsidR="00820B56" w:rsidRDefault="00000000" w:rsidP="00B403FD">
      <w:pPr>
        <w:spacing w:before="100" w:beforeAutospacing="1" w:after="100" w:afterAutospacing="1"/>
        <w:jc w:val="both"/>
      </w:pPr>
      <w:r>
        <w:t xml:space="preserve">Compensatory evolution further undermines the assumption of reversibility. In </w:t>
      </w:r>
      <w:r>
        <w:rPr>
          <w:i/>
          <w:iCs/>
        </w:rPr>
        <w:t xml:space="preserve">N. </w:t>
      </w:r>
      <w:proofErr w:type="spellStart"/>
      <w:r>
        <w:rPr>
          <w:i/>
          <w:iCs/>
        </w:rPr>
        <w:t>lugens</w:t>
      </w:r>
      <w:proofErr w:type="spellEnd"/>
      <w:r>
        <w:t xml:space="preserve">, overexpression of cytochrome P450 enzymes confers imidacloprid resistance but also elevates production of reactive oxygen species during metabolism of the insecticide and of host-plant compounds, imposing a cost that has driven the increase of a promoter allele of the peroxiredoxin gene </w:t>
      </w:r>
      <w:proofErr w:type="spellStart"/>
      <w:r>
        <w:rPr>
          <w:i/>
          <w:iCs/>
        </w:rPr>
        <w:t>NlPrx</w:t>
      </w:r>
      <w:proofErr w:type="spellEnd"/>
      <w:r>
        <w:t xml:space="preserve"> in field populations; the modifier allele restores oxidative balance and thereby erodes the cost that would otherwise favour reversion (Pang et al., 2021). Comparable stability is evident in fumigant resistance, where the synergistic interaction between the </w:t>
      </w:r>
      <w:r>
        <w:rPr>
          <w:i/>
          <w:iCs/>
        </w:rPr>
        <w:t>rph1</w:t>
      </w:r>
      <w:r>
        <w:t xml:space="preserve"> and </w:t>
      </w:r>
      <w:r>
        <w:rPr>
          <w:i/>
          <w:iCs/>
        </w:rPr>
        <w:t>rph2</w:t>
      </w:r>
      <w:r>
        <w:t xml:space="preserve"> loci in </w:t>
      </w:r>
      <w:proofErr w:type="spellStart"/>
      <w:r>
        <w:rPr>
          <w:i/>
          <w:iCs/>
        </w:rPr>
        <w:t>Rhyzopertha</w:t>
      </w:r>
      <w:proofErr w:type="spellEnd"/>
      <w:r>
        <w:rPr>
          <w:i/>
          <w:iCs/>
        </w:rPr>
        <w:t xml:space="preserve"> </w:t>
      </w:r>
      <w:proofErr w:type="spellStart"/>
      <w:r>
        <w:rPr>
          <w:i/>
          <w:iCs/>
        </w:rPr>
        <w:t>dominica</w:t>
      </w:r>
      <w:proofErr w:type="spellEnd"/>
      <w:r>
        <w:t xml:space="preserve"> produced strong resistance through stepwise allele acquisition with no clearly detectable fitness penalty at either locus (</w:t>
      </w:r>
      <w:proofErr w:type="spellStart"/>
      <w:r>
        <w:t>Schlipalius</w:t>
      </w:r>
      <w:proofErr w:type="spellEnd"/>
      <w:r>
        <w:t xml:space="preserve"> et al., 2008). Where a cost has been compensated or was never large, withdrawal of a compound will not restore susceptibility on an operationally useful timescale, and rotation ceases to be a recovery mechanism and becomes only a means of limiting further selection.</w:t>
      </w:r>
    </w:p>
    <w:p w14:paraId="2153BFE9" w14:textId="77777777" w:rsidR="00820B56" w:rsidRDefault="00000000" w:rsidP="00B403FD">
      <w:pPr>
        <w:spacing w:before="100" w:beforeAutospacing="1" w:after="100" w:afterAutospacing="1"/>
        <w:jc w:val="both"/>
      </w:pPr>
      <w:r>
        <w:t>Table 1 consolidates these parameters, indicates how each is estimated, states the principal source of error in estimation, and identifies whether the parameter has been quantified for any Indian cereal pest population. The pattern that emerges is consistent: the parameters for which robust estimation methods exist are those least often applied in Indian studies, and the single parameter with genuinely India-specific quantification is allele frequency in stored-grain beetles. The table also makes explicit that several parameters are interdependent, so that dominance cannot be interpreted without reference to realised dose and fitness cost cannot be interpreted without reference to genetic background.</w:t>
      </w:r>
    </w:p>
    <w:p w14:paraId="24F6168D" w14:textId="77777777" w:rsidR="00820B56" w:rsidRDefault="00000000" w:rsidP="00B403FD">
      <w:pPr>
        <w:spacing w:before="100" w:beforeAutospacing="1" w:after="100" w:afterAutospacing="1"/>
      </w:pPr>
      <w:r>
        <w:rPr>
          <w:b/>
          <w:bCs/>
          <w:sz w:val="20"/>
          <w:szCs w:val="20"/>
        </w:rPr>
        <w:t>Table 1. Evolutionary parameters governing insecticide resistance, their estimation, principal sources of estimation error, and the status of evidence for Indian cereal pest populations.</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300"/>
        <w:gridCol w:w="1700"/>
        <w:gridCol w:w="1600"/>
        <w:gridCol w:w="1700"/>
        <w:gridCol w:w="1500"/>
        <w:gridCol w:w="1226"/>
      </w:tblGrid>
      <w:tr w:rsidR="00820B56" w14:paraId="2E7A05F5" w14:textId="77777777">
        <w:trPr>
          <w:tblHeader/>
        </w:trPr>
        <w:tc>
          <w:tcPr>
            <w:tcW w:w="1300" w:type="dxa"/>
            <w:shd w:val="clear" w:color="auto" w:fill="E8E8E8"/>
            <w:tcMar>
              <w:top w:w="60" w:type="dxa"/>
              <w:left w:w="80" w:type="dxa"/>
              <w:bottom w:w="60" w:type="dxa"/>
              <w:right w:w="80" w:type="dxa"/>
            </w:tcMar>
          </w:tcPr>
          <w:p w14:paraId="0FCBEEF3" w14:textId="77777777" w:rsidR="00820B56" w:rsidRDefault="00000000" w:rsidP="00B403FD">
            <w:pPr>
              <w:spacing w:before="100" w:beforeAutospacing="1" w:after="100" w:afterAutospacing="1"/>
            </w:pPr>
            <w:r>
              <w:rPr>
                <w:b/>
                <w:bCs/>
                <w:sz w:val="17"/>
                <w:szCs w:val="17"/>
              </w:rPr>
              <w:t>Parameter</w:t>
            </w:r>
          </w:p>
        </w:tc>
        <w:tc>
          <w:tcPr>
            <w:tcW w:w="1700" w:type="dxa"/>
            <w:shd w:val="clear" w:color="auto" w:fill="E8E8E8"/>
            <w:tcMar>
              <w:top w:w="60" w:type="dxa"/>
              <w:left w:w="80" w:type="dxa"/>
              <w:bottom w:w="60" w:type="dxa"/>
              <w:right w:w="80" w:type="dxa"/>
            </w:tcMar>
          </w:tcPr>
          <w:p w14:paraId="1D9A9DF2" w14:textId="77777777" w:rsidR="00820B56" w:rsidRDefault="00000000" w:rsidP="00B403FD">
            <w:pPr>
              <w:spacing w:before="100" w:beforeAutospacing="1" w:after="100" w:afterAutospacing="1"/>
            </w:pPr>
            <w:r>
              <w:rPr>
                <w:b/>
                <w:bCs/>
                <w:sz w:val="17"/>
                <w:szCs w:val="17"/>
              </w:rPr>
              <w:t>Operational definition</w:t>
            </w:r>
          </w:p>
        </w:tc>
        <w:tc>
          <w:tcPr>
            <w:tcW w:w="1600" w:type="dxa"/>
            <w:shd w:val="clear" w:color="auto" w:fill="E8E8E8"/>
            <w:tcMar>
              <w:top w:w="60" w:type="dxa"/>
              <w:left w:w="80" w:type="dxa"/>
              <w:bottom w:w="60" w:type="dxa"/>
              <w:right w:w="80" w:type="dxa"/>
            </w:tcMar>
          </w:tcPr>
          <w:p w14:paraId="4FAA1332" w14:textId="77777777" w:rsidR="00820B56" w:rsidRDefault="00000000" w:rsidP="00B403FD">
            <w:pPr>
              <w:spacing w:before="100" w:beforeAutospacing="1" w:after="100" w:afterAutospacing="1"/>
            </w:pPr>
            <w:r>
              <w:rPr>
                <w:b/>
                <w:bCs/>
                <w:sz w:val="17"/>
                <w:szCs w:val="17"/>
              </w:rPr>
              <w:t>Principal estimation approach</w:t>
            </w:r>
          </w:p>
        </w:tc>
        <w:tc>
          <w:tcPr>
            <w:tcW w:w="1700" w:type="dxa"/>
            <w:shd w:val="clear" w:color="auto" w:fill="E8E8E8"/>
            <w:tcMar>
              <w:top w:w="60" w:type="dxa"/>
              <w:left w:w="80" w:type="dxa"/>
              <w:bottom w:w="60" w:type="dxa"/>
              <w:right w:w="80" w:type="dxa"/>
            </w:tcMar>
          </w:tcPr>
          <w:p w14:paraId="4AAF4D8A" w14:textId="77777777" w:rsidR="00820B56" w:rsidRDefault="00000000" w:rsidP="00B403FD">
            <w:pPr>
              <w:spacing w:before="100" w:beforeAutospacing="1" w:after="100" w:afterAutospacing="1"/>
            </w:pPr>
            <w:r>
              <w:rPr>
                <w:b/>
                <w:bCs/>
                <w:sz w:val="17"/>
                <w:szCs w:val="17"/>
              </w:rPr>
              <w:t>Main source of estimation error</w:t>
            </w:r>
          </w:p>
        </w:tc>
        <w:tc>
          <w:tcPr>
            <w:tcW w:w="1500" w:type="dxa"/>
            <w:shd w:val="clear" w:color="auto" w:fill="E8E8E8"/>
            <w:tcMar>
              <w:top w:w="60" w:type="dxa"/>
              <w:left w:w="80" w:type="dxa"/>
              <w:bottom w:w="60" w:type="dxa"/>
              <w:right w:w="80" w:type="dxa"/>
            </w:tcMar>
          </w:tcPr>
          <w:p w14:paraId="423E81F2" w14:textId="77777777" w:rsidR="00820B56" w:rsidRDefault="00000000" w:rsidP="00B403FD">
            <w:pPr>
              <w:spacing w:before="100" w:beforeAutospacing="1" w:after="100" w:afterAutospacing="1"/>
            </w:pPr>
            <w:r>
              <w:rPr>
                <w:b/>
                <w:bCs/>
                <w:sz w:val="17"/>
                <w:szCs w:val="17"/>
              </w:rPr>
              <w:t>Status of India-specific evidence</w:t>
            </w:r>
          </w:p>
        </w:tc>
        <w:tc>
          <w:tcPr>
            <w:tcW w:w="1226" w:type="dxa"/>
            <w:shd w:val="clear" w:color="auto" w:fill="E8E8E8"/>
            <w:tcMar>
              <w:top w:w="60" w:type="dxa"/>
              <w:left w:w="80" w:type="dxa"/>
              <w:bottom w:w="60" w:type="dxa"/>
              <w:right w:w="80" w:type="dxa"/>
            </w:tcMar>
          </w:tcPr>
          <w:p w14:paraId="730C0072" w14:textId="77777777" w:rsidR="00820B56" w:rsidRDefault="00000000" w:rsidP="00B403FD">
            <w:pPr>
              <w:spacing w:before="100" w:beforeAutospacing="1" w:after="100" w:afterAutospacing="1"/>
            </w:pPr>
            <w:r>
              <w:rPr>
                <w:b/>
                <w:bCs/>
                <w:sz w:val="17"/>
                <w:szCs w:val="17"/>
              </w:rPr>
              <w:t>Supporting references</w:t>
            </w:r>
          </w:p>
        </w:tc>
      </w:tr>
      <w:tr w:rsidR="00820B56" w14:paraId="21FD08C0" w14:textId="77777777">
        <w:tc>
          <w:tcPr>
            <w:tcW w:w="1300" w:type="dxa"/>
            <w:tcMar>
              <w:top w:w="60" w:type="dxa"/>
              <w:left w:w="80" w:type="dxa"/>
              <w:bottom w:w="60" w:type="dxa"/>
              <w:right w:w="80" w:type="dxa"/>
            </w:tcMar>
          </w:tcPr>
          <w:p w14:paraId="1A435B40" w14:textId="77777777" w:rsidR="00820B56" w:rsidRDefault="00000000" w:rsidP="00B403FD">
            <w:pPr>
              <w:spacing w:before="100" w:beforeAutospacing="1" w:after="100" w:afterAutospacing="1"/>
            </w:pPr>
            <w:r>
              <w:rPr>
                <w:sz w:val="17"/>
                <w:szCs w:val="17"/>
              </w:rPr>
              <w:t>Initial allele frequency</w:t>
            </w:r>
          </w:p>
        </w:tc>
        <w:tc>
          <w:tcPr>
            <w:tcW w:w="1700" w:type="dxa"/>
            <w:tcMar>
              <w:top w:w="60" w:type="dxa"/>
              <w:left w:w="80" w:type="dxa"/>
              <w:bottom w:w="60" w:type="dxa"/>
              <w:right w:w="80" w:type="dxa"/>
            </w:tcMar>
          </w:tcPr>
          <w:p w14:paraId="25107886" w14:textId="77777777" w:rsidR="00820B56" w:rsidRDefault="00000000" w:rsidP="00B403FD">
            <w:pPr>
              <w:spacing w:before="100" w:beforeAutospacing="1" w:after="100" w:afterAutospacing="1"/>
            </w:pPr>
            <w:r>
              <w:rPr>
                <w:sz w:val="17"/>
                <w:szCs w:val="17"/>
              </w:rPr>
              <w:t>Proportion of resistance alleles present before deployment of a compound</w:t>
            </w:r>
          </w:p>
        </w:tc>
        <w:tc>
          <w:tcPr>
            <w:tcW w:w="1600" w:type="dxa"/>
            <w:tcMar>
              <w:top w:w="60" w:type="dxa"/>
              <w:left w:w="80" w:type="dxa"/>
              <w:bottom w:w="60" w:type="dxa"/>
              <w:right w:w="80" w:type="dxa"/>
            </w:tcMar>
          </w:tcPr>
          <w:p w14:paraId="03EC7118" w14:textId="77777777" w:rsidR="00820B56" w:rsidRDefault="00000000" w:rsidP="00B403FD">
            <w:pPr>
              <w:spacing w:before="100" w:beforeAutospacing="1" w:after="100" w:afterAutospacing="1"/>
            </w:pPr>
            <w:r>
              <w:rPr>
                <w:sz w:val="17"/>
                <w:szCs w:val="17"/>
              </w:rPr>
              <w:t>Genotyping of archived or field populations; single-pair or F2 screening</w:t>
            </w:r>
          </w:p>
        </w:tc>
        <w:tc>
          <w:tcPr>
            <w:tcW w:w="1700" w:type="dxa"/>
            <w:tcMar>
              <w:top w:w="60" w:type="dxa"/>
              <w:left w:w="80" w:type="dxa"/>
              <w:bottom w:w="60" w:type="dxa"/>
              <w:right w:w="80" w:type="dxa"/>
            </w:tcMar>
          </w:tcPr>
          <w:p w14:paraId="20BB52FA" w14:textId="77777777" w:rsidR="00820B56" w:rsidRDefault="00000000" w:rsidP="00B403FD">
            <w:pPr>
              <w:spacing w:before="100" w:beforeAutospacing="1" w:after="100" w:afterAutospacing="1"/>
            </w:pPr>
            <w:r>
              <w:rPr>
                <w:sz w:val="17"/>
                <w:szCs w:val="17"/>
              </w:rPr>
              <w:t>Small sample sizes give wide confidence limits at low frequencies</w:t>
            </w:r>
          </w:p>
        </w:tc>
        <w:tc>
          <w:tcPr>
            <w:tcW w:w="1500" w:type="dxa"/>
            <w:tcMar>
              <w:top w:w="60" w:type="dxa"/>
              <w:left w:w="80" w:type="dxa"/>
              <w:bottom w:w="60" w:type="dxa"/>
              <w:right w:w="80" w:type="dxa"/>
            </w:tcMar>
          </w:tcPr>
          <w:p w14:paraId="4D6B0F92" w14:textId="77777777" w:rsidR="00820B56" w:rsidRDefault="00000000" w:rsidP="00B403FD">
            <w:pPr>
              <w:spacing w:before="100" w:beforeAutospacing="1" w:after="100" w:afterAutospacing="1"/>
            </w:pPr>
            <w:r>
              <w:rPr>
                <w:sz w:val="17"/>
                <w:szCs w:val="17"/>
              </w:rPr>
              <w:t>Quantified only for phosphine resistance alleles in stored-grain beetles</w:t>
            </w:r>
          </w:p>
        </w:tc>
        <w:tc>
          <w:tcPr>
            <w:tcW w:w="1226" w:type="dxa"/>
            <w:tcMar>
              <w:top w:w="60" w:type="dxa"/>
              <w:left w:w="80" w:type="dxa"/>
              <w:bottom w:w="60" w:type="dxa"/>
              <w:right w:w="80" w:type="dxa"/>
            </w:tcMar>
          </w:tcPr>
          <w:p w14:paraId="1F412A35" w14:textId="77777777" w:rsidR="00820B56" w:rsidRDefault="00000000" w:rsidP="00B403FD">
            <w:pPr>
              <w:spacing w:before="100" w:beforeAutospacing="1" w:after="100" w:afterAutospacing="1"/>
            </w:pPr>
            <w:r>
              <w:rPr>
                <w:sz w:val="17"/>
                <w:szCs w:val="17"/>
              </w:rPr>
              <w:t>Chen et al. (2015); Kaur et al. (2015)</w:t>
            </w:r>
          </w:p>
        </w:tc>
      </w:tr>
      <w:tr w:rsidR="00820B56" w14:paraId="11B3A916" w14:textId="77777777">
        <w:tc>
          <w:tcPr>
            <w:tcW w:w="1300" w:type="dxa"/>
            <w:tcMar>
              <w:top w:w="60" w:type="dxa"/>
              <w:left w:w="80" w:type="dxa"/>
              <w:bottom w:w="60" w:type="dxa"/>
              <w:right w:w="80" w:type="dxa"/>
            </w:tcMar>
          </w:tcPr>
          <w:p w14:paraId="03456AE5" w14:textId="77777777" w:rsidR="00820B56" w:rsidRDefault="00000000" w:rsidP="00B403FD">
            <w:pPr>
              <w:spacing w:before="100" w:beforeAutospacing="1" w:after="100" w:afterAutospacing="1"/>
            </w:pPr>
            <w:r>
              <w:rPr>
                <w:sz w:val="17"/>
                <w:szCs w:val="17"/>
              </w:rPr>
              <w:t>Mutational and structural origin</w:t>
            </w:r>
          </w:p>
        </w:tc>
        <w:tc>
          <w:tcPr>
            <w:tcW w:w="1700" w:type="dxa"/>
            <w:tcMar>
              <w:top w:w="60" w:type="dxa"/>
              <w:left w:w="80" w:type="dxa"/>
              <w:bottom w:w="60" w:type="dxa"/>
              <w:right w:w="80" w:type="dxa"/>
            </w:tcMar>
          </w:tcPr>
          <w:p w14:paraId="19228F10" w14:textId="77777777" w:rsidR="00820B56" w:rsidRDefault="00000000" w:rsidP="00B403FD">
            <w:pPr>
              <w:spacing w:before="100" w:beforeAutospacing="1" w:after="100" w:afterAutospacing="1"/>
            </w:pPr>
            <w:r>
              <w:rPr>
                <w:sz w:val="17"/>
                <w:szCs w:val="17"/>
              </w:rPr>
              <w:t>Point substitution, gene duplication or copy-number increase generating the resistant phenotype</w:t>
            </w:r>
          </w:p>
        </w:tc>
        <w:tc>
          <w:tcPr>
            <w:tcW w:w="1600" w:type="dxa"/>
            <w:tcMar>
              <w:top w:w="60" w:type="dxa"/>
              <w:left w:w="80" w:type="dxa"/>
              <w:bottom w:w="60" w:type="dxa"/>
              <w:right w:w="80" w:type="dxa"/>
            </w:tcMar>
          </w:tcPr>
          <w:p w14:paraId="5DD7114F" w14:textId="77777777" w:rsidR="00820B56" w:rsidRDefault="00000000" w:rsidP="00B403FD">
            <w:pPr>
              <w:spacing w:before="100" w:beforeAutospacing="1" w:after="100" w:afterAutospacing="1"/>
            </w:pPr>
            <w:r>
              <w:rPr>
                <w:sz w:val="17"/>
                <w:szCs w:val="17"/>
              </w:rPr>
              <w:t>Sequencing, copy-number assay, heterologous expression</w:t>
            </w:r>
          </w:p>
        </w:tc>
        <w:tc>
          <w:tcPr>
            <w:tcW w:w="1700" w:type="dxa"/>
            <w:tcMar>
              <w:top w:w="60" w:type="dxa"/>
              <w:left w:w="80" w:type="dxa"/>
              <w:bottom w:w="60" w:type="dxa"/>
              <w:right w:w="80" w:type="dxa"/>
            </w:tcMar>
          </w:tcPr>
          <w:p w14:paraId="1EBFF2E5" w14:textId="77777777" w:rsidR="00820B56" w:rsidRDefault="00000000" w:rsidP="00B403FD">
            <w:pPr>
              <w:spacing w:before="100" w:beforeAutospacing="1" w:after="100" w:afterAutospacing="1"/>
            </w:pPr>
            <w:r>
              <w:rPr>
                <w:sz w:val="17"/>
                <w:szCs w:val="17"/>
              </w:rPr>
              <w:t>Association without functional validation misattributes causation</w:t>
            </w:r>
          </w:p>
        </w:tc>
        <w:tc>
          <w:tcPr>
            <w:tcW w:w="1500" w:type="dxa"/>
            <w:tcMar>
              <w:top w:w="60" w:type="dxa"/>
              <w:left w:w="80" w:type="dxa"/>
              <w:bottom w:w="60" w:type="dxa"/>
              <w:right w:w="80" w:type="dxa"/>
            </w:tcMar>
          </w:tcPr>
          <w:p w14:paraId="44D603F2" w14:textId="77777777" w:rsidR="00820B56" w:rsidRDefault="00000000" w:rsidP="00B403FD">
            <w:pPr>
              <w:spacing w:before="100" w:beforeAutospacing="1" w:after="100" w:afterAutospacing="1"/>
            </w:pPr>
            <w:r>
              <w:rPr>
                <w:sz w:val="17"/>
                <w:szCs w:val="17"/>
              </w:rPr>
              <w:t>Not established for any Indian field population of a cereal pest</w:t>
            </w:r>
          </w:p>
        </w:tc>
        <w:tc>
          <w:tcPr>
            <w:tcW w:w="1226" w:type="dxa"/>
            <w:tcMar>
              <w:top w:w="60" w:type="dxa"/>
              <w:left w:w="80" w:type="dxa"/>
              <w:bottom w:w="60" w:type="dxa"/>
              <w:right w:w="80" w:type="dxa"/>
            </w:tcMar>
          </w:tcPr>
          <w:p w14:paraId="61624310" w14:textId="77777777" w:rsidR="00820B56" w:rsidRDefault="00000000" w:rsidP="00B403FD">
            <w:pPr>
              <w:spacing w:before="100" w:beforeAutospacing="1" w:after="100" w:afterAutospacing="1"/>
            </w:pPr>
            <w:r>
              <w:rPr>
                <w:sz w:val="17"/>
                <w:szCs w:val="17"/>
              </w:rPr>
              <w:t>Duarte et al. (2022); Gimenez et al. (2020)</w:t>
            </w:r>
          </w:p>
        </w:tc>
      </w:tr>
      <w:tr w:rsidR="00820B56" w14:paraId="7351DD98" w14:textId="77777777">
        <w:tc>
          <w:tcPr>
            <w:tcW w:w="1300" w:type="dxa"/>
            <w:tcMar>
              <w:top w:w="60" w:type="dxa"/>
              <w:left w:w="80" w:type="dxa"/>
              <w:bottom w:w="60" w:type="dxa"/>
              <w:right w:w="80" w:type="dxa"/>
            </w:tcMar>
          </w:tcPr>
          <w:p w14:paraId="346A7687" w14:textId="77777777" w:rsidR="00820B56" w:rsidRDefault="00000000" w:rsidP="00B403FD">
            <w:pPr>
              <w:spacing w:before="100" w:beforeAutospacing="1" w:after="100" w:afterAutospacing="1"/>
            </w:pPr>
            <w:r>
              <w:rPr>
                <w:sz w:val="17"/>
                <w:szCs w:val="17"/>
              </w:rPr>
              <w:t>Dominance</w:t>
            </w:r>
          </w:p>
        </w:tc>
        <w:tc>
          <w:tcPr>
            <w:tcW w:w="1700" w:type="dxa"/>
            <w:tcMar>
              <w:top w:w="60" w:type="dxa"/>
              <w:left w:w="80" w:type="dxa"/>
              <w:bottom w:w="60" w:type="dxa"/>
              <w:right w:w="80" w:type="dxa"/>
            </w:tcMar>
          </w:tcPr>
          <w:p w14:paraId="7351E218" w14:textId="77777777" w:rsidR="00820B56" w:rsidRDefault="00000000" w:rsidP="00B403FD">
            <w:pPr>
              <w:spacing w:before="100" w:beforeAutospacing="1" w:after="100" w:afterAutospacing="1"/>
            </w:pPr>
            <w:r>
              <w:rPr>
                <w:sz w:val="17"/>
                <w:szCs w:val="17"/>
              </w:rPr>
              <w:t>Relative phenotype of the heterozygote at the dose actually encountered</w:t>
            </w:r>
          </w:p>
        </w:tc>
        <w:tc>
          <w:tcPr>
            <w:tcW w:w="1600" w:type="dxa"/>
            <w:tcMar>
              <w:top w:w="60" w:type="dxa"/>
              <w:left w:w="80" w:type="dxa"/>
              <w:bottom w:w="60" w:type="dxa"/>
              <w:right w:w="80" w:type="dxa"/>
            </w:tcMar>
          </w:tcPr>
          <w:p w14:paraId="275BB6BF" w14:textId="77777777" w:rsidR="00820B56" w:rsidRDefault="00000000" w:rsidP="00B403FD">
            <w:pPr>
              <w:spacing w:before="100" w:beforeAutospacing="1" w:after="100" w:afterAutospacing="1"/>
            </w:pPr>
            <w:r>
              <w:rPr>
                <w:sz w:val="17"/>
                <w:szCs w:val="17"/>
              </w:rPr>
              <w:t>Dose-response of reciprocal crosses across a concentration range</w:t>
            </w:r>
          </w:p>
        </w:tc>
        <w:tc>
          <w:tcPr>
            <w:tcW w:w="1700" w:type="dxa"/>
            <w:tcMar>
              <w:top w:w="60" w:type="dxa"/>
              <w:left w:w="80" w:type="dxa"/>
              <w:bottom w:w="60" w:type="dxa"/>
              <w:right w:w="80" w:type="dxa"/>
            </w:tcMar>
          </w:tcPr>
          <w:p w14:paraId="047E72F7" w14:textId="77777777" w:rsidR="00820B56" w:rsidRDefault="00000000" w:rsidP="00B403FD">
            <w:pPr>
              <w:spacing w:before="100" w:beforeAutospacing="1" w:after="100" w:afterAutospacing="1"/>
            </w:pPr>
            <w:r>
              <w:rPr>
                <w:sz w:val="17"/>
                <w:szCs w:val="17"/>
              </w:rPr>
              <w:t>Dominance measured only at diagnostic dose misrepresents field dominance</w:t>
            </w:r>
          </w:p>
        </w:tc>
        <w:tc>
          <w:tcPr>
            <w:tcW w:w="1500" w:type="dxa"/>
            <w:tcMar>
              <w:top w:w="60" w:type="dxa"/>
              <w:left w:w="80" w:type="dxa"/>
              <w:bottom w:w="60" w:type="dxa"/>
              <w:right w:w="80" w:type="dxa"/>
            </w:tcMar>
          </w:tcPr>
          <w:p w14:paraId="020D1C57" w14:textId="77777777" w:rsidR="00820B56" w:rsidRDefault="00000000" w:rsidP="00B403FD">
            <w:pPr>
              <w:spacing w:before="100" w:beforeAutospacing="1" w:after="100" w:afterAutospacing="1"/>
            </w:pPr>
            <w:r>
              <w:rPr>
                <w:sz w:val="17"/>
                <w:szCs w:val="17"/>
              </w:rPr>
              <w:t>Not estimated for Indian field populations</w:t>
            </w:r>
          </w:p>
        </w:tc>
        <w:tc>
          <w:tcPr>
            <w:tcW w:w="1226" w:type="dxa"/>
            <w:tcMar>
              <w:top w:w="60" w:type="dxa"/>
              <w:left w:w="80" w:type="dxa"/>
              <w:bottom w:w="60" w:type="dxa"/>
              <w:right w:w="80" w:type="dxa"/>
            </w:tcMar>
          </w:tcPr>
          <w:p w14:paraId="4C04E855" w14:textId="77777777" w:rsidR="00820B56" w:rsidRDefault="00000000" w:rsidP="00B403FD">
            <w:pPr>
              <w:spacing w:before="100" w:beforeAutospacing="1" w:after="100" w:afterAutospacing="1"/>
            </w:pPr>
            <w:r>
              <w:rPr>
                <w:sz w:val="17"/>
                <w:szCs w:val="17"/>
              </w:rPr>
              <w:t xml:space="preserve">Jagadeesan et al. (2012); </w:t>
            </w:r>
            <w:proofErr w:type="spellStart"/>
            <w:r>
              <w:rPr>
                <w:sz w:val="17"/>
                <w:szCs w:val="17"/>
              </w:rPr>
              <w:t>Tabashnik</w:t>
            </w:r>
            <w:proofErr w:type="spellEnd"/>
            <w:r>
              <w:rPr>
                <w:sz w:val="17"/>
                <w:szCs w:val="17"/>
              </w:rPr>
              <w:t xml:space="preserve"> et al. (2004)</w:t>
            </w:r>
          </w:p>
        </w:tc>
      </w:tr>
      <w:tr w:rsidR="00820B56" w14:paraId="2C260DE3" w14:textId="77777777">
        <w:tc>
          <w:tcPr>
            <w:tcW w:w="1300" w:type="dxa"/>
            <w:tcMar>
              <w:top w:w="60" w:type="dxa"/>
              <w:left w:w="80" w:type="dxa"/>
              <w:bottom w:w="60" w:type="dxa"/>
              <w:right w:w="80" w:type="dxa"/>
            </w:tcMar>
          </w:tcPr>
          <w:p w14:paraId="26AF0376" w14:textId="77777777" w:rsidR="00820B56" w:rsidRDefault="00000000" w:rsidP="00B403FD">
            <w:pPr>
              <w:spacing w:before="100" w:beforeAutospacing="1" w:after="100" w:afterAutospacing="1"/>
            </w:pPr>
            <w:r>
              <w:rPr>
                <w:sz w:val="17"/>
                <w:szCs w:val="17"/>
              </w:rPr>
              <w:t>Realised heritability</w:t>
            </w:r>
          </w:p>
        </w:tc>
        <w:tc>
          <w:tcPr>
            <w:tcW w:w="1700" w:type="dxa"/>
            <w:tcMar>
              <w:top w:w="60" w:type="dxa"/>
              <w:left w:w="80" w:type="dxa"/>
              <w:bottom w:w="60" w:type="dxa"/>
              <w:right w:w="80" w:type="dxa"/>
            </w:tcMar>
          </w:tcPr>
          <w:p w14:paraId="2324876E" w14:textId="77777777" w:rsidR="00820B56" w:rsidRDefault="00000000" w:rsidP="00B403FD">
            <w:pPr>
              <w:spacing w:before="100" w:beforeAutospacing="1" w:after="100" w:afterAutospacing="1"/>
            </w:pPr>
            <w:r>
              <w:rPr>
                <w:sz w:val="17"/>
                <w:szCs w:val="17"/>
              </w:rPr>
              <w:t>Response to selection relative to selection differential</w:t>
            </w:r>
          </w:p>
        </w:tc>
        <w:tc>
          <w:tcPr>
            <w:tcW w:w="1600" w:type="dxa"/>
            <w:tcMar>
              <w:top w:w="60" w:type="dxa"/>
              <w:left w:w="80" w:type="dxa"/>
              <w:bottom w:w="60" w:type="dxa"/>
              <w:right w:w="80" w:type="dxa"/>
            </w:tcMar>
          </w:tcPr>
          <w:p w14:paraId="4B6C5E54" w14:textId="77777777" w:rsidR="00820B56" w:rsidRDefault="00000000" w:rsidP="00B403FD">
            <w:pPr>
              <w:spacing w:before="100" w:beforeAutospacing="1" w:after="100" w:afterAutospacing="1"/>
            </w:pPr>
            <w:r>
              <w:rPr>
                <w:sz w:val="17"/>
                <w:szCs w:val="17"/>
              </w:rPr>
              <w:t>Multi-generation laboratory selection with recorded selection intensity</w:t>
            </w:r>
          </w:p>
        </w:tc>
        <w:tc>
          <w:tcPr>
            <w:tcW w:w="1700" w:type="dxa"/>
            <w:tcMar>
              <w:top w:w="60" w:type="dxa"/>
              <w:left w:w="80" w:type="dxa"/>
              <w:bottom w:w="60" w:type="dxa"/>
              <w:right w:w="80" w:type="dxa"/>
            </w:tcMar>
          </w:tcPr>
          <w:p w14:paraId="176B8E6A" w14:textId="77777777" w:rsidR="00820B56" w:rsidRDefault="00000000" w:rsidP="00B403FD">
            <w:pPr>
              <w:spacing w:before="100" w:beforeAutospacing="1" w:after="100" w:afterAutospacing="1"/>
            </w:pPr>
            <w:r>
              <w:rPr>
                <w:sz w:val="17"/>
                <w:szCs w:val="17"/>
              </w:rPr>
              <w:t>Laboratory selection intensity rarely matches field exposure</w:t>
            </w:r>
          </w:p>
        </w:tc>
        <w:tc>
          <w:tcPr>
            <w:tcW w:w="1500" w:type="dxa"/>
            <w:tcMar>
              <w:top w:w="60" w:type="dxa"/>
              <w:left w:w="80" w:type="dxa"/>
              <w:bottom w:w="60" w:type="dxa"/>
              <w:right w:w="80" w:type="dxa"/>
            </w:tcMar>
          </w:tcPr>
          <w:p w14:paraId="14434071" w14:textId="77777777" w:rsidR="00820B56" w:rsidRDefault="00000000" w:rsidP="00B403FD">
            <w:pPr>
              <w:spacing w:before="100" w:beforeAutospacing="1" w:after="100" w:afterAutospacing="1"/>
            </w:pPr>
            <w:r>
              <w:rPr>
                <w:sz w:val="17"/>
                <w:szCs w:val="17"/>
              </w:rPr>
              <w:t>Not reported for Indian cereal pests</w:t>
            </w:r>
          </w:p>
        </w:tc>
        <w:tc>
          <w:tcPr>
            <w:tcW w:w="1226" w:type="dxa"/>
            <w:tcMar>
              <w:top w:w="60" w:type="dxa"/>
              <w:left w:w="80" w:type="dxa"/>
              <w:bottom w:w="60" w:type="dxa"/>
              <w:right w:w="80" w:type="dxa"/>
            </w:tcMar>
          </w:tcPr>
          <w:p w14:paraId="730BF0E9" w14:textId="77777777" w:rsidR="00820B56" w:rsidRDefault="00000000" w:rsidP="00B403FD">
            <w:pPr>
              <w:spacing w:before="100" w:beforeAutospacing="1" w:after="100" w:afterAutospacing="1"/>
            </w:pPr>
            <w:r>
              <w:rPr>
                <w:sz w:val="17"/>
                <w:szCs w:val="17"/>
              </w:rPr>
              <w:t xml:space="preserve">Sun et al. (2024); </w:t>
            </w:r>
            <w:proofErr w:type="spellStart"/>
            <w:r>
              <w:rPr>
                <w:sz w:val="17"/>
                <w:szCs w:val="17"/>
              </w:rPr>
              <w:t>Tabashnik</w:t>
            </w:r>
            <w:proofErr w:type="spellEnd"/>
            <w:r>
              <w:rPr>
                <w:sz w:val="17"/>
                <w:szCs w:val="17"/>
              </w:rPr>
              <w:t xml:space="preserve"> et al. (2004)</w:t>
            </w:r>
          </w:p>
        </w:tc>
      </w:tr>
      <w:tr w:rsidR="00820B56" w14:paraId="256AFCD2" w14:textId="77777777">
        <w:tc>
          <w:tcPr>
            <w:tcW w:w="1300" w:type="dxa"/>
            <w:tcMar>
              <w:top w:w="60" w:type="dxa"/>
              <w:left w:w="80" w:type="dxa"/>
              <w:bottom w:w="60" w:type="dxa"/>
              <w:right w:w="80" w:type="dxa"/>
            </w:tcMar>
          </w:tcPr>
          <w:p w14:paraId="4AEF7F07" w14:textId="77777777" w:rsidR="00820B56" w:rsidRDefault="00000000" w:rsidP="00B403FD">
            <w:pPr>
              <w:spacing w:before="100" w:beforeAutospacing="1" w:after="100" w:afterAutospacing="1"/>
            </w:pPr>
            <w:r>
              <w:rPr>
                <w:sz w:val="17"/>
                <w:szCs w:val="17"/>
              </w:rPr>
              <w:t>Fitness cost</w:t>
            </w:r>
          </w:p>
        </w:tc>
        <w:tc>
          <w:tcPr>
            <w:tcW w:w="1700" w:type="dxa"/>
            <w:tcMar>
              <w:top w:w="60" w:type="dxa"/>
              <w:left w:w="80" w:type="dxa"/>
              <w:bottom w:w="60" w:type="dxa"/>
              <w:right w:w="80" w:type="dxa"/>
            </w:tcMar>
          </w:tcPr>
          <w:p w14:paraId="60E906E8" w14:textId="77777777" w:rsidR="00820B56" w:rsidRDefault="00000000" w:rsidP="00B403FD">
            <w:pPr>
              <w:spacing w:before="100" w:beforeAutospacing="1" w:after="100" w:afterAutospacing="1"/>
            </w:pPr>
            <w:r>
              <w:rPr>
                <w:sz w:val="17"/>
                <w:szCs w:val="17"/>
              </w:rPr>
              <w:t>Reduction in fitness of resistant genotypes without exposure</w:t>
            </w:r>
          </w:p>
        </w:tc>
        <w:tc>
          <w:tcPr>
            <w:tcW w:w="1600" w:type="dxa"/>
            <w:tcMar>
              <w:top w:w="60" w:type="dxa"/>
              <w:left w:w="80" w:type="dxa"/>
              <w:bottom w:w="60" w:type="dxa"/>
              <w:right w:w="80" w:type="dxa"/>
            </w:tcMar>
          </w:tcPr>
          <w:p w14:paraId="66BAEA8A" w14:textId="77777777" w:rsidR="00820B56" w:rsidRDefault="00000000" w:rsidP="00B403FD">
            <w:pPr>
              <w:spacing w:before="100" w:beforeAutospacing="1" w:after="100" w:afterAutospacing="1"/>
            </w:pPr>
            <w:r>
              <w:rPr>
                <w:sz w:val="17"/>
                <w:szCs w:val="17"/>
              </w:rPr>
              <w:t>Life-table comparison of near-isogenic lines under field-realistic conditions</w:t>
            </w:r>
          </w:p>
        </w:tc>
        <w:tc>
          <w:tcPr>
            <w:tcW w:w="1700" w:type="dxa"/>
            <w:tcMar>
              <w:top w:w="60" w:type="dxa"/>
              <w:left w:w="80" w:type="dxa"/>
              <w:bottom w:w="60" w:type="dxa"/>
              <w:right w:w="80" w:type="dxa"/>
            </w:tcMar>
          </w:tcPr>
          <w:p w14:paraId="2BC49E6E" w14:textId="77777777" w:rsidR="00820B56" w:rsidRDefault="00000000" w:rsidP="00B403FD">
            <w:pPr>
              <w:spacing w:before="100" w:beforeAutospacing="1" w:after="100" w:afterAutospacing="1"/>
            </w:pPr>
            <w:r>
              <w:rPr>
                <w:sz w:val="17"/>
                <w:szCs w:val="17"/>
              </w:rPr>
              <w:t>Unmatched genetic background and benign assay environment inflate or mask cost</w:t>
            </w:r>
          </w:p>
        </w:tc>
        <w:tc>
          <w:tcPr>
            <w:tcW w:w="1500" w:type="dxa"/>
            <w:tcMar>
              <w:top w:w="60" w:type="dxa"/>
              <w:left w:w="80" w:type="dxa"/>
              <w:bottom w:w="60" w:type="dxa"/>
              <w:right w:w="80" w:type="dxa"/>
            </w:tcMar>
          </w:tcPr>
          <w:p w14:paraId="30FEA3D3" w14:textId="77777777" w:rsidR="00820B56" w:rsidRDefault="00000000" w:rsidP="00B403FD">
            <w:pPr>
              <w:spacing w:before="100" w:beforeAutospacing="1" w:after="100" w:afterAutospacing="1"/>
            </w:pPr>
            <w:r>
              <w:rPr>
                <w:sz w:val="17"/>
                <w:szCs w:val="17"/>
              </w:rPr>
              <w:t>Not estimated with isogenic material for Indian populations</w:t>
            </w:r>
          </w:p>
        </w:tc>
        <w:tc>
          <w:tcPr>
            <w:tcW w:w="1226" w:type="dxa"/>
            <w:tcMar>
              <w:top w:w="60" w:type="dxa"/>
              <w:left w:w="80" w:type="dxa"/>
              <w:bottom w:w="60" w:type="dxa"/>
              <w:right w:w="80" w:type="dxa"/>
            </w:tcMar>
          </w:tcPr>
          <w:p w14:paraId="33DFA288" w14:textId="77777777" w:rsidR="00820B56" w:rsidRDefault="00000000" w:rsidP="00B403FD">
            <w:pPr>
              <w:spacing w:before="100" w:beforeAutospacing="1" w:after="100" w:afterAutospacing="1"/>
            </w:pPr>
            <w:r>
              <w:rPr>
                <w:sz w:val="17"/>
                <w:szCs w:val="17"/>
              </w:rPr>
              <w:t>Freeman et al. (2021); Gul et al. (2023)</w:t>
            </w:r>
          </w:p>
        </w:tc>
      </w:tr>
      <w:tr w:rsidR="00820B56" w14:paraId="0CB03D68" w14:textId="77777777">
        <w:tc>
          <w:tcPr>
            <w:tcW w:w="1300" w:type="dxa"/>
            <w:tcMar>
              <w:top w:w="60" w:type="dxa"/>
              <w:left w:w="80" w:type="dxa"/>
              <w:bottom w:w="60" w:type="dxa"/>
              <w:right w:w="80" w:type="dxa"/>
            </w:tcMar>
          </w:tcPr>
          <w:p w14:paraId="1471CDB9" w14:textId="77777777" w:rsidR="00820B56" w:rsidRDefault="00000000" w:rsidP="00B403FD">
            <w:pPr>
              <w:spacing w:before="100" w:beforeAutospacing="1" w:after="100" w:afterAutospacing="1"/>
            </w:pPr>
            <w:r>
              <w:rPr>
                <w:sz w:val="17"/>
                <w:szCs w:val="17"/>
              </w:rPr>
              <w:lastRenderedPageBreak/>
              <w:t>Compensatory modification</w:t>
            </w:r>
          </w:p>
        </w:tc>
        <w:tc>
          <w:tcPr>
            <w:tcW w:w="1700" w:type="dxa"/>
            <w:tcMar>
              <w:top w:w="60" w:type="dxa"/>
              <w:left w:w="80" w:type="dxa"/>
              <w:bottom w:w="60" w:type="dxa"/>
              <w:right w:w="80" w:type="dxa"/>
            </w:tcMar>
          </w:tcPr>
          <w:p w14:paraId="6CEDE5FB" w14:textId="77777777" w:rsidR="00820B56" w:rsidRDefault="00000000" w:rsidP="00B403FD">
            <w:pPr>
              <w:spacing w:before="100" w:beforeAutospacing="1" w:after="100" w:afterAutospacing="1"/>
            </w:pPr>
            <w:r>
              <w:rPr>
                <w:sz w:val="17"/>
                <w:szCs w:val="17"/>
              </w:rPr>
              <w:t>Secondary alleles that offset the cost of a resistance allele</w:t>
            </w:r>
          </w:p>
        </w:tc>
        <w:tc>
          <w:tcPr>
            <w:tcW w:w="1600" w:type="dxa"/>
            <w:tcMar>
              <w:top w:w="60" w:type="dxa"/>
              <w:left w:w="80" w:type="dxa"/>
              <w:bottom w:w="60" w:type="dxa"/>
              <w:right w:w="80" w:type="dxa"/>
            </w:tcMar>
          </w:tcPr>
          <w:p w14:paraId="7D9CBBBA" w14:textId="77777777" w:rsidR="00820B56" w:rsidRDefault="00000000" w:rsidP="00B403FD">
            <w:pPr>
              <w:spacing w:before="100" w:beforeAutospacing="1" w:after="100" w:afterAutospacing="1"/>
            </w:pPr>
            <w:r>
              <w:rPr>
                <w:sz w:val="17"/>
                <w:szCs w:val="17"/>
              </w:rPr>
              <w:t>Population genomic scanning coupled with functional assay</w:t>
            </w:r>
          </w:p>
        </w:tc>
        <w:tc>
          <w:tcPr>
            <w:tcW w:w="1700" w:type="dxa"/>
            <w:tcMar>
              <w:top w:w="60" w:type="dxa"/>
              <w:left w:w="80" w:type="dxa"/>
              <w:bottom w:w="60" w:type="dxa"/>
              <w:right w:w="80" w:type="dxa"/>
            </w:tcMar>
          </w:tcPr>
          <w:p w14:paraId="00DABDFE" w14:textId="77777777" w:rsidR="00820B56" w:rsidRDefault="00000000" w:rsidP="00B403FD">
            <w:pPr>
              <w:spacing w:before="100" w:beforeAutospacing="1" w:after="100" w:afterAutospacing="1"/>
            </w:pPr>
            <w:r>
              <w:rPr>
                <w:sz w:val="17"/>
                <w:szCs w:val="17"/>
              </w:rPr>
              <w:t>Modifiers are invisible to phenotype-only monitoring</w:t>
            </w:r>
          </w:p>
        </w:tc>
        <w:tc>
          <w:tcPr>
            <w:tcW w:w="1500" w:type="dxa"/>
            <w:tcMar>
              <w:top w:w="60" w:type="dxa"/>
              <w:left w:w="80" w:type="dxa"/>
              <w:bottom w:w="60" w:type="dxa"/>
              <w:right w:w="80" w:type="dxa"/>
            </w:tcMar>
          </w:tcPr>
          <w:p w14:paraId="62B770A5" w14:textId="77777777" w:rsidR="00820B56" w:rsidRDefault="00000000" w:rsidP="00B403FD">
            <w:pPr>
              <w:spacing w:before="100" w:beforeAutospacing="1" w:after="100" w:afterAutospacing="1"/>
            </w:pPr>
            <w:r>
              <w:rPr>
                <w:sz w:val="17"/>
                <w:szCs w:val="17"/>
              </w:rPr>
              <w:t>Not investigated in Indian populations</w:t>
            </w:r>
          </w:p>
        </w:tc>
        <w:tc>
          <w:tcPr>
            <w:tcW w:w="1226" w:type="dxa"/>
            <w:tcMar>
              <w:top w:w="60" w:type="dxa"/>
              <w:left w:w="80" w:type="dxa"/>
              <w:bottom w:w="60" w:type="dxa"/>
              <w:right w:w="80" w:type="dxa"/>
            </w:tcMar>
          </w:tcPr>
          <w:p w14:paraId="32694CB3" w14:textId="77777777" w:rsidR="00820B56" w:rsidRDefault="00000000" w:rsidP="00B403FD">
            <w:pPr>
              <w:spacing w:before="100" w:beforeAutospacing="1" w:after="100" w:afterAutospacing="1"/>
            </w:pPr>
            <w:r>
              <w:rPr>
                <w:sz w:val="17"/>
                <w:szCs w:val="17"/>
              </w:rPr>
              <w:t xml:space="preserve">Pang et al. (2021); </w:t>
            </w:r>
            <w:proofErr w:type="spellStart"/>
            <w:r>
              <w:rPr>
                <w:sz w:val="17"/>
                <w:szCs w:val="17"/>
              </w:rPr>
              <w:t>Schlipalius</w:t>
            </w:r>
            <w:proofErr w:type="spellEnd"/>
            <w:r>
              <w:rPr>
                <w:sz w:val="17"/>
                <w:szCs w:val="17"/>
              </w:rPr>
              <w:t xml:space="preserve"> et al. (2008)</w:t>
            </w:r>
          </w:p>
        </w:tc>
      </w:tr>
      <w:tr w:rsidR="00820B56" w14:paraId="6B845061" w14:textId="77777777">
        <w:tc>
          <w:tcPr>
            <w:tcW w:w="1300" w:type="dxa"/>
            <w:tcMar>
              <w:top w:w="60" w:type="dxa"/>
              <w:left w:w="80" w:type="dxa"/>
              <w:bottom w:w="60" w:type="dxa"/>
              <w:right w:w="80" w:type="dxa"/>
            </w:tcMar>
          </w:tcPr>
          <w:p w14:paraId="6030721B" w14:textId="77777777" w:rsidR="00820B56" w:rsidRDefault="00000000" w:rsidP="00B403FD">
            <w:pPr>
              <w:spacing w:before="100" w:beforeAutospacing="1" w:after="100" w:afterAutospacing="1"/>
            </w:pPr>
            <w:r>
              <w:rPr>
                <w:sz w:val="17"/>
                <w:szCs w:val="17"/>
              </w:rPr>
              <w:t>Gene flow and dispersal scale</w:t>
            </w:r>
          </w:p>
        </w:tc>
        <w:tc>
          <w:tcPr>
            <w:tcW w:w="1700" w:type="dxa"/>
            <w:tcMar>
              <w:top w:w="60" w:type="dxa"/>
              <w:left w:w="80" w:type="dxa"/>
              <w:bottom w:w="60" w:type="dxa"/>
              <w:right w:w="80" w:type="dxa"/>
            </w:tcMar>
          </w:tcPr>
          <w:p w14:paraId="3D965FE8" w14:textId="77777777" w:rsidR="00820B56" w:rsidRDefault="00000000" w:rsidP="00B403FD">
            <w:pPr>
              <w:spacing w:before="100" w:beforeAutospacing="1" w:after="100" w:afterAutospacing="1"/>
            </w:pPr>
            <w:r>
              <w:rPr>
                <w:sz w:val="17"/>
                <w:szCs w:val="17"/>
              </w:rPr>
              <w:t>Distance over which allele frequencies are homogenised per generation</w:t>
            </w:r>
          </w:p>
        </w:tc>
        <w:tc>
          <w:tcPr>
            <w:tcW w:w="1600" w:type="dxa"/>
            <w:tcMar>
              <w:top w:w="60" w:type="dxa"/>
              <w:left w:w="80" w:type="dxa"/>
              <w:bottom w:w="60" w:type="dxa"/>
              <w:right w:w="80" w:type="dxa"/>
            </w:tcMar>
          </w:tcPr>
          <w:p w14:paraId="4CEA28EA" w14:textId="77777777" w:rsidR="00820B56" w:rsidRDefault="00000000" w:rsidP="00B403FD">
            <w:pPr>
              <w:spacing w:before="100" w:beforeAutospacing="1" w:after="100" w:afterAutospacing="1"/>
            </w:pPr>
            <w:r>
              <w:rPr>
                <w:sz w:val="17"/>
                <w:szCs w:val="17"/>
              </w:rPr>
              <w:t>Population genetic structure; synchronised multi-site monitoring</w:t>
            </w:r>
          </w:p>
        </w:tc>
        <w:tc>
          <w:tcPr>
            <w:tcW w:w="1700" w:type="dxa"/>
            <w:tcMar>
              <w:top w:w="60" w:type="dxa"/>
              <w:left w:w="80" w:type="dxa"/>
              <w:bottom w:w="60" w:type="dxa"/>
              <w:right w:w="80" w:type="dxa"/>
            </w:tcMar>
          </w:tcPr>
          <w:p w14:paraId="4E30667C" w14:textId="77777777" w:rsidR="00820B56" w:rsidRDefault="00000000" w:rsidP="00B403FD">
            <w:pPr>
              <w:spacing w:before="100" w:beforeAutospacing="1" w:after="100" w:afterAutospacing="1"/>
            </w:pPr>
            <w:r>
              <w:rPr>
                <w:sz w:val="17"/>
                <w:szCs w:val="17"/>
              </w:rPr>
              <w:t>Marker resolution too low to detect recent migration</w:t>
            </w:r>
          </w:p>
        </w:tc>
        <w:tc>
          <w:tcPr>
            <w:tcW w:w="1500" w:type="dxa"/>
            <w:tcMar>
              <w:top w:w="60" w:type="dxa"/>
              <w:left w:w="80" w:type="dxa"/>
              <w:bottom w:w="60" w:type="dxa"/>
              <w:right w:w="80" w:type="dxa"/>
            </w:tcMar>
          </w:tcPr>
          <w:p w14:paraId="31D875D8" w14:textId="77777777" w:rsidR="00820B56" w:rsidRDefault="00000000" w:rsidP="00B403FD">
            <w:pPr>
              <w:spacing w:before="100" w:beforeAutospacing="1" w:after="100" w:afterAutospacing="1"/>
            </w:pPr>
            <w:r>
              <w:rPr>
                <w:sz w:val="17"/>
                <w:szCs w:val="17"/>
              </w:rPr>
              <w:t>Inferred regionally from multi-country surveys, not measured within India</w:t>
            </w:r>
          </w:p>
        </w:tc>
        <w:tc>
          <w:tcPr>
            <w:tcW w:w="1226" w:type="dxa"/>
            <w:tcMar>
              <w:top w:w="60" w:type="dxa"/>
              <w:left w:w="80" w:type="dxa"/>
              <w:bottom w:w="60" w:type="dxa"/>
              <w:right w:w="80" w:type="dxa"/>
            </w:tcMar>
          </w:tcPr>
          <w:p w14:paraId="582DAE4B" w14:textId="77777777" w:rsidR="00820B56" w:rsidRDefault="00000000" w:rsidP="00B403FD">
            <w:pPr>
              <w:spacing w:before="100" w:beforeAutospacing="1" w:after="100" w:afterAutospacing="1"/>
            </w:pPr>
            <w:r>
              <w:rPr>
                <w:sz w:val="17"/>
                <w:szCs w:val="17"/>
              </w:rPr>
              <w:t>Horgan et al. (2015); Matsumura et al. (2018)</w:t>
            </w:r>
          </w:p>
        </w:tc>
      </w:tr>
      <w:tr w:rsidR="00820B56" w14:paraId="7658F288" w14:textId="77777777">
        <w:tc>
          <w:tcPr>
            <w:tcW w:w="1300" w:type="dxa"/>
            <w:tcMar>
              <w:top w:w="60" w:type="dxa"/>
              <w:left w:w="80" w:type="dxa"/>
              <w:bottom w:w="60" w:type="dxa"/>
              <w:right w:w="80" w:type="dxa"/>
            </w:tcMar>
          </w:tcPr>
          <w:p w14:paraId="4E0C90F9" w14:textId="77777777" w:rsidR="00820B56" w:rsidRDefault="00000000" w:rsidP="00B403FD">
            <w:pPr>
              <w:spacing w:before="100" w:beforeAutospacing="1" w:after="100" w:afterAutospacing="1"/>
            </w:pPr>
            <w:r>
              <w:rPr>
                <w:sz w:val="17"/>
                <w:szCs w:val="17"/>
              </w:rPr>
              <w:t>Cross-resistance structure</w:t>
            </w:r>
          </w:p>
        </w:tc>
        <w:tc>
          <w:tcPr>
            <w:tcW w:w="1700" w:type="dxa"/>
            <w:tcMar>
              <w:top w:w="60" w:type="dxa"/>
              <w:left w:w="80" w:type="dxa"/>
              <w:bottom w:w="60" w:type="dxa"/>
              <w:right w:w="80" w:type="dxa"/>
            </w:tcMar>
          </w:tcPr>
          <w:p w14:paraId="5322847C" w14:textId="77777777" w:rsidR="00820B56" w:rsidRDefault="00000000" w:rsidP="00B403FD">
            <w:pPr>
              <w:spacing w:before="100" w:beforeAutospacing="1" w:after="100" w:afterAutospacing="1"/>
            </w:pPr>
            <w:r>
              <w:rPr>
                <w:sz w:val="17"/>
                <w:szCs w:val="17"/>
              </w:rPr>
              <w:t>Correlation of susceptibility across modes of action</w:t>
            </w:r>
          </w:p>
        </w:tc>
        <w:tc>
          <w:tcPr>
            <w:tcW w:w="1600" w:type="dxa"/>
            <w:tcMar>
              <w:top w:w="60" w:type="dxa"/>
              <w:left w:w="80" w:type="dxa"/>
              <w:bottom w:w="60" w:type="dxa"/>
              <w:right w:w="80" w:type="dxa"/>
            </w:tcMar>
          </w:tcPr>
          <w:p w14:paraId="6E4175B1" w14:textId="77777777" w:rsidR="00820B56" w:rsidRDefault="00000000" w:rsidP="00B403FD">
            <w:pPr>
              <w:spacing w:before="100" w:beforeAutospacing="1" w:after="100" w:afterAutospacing="1"/>
            </w:pPr>
            <w:r>
              <w:rPr>
                <w:sz w:val="17"/>
                <w:szCs w:val="17"/>
              </w:rPr>
              <w:t>Correlation of lethal concentration estimates across compounds in shared populations</w:t>
            </w:r>
          </w:p>
        </w:tc>
        <w:tc>
          <w:tcPr>
            <w:tcW w:w="1700" w:type="dxa"/>
            <w:tcMar>
              <w:top w:w="60" w:type="dxa"/>
              <w:left w:w="80" w:type="dxa"/>
              <w:bottom w:w="60" w:type="dxa"/>
              <w:right w:w="80" w:type="dxa"/>
            </w:tcMar>
          </w:tcPr>
          <w:p w14:paraId="604CEFAD" w14:textId="77777777" w:rsidR="00820B56" w:rsidRDefault="00000000" w:rsidP="00B403FD">
            <w:pPr>
              <w:spacing w:before="100" w:beforeAutospacing="1" w:after="100" w:afterAutospacing="1"/>
            </w:pPr>
            <w:r>
              <w:rPr>
                <w:sz w:val="17"/>
                <w:szCs w:val="17"/>
              </w:rPr>
              <w:t>Correlation without mechanism confuses shared exposure with shared mechanism</w:t>
            </w:r>
          </w:p>
        </w:tc>
        <w:tc>
          <w:tcPr>
            <w:tcW w:w="1500" w:type="dxa"/>
            <w:tcMar>
              <w:top w:w="60" w:type="dxa"/>
              <w:left w:w="80" w:type="dxa"/>
              <w:bottom w:w="60" w:type="dxa"/>
              <w:right w:w="80" w:type="dxa"/>
            </w:tcMar>
          </w:tcPr>
          <w:p w14:paraId="02939ABD" w14:textId="77777777" w:rsidR="00820B56" w:rsidRDefault="00000000" w:rsidP="00B403FD">
            <w:pPr>
              <w:spacing w:before="100" w:beforeAutospacing="1" w:after="100" w:afterAutospacing="1"/>
            </w:pPr>
            <w:r>
              <w:rPr>
                <w:sz w:val="17"/>
                <w:szCs w:val="17"/>
              </w:rPr>
              <w:t>Limited to phenotypic correlations in multi-compound screens</w:t>
            </w:r>
          </w:p>
        </w:tc>
        <w:tc>
          <w:tcPr>
            <w:tcW w:w="1226" w:type="dxa"/>
            <w:tcMar>
              <w:top w:w="60" w:type="dxa"/>
              <w:left w:w="80" w:type="dxa"/>
              <w:bottom w:w="60" w:type="dxa"/>
              <w:right w:w="80" w:type="dxa"/>
            </w:tcMar>
          </w:tcPr>
          <w:p w14:paraId="73A404CC" w14:textId="77777777" w:rsidR="00820B56" w:rsidRDefault="00000000" w:rsidP="00B403FD">
            <w:pPr>
              <w:spacing w:before="100" w:beforeAutospacing="1" w:after="100" w:afterAutospacing="1"/>
            </w:pPr>
            <w:r>
              <w:rPr>
                <w:sz w:val="17"/>
                <w:szCs w:val="17"/>
              </w:rPr>
              <w:t>Li et al. (2020); Wu et al. (2022)</w:t>
            </w:r>
          </w:p>
        </w:tc>
      </w:tr>
    </w:tbl>
    <w:p w14:paraId="4D5D35E1" w14:textId="77777777" w:rsidR="00820B56" w:rsidRDefault="00000000" w:rsidP="00B403FD">
      <w:pPr>
        <w:spacing w:before="100" w:beforeAutospacing="1" w:after="100" w:afterAutospacing="1"/>
      </w:pPr>
      <w:r>
        <w:rPr>
          <w:sz w:val="18"/>
          <w:szCs w:val="18"/>
        </w:rPr>
        <w:t>Note. F2 = second filial generation. Status assessments refer to peer-reviewed studies of Indian populations of pests of rice, wheat, maize or stored cereals identified during this review, and describe the availability of parameter estimates rather than the absence of relevant biology.</w:t>
      </w:r>
    </w:p>
    <w:p w14:paraId="0BE8D6ED" w14:textId="77777777" w:rsidR="00820B56" w:rsidRDefault="00000000" w:rsidP="00B403FD">
      <w:pPr>
        <w:pStyle w:val="Heading1"/>
        <w:spacing w:before="100" w:beforeAutospacing="1" w:after="100" w:afterAutospacing="1"/>
      </w:pPr>
      <w:r>
        <w:rPr>
          <w:b/>
          <w:bCs/>
          <w:color w:val="000000"/>
          <w:sz w:val="26"/>
          <w:szCs w:val="26"/>
        </w:rPr>
        <w:t>4. The Indian Cereal Selection Landscape</w:t>
      </w:r>
    </w:p>
    <w:p w14:paraId="7E8A01EF" w14:textId="77777777" w:rsidR="00820B56" w:rsidRDefault="00000000" w:rsidP="00B403FD">
      <w:pPr>
        <w:spacing w:before="100" w:beforeAutospacing="1" w:after="100" w:afterAutospacing="1"/>
        <w:jc w:val="both"/>
      </w:pPr>
      <w:r>
        <w:t>Predicting the trajectory of resistance requires a description of the selection regime that a production system actually imposes. Four features of Indian cereal agriculture are consequential, and they interact rather than acting independently.</w:t>
      </w:r>
    </w:p>
    <w:p w14:paraId="0F7924BD" w14:textId="77777777" w:rsidR="00820B56" w:rsidRDefault="00000000" w:rsidP="00B403FD">
      <w:pPr>
        <w:pStyle w:val="Heading2"/>
        <w:spacing w:before="100" w:beforeAutospacing="1" w:after="100" w:afterAutospacing="1"/>
      </w:pPr>
      <w:r>
        <w:rPr>
          <w:b/>
          <w:bCs/>
          <w:color w:val="000000"/>
          <w:sz w:val="23"/>
          <w:szCs w:val="23"/>
        </w:rPr>
        <w:t>4.1 Continuity of host availability and generation turnover</w:t>
      </w:r>
    </w:p>
    <w:p w14:paraId="35832454" w14:textId="77777777" w:rsidR="00820B56" w:rsidRDefault="00000000" w:rsidP="00B403FD">
      <w:pPr>
        <w:spacing w:before="100" w:beforeAutospacing="1" w:after="100" w:afterAutospacing="1"/>
        <w:jc w:val="both"/>
      </w:pPr>
      <w:r>
        <w:t xml:space="preserve">Irrigated rice tracts in the peninsular and eastern states, and the rice-wheat rotation of the Indo-Gangetic Plain, provide host tissue for the greater part of the year, interrupted by fallow periods that are often short and spatially patchy rather than regionally synchronous. Continuous host availability supports overlapping generations, and </w:t>
      </w:r>
      <w:proofErr w:type="spellStart"/>
      <w:r>
        <w:t>multivoltinism</w:t>
      </w:r>
      <w:proofErr w:type="spellEnd"/>
      <w:r>
        <w:t xml:space="preserve"> compresses the time over which a given number of selection events occur. For planthoppers with several generations per crop season, a compound applied two or three times per season may impose selection on successive rather than alternating generations, which is functionally equivalent to continuous exposure. Warming and elevated atmospheric carbon dioxide are expected to modify this turnover further; experimental work under Indian conditions indicated that elevated carbon dioxide and temperature alter population growth in </w:t>
      </w:r>
      <w:r>
        <w:rPr>
          <w:i/>
          <w:iCs/>
        </w:rPr>
        <w:t xml:space="preserve">N. </w:t>
      </w:r>
      <w:proofErr w:type="spellStart"/>
      <w:r>
        <w:rPr>
          <w:i/>
          <w:iCs/>
        </w:rPr>
        <w:t>lugens</w:t>
      </w:r>
      <w:proofErr w:type="spellEnd"/>
      <w:r>
        <w:t>, with implications for the number of generations that experience selection within a season (</w:t>
      </w:r>
      <w:proofErr w:type="spellStart"/>
      <w:r>
        <w:t>Vailla</w:t>
      </w:r>
      <w:proofErr w:type="spellEnd"/>
      <w:r>
        <w:t xml:space="preserve"> et al., 2019). The direction and magnitude of such effects remain uncertain, and the available Indian evidence is derived from controlled-environment rather than field studies, so the inference should be treated as provisional.</w:t>
      </w:r>
    </w:p>
    <w:p w14:paraId="031570CD" w14:textId="77777777" w:rsidR="00820B56" w:rsidRDefault="00000000" w:rsidP="00B403FD">
      <w:pPr>
        <w:pStyle w:val="Heading2"/>
        <w:spacing w:before="100" w:beforeAutospacing="1" w:after="100" w:afterAutospacing="1"/>
      </w:pPr>
      <w:r>
        <w:rPr>
          <w:b/>
          <w:bCs/>
          <w:color w:val="000000"/>
          <w:sz w:val="23"/>
          <w:szCs w:val="23"/>
        </w:rPr>
        <w:t>4.2 Erosion of mode-of-action diversity in the applied chemistry</w:t>
      </w:r>
    </w:p>
    <w:p w14:paraId="68952A7B" w14:textId="77777777" w:rsidR="00820B56" w:rsidRDefault="00000000" w:rsidP="00B403FD">
      <w:pPr>
        <w:spacing w:before="100" w:beforeAutospacing="1" w:after="100" w:afterAutospacing="1"/>
        <w:jc w:val="both"/>
      </w:pPr>
      <w:r>
        <w:t xml:space="preserve">Resistance management by chemical means depends on the availability of distinct modes of action and on their use in a pattern that generates heterogeneity of selection (Sparks &amp; </w:t>
      </w:r>
      <w:proofErr w:type="spellStart"/>
      <w:r>
        <w:t>Nauen</w:t>
      </w:r>
      <w:proofErr w:type="spellEnd"/>
      <w:r>
        <w:t xml:space="preserve">, 2015; Sparks et al., 2021). The number of classified modes of action has grown, and recent additions include </w:t>
      </w:r>
      <w:proofErr w:type="spellStart"/>
      <w:r>
        <w:t>mesoionic</w:t>
      </w:r>
      <w:proofErr w:type="spellEnd"/>
      <w:r>
        <w:t xml:space="preserve"> and </w:t>
      </w:r>
      <w:proofErr w:type="spellStart"/>
      <w:r>
        <w:t>sulfoximine</w:t>
      </w:r>
      <w:proofErr w:type="spellEnd"/>
      <w:r>
        <w:t xml:space="preserve"> chemistries with utility against planthoppers, but the number in routine use against any given pest is far smaller than the number classified (Sparks et al., 2020). Where a small set of compounds dominates practice because of price, availability, distributor promotion or perceived speed of action, the effective diversity of selection collapses towards a single axis regardless of how many products carry different trade names. The situation is aggravated where compounds that share a mode of action are perceived as different because they are marketed under different chemical family names, </w:t>
      </w:r>
      <w:r>
        <w:lastRenderedPageBreak/>
        <w:t>a confusion that the mode-of-action classification scheme was designed to prevent but which persists where labels do not carry group codes or where advisory material does not reference them.</w:t>
      </w:r>
    </w:p>
    <w:p w14:paraId="3D8BB1DD" w14:textId="77777777" w:rsidR="00820B56" w:rsidRDefault="00000000" w:rsidP="00B403FD">
      <w:pPr>
        <w:spacing w:before="100" w:beforeAutospacing="1" w:after="100" w:afterAutospacing="1"/>
        <w:jc w:val="both"/>
      </w:pPr>
      <w:r>
        <w:t xml:space="preserve">The consequences are visible in the resistance profiles reported for Asian planthoppers. In Chinese field populations of </w:t>
      </w:r>
      <w:r>
        <w:rPr>
          <w:i/>
          <w:iCs/>
        </w:rPr>
        <w:t xml:space="preserve">N. </w:t>
      </w:r>
      <w:proofErr w:type="spellStart"/>
      <w:r>
        <w:rPr>
          <w:i/>
          <w:iCs/>
        </w:rPr>
        <w:t>lugens</w:t>
      </w:r>
      <w:proofErr w:type="spellEnd"/>
      <w:r>
        <w:t xml:space="preserve"> sampled between 2012 and 2016, extremely high resistance had developed to imidacloprid, thiamethoxam and </w:t>
      </w:r>
      <w:proofErr w:type="spellStart"/>
      <w:r>
        <w:t>buprofezin</w:t>
      </w:r>
      <w:proofErr w:type="spellEnd"/>
      <w:r>
        <w:t xml:space="preserve"> simultaneously, and synergism with piperonyl butoxide together with functional expression studies attributed a substantial part of that resistance to a single P450, </w:t>
      </w:r>
      <w:r>
        <w:rPr>
          <w:i/>
          <w:iCs/>
        </w:rPr>
        <w:t>CYP6ER1</w:t>
      </w:r>
      <w:r>
        <w:t xml:space="preserve"> (Wu et al., 2018). A mechanism capable of metabolising compounds from more than one chemical class collapses the practical distinction between those classes, so that alternation between them does not deliver the heterogeneity of selection that the rotation was intended to create (REX Consortium, 2013).</w:t>
      </w:r>
    </w:p>
    <w:p w14:paraId="33333B76" w14:textId="77777777" w:rsidR="00820B56" w:rsidRDefault="00000000" w:rsidP="00B403FD">
      <w:pPr>
        <w:pStyle w:val="Heading2"/>
        <w:spacing w:before="100" w:beforeAutospacing="1" w:after="100" w:afterAutospacing="1"/>
      </w:pPr>
      <w:r>
        <w:rPr>
          <w:b/>
          <w:bCs/>
          <w:color w:val="000000"/>
          <w:sz w:val="23"/>
          <w:szCs w:val="23"/>
        </w:rPr>
        <w:t>4.3 Regulatory, market and advisory determinants of realised selection</w:t>
      </w:r>
    </w:p>
    <w:p w14:paraId="4F7CDEFB" w14:textId="77777777" w:rsidR="00820B56" w:rsidRDefault="00000000" w:rsidP="00B403FD">
      <w:pPr>
        <w:spacing w:before="100" w:beforeAutospacing="1" w:after="100" w:afterAutospacing="1"/>
        <w:jc w:val="both"/>
      </w:pPr>
      <w:r>
        <w:t xml:space="preserve">The dose an insect experiences </w:t>
      </w:r>
      <w:proofErr w:type="gramStart"/>
      <w:r>
        <w:t>is</w:t>
      </w:r>
      <w:proofErr w:type="gramEnd"/>
      <w:r>
        <w:t xml:space="preserve"> determined not by the label but by the product purchased, the sprayer used and the decision rule applied. Regulatory analysis of the Indian pesticide sector has documented the structure of national registration and prohibition under the governing legislation, and the sequence of restrictions applied to particular compounds over time (Bonvoisin et al., 2020). Regulatory withdrawal is an important evolutionary intervention, because removing a compound both relaxes selection at that locus and redistributes selection onto the remaining chemistry, but its effect on resistance dynamics in Indian cereal pests has not been evaluated empirically. Where withdrawal concentrates use onto a smaller set of surviving modes of action, the net evolutionary effect may be to accelerate rather than delay adaptation, and this possibility has not been tested.</w:t>
      </w:r>
    </w:p>
    <w:p w14:paraId="0483171B" w14:textId="77777777" w:rsidR="00820B56" w:rsidRDefault="00000000" w:rsidP="00B403FD">
      <w:pPr>
        <w:spacing w:before="100" w:beforeAutospacing="1" w:after="100" w:afterAutospacing="1"/>
        <w:jc w:val="both"/>
      </w:pPr>
      <w:r>
        <w:t>Advisory practice compounds the problem. Recommendations derived from efficacy trials describe which product performed best at a given site in a given season, which is a legitimate agronomic output but is not an estimate of resistance status and cannot be used to infer the durability of a compound. Integrated pest management has been promoted in Indian cereals for decades, yet critical assessment of its global implementation indicates a persistent gap between the principles articulated in policy and the practices adopted in fields, with chemical control retaining primacy in most systems where it has been evaluated (</w:t>
      </w:r>
      <w:proofErr w:type="spellStart"/>
      <w:r>
        <w:t>Deguine</w:t>
      </w:r>
      <w:proofErr w:type="spellEnd"/>
      <w:r>
        <w:t xml:space="preserve"> et al., 2021). Where insecticide use remains calendar-based rather than threshold-based, the frequency of selection events is decoupled from pest density, and the relationship between economic justification and evolutionary cost is severed.</w:t>
      </w:r>
    </w:p>
    <w:p w14:paraId="341A2B12" w14:textId="77777777" w:rsidR="00820B56" w:rsidRDefault="00000000" w:rsidP="00B403FD">
      <w:pPr>
        <w:pStyle w:val="Heading2"/>
        <w:spacing w:before="100" w:beforeAutospacing="1" w:after="100" w:afterAutospacing="1"/>
      </w:pPr>
      <w:r>
        <w:rPr>
          <w:b/>
          <w:bCs/>
          <w:color w:val="000000"/>
          <w:sz w:val="23"/>
          <w:szCs w:val="23"/>
        </w:rPr>
        <w:t xml:space="preserve">4.4 </w:t>
      </w:r>
      <w:proofErr w:type="gramStart"/>
      <w:r>
        <w:rPr>
          <w:b/>
          <w:bCs/>
          <w:color w:val="000000"/>
          <w:sz w:val="23"/>
          <w:szCs w:val="23"/>
        </w:rPr>
        <w:t>Post-harvest</w:t>
      </w:r>
      <w:proofErr w:type="gramEnd"/>
      <w:r>
        <w:rPr>
          <w:b/>
          <w:bCs/>
          <w:color w:val="000000"/>
          <w:sz w:val="23"/>
          <w:szCs w:val="23"/>
        </w:rPr>
        <w:t xml:space="preserve"> fumigation as a separate selection arena</w:t>
      </w:r>
    </w:p>
    <w:p w14:paraId="6AF31738" w14:textId="77777777" w:rsidR="00820B56" w:rsidRDefault="00000000" w:rsidP="00B403FD">
      <w:pPr>
        <w:spacing w:before="100" w:beforeAutospacing="1" w:after="100" w:afterAutospacing="1"/>
        <w:jc w:val="both"/>
      </w:pPr>
      <w:r>
        <w:t>Stored cereal grain constitutes a selection environment with properties distinct from the field. Populations are enclosed, generations are rapid, the toxicant is a single compound applied repeatedly, and the effective dose depends on the gas-tightness of structures that are frequently improvised. Phosphine has been the dominant fumigant worldwide for decades, and the operational consequence of that dominance is a monotonic selection regime with almost no mode-of-action diversity available as an alternative (</w:t>
      </w:r>
      <w:proofErr w:type="spellStart"/>
      <w:r>
        <w:t>Hagstrum</w:t>
      </w:r>
      <w:proofErr w:type="spellEnd"/>
      <w:r>
        <w:t xml:space="preserve"> &amp; Phillips, 2017). Australian monitoring over an extended period showed that resistance frequencies in </w:t>
      </w:r>
      <w:r>
        <w:rPr>
          <w:i/>
          <w:iCs/>
        </w:rPr>
        <w:t xml:space="preserve">Tribolium </w:t>
      </w:r>
      <w:proofErr w:type="spellStart"/>
      <w:r>
        <w:rPr>
          <w:i/>
          <w:iCs/>
        </w:rPr>
        <w:t>castaneum</w:t>
      </w:r>
      <w:proofErr w:type="spellEnd"/>
      <w:r>
        <w:t xml:space="preserve"> increased in association with identifiable operational factors, demonstrating that the trajectory is not inevitable but is a function of fumigation practice (Nayak et al., 2017). India differs from Australia in the prevalence of small and structurally imperfect storage, and this difference is expected to produce systematically lower realised concentrations and correspondingly stronger selection on heterozygotes.</w:t>
      </w:r>
    </w:p>
    <w:p w14:paraId="0ACEBCB4" w14:textId="77777777" w:rsidR="00820B56" w:rsidRDefault="00000000" w:rsidP="00B403FD">
      <w:pPr>
        <w:spacing w:before="100" w:beforeAutospacing="1" w:after="100" w:afterAutospacing="1"/>
        <w:jc w:val="both"/>
      </w:pPr>
      <w:r>
        <w:t xml:space="preserve">Table 2 compares the selection regimes imposed by four Indian cereal sub-ecosystems and states the resistance outcome that evolutionary theory predicts for each. The comparison shows that the sub-ecosystems differ less in the intensity of selection than in the scale over which its effects are integrated and in the availability of alternative chemistry. Irrigated rice combines high generation turnover with long-distance dispersal, so that local management is unlikely to be effective in isolation; stored grain combines high turnover with confinement and near-zero chemical diversity, so that management must </w:t>
      </w:r>
      <w:r>
        <w:lastRenderedPageBreak/>
        <w:t>operate through dose delivery rather than through rotation. Wheat occupies an intermediate and comparatively favourable position, and this may explain the near-absence of documented resistance problems in the Indian wheat crop, although absence of documentation is not evidence of absence of resistance.</w:t>
      </w:r>
    </w:p>
    <w:p w14:paraId="3829F485" w14:textId="77777777" w:rsidR="00820B56" w:rsidRDefault="00000000" w:rsidP="00B403FD">
      <w:pPr>
        <w:spacing w:before="100" w:beforeAutospacing="1" w:after="100" w:afterAutospacing="1"/>
      </w:pPr>
      <w:r>
        <w:rPr>
          <w:b/>
          <w:bCs/>
          <w:sz w:val="20"/>
          <w:szCs w:val="20"/>
        </w:rPr>
        <w:t>Table 2. Comparative selection regimes across four Indian cereal sub-ecosystems and the resistance outcomes predicted by evolutionary theory.</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250"/>
        <w:gridCol w:w="1400"/>
        <w:gridCol w:w="1150"/>
        <w:gridCol w:w="1150"/>
        <w:gridCol w:w="1300"/>
        <w:gridCol w:w="1500"/>
        <w:gridCol w:w="1276"/>
      </w:tblGrid>
      <w:tr w:rsidR="00820B56" w14:paraId="01E47FDB" w14:textId="77777777">
        <w:trPr>
          <w:tblHeader/>
        </w:trPr>
        <w:tc>
          <w:tcPr>
            <w:tcW w:w="1250" w:type="dxa"/>
            <w:shd w:val="clear" w:color="auto" w:fill="E8E8E8"/>
            <w:tcMar>
              <w:top w:w="60" w:type="dxa"/>
              <w:left w:w="80" w:type="dxa"/>
              <w:bottom w:w="60" w:type="dxa"/>
              <w:right w:w="80" w:type="dxa"/>
            </w:tcMar>
          </w:tcPr>
          <w:p w14:paraId="3C9675D2" w14:textId="77777777" w:rsidR="00820B56" w:rsidRDefault="00000000" w:rsidP="00B403FD">
            <w:pPr>
              <w:spacing w:before="100" w:beforeAutospacing="1" w:after="100" w:afterAutospacing="1"/>
            </w:pPr>
            <w:r>
              <w:rPr>
                <w:b/>
                <w:bCs/>
                <w:sz w:val="17"/>
                <w:szCs w:val="17"/>
              </w:rPr>
              <w:t>Sub-ecosystem</w:t>
            </w:r>
          </w:p>
        </w:tc>
        <w:tc>
          <w:tcPr>
            <w:tcW w:w="1400" w:type="dxa"/>
            <w:shd w:val="clear" w:color="auto" w:fill="E8E8E8"/>
            <w:tcMar>
              <w:top w:w="60" w:type="dxa"/>
              <w:left w:w="80" w:type="dxa"/>
              <w:bottom w:w="60" w:type="dxa"/>
              <w:right w:w="80" w:type="dxa"/>
            </w:tcMar>
          </w:tcPr>
          <w:p w14:paraId="7332DB84" w14:textId="77777777" w:rsidR="00820B56" w:rsidRDefault="00000000" w:rsidP="00B403FD">
            <w:pPr>
              <w:spacing w:before="100" w:beforeAutospacing="1" w:after="100" w:afterAutospacing="1"/>
            </w:pPr>
            <w:r>
              <w:rPr>
                <w:b/>
                <w:bCs/>
                <w:sz w:val="17"/>
                <w:szCs w:val="17"/>
              </w:rPr>
              <w:t>Dominant pest groups considered</w:t>
            </w:r>
          </w:p>
        </w:tc>
        <w:tc>
          <w:tcPr>
            <w:tcW w:w="1150" w:type="dxa"/>
            <w:shd w:val="clear" w:color="auto" w:fill="E8E8E8"/>
            <w:tcMar>
              <w:top w:w="60" w:type="dxa"/>
              <w:left w:w="80" w:type="dxa"/>
              <w:bottom w:w="60" w:type="dxa"/>
              <w:right w:w="80" w:type="dxa"/>
            </w:tcMar>
          </w:tcPr>
          <w:p w14:paraId="011C5C2E" w14:textId="77777777" w:rsidR="00820B56" w:rsidRDefault="00000000" w:rsidP="00B403FD">
            <w:pPr>
              <w:spacing w:before="100" w:beforeAutospacing="1" w:after="100" w:afterAutospacing="1"/>
            </w:pPr>
            <w:r>
              <w:rPr>
                <w:b/>
                <w:bCs/>
                <w:sz w:val="17"/>
                <w:szCs w:val="17"/>
              </w:rPr>
              <w:t>Generations under selection per year</w:t>
            </w:r>
          </w:p>
        </w:tc>
        <w:tc>
          <w:tcPr>
            <w:tcW w:w="1150" w:type="dxa"/>
            <w:shd w:val="clear" w:color="auto" w:fill="E8E8E8"/>
            <w:tcMar>
              <w:top w:w="60" w:type="dxa"/>
              <w:left w:w="80" w:type="dxa"/>
              <w:bottom w:w="60" w:type="dxa"/>
              <w:right w:w="80" w:type="dxa"/>
            </w:tcMar>
          </w:tcPr>
          <w:p w14:paraId="380902B0" w14:textId="77777777" w:rsidR="00820B56" w:rsidRDefault="00000000" w:rsidP="00B403FD">
            <w:pPr>
              <w:spacing w:before="100" w:beforeAutospacing="1" w:after="100" w:afterAutospacing="1"/>
            </w:pPr>
            <w:r>
              <w:rPr>
                <w:b/>
                <w:bCs/>
                <w:sz w:val="17"/>
                <w:szCs w:val="17"/>
              </w:rPr>
              <w:t>Spatial scale of gene flow</w:t>
            </w:r>
          </w:p>
        </w:tc>
        <w:tc>
          <w:tcPr>
            <w:tcW w:w="1300" w:type="dxa"/>
            <w:shd w:val="clear" w:color="auto" w:fill="E8E8E8"/>
            <w:tcMar>
              <w:top w:w="60" w:type="dxa"/>
              <w:left w:w="80" w:type="dxa"/>
              <w:bottom w:w="60" w:type="dxa"/>
              <w:right w:w="80" w:type="dxa"/>
            </w:tcMar>
          </w:tcPr>
          <w:p w14:paraId="4CB8F9B2" w14:textId="77777777" w:rsidR="00820B56" w:rsidRDefault="00000000" w:rsidP="00B403FD">
            <w:pPr>
              <w:spacing w:before="100" w:beforeAutospacing="1" w:after="100" w:afterAutospacing="1"/>
            </w:pPr>
            <w:r>
              <w:rPr>
                <w:b/>
                <w:bCs/>
                <w:sz w:val="17"/>
                <w:szCs w:val="17"/>
              </w:rPr>
              <w:t>Effective mode-of-action diversity in routine use</w:t>
            </w:r>
          </w:p>
        </w:tc>
        <w:tc>
          <w:tcPr>
            <w:tcW w:w="1500" w:type="dxa"/>
            <w:shd w:val="clear" w:color="auto" w:fill="E8E8E8"/>
            <w:tcMar>
              <w:top w:w="60" w:type="dxa"/>
              <w:left w:w="80" w:type="dxa"/>
              <w:bottom w:w="60" w:type="dxa"/>
              <w:right w:w="80" w:type="dxa"/>
            </w:tcMar>
          </w:tcPr>
          <w:p w14:paraId="6F500C36" w14:textId="77777777" w:rsidR="00820B56" w:rsidRDefault="00000000" w:rsidP="00B403FD">
            <w:pPr>
              <w:spacing w:before="100" w:beforeAutospacing="1" w:after="100" w:afterAutospacing="1"/>
            </w:pPr>
            <w:r>
              <w:rPr>
                <w:b/>
                <w:bCs/>
                <w:sz w:val="17"/>
                <w:szCs w:val="17"/>
              </w:rPr>
              <w:t>Predicted resistance outcome</w:t>
            </w:r>
          </w:p>
        </w:tc>
        <w:tc>
          <w:tcPr>
            <w:tcW w:w="1276" w:type="dxa"/>
            <w:shd w:val="clear" w:color="auto" w:fill="E8E8E8"/>
            <w:tcMar>
              <w:top w:w="60" w:type="dxa"/>
              <w:left w:w="80" w:type="dxa"/>
              <w:bottom w:w="60" w:type="dxa"/>
              <w:right w:w="80" w:type="dxa"/>
            </w:tcMar>
          </w:tcPr>
          <w:p w14:paraId="6CF158B1" w14:textId="77777777" w:rsidR="00820B56" w:rsidRDefault="00000000" w:rsidP="00B403FD">
            <w:pPr>
              <w:spacing w:before="100" w:beforeAutospacing="1" w:after="100" w:afterAutospacing="1"/>
            </w:pPr>
            <w:r>
              <w:rPr>
                <w:b/>
                <w:bCs/>
                <w:sz w:val="17"/>
                <w:szCs w:val="17"/>
              </w:rPr>
              <w:t>Supporting references</w:t>
            </w:r>
          </w:p>
        </w:tc>
      </w:tr>
      <w:tr w:rsidR="00820B56" w14:paraId="578E3D43" w14:textId="77777777">
        <w:tc>
          <w:tcPr>
            <w:tcW w:w="1250" w:type="dxa"/>
            <w:tcMar>
              <w:top w:w="60" w:type="dxa"/>
              <w:left w:w="80" w:type="dxa"/>
              <w:bottom w:w="60" w:type="dxa"/>
              <w:right w:w="80" w:type="dxa"/>
            </w:tcMar>
          </w:tcPr>
          <w:p w14:paraId="3609AA48" w14:textId="77777777" w:rsidR="00820B56" w:rsidRDefault="00000000" w:rsidP="00B403FD">
            <w:pPr>
              <w:spacing w:before="100" w:beforeAutospacing="1" w:after="100" w:afterAutospacing="1"/>
            </w:pPr>
            <w:r>
              <w:rPr>
                <w:sz w:val="17"/>
                <w:szCs w:val="17"/>
              </w:rPr>
              <w:t>Irrigated rice, peninsular and eastern India</w:t>
            </w:r>
          </w:p>
        </w:tc>
        <w:tc>
          <w:tcPr>
            <w:tcW w:w="1400" w:type="dxa"/>
            <w:tcMar>
              <w:top w:w="60" w:type="dxa"/>
              <w:left w:w="80" w:type="dxa"/>
              <w:bottom w:w="60" w:type="dxa"/>
              <w:right w:w="80" w:type="dxa"/>
            </w:tcMar>
          </w:tcPr>
          <w:p w14:paraId="2BD66F11" w14:textId="77777777" w:rsidR="00820B56" w:rsidRDefault="00000000" w:rsidP="00B403FD">
            <w:pPr>
              <w:spacing w:before="100" w:beforeAutospacing="1" w:after="100" w:afterAutospacing="1"/>
            </w:pPr>
            <w:r>
              <w:rPr>
                <w:sz w:val="17"/>
                <w:szCs w:val="17"/>
              </w:rPr>
              <w:t>Delphacid planthoppers; lepidopteran borers and leaf feeders</w:t>
            </w:r>
          </w:p>
        </w:tc>
        <w:tc>
          <w:tcPr>
            <w:tcW w:w="1150" w:type="dxa"/>
            <w:tcMar>
              <w:top w:w="60" w:type="dxa"/>
              <w:left w:w="80" w:type="dxa"/>
              <w:bottom w:w="60" w:type="dxa"/>
              <w:right w:w="80" w:type="dxa"/>
            </w:tcMar>
          </w:tcPr>
          <w:p w14:paraId="5C6FA0A9" w14:textId="77777777" w:rsidR="00820B56" w:rsidRDefault="00000000" w:rsidP="00B403FD">
            <w:pPr>
              <w:spacing w:before="100" w:beforeAutospacing="1" w:after="100" w:afterAutospacing="1"/>
            </w:pPr>
            <w:r>
              <w:rPr>
                <w:sz w:val="17"/>
                <w:szCs w:val="17"/>
              </w:rPr>
              <w:t>High; several generations per crop season</w:t>
            </w:r>
          </w:p>
        </w:tc>
        <w:tc>
          <w:tcPr>
            <w:tcW w:w="1150" w:type="dxa"/>
            <w:tcMar>
              <w:top w:w="60" w:type="dxa"/>
              <w:left w:w="80" w:type="dxa"/>
              <w:bottom w:w="60" w:type="dxa"/>
              <w:right w:w="80" w:type="dxa"/>
            </w:tcMar>
          </w:tcPr>
          <w:p w14:paraId="41736A28" w14:textId="77777777" w:rsidR="00820B56" w:rsidRDefault="00000000" w:rsidP="00B403FD">
            <w:pPr>
              <w:spacing w:before="100" w:beforeAutospacing="1" w:after="100" w:afterAutospacing="1"/>
            </w:pPr>
            <w:r>
              <w:rPr>
                <w:sz w:val="17"/>
                <w:szCs w:val="17"/>
              </w:rPr>
              <w:t>Regional to transboundary for planthoppers</w:t>
            </w:r>
          </w:p>
        </w:tc>
        <w:tc>
          <w:tcPr>
            <w:tcW w:w="1300" w:type="dxa"/>
            <w:tcMar>
              <w:top w:w="60" w:type="dxa"/>
              <w:left w:w="80" w:type="dxa"/>
              <w:bottom w:w="60" w:type="dxa"/>
              <w:right w:w="80" w:type="dxa"/>
            </w:tcMar>
          </w:tcPr>
          <w:p w14:paraId="03BC568E" w14:textId="77777777" w:rsidR="00820B56" w:rsidRDefault="00000000" w:rsidP="00B403FD">
            <w:pPr>
              <w:spacing w:before="100" w:beforeAutospacing="1" w:after="100" w:afterAutospacing="1"/>
            </w:pPr>
            <w:r>
              <w:rPr>
                <w:sz w:val="17"/>
                <w:szCs w:val="17"/>
              </w:rPr>
              <w:t xml:space="preserve">Low to moderate; dominated by neonicotinoids, </w:t>
            </w:r>
            <w:proofErr w:type="spellStart"/>
            <w:r>
              <w:rPr>
                <w:sz w:val="17"/>
                <w:szCs w:val="17"/>
              </w:rPr>
              <w:t>buprofezin</w:t>
            </w:r>
            <w:proofErr w:type="spellEnd"/>
            <w:r>
              <w:rPr>
                <w:sz w:val="17"/>
                <w:szCs w:val="17"/>
              </w:rPr>
              <w:t xml:space="preserve"> and diamides</w:t>
            </w:r>
          </w:p>
        </w:tc>
        <w:tc>
          <w:tcPr>
            <w:tcW w:w="1500" w:type="dxa"/>
            <w:tcMar>
              <w:top w:w="60" w:type="dxa"/>
              <w:left w:w="80" w:type="dxa"/>
              <w:bottom w:w="60" w:type="dxa"/>
              <w:right w:w="80" w:type="dxa"/>
            </w:tcMar>
          </w:tcPr>
          <w:p w14:paraId="6B5126C7" w14:textId="77777777" w:rsidR="00820B56" w:rsidRDefault="00000000" w:rsidP="00B403FD">
            <w:pPr>
              <w:spacing w:before="100" w:beforeAutospacing="1" w:after="100" w:afterAutospacing="1"/>
            </w:pPr>
            <w:r>
              <w:rPr>
                <w:sz w:val="17"/>
                <w:szCs w:val="17"/>
              </w:rPr>
              <w:t>Rapid and geographically synchronised resistance; local management ineffective without regional coordination</w:t>
            </w:r>
          </w:p>
        </w:tc>
        <w:tc>
          <w:tcPr>
            <w:tcW w:w="1276" w:type="dxa"/>
            <w:tcMar>
              <w:top w:w="60" w:type="dxa"/>
              <w:left w:w="80" w:type="dxa"/>
              <w:bottom w:w="60" w:type="dxa"/>
              <w:right w:w="80" w:type="dxa"/>
            </w:tcMar>
          </w:tcPr>
          <w:p w14:paraId="23498C0B" w14:textId="77777777" w:rsidR="00820B56" w:rsidRDefault="00000000" w:rsidP="00B403FD">
            <w:pPr>
              <w:spacing w:before="100" w:beforeAutospacing="1" w:after="100" w:afterAutospacing="1"/>
            </w:pPr>
            <w:r>
              <w:rPr>
                <w:sz w:val="17"/>
                <w:szCs w:val="17"/>
              </w:rPr>
              <w:t>Matsumura et al. (2018); REX Consortium (2013); Wu et al. (2018)</w:t>
            </w:r>
          </w:p>
        </w:tc>
      </w:tr>
      <w:tr w:rsidR="00820B56" w14:paraId="1F66D880" w14:textId="77777777">
        <w:tc>
          <w:tcPr>
            <w:tcW w:w="1250" w:type="dxa"/>
            <w:tcMar>
              <w:top w:w="60" w:type="dxa"/>
              <w:left w:w="80" w:type="dxa"/>
              <w:bottom w:w="60" w:type="dxa"/>
              <w:right w:w="80" w:type="dxa"/>
            </w:tcMar>
          </w:tcPr>
          <w:p w14:paraId="06D1272F" w14:textId="77777777" w:rsidR="00820B56" w:rsidRDefault="00000000" w:rsidP="00B403FD">
            <w:pPr>
              <w:spacing w:before="100" w:beforeAutospacing="1" w:after="100" w:afterAutospacing="1"/>
            </w:pPr>
            <w:r>
              <w:rPr>
                <w:sz w:val="17"/>
                <w:szCs w:val="17"/>
              </w:rPr>
              <w:t>Rice-wheat rotation, Indo-Gangetic Plain</w:t>
            </w:r>
          </w:p>
        </w:tc>
        <w:tc>
          <w:tcPr>
            <w:tcW w:w="1400" w:type="dxa"/>
            <w:tcMar>
              <w:top w:w="60" w:type="dxa"/>
              <w:left w:w="80" w:type="dxa"/>
              <w:bottom w:w="60" w:type="dxa"/>
              <w:right w:w="80" w:type="dxa"/>
            </w:tcMar>
          </w:tcPr>
          <w:p w14:paraId="20D8E282" w14:textId="77777777" w:rsidR="00820B56" w:rsidRDefault="00000000" w:rsidP="00B403FD">
            <w:pPr>
              <w:spacing w:before="100" w:beforeAutospacing="1" w:after="100" w:afterAutospacing="1"/>
            </w:pPr>
            <w:r>
              <w:rPr>
                <w:sz w:val="17"/>
                <w:szCs w:val="17"/>
              </w:rPr>
              <w:t>Borers in rice; sporadic sap feeders in wheat</w:t>
            </w:r>
          </w:p>
        </w:tc>
        <w:tc>
          <w:tcPr>
            <w:tcW w:w="1150" w:type="dxa"/>
            <w:tcMar>
              <w:top w:w="60" w:type="dxa"/>
              <w:left w:w="80" w:type="dxa"/>
              <w:bottom w:w="60" w:type="dxa"/>
              <w:right w:w="80" w:type="dxa"/>
            </w:tcMar>
          </w:tcPr>
          <w:p w14:paraId="3B76640D" w14:textId="77777777" w:rsidR="00820B56" w:rsidRDefault="00000000" w:rsidP="00B403FD">
            <w:pPr>
              <w:spacing w:before="100" w:beforeAutospacing="1" w:after="100" w:afterAutospacing="1"/>
            </w:pPr>
            <w:r>
              <w:rPr>
                <w:sz w:val="17"/>
                <w:szCs w:val="17"/>
              </w:rPr>
              <w:t>Moderate; selection concentrated in the rice phase</w:t>
            </w:r>
          </w:p>
        </w:tc>
        <w:tc>
          <w:tcPr>
            <w:tcW w:w="1150" w:type="dxa"/>
            <w:tcMar>
              <w:top w:w="60" w:type="dxa"/>
              <w:left w:w="80" w:type="dxa"/>
              <w:bottom w:w="60" w:type="dxa"/>
              <w:right w:w="80" w:type="dxa"/>
            </w:tcMar>
          </w:tcPr>
          <w:p w14:paraId="47E923DC" w14:textId="77777777" w:rsidR="00820B56" w:rsidRDefault="00000000" w:rsidP="00B403FD">
            <w:pPr>
              <w:spacing w:before="100" w:beforeAutospacing="1" w:after="100" w:afterAutospacing="1"/>
            </w:pPr>
            <w:r>
              <w:rPr>
                <w:sz w:val="17"/>
                <w:szCs w:val="17"/>
              </w:rPr>
              <w:t>Regional</w:t>
            </w:r>
          </w:p>
        </w:tc>
        <w:tc>
          <w:tcPr>
            <w:tcW w:w="1300" w:type="dxa"/>
            <w:tcMar>
              <w:top w:w="60" w:type="dxa"/>
              <w:left w:w="80" w:type="dxa"/>
              <w:bottom w:w="60" w:type="dxa"/>
              <w:right w:w="80" w:type="dxa"/>
            </w:tcMar>
          </w:tcPr>
          <w:p w14:paraId="5611804B" w14:textId="77777777" w:rsidR="00820B56" w:rsidRDefault="00000000" w:rsidP="00B403FD">
            <w:pPr>
              <w:spacing w:before="100" w:beforeAutospacing="1" w:after="100" w:afterAutospacing="1"/>
            </w:pPr>
            <w:r>
              <w:rPr>
                <w:sz w:val="17"/>
                <w:szCs w:val="17"/>
              </w:rPr>
              <w:t>Moderate</w:t>
            </w:r>
          </w:p>
        </w:tc>
        <w:tc>
          <w:tcPr>
            <w:tcW w:w="1500" w:type="dxa"/>
            <w:tcMar>
              <w:top w:w="60" w:type="dxa"/>
              <w:left w:w="80" w:type="dxa"/>
              <w:bottom w:w="60" w:type="dxa"/>
              <w:right w:w="80" w:type="dxa"/>
            </w:tcMar>
          </w:tcPr>
          <w:p w14:paraId="7873A11F" w14:textId="77777777" w:rsidR="00820B56" w:rsidRDefault="00000000" w:rsidP="00B403FD">
            <w:pPr>
              <w:spacing w:before="100" w:beforeAutospacing="1" w:after="100" w:afterAutospacing="1"/>
            </w:pPr>
            <w:r>
              <w:rPr>
                <w:sz w:val="17"/>
                <w:szCs w:val="17"/>
              </w:rPr>
              <w:t>Slower resistance development in the wheat phase; risk concentrated in the rice phase of the rotation</w:t>
            </w:r>
          </w:p>
        </w:tc>
        <w:tc>
          <w:tcPr>
            <w:tcW w:w="1276" w:type="dxa"/>
            <w:tcMar>
              <w:top w:w="60" w:type="dxa"/>
              <w:left w:w="80" w:type="dxa"/>
              <w:bottom w:w="60" w:type="dxa"/>
              <w:right w:w="80" w:type="dxa"/>
            </w:tcMar>
          </w:tcPr>
          <w:p w14:paraId="06F92757" w14:textId="77777777" w:rsidR="00820B56" w:rsidRDefault="00000000" w:rsidP="00B403FD">
            <w:pPr>
              <w:spacing w:before="100" w:beforeAutospacing="1" w:after="100" w:afterAutospacing="1"/>
            </w:pPr>
            <w:proofErr w:type="spellStart"/>
            <w:r>
              <w:rPr>
                <w:sz w:val="17"/>
                <w:szCs w:val="17"/>
              </w:rPr>
              <w:t>Deguine</w:t>
            </w:r>
            <w:proofErr w:type="spellEnd"/>
            <w:r>
              <w:rPr>
                <w:sz w:val="17"/>
                <w:szCs w:val="17"/>
              </w:rPr>
              <w:t xml:space="preserve"> et al. (2021); Sudo et al. (2018)</w:t>
            </w:r>
          </w:p>
        </w:tc>
      </w:tr>
      <w:tr w:rsidR="00820B56" w14:paraId="73B30BE2" w14:textId="77777777">
        <w:tc>
          <w:tcPr>
            <w:tcW w:w="1250" w:type="dxa"/>
            <w:tcMar>
              <w:top w:w="60" w:type="dxa"/>
              <w:left w:w="80" w:type="dxa"/>
              <w:bottom w:w="60" w:type="dxa"/>
              <w:right w:w="80" w:type="dxa"/>
            </w:tcMar>
          </w:tcPr>
          <w:p w14:paraId="478C5A33" w14:textId="77777777" w:rsidR="00820B56" w:rsidRDefault="00000000" w:rsidP="00B403FD">
            <w:pPr>
              <w:spacing w:before="100" w:beforeAutospacing="1" w:after="100" w:afterAutospacing="1"/>
            </w:pPr>
            <w:r>
              <w:rPr>
                <w:sz w:val="17"/>
                <w:szCs w:val="17"/>
              </w:rPr>
              <w:t>Maize, kharif and rabi seasons</w:t>
            </w:r>
          </w:p>
        </w:tc>
        <w:tc>
          <w:tcPr>
            <w:tcW w:w="1400" w:type="dxa"/>
            <w:tcMar>
              <w:top w:w="60" w:type="dxa"/>
              <w:left w:w="80" w:type="dxa"/>
              <w:bottom w:w="60" w:type="dxa"/>
              <w:right w:w="80" w:type="dxa"/>
            </w:tcMar>
          </w:tcPr>
          <w:p w14:paraId="6E6D3D1A" w14:textId="77777777" w:rsidR="00820B56" w:rsidRDefault="00000000" w:rsidP="00B403FD">
            <w:pPr>
              <w:spacing w:before="100" w:beforeAutospacing="1" w:after="100" w:afterAutospacing="1"/>
            </w:pPr>
            <w:r>
              <w:rPr>
                <w:sz w:val="17"/>
                <w:szCs w:val="17"/>
              </w:rPr>
              <w:t>Invasive fall armyworm; stem borers</w:t>
            </w:r>
          </w:p>
        </w:tc>
        <w:tc>
          <w:tcPr>
            <w:tcW w:w="1150" w:type="dxa"/>
            <w:tcMar>
              <w:top w:w="60" w:type="dxa"/>
              <w:left w:w="80" w:type="dxa"/>
              <w:bottom w:w="60" w:type="dxa"/>
              <w:right w:w="80" w:type="dxa"/>
            </w:tcMar>
          </w:tcPr>
          <w:p w14:paraId="6FCE01D5" w14:textId="77777777" w:rsidR="00820B56" w:rsidRDefault="00000000" w:rsidP="00B403FD">
            <w:pPr>
              <w:spacing w:before="100" w:beforeAutospacing="1" w:after="100" w:afterAutospacing="1"/>
            </w:pPr>
            <w:r>
              <w:rPr>
                <w:sz w:val="17"/>
                <w:szCs w:val="17"/>
              </w:rPr>
              <w:t>High; continuous host availability across seasons</w:t>
            </w:r>
          </w:p>
        </w:tc>
        <w:tc>
          <w:tcPr>
            <w:tcW w:w="1150" w:type="dxa"/>
            <w:tcMar>
              <w:top w:w="60" w:type="dxa"/>
              <w:left w:w="80" w:type="dxa"/>
              <w:bottom w:w="60" w:type="dxa"/>
              <w:right w:w="80" w:type="dxa"/>
            </w:tcMar>
          </w:tcPr>
          <w:p w14:paraId="4D293E17" w14:textId="77777777" w:rsidR="00820B56" w:rsidRDefault="00000000" w:rsidP="00B403FD">
            <w:pPr>
              <w:spacing w:before="100" w:beforeAutospacing="1" w:after="100" w:afterAutospacing="1"/>
            </w:pPr>
            <w:r>
              <w:rPr>
                <w:sz w:val="17"/>
                <w:szCs w:val="17"/>
              </w:rPr>
              <w:t>Continental for the fall armyworm</w:t>
            </w:r>
          </w:p>
        </w:tc>
        <w:tc>
          <w:tcPr>
            <w:tcW w:w="1300" w:type="dxa"/>
            <w:tcMar>
              <w:top w:w="60" w:type="dxa"/>
              <w:left w:w="80" w:type="dxa"/>
              <w:bottom w:w="60" w:type="dxa"/>
              <w:right w:w="80" w:type="dxa"/>
            </w:tcMar>
          </w:tcPr>
          <w:p w14:paraId="423FDFFB" w14:textId="77777777" w:rsidR="00820B56" w:rsidRDefault="00000000" w:rsidP="00B403FD">
            <w:pPr>
              <w:spacing w:before="100" w:beforeAutospacing="1" w:after="100" w:afterAutospacing="1"/>
            </w:pPr>
            <w:r>
              <w:rPr>
                <w:sz w:val="17"/>
                <w:szCs w:val="17"/>
              </w:rPr>
              <w:t>Low; heavy reliance on diamides, spinosyns and pyrethroids</w:t>
            </w:r>
          </w:p>
        </w:tc>
        <w:tc>
          <w:tcPr>
            <w:tcW w:w="1500" w:type="dxa"/>
            <w:tcMar>
              <w:top w:w="60" w:type="dxa"/>
              <w:left w:w="80" w:type="dxa"/>
              <w:bottom w:w="60" w:type="dxa"/>
              <w:right w:w="80" w:type="dxa"/>
            </w:tcMar>
          </w:tcPr>
          <w:p w14:paraId="2780820B" w14:textId="77777777" w:rsidR="00820B56" w:rsidRDefault="00000000" w:rsidP="00B403FD">
            <w:pPr>
              <w:spacing w:before="100" w:beforeAutospacing="1" w:after="100" w:afterAutospacing="1"/>
            </w:pPr>
            <w:r>
              <w:rPr>
                <w:sz w:val="17"/>
                <w:szCs w:val="17"/>
              </w:rPr>
              <w:t>Resistance risk inherited from invasion history and amplified by narrow chemistry</w:t>
            </w:r>
          </w:p>
        </w:tc>
        <w:tc>
          <w:tcPr>
            <w:tcW w:w="1276" w:type="dxa"/>
            <w:tcMar>
              <w:top w:w="60" w:type="dxa"/>
              <w:left w:w="80" w:type="dxa"/>
              <w:bottom w:w="60" w:type="dxa"/>
              <w:right w:w="80" w:type="dxa"/>
            </w:tcMar>
          </w:tcPr>
          <w:p w14:paraId="08099C04" w14:textId="77777777" w:rsidR="00820B56" w:rsidRDefault="00000000" w:rsidP="00B403FD">
            <w:pPr>
              <w:spacing w:before="100" w:beforeAutospacing="1" w:after="100" w:afterAutospacing="1"/>
            </w:pPr>
            <w:proofErr w:type="spellStart"/>
            <w:r>
              <w:rPr>
                <w:sz w:val="17"/>
                <w:szCs w:val="17"/>
              </w:rPr>
              <w:t>Kulye</w:t>
            </w:r>
            <w:proofErr w:type="spellEnd"/>
            <w:r>
              <w:rPr>
                <w:sz w:val="17"/>
                <w:szCs w:val="17"/>
              </w:rPr>
              <w:t xml:space="preserve"> et al. (2021); Tay et al. (2023); Zhang et al. (2020)</w:t>
            </w:r>
          </w:p>
        </w:tc>
      </w:tr>
      <w:tr w:rsidR="00820B56" w14:paraId="4BFB636F" w14:textId="77777777">
        <w:tc>
          <w:tcPr>
            <w:tcW w:w="1250" w:type="dxa"/>
            <w:tcMar>
              <w:top w:w="60" w:type="dxa"/>
              <w:left w:w="80" w:type="dxa"/>
              <w:bottom w:w="60" w:type="dxa"/>
              <w:right w:w="80" w:type="dxa"/>
            </w:tcMar>
          </w:tcPr>
          <w:p w14:paraId="36DBD36A" w14:textId="77777777" w:rsidR="00820B56" w:rsidRDefault="00000000" w:rsidP="00B403FD">
            <w:pPr>
              <w:spacing w:before="100" w:beforeAutospacing="1" w:after="100" w:afterAutospacing="1"/>
            </w:pPr>
            <w:r>
              <w:rPr>
                <w:sz w:val="17"/>
                <w:szCs w:val="17"/>
              </w:rPr>
              <w:t>Stored cereal grain</w:t>
            </w:r>
          </w:p>
        </w:tc>
        <w:tc>
          <w:tcPr>
            <w:tcW w:w="1400" w:type="dxa"/>
            <w:tcMar>
              <w:top w:w="60" w:type="dxa"/>
              <w:left w:w="80" w:type="dxa"/>
              <w:bottom w:w="60" w:type="dxa"/>
              <w:right w:w="80" w:type="dxa"/>
            </w:tcMar>
          </w:tcPr>
          <w:p w14:paraId="2A4A5C28" w14:textId="77777777" w:rsidR="00820B56" w:rsidRDefault="00000000" w:rsidP="00B403FD">
            <w:pPr>
              <w:spacing w:before="100" w:beforeAutospacing="1" w:after="100" w:afterAutospacing="1"/>
            </w:pPr>
            <w:r>
              <w:rPr>
                <w:sz w:val="17"/>
                <w:szCs w:val="17"/>
              </w:rPr>
              <w:t>Lesser grain borer; red flour beetle; rice weevil</w:t>
            </w:r>
          </w:p>
        </w:tc>
        <w:tc>
          <w:tcPr>
            <w:tcW w:w="1150" w:type="dxa"/>
            <w:tcMar>
              <w:top w:w="60" w:type="dxa"/>
              <w:left w:w="80" w:type="dxa"/>
              <w:bottom w:w="60" w:type="dxa"/>
              <w:right w:w="80" w:type="dxa"/>
            </w:tcMar>
          </w:tcPr>
          <w:p w14:paraId="01BE2B6C" w14:textId="77777777" w:rsidR="00820B56" w:rsidRDefault="00000000" w:rsidP="00B403FD">
            <w:pPr>
              <w:spacing w:before="100" w:beforeAutospacing="1" w:after="100" w:afterAutospacing="1"/>
            </w:pPr>
            <w:r>
              <w:rPr>
                <w:sz w:val="17"/>
                <w:szCs w:val="17"/>
              </w:rPr>
              <w:t>High; multiple generations within a storage season</w:t>
            </w:r>
          </w:p>
        </w:tc>
        <w:tc>
          <w:tcPr>
            <w:tcW w:w="1150" w:type="dxa"/>
            <w:tcMar>
              <w:top w:w="60" w:type="dxa"/>
              <w:left w:w="80" w:type="dxa"/>
              <w:bottom w:w="60" w:type="dxa"/>
              <w:right w:w="80" w:type="dxa"/>
            </w:tcMar>
          </w:tcPr>
          <w:p w14:paraId="77948D3F" w14:textId="77777777" w:rsidR="00820B56" w:rsidRDefault="00000000" w:rsidP="00B403FD">
            <w:pPr>
              <w:spacing w:before="100" w:beforeAutospacing="1" w:after="100" w:afterAutospacing="1"/>
            </w:pPr>
            <w:r>
              <w:rPr>
                <w:sz w:val="17"/>
                <w:szCs w:val="17"/>
              </w:rPr>
              <w:t>Commodity-mediated rather than by flight</w:t>
            </w:r>
          </w:p>
        </w:tc>
        <w:tc>
          <w:tcPr>
            <w:tcW w:w="1300" w:type="dxa"/>
            <w:tcMar>
              <w:top w:w="60" w:type="dxa"/>
              <w:left w:w="80" w:type="dxa"/>
              <w:bottom w:w="60" w:type="dxa"/>
              <w:right w:w="80" w:type="dxa"/>
            </w:tcMar>
          </w:tcPr>
          <w:p w14:paraId="18FBA0E1" w14:textId="77777777" w:rsidR="00820B56" w:rsidRDefault="00000000" w:rsidP="00B403FD">
            <w:pPr>
              <w:spacing w:before="100" w:beforeAutospacing="1" w:after="100" w:afterAutospacing="1"/>
            </w:pPr>
            <w:r>
              <w:rPr>
                <w:sz w:val="17"/>
                <w:szCs w:val="17"/>
              </w:rPr>
              <w:t>Very low; phosphine dominant</w:t>
            </w:r>
          </w:p>
        </w:tc>
        <w:tc>
          <w:tcPr>
            <w:tcW w:w="1500" w:type="dxa"/>
            <w:tcMar>
              <w:top w:w="60" w:type="dxa"/>
              <w:left w:w="80" w:type="dxa"/>
              <w:bottom w:w="60" w:type="dxa"/>
              <w:right w:w="80" w:type="dxa"/>
            </w:tcMar>
          </w:tcPr>
          <w:p w14:paraId="08578D04" w14:textId="77777777" w:rsidR="00820B56" w:rsidRDefault="00000000" w:rsidP="00B403FD">
            <w:pPr>
              <w:spacing w:before="100" w:beforeAutospacing="1" w:after="100" w:afterAutospacing="1"/>
            </w:pPr>
            <w:r>
              <w:rPr>
                <w:sz w:val="17"/>
                <w:szCs w:val="17"/>
              </w:rPr>
              <w:t>Strong, geographically widespread resistance driven by sub-lethal exposure in imperfectly sealed structures</w:t>
            </w:r>
          </w:p>
        </w:tc>
        <w:tc>
          <w:tcPr>
            <w:tcW w:w="1276" w:type="dxa"/>
            <w:tcMar>
              <w:top w:w="60" w:type="dxa"/>
              <w:left w:w="80" w:type="dxa"/>
              <w:bottom w:w="60" w:type="dxa"/>
              <w:right w:w="80" w:type="dxa"/>
            </w:tcMar>
          </w:tcPr>
          <w:p w14:paraId="21C98B8D" w14:textId="77777777" w:rsidR="00820B56" w:rsidRDefault="00000000" w:rsidP="00B403FD">
            <w:pPr>
              <w:spacing w:before="100" w:beforeAutospacing="1" w:after="100" w:afterAutospacing="1"/>
            </w:pPr>
            <w:proofErr w:type="spellStart"/>
            <w:r>
              <w:rPr>
                <w:sz w:val="17"/>
                <w:szCs w:val="17"/>
              </w:rPr>
              <w:t>Hagstrum</w:t>
            </w:r>
            <w:proofErr w:type="spellEnd"/>
            <w:r>
              <w:rPr>
                <w:sz w:val="17"/>
                <w:szCs w:val="17"/>
              </w:rPr>
              <w:t xml:space="preserve"> and Phillips (2017); Kaur et al. (2015); Nayak et al. (2017)</w:t>
            </w:r>
          </w:p>
        </w:tc>
      </w:tr>
    </w:tbl>
    <w:p w14:paraId="0622708B" w14:textId="77777777" w:rsidR="00820B56" w:rsidRDefault="00000000" w:rsidP="00B403FD">
      <w:pPr>
        <w:spacing w:before="100" w:beforeAutospacing="1" w:after="100" w:afterAutospacing="1"/>
      </w:pPr>
      <w:r>
        <w:rPr>
          <w:sz w:val="18"/>
          <w:szCs w:val="18"/>
        </w:rPr>
        <w:t>Note. Kharif = monsoon-season crop; rabi = post-monsoon winter crop. Generation numbers are qualitative categories reflecting reported voltinism rather than measured counts for Indian populations. Predicted outcomes are theoretical expectations derived from the cited modelling and monitoring literature and are not empirical observations for all cells of the table.</w:t>
      </w:r>
    </w:p>
    <w:p w14:paraId="72444874" w14:textId="77777777" w:rsidR="00820B56" w:rsidRDefault="00000000" w:rsidP="00B403FD">
      <w:pPr>
        <w:pStyle w:val="Heading1"/>
        <w:spacing w:before="100" w:beforeAutospacing="1" w:after="100" w:afterAutospacing="1"/>
      </w:pPr>
      <w:r>
        <w:rPr>
          <w:b/>
          <w:bCs/>
          <w:color w:val="000000"/>
          <w:sz w:val="26"/>
          <w:szCs w:val="26"/>
        </w:rPr>
        <w:t>5. Rice Planthoppers as the Reference System for Mechanistic Inference</w:t>
      </w:r>
    </w:p>
    <w:p w14:paraId="409C80AD" w14:textId="77777777" w:rsidR="00820B56" w:rsidRDefault="00000000" w:rsidP="00B403FD">
      <w:pPr>
        <w:spacing w:before="100" w:beforeAutospacing="1" w:after="100" w:afterAutospacing="1"/>
        <w:jc w:val="both"/>
      </w:pPr>
      <w:r>
        <w:t xml:space="preserve">The brown planthopper, </w:t>
      </w:r>
      <w:proofErr w:type="spellStart"/>
      <w:r>
        <w:rPr>
          <w:i/>
          <w:iCs/>
        </w:rPr>
        <w:t>Nilaparvata</w:t>
      </w:r>
      <w:proofErr w:type="spellEnd"/>
      <w:r>
        <w:rPr>
          <w:i/>
          <w:iCs/>
        </w:rPr>
        <w:t xml:space="preserve"> </w:t>
      </w:r>
      <w:proofErr w:type="spellStart"/>
      <w:r>
        <w:rPr>
          <w:i/>
          <w:iCs/>
        </w:rPr>
        <w:t>lugens</w:t>
      </w:r>
      <w:proofErr w:type="spellEnd"/>
      <w:r>
        <w:t xml:space="preserve">, and the </w:t>
      </w:r>
      <w:proofErr w:type="spellStart"/>
      <w:r>
        <w:t>whitebacked</w:t>
      </w:r>
      <w:proofErr w:type="spellEnd"/>
      <w:r>
        <w:t xml:space="preserve"> planthopper, </w:t>
      </w:r>
      <w:proofErr w:type="spellStart"/>
      <w:r>
        <w:rPr>
          <w:i/>
          <w:iCs/>
        </w:rPr>
        <w:t>Sogatella</w:t>
      </w:r>
      <w:proofErr w:type="spellEnd"/>
      <w:r>
        <w:rPr>
          <w:i/>
          <w:iCs/>
        </w:rPr>
        <w:t xml:space="preserve"> </w:t>
      </w:r>
      <w:proofErr w:type="spellStart"/>
      <w:r>
        <w:rPr>
          <w:i/>
          <w:iCs/>
        </w:rPr>
        <w:t>furcifera</w:t>
      </w:r>
      <w:proofErr w:type="spellEnd"/>
      <w:r>
        <w:t>, provide the most fully resolved account of resistance evolution available for any Asian cereal pest. That account is also the one most frequently transferred to Indian populations without local verification, which makes it the appropriate place to examine the transferability question in detail.</w:t>
      </w:r>
    </w:p>
    <w:p w14:paraId="4F015479" w14:textId="77777777" w:rsidR="00820B56" w:rsidRDefault="00000000" w:rsidP="00B403FD">
      <w:pPr>
        <w:pStyle w:val="Heading2"/>
        <w:spacing w:before="100" w:beforeAutospacing="1" w:after="100" w:afterAutospacing="1"/>
      </w:pPr>
      <w:r>
        <w:rPr>
          <w:b/>
          <w:bCs/>
          <w:color w:val="000000"/>
          <w:sz w:val="23"/>
          <w:szCs w:val="23"/>
        </w:rPr>
        <w:t>5.1 Target-site modification at the nicotinic acetylcholine receptor and the RDL channel</w:t>
      </w:r>
    </w:p>
    <w:p w14:paraId="011287D1" w14:textId="77777777" w:rsidR="00820B56" w:rsidRDefault="00000000" w:rsidP="00B403FD">
      <w:pPr>
        <w:spacing w:before="100" w:beforeAutospacing="1" w:after="100" w:afterAutospacing="1"/>
        <w:jc w:val="both"/>
      </w:pPr>
      <w:r>
        <w:t xml:space="preserve">A tyrosine to serine substitution at position 151 of nicotinic acetylcholine receptor subunits of </w:t>
      </w:r>
      <w:r>
        <w:rPr>
          <w:i/>
          <w:iCs/>
        </w:rPr>
        <w:t xml:space="preserve">N. </w:t>
      </w:r>
      <w:proofErr w:type="spellStart"/>
      <w:r>
        <w:rPr>
          <w:i/>
          <w:iCs/>
        </w:rPr>
        <w:t>lugens</w:t>
      </w:r>
      <w:proofErr w:type="spellEnd"/>
      <w:r>
        <w:t xml:space="preserve"> was the first target-site mechanism of neonicotinoid resistance to be characterised in any insect, and heterologous expression confirmed that the substitution reduces the potency of imidacloprid at the receptor (Liu et al., 2005). The finding was influential, and it is frequently cited as though it accounted for field resistance. The subsequent evidence does not support that reading. Characterisation of </w:t>
      </w:r>
      <w:r>
        <w:lastRenderedPageBreak/>
        <w:t>resistance in field-derived material indicated that enhanced oxidative metabolism, rather than the receptor substitution, was the principal determinant of the resistant phenotype (</w:t>
      </w:r>
      <w:proofErr w:type="spellStart"/>
      <w:r>
        <w:t>Puinean</w:t>
      </w:r>
      <w:proofErr w:type="spellEnd"/>
      <w:r>
        <w:t xml:space="preserve"> et al., 2010), and large multi-country surveys have consistently recovered metabolic rather than target-site signatures from field populations (Bass et al., 2015; Garrood et al., 2016). The substitution therefore demonstrates what is biochemically possible without describing what is epidemiologically prevalent, and the distinction is one that secondary literature has repeatedly blurred.</w:t>
      </w:r>
    </w:p>
    <w:p w14:paraId="3EF118F2" w14:textId="77777777" w:rsidR="00820B56" w:rsidRDefault="00000000" w:rsidP="00B403FD">
      <w:pPr>
        <w:spacing w:before="100" w:beforeAutospacing="1" w:after="100" w:afterAutospacing="1"/>
        <w:jc w:val="both"/>
      </w:pPr>
      <w:r>
        <w:t xml:space="preserve">A different pattern applies to the gamma-aminobutyric acid-gated chloride channel. The alanine to serine substitution at position 301 in the RDL subunit alters the activity of </w:t>
      </w:r>
      <w:proofErr w:type="spellStart"/>
      <w:r>
        <w:t>phenylpyrazole</w:t>
      </w:r>
      <w:proofErr w:type="spellEnd"/>
      <w:r>
        <w:t xml:space="preserve"> insecticides against </w:t>
      </w:r>
      <w:r>
        <w:rPr>
          <w:i/>
          <w:iCs/>
        </w:rPr>
        <w:t xml:space="preserve">N. </w:t>
      </w:r>
      <w:proofErr w:type="spellStart"/>
      <w:r>
        <w:rPr>
          <w:i/>
          <w:iCs/>
        </w:rPr>
        <w:t>lugens</w:t>
      </w:r>
      <w:proofErr w:type="spellEnd"/>
      <w:r>
        <w:t xml:space="preserve">, and functional work has quantified the extent to which it reduces sensitivity to </w:t>
      </w:r>
      <w:proofErr w:type="spellStart"/>
      <w:r>
        <w:t>ethiprole</w:t>
      </w:r>
      <w:proofErr w:type="spellEnd"/>
      <w:r>
        <w:t xml:space="preserve"> and fipronil (Garrood et al., 2017). Here the target-site mechanism is directly relevant to a field-used chemistry, and resistance to </w:t>
      </w:r>
      <w:proofErr w:type="spellStart"/>
      <w:r>
        <w:t>ethiprole</w:t>
      </w:r>
      <w:proofErr w:type="spellEnd"/>
      <w:r>
        <w:t xml:space="preserve"> has been documented in field populations across South and East Asia alongside imidacloprid resistance (Garrood et al., 2016). The contrast between the two target sites illustrates a general point: the epidemiological importance of a target-site mutation depends on whether the chemistry it protects against is under heavy field use and on whether metabolic alternatives are equally available.</w:t>
      </w:r>
    </w:p>
    <w:p w14:paraId="4256C259" w14:textId="77777777" w:rsidR="00820B56" w:rsidRDefault="00000000" w:rsidP="00B403FD">
      <w:pPr>
        <w:pStyle w:val="Heading2"/>
        <w:spacing w:before="100" w:beforeAutospacing="1" w:after="100" w:afterAutospacing="1"/>
      </w:pPr>
      <w:r>
        <w:rPr>
          <w:b/>
          <w:bCs/>
          <w:color w:val="000000"/>
          <w:sz w:val="23"/>
          <w:szCs w:val="23"/>
        </w:rPr>
        <w:t xml:space="preserve">5.2 Metabolic resistance, gene duplication and </w:t>
      </w:r>
      <w:proofErr w:type="spellStart"/>
      <w:r>
        <w:rPr>
          <w:b/>
          <w:bCs/>
          <w:color w:val="000000"/>
          <w:sz w:val="23"/>
          <w:szCs w:val="23"/>
        </w:rPr>
        <w:t>neofunctionalisation</w:t>
      </w:r>
      <w:proofErr w:type="spellEnd"/>
    </w:p>
    <w:p w14:paraId="156AABBF" w14:textId="77777777" w:rsidR="00820B56" w:rsidRDefault="00000000" w:rsidP="00B403FD">
      <w:pPr>
        <w:spacing w:before="100" w:beforeAutospacing="1" w:after="100" w:afterAutospacing="1"/>
        <w:jc w:val="both"/>
      </w:pPr>
      <w:r>
        <w:t xml:space="preserve">Overexpression of the cytochrome P450 </w:t>
      </w:r>
      <w:r>
        <w:rPr>
          <w:i/>
          <w:iCs/>
        </w:rPr>
        <w:t>CYP6ER1</w:t>
      </w:r>
      <w:r>
        <w:t xml:space="preserve"> emerged as the dominant explanation of neonicotinoid resistance in </w:t>
      </w:r>
      <w:r>
        <w:rPr>
          <w:i/>
          <w:iCs/>
        </w:rPr>
        <w:t xml:space="preserve">N. </w:t>
      </w:r>
      <w:proofErr w:type="spellStart"/>
      <w:r>
        <w:rPr>
          <w:i/>
          <w:iCs/>
        </w:rPr>
        <w:t>lugens</w:t>
      </w:r>
      <w:proofErr w:type="spellEnd"/>
      <w:r>
        <w:t xml:space="preserve"> through a sequence of studies of increasing evidential strength. The initial association linked elevated </w:t>
      </w:r>
      <w:r>
        <w:rPr>
          <w:i/>
          <w:iCs/>
        </w:rPr>
        <w:t>CYP6ER1</w:t>
      </w:r>
      <w:r>
        <w:t xml:space="preserve"> transcription to imidacloprid resistance (Bass et al., 2011). A survey of populations collected across South and East Asia between 2005 and 2012 then found resistance ratios reaching 220-fold for imidacloprid and 223-fold for </w:t>
      </w:r>
      <w:proofErr w:type="spellStart"/>
      <w:r>
        <w:t>ethiprole</w:t>
      </w:r>
      <w:proofErr w:type="spellEnd"/>
      <w:r>
        <w:t xml:space="preserve">, with </w:t>
      </w:r>
      <w:r>
        <w:rPr>
          <w:i/>
          <w:iCs/>
        </w:rPr>
        <w:t>CYP6ER1</w:t>
      </w:r>
      <w:r>
        <w:t xml:space="preserve"> significantly overexpressed in twelve imidacloprid-resistant populations at fold changes between ten and ninety; notably, the related P450 </w:t>
      </w:r>
      <w:r>
        <w:rPr>
          <w:i/>
          <w:iCs/>
        </w:rPr>
        <w:t>CYP6AY1</w:t>
      </w:r>
      <w:r>
        <w:t xml:space="preserve"> was </w:t>
      </w:r>
      <w:proofErr w:type="spellStart"/>
      <w:r>
        <w:t>underexpressed</w:t>
      </w:r>
      <w:proofErr w:type="spellEnd"/>
      <w:r>
        <w:t xml:space="preserve"> in ten populations and significantly overexpressed only in a single population from India (Garrood et al., 2016). Functional confirmation followed from Chinese populations sampled between 2012 and 2016, in which knockdown of </w:t>
      </w:r>
      <w:r>
        <w:rPr>
          <w:i/>
          <w:iCs/>
        </w:rPr>
        <w:t>CYP6ER1</w:t>
      </w:r>
      <w:r>
        <w:t xml:space="preserve"> by double-stranded RNA and transgenic expression in </w:t>
      </w:r>
      <w:r>
        <w:rPr>
          <w:i/>
          <w:iCs/>
        </w:rPr>
        <w:t>Drosophila melanogaster</w:t>
      </w:r>
      <w:r>
        <w:t xml:space="preserve"> together demonstrated that the enzyme confers resistance to imidacloprid, thiamethoxam and </w:t>
      </w:r>
      <w:proofErr w:type="spellStart"/>
      <w:r>
        <w:t>buprofezin</w:t>
      </w:r>
      <w:proofErr w:type="spellEnd"/>
      <w:r>
        <w:t xml:space="preserve"> (Wu et al., 2018). The final element was evolutionary: duplication of </w:t>
      </w:r>
      <w:r>
        <w:rPr>
          <w:i/>
          <w:iCs/>
        </w:rPr>
        <w:t>CYP6ER1</w:t>
      </w:r>
      <w:r>
        <w:t xml:space="preserve"> followed by divergence produced paralogues with dual novel functions and generated cross-resistance that the ancestral enzyme did not confer (Duarte et al., 2022).</w:t>
      </w:r>
    </w:p>
    <w:p w14:paraId="384B88F1" w14:textId="77777777" w:rsidR="00820B56" w:rsidRDefault="00000000" w:rsidP="00B403FD">
      <w:pPr>
        <w:spacing w:before="100" w:beforeAutospacing="1" w:after="100" w:afterAutospacing="1"/>
        <w:jc w:val="both"/>
      </w:pPr>
      <w:r>
        <w:t xml:space="preserve">This is an unusually complete causal chain, running from field phenotype to expression difference to functional validation to evolutionary mechanism. Its strength should not obscure two limitations. First, almost all of the functional work derives from Chinese and European laboratories using Chinese or Vietnamese material, so the specific variants and expression architectures present in Indian populations are inferred rather than observed. The single Indian-specific observation within this body of work, the anomalous </w:t>
      </w:r>
      <w:r>
        <w:rPr>
          <w:i/>
          <w:iCs/>
        </w:rPr>
        <w:t>CYP6AY1</w:t>
      </w:r>
      <w:r>
        <w:t xml:space="preserve"> overexpression, is an isolated result from one population and should not be over-interpreted. Second, metabolic resistance mediated by a broadly acting P450 is inherently unstable in its cross-resistance profile, because duplication and divergence can extend the substrate range unpredictably. Cross-resistance patterns measured today therefore constrain but do not determine the patterns that will apply after further selection. Analysis of acetamiprid resistance in </w:t>
      </w:r>
      <w:r>
        <w:rPr>
          <w:i/>
          <w:iCs/>
        </w:rPr>
        <w:t xml:space="preserve">N. </w:t>
      </w:r>
      <w:proofErr w:type="spellStart"/>
      <w:r>
        <w:rPr>
          <w:i/>
          <w:iCs/>
        </w:rPr>
        <w:t>lugens</w:t>
      </w:r>
      <w:proofErr w:type="spellEnd"/>
      <w:r>
        <w:t xml:space="preserve"> showed a cross-resistance structure consistent with metabolic mediation and identified the enzymatic systems involved (Wu et al., 2022), reinforcing the conclusion that neonicotinoid alternation within the class offers limited protection. The general capacity of cytochrome P450 enzymes to accommodate structurally diverse substrates makes this outcome unsurprising rather than exceptional (</w:t>
      </w:r>
      <w:proofErr w:type="spellStart"/>
      <w:r>
        <w:t>Nauen</w:t>
      </w:r>
      <w:proofErr w:type="spellEnd"/>
      <w:r>
        <w:t xml:space="preserve"> et al., 2022).</w:t>
      </w:r>
    </w:p>
    <w:p w14:paraId="44D15520" w14:textId="77777777" w:rsidR="00820B56" w:rsidRDefault="00000000" w:rsidP="00B403FD">
      <w:pPr>
        <w:pStyle w:val="Heading2"/>
        <w:spacing w:before="100" w:beforeAutospacing="1" w:after="100" w:afterAutospacing="1"/>
      </w:pPr>
      <w:r>
        <w:rPr>
          <w:b/>
          <w:bCs/>
          <w:color w:val="000000"/>
          <w:sz w:val="23"/>
          <w:szCs w:val="23"/>
        </w:rPr>
        <w:t>5.3 What Indian monitoring can and cannot support</w:t>
      </w:r>
    </w:p>
    <w:p w14:paraId="2DBB82B8" w14:textId="77777777" w:rsidR="00820B56" w:rsidRDefault="00000000" w:rsidP="00B403FD">
      <w:pPr>
        <w:spacing w:before="100" w:beforeAutospacing="1" w:after="100" w:afterAutospacing="1"/>
        <w:jc w:val="both"/>
      </w:pPr>
      <w:r>
        <w:t xml:space="preserve">Indian monitoring of planthopper susceptibility exists but is thin. District-level monitoring of insecticide resistance in </w:t>
      </w:r>
      <w:r>
        <w:rPr>
          <w:i/>
          <w:iCs/>
        </w:rPr>
        <w:t xml:space="preserve">N. </w:t>
      </w:r>
      <w:proofErr w:type="spellStart"/>
      <w:r>
        <w:rPr>
          <w:i/>
          <w:iCs/>
        </w:rPr>
        <w:t>lugens</w:t>
      </w:r>
      <w:proofErr w:type="spellEnd"/>
      <w:r>
        <w:t xml:space="preserve"> has been reported from Telangana (Mohan et al., 2019), and Indian </w:t>
      </w:r>
      <w:r>
        <w:lastRenderedPageBreak/>
        <w:t>populations have contributed to multi-country susceptibility and virulence surveys (Garrood et al., 2016; Horgan et al., 2015). What is absent is a longitudinal series: repeated sampling of defined populations, with a stable reference strain and a constant bioassay protocol, over a period long enough to estimate rates of change. Without such a series, an elevated resistance ratio at a single site in a single season cannot be distinguished from natural population variation in susceptibility, from a bioassay artefact, or from a genuine directional trend. The comparison with the Chinese and Japanese programmes is instructive: those programmes derive their inferential power from continuity of method across years and sites rather than from any single measurement (Matsumura et al., 2018; Wu et al., 2018).</w:t>
      </w:r>
    </w:p>
    <w:p w14:paraId="0D929B5F" w14:textId="77777777" w:rsidR="00820B56" w:rsidRDefault="00000000" w:rsidP="00B403FD">
      <w:pPr>
        <w:spacing w:before="100" w:beforeAutospacing="1" w:after="100" w:afterAutospacing="1"/>
        <w:jc w:val="both"/>
      </w:pPr>
      <w:r>
        <w:t>A second limitation concerns the reference strain. Resistance ratios are meaningful only relative to a susceptible baseline whose provenance and maintenance are documented, and laboratory strains drift in susceptibility over time. Where Indian studies use locally reared colonies of unstated origin as the susceptible comparator, resistance ratios from different studies are not comparable with one another and may not be comparable across years within a single study. This is a solvable problem, and it is the least expensive of the improvements that would materially strengthen the Indian evidence base.</w:t>
      </w:r>
    </w:p>
    <w:p w14:paraId="4C5F4CC6" w14:textId="77777777" w:rsidR="00820B56" w:rsidRDefault="00000000" w:rsidP="00B403FD">
      <w:pPr>
        <w:pStyle w:val="Heading2"/>
        <w:spacing w:before="100" w:beforeAutospacing="1" w:after="100" w:afterAutospacing="1"/>
      </w:pPr>
      <w:r>
        <w:rPr>
          <w:b/>
          <w:bCs/>
          <w:color w:val="000000"/>
          <w:sz w:val="23"/>
          <w:szCs w:val="23"/>
        </w:rPr>
        <w:t>5.4 Cross-resistance, control-failure likelihood and the interpretation of resistance ratios</w:t>
      </w:r>
    </w:p>
    <w:p w14:paraId="7F1129C8" w14:textId="77777777" w:rsidR="00820B56" w:rsidRDefault="00000000" w:rsidP="00B403FD">
      <w:pPr>
        <w:spacing w:before="100" w:beforeAutospacing="1" w:after="100" w:afterAutospacing="1"/>
        <w:jc w:val="both"/>
      </w:pPr>
      <w:r>
        <w:t xml:space="preserve">A resistance ratio is a ratio of lethal concentrations and is not, by itself, a statement about field performance. The relationship between the two depends on where the label rate sits relative to the resistant population's dose-response curve. Work on </w:t>
      </w:r>
      <w:r>
        <w:rPr>
          <w:i/>
          <w:iCs/>
        </w:rPr>
        <w:t xml:space="preserve">S. </w:t>
      </w:r>
      <w:proofErr w:type="spellStart"/>
      <w:r>
        <w:rPr>
          <w:i/>
          <w:iCs/>
        </w:rPr>
        <w:t>furcifera</w:t>
      </w:r>
      <w:proofErr w:type="spellEnd"/>
      <w:r>
        <w:t xml:space="preserve"> has made this relationship explicit by combining resistance monitoring with quantitative assessment of the likelihood of control failure at recommended concentrations: populations showed very high resistance to </w:t>
      </w:r>
      <w:proofErr w:type="spellStart"/>
      <w:r>
        <w:t>buprofezin</w:t>
      </w:r>
      <w:proofErr w:type="spellEnd"/>
      <w:r>
        <w:t xml:space="preserve">, chlorpyrifos and </w:t>
      </w:r>
      <w:proofErr w:type="spellStart"/>
      <w:r>
        <w:t>pymetrozine</w:t>
      </w:r>
      <w:proofErr w:type="spellEnd"/>
      <w:r>
        <w:t xml:space="preserve">, low to moderate resistance to several neonicotinoids, and continued susceptibility to </w:t>
      </w:r>
      <w:proofErr w:type="spellStart"/>
      <w:r>
        <w:t>cycloxaprid</w:t>
      </w:r>
      <w:proofErr w:type="spellEnd"/>
      <w:r>
        <w:t xml:space="preserve">, </w:t>
      </w:r>
      <w:proofErr w:type="spellStart"/>
      <w:r>
        <w:t>triflumezopyrim</w:t>
      </w:r>
      <w:proofErr w:type="spellEnd"/>
      <w:r>
        <w:t xml:space="preserve"> and sulfoxaflor, and the analysis identified </w:t>
      </w:r>
      <w:proofErr w:type="spellStart"/>
      <w:r>
        <w:t>pymetrozine</w:t>
      </w:r>
      <w:proofErr w:type="spellEnd"/>
      <w:r>
        <w:t xml:space="preserve">, </w:t>
      </w:r>
      <w:proofErr w:type="spellStart"/>
      <w:r>
        <w:t>isoprocarb</w:t>
      </w:r>
      <w:proofErr w:type="spellEnd"/>
      <w:r>
        <w:t xml:space="preserve"> and etofenprox as being at risk of control failure at the minimum recommended concentration (Li et al., 2020). Complementary monitoring of Chinese </w:t>
      </w:r>
      <w:r>
        <w:rPr>
          <w:i/>
          <w:iCs/>
        </w:rPr>
        <w:t xml:space="preserve">S. </w:t>
      </w:r>
      <w:proofErr w:type="spellStart"/>
      <w:r>
        <w:rPr>
          <w:i/>
          <w:iCs/>
        </w:rPr>
        <w:t>furcifera</w:t>
      </w:r>
      <w:proofErr w:type="spellEnd"/>
      <w:r>
        <w:t xml:space="preserve"> populations across 2019 and 2020 documented the geographical distribution of these susceptibility differences (Li et al., 2021).</w:t>
      </w:r>
    </w:p>
    <w:p w14:paraId="507CE666" w14:textId="77777777" w:rsidR="00820B56" w:rsidRDefault="00000000" w:rsidP="00B403FD">
      <w:pPr>
        <w:spacing w:before="100" w:beforeAutospacing="1" w:after="100" w:afterAutospacing="1"/>
        <w:jc w:val="both"/>
      </w:pPr>
      <w:r>
        <w:t xml:space="preserve">Two inferences follow for Indian practice. First, a moderate resistance ratio may be operationally irrelevant if the label rate retains a wide margin above the resistant lethal concentration, while a modest ratio for a compound applied close to its efficacy threshold may already compromise control. Reporting ratios without reference to label rates therefore conveys less information than it appears to. Second, the retention of susceptibility to newer chemistries such as </w:t>
      </w:r>
      <w:proofErr w:type="spellStart"/>
      <w:r>
        <w:t>triflumezopyrim</w:t>
      </w:r>
      <w:proofErr w:type="spellEnd"/>
      <w:r>
        <w:t xml:space="preserve"> represents a finite resource whose depletion is predictable. The </w:t>
      </w:r>
      <w:proofErr w:type="spellStart"/>
      <w:r>
        <w:t>mesoionic</w:t>
      </w:r>
      <w:proofErr w:type="spellEnd"/>
      <w:r>
        <w:t xml:space="preserve"> compound </w:t>
      </w:r>
      <w:proofErr w:type="spellStart"/>
      <w:r>
        <w:t>triflumezopyrim</w:t>
      </w:r>
      <w:proofErr w:type="spellEnd"/>
      <w:r>
        <w:t xml:space="preserve"> combines activity against planthoppers with comparatively low toxicity to several beneficial arthropods (Zhu et al., 2018), which makes it valuable within an integrated programme and correspondingly valuable to protect from unnecessary exposure.</w:t>
      </w:r>
    </w:p>
    <w:p w14:paraId="629FC3EC" w14:textId="77777777" w:rsidR="00820B56" w:rsidRDefault="00000000" w:rsidP="00B403FD">
      <w:pPr>
        <w:spacing w:before="100" w:beforeAutospacing="1" w:after="100" w:afterAutospacing="1"/>
        <w:jc w:val="both"/>
      </w:pPr>
      <w:r>
        <w:t>Table 3 summarises the mechanisms documented in rice planthoppers, the strength of the evidence supporting each, and the geographical provenance of that evidence. The table is intended to make explicit which conclusions rest on functional validation and which rest on association alone, and to show that the geographical origin of the evidence is concentrated in East Asia for every mechanism except the phenotypic surveys in which Indian populations participated. Read alongside Table 1, it indicates that the mechanistic understanding available for Indian planthopper management is borrowed in its entirety.</w:t>
      </w:r>
    </w:p>
    <w:p w14:paraId="262C3204" w14:textId="77777777" w:rsidR="00820B56" w:rsidRDefault="00000000" w:rsidP="00B403FD">
      <w:pPr>
        <w:spacing w:before="100" w:beforeAutospacing="1" w:after="100" w:afterAutospacing="1"/>
      </w:pPr>
      <w:r>
        <w:rPr>
          <w:b/>
          <w:bCs/>
          <w:sz w:val="20"/>
          <w:szCs w:val="20"/>
        </w:rPr>
        <w:t>Table 3. Resistance mechanisms documented in rice planthoppers, evidential status, and geographical provenance of the supporting studies.</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548"/>
        <w:gridCol w:w="1579"/>
        <w:gridCol w:w="1393"/>
        <w:gridCol w:w="1673"/>
        <w:gridCol w:w="1385"/>
        <w:gridCol w:w="1448"/>
      </w:tblGrid>
      <w:tr w:rsidR="00820B56" w14:paraId="18833D18" w14:textId="77777777">
        <w:trPr>
          <w:tblHeader/>
        </w:trPr>
        <w:tc>
          <w:tcPr>
            <w:tcW w:w="1450" w:type="dxa"/>
            <w:shd w:val="clear" w:color="auto" w:fill="E8E8E8"/>
            <w:tcMar>
              <w:top w:w="60" w:type="dxa"/>
              <w:left w:w="80" w:type="dxa"/>
              <w:bottom w:w="60" w:type="dxa"/>
              <w:right w:w="80" w:type="dxa"/>
            </w:tcMar>
          </w:tcPr>
          <w:p w14:paraId="088791E8" w14:textId="77777777" w:rsidR="00820B56" w:rsidRDefault="00000000" w:rsidP="00B403FD">
            <w:pPr>
              <w:spacing w:before="100" w:beforeAutospacing="1" w:after="100" w:afterAutospacing="1"/>
            </w:pPr>
            <w:r>
              <w:rPr>
                <w:b/>
                <w:bCs/>
                <w:sz w:val="17"/>
                <w:szCs w:val="17"/>
              </w:rPr>
              <w:lastRenderedPageBreak/>
              <w:t>Mechanism</w:t>
            </w:r>
          </w:p>
        </w:tc>
        <w:tc>
          <w:tcPr>
            <w:tcW w:w="1600" w:type="dxa"/>
            <w:shd w:val="clear" w:color="auto" w:fill="E8E8E8"/>
            <w:tcMar>
              <w:top w:w="60" w:type="dxa"/>
              <w:left w:w="80" w:type="dxa"/>
              <w:bottom w:w="60" w:type="dxa"/>
              <w:right w:w="80" w:type="dxa"/>
            </w:tcMar>
          </w:tcPr>
          <w:p w14:paraId="53F52B93" w14:textId="77777777" w:rsidR="00820B56" w:rsidRDefault="00000000" w:rsidP="00B403FD">
            <w:pPr>
              <w:spacing w:before="100" w:beforeAutospacing="1" w:after="100" w:afterAutospacing="1"/>
            </w:pPr>
            <w:r>
              <w:rPr>
                <w:b/>
                <w:bCs/>
                <w:sz w:val="17"/>
                <w:szCs w:val="17"/>
              </w:rPr>
              <w:t>Molecular basis</w:t>
            </w:r>
          </w:p>
        </w:tc>
        <w:tc>
          <w:tcPr>
            <w:tcW w:w="1400" w:type="dxa"/>
            <w:shd w:val="clear" w:color="auto" w:fill="E8E8E8"/>
            <w:tcMar>
              <w:top w:w="60" w:type="dxa"/>
              <w:left w:w="80" w:type="dxa"/>
              <w:bottom w:w="60" w:type="dxa"/>
              <w:right w:w="80" w:type="dxa"/>
            </w:tcMar>
          </w:tcPr>
          <w:p w14:paraId="7F958C60" w14:textId="77777777" w:rsidR="00820B56" w:rsidRDefault="00000000" w:rsidP="00B403FD">
            <w:pPr>
              <w:spacing w:before="100" w:beforeAutospacing="1" w:after="100" w:afterAutospacing="1"/>
            </w:pPr>
            <w:r>
              <w:rPr>
                <w:b/>
                <w:bCs/>
                <w:sz w:val="17"/>
                <w:szCs w:val="17"/>
              </w:rPr>
              <w:t>Chemistry affected</w:t>
            </w:r>
          </w:p>
        </w:tc>
        <w:tc>
          <w:tcPr>
            <w:tcW w:w="1700" w:type="dxa"/>
            <w:shd w:val="clear" w:color="auto" w:fill="E8E8E8"/>
            <w:tcMar>
              <w:top w:w="60" w:type="dxa"/>
              <w:left w:w="80" w:type="dxa"/>
              <w:bottom w:w="60" w:type="dxa"/>
              <w:right w:w="80" w:type="dxa"/>
            </w:tcMar>
          </w:tcPr>
          <w:p w14:paraId="2737473F" w14:textId="77777777" w:rsidR="00820B56" w:rsidRDefault="00000000" w:rsidP="00B403FD">
            <w:pPr>
              <w:spacing w:before="100" w:beforeAutospacing="1" w:after="100" w:afterAutospacing="1"/>
            </w:pPr>
            <w:r>
              <w:rPr>
                <w:b/>
                <w:bCs/>
                <w:sz w:val="17"/>
                <w:szCs w:val="17"/>
              </w:rPr>
              <w:t>Highest level of evidence attained</w:t>
            </w:r>
          </w:p>
        </w:tc>
        <w:tc>
          <w:tcPr>
            <w:tcW w:w="1400" w:type="dxa"/>
            <w:shd w:val="clear" w:color="auto" w:fill="E8E8E8"/>
            <w:tcMar>
              <w:top w:w="60" w:type="dxa"/>
              <w:left w:w="80" w:type="dxa"/>
              <w:bottom w:w="60" w:type="dxa"/>
              <w:right w:w="80" w:type="dxa"/>
            </w:tcMar>
          </w:tcPr>
          <w:p w14:paraId="0EB505D8" w14:textId="77777777" w:rsidR="00820B56" w:rsidRDefault="00000000" w:rsidP="00B403FD">
            <w:pPr>
              <w:spacing w:before="100" w:beforeAutospacing="1" w:after="100" w:afterAutospacing="1"/>
            </w:pPr>
            <w:r>
              <w:rPr>
                <w:b/>
                <w:bCs/>
                <w:sz w:val="17"/>
                <w:szCs w:val="17"/>
              </w:rPr>
              <w:t>Geographical provenance of evidence</w:t>
            </w:r>
          </w:p>
        </w:tc>
        <w:tc>
          <w:tcPr>
            <w:tcW w:w="1476" w:type="dxa"/>
            <w:shd w:val="clear" w:color="auto" w:fill="E8E8E8"/>
            <w:tcMar>
              <w:top w:w="60" w:type="dxa"/>
              <w:left w:w="80" w:type="dxa"/>
              <w:bottom w:w="60" w:type="dxa"/>
              <w:right w:w="80" w:type="dxa"/>
            </w:tcMar>
          </w:tcPr>
          <w:p w14:paraId="51ADEDA9" w14:textId="77777777" w:rsidR="00820B56" w:rsidRDefault="00000000" w:rsidP="00B403FD">
            <w:pPr>
              <w:spacing w:before="100" w:beforeAutospacing="1" w:after="100" w:afterAutospacing="1"/>
            </w:pPr>
            <w:r>
              <w:rPr>
                <w:b/>
                <w:bCs/>
                <w:sz w:val="17"/>
                <w:szCs w:val="17"/>
              </w:rPr>
              <w:t>Supporting references</w:t>
            </w:r>
          </w:p>
        </w:tc>
      </w:tr>
      <w:tr w:rsidR="00820B56" w14:paraId="5C41AF4A" w14:textId="77777777">
        <w:tc>
          <w:tcPr>
            <w:tcW w:w="1450" w:type="dxa"/>
            <w:tcMar>
              <w:top w:w="60" w:type="dxa"/>
              <w:left w:w="80" w:type="dxa"/>
              <w:bottom w:w="60" w:type="dxa"/>
              <w:right w:w="80" w:type="dxa"/>
            </w:tcMar>
          </w:tcPr>
          <w:p w14:paraId="7DCB8D3E" w14:textId="77777777" w:rsidR="00820B56" w:rsidRDefault="00000000" w:rsidP="00B403FD">
            <w:pPr>
              <w:spacing w:before="100" w:beforeAutospacing="1" w:after="100" w:afterAutospacing="1"/>
            </w:pPr>
            <w:r>
              <w:rPr>
                <w:sz w:val="17"/>
                <w:szCs w:val="17"/>
              </w:rPr>
              <w:t>Nicotinic acetylcholine receptor modification</w:t>
            </w:r>
          </w:p>
        </w:tc>
        <w:tc>
          <w:tcPr>
            <w:tcW w:w="1600" w:type="dxa"/>
            <w:tcMar>
              <w:top w:w="60" w:type="dxa"/>
              <w:left w:w="80" w:type="dxa"/>
              <w:bottom w:w="60" w:type="dxa"/>
              <w:right w:w="80" w:type="dxa"/>
            </w:tcMar>
          </w:tcPr>
          <w:p w14:paraId="04F68754" w14:textId="77777777" w:rsidR="00820B56" w:rsidRDefault="00000000" w:rsidP="00B403FD">
            <w:pPr>
              <w:spacing w:before="100" w:beforeAutospacing="1" w:after="100" w:afterAutospacing="1"/>
            </w:pPr>
            <w:r>
              <w:rPr>
                <w:sz w:val="17"/>
                <w:szCs w:val="17"/>
              </w:rPr>
              <w:t>Y151S substitution in receptor subunits</w:t>
            </w:r>
          </w:p>
        </w:tc>
        <w:tc>
          <w:tcPr>
            <w:tcW w:w="1400" w:type="dxa"/>
            <w:tcMar>
              <w:top w:w="60" w:type="dxa"/>
              <w:left w:w="80" w:type="dxa"/>
              <w:bottom w:w="60" w:type="dxa"/>
              <w:right w:w="80" w:type="dxa"/>
            </w:tcMar>
          </w:tcPr>
          <w:p w14:paraId="00B2421D" w14:textId="77777777" w:rsidR="00820B56" w:rsidRDefault="00000000" w:rsidP="00B403FD">
            <w:pPr>
              <w:spacing w:before="100" w:beforeAutospacing="1" w:after="100" w:afterAutospacing="1"/>
            </w:pPr>
            <w:r>
              <w:rPr>
                <w:sz w:val="17"/>
                <w:szCs w:val="17"/>
              </w:rPr>
              <w:t>Neonicotinoids</w:t>
            </w:r>
          </w:p>
        </w:tc>
        <w:tc>
          <w:tcPr>
            <w:tcW w:w="1700" w:type="dxa"/>
            <w:tcMar>
              <w:top w:w="60" w:type="dxa"/>
              <w:left w:w="80" w:type="dxa"/>
              <w:bottom w:w="60" w:type="dxa"/>
              <w:right w:w="80" w:type="dxa"/>
            </w:tcMar>
          </w:tcPr>
          <w:p w14:paraId="519F0689" w14:textId="77777777" w:rsidR="00820B56" w:rsidRDefault="00000000" w:rsidP="00B403FD">
            <w:pPr>
              <w:spacing w:before="100" w:beforeAutospacing="1" w:after="100" w:afterAutospacing="1"/>
            </w:pPr>
            <w:r>
              <w:rPr>
                <w:sz w:val="17"/>
                <w:szCs w:val="17"/>
              </w:rPr>
              <w:t>Functional validation by heterologous expression; limited detection in field populations</w:t>
            </w:r>
          </w:p>
        </w:tc>
        <w:tc>
          <w:tcPr>
            <w:tcW w:w="1400" w:type="dxa"/>
            <w:tcMar>
              <w:top w:w="60" w:type="dxa"/>
              <w:left w:w="80" w:type="dxa"/>
              <w:bottom w:w="60" w:type="dxa"/>
              <w:right w:w="80" w:type="dxa"/>
            </w:tcMar>
          </w:tcPr>
          <w:p w14:paraId="5CCA91DB" w14:textId="77777777" w:rsidR="00820B56" w:rsidRDefault="00000000" w:rsidP="00B403FD">
            <w:pPr>
              <w:spacing w:before="100" w:beforeAutospacing="1" w:after="100" w:afterAutospacing="1"/>
            </w:pPr>
            <w:r>
              <w:rPr>
                <w:sz w:val="17"/>
                <w:szCs w:val="17"/>
              </w:rPr>
              <w:t>East Asia; laboratory-selected material</w:t>
            </w:r>
          </w:p>
        </w:tc>
        <w:tc>
          <w:tcPr>
            <w:tcW w:w="1476" w:type="dxa"/>
            <w:tcMar>
              <w:top w:w="60" w:type="dxa"/>
              <w:left w:w="80" w:type="dxa"/>
              <w:bottom w:w="60" w:type="dxa"/>
              <w:right w:w="80" w:type="dxa"/>
            </w:tcMar>
          </w:tcPr>
          <w:p w14:paraId="624A6CED" w14:textId="77777777" w:rsidR="00820B56" w:rsidRDefault="00000000" w:rsidP="00B403FD">
            <w:pPr>
              <w:spacing w:before="100" w:beforeAutospacing="1" w:after="100" w:afterAutospacing="1"/>
            </w:pPr>
            <w:r>
              <w:rPr>
                <w:sz w:val="17"/>
                <w:szCs w:val="17"/>
              </w:rPr>
              <w:t xml:space="preserve">Liu et al. (2005); </w:t>
            </w:r>
            <w:proofErr w:type="spellStart"/>
            <w:r>
              <w:rPr>
                <w:sz w:val="17"/>
                <w:szCs w:val="17"/>
              </w:rPr>
              <w:t>Puinean</w:t>
            </w:r>
            <w:proofErr w:type="spellEnd"/>
            <w:r>
              <w:rPr>
                <w:sz w:val="17"/>
                <w:szCs w:val="17"/>
              </w:rPr>
              <w:t xml:space="preserve"> et al. (2010)</w:t>
            </w:r>
          </w:p>
        </w:tc>
      </w:tr>
      <w:tr w:rsidR="00820B56" w14:paraId="60BD1D5A" w14:textId="77777777">
        <w:tc>
          <w:tcPr>
            <w:tcW w:w="1450" w:type="dxa"/>
            <w:tcMar>
              <w:top w:w="60" w:type="dxa"/>
              <w:left w:w="80" w:type="dxa"/>
              <w:bottom w:w="60" w:type="dxa"/>
              <w:right w:w="80" w:type="dxa"/>
            </w:tcMar>
          </w:tcPr>
          <w:p w14:paraId="5EEE9900" w14:textId="77777777" w:rsidR="00820B56" w:rsidRDefault="00000000" w:rsidP="00B403FD">
            <w:pPr>
              <w:spacing w:before="100" w:beforeAutospacing="1" w:after="100" w:afterAutospacing="1"/>
            </w:pPr>
            <w:r>
              <w:rPr>
                <w:sz w:val="17"/>
                <w:szCs w:val="17"/>
              </w:rPr>
              <w:t>Enhanced oxidative metabolism</w:t>
            </w:r>
          </w:p>
        </w:tc>
        <w:tc>
          <w:tcPr>
            <w:tcW w:w="1600" w:type="dxa"/>
            <w:tcMar>
              <w:top w:w="60" w:type="dxa"/>
              <w:left w:w="80" w:type="dxa"/>
              <w:bottom w:w="60" w:type="dxa"/>
              <w:right w:w="80" w:type="dxa"/>
            </w:tcMar>
          </w:tcPr>
          <w:p w14:paraId="02707D28" w14:textId="77777777" w:rsidR="00820B56" w:rsidRDefault="00000000" w:rsidP="00B403FD">
            <w:pPr>
              <w:spacing w:before="100" w:beforeAutospacing="1" w:after="100" w:afterAutospacing="1"/>
            </w:pPr>
            <w:r>
              <w:rPr>
                <w:sz w:val="17"/>
                <w:szCs w:val="17"/>
              </w:rPr>
              <w:t xml:space="preserve">Overexpression of </w:t>
            </w:r>
            <w:r>
              <w:rPr>
                <w:i/>
                <w:iCs/>
                <w:sz w:val="17"/>
                <w:szCs w:val="17"/>
              </w:rPr>
              <w:t>CYP6ER1</w:t>
            </w:r>
          </w:p>
        </w:tc>
        <w:tc>
          <w:tcPr>
            <w:tcW w:w="1400" w:type="dxa"/>
            <w:tcMar>
              <w:top w:w="60" w:type="dxa"/>
              <w:left w:w="80" w:type="dxa"/>
              <w:bottom w:w="60" w:type="dxa"/>
              <w:right w:w="80" w:type="dxa"/>
            </w:tcMar>
          </w:tcPr>
          <w:p w14:paraId="307E0714" w14:textId="77777777" w:rsidR="00820B56" w:rsidRDefault="00000000" w:rsidP="00B403FD">
            <w:pPr>
              <w:spacing w:before="100" w:beforeAutospacing="1" w:after="100" w:afterAutospacing="1"/>
            </w:pPr>
            <w:r>
              <w:rPr>
                <w:sz w:val="17"/>
                <w:szCs w:val="17"/>
              </w:rPr>
              <w:t xml:space="preserve">Imidacloprid, thiamethoxam, </w:t>
            </w:r>
            <w:proofErr w:type="spellStart"/>
            <w:r>
              <w:rPr>
                <w:sz w:val="17"/>
                <w:szCs w:val="17"/>
              </w:rPr>
              <w:t>buprofezin</w:t>
            </w:r>
            <w:proofErr w:type="spellEnd"/>
          </w:p>
        </w:tc>
        <w:tc>
          <w:tcPr>
            <w:tcW w:w="1700" w:type="dxa"/>
            <w:tcMar>
              <w:top w:w="60" w:type="dxa"/>
              <w:left w:w="80" w:type="dxa"/>
              <w:bottom w:w="60" w:type="dxa"/>
              <w:right w:w="80" w:type="dxa"/>
            </w:tcMar>
          </w:tcPr>
          <w:p w14:paraId="6DE24FCD" w14:textId="77777777" w:rsidR="00820B56" w:rsidRDefault="00000000" w:rsidP="00B403FD">
            <w:pPr>
              <w:spacing w:before="100" w:beforeAutospacing="1" w:after="100" w:afterAutospacing="1"/>
            </w:pPr>
            <w:r>
              <w:rPr>
                <w:sz w:val="17"/>
                <w:szCs w:val="17"/>
              </w:rPr>
              <w:t>Functional validation by RNA interference and transgenic expression</w:t>
            </w:r>
          </w:p>
        </w:tc>
        <w:tc>
          <w:tcPr>
            <w:tcW w:w="1400" w:type="dxa"/>
            <w:tcMar>
              <w:top w:w="60" w:type="dxa"/>
              <w:left w:w="80" w:type="dxa"/>
              <w:bottom w:w="60" w:type="dxa"/>
              <w:right w:w="80" w:type="dxa"/>
            </w:tcMar>
          </w:tcPr>
          <w:p w14:paraId="1E1C4B88" w14:textId="77777777" w:rsidR="00820B56" w:rsidRDefault="00000000" w:rsidP="00B403FD">
            <w:pPr>
              <w:spacing w:before="100" w:beforeAutospacing="1" w:after="100" w:afterAutospacing="1"/>
            </w:pPr>
            <w:r>
              <w:rPr>
                <w:sz w:val="17"/>
                <w:szCs w:val="17"/>
              </w:rPr>
              <w:t>China; multi-country survey including India for expression profiling</w:t>
            </w:r>
          </w:p>
        </w:tc>
        <w:tc>
          <w:tcPr>
            <w:tcW w:w="1476" w:type="dxa"/>
            <w:tcMar>
              <w:top w:w="60" w:type="dxa"/>
              <w:left w:w="80" w:type="dxa"/>
              <w:bottom w:w="60" w:type="dxa"/>
              <w:right w:w="80" w:type="dxa"/>
            </w:tcMar>
          </w:tcPr>
          <w:p w14:paraId="3E8A7527" w14:textId="77777777" w:rsidR="00820B56" w:rsidRDefault="00000000" w:rsidP="00B403FD">
            <w:pPr>
              <w:spacing w:before="100" w:beforeAutospacing="1" w:after="100" w:afterAutospacing="1"/>
            </w:pPr>
            <w:r>
              <w:rPr>
                <w:sz w:val="17"/>
                <w:szCs w:val="17"/>
              </w:rPr>
              <w:t>Bass et al. (2011); Garrood et al. (2016); Wu et al. (2018)</w:t>
            </w:r>
          </w:p>
        </w:tc>
      </w:tr>
      <w:tr w:rsidR="00820B56" w14:paraId="1F0D9794" w14:textId="77777777">
        <w:tc>
          <w:tcPr>
            <w:tcW w:w="1450" w:type="dxa"/>
            <w:tcMar>
              <w:top w:w="60" w:type="dxa"/>
              <w:left w:w="80" w:type="dxa"/>
              <w:bottom w:w="60" w:type="dxa"/>
              <w:right w:w="80" w:type="dxa"/>
            </w:tcMar>
          </w:tcPr>
          <w:p w14:paraId="521BEAC6" w14:textId="77777777" w:rsidR="00820B56" w:rsidRDefault="00000000" w:rsidP="00B403FD">
            <w:pPr>
              <w:spacing w:before="100" w:beforeAutospacing="1" w:after="100" w:afterAutospacing="1"/>
            </w:pPr>
            <w:r>
              <w:rPr>
                <w:sz w:val="17"/>
                <w:szCs w:val="17"/>
              </w:rPr>
              <w:t xml:space="preserve">Gene duplication and </w:t>
            </w:r>
            <w:proofErr w:type="spellStart"/>
            <w:r>
              <w:rPr>
                <w:sz w:val="17"/>
                <w:szCs w:val="17"/>
              </w:rPr>
              <w:t>neofunctionalisation</w:t>
            </w:r>
            <w:proofErr w:type="spellEnd"/>
          </w:p>
        </w:tc>
        <w:tc>
          <w:tcPr>
            <w:tcW w:w="1600" w:type="dxa"/>
            <w:tcMar>
              <w:top w:w="60" w:type="dxa"/>
              <w:left w:w="80" w:type="dxa"/>
              <w:bottom w:w="60" w:type="dxa"/>
              <w:right w:w="80" w:type="dxa"/>
            </w:tcMar>
          </w:tcPr>
          <w:p w14:paraId="140A890C" w14:textId="77777777" w:rsidR="00820B56" w:rsidRDefault="00000000" w:rsidP="00B403FD">
            <w:pPr>
              <w:spacing w:before="100" w:beforeAutospacing="1" w:after="100" w:afterAutospacing="1"/>
            </w:pPr>
            <w:r>
              <w:rPr>
                <w:sz w:val="17"/>
                <w:szCs w:val="17"/>
              </w:rPr>
              <w:t xml:space="preserve">Duplication and divergence within the </w:t>
            </w:r>
            <w:r>
              <w:rPr>
                <w:i/>
                <w:iCs/>
                <w:sz w:val="17"/>
                <w:szCs w:val="17"/>
              </w:rPr>
              <w:t>CYP6ER1</w:t>
            </w:r>
            <w:r>
              <w:rPr>
                <w:sz w:val="17"/>
                <w:szCs w:val="17"/>
              </w:rPr>
              <w:t xml:space="preserve"> lineage</w:t>
            </w:r>
          </w:p>
        </w:tc>
        <w:tc>
          <w:tcPr>
            <w:tcW w:w="1400" w:type="dxa"/>
            <w:tcMar>
              <w:top w:w="60" w:type="dxa"/>
              <w:left w:w="80" w:type="dxa"/>
              <w:bottom w:w="60" w:type="dxa"/>
              <w:right w:w="80" w:type="dxa"/>
            </w:tcMar>
          </w:tcPr>
          <w:p w14:paraId="73384009" w14:textId="77777777" w:rsidR="00820B56" w:rsidRDefault="00000000" w:rsidP="00B403FD">
            <w:pPr>
              <w:spacing w:before="100" w:beforeAutospacing="1" w:after="100" w:afterAutospacing="1"/>
            </w:pPr>
            <w:r>
              <w:rPr>
                <w:sz w:val="17"/>
                <w:szCs w:val="17"/>
              </w:rPr>
              <w:t>Multiple neonicotinoids and unrelated chemistry</w:t>
            </w:r>
          </w:p>
        </w:tc>
        <w:tc>
          <w:tcPr>
            <w:tcW w:w="1700" w:type="dxa"/>
            <w:tcMar>
              <w:top w:w="60" w:type="dxa"/>
              <w:left w:w="80" w:type="dxa"/>
              <w:bottom w:w="60" w:type="dxa"/>
              <w:right w:w="80" w:type="dxa"/>
            </w:tcMar>
          </w:tcPr>
          <w:p w14:paraId="4FFD9FB1" w14:textId="77777777" w:rsidR="00820B56" w:rsidRDefault="00000000" w:rsidP="00B403FD">
            <w:pPr>
              <w:spacing w:before="100" w:beforeAutospacing="1" w:after="100" w:afterAutospacing="1"/>
            </w:pPr>
            <w:r>
              <w:rPr>
                <w:sz w:val="17"/>
                <w:szCs w:val="17"/>
              </w:rPr>
              <w:t>Functional validation of paralogue-specific catalytic activity</w:t>
            </w:r>
          </w:p>
        </w:tc>
        <w:tc>
          <w:tcPr>
            <w:tcW w:w="1400" w:type="dxa"/>
            <w:tcMar>
              <w:top w:w="60" w:type="dxa"/>
              <w:left w:w="80" w:type="dxa"/>
              <w:bottom w:w="60" w:type="dxa"/>
              <w:right w:w="80" w:type="dxa"/>
            </w:tcMar>
          </w:tcPr>
          <w:p w14:paraId="4FE41E0B" w14:textId="77777777" w:rsidR="00820B56" w:rsidRDefault="00000000" w:rsidP="00B403FD">
            <w:pPr>
              <w:spacing w:before="100" w:beforeAutospacing="1" w:after="100" w:afterAutospacing="1"/>
            </w:pPr>
            <w:r>
              <w:rPr>
                <w:sz w:val="17"/>
                <w:szCs w:val="17"/>
              </w:rPr>
              <w:t>East Asia</w:t>
            </w:r>
          </w:p>
        </w:tc>
        <w:tc>
          <w:tcPr>
            <w:tcW w:w="1476" w:type="dxa"/>
            <w:tcMar>
              <w:top w:w="60" w:type="dxa"/>
              <w:left w:w="80" w:type="dxa"/>
              <w:bottom w:w="60" w:type="dxa"/>
              <w:right w:w="80" w:type="dxa"/>
            </w:tcMar>
          </w:tcPr>
          <w:p w14:paraId="7D61768A" w14:textId="77777777" w:rsidR="00820B56" w:rsidRDefault="00000000" w:rsidP="00B403FD">
            <w:pPr>
              <w:spacing w:before="100" w:beforeAutospacing="1" w:after="100" w:afterAutospacing="1"/>
            </w:pPr>
            <w:r>
              <w:rPr>
                <w:sz w:val="17"/>
                <w:szCs w:val="17"/>
              </w:rPr>
              <w:t>Duarte et al. (2022)</w:t>
            </w:r>
          </w:p>
        </w:tc>
      </w:tr>
      <w:tr w:rsidR="00820B56" w14:paraId="7B9F4D14" w14:textId="77777777">
        <w:tc>
          <w:tcPr>
            <w:tcW w:w="1450" w:type="dxa"/>
            <w:tcMar>
              <w:top w:w="60" w:type="dxa"/>
              <w:left w:w="80" w:type="dxa"/>
              <w:bottom w:w="60" w:type="dxa"/>
              <w:right w:w="80" w:type="dxa"/>
            </w:tcMar>
          </w:tcPr>
          <w:p w14:paraId="677CBD97" w14:textId="77777777" w:rsidR="00820B56" w:rsidRDefault="00000000" w:rsidP="00B403FD">
            <w:pPr>
              <w:spacing w:before="100" w:beforeAutospacing="1" w:after="100" w:afterAutospacing="1"/>
            </w:pPr>
            <w:r>
              <w:rPr>
                <w:sz w:val="17"/>
                <w:szCs w:val="17"/>
              </w:rPr>
              <w:t>Gamma-aminobutyric acid receptor modification</w:t>
            </w:r>
          </w:p>
        </w:tc>
        <w:tc>
          <w:tcPr>
            <w:tcW w:w="1600" w:type="dxa"/>
            <w:tcMar>
              <w:top w:w="60" w:type="dxa"/>
              <w:left w:w="80" w:type="dxa"/>
              <w:bottom w:w="60" w:type="dxa"/>
              <w:right w:w="80" w:type="dxa"/>
            </w:tcMar>
          </w:tcPr>
          <w:p w14:paraId="378225DE" w14:textId="77777777" w:rsidR="00820B56" w:rsidRDefault="00000000" w:rsidP="00B403FD">
            <w:pPr>
              <w:spacing w:before="100" w:beforeAutospacing="1" w:after="100" w:afterAutospacing="1"/>
            </w:pPr>
            <w:r>
              <w:rPr>
                <w:sz w:val="17"/>
                <w:szCs w:val="17"/>
              </w:rPr>
              <w:t>A301S substitution in the RDL subunit</w:t>
            </w:r>
          </w:p>
        </w:tc>
        <w:tc>
          <w:tcPr>
            <w:tcW w:w="1400" w:type="dxa"/>
            <w:tcMar>
              <w:top w:w="60" w:type="dxa"/>
              <w:left w:w="80" w:type="dxa"/>
              <w:bottom w:w="60" w:type="dxa"/>
              <w:right w:w="80" w:type="dxa"/>
            </w:tcMar>
          </w:tcPr>
          <w:p w14:paraId="16F39197" w14:textId="77777777" w:rsidR="00820B56" w:rsidRDefault="00000000" w:rsidP="00B403FD">
            <w:pPr>
              <w:spacing w:before="100" w:beforeAutospacing="1" w:after="100" w:afterAutospacing="1"/>
            </w:pPr>
            <w:proofErr w:type="spellStart"/>
            <w:r>
              <w:rPr>
                <w:sz w:val="17"/>
                <w:szCs w:val="17"/>
              </w:rPr>
              <w:t>Phenylpyrazoles</w:t>
            </w:r>
            <w:proofErr w:type="spellEnd"/>
            <w:r>
              <w:rPr>
                <w:sz w:val="17"/>
                <w:szCs w:val="17"/>
              </w:rPr>
              <w:t xml:space="preserve"> including </w:t>
            </w:r>
            <w:proofErr w:type="spellStart"/>
            <w:r>
              <w:rPr>
                <w:sz w:val="17"/>
                <w:szCs w:val="17"/>
              </w:rPr>
              <w:t>ethiprole</w:t>
            </w:r>
            <w:proofErr w:type="spellEnd"/>
            <w:r>
              <w:rPr>
                <w:sz w:val="17"/>
                <w:szCs w:val="17"/>
              </w:rPr>
              <w:t xml:space="preserve"> and fipronil</w:t>
            </w:r>
          </w:p>
        </w:tc>
        <w:tc>
          <w:tcPr>
            <w:tcW w:w="1700" w:type="dxa"/>
            <w:tcMar>
              <w:top w:w="60" w:type="dxa"/>
              <w:left w:w="80" w:type="dxa"/>
              <w:bottom w:w="60" w:type="dxa"/>
              <w:right w:w="80" w:type="dxa"/>
            </w:tcMar>
          </w:tcPr>
          <w:p w14:paraId="1924FC77" w14:textId="77777777" w:rsidR="00820B56" w:rsidRDefault="00000000" w:rsidP="00B403FD">
            <w:pPr>
              <w:spacing w:before="100" w:beforeAutospacing="1" w:after="100" w:afterAutospacing="1"/>
            </w:pPr>
            <w:r>
              <w:rPr>
                <w:sz w:val="17"/>
                <w:szCs w:val="17"/>
              </w:rPr>
              <w:t>Functional characterisation combined with field resistance survey</w:t>
            </w:r>
          </w:p>
        </w:tc>
        <w:tc>
          <w:tcPr>
            <w:tcW w:w="1400" w:type="dxa"/>
            <w:tcMar>
              <w:top w:w="60" w:type="dxa"/>
              <w:left w:w="80" w:type="dxa"/>
              <w:bottom w:w="60" w:type="dxa"/>
              <w:right w:w="80" w:type="dxa"/>
            </w:tcMar>
          </w:tcPr>
          <w:p w14:paraId="3AF613F5" w14:textId="77777777" w:rsidR="00820B56" w:rsidRDefault="00000000" w:rsidP="00B403FD">
            <w:pPr>
              <w:spacing w:before="100" w:beforeAutospacing="1" w:after="100" w:afterAutospacing="1"/>
            </w:pPr>
            <w:r>
              <w:rPr>
                <w:sz w:val="17"/>
                <w:szCs w:val="17"/>
              </w:rPr>
              <w:t>South and East Asia</w:t>
            </w:r>
          </w:p>
        </w:tc>
        <w:tc>
          <w:tcPr>
            <w:tcW w:w="1476" w:type="dxa"/>
            <w:tcMar>
              <w:top w:w="60" w:type="dxa"/>
              <w:left w:w="80" w:type="dxa"/>
              <w:bottom w:w="60" w:type="dxa"/>
              <w:right w:w="80" w:type="dxa"/>
            </w:tcMar>
          </w:tcPr>
          <w:p w14:paraId="0D6876B9" w14:textId="77777777" w:rsidR="00820B56" w:rsidRDefault="00000000" w:rsidP="00B403FD">
            <w:pPr>
              <w:spacing w:before="100" w:beforeAutospacing="1" w:after="100" w:afterAutospacing="1"/>
            </w:pPr>
            <w:r>
              <w:rPr>
                <w:sz w:val="17"/>
                <w:szCs w:val="17"/>
              </w:rPr>
              <w:t>Garrood et al. (2016); Garrood et al. (2017)</w:t>
            </w:r>
          </w:p>
        </w:tc>
      </w:tr>
      <w:tr w:rsidR="00820B56" w14:paraId="7DE81284" w14:textId="77777777">
        <w:tc>
          <w:tcPr>
            <w:tcW w:w="1450" w:type="dxa"/>
            <w:tcMar>
              <w:top w:w="60" w:type="dxa"/>
              <w:left w:w="80" w:type="dxa"/>
              <w:bottom w:w="60" w:type="dxa"/>
              <w:right w:w="80" w:type="dxa"/>
            </w:tcMar>
          </w:tcPr>
          <w:p w14:paraId="295CE91C" w14:textId="77777777" w:rsidR="00820B56" w:rsidRDefault="00000000" w:rsidP="00B403FD">
            <w:pPr>
              <w:spacing w:before="100" w:beforeAutospacing="1" w:after="100" w:afterAutospacing="1"/>
            </w:pPr>
            <w:r>
              <w:rPr>
                <w:sz w:val="17"/>
                <w:szCs w:val="17"/>
              </w:rPr>
              <w:t>Broad metabolic cross-resistance</w:t>
            </w:r>
          </w:p>
        </w:tc>
        <w:tc>
          <w:tcPr>
            <w:tcW w:w="1600" w:type="dxa"/>
            <w:tcMar>
              <w:top w:w="60" w:type="dxa"/>
              <w:left w:w="80" w:type="dxa"/>
              <w:bottom w:w="60" w:type="dxa"/>
              <w:right w:w="80" w:type="dxa"/>
            </w:tcMar>
          </w:tcPr>
          <w:p w14:paraId="6C679FED" w14:textId="77777777" w:rsidR="00820B56" w:rsidRDefault="00000000" w:rsidP="00B403FD">
            <w:pPr>
              <w:spacing w:before="100" w:beforeAutospacing="1" w:after="100" w:afterAutospacing="1"/>
            </w:pPr>
            <w:r>
              <w:rPr>
                <w:sz w:val="17"/>
                <w:szCs w:val="17"/>
              </w:rPr>
              <w:t>Elevated detoxifying enzyme activity without single-gene attribution</w:t>
            </w:r>
          </w:p>
        </w:tc>
        <w:tc>
          <w:tcPr>
            <w:tcW w:w="1400" w:type="dxa"/>
            <w:tcMar>
              <w:top w:w="60" w:type="dxa"/>
              <w:left w:w="80" w:type="dxa"/>
              <w:bottom w:w="60" w:type="dxa"/>
              <w:right w:w="80" w:type="dxa"/>
            </w:tcMar>
          </w:tcPr>
          <w:p w14:paraId="5E6F2F3F" w14:textId="77777777" w:rsidR="00820B56" w:rsidRDefault="00000000" w:rsidP="00B403FD">
            <w:pPr>
              <w:spacing w:before="100" w:beforeAutospacing="1" w:after="100" w:afterAutospacing="1"/>
            </w:pPr>
            <w:r>
              <w:rPr>
                <w:sz w:val="17"/>
                <w:szCs w:val="17"/>
              </w:rPr>
              <w:t xml:space="preserve">Acetamiprid and related compounds; multiple classes in </w:t>
            </w:r>
            <w:proofErr w:type="spellStart"/>
            <w:r>
              <w:rPr>
                <w:i/>
                <w:iCs/>
                <w:sz w:val="17"/>
                <w:szCs w:val="17"/>
              </w:rPr>
              <w:t>Sogatella</w:t>
            </w:r>
            <w:proofErr w:type="spellEnd"/>
            <w:r>
              <w:rPr>
                <w:i/>
                <w:iCs/>
                <w:sz w:val="17"/>
                <w:szCs w:val="17"/>
              </w:rPr>
              <w:t xml:space="preserve"> </w:t>
            </w:r>
            <w:proofErr w:type="spellStart"/>
            <w:r>
              <w:rPr>
                <w:i/>
                <w:iCs/>
                <w:sz w:val="17"/>
                <w:szCs w:val="17"/>
              </w:rPr>
              <w:t>furcifera</w:t>
            </w:r>
            <w:proofErr w:type="spellEnd"/>
          </w:p>
        </w:tc>
        <w:tc>
          <w:tcPr>
            <w:tcW w:w="1700" w:type="dxa"/>
            <w:tcMar>
              <w:top w:w="60" w:type="dxa"/>
              <w:left w:w="80" w:type="dxa"/>
              <w:bottom w:w="60" w:type="dxa"/>
              <w:right w:w="80" w:type="dxa"/>
            </w:tcMar>
          </w:tcPr>
          <w:p w14:paraId="6A74704E" w14:textId="77777777" w:rsidR="00820B56" w:rsidRDefault="00000000" w:rsidP="00B403FD">
            <w:pPr>
              <w:spacing w:before="100" w:beforeAutospacing="1" w:after="100" w:afterAutospacing="1"/>
            </w:pPr>
            <w:r>
              <w:rPr>
                <w:sz w:val="17"/>
                <w:szCs w:val="17"/>
              </w:rPr>
              <w:t>Phenotypic correlation with biochemical assay</w:t>
            </w:r>
          </w:p>
        </w:tc>
        <w:tc>
          <w:tcPr>
            <w:tcW w:w="1400" w:type="dxa"/>
            <w:tcMar>
              <w:top w:w="60" w:type="dxa"/>
              <w:left w:w="80" w:type="dxa"/>
              <w:bottom w:w="60" w:type="dxa"/>
              <w:right w:w="80" w:type="dxa"/>
            </w:tcMar>
          </w:tcPr>
          <w:p w14:paraId="10055A2C" w14:textId="77777777" w:rsidR="00820B56" w:rsidRDefault="00000000" w:rsidP="00B403FD">
            <w:pPr>
              <w:spacing w:before="100" w:beforeAutospacing="1" w:after="100" w:afterAutospacing="1"/>
            </w:pPr>
            <w:r>
              <w:rPr>
                <w:sz w:val="17"/>
                <w:szCs w:val="17"/>
              </w:rPr>
              <w:t>China</w:t>
            </w:r>
          </w:p>
        </w:tc>
        <w:tc>
          <w:tcPr>
            <w:tcW w:w="1476" w:type="dxa"/>
            <w:tcMar>
              <w:top w:w="60" w:type="dxa"/>
              <w:left w:w="80" w:type="dxa"/>
              <w:bottom w:w="60" w:type="dxa"/>
              <w:right w:w="80" w:type="dxa"/>
            </w:tcMar>
          </w:tcPr>
          <w:p w14:paraId="38610ACC" w14:textId="77777777" w:rsidR="00820B56" w:rsidRDefault="00000000" w:rsidP="00B403FD">
            <w:pPr>
              <w:spacing w:before="100" w:beforeAutospacing="1" w:after="100" w:afterAutospacing="1"/>
            </w:pPr>
            <w:r>
              <w:rPr>
                <w:sz w:val="17"/>
                <w:szCs w:val="17"/>
              </w:rPr>
              <w:t>Li et al. (2020); Wu et al. (2022)</w:t>
            </w:r>
          </w:p>
        </w:tc>
      </w:tr>
      <w:tr w:rsidR="00820B56" w14:paraId="608266F6" w14:textId="77777777">
        <w:tc>
          <w:tcPr>
            <w:tcW w:w="1450" w:type="dxa"/>
            <w:tcMar>
              <w:top w:w="60" w:type="dxa"/>
              <w:left w:w="80" w:type="dxa"/>
              <w:bottom w:w="60" w:type="dxa"/>
              <w:right w:w="80" w:type="dxa"/>
            </w:tcMar>
          </w:tcPr>
          <w:p w14:paraId="4B1B4D0F" w14:textId="77777777" w:rsidR="00820B56" w:rsidRDefault="00000000" w:rsidP="00B403FD">
            <w:pPr>
              <w:spacing w:before="100" w:beforeAutospacing="1" w:after="100" w:afterAutospacing="1"/>
            </w:pPr>
            <w:r>
              <w:rPr>
                <w:sz w:val="17"/>
                <w:szCs w:val="17"/>
              </w:rPr>
              <w:t>Compensatory modification of fitness cost</w:t>
            </w:r>
          </w:p>
        </w:tc>
        <w:tc>
          <w:tcPr>
            <w:tcW w:w="1600" w:type="dxa"/>
            <w:tcMar>
              <w:top w:w="60" w:type="dxa"/>
              <w:left w:w="80" w:type="dxa"/>
              <w:bottom w:w="60" w:type="dxa"/>
              <w:right w:w="80" w:type="dxa"/>
            </w:tcMar>
          </w:tcPr>
          <w:p w14:paraId="71682312" w14:textId="77777777" w:rsidR="00820B56" w:rsidRDefault="00000000" w:rsidP="00B403FD">
            <w:pPr>
              <w:spacing w:before="100" w:beforeAutospacing="1" w:after="100" w:afterAutospacing="1"/>
            </w:pPr>
            <w:r>
              <w:rPr>
                <w:sz w:val="17"/>
                <w:szCs w:val="17"/>
              </w:rPr>
              <w:t>Promoter allele upregulating peroxiredoxin</w:t>
            </w:r>
          </w:p>
        </w:tc>
        <w:tc>
          <w:tcPr>
            <w:tcW w:w="1400" w:type="dxa"/>
            <w:tcMar>
              <w:top w:w="60" w:type="dxa"/>
              <w:left w:w="80" w:type="dxa"/>
              <w:bottom w:w="60" w:type="dxa"/>
              <w:right w:w="80" w:type="dxa"/>
            </w:tcMar>
          </w:tcPr>
          <w:p w14:paraId="43165596" w14:textId="77777777" w:rsidR="00820B56" w:rsidRDefault="00000000" w:rsidP="00B403FD">
            <w:pPr>
              <w:spacing w:before="100" w:beforeAutospacing="1" w:after="100" w:afterAutospacing="1"/>
            </w:pPr>
            <w:r>
              <w:rPr>
                <w:sz w:val="17"/>
                <w:szCs w:val="17"/>
              </w:rPr>
              <w:t>Indirect; modifies cost of P450-mediated resistance</w:t>
            </w:r>
          </w:p>
        </w:tc>
        <w:tc>
          <w:tcPr>
            <w:tcW w:w="1700" w:type="dxa"/>
            <w:tcMar>
              <w:top w:w="60" w:type="dxa"/>
              <w:left w:w="80" w:type="dxa"/>
              <w:bottom w:w="60" w:type="dxa"/>
              <w:right w:w="80" w:type="dxa"/>
            </w:tcMar>
          </w:tcPr>
          <w:p w14:paraId="4ADE32A2" w14:textId="77777777" w:rsidR="00820B56" w:rsidRDefault="00000000" w:rsidP="00B403FD">
            <w:pPr>
              <w:spacing w:before="100" w:beforeAutospacing="1" w:after="100" w:afterAutospacing="1"/>
            </w:pPr>
            <w:r>
              <w:rPr>
                <w:sz w:val="17"/>
                <w:szCs w:val="17"/>
              </w:rPr>
              <w:t>Functional validation with field allele frequency data</w:t>
            </w:r>
          </w:p>
        </w:tc>
        <w:tc>
          <w:tcPr>
            <w:tcW w:w="1400" w:type="dxa"/>
            <w:tcMar>
              <w:top w:w="60" w:type="dxa"/>
              <w:left w:w="80" w:type="dxa"/>
              <w:bottom w:w="60" w:type="dxa"/>
              <w:right w:w="80" w:type="dxa"/>
            </w:tcMar>
          </w:tcPr>
          <w:p w14:paraId="49495435" w14:textId="77777777" w:rsidR="00820B56" w:rsidRDefault="00000000" w:rsidP="00B403FD">
            <w:pPr>
              <w:spacing w:before="100" w:beforeAutospacing="1" w:after="100" w:afterAutospacing="1"/>
            </w:pPr>
            <w:r>
              <w:rPr>
                <w:sz w:val="17"/>
                <w:szCs w:val="17"/>
              </w:rPr>
              <w:t>China</w:t>
            </w:r>
          </w:p>
        </w:tc>
        <w:tc>
          <w:tcPr>
            <w:tcW w:w="1476" w:type="dxa"/>
            <w:tcMar>
              <w:top w:w="60" w:type="dxa"/>
              <w:left w:w="80" w:type="dxa"/>
              <w:bottom w:w="60" w:type="dxa"/>
              <w:right w:w="80" w:type="dxa"/>
            </w:tcMar>
          </w:tcPr>
          <w:p w14:paraId="1D30498D" w14:textId="77777777" w:rsidR="00820B56" w:rsidRDefault="00000000" w:rsidP="00B403FD">
            <w:pPr>
              <w:spacing w:before="100" w:beforeAutospacing="1" w:after="100" w:afterAutospacing="1"/>
            </w:pPr>
            <w:r>
              <w:rPr>
                <w:sz w:val="17"/>
                <w:szCs w:val="17"/>
              </w:rPr>
              <w:t>Pang et al. (2021)</w:t>
            </w:r>
          </w:p>
        </w:tc>
      </w:tr>
    </w:tbl>
    <w:p w14:paraId="05B4C2D0" w14:textId="77777777" w:rsidR="00820B56" w:rsidRDefault="00000000" w:rsidP="00B403FD">
      <w:pPr>
        <w:spacing w:before="100" w:beforeAutospacing="1" w:after="100" w:afterAutospacing="1"/>
      </w:pPr>
      <w:r>
        <w:rPr>
          <w:sz w:val="18"/>
          <w:szCs w:val="18"/>
        </w:rPr>
        <w:t>Note. RNA = ribonucleic acid; RDL = resistance to dieldrin. Evidence level refers to the strongest design applied to the mechanism, not to every study cited. Geographical provenance describes the origin of the insect material used, which may differ from the location of the laboratory.</w:t>
      </w:r>
    </w:p>
    <w:p w14:paraId="02A25811" w14:textId="77777777" w:rsidR="00820B56" w:rsidRDefault="00000000" w:rsidP="00B403FD">
      <w:pPr>
        <w:pStyle w:val="Heading1"/>
        <w:spacing w:before="100" w:beforeAutospacing="1" w:after="100" w:afterAutospacing="1"/>
      </w:pPr>
      <w:r>
        <w:rPr>
          <w:b/>
          <w:bCs/>
          <w:color w:val="000000"/>
          <w:sz w:val="26"/>
          <w:szCs w:val="26"/>
        </w:rPr>
        <w:t>6. Lepidopteran Borers and the Invasive Fall Armyworm</w:t>
      </w:r>
    </w:p>
    <w:p w14:paraId="291947FD" w14:textId="77777777" w:rsidR="00820B56" w:rsidRDefault="00000000" w:rsidP="00B403FD">
      <w:pPr>
        <w:spacing w:before="100" w:beforeAutospacing="1" w:after="100" w:afterAutospacing="1"/>
        <w:jc w:val="both"/>
      </w:pPr>
      <w:r>
        <w:t>Lepidopteran pests of Indian cereals occupy two distinct evolutionary positions. Stem borers and leaf feeders are long-resident species with extended histories of insecticide exposure, whereas the fall armyworm arrived in 2018 carrying whatever allelic composition its founding population possessed.</w:t>
      </w:r>
    </w:p>
    <w:p w14:paraId="49EB7726" w14:textId="77777777" w:rsidR="00820B56" w:rsidRDefault="00000000" w:rsidP="00B403FD">
      <w:pPr>
        <w:pStyle w:val="Heading2"/>
        <w:spacing w:before="100" w:beforeAutospacing="1" w:after="100" w:afterAutospacing="1"/>
      </w:pPr>
      <w:r>
        <w:rPr>
          <w:b/>
          <w:bCs/>
          <w:color w:val="000000"/>
          <w:sz w:val="23"/>
          <w:szCs w:val="23"/>
        </w:rPr>
        <w:t>6.1 Diamide dependence and ryanodine receptor substitutions</w:t>
      </w:r>
    </w:p>
    <w:p w14:paraId="6946CD29" w14:textId="77777777" w:rsidR="00820B56" w:rsidRDefault="00000000" w:rsidP="00B403FD">
      <w:pPr>
        <w:spacing w:before="100" w:beforeAutospacing="1" w:after="100" w:afterAutospacing="1"/>
        <w:jc w:val="both"/>
      </w:pPr>
      <w:r>
        <w:t xml:space="preserve">The anthranilic diamides became central to lepidopteran control in Asian rice within a decade of introduction, and the consequences of that concentration of use are among the best documented cases of rapid resistance evolution in cereal systems. In </w:t>
      </w:r>
      <w:r>
        <w:rPr>
          <w:i/>
          <w:iCs/>
        </w:rPr>
        <w:t xml:space="preserve">C. </w:t>
      </w:r>
      <w:proofErr w:type="spellStart"/>
      <w:r>
        <w:rPr>
          <w:i/>
          <w:iCs/>
        </w:rPr>
        <w:t>suppressalis</w:t>
      </w:r>
      <w:proofErr w:type="spellEnd"/>
      <w:r>
        <w:t xml:space="preserve">, field populations showed lethal concentration values for chlorantraniliprole spanning more than two orders of magnitude, with a Zhejiang population reaching moderate resistance to both chlorantraniliprole and </w:t>
      </w:r>
      <w:proofErr w:type="spellStart"/>
      <w:r>
        <w:t>flubendiamide</w:t>
      </w:r>
      <w:proofErr w:type="spellEnd"/>
      <w:r>
        <w:t xml:space="preserve">, and sequence comparison identified a glycine to glutamic acid substitution at position 4910 of the ryanodine receptor in the resistant population while synergism and biochemical assays showed no clear association with detoxifying enzyme activity (Yao et al., 2017). Subsequent surveys documented far higher resistance in populations from Zhejiang, Jiangxi, Hunan and Anhui, with several ryanodine receptor substitutions present and with genome-edited </w:t>
      </w:r>
      <w:r>
        <w:rPr>
          <w:i/>
          <w:iCs/>
        </w:rPr>
        <w:t>Drosophila melanogaster</w:t>
      </w:r>
      <w:r>
        <w:t xml:space="preserve"> demonstrating that combinations of substitutions confer greater resistance than any single change (Huang et al., 2021). Continued monitoring confirmed the geographical spread and variability of the phenomenon (Meng et al., 2022).</w:t>
      </w:r>
    </w:p>
    <w:p w14:paraId="5C398E5C" w14:textId="77777777" w:rsidR="00820B56" w:rsidRDefault="00000000" w:rsidP="00B403FD">
      <w:pPr>
        <w:spacing w:before="100" w:beforeAutospacing="1" w:after="100" w:afterAutospacing="1"/>
        <w:jc w:val="both"/>
      </w:pPr>
      <w:r>
        <w:lastRenderedPageBreak/>
        <w:t xml:space="preserve">The evolutionary significance of these findings lies in what they imply for chemistry introduced subsequently. Selection with </w:t>
      </w:r>
      <w:proofErr w:type="spellStart"/>
      <w:r>
        <w:t>tetraniliprole</w:t>
      </w:r>
      <w:proofErr w:type="spellEnd"/>
      <w:r>
        <w:t xml:space="preserve"> in the laboratory produced a realised heritability of 0.387, indicating rapid response, and the selected strain carried a substantial fitness cost with relative fitness of 0.53; critically, every field strain already resistant to chlorantraniliprole showed moderate to high resistance to </w:t>
      </w:r>
      <w:proofErr w:type="spellStart"/>
      <w:r>
        <w:t>tetraniliprole</w:t>
      </w:r>
      <w:proofErr w:type="spellEnd"/>
      <w:r>
        <w:t xml:space="preserve">, with resistance ratios between 27.7 and 806.8, and ryanodine receptor substitutions were responsible for that cross-resistance (Sun et al., 2024). A new diamide entering a landscape in which diamide resistance is already established therefore begins its commercial life partially compromised. Synthesis of a decade of diamide resistance across lepidopteran pests reached the same general conclusion, that target-site cross-resistance within the class is extensive and that management must treat the diamides as a single resistance unit rather than as interchangeable products (Richardson et al., 2020). Resistance to newer chemistry in the rice </w:t>
      </w:r>
      <w:proofErr w:type="spellStart"/>
      <w:r>
        <w:t>leaffolder</w:t>
      </w:r>
      <w:proofErr w:type="spellEnd"/>
      <w:r>
        <w:t xml:space="preserve"> </w:t>
      </w:r>
      <w:proofErr w:type="spellStart"/>
      <w:r>
        <w:rPr>
          <w:i/>
          <w:iCs/>
        </w:rPr>
        <w:t>Cnaphalocrocis</w:t>
      </w:r>
      <w:proofErr w:type="spellEnd"/>
      <w:r>
        <w:rPr>
          <w:i/>
          <w:iCs/>
        </w:rPr>
        <w:t xml:space="preserve"> </w:t>
      </w:r>
      <w:proofErr w:type="spellStart"/>
      <w:r>
        <w:rPr>
          <w:i/>
          <w:iCs/>
        </w:rPr>
        <w:t>medinalis</w:t>
      </w:r>
      <w:proofErr w:type="spellEnd"/>
      <w:r>
        <w:t xml:space="preserve"> has also been documented (Zhang et al., 2014), indicating that the pattern is not restricted to the stem borers.</w:t>
      </w:r>
    </w:p>
    <w:p w14:paraId="271751EA" w14:textId="77777777" w:rsidR="00820B56" w:rsidRDefault="00000000" w:rsidP="00B403FD">
      <w:pPr>
        <w:spacing w:before="100" w:beforeAutospacing="1" w:after="100" w:afterAutospacing="1"/>
        <w:jc w:val="both"/>
      </w:pPr>
      <w:r>
        <w:t xml:space="preserve">For Indian rice, this literature has direct operational implications and no local empirical foundation. The yellow stem borer, </w:t>
      </w:r>
      <w:proofErr w:type="spellStart"/>
      <w:r>
        <w:rPr>
          <w:i/>
          <w:iCs/>
        </w:rPr>
        <w:t>Scirpophaga</w:t>
      </w:r>
      <w:proofErr w:type="spellEnd"/>
      <w:r>
        <w:rPr>
          <w:i/>
          <w:iCs/>
        </w:rPr>
        <w:t xml:space="preserve"> </w:t>
      </w:r>
      <w:proofErr w:type="spellStart"/>
      <w:r>
        <w:rPr>
          <w:i/>
          <w:iCs/>
        </w:rPr>
        <w:t>incertulas</w:t>
      </w:r>
      <w:proofErr w:type="spellEnd"/>
      <w:r>
        <w:t xml:space="preserve">, is the dominant borer of Indian rice and is managed substantially with diamides, yet no published characterisation of ryanodine receptor sequence variation in Indian populations of this species was identified during this review. Whether the substitutions documented in </w:t>
      </w:r>
      <w:r>
        <w:rPr>
          <w:i/>
          <w:iCs/>
        </w:rPr>
        <w:t xml:space="preserve">C. </w:t>
      </w:r>
      <w:proofErr w:type="spellStart"/>
      <w:r>
        <w:rPr>
          <w:i/>
          <w:iCs/>
        </w:rPr>
        <w:t>suppressalis</w:t>
      </w:r>
      <w:proofErr w:type="spellEnd"/>
      <w:r>
        <w:t xml:space="preserve"> occur in </w:t>
      </w:r>
      <w:r>
        <w:rPr>
          <w:i/>
          <w:iCs/>
        </w:rPr>
        <w:t xml:space="preserve">S. </w:t>
      </w:r>
      <w:proofErr w:type="spellStart"/>
      <w:r>
        <w:rPr>
          <w:i/>
          <w:iCs/>
        </w:rPr>
        <w:t>incertulas</w:t>
      </w:r>
      <w:proofErr w:type="spellEnd"/>
      <w:r>
        <w:t>, at what frequency, and with what cross-resistance consequences, is unknown. Inference by analogy is reasonable as a precaution but is not evidence, and the precautionary inference is the more urgent because the Chinese data show that diamide resistance can rise from undetectable to control-compromising within a few seasons of concentrated use.</w:t>
      </w:r>
    </w:p>
    <w:p w14:paraId="44AE4677" w14:textId="77777777" w:rsidR="00820B56" w:rsidRDefault="00000000" w:rsidP="00B403FD">
      <w:pPr>
        <w:pStyle w:val="Heading2"/>
        <w:spacing w:before="100" w:beforeAutospacing="1" w:after="100" w:afterAutospacing="1"/>
      </w:pPr>
      <w:r>
        <w:rPr>
          <w:b/>
          <w:bCs/>
          <w:color w:val="000000"/>
          <w:sz w:val="23"/>
          <w:szCs w:val="23"/>
        </w:rPr>
        <w:t xml:space="preserve">6.2 Spodoptera </w:t>
      </w:r>
      <w:proofErr w:type="spellStart"/>
      <w:r>
        <w:rPr>
          <w:b/>
          <w:bCs/>
          <w:color w:val="000000"/>
          <w:sz w:val="23"/>
          <w:szCs w:val="23"/>
        </w:rPr>
        <w:t>frugiperda</w:t>
      </w:r>
      <w:proofErr w:type="spellEnd"/>
      <w:r>
        <w:rPr>
          <w:b/>
          <w:bCs/>
          <w:color w:val="000000"/>
          <w:sz w:val="23"/>
          <w:szCs w:val="23"/>
        </w:rPr>
        <w:t xml:space="preserve"> in India: baseline, pre-adaptation and the inferential problem</w:t>
      </w:r>
    </w:p>
    <w:p w14:paraId="6CD20F81" w14:textId="77777777" w:rsidR="00820B56" w:rsidRDefault="00000000" w:rsidP="00B403FD">
      <w:pPr>
        <w:spacing w:before="100" w:beforeAutospacing="1" w:after="100" w:afterAutospacing="1"/>
        <w:jc w:val="both"/>
      </w:pPr>
      <w:r>
        <w:t xml:space="preserve">The fall armyworm was first recorded damaging maize in Karnataka in May 2018 and spread rapidly across India and into other Asian countries thereafter (Deshmukh et al., 2020). The species has been reviewed comprehensively with respect to its ecology, evolution and management (Kenis et al., 2023; Tay et al., 2023). Its Indian susceptibility profile has been characterised more thoroughly than that of any resident cereal pest: more than four hundred bioassays covering nine insecticides from seven mode-of-action classes were conducted on forty-seven populations collected across India in 2019 and 2020, compared against an Indian population sampled in 2018 and a susceptible Brazilian reference collected in 2005, and low to moderate resistance was detected for </w:t>
      </w:r>
      <w:proofErr w:type="spellStart"/>
      <w:r>
        <w:t>thiodicarb</w:t>
      </w:r>
      <w:proofErr w:type="spellEnd"/>
      <w:r>
        <w:t xml:space="preserve">, chlorpyriphos, deltamethrin, chlorantraniliprole and </w:t>
      </w:r>
      <w:proofErr w:type="spellStart"/>
      <w:r>
        <w:t>flubendiamide</w:t>
      </w:r>
      <w:proofErr w:type="spellEnd"/>
      <w:r>
        <w:t xml:space="preserve"> in several populations, with the highest resistance ratios recorded for deltamethrin (</w:t>
      </w:r>
      <w:proofErr w:type="spellStart"/>
      <w:r>
        <w:t>Kulye</w:t>
      </w:r>
      <w:proofErr w:type="spellEnd"/>
      <w:r>
        <w:t xml:space="preserve"> et al., 2021). Field efficacy work conducted in Karnataka found </w:t>
      </w:r>
      <w:proofErr w:type="spellStart"/>
      <w:r>
        <w:t>emamectin</w:t>
      </w:r>
      <w:proofErr w:type="spellEnd"/>
      <w:r>
        <w:t xml:space="preserve"> benzoate to have the highest acute toxicity in leaf-dip bioassay, followed by chlorantraniliprole and spinetoram (Deshmukh et al., 2020).</w:t>
      </w:r>
    </w:p>
    <w:p w14:paraId="51A9C49E" w14:textId="77777777" w:rsidR="00820B56" w:rsidRDefault="00000000" w:rsidP="00B403FD">
      <w:pPr>
        <w:spacing w:before="100" w:beforeAutospacing="1" w:after="100" w:afterAutospacing="1"/>
        <w:jc w:val="both"/>
      </w:pPr>
      <w:r>
        <w:t xml:space="preserve">The interpretive difficulty is that a susceptibility profile measured shortly after invasion cannot distinguish locally evolved resistance from resistance inherited at colonisation. The 2018 Indian reference population used by </w:t>
      </w:r>
      <w:proofErr w:type="spellStart"/>
      <w:r>
        <w:t>Kulye</w:t>
      </w:r>
      <w:proofErr w:type="spellEnd"/>
      <w:r>
        <w:t xml:space="preserve"> et al. (2021) itself displayed reduced susceptibility to several compounds, which is consistent with pre-adaptation. Genomic and phenotypic characterisation of the populations invading China demonstrated that the invaders already carried organophosphate and pyrethroid resistance (Zhang et al., 2020), and global genotyping of target-site alleles found acetylcholinesterase substitutions conferring organophosphate and carbamate resistance at high frequency across continents, a sodium channel mutation in only one Indonesian population, no ryanodine receptor mutations in the samples examined, and insertions or deletions in the ATP-binding cassette transporter C2 associated with </w:t>
      </w:r>
      <w:r>
        <w:rPr>
          <w:i/>
          <w:iCs/>
        </w:rPr>
        <w:t>Bacillus thuringiensis</w:t>
      </w:r>
      <w:r>
        <w:t xml:space="preserve"> resistance only in Puerto Rican and Brazilian material (Boaventura, Martin, et al., 2020). Ryanodine receptor substitution conferring diamide resistance has been demonstrated in Brazilian fall armyworm (Boaventura, Bolzan, et al., 2020), and copy-number variation at detoxification loci contributes to resistance in the species generally (Gimenez et al., 2020). Standardised surveillance procedures developed for Australian populations provide a template for distinguishing founder effects from local selection through repeated sampling (Bird et al., 2022).</w:t>
      </w:r>
    </w:p>
    <w:p w14:paraId="78E8CBDE" w14:textId="77777777" w:rsidR="00820B56" w:rsidRDefault="00000000" w:rsidP="00B403FD">
      <w:pPr>
        <w:spacing w:before="100" w:beforeAutospacing="1" w:after="100" w:afterAutospacing="1"/>
        <w:jc w:val="both"/>
      </w:pPr>
      <w:r>
        <w:lastRenderedPageBreak/>
        <w:t>The practical conclusion is that Indian fall armyworm management should treat the observed deltamethrin insensitivity as probably inherited and the diamide susceptibility as a resource that local practice will determine. The absence of ryanodine receptor mutations in earlier global sampling does not establish their absence from Indian populations now, because sampling was neither exhaustive nor recent, and because the selection pressure applied by diamide use in Indian maize since 2019 has not been characterised.</w:t>
      </w:r>
    </w:p>
    <w:p w14:paraId="15E20820" w14:textId="77777777" w:rsidR="00820B56" w:rsidRDefault="00000000" w:rsidP="00B403FD">
      <w:pPr>
        <w:pStyle w:val="Heading2"/>
        <w:spacing w:before="100" w:beforeAutospacing="1" w:after="100" w:afterAutospacing="1"/>
      </w:pPr>
      <w:r>
        <w:rPr>
          <w:b/>
          <w:bCs/>
          <w:color w:val="000000"/>
          <w:sz w:val="23"/>
          <w:szCs w:val="23"/>
        </w:rPr>
        <w:t>6.3 Insecticidal proteins in cereals: an absent selection layer with an instructive analogue</w:t>
      </w:r>
    </w:p>
    <w:p w14:paraId="1B5E6C80" w14:textId="77777777" w:rsidR="00820B56" w:rsidRDefault="00000000" w:rsidP="00B403FD">
      <w:pPr>
        <w:spacing w:before="100" w:beforeAutospacing="1" w:after="100" w:afterAutospacing="1"/>
        <w:jc w:val="both"/>
      </w:pPr>
      <w:r>
        <w:t xml:space="preserve">No insect-resistant transgenic cereal is grown commercially in India, so the selection layer that has dominated resistance discourse in maize elsewhere is absent from Indian cereal systems. The Indian cotton experience nonetheless provides the most relevant available analogue, because it documents the failure of a refuge-dependent strategy under South Asian conditions. Field-evolved resistance to Cry1Ac in the pink bollworm, </w:t>
      </w:r>
      <w:proofErr w:type="spellStart"/>
      <w:r>
        <w:rPr>
          <w:i/>
          <w:iCs/>
        </w:rPr>
        <w:t>Pectinophora</w:t>
      </w:r>
      <w:proofErr w:type="spellEnd"/>
      <w:r>
        <w:rPr>
          <w:i/>
          <w:iCs/>
        </w:rPr>
        <w:t xml:space="preserve"> </w:t>
      </w:r>
      <w:proofErr w:type="spellStart"/>
      <w:r>
        <w:rPr>
          <w:i/>
          <w:iCs/>
        </w:rPr>
        <w:t>gossypiella</w:t>
      </w:r>
      <w:proofErr w:type="spellEnd"/>
      <w:r>
        <w:t>, was reported from Gujarat within a decade of the trait's commercial introduction (</w:t>
      </w:r>
      <w:proofErr w:type="spellStart"/>
      <w:r>
        <w:t>Dhurua</w:t>
      </w:r>
      <w:proofErr w:type="spellEnd"/>
      <w:r>
        <w:t xml:space="preserve"> &amp; Gujar, 2011). Assessment across thirty-eight districts of ten cotton-growing states between 2010 and 2017 subsequently showed that mean resistance ratios to Cry1Ac in central and southern India rose from approximately 47 in 2013 to approximately 1387 in 2017, and to Cry2Ab from approximately 5 to approximately 4196 over the same period, accompanied by high larval recovery from two-protein cotton (Naik et al., 2018). Global comparison places the Indian case among the most rapid recorded failures of a pyramided </w:t>
      </w:r>
      <w:r>
        <w:rPr>
          <w:i/>
          <w:iCs/>
        </w:rPr>
        <w:t>Bacillus thuringiensis</w:t>
      </w:r>
      <w:r>
        <w:t xml:space="preserve"> trait (</w:t>
      </w:r>
      <w:proofErr w:type="spellStart"/>
      <w:r>
        <w:t>Tabashnik</w:t>
      </w:r>
      <w:proofErr w:type="spellEnd"/>
      <w:r>
        <w:t xml:space="preserve"> &amp; Carrière, 2019).</w:t>
      </w:r>
    </w:p>
    <w:p w14:paraId="107518CF" w14:textId="77777777" w:rsidR="00820B56" w:rsidRDefault="00000000" w:rsidP="00B403FD">
      <w:pPr>
        <w:spacing w:before="100" w:beforeAutospacing="1" w:after="100" w:afterAutospacing="1"/>
        <w:jc w:val="both"/>
      </w:pPr>
      <w:r>
        <w:t>Two lessons transfer directly to cereal chemistry. The first concerns pyramids. Theory shows that two-toxin pyramids delay resistance substantially only when resistance to each toxin is rare and independent, and when refuges limit selection; where resistance to one component is already present, the pyramid behaves closer to a sequential deployment (Ives et al., 2011; Jurat-Fuentes et al., 2021). Mixtures of insecticides applied to a population already carrying a broad metabolic mechanism are subject to the same logic. The second concerns compliance. A strategy whose evolutionary performance depends on the maintenance of untreated or unselected refuges will fail if that maintenance is not achieved, and the Indian cotton record indicates that reliance on voluntary refuge provision within a fragmented smallholder landscape is not a safe design assumption. Any cereal resistance management proposal that depends on coordinated behaviour across many small holdings must therefore be evaluated against that record rather than against the theoretical optimum.</w:t>
      </w:r>
    </w:p>
    <w:p w14:paraId="77457A6A" w14:textId="77777777" w:rsidR="00820B56" w:rsidRDefault="00000000" w:rsidP="00B403FD">
      <w:pPr>
        <w:spacing w:before="100" w:beforeAutospacing="1" w:after="100" w:afterAutospacing="1"/>
        <w:jc w:val="both"/>
      </w:pPr>
      <w:r>
        <w:t>Table 4 sets out the lepidopteran evidence, distinguishing resident from invasive species and separating what has been demonstrated for Indian populations from what has been demonstrated elsewhere. The asymmetry is stark. For the invasive fall armyworm, India possesses a large and methodologically sound phenotypic baseline but no molecular characterisation; for the resident stem borers, which are managed with the same diamide chemistry, India possesses neither. The table also records the cotton analogue, since it supplies the only Indian dataset in which the trajectory of a resistance phenotype has been tracked across multiple years and states.</w:t>
      </w:r>
    </w:p>
    <w:p w14:paraId="3F761DB5" w14:textId="77777777" w:rsidR="00820B56" w:rsidRDefault="00000000" w:rsidP="00B403FD">
      <w:pPr>
        <w:spacing w:before="100" w:beforeAutospacing="1" w:after="100" w:afterAutospacing="1"/>
      </w:pPr>
      <w:r>
        <w:rPr>
          <w:b/>
          <w:bCs/>
          <w:sz w:val="20"/>
          <w:szCs w:val="20"/>
        </w:rPr>
        <w:t>Table 4. Evidence status for resistance in lepidopteran pests relevant to Indian cereals, distinguishing resident and invasive species and separating Indian from non-Indian evidence.</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400"/>
        <w:gridCol w:w="1200"/>
        <w:gridCol w:w="1600"/>
        <w:gridCol w:w="1150"/>
        <w:gridCol w:w="1000"/>
        <w:gridCol w:w="1200"/>
        <w:gridCol w:w="1476"/>
      </w:tblGrid>
      <w:tr w:rsidR="00820B56" w14:paraId="39B9E6F4" w14:textId="77777777">
        <w:trPr>
          <w:tblHeader/>
        </w:trPr>
        <w:tc>
          <w:tcPr>
            <w:tcW w:w="1400" w:type="dxa"/>
            <w:shd w:val="clear" w:color="auto" w:fill="E8E8E8"/>
            <w:tcMar>
              <w:top w:w="60" w:type="dxa"/>
              <w:left w:w="80" w:type="dxa"/>
              <w:bottom w:w="60" w:type="dxa"/>
              <w:right w:w="80" w:type="dxa"/>
            </w:tcMar>
          </w:tcPr>
          <w:p w14:paraId="315E837E" w14:textId="77777777" w:rsidR="00820B56" w:rsidRDefault="00000000" w:rsidP="00B403FD">
            <w:pPr>
              <w:spacing w:before="100" w:beforeAutospacing="1" w:after="100" w:afterAutospacing="1"/>
            </w:pPr>
            <w:r>
              <w:rPr>
                <w:b/>
                <w:bCs/>
                <w:sz w:val="17"/>
                <w:szCs w:val="17"/>
              </w:rPr>
              <w:t>Species and status</w:t>
            </w:r>
          </w:p>
        </w:tc>
        <w:tc>
          <w:tcPr>
            <w:tcW w:w="1200" w:type="dxa"/>
            <w:shd w:val="clear" w:color="auto" w:fill="E8E8E8"/>
            <w:tcMar>
              <w:top w:w="60" w:type="dxa"/>
              <w:left w:w="80" w:type="dxa"/>
              <w:bottom w:w="60" w:type="dxa"/>
              <w:right w:w="80" w:type="dxa"/>
            </w:tcMar>
          </w:tcPr>
          <w:p w14:paraId="11E75158" w14:textId="77777777" w:rsidR="00820B56" w:rsidRDefault="00000000" w:rsidP="00B403FD">
            <w:pPr>
              <w:spacing w:before="100" w:beforeAutospacing="1" w:after="100" w:afterAutospacing="1"/>
            </w:pPr>
            <w:r>
              <w:rPr>
                <w:b/>
                <w:bCs/>
                <w:sz w:val="17"/>
                <w:szCs w:val="17"/>
              </w:rPr>
              <w:t>Principal chemistry under selection</w:t>
            </w:r>
          </w:p>
        </w:tc>
        <w:tc>
          <w:tcPr>
            <w:tcW w:w="1600" w:type="dxa"/>
            <w:shd w:val="clear" w:color="auto" w:fill="E8E8E8"/>
            <w:tcMar>
              <w:top w:w="60" w:type="dxa"/>
              <w:left w:w="80" w:type="dxa"/>
              <w:bottom w:w="60" w:type="dxa"/>
              <w:right w:w="80" w:type="dxa"/>
            </w:tcMar>
          </w:tcPr>
          <w:p w14:paraId="722844E7" w14:textId="77777777" w:rsidR="00820B56" w:rsidRDefault="00000000" w:rsidP="00B403FD">
            <w:pPr>
              <w:spacing w:before="100" w:beforeAutospacing="1" w:after="100" w:afterAutospacing="1"/>
            </w:pPr>
            <w:r>
              <w:rPr>
                <w:b/>
                <w:bCs/>
                <w:sz w:val="17"/>
                <w:szCs w:val="17"/>
              </w:rPr>
              <w:t>Mechanism demonstrated elsewhere</w:t>
            </w:r>
          </w:p>
        </w:tc>
        <w:tc>
          <w:tcPr>
            <w:tcW w:w="1150" w:type="dxa"/>
            <w:shd w:val="clear" w:color="auto" w:fill="E8E8E8"/>
            <w:tcMar>
              <w:top w:w="60" w:type="dxa"/>
              <w:left w:w="80" w:type="dxa"/>
              <w:bottom w:w="60" w:type="dxa"/>
              <w:right w:w="80" w:type="dxa"/>
            </w:tcMar>
          </w:tcPr>
          <w:p w14:paraId="0DE84B01" w14:textId="77777777" w:rsidR="00820B56" w:rsidRDefault="00000000" w:rsidP="00B403FD">
            <w:pPr>
              <w:spacing w:before="100" w:beforeAutospacing="1" w:after="100" w:afterAutospacing="1"/>
            </w:pPr>
            <w:r>
              <w:rPr>
                <w:b/>
                <w:bCs/>
                <w:sz w:val="17"/>
                <w:szCs w:val="17"/>
              </w:rPr>
              <w:t>Indian phenotypic evidence</w:t>
            </w:r>
          </w:p>
        </w:tc>
        <w:tc>
          <w:tcPr>
            <w:tcW w:w="1000" w:type="dxa"/>
            <w:shd w:val="clear" w:color="auto" w:fill="E8E8E8"/>
            <w:tcMar>
              <w:top w:w="60" w:type="dxa"/>
              <w:left w:w="80" w:type="dxa"/>
              <w:bottom w:w="60" w:type="dxa"/>
              <w:right w:w="80" w:type="dxa"/>
            </w:tcMar>
          </w:tcPr>
          <w:p w14:paraId="23922D39" w14:textId="77777777" w:rsidR="00820B56" w:rsidRDefault="00000000" w:rsidP="00B403FD">
            <w:pPr>
              <w:spacing w:before="100" w:beforeAutospacing="1" w:after="100" w:afterAutospacing="1"/>
            </w:pPr>
            <w:r>
              <w:rPr>
                <w:b/>
                <w:bCs/>
                <w:sz w:val="17"/>
                <w:szCs w:val="17"/>
              </w:rPr>
              <w:t>Indian molecular evidence</w:t>
            </w:r>
          </w:p>
        </w:tc>
        <w:tc>
          <w:tcPr>
            <w:tcW w:w="1200" w:type="dxa"/>
            <w:shd w:val="clear" w:color="auto" w:fill="E8E8E8"/>
            <w:tcMar>
              <w:top w:w="60" w:type="dxa"/>
              <w:left w:w="80" w:type="dxa"/>
              <w:bottom w:w="60" w:type="dxa"/>
              <w:right w:w="80" w:type="dxa"/>
            </w:tcMar>
          </w:tcPr>
          <w:p w14:paraId="39DD9E9A" w14:textId="77777777" w:rsidR="00820B56" w:rsidRDefault="00000000" w:rsidP="00B403FD">
            <w:pPr>
              <w:spacing w:before="100" w:beforeAutospacing="1" w:after="100" w:afterAutospacing="1"/>
            </w:pPr>
            <w:r>
              <w:rPr>
                <w:b/>
                <w:bCs/>
                <w:sz w:val="17"/>
                <w:szCs w:val="17"/>
              </w:rPr>
              <w:t>Principal inferential risk</w:t>
            </w:r>
          </w:p>
        </w:tc>
        <w:tc>
          <w:tcPr>
            <w:tcW w:w="1476" w:type="dxa"/>
            <w:shd w:val="clear" w:color="auto" w:fill="E8E8E8"/>
            <w:tcMar>
              <w:top w:w="60" w:type="dxa"/>
              <w:left w:w="80" w:type="dxa"/>
              <w:bottom w:w="60" w:type="dxa"/>
              <w:right w:w="80" w:type="dxa"/>
            </w:tcMar>
          </w:tcPr>
          <w:p w14:paraId="061A4AF2" w14:textId="77777777" w:rsidR="00820B56" w:rsidRDefault="00000000" w:rsidP="00B403FD">
            <w:pPr>
              <w:spacing w:before="100" w:beforeAutospacing="1" w:after="100" w:afterAutospacing="1"/>
            </w:pPr>
            <w:r>
              <w:rPr>
                <w:b/>
                <w:bCs/>
                <w:sz w:val="17"/>
                <w:szCs w:val="17"/>
              </w:rPr>
              <w:t>Supporting references</w:t>
            </w:r>
          </w:p>
        </w:tc>
      </w:tr>
      <w:tr w:rsidR="00820B56" w14:paraId="7B6C2D16" w14:textId="77777777">
        <w:tc>
          <w:tcPr>
            <w:tcW w:w="1400" w:type="dxa"/>
            <w:tcMar>
              <w:top w:w="60" w:type="dxa"/>
              <w:left w:w="80" w:type="dxa"/>
              <w:bottom w:w="60" w:type="dxa"/>
              <w:right w:w="80" w:type="dxa"/>
            </w:tcMar>
          </w:tcPr>
          <w:p w14:paraId="2BDDEB98" w14:textId="77777777" w:rsidR="00820B56" w:rsidRDefault="00000000" w:rsidP="00B403FD">
            <w:pPr>
              <w:spacing w:before="100" w:beforeAutospacing="1" w:after="100" w:afterAutospacing="1"/>
            </w:pPr>
            <w:r>
              <w:rPr>
                <w:i/>
                <w:iCs/>
                <w:sz w:val="17"/>
                <w:szCs w:val="17"/>
              </w:rPr>
              <w:t xml:space="preserve">Chilo </w:t>
            </w:r>
            <w:proofErr w:type="spellStart"/>
            <w:r>
              <w:rPr>
                <w:i/>
                <w:iCs/>
                <w:sz w:val="17"/>
                <w:szCs w:val="17"/>
              </w:rPr>
              <w:t>suppressalis</w:t>
            </w:r>
            <w:proofErr w:type="spellEnd"/>
            <w:r>
              <w:rPr>
                <w:sz w:val="17"/>
                <w:szCs w:val="17"/>
              </w:rPr>
              <w:t xml:space="preserve">, resident in East Asian rice; congeneric and ecologically </w:t>
            </w:r>
            <w:r>
              <w:rPr>
                <w:sz w:val="17"/>
                <w:szCs w:val="17"/>
              </w:rPr>
              <w:lastRenderedPageBreak/>
              <w:t>analogous to Indian borers</w:t>
            </w:r>
          </w:p>
        </w:tc>
        <w:tc>
          <w:tcPr>
            <w:tcW w:w="1200" w:type="dxa"/>
            <w:tcMar>
              <w:top w:w="60" w:type="dxa"/>
              <w:left w:w="80" w:type="dxa"/>
              <w:bottom w:w="60" w:type="dxa"/>
              <w:right w:w="80" w:type="dxa"/>
            </w:tcMar>
          </w:tcPr>
          <w:p w14:paraId="7BA3EE99" w14:textId="77777777" w:rsidR="00820B56" w:rsidRDefault="00000000" w:rsidP="00B403FD">
            <w:pPr>
              <w:spacing w:before="100" w:beforeAutospacing="1" w:after="100" w:afterAutospacing="1"/>
            </w:pPr>
            <w:r>
              <w:rPr>
                <w:sz w:val="17"/>
                <w:szCs w:val="17"/>
              </w:rPr>
              <w:lastRenderedPageBreak/>
              <w:t>Anthranilic diamides</w:t>
            </w:r>
          </w:p>
        </w:tc>
        <w:tc>
          <w:tcPr>
            <w:tcW w:w="1600" w:type="dxa"/>
            <w:tcMar>
              <w:top w:w="60" w:type="dxa"/>
              <w:left w:w="80" w:type="dxa"/>
              <w:bottom w:w="60" w:type="dxa"/>
              <w:right w:w="80" w:type="dxa"/>
            </w:tcMar>
          </w:tcPr>
          <w:p w14:paraId="5B054F41" w14:textId="77777777" w:rsidR="00820B56" w:rsidRDefault="00000000" w:rsidP="00B403FD">
            <w:pPr>
              <w:spacing w:before="100" w:beforeAutospacing="1" w:after="100" w:afterAutospacing="1"/>
            </w:pPr>
            <w:r>
              <w:rPr>
                <w:sz w:val="17"/>
                <w:szCs w:val="17"/>
              </w:rPr>
              <w:t>Ryanodine receptor substitutions including G4910E, Y4667C, Y4667D, I4758M and Y4891F; cross-</w:t>
            </w:r>
            <w:r>
              <w:rPr>
                <w:sz w:val="17"/>
                <w:szCs w:val="17"/>
              </w:rPr>
              <w:lastRenderedPageBreak/>
              <w:t>resistance to newer diamides</w:t>
            </w:r>
          </w:p>
        </w:tc>
        <w:tc>
          <w:tcPr>
            <w:tcW w:w="1150" w:type="dxa"/>
            <w:tcMar>
              <w:top w:w="60" w:type="dxa"/>
              <w:left w:w="80" w:type="dxa"/>
              <w:bottom w:w="60" w:type="dxa"/>
              <w:right w:w="80" w:type="dxa"/>
            </w:tcMar>
          </w:tcPr>
          <w:p w14:paraId="75BE4B33" w14:textId="77777777" w:rsidR="00820B56" w:rsidRDefault="00000000" w:rsidP="00B403FD">
            <w:pPr>
              <w:spacing w:before="100" w:beforeAutospacing="1" w:after="100" w:afterAutospacing="1"/>
            </w:pPr>
            <w:r>
              <w:rPr>
                <w:sz w:val="17"/>
                <w:szCs w:val="17"/>
              </w:rPr>
              <w:lastRenderedPageBreak/>
              <w:t>Not applicable; species not a principal Indian rice pest</w:t>
            </w:r>
          </w:p>
        </w:tc>
        <w:tc>
          <w:tcPr>
            <w:tcW w:w="1000" w:type="dxa"/>
            <w:tcMar>
              <w:top w:w="60" w:type="dxa"/>
              <w:left w:w="80" w:type="dxa"/>
              <w:bottom w:w="60" w:type="dxa"/>
              <w:right w:w="80" w:type="dxa"/>
            </w:tcMar>
          </w:tcPr>
          <w:p w14:paraId="2057D485" w14:textId="77777777" w:rsidR="00820B56" w:rsidRDefault="00000000" w:rsidP="00B403FD">
            <w:pPr>
              <w:spacing w:before="100" w:beforeAutospacing="1" w:after="100" w:afterAutospacing="1"/>
            </w:pPr>
            <w:r>
              <w:rPr>
                <w:sz w:val="17"/>
                <w:szCs w:val="17"/>
              </w:rPr>
              <w:t>Not applicable</w:t>
            </w:r>
          </w:p>
        </w:tc>
        <w:tc>
          <w:tcPr>
            <w:tcW w:w="1200" w:type="dxa"/>
            <w:tcMar>
              <w:top w:w="60" w:type="dxa"/>
              <w:left w:w="80" w:type="dxa"/>
              <w:bottom w:w="60" w:type="dxa"/>
              <w:right w:w="80" w:type="dxa"/>
            </w:tcMar>
          </w:tcPr>
          <w:p w14:paraId="6480C8DB" w14:textId="77777777" w:rsidR="00820B56" w:rsidRDefault="00000000" w:rsidP="00B403FD">
            <w:pPr>
              <w:spacing w:before="100" w:beforeAutospacing="1" w:after="100" w:afterAutospacing="1"/>
            </w:pPr>
            <w:r>
              <w:rPr>
                <w:sz w:val="17"/>
                <w:szCs w:val="17"/>
              </w:rPr>
              <w:t xml:space="preserve">Extrapolation to </w:t>
            </w:r>
            <w:proofErr w:type="spellStart"/>
            <w:r>
              <w:rPr>
                <w:i/>
                <w:iCs/>
                <w:sz w:val="17"/>
                <w:szCs w:val="17"/>
              </w:rPr>
              <w:t>Scirpophaga</w:t>
            </w:r>
            <w:proofErr w:type="spellEnd"/>
            <w:r>
              <w:rPr>
                <w:i/>
                <w:iCs/>
                <w:sz w:val="17"/>
                <w:szCs w:val="17"/>
              </w:rPr>
              <w:t xml:space="preserve"> </w:t>
            </w:r>
            <w:proofErr w:type="spellStart"/>
            <w:r>
              <w:rPr>
                <w:i/>
                <w:iCs/>
                <w:sz w:val="17"/>
                <w:szCs w:val="17"/>
              </w:rPr>
              <w:t>incertulas</w:t>
            </w:r>
            <w:proofErr w:type="spellEnd"/>
            <w:r>
              <w:rPr>
                <w:sz w:val="17"/>
                <w:szCs w:val="17"/>
              </w:rPr>
              <w:t xml:space="preserve"> is untested</w:t>
            </w:r>
          </w:p>
        </w:tc>
        <w:tc>
          <w:tcPr>
            <w:tcW w:w="1476" w:type="dxa"/>
            <w:tcMar>
              <w:top w:w="60" w:type="dxa"/>
              <w:left w:w="80" w:type="dxa"/>
              <w:bottom w:w="60" w:type="dxa"/>
              <w:right w:w="80" w:type="dxa"/>
            </w:tcMar>
          </w:tcPr>
          <w:p w14:paraId="3BA671E5" w14:textId="77777777" w:rsidR="00820B56" w:rsidRDefault="00000000" w:rsidP="00B403FD">
            <w:pPr>
              <w:spacing w:before="100" w:beforeAutospacing="1" w:after="100" w:afterAutospacing="1"/>
            </w:pPr>
            <w:r>
              <w:rPr>
                <w:sz w:val="17"/>
                <w:szCs w:val="17"/>
              </w:rPr>
              <w:t>Huang et al. (2021); Meng et al. (2022); Sun et al. (2024); Yao et al. (2017)</w:t>
            </w:r>
          </w:p>
        </w:tc>
      </w:tr>
      <w:tr w:rsidR="00820B56" w14:paraId="121C6A19" w14:textId="77777777">
        <w:tc>
          <w:tcPr>
            <w:tcW w:w="1400" w:type="dxa"/>
            <w:tcMar>
              <w:top w:w="60" w:type="dxa"/>
              <w:left w:w="80" w:type="dxa"/>
              <w:bottom w:w="60" w:type="dxa"/>
              <w:right w:w="80" w:type="dxa"/>
            </w:tcMar>
          </w:tcPr>
          <w:p w14:paraId="000AAF77" w14:textId="77777777" w:rsidR="00820B56" w:rsidRDefault="00000000" w:rsidP="00B403FD">
            <w:pPr>
              <w:spacing w:before="100" w:beforeAutospacing="1" w:after="100" w:afterAutospacing="1"/>
            </w:pPr>
            <w:proofErr w:type="spellStart"/>
            <w:r>
              <w:rPr>
                <w:i/>
                <w:iCs/>
                <w:sz w:val="17"/>
                <w:szCs w:val="17"/>
              </w:rPr>
              <w:t>Scirpophaga</w:t>
            </w:r>
            <w:proofErr w:type="spellEnd"/>
            <w:r>
              <w:rPr>
                <w:i/>
                <w:iCs/>
                <w:sz w:val="17"/>
                <w:szCs w:val="17"/>
              </w:rPr>
              <w:t xml:space="preserve"> </w:t>
            </w:r>
            <w:proofErr w:type="spellStart"/>
            <w:r>
              <w:rPr>
                <w:i/>
                <w:iCs/>
                <w:sz w:val="17"/>
                <w:szCs w:val="17"/>
              </w:rPr>
              <w:t>incertulas</w:t>
            </w:r>
            <w:proofErr w:type="spellEnd"/>
            <w:r>
              <w:rPr>
                <w:sz w:val="17"/>
                <w:szCs w:val="17"/>
              </w:rPr>
              <w:t>, resident principal borer of Indian rice</w:t>
            </w:r>
          </w:p>
        </w:tc>
        <w:tc>
          <w:tcPr>
            <w:tcW w:w="1200" w:type="dxa"/>
            <w:tcMar>
              <w:top w:w="60" w:type="dxa"/>
              <w:left w:w="80" w:type="dxa"/>
              <w:bottom w:w="60" w:type="dxa"/>
              <w:right w:w="80" w:type="dxa"/>
            </w:tcMar>
          </w:tcPr>
          <w:p w14:paraId="34FA0F1F" w14:textId="77777777" w:rsidR="00820B56" w:rsidRDefault="00000000" w:rsidP="00B403FD">
            <w:pPr>
              <w:spacing w:before="100" w:beforeAutospacing="1" w:after="100" w:afterAutospacing="1"/>
            </w:pPr>
            <w:r>
              <w:rPr>
                <w:sz w:val="17"/>
                <w:szCs w:val="17"/>
              </w:rPr>
              <w:t>Anthranilic diamides; older broad-spectrum chemistry</w:t>
            </w:r>
          </w:p>
        </w:tc>
        <w:tc>
          <w:tcPr>
            <w:tcW w:w="1600" w:type="dxa"/>
            <w:tcMar>
              <w:top w:w="60" w:type="dxa"/>
              <w:left w:w="80" w:type="dxa"/>
              <w:bottom w:w="60" w:type="dxa"/>
              <w:right w:w="80" w:type="dxa"/>
            </w:tcMar>
          </w:tcPr>
          <w:p w14:paraId="7822D627" w14:textId="77777777" w:rsidR="00820B56" w:rsidRDefault="00000000" w:rsidP="00B403FD">
            <w:pPr>
              <w:spacing w:before="100" w:beforeAutospacing="1" w:after="100" w:afterAutospacing="1"/>
            </w:pPr>
            <w:r>
              <w:rPr>
                <w:sz w:val="17"/>
                <w:szCs w:val="17"/>
              </w:rPr>
              <w:t>None characterised for this species</w:t>
            </w:r>
          </w:p>
        </w:tc>
        <w:tc>
          <w:tcPr>
            <w:tcW w:w="1150" w:type="dxa"/>
            <w:tcMar>
              <w:top w:w="60" w:type="dxa"/>
              <w:left w:w="80" w:type="dxa"/>
              <w:bottom w:w="60" w:type="dxa"/>
              <w:right w:w="80" w:type="dxa"/>
            </w:tcMar>
          </w:tcPr>
          <w:p w14:paraId="6B7E7EFE" w14:textId="77777777" w:rsidR="00820B56" w:rsidRDefault="00000000" w:rsidP="00B403FD">
            <w:pPr>
              <w:spacing w:before="100" w:beforeAutospacing="1" w:after="100" w:afterAutospacing="1"/>
            </w:pPr>
            <w:r>
              <w:rPr>
                <w:sz w:val="17"/>
                <w:szCs w:val="17"/>
              </w:rPr>
              <w:t>Limited and not longitudinal</w:t>
            </w:r>
          </w:p>
        </w:tc>
        <w:tc>
          <w:tcPr>
            <w:tcW w:w="1000" w:type="dxa"/>
            <w:tcMar>
              <w:top w:w="60" w:type="dxa"/>
              <w:left w:w="80" w:type="dxa"/>
              <w:bottom w:w="60" w:type="dxa"/>
              <w:right w:w="80" w:type="dxa"/>
            </w:tcMar>
          </w:tcPr>
          <w:p w14:paraId="6EDAB49B" w14:textId="77777777" w:rsidR="00820B56" w:rsidRDefault="00000000" w:rsidP="00B403FD">
            <w:pPr>
              <w:spacing w:before="100" w:beforeAutospacing="1" w:after="100" w:afterAutospacing="1"/>
            </w:pPr>
            <w:r>
              <w:rPr>
                <w:sz w:val="17"/>
                <w:szCs w:val="17"/>
              </w:rPr>
              <w:t>None identified in this review</w:t>
            </w:r>
          </w:p>
        </w:tc>
        <w:tc>
          <w:tcPr>
            <w:tcW w:w="1200" w:type="dxa"/>
            <w:tcMar>
              <w:top w:w="60" w:type="dxa"/>
              <w:left w:w="80" w:type="dxa"/>
              <w:bottom w:w="60" w:type="dxa"/>
              <w:right w:w="80" w:type="dxa"/>
            </w:tcMar>
          </w:tcPr>
          <w:p w14:paraId="574F9285" w14:textId="77777777" w:rsidR="00820B56" w:rsidRDefault="00000000" w:rsidP="00B403FD">
            <w:pPr>
              <w:spacing w:before="100" w:beforeAutospacing="1" w:after="100" w:afterAutospacing="1"/>
            </w:pPr>
            <w:r>
              <w:rPr>
                <w:sz w:val="17"/>
                <w:szCs w:val="17"/>
              </w:rPr>
              <w:t>Diamide resistance may develop undetected because no diagnostic exists</w:t>
            </w:r>
          </w:p>
        </w:tc>
        <w:tc>
          <w:tcPr>
            <w:tcW w:w="1476" w:type="dxa"/>
            <w:tcMar>
              <w:top w:w="60" w:type="dxa"/>
              <w:left w:w="80" w:type="dxa"/>
              <w:bottom w:w="60" w:type="dxa"/>
              <w:right w:w="80" w:type="dxa"/>
            </w:tcMar>
          </w:tcPr>
          <w:p w14:paraId="22B4EE08" w14:textId="77777777" w:rsidR="00820B56" w:rsidRDefault="00000000" w:rsidP="00B403FD">
            <w:pPr>
              <w:spacing w:before="100" w:beforeAutospacing="1" w:after="100" w:afterAutospacing="1"/>
            </w:pPr>
            <w:r>
              <w:rPr>
                <w:sz w:val="17"/>
                <w:szCs w:val="17"/>
              </w:rPr>
              <w:t>Richardson et al. (2020)</w:t>
            </w:r>
          </w:p>
        </w:tc>
      </w:tr>
      <w:tr w:rsidR="00820B56" w14:paraId="1B2CDD5C" w14:textId="77777777">
        <w:tc>
          <w:tcPr>
            <w:tcW w:w="1400" w:type="dxa"/>
            <w:tcMar>
              <w:top w:w="60" w:type="dxa"/>
              <w:left w:w="80" w:type="dxa"/>
              <w:bottom w:w="60" w:type="dxa"/>
              <w:right w:w="80" w:type="dxa"/>
            </w:tcMar>
          </w:tcPr>
          <w:p w14:paraId="671EF59B" w14:textId="77777777" w:rsidR="00820B56" w:rsidRDefault="00000000" w:rsidP="00B403FD">
            <w:pPr>
              <w:spacing w:before="100" w:beforeAutospacing="1" w:after="100" w:afterAutospacing="1"/>
            </w:pPr>
            <w:proofErr w:type="spellStart"/>
            <w:r>
              <w:rPr>
                <w:i/>
                <w:iCs/>
                <w:sz w:val="17"/>
                <w:szCs w:val="17"/>
              </w:rPr>
              <w:t>Cnaphalocrocis</w:t>
            </w:r>
            <w:proofErr w:type="spellEnd"/>
            <w:r>
              <w:rPr>
                <w:i/>
                <w:iCs/>
                <w:sz w:val="17"/>
                <w:szCs w:val="17"/>
              </w:rPr>
              <w:t xml:space="preserve"> </w:t>
            </w:r>
            <w:proofErr w:type="spellStart"/>
            <w:r>
              <w:rPr>
                <w:i/>
                <w:iCs/>
                <w:sz w:val="17"/>
                <w:szCs w:val="17"/>
              </w:rPr>
              <w:t>medinalis</w:t>
            </w:r>
            <w:proofErr w:type="spellEnd"/>
            <w:r>
              <w:rPr>
                <w:sz w:val="17"/>
                <w:szCs w:val="17"/>
              </w:rPr>
              <w:t>, resident leaf feeder of rice</w:t>
            </w:r>
          </w:p>
        </w:tc>
        <w:tc>
          <w:tcPr>
            <w:tcW w:w="1200" w:type="dxa"/>
            <w:tcMar>
              <w:top w:w="60" w:type="dxa"/>
              <w:left w:w="80" w:type="dxa"/>
              <w:bottom w:w="60" w:type="dxa"/>
              <w:right w:w="80" w:type="dxa"/>
            </w:tcMar>
          </w:tcPr>
          <w:p w14:paraId="29C121D0" w14:textId="77777777" w:rsidR="00820B56" w:rsidRDefault="00000000" w:rsidP="00B403FD">
            <w:pPr>
              <w:spacing w:before="100" w:beforeAutospacing="1" w:after="100" w:afterAutospacing="1"/>
            </w:pPr>
            <w:r>
              <w:rPr>
                <w:sz w:val="17"/>
                <w:szCs w:val="17"/>
              </w:rPr>
              <w:t>Diamides; newer chemistry</w:t>
            </w:r>
          </w:p>
        </w:tc>
        <w:tc>
          <w:tcPr>
            <w:tcW w:w="1600" w:type="dxa"/>
            <w:tcMar>
              <w:top w:w="60" w:type="dxa"/>
              <w:left w:w="80" w:type="dxa"/>
              <w:bottom w:w="60" w:type="dxa"/>
              <w:right w:w="80" w:type="dxa"/>
            </w:tcMar>
          </w:tcPr>
          <w:p w14:paraId="713AEE9E" w14:textId="77777777" w:rsidR="00820B56" w:rsidRDefault="00000000" w:rsidP="00B403FD">
            <w:pPr>
              <w:spacing w:before="100" w:beforeAutospacing="1" w:after="100" w:afterAutospacing="1"/>
            </w:pPr>
            <w:r>
              <w:rPr>
                <w:sz w:val="17"/>
                <w:szCs w:val="17"/>
              </w:rPr>
              <w:t>Resistance to newer chemistry documented in East Asian populations</w:t>
            </w:r>
          </w:p>
        </w:tc>
        <w:tc>
          <w:tcPr>
            <w:tcW w:w="1150" w:type="dxa"/>
            <w:tcMar>
              <w:top w:w="60" w:type="dxa"/>
              <w:left w:w="80" w:type="dxa"/>
              <w:bottom w:w="60" w:type="dxa"/>
              <w:right w:w="80" w:type="dxa"/>
            </w:tcMar>
          </w:tcPr>
          <w:p w14:paraId="7CE11D3A" w14:textId="77777777" w:rsidR="00820B56" w:rsidRDefault="00000000" w:rsidP="00B403FD">
            <w:pPr>
              <w:spacing w:before="100" w:beforeAutospacing="1" w:after="100" w:afterAutospacing="1"/>
            </w:pPr>
            <w:r>
              <w:rPr>
                <w:sz w:val="17"/>
                <w:szCs w:val="17"/>
              </w:rPr>
              <w:t>Limited</w:t>
            </w:r>
          </w:p>
        </w:tc>
        <w:tc>
          <w:tcPr>
            <w:tcW w:w="1000" w:type="dxa"/>
            <w:tcMar>
              <w:top w:w="60" w:type="dxa"/>
              <w:left w:w="80" w:type="dxa"/>
              <w:bottom w:w="60" w:type="dxa"/>
              <w:right w:w="80" w:type="dxa"/>
            </w:tcMar>
          </w:tcPr>
          <w:p w14:paraId="632B47C2" w14:textId="77777777" w:rsidR="00820B56" w:rsidRDefault="00000000" w:rsidP="00B403FD">
            <w:pPr>
              <w:spacing w:before="100" w:beforeAutospacing="1" w:after="100" w:afterAutospacing="1"/>
            </w:pPr>
            <w:r>
              <w:rPr>
                <w:sz w:val="17"/>
                <w:szCs w:val="17"/>
              </w:rPr>
              <w:t>None identified in this review</w:t>
            </w:r>
          </w:p>
        </w:tc>
        <w:tc>
          <w:tcPr>
            <w:tcW w:w="1200" w:type="dxa"/>
            <w:tcMar>
              <w:top w:w="60" w:type="dxa"/>
              <w:left w:w="80" w:type="dxa"/>
              <w:bottom w:w="60" w:type="dxa"/>
              <w:right w:w="80" w:type="dxa"/>
            </w:tcMar>
          </w:tcPr>
          <w:p w14:paraId="0E6CC9E7" w14:textId="77777777" w:rsidR="00820B56" w:rsidRDefault="00000000" w:rsidP="00B403FD">
            <w:pPr>
              <w:spacing w:before="100" w:beforeAutospacing="1" w:after="100" w:afterAutospacing="1"/>
            </w:pPr>
            <w:r>
              <w:rPr>
                <w:sz w:val="17"/>
                <w:szCs w:val="17"/>
              </w:rPr>
              <w:t>Resistance status assumed rather than measured</w:t>
            </w:r>
          </w:p>
        </w:tc>
        <w:tc>
          <w:tcPr>
            <w:tcW w:w="1476" w:type="dxa"/>
            <w:tcMar>
              <w:top w:w="60" w:type="dxa"/>
              <w:left w:w="80" w:type="dxa"/>
              <w:bottom w:w="60" w:type="dxa"/>
              <w:right w:w="80" w:type="dxa"/>
            </w:tcMar>
          </w:tcPr>
          <w:p w14:paraId="7E8A5005" w14:textId="77777777" w:rsidR="00820B56" w:rsidRDefault="00000000" w:rsidP="00B403FD">
            <w:pPr>
              <w:spacing w:before="100" w:beforeAutospacing="1" w:after="100" w:afterAutospacing="1"/>
            </w:pPr>
            <w:r>
              <w:rPr>
                <w:sz w:val="17"/>
                <w:szCs w:val="17"/>
              </w:rPr>
              <w:t>Zhang et al. (2014)</w:t>
            </w:r>
          </w:p>
        </w:tc>
      </w:tr>
      <w:tr w:rsidR="00820B56" w14:paraId="6B6B8E44" w14:textId="77777777">
        <w:tc>
          <w:tcPr>
            <w:tcW w:w="1400" w:type="dxa"/>
            <w:tcMar>
              <w:top w:w="60" w:type="dxa"/>
              <w:left w:w="80" w:type="dxa"/>
              <w:bottom w:w="60" w:type="dxa"/>
              <w:right w:w="80" w:type="dxa"/>
            </w:tcMar>
          </w:tcPr>
          <w:p w14:paraId="2334CA8C" w14:textId="77777777" w:rsidR="00820B56" w:rsidRDefault="00000000" w:rsidP="00B403FD">
            <w:pPr>
              <w:spacing w:before="100" w:beforeAutospacing="1" w:after="100" w:afterAutospacing="1"/>
            </w:pPr>
            <w:r>
              <w:rPr>
                <w:i/>
                <w:iCs/>
                <w:sz w:val="17"/>
                <w:szCs w:val="17"/>
              </w:rPr>
              <w:t xml:space="preserve">Spodoptera </w:t>
            </w:r>
            <w:proofErr w:type="spellStart"/>
            <w:r>
              <w:rPr>
                <w:i/>
                <w:iCs/>
                <w:sz w:val="17"/>
                <w:szCs w:val="17"/>
              </w:rPr>
              <w:t>frugiperda</w:t>
            </w:r>
            <w:proofErr w:type="spellEnd"/>
            <w:r>
              <w:rPr>
                <w:sz w:val="17"/>
                <w:szCs w:val="17"/>
              </w:rPr>
              <w:t>, invasive in Indian maize since 2018</w:t>
            </w:r>
          </w:p>
        </w:tc>
        <w:tc>
          <w:tcPr>
            <w:tcW w:w="1200" w:type="dxa"/>
            <w:tcMar>
              <w:top w:w="60" w:type="dxa"/>
              <w:left w:w="80" w:type="dxa"/>
              <w:bottom w:w="60" w:type="dxa"/>
              <w:right w:w="80" w:type="dxa"/>
            </w:tcMar>
          </w:tcPr>
          <w:p w14:paraId="3B4B1235" w14:textId="77777777" w:rsidR="00820B56" w:rsidRDefault="00000000" w:rsidP="00B403FD">
            <w:pPr>
              <w:spacing w:before="100" w:beforeAutospacing="1" w:after="100" w:afterAutospacing="1"/>
            </w:pPr>
            <w:r>
              <w:rPr>
                <w:sz w:val="17"/>
                <w:szCs w:val="17"/>
              </w:rPr>
              <w:t xml:space="preserve">Pyrethroids; diamides; spinosyns; </w:t>
            </w:r>
            <w:proofErr w:type="spellStart"/>
            <w:r>
              <w:rPr>
                <w:sz w:val="17"/>
                <w:szCs w:val="17"/>
              </w:rPr>
              <w:t>avermectins</w:t>
            </w:r>
            <w:proofErr w:type="spellEnd"/>
          </w:p>
        </w:tc>
        <w:tc>
          <w:tcPr>
            <w:tcW w:w="1600" w:type="dxa"/>
            <w:tcMar>
              <w:top w:w="60" w:type="dxa"/>
              <w:left w:w="80" w:type="dxa"/>
              <w:bottom w:w="60" w:type="dxa"/>
              <w:right w:w="80" w:type="dxa"/>
            </w:tcMar>
          </w:tcPr>
          <w:p w14:paraId="4A0661AE" w14:textId="77777777" w:rsidR="00820B56" w:rsidRDefault="00000000" w:rsidP="00B403FD">
            <w:pPr>
              <w:spacing w:before="100" w:beforeAutospacing="1" w:after="100" w:afterAutospacing="1"/>
            </w:pPr>
            <w:r>
              <w:rPr>
                <w:sz w:val="17"/>
                <w:szCs w:val="17"/>
              </w:rPr>
              <w:t xml:space="preserve">Acetylcholinesterase substitutions; ryanodine receptor substitution; detoxification gene copy-number variation; </w:t>
            </w:r>
            <w:r>
              <w:rPr>
                <w:i/>
                <w:iCs/>
                <w:sz w:val="17"/>
                <w:szCs w:val="17"/>
              </w:rPr>
              <w:t>ABCC2</w:t>
            </w:r>
            <w:r>
              <w:rPr>
                <w:sz w:val="17"/>
                <w:szCs w:val="17"/>
              </w:rPr>
              <w:t xml:space="preserve"> indels</w:t>
            </w:r>
          </w:p>
        </w:tc>
        <w:tc>
          <w:tcPr>
            <w:tcW w:w="1150" w:type="dxa"/>
            <w:tcMar>
              <w:top w:w="60" w:type="dxa"/>
              <w:left w:w="80" w:type="dxa"/>
              <w:bottom w:w="60" w:type="dxa"/>
              <w:right w:w="80" w:type="dxa"/>
            </w:tcMar>
          </w:tcPr>
          <w:p w14:paraId="71DE35A9" w14:textId="77777777" w:rsidR="00820B56" w:rsidRDefault="00000000" w:rsidP="00B403FD">
            <w:pPr>
              <w:spacing w:before="100" w:beforeAutospacing="1" w:after="100" w:afterAutospacing="1"/>
            </w:pPr>
            <w:r>
              <w:rPr>
                <w:sz w:val="17"/>
                <w:szCs w:val="17"/>
              </w:rPr>
              <w:t>Extensive multi-population baseline across two seasons</w:t>
            </w:r>
          </w:p>
        </w:tc>
        <w:tc>
          <w:tcPr>
            <w:tcW w:w="1000" w:type="dxa"/>
            <w:tcMar>
              <w:top w:w="60" w:type="dxa"/>
              <w:left w:w="80" w:type="dxa"/>
              <w:bottom w:w="60" w:type="dxa"/>
              <w:right w:w="80" w:type="dxa"/>
            </w:tcMar>
          </w:tcPr>
          <w:p w14:paraId="74BD9259" w14:textId="77777777" w:rsidR="00820B56" w:rsidRDefault="00000000" w:rsidP="00B403FD">
            <w:pPr>
              <w:spacing w:before="100" w:beforeAutospacing="1" w:after="100" w:afterAutospacing="1"/>
            </w:pPr>
            <w:r>
              <w:rPr>
                <w:sz w:val="17"/>
                <w:szCs w:val="17"/>
              </w:rPr>
              <w:t>None identified in this review</w:t>
            </w:r>
          </w:p>
        </w:tc>
        <w:tc>
          <w:tcPr>
            <w:tcW w:w="1200" w:type="dxa"/>
            <w:tcMar>
              <w:top w:w="60" w:type="dxa"/>
              <w:left w:w="80" w:type="dxa"/>
              <w:bottom w:w="60" w:type="dxa"/>
              <w:right w:w="80" w:type="dxa"/>
            </w:tcMar>
          </w:tcPr>
          <w:p w14:paraId="27A44736" w14:textId="77777777" w:rsidR="00820B56" w:rsidRDefault="00000000" w:rsidP="00B403FD">
            <w:pPr>
              <w:spacing w:before="100" w:beforeAutospacing="1" w:after="100" w:afterAutospacing="1"/>
            </w:pPr>
            <w:r>
              <w:rPr>
                <w:sz w:val="17"/>
                <w:szCs w:val="17"/>
              </w:rPr>
              <w:t>Inherited resistance misattributed to local selection</w:t>
            </w:r>
          </w:p>
        </w:tc>
        <w:tc>
          <w:tcPr>
            <w:tcW w:w="1476" w:type="dxa"/>
            <w:tcMar>
              <w:top w:w="60" w:type="dxa"/>
              <w:left w:w="80" w:type="dxa"/>
              <w:bottom w:w="60" w:type="dxa"/>
              <w:right w:w="80" w:type="dxa"/>
            </w:tcMar>
          </w:tcPr>
          <w:p w14:paraId="644CA53A" w14:textId="77777777" w:rsidR="00820B56" w:rsidRDefault="00000000" w:rsidP="00B403FD">
            <w:pPr>
              <w:spacing w:before="100" w:beforeAutospacing="1" w:after="100" w:afterAutospacing="1"/>
            </w:pPr>
            <w:r>
              <w:rPr>
                <w:sz w:val="17"/>
                <w:szCs w:val="17"/>
              </w:rPr>
              <w:t xml:space="preserve">Bird et al. (2022); Boaventura, Bolzan, et al. (2020); Boaventura, Martin, et al. (2020); Deshmukh et al. (2020); Gimenez et al. (2020); </w:t>
            </w:r>
            <w:proofErr w:type="spellStart"/>
            <w:r>
              <w:rPr>
                <w:sz w:val="17"/>
                <w:szCs w:val="17"/>
              </w:rPr>
              <w:t>Kulye</w:t>
            </w:r>
            <w:proofErr w:type="spellEnd"/>
            <w:r>
              <w:rPr>
                <w:sz w:val="17"/>
                <w:szCs w:val="17"/>
              </w:rPr>
              <w:t xml:space="preserve"> et al. (2021); Zhang et al. (2020)</w:t>
            </w:r>
          </w:p>
        </w:tc>
      </w:tr>
      <w:tr w:rsidR="00820B56" w14:paraId="4430D674" w14:textId="77777777">
        <w:tc>
          <w:tcPr>
            <w:tcW w:w="1400" w:type="dxa"/>
            <w:tcMar>
              <w:top w:w="60" w:type="dxa"/>
              <w:left w:w="80" w:type="dxa"/>
              <w:bottom w:w="60" w:type="dxa"/>
              <w:right w:w="80" w:type="dxa"/>
            </w:tcMar>
          </w:tcPr>
          <w:p w14:paraId="183DABA2" w14:textId="77777777" w:rsidR="00820B56" w:rsidRDefault="00000000" w:rsidP="00B403FD">
            <w:pPr>
              <w:spacing w:before="100" w:beforeAutospacing="1" w:after="100" w:afterAutospacing="1"/>
            </w:pPr>
            <w:proofErr w:type="spellStart"/>
            <w:r>
              <w:rPr>
                <w:i/>
                <w:iCs/>
                <w:sz w:val="17"/>
                <w:szCs w:val="17"/>
              </w:rPr>
              <w:t>Pectinophora</w:t>
            </w:r>
            <w:proofErr w:type="spellEnd"/>
            <w:r>
              <w:rPr>
                <w:i/>
                <w:iCs/>
                <w:sz w:val="17"/>
                <w:szCs w:val="17"/>
              </w:rPr>
              <w:t xml:space="preserve"> </w:t>
            </w:r>
            <w:proofErr w:type="spellStart"/>
            <w:r>
              <w:rPr>
                <w:i/>
                <w:iCs/>
                <w:sz w:val="17"/>
                <w:szCs w:val="17"/>
              </w:rPr>
              <w:t>gossypiella</w:t>
            </w:r>
            <w:proofErr w:type="spellEnd"/>
            <w:r>
              <w:rPr>
                <w:sz w:val="17"/>
                <w:szCs w:val="17"/>
              </w:rPr>
              <w:t>, resident cotton pest used here as analogue</w:t>
            </w:r>
          </w:p>
        </w:tc>
        <w:tc>
          <w:tcPr>
            <w:tcW w:w="1200" w:type="dxa"/>
            <w:tcMar>
              <w:top w:w="60" w:type="dxa"/>
              <w:left w:w="80" w:type="dxa"/>
              <w:bottom w:w="60" w:type="dxa"/>
              <w:right w:w="80" w:type="dxa"/>
            </w:tcMar>
          </w:tcPr>
          <w:p w14:paraId="10EE331B" w14:textId="77777777" w:rsidR="00820B56" w:rsidRDefault="00000000" w:rsidP="00B403FD">
            <w:pPr>
              <w:spacing w:before="100" w:beforeAutospacing="1" w:after="100" w:afterAutospacing="1"/>
            </w:pPr>
            <w:r>
              <w:rPr>
                <w:sz w:val="17"/>
                <w:szCs w:val="17"/>
              </w:rPr>
              <w:t>Cry1Ac and Cry2Ab insecticidal proteins</w:t>
            </w:r>
          </w:p>
        </w:tc>
        <w:tc>
          <w:tcPr>
            <w:tcW w:w="1600" w:type="dxa"/>
            <w:tcMar>
              <w:top w:w="60" w:type="dxa"/>
              <w:left w:w="80" w:type="dxa"/>
              <w:bottom w:w="60" w:type="dxa"/>
              <w:right w:w="80" w:type="dxa"/>
            </w:tcMar>
          </w:tcPr>
          <w:p w14:paraId="1D2B50B4" w14:textId="77777777" w:rsidR="00820B56" w:rsidRDefault="00000000" w:rsidP="00B403FD">
            <w:pPr>
              <w:spacing w:before="100" w:beforeAutospacing="1" w:after="100" w:afterAutospacing="1"/>
            </w:pPr>
            <w:r>
              <w:rPr>
                <w:sz w:val="17"/>
                <w:szCs w:val="17"/>
              </w:rPr>
              <w:t>Multiple resistance mechanisms to insecticidal proteins</w:t>
            </w:r>
          </w:p>
        </w:tc>
        <w:tc>
          <w:tcPr>
            <w:tcW w:w="1150" w:type="dxa"/>
            <w:tcMar>
              <w:top w:w="60" w:type="dxa"/>
              <w:left w:w="80" w:type="dxa"/>
              <w:bottom w:w="60" w:type="dxa"/>
              <w:right w:w="80" w:type="dxa"/>
            </w:tcMar>
          </w:tcPr>
          <w:p w14:paraId="21C3BE38" w14:textId="77777777" w:rsidR="00820B56" w:rsidRDefault="00000000" w:rsidP="00B403FD">
            <w:pPr>
              <w:spacing w:before="100" w:beforeAutospacing="1" w:after="100" w:afterAutospacing="1"/>
            </w:pPr>
            <w:r>
              <w:rPr>
                <w:sz w:val="17"/>
                <w:szCs w:val="17"/>
              </w:rPr>
              <w:t>Multi-year, multi-state trajectory of rising resistance ratios</w:t>
            </w:r>
          </w:p>
        </w:tc>
        <w:tc>
          <w:tcPr>
            <w:tcW w:w="1000" w:type="dxa"/>
            <w:tcMar>
              <w:top w:w="60" w:type="dxa"/>
              <w:left w:w="80" w:type="dxa"/>
              <w:bottom w:w="60" w:type="dxa"/>
              <w:right w:w="80" w:type="dxa"/>
            </w:tcMar>
          </w:tcPr>
          <w:p w14:paraId="6D651FFD" w14:textId="77777777" w:rsidR="00820B56" w:rsidRDefault="00000000" w:rsidP="00B403FD">
            <w:pPr>
              <w:spacing w:before="100" w:beforeAutospacing="1" w:after="100" w:afterAutospacing="1"/>
            </w:pPr>
            <w:r>
              <w:rPr>
                <w:sz w:val="17"/>
                <w:szCs w:val="17"/>
              </w:rPr>
              <w:t>Partial</w:t>
            </w:r>
          </w:p>
        </w:tc>
        <w:tc>
          <w:tcPr>
            <w:tcW w:w="1200" w:type="dxa"/>
            <w:tcMar>
              <w:top w:w="60" w:type="dxa"/>
              <w:left w:w="80" w:type="dxa"/>
              <w:bottom w:w="60" w:type="dxa"/>
              <w:right w:w="80" w:type="dxa"/>
            </w:tcMar>
          </w:tcPr>
          <w:p w14:paraId="5B892F36" w14:textId="77777777" w:rsidR="00820B56" w:rsidRDefault="00000000" w:rsidP="00B403FD">
            <w:pPr>
              <w:spacing w:before="100" w:beforeAutospacing="1" w:after="100" w:afterAutospacing="1"/>
            </w:pPr>
            <w:r>
              <w:rPr>
                <w:sz w:val="17"/>
                <w:szCs w:val="17"/>
              </w:rPr>
              <w:t>Over-generalisation from cotton to cereal systems</w:t>
            </w:r>
          </w:p>
        </w:tc>
        <w:tc>
          <w:tcPr>
            <w:tcW w:w="1476" w:type="dxa"/>
            <w:tcMar>
              <w:top w:w="60" w:type="dxa"/>
              <w:left w:w="80" w:type="dxa"/>
              <w:bottom w:w="60" w:type="dxa"/>
              <w:right w:w="80" w:type="dxa"/>
            </w:tcMar>
          </w:tcPr>
          <w:p w14:paraId="38E4FFA9" w14:textId="77777777" w:rsidR="00820B56" w:rsidRDefault="00000000" w:rsidP="00B403FD">
            <w:pPr>
              <w:spacing w:before="100" w:beforeAutospacing="1" w:after="100" w:afterAutospacing="1"/>
            </w:pPr>
            <w:proofErr w:type="spellStart"/>
            <w:r>
              <w:rPr>
                <w:sz w:val="17"/>
                <w:szCs w:val="17"/>
              </w:rPr>
              <w:t>Dhurua</w:t>
            </w:r>
            <w:proofErr w:type="spellEnd"/>
            <w:r>
              <w:rPr>
                <w:sz w:val="17"/>
                <w:szCs w:val="17"/>
              </w:rPr>
              <w:t xml:space="preserve"> and Gujar (2011); Jurat-Fuentes et al. (2021); Naik et al. (2018); </w:t>
            </w:r>
            <w:proofErr w:type="spellStart"/>
            <w:r>
              <w:rPr>
                <w:sz w:val="17"/>
                <w:szCs w:val="17"/>
              </w:rPr>
              <w:t>Tabashnik</w:t>
            </w:r>
            <w:proofErr w:type="spellEnd"/>
            <w:r>
              <w:rPr>
                <w:sz w:val="17"/>
                <w:szCs w:val="17"/>
              </w:rPr>
              <w:t xml:space="preserve"> and Carrière (2019)</w:t>
            </w:r>
          </w:p>
        </w:tc>
      </w:tr>
    </w:tbl>
    <w:p w14:paraId="209FF4BD" w14:textId="77777777" w:rsidR="00820B56" w:rsidRDefault="00000000" w:rsidP="00B403FD">
      <w:pPr>
        <w:spacing w:before="100" w:beforeAutospacing="1" w:after="100" w:afterAutospacing="1"/>
      </w:pPr>
      <w:r>
        <w:rPr>
          <w:sz w:val="18"/>
          <w:szCs w:val="18"/>
        </w:rPr>
        <w:t xml:space="preserve">Note. </w:t>
      </w:r>
      <w:r>
        <w:rPr>
          <w:i/>
          <w:iCs/>
          <w:sz w:val="18"/>
          <w:szCs w:val="18"/>
        </w:rPr>
        <w:t>ABCC2</w:t>
      </w:r>
      <w:r>
        <w:rPr>
          <w:sz w:val="18"/>
          <w:szCs w:val="18"/>
        </w:rPr>
        <w:t xml:space="preserve"> = adenosine triphosphate-binding cassette transporter subfamily C member 2. Amino acid substitutions are designated by the single-letter code with the position number in the corresponding reference sequence. The statement that no Indian molecular evidence was identified refers to sources retrieved during this review and does not exclude unpublished or non-indexed work.</w:t>
      </w:r>
    </w:p>
    <w:p w14:paraId="337CACE9" w14:textId="77777777" w:rsidR="00820B56" w:rsidRDefault="00000000" w:rsidP="00B403FD">
      <w:pPr>
        <w:pStyle w:val="Heading1"/>
        <w:spacing w:before="100" w:beforeAutospacing="1" w:after="100" w:afterAutospacing="1"/>
      </w:pPr>
      <w:r>
        <w:rPr>
          <w:b/>
          <w:bCs/>
          <w:color w:val="000000"/>
          <w:sz w:val="26"/>
          <w:szCs w:val="26"/>
        </w:rPr>
        <w:t xml:space="preserve">7. Phosphine Resistance in Stored Cereals: </w:t>
      </w:r>
      <w:proofErr w:type="gramStart"/>
      <w:r>
        <w:rPr>
          <w:b/>
          <w:bCs/>
          <w:color w:val="000000"/>
          <w:sz w:val="26"/>
          <w:szCs w:val="26"/>
        </w:rPr>
        <w:t>the</w:t>
      </w:r>
      <w:proofErr w:type="gramEnd"/>
      <w:r>
        <w:rPr>
          <w:b/>
          <w:bCs/>
          <w:color w:val="000000"/>
          <w:sz w:val="26"/>
          <w:szCs w:val="26"/>
        </w:rPr>
        <w:t xml:space="preserve"> Strongest India-Specific Evidence</w:t>
      </w:r>
    </w:p>
    <w:p w14:paraId="51022D9A" w14:textId="77777777" w:rsidR="00820B56" w:rsidRDefault="00000000" w:rsidP="00B403FD">
      <w:pPr>
        <w:spacing w:before="100" w:beforeAutospacing="1" w:after="100" w:afterAutospacing="1"/>
        <w:jc w:val="both"/>
      </w:pPr>
      <w:r>
        <w:t>The post-harvest sector inverts the pattern seen in the field crops. Here the Indian evidence is genetically specific, geographically extensive and internationally significant, and the principal analytical difficulty is not scarcity of data but the translation of a well-characterised genetic finding into fumigation practice.</w:t>
      </w:r>
    </w:p>
    <w:p w14:paraId="5B9C474F" w14:textId="77777777" w:rsidR="00820B56" w:rsidRDefault="00000000" w:rsidP="00B403FD">
      <w:pPr>
        <w:pStyle w:val="Heading2"/>
        <w:spacing w:before="100" w:beforeAutospacing="1" w:after="100" w:afterAutospacing="1"/>
      </w:pPr>
      <w:r>
        <w:rPr>
          <w:b/>
          <w:bCs/>
          <w:color w:val="000000"/>
          <w:sz w:val="23"/>
          <w:szCs w:val="23"/>
        </w:rPr>
        <w:t>7.1 The rph1 and rph2 loci and the dihydrolipoamide dehydrogenase variants</w:t>
      </w:r>
    </w:p>
    <w:p w14:paraId="15687DCA" w14:textId="77777777" w:rsidR="00820B56" w:rsidRDefault="00000000" w:rsidP="00B403FD">
      <w:pPr>
        <w:spacing w:before="100" w:beforeAutospacing="1" w:after="100" w:afterAutospacing="1"/>
        <w:jc w:val="both"/>
      </w:pPr>
      <w:r>
        <w:t xml:space="preserve">Genetic analysis in Australian </w:t>
      </w:r>
      <w:r>
        <w:rPr>
          <w:i/>
          <w:iCs/>
        </w:rPr>
        <w:t xml:space="preserve">R. </w:t>
      </w:r>
      <w:proofErr w:type="spellStart"/>
      <w:r>
        <w:rPr>
          <w:i/>
          <w:iCs/>
        </w:rPr>
        <w:t>dominica</w:t>
      </w:r>
      <w:proofErr w:type="spellEnd"/>
      <w:r>
        <w:t xml:space="preserve"> established that two loci, </w:t>
      </w:r>
      <w:r>
        <w:rPr>
          <w:i/>
          <w:iCs/>
        </w:rPr>
        <w:t>rph1</w:t>
      </w:r>
      <w:r>
        <w:t xml:space="preserve"> and </w:t>
      </w:r>
      <w:r>
        <w:rPr>
          <w:i/>
          <w:iCs/>
        </w:rPr>
        <w:t>rph2</w:t>
      </w:r>
      <w:r>
        <w:t xml:space="preserve">, act synergistically to produce strong phosphine resistance, and that the strong phenotype arose by stepwise acquisition, with </w:t>
      </w:r>
      <w:r>
        <w:rPr>
          <w:i/>
          <w:iCs/>
        </w:rPr>
        <w:t>rph1</w:t>
      </w:r>
      <w:r>
        <w:t xml:space="preserve"> conferring moderate resistance and appearing first, and </w:t>
      </w:r>
      <w:r>
        <w:rPr>
          <w:i/>
          <w:iCs/>
        </w:rPr>
        <w:t>rph2</w:t>
      </w:r>
      <w:r>
        <w:t xml:space="preserve"> conferring only weak resistance alone but generating a strong phenotype in combination (</w:t>
      </w:r>
      <w:proofErr w:type="spellStart"/>
      <w:r>
        <w:t>Schlipalius</w:t>
      </w:r>
      <w:proofErr w:type="spellEnd"/>
      <w:r>
        <w:t xml:space="preserve"> et al., 2008). Confirmation across independently derived field strains showed that the same two loci accounted for strong resistance in all of them, and that hybridising the strains followed by repeated selection at extreme exposure produced only slight further enhancement, indicating that a single genetic pathway had been followed repeatedly (Mau et al., 2012). In </w:t>
      </w:r>
      <w:r>
        <w:rPr>
          <w:i/>
          <w:iCs/>
        </w:rPr>
        <w:t xml:space="preserve">T. </w:t>
      </w:r>
      <w:proofErr w:type="spellStart"/>
      <w:r>
        <w:rPr>
          <w:i/>
          <w:iCs/>
        </w:rPr>
        <w:t>castaneum</w:t>
      </w:r>
      <w:proofErr w:type="spellEnd"/>
      <w:r>
        <w:t xml:space="preserve">, dose-mortality analysis of test-cross and inter-cross progeny likewise resolved a major gene conferring weak resistance and a second major gene which, in </w:t>
      </w:r>
      <w:r>
        <w:lastRenderedPageBreak/>
        <w:t>combination with the first, produced a strongly resistant phenotype through synergistic epistasis, inherited as an incompletely recessive autosomal trait (Jagadeesan et al., 2012).</w:t>
      </w:r>
    </w:p>
    <w:p w14:paraId="64AE6AEC" w14:textId="77777777" w:rsidR="00820B56" w:rsidRDefault="00000000" w:rsidP="00B403FD">
      <w:pPr>
        <w:spacing w:before="100" w:beforeAutospacing="1" w:after="100" w:afterAutospacing="1"/>
        <w:jc w:val="both"/>
      </w:pPr>
      <w:r>
        <w:t xml:space="preserve">The Indian contribution to this body of work is distinctive. Comparison of Indian and Australian strains of </w:t>
      </w:r>
      <w:r>
        <w:rPr>
          <w:i/>
          <w:iCs/>
        </w:rPr>
        <w:t xml:space="preserve">R. </w:t>
      </w:r>
      <w:proofErr w:type="spellStart"/>
      <w:r>
        <w:rPr>
          <w:i/>
          <w:iCs/>
        </w:rPr>
        <w:t>dominica</w:t>
      </w:r>
      <w:proofErr w:type="spellEnd"/>
      <w:r>
        <w:t xml:space="preserve"> and </w:t>
      </w:r>
      <w:r>
        <w:rPr>
          <w:i/>
          <w:iCs/>
        </w:rPr>
        <w:t xml:space="preserve">T. </w:t>
      </w:r>
      <w:proofErr w:type="spellStart"/>
      <w:r>
        <w:rPr>
          <w:i/>
          <w:iCs/>
        </w:rPr>
        <w:t>castaneum</w:t>
      </w:r>
      <w:proofErr w:type="spellEnd"/>
      <w:r>
        <w:t xml:space="preserve"> identified structurally equivalent variants of dihydrolipoamide dehydrogenase, the enzyme encoded at the </w:t>
      </w:r>
      <w:r>
        <w:rPr>
          <w:i/>
          <w:iCs/>
        </w:rPr>
        <w:t>rph2</w:t>
      </w:r>
      <w:r>
        <w:t xml:space="preserve"> locus: a proline to serine substitution at position 49 in one Indian </w:t>
      </w:r>
      <w:r>
        <w:rPr>
          <w:i/>
          <w:iCs/>
        </w:rPr>
        <w:t xml:space="preserve">R. </w:t>
      </w:r>
      <w:proofErr w:type="spellStart"/>
      <w:r>
        <w:rPr>
          <w:i/>
          <w:iCs/>
        </w:rPr>
        <w:t>dominica</w:t>
      </w:r>
      <w:proofErr w:type="spellEnd"/>
      <w:r>
        <w:t xml:space="preserve"> strain and the equivalent substitution at position 45 in three Indian </w:t>
      </w:r>
      <w:r>
        <w:rPr>
          <w:i/>
          <w:iCs/>
        </w:rPr>
        <w:t xml:space="preserve">T. </w:t>
      </w:r>
      <w:proofErr w:type="spellStart"/>
      <w:r>
        <w:rPr>
          <w:i/>
          <w:iCs/>
        </w:rPr>
        <w:t>castaneum</w:t>
      </w:r>
      <w:proofErr w:type="spellEnd"/>
      <w:r>
        <w:t xml:space="preserve"> strains. Survey of storage facilities across southern India found this variant distributed throughout the region at very high frequencies, reaching 94 per cent of </w:t>
      </w:r>
      <w:r>
        <w:rPr>
          <w:i/>
          <w:iCs/>
        </w:rPr>
        <w:t xml:space="preserve">R. </w:t>
      </w:r>
      <w:proofErr w:type="spellStart"/>
      <w:r>
        <w:rPr>
          <w:i/>
          <w:iCs/>
        </w:rPr>
        <w:t>dominica</w:t>
      </w:r>
      <w:proofErr w:type="spellEnd"/>
      <w:r>
        <w:t xml:space="preserve"> and 97 per cent of </w:t>
      </w:r>
      <w:r>
        <w:rPr>
          <w:i/>
          <w:iCs/>
        </w:rPr>
        <w:t xml:space="preserve">T. </w:t>
      </w:r>
      <w:proofErr w:type="spellStart"/>
      <w:r>
        <w:rPr>
          <w:i/>
          <w:iCs/>
        </w:rPr>
        <w:t>castaneum</w:t>
      </w:r>
      <w:proofErr w:type="spellEnd"/>
      <w:r>
        <w:t xml:space="preserve"> in Tamil Nadu, and the variant was absent from the eukaryotic sequence record, which suggests that it confers no advantage in the absence of fumigation (Kaur et al., 2015). Independently, a proline to serine substitution at the same structural position was reported from strongly resistant populations of both species in the United States, together with a diagnostic restriction-based assay for its detection (Chen et al., 2015). Conservation extends further: strongly resistant strains of the rice weevil, </w:t>
      </w:r>
      <w:r>
        <w:rPr>
          <w:i/>
          <w:iCs/>
        </w:rPr>
        <w:t>Sitophilus oryzae</w:t>
      </w:r>
      <w:r>
        <w:t xml:space="preserve">, from China, Vietnam and Australia carry an asparagine to threonine substitution at position 505 corresponding structurally to a variant previously reported in </w:t>
      </w:r>
      <w:r>
        <w:rPr>
          <w:i/>
          <w:iCs/>
        </w:rPr>
        <w:t xml:space="preserve">R. </w:t>
      </w:r>
      <w:proofErr w:type="spellStart"/>
      <w:r>
        <w:rPr>
          <w:i/>
          <w:iCs/>
        </w:rPr>
        <w:t>dominica</w:t>
      </w:r>
      <w:proofErr w:type="spellEnd"/>
      <w:r>
        <w:t>, with absolute linkage to the resistance phenotype across sixteen and eighteen generations of two independent crosses (Nguyen et al., 2016).</w:t>
      </w:r>
    </w:p>
    <w:p w14:paraId="1248D6F3" w14:textId="77777777" w:rsidR="00820B56" w:rsidRDefault="00000000" w:rsidP="00B403FD">
      <w:pPr>
        <w:spacing w:before="100" w:beforeAutospacing="1" w:after="100" w:afterAutospacing="1"/>
        <w:jc w:val="both"/>
      </w:pPr>
      <w:r>
        <w:t>The convergence of three beetle species and four continents on structurally equivalent substitutions in a single mitochondrial enzyme constitutes one of the clearest examples of parallel molecular evolution in applied entomology. It also provides an unusually secure foundation for diagnosis, because a diagnostic assay validated in one species and region has a strong prior probability of transferring to another.</w:t>
      </w:r>
    </w:p>
    <w:p w14:paraId="0F6ADB62" w14:textId="77777777" w:rsidR="00820B56" w:rsidRDefault="00000000" w:rsidP="00B403FD">
      <w:pPr>
        <w:pStyle w:val="Heading2"/>
        <w:spacing w:before="100" w:beforeAutospacing="1" w:after="100" w:afterAutospacing="1"/>
      </w:pPr>
      <w:r>
        <w:rPr>
          <w:b/>
          <w:bCs/>
          <w:color w:val="000000"/>
          <w:sz w:val="23"/>
          <w:szCs w:val="23"/>
        </w:rPr>
        <w:t>7.2 Inheritance, epistasis and the consequences for fumigation practice</w:t>
      </w:r>
    </w:p>
    <w:p w14:paraId="116EED6F" w14:textId="77777777" w:rsidR="00820B56" w:rsidRDefault="00000000" w:rsidP="00B403FD">
      <w:pPr>
        <w:spacing w:before="100" w:beforeAutospacing="1" w:after="100" w:afterAutospacing="1"/>
        <w:jc w:val="both"/>
      </w:pPr>
      <w:r>
        <w:t xml:space="preserve">The genetic architecture has direct operational consequences that are frequently under-emphasised. Because strong resistance requires alleles at two loci acting synergistically, and because the phenotype is incompletely recessive, the frequency of strongly resistant individuals is a non-linear function of the frequencies of the component alleles. Weak resistance conferred by </w:t>
      </w:r>
      <w:r>
        <w:rPr>
          <w:i/>
          <w:iCs/>
        </w:rPr>
        <w:t>rph1</w:t>
      </w:r>
      <w:r>
        <w:t xml:space="preserve"> alone can become ubiquitous without producing visible control failure, and the subsequent appearance of </w:t>
      </w:r>
      <w:r>
        <w:rPr>
          <w:i/>
          <w:iCs/>
        </w:rPr>
        <w:t>rph2</w:t>
      </w:r>
      <w:r>
        <w:t xml:space="preserve"> alleles then converts a latent condition into an acute one rapidly (Mau et al., 2012; </w:t>
      </w:r>
      <w:proofErr w:type="spellStart"/>
      <w:r>
        <w:t>Schlipalius</w:t>
      </w:r>
      <w:proofErr w:type="spellEnd"/>
      <w:r>
        <w:t xml:space="preserve"> et al., 2008). Monitoring that detects only control failure will therefore miss the entire period during which the population is becoming primed, and will register the problem only after intervention options have narrowed.</w:t>
      </w:r>
    </w:p>
    <w:p w14:paraId="679782F4" w14:textId="77777777" w:rsidR="00820B56" w:rsidRDefault="00000000" w:rsidP="00B403FD">
      <w:pPr>
        <w:spacing w:before="100" w:beforeAutospacing="1" w:after="100" w:afterAutospacing="1"/>
        <w:jc w:val="both"/>
      </w:pPr>
      <w:r>
        <w:t xml:space="preserve">The second consequence concerns dose. Incomplete </w:t>
      </w:r>
      <w:proofErr w:type="spellStart"/>
      <w:r>
        <w:t>recessivity</w:t>
      </w:r>
      <w:proofErr w:type="spellEnd"/>
      <w:r>
        <w:t xml:space="preserve"> means that heterozygotes are killed by adequate concentrations maintained for adequate periods and survive inadequate ones. Australian analysis of resistance trends in </w:t>
      </w:r>
      <w:r>
        <w:rPr>
          <w:i/>
          <w:iCs/>
        </w:rPr>
        <w:t xml:space="preserve">T. </w:t>
      </w:r>
      <w:proofErr w:type="spellStart"/>
      <w:r>
        <w:rPr>
          <w:i/>
          <w:iCs/>
        </w:rPr>
        <w:t>castaneum</w:t>
      </w:r>
      <w:proofErr w:type="spellEnd"/>
      <w:r>
        <w:t xml:space="preserve"> identified operational factors associated with the development of resistance, demonstrating that fumigation practice rather than fumigant chemistry determines the trajectory (Nayak et al., 2017). Where storage structures cannot hold a sealed atmosphere, phosphine fumigation systematically selects heterozygotes, and increasing the nominal dose does not compensate for a failure of containment. The evolutionary argument for investing in gas-tight structures is therefore stronger than the immediate efficacy argument, and this distinction has not been made prominent in Indian post-harvest guidance.</w:t>
      </w:r>
    </w:p>
    <w:p w14:paraId="3A87BD5B" w14:textId="77777777" w:rsidR="00820B56" w:rsidRDefault="00000000" w:rsidP="00B403FD">
      <w:pPr>
        <w:spacing w:before="100" w:beforeAutospacing="1" w:after="100" w:afterAutospacing="1"/>
        <w:jc w:val="both"/>
      </w:pPr>
      <w:r>
        <w:t xml:space="preserve">The third consequence concerns fitness. Australian work found no clearly detectable fitness cost associated with alleles at either locus in </w:t>
      </w:r>
      <w:r>
        <w:rPr>
          <w:i/>
          <w:iCs/>
        </w:rPr>
        <w:t xml:space="preserve">R. </w:t>
      </w:r>
      <w:proofErr w:type="spellStart"/>
      <w:r>
        <w:rPr>
          <w:i/>
          <w:iCs/>
        </w:rPr>
        <w:t>dominica</w:t>
      </w:r>
      <w:proofErr w:type="spellEnd"/>
      <w:r>
        <w:t xml:space="preserve"> (</w:t>
      </w:r>
      <w:proofErr w:type="spellStart"/>
      <w:r>
        <w:t>Schlipalius</w:t>
      </w:r>
      <w:proofErr w:type="spellEnd"/>
      <w:r>
        <w:t xml:space="preserve"> et al., 2008), whereas in </w:t>
      </w:r>
      <w:r>
        <w:rPr>
          <w:i/>
          <w:iCs/>
        </w:rPr>
        <w:t xml:space="preserve">T. </w:t>
      </w:r>
      <w:proofErr w:type="spellStart"/>
      <w:r>
        <w:rPr>
          <w:i/>
          <w:iCs/>
        </w:rPr>
        <w:t>castaneum</w:t>
      </w:r>
      <w:proofErr w:type="spellEnd"/>
      <w:r>
        <w:t xml:space="preserve"> the phenotypic fitness response was inconsistent and appeared to be masked by genetic background (Jagadeesan et al., 2012), and in </w:t>
      </w:r>
      <w:r>
        <w:rPr>
          <w:i/>
          <w:iCs/>
        </w:rPr>
        <w:t>S. oryzae</w:t>
      </w:r>
      <w:r>
        <w:t xml:space="preserve"> a fitness cost associated with the strongly resistant allele was observed in segregating populations without selection (Nguyen et al., 2016). The evidence is thus genuinely mixed across species, and the reasonable interpretation is that reversion cannot be relied upon as a management mechanism in any of them, while remaining possible in some. The absence of Indian </w:t>
      </w:r>
      <w:r>
        <w:lastRenderedPageBreak/>
        <w:t>estimates for any of the three species is a specific and remediable gap, particularly given the very high variant frequencies already documented in the south of the country.</w:t>
      </w:r>
    </w:p>
    <w:p w14:paraId="0478296C" w14:textId="77777777" w:rsidR="00820B56" w:rsidRDefault="00000000" w:rsidP="00B403FD">
      <w:pPr>
        <w:pStyle w:val="Heading2"/>
        <w:spacing w:before="100" w:beforeAutospacing="1" w:after="100" w:afterAutospacing="1"/>
      </w:pPr>
      <w:r>
        <w:rPr>
          <w:b/>
          <w:bCs/>
          <w:color w:val="000000"/>
          <w:sz w:val="23"/>
          <w:szCs w:val="23"/>
        </w:rPr>
        <w:t>7.3 Biochemical correlates and the limits of enzyme-based diagnosis</w:t>
      </w:r>
    </w:p>
    <w:p w14:paraId="10D9D427" w14:textId="77777777" w:rsidR="00820B56" w:rsidRDefault="00000000" w:rsidP="00B403FD">
      <w:pPr>
        <w:spacing w:before="100" w:beforeAutospacing="1" w:after="100" w:afterAutospacing="1"/>
        <w:jc w:val="both"/>
      </w:pPr>
      <w:r>
        <w:t xml:space="preserve">Because phosphine acts partly through oxidative stress, antioxidant enzyme activity has been proposed as a biochemical correlate of resistance. Survey of fifteen Indian </w:t>
      </w:r>
      <w:r>
        <w:rPr>
          <w:i/>
          <w:iCs/>
        </w:rPr>
        <w:t xml:space="preserve">R. </w:t>
      </w:r>
      <w:proofErr w:type="spellStart"/>
      <w:r>
        <w:rPr>
          <w:i/>
          <w:iCs/>
        </w:rPr>
        <w:t>dominica</w:t>
      </w:r>
      <w:proofErr w:type="spellEnd"/>
      <w:r>
        <w:t xml:space="preserve"> populations collected from grain storage found median lethal concentrations ranging from 0.024 to 1.991 milligrams per litre, corresponding to resistance ratios between 1.63 and 82.96 relative to susceptible checks, with higher resistance in northern than in north-eastern populations; peroxidase and superoxide dismutase activities were positively associated with resistance ratio while catalase activity was negatively associated (Ranjith et al., 2023). The study is valuable as an independent demonstration that strong resistance is widespread in Indian storage, and its geographical coverage exceeds that of most Indian field-crop resistance studies.</w:t>
      </w:r>
    </w:p>
    <w:p w14:paraId="0FAC8D53" w14:textId="77777777" w:rsidR="00820B56" w:rsidRDefault="00000000" w:rsidP="00B403FD">
      <w:pPr>
        <w:spacing w:before="100" w:beforeAutospacing="1" w:after="100" w:afterAutospacing="1"/>
        <w:jc w:val="both"/>
      </w:pPr>
      <w:r>
        <w:t>Its diagnostic implications should nonetheless be treated with caution. Correlations between enzyme activity and resistance ratio across populations do not establish that the enzymes cause resistance, and the divergent directions of association for peroxidase and catalase, both of which reduce hydrogen peroxide, indicate that the underlying physiology is not a simple gradient of antioxidant capacity. Enzyme assays also require live insects, laboratory infrastructure and comparison against contemporaneous susceptible material, and are therefore no more deployable than a discriminating-dose bioassay. Given that a validated allele-specific assay for the causal variant exists and has been applied in two species on two continents (Chen et al., 2015; Kaur et al., 2015), the case for adopting genotypic diagnosis in Indian storage surveillance is strong, and the biochemical work is better regarded as complementary physiology than as a diagnostic alternative.</w:t>
      </w:r>
    </w:p>
    <w:p w14:paraId="69B6629F" w14:textId="77777777" w:rsidR="00820B56" w:rsidRDefault="00000000" w:rsidP="00B403FD">
      <w:pPr>
        <w:spacing w:before="100" w:beforeAutospacing="1" w:after="100" w:afterAutospacing="1"/>
        <w:jc w:val="both"/>
      </w:pPr>
      <w:r>
        <w:t>Table 5 summarises the stored-grain evidence, including the specific variants identified, the populations in which they were characterised, the inheritance pattern where established, and the diagnostic status of each finding. The table demonstrates that stored cereals are the one Indian cereal sub-ecosystem in which a causal resistance variant has been identified, surveyed at population scale, and shown to be detectable by a simple molecular assay, and it therefore establishes the standard against which the field-crop evidence in Tables 3 and 4 should be judged.</w:t>
      </w:r>
    </w:p>
    <w:p w14:paraId="14F253D1" w14:textId="77777777" w:rsidR="00820B56" w:rsidRDefault="00000000" w:rsidP="00B403FD">
      <w:pPr>
        <w:spacing w:before="100" w:beforeAutospacing="1" w:after="100" w:afterAutospacing="1"/>
      </w:pPr>
      <w:r>
        <w:rPr>
          <w:b/>
          <w:bCs/>
          <w:sz w:val="20"/>
          <w:szCs w:val="20"/>
        </w:rPr>
        <w:t>Table 5. Genetic and phenotypic evidence for phosphine resistance in stored-grain beetles, with emphasis on Indian populations.</w:t>
      </w:r>
    </w:p>
    <w:tbl>
      <w:tblPr>
        <w:tblW w:w="9026" w:type="dxa"/>
        <w:tblBorders>
          <w:top w:val="single" w:sz="6" w:space="0" w:color="777777"/>
          <w:left w:val="single" w:sz="2" w:space="0" w:color="AAAAAA"/>
          <w:bottom w:val="single" w:sz="6" w:space="0" w:color="777777"/>
          <w:right w:val="single" w:sz="2" w:space="0" w:color="AAAAAA"/>
          <w:insideH w:val="single" w:sz="2" w:space="0" w:color="AAAAAA"/>
          <w:insideV w:val="single" w:sz="2" w:space="0" w:color="AAAAAA"/>
        </w:tblBorders>
        <w:tblCellMar>
          <w:left w:w="10" w:type="dxa"/>
          <w:right w:w="10" w:type="dxa"/>
        </w:tblCellMar>
        <w:tblLook w:val="04A0" w:firstRow="1" w:lastRow="0" w:firstColumn="1" w:lastColumn="0" w:noHBand="0" w:noVBand="1"/>
      </w:tblPr>
      <w:tblGrid>
        <w:gridCol w:w="1187"/>
        <w:gridCol w:w="1407"/>
        <w:gridCol w:w="1183"/>
        <w:gridCol w:w="1376"/>
        <w:gridCol w:w="1380"/>
        <w:gridCol w:w="1238"/>
        <w:gridCol w:w="1255"/>
      </w:tblGrid>
      <w:tr w:rsidR="00820B56" w14:paraId="14840D53" w14:textId="77777777">
        <w:trPr>
          <w:tblHeader/>
        </w:trPr>
        <w:tc>
          <w:tcPr>
            <w:tcW w:w="1200" w:type="dxa"/>
            <w:shd w:val="clear" w:color="auto" w:fill="E8E8E8"/>
            <w:tcMar>
              <w:top w:w="60" w:type="dxa"/>
              <w:left w:w="80" w:type="dxa"/>
              <w:bottom w:w="60" w:type="dxa"/>
              <w:right w:w="80" w:type="dxa"/>
            </w:tcMar>
          </w:tcPr>
          <w:p w14:paraId="2F863B8A" w14:textId="77777777" w:rsidR="00820B56" w:rsidRDefault="00000000" w:rsidP="00B403FD">
            <w:pPr>
              <w:spacing w:before="100" w:beforeAutospacing="1" w:after="100" w:afterAutospacing="1"/>
            </w:pPr>
            <w:r>
              <w:rPr>
                <w:b/>
                <w:bCs/>
                <w:sz w:val="17"/>
                <w:szCs w:val="17"/>
              </w:rPr>
              <w:t>Species</w:t>
            </w:r>
          </w:p>
        </w:tc>
        <w:tc>
          <w:tcPr>
            <w:tcW w:w="1300" w:type="dxa"/>
            <w:shd w:val="clear" w:color="auto" w:fill="E8E8E8"/>
            <w:tcMar>
              <w:top w:w="60" w:type="dxa"/>
              <w:left w:w="80" w:type="dxa"/>
              <w:bottom w:w="60" w:type="dxa"/>
              <w:right w:w="80" w:type="dxa"/>
            </w:tcMar>
          </w:tcPr>
          <w:p w14:paraId="4BA6E2F7" w14:textId="77777777" w:rsidR="00820B56" w:rsidRDefault="00000000" w:rsidP="00B403FD">
            <w:pPr>
              <w:spacing w:before="100" w:beforeAutospacing="1" w:after="100" w:afterAutospacing="1"/>
            </w:pPr>
            <w:r>
              <w:rPr>
                <w:b/>
                <w:bCs/>
                <w:sz w:val="17"/>
                <w:szCs w:val="17"/>
              </w:rPr>
              <w:t>Locus or variant</w:t>
            </w:r>
          </w:p>
        </w:tc>
        <w:tc>
          <w:tcPr>
            <w:tcW w:w="1200" w:type="dxa"/>
            <w:shd w:val="clear" w:color="auto" w:fill="E8E8E8"/>
            <w:tcMar>
              <w:top w:w="60" w:type="dxa"/>
              <w:left w:w="80" w:type="dxa"/>
              <w:bottom w:w="60" w:type="dxa"/>
              <w:right w:w="80" w:type="dxa"/>
            </w:tcMar>
          </w:tcPr>
          <w:p w14:paraId="5C5E02A8" w14:textId="77777777" w:rsidR="00820B56" w:rsidRDefault="00000000" w:rsidP="00B403FD">
            <w:pPr>
              <w:spacing w:before="100" w:beforeAutospacing="1" w:after="100" w:afterAutospacing="1"/>
            </w:pPr>
            <w:r>
              <w:rPr>
                <w:b/>
                <w:bCs/>
                <w:sz w:val="17"/>
                <w:szCs w:val="17"/>
              </w:rPr>
              <w:t>Population origin</w:t>
            </w:r>
          </w:p>
        </w:tc>
        <w:tc>
          <w:tcPr>
            <w:tcW w:w="1400" w:type="dxa"/>
            <w:shd w:val="clear" w:color="auto" w:fill="E8E8E8"/>
            <w:tcMar>
              <w:top w:w="60" w:type="dxa"/>
              <w:left w:w="80" w:type="dxa"/>
              <w:bottom w:w="60" w:type="dxa"/>
              <w:right w:w="80" w:type="dxa"/>
            </w:tcMar>
          </w:tcPr>
          <w:p w14:paraId="1D98DA93" w14:textId="77777777" w:rsidR="00820B56" w:rsidRDefault="00000000" w:rsidP="00B403FD">
            <w:pPr>
              <w:spacing w:before="100" w:beforeAutospacing="1" w:after="100" w:afterAutospacing="1"/>
            </w:pPr>
            <w:r>
              <w:rPr>
                <w:b/>
                <w:bCs/>
                <w:sz w:val="17"/>
                <w:szCs w:val="17"/>
              </w:rPr>
              <w:t>Inheritance and interaction</w:t>
            </w:r>
          </w:p>
        </w:tc>
        <w:tc>
          <w:tcPr>
            <w:tcW w:w="1400" w:type="dxa"/>
            <w:shd w:val="clear" w:color="auto" w:fill="E8E8E8"/>
            <w:tcMar>
              <w:top w:w="60" w:type="dxa"/>
              <w:left w:w="80" w:type="dxa"/>
              <w:bottom w:w="60" w:type="dxa"/>
              <w:right w:w="80" w:type="dxa"/>
            </w:tcMar>
          </w:tcPr>
          <w:p w14:paraId="0C05F054" w14:textId="77777777" w:rsidR="00820B56" w:rsidRDefault="00000000" w:rsidP="00B403FD">
            <w:pPr>
              <w:spacing w:before="100" w:beforeAutospacing="1" w:after="100" w:afterAutospacing="1"/>
            </w:pPr>
            <w:r>
              <w:rPr>
                <w:b/>
                <w:bCs/>
                <w:sz w:val="17"/>
                <w:szCs w:val="17"/>
              </w:rPr>
              <w:t>Reported resistance magnitude or frequency</w:t>
            </w:r>
          </w:p>
        </w:tc>
        <w:tc>
          <w:tcPr>
            <w:tcW w:w="1250" w:type="dxa"/>
            <w:shd w:val="clear" w:color="auto" w:fill="E8E8E8"/>
            <w:tcMar>
              <w:top w:w="60" w:type="dxa"/>
              <w:left w:w="80" w:type="dxa"/>
              <w:bottom w:w="60" w:type="dxa"/>
              <w:right w:w="80" w:type="dxa"/>
            </w:tcMar>
          </w:tcPr>
          <w:p w14:paraId="5AE17F76" w14:textId="77777777" w:rsidR="00820B56" w:rsidRDefault="00000000" w:rsidP="00B403FD">
            <w:pPr>
              <w:spacing w:before="100" w:beforeAutospacing="1" w:after="100" w:afterAutospacing="1"/>
            </w:pPr>
            <w:r>
              <w:rPr>
                <w:b/>
                <w:bCs/>
                <w:sz w:val="17"/>
                <w:szCs w:val="17"/>
              </w:rPr>
              <w:t>Diagnostic status</w:t>
            </w:r>
          </w:p>
        </w:tc>
        <w:tc>
          <w:tcPr>
            <w:tcW w:w="1276" w:type="dxa"/>
            <w:shd w:val="clear" w:color="auto" w:fill="E8E8E8"/>
            <w:tcMar>
              <w:top w:w="60" w:type="dxa"/>
              <w:left w:w="80" w:type="dxa"/>
              <w:bottom w:w="60" w:type="dxa"/>
              <w:right w:w="80" w:type="dxa"/>
            </w:tcMar>
          </w:tcPr>
          <w:p w14:paraId="17E3AD82" w14:textId="77777777" w:rsidR="00820B56" w:rsidRDefault="00000000" w:rsidP="00B403FD">
            <w:pPr>
              <w:spacing w:before="100" w:beforeAutospacing="1" w:after="100" w:afterAutospacing="1"/>
            </w:pPr>
            <w:r>
              <w:rPr>
                <w:b/>
                <w:bCs/>
                <w:sz w:val="17"/>
                <w:szCs w:val="17"/>
              </w:rPr>
              <w:t>Supporting references</w:t>
            </w:r>
          </w:p>
        </w:tc>
      </w:tr>
      <w:tr w:rsidR="00820B56" w14:paraId="5F0286B4" w14:textId="77777777">
        <w:tc>
          <w:tcPr>
            <w:tcW w:w="1200" w:type="dxa"/>
            <w:tcMar>
              <w:top w:w="60" w:type="dxa"/>
              <w:left w:w="80" w:type="dxa"/>
              <w:bottom w:w="60" w:type="dxa"/>
              <w:right w:w="80" w:type="dxa"/>
            </w:tcMar>
          </w:tcPr>
          <w:p w14:paraId="28FFEC5D" w14:textId="77777777" w:rsidR="00820B56" w:rsidRDefault="00000000" w:rsidP="00B403FD">
            <w:pPr>
              <w:spacing w:before="100" w:beforeAutospacing="1" w:after="100" w:afterAutospacing="1"/>
            </w:pP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7D1B8300" w14:textId="77777777" w:rsidR="00820B56" w:rsidRDefault="00000000" w:rsidP="00B403FD">
            <w:pPr>
              <w:spacing w:before="100" w:beforeAutospacing="1" w:after="100" w:afterAutospacing="1"/>
            </w:pPr>
            <w:r>
              <w:rPr>
                <w:i/>
                <w:iCs/>
                <w:sz w:val="17"/>
                <w:szCs w:val="17"/>
              </w:rPr>
              <w:t>rph1</w:t>
            </w:r>
            <w:r>
              <w:rPr>
                <w:sz w:val="17"/>
                <w:szCs w:val="17"/>
              </w:rPr>
              <w:t xml:space="preserve"> and </w:t>
            </w:r>
            <w:r>
              <w:rPr>
                <w:i/>
                <w:iCs/>
                <w:sz w:val="17"/>
                <w:szCs w:val="17"/>
              </w:rPr>
              <w:t>rph2</w:t>
            </w:r>
            <w:r>
              <w:rPr>
                <w:sz w:val="17"/>
                <w:szCs w:val="17"/>
              </w:rPr>
              <w:t xml:space="preserve"> acting synergistically</w:t>
            </w:r>
          </w:p>
        </w:tc>
        <w:tc>
          <w:tcPr>
            <w:tcW w:w="1200" w:type="dxa"/>
            <w:tcMar>
              <w:top w:w="60" w:type="dxa"/>
              <w:left w:w="80" w:type="dxa"/>
              <w:bottom w:w="60" w:type="dxa"/>
              <w:right w:w="80" w:type="dxa"/>
            </w:tcMar>
          </w:tcPr>
          <w:p w14:paraId="237D8153" w14:textId="77777777" w:rsidR="00820B56" w:rsidRDefault="00000000" w:rsidP="00B403FD">
            <w:pPr>
              <w:spacing w:before="100" w:beforeAutospacing="1" w:after="100" w:afterAutospacing="1"/>
            </w:pPr>
            <w:r>
              <w:rPr>
                <w:sz w:val="17"/>
                <w:szCs w:val="17"/>
              </w:rPr>
              <w:t>Australia</w:t>
            </w:r>
          </w:p>
        </w:tc>
        <w:tc>
          <w:tcPr>
            <w:tcW w:w="1400" w:type="dxa"/>
            <w:tcMar>
              <w:top w:w="60" w:type="dxa"/>
              <w:left w:w="80" w:type="dxa"/>
              <w:bottom w:w="60" w:type="dxa"/>
              <w:right w:w="80" w:type="dxa"/>
            </w:tcMar>
          </w:tcPr>
          <w:p w14:paraId="20D71D67" w14:textId="77777777" w:rsidR="00820B56" w:rsidRDefault="00000000" w:rsidP="00B403FD">
            <w:pPr>
              <w:spacing w:before="100" w:beforeAutospacing="1" w:after="100" w:afterAutospacing="1"/>
            </w:pPr>
            <w:r>
              <w:rPr>
                <w:sz w:val="17"/>
                <w:szCs w:val="17"/>
              </w:rPr>
              <w:t xml:space="preserve">Stepwise acquisition; </w:t>
            </w:r>
            <w:r>
              <w:rPr>
                <w:i/>
                <w:iCs/>
                <w:sz w:val="17"/>
                <w:szCs w:val="17"/>
              </w:rPr>
              <w:t>rph1</w:t>
            </w:r>
            <w:r>
              <w:rPr>
                <w:sz w:val="17"/>
                <w:szCs w:val="17"/>
              </w:rPr>
              <w:t xml:space="preserve"> first, </w:t>
            </w:r>
            <w:r>
              <w:rPr>
                <w:i/>
                <w:iCs/>
                <w:sz w:val="17"/>
                <w:szCs w:val="17"/>
              </w:rPr>
              <w:t>rph2</w:t>
            </w:r>
            <w:r>
              <w:rPr>
                <w:sz w:val="17"/>
                <w:szCs w:val="17"/>
              </w:rPr>
              <w:t xml:space="preserve"> second; strong phenotype only in combination</w:t>
            </w:r>
          </w:p>
        </w:tc>
        <w:tc>
          <w:tcPr>
            <w:tcW w:w="1400" w:type="dxa"/>
            <w:tcMar>
              <w:top w:w="60" w:type="dxa"/>
              <w:left w:w="80" w:type="dxa"/>
              <w:bottom w:w="60" w:type="dxa"/>
              <w:right w:w="80" w:type="dxa"/>
            </w:tcMar>
          </w:tcPr>
          <w:p w14:paraId="778FC07F" w14:textId="77777777" w:rsidR="00820B56" w:rsidRDefault="00000000" w:rsidP="00B403FD">
            <w:pPr>
              <w:spacing w:before="100" w:beforeAutospacing="1" w:after="100" w:afterAutospacing="1"/>
            </w:pPr>
            <w:r>
              <w:rPr>
                <w:sz w:val="17"/>
                <w:szCs w:val="17"/>
              </w:rPr>
              <w:t>Strong resistance in independently derived field strains</w:t>
            </w:r>
          </w:p>
        </w:tc>
        <w:tc>
          <w:tcPr>
            <w:tcW w:w="1250" w:type="dxa"/>
            <w:tcMar>
              <w:top w:w="60" w:type="dxa"/>
              <w:left w:w="80" w:type="dxa"/>
              <w:bottom w:w="60" w:type="dxa"/>
              <w:right w:w="80" w:type="dxa"/>
            </w:tcMar>
          </w:tcPr>
          <w:p w14:paraId="60D8BE4C" w14:textId="77777777" w:rsidR="00820B56" w:rsidRDefault="00000000" w:rsidP="00B403FD">
            <w:pPr>
              <w:spacing w:before="100" w:beforeAutospacing="1" w:after="100" w:afterAutospacing="1"/>
            </w:pPr>
            <w:r>
              <w:rPr>
                <w:sz w:val="17"/>
                <w:szCs w:val="17"/>
              </w:rPr>
              <w:t>Genetic mapping; no field assay in original work</w:t>
            </w:r>
          </w:p>
        </w:tc>
        <w:tc>
          <w:tcPr>
            <w:tcW w:w="1276" w:type="dxa"/>
            <w:tcMar>
              <w:top w:w="60" w:type="dxa"/>
              <w:left w:w="80" w:type="dxa"/>
              <w:bottom w:w="60" w:type="dxa"/>
              <w:right w:w="80" w:type="dxa"/>
            </w:tcMar>
          </w:tcPr>
          <w:p w14:paraId="760954AE" w14:textId="77777777" w:rsidR="00820B56" w:rsidRDefault="00000000" w:rsidP="00B403FD">
            <w:pPr>
              <w:spacing w:before="100" w:beforeAutospacing="1" w:after="100" w:afterAutospacing="1"/>
            </w:pPr>
            <w:r>
              <w:rPr>
                <w:sz w:val="17"/>
                <w:szCs w:val="17"/>
              </w:rPr>
              <w:t xml:space="preserve">Mau et al. (2012); </w:t>
            </w:r>
            <w:proofErr w:type="spellStart"/>
            <w:r>
              <w:rPr>
                <w:sz w:val="17"/>
                <w:szCs w:val="17"/>
              </w:rPr>
              <w:t>Schlipalius</w:t>
            </w:r>
            <w:proofErr w:type="spellEnd"/>
            <w:r>
              <w:rPr>
                <w:sz w:val="17"/>
                <w:szCs w:val="17"/>
              </w:rPr>
              <w:t xml:space="preserve"> et al. (2008)</w:t>
            </w:r>
          </w:p>
        </w:tc>
      </w:tr>
      <w:tr w:rsidR="00820B56" w14:paraId="3027C710" w14:textId="77777777">
        <w:tc>
          <w:tcPr>
            <w:tcW w:w="1200" w:type="dxa"/>
            <w:tcMar>
              <w:top w:w="60" w:type="dxa"/>
              <w:left w:w="80" w:type="dxa"/>
              <w:bottom w:w="60" w:type="dxa"/>
              <w:right w:w="80" w:type="dxa"/>
            </w:tcMar>
          </w:tcPr>
          <w:p w14:paraId="7EF68C04" w14:textId="77777777" w:rsidR="00820B56" w:rsidRDefault="00000000" w:rsidP="00B403FD">
            <w:pPr>
              <w:spacing w:before="100" w:beforeAutospacing="1" w:after="100" w:afterAutospacing="1"/>
            </w:pP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5366737B" w14:textId="77777777" w:rsidR="00820B56" w:rsidRDefault="00000000" w:rsidP="00B403FD">
            <w:pPr>
              <w:spacing w:before="100" w:beforeAutospacing="1" w:after="100" w:afterAutospacing="1"/>
            </w:pPr>
            <w:r>
              <w:rPr>
                <w:sz w:val="17"/>
                <w:szCs w:val="17"/>
              </w:rPr>
              <w:t>Dihydrolipoamide dehydrogenase P49S</w:t>
            </w:r>
          </w:p>
        </w:tc>
        <w:tc>
          <w:tcPr>
            <w:tcW w:w="1200" w:type="dxa"/>
            <w:tcMar>
              <w:top w:w="60" w:type="dxa"/>
              <w:left w:w="80" w:type="dxa"/>
              <w:bottom w:w="60" w:type="dxa"/>
              <w:right w:w="80" w:type="dxa"/>
            </w:tcMar>
          </w:tcPr>
          <w:p w14:paraId="1C69239B" w14:textId="77777777" w:rsidR="00820B56" w:rsidRDefault="00000000" w:rsidP="00B403FD">
            <w:pPr>
              <w:spacing w:before="100" w:beforeAutospacing="1" w:after="100" w:afterAutospacing="1"/>
            </w:pPr>
            <w:r>
              <w:rPr>
                <w:sz w:val="17"/>
                <w:szCs w:val="17"/>
              </w:rPr>
              <w:t>Southern India</w:t>
            </w:r>
          </w:p>
        </w:tc>
        <w:tc>
          <w:tcPr>
            <w:tcW w:w="1400" w:type="dxa"/>
            <w:tcMar>
              <w:top w:w="60" w:type="dxa"/>
              <w:left w:w="80" w:type="dxa"/>
              <w:bottom w:w="60" w:type="dxa"/>
              <w:right w:w="80" w:type="dxa"/>
            </w:tcMar>
          </w:tcPr>
          <w:p w14:paraId="0887B6B2" w14:textId="77777777" w:rsidR="00820B56" w:rsidRDefault="00000000" w:rsidP="00B403FD">
            <w:pPr>
              <w:spacing w:before="100" w:beforeAutospacing="1" w:after="100" w:afterAutospacing="1"/>
            </w:pPr>
            <w:r>
              <w:rPr>
                <w:sz w:val="17"/>
                <w:szCs w:val="17"/>
              </w:rPr>
              <w:t xml:space="preserve">Equivalent to </w:t>
            </w:r>
            <w:r>
              <w:rPr>
                <w:i/>
                <w:iCs/>
                <w:sz w:val="17"/>
                <w:szCs w:val="17"/>
              </w:rPr>
              <w:t>rph2</w:t>
            </w:r>
            <w:r>
              <w:rPr>
                <w:sz w:val="17"/>
                <w:szCs w:val="17"/>
              </w:rPr>
              <w:t xml:space="preserve"> variant</w:t>
            </w:r>
          </w:p>
        </w:tc>
        <w:tc>
          <w:tcPr>
            <w:tcW w:w="1400" w:type="dxa"/>
            <w:tcMar>
              <w:top w:w="60" w:type="dxa"/>
              <w:left w:w="80" w:type="dxa"/>
              <w:bottom w:w="60" w:type="dxa"/>
              <w:right w:w="80" w:type="dxa"/>
            </w:tcMar>
          </w:tcPr>
          <w:p w14:paraId="597885C8" w14:textId="77777777" w:rsidR="00820B56" w:rsidRDefault="00000000" w:rsidP="00B403FD">
            <w:pPr>
              <w:spacing w:before="100" w:beforeAutospacing="1" w:after="100" w:afterAutospacing="1"/>
            </w:pPr>
            <w:r>
              <w:rPr>
                <w:sz w:val="17"/>
                <w:szCs w:val="17"/>
              </w:rPr>
              <w:t>Up to 94 per cent of individuals in Tamil Nadu</w:t>
            </w:r>
          </w:p>
        </w:tc>
        <w:tc>
          <w:tcPr>
            <w:tcW w:w="1250" w:type="dxa"/>
            <w:tcMar>
              <w:top w:w="60" w:type="dxa"/>
              <w:left w:w="80" w:type="dxa"/>
              <w:bottom w:w="60" w:type="dxa"/>
              <w:right w:w="80" w:type="dxa"/>
            </w:tcMar>
          </w:tcPr>
          <w:p w14:paraId="7FB12F8E" w14:textId="77777777" w:rsidR="00820B56" w:rsidRDefault="00000000" w:rsidP="00B403FD">
            <w:pPr>
              <w:spacing w:before="100" w:beforeAutospacing="1" w:after="100" w:afterAutospacing="1"/>
            </w:pPr>
            <w:r>
              <w:rPr>
                <w:sz w:val="17"/>
                <w:szCs w:val="17"/>
              </w:rPr>
              <w:t>Sequence-based detection demonstrated</w:t>
            </w:r>
          </w:p>
        </w:tc>
        <w:tc>
          <w:tcPr>
            <w:tcW w:w="1276" w:type="dxa"/>
            <w:tcMar>
              <w:top w:w="60" w:type="dxa"/>
              <w:left w:w="80" w:type="dxa"/>
              <w:bottom w:w="60" w:type="dxa"/>
              <w:right w:w="80" w:type="dxa"/>
            </w:tcMar>
          </w:tcPr>
          <w:p w14:paraId="4B7A5BFD" w14:textId="77777777" w:rsidR="00820B56" w:rsidRDefault="00000000" w:rsidP="00B403FD">
            <w:pPr>
              <w:spacing w:before="100" w:beforeAutospacing="1" w:after="100" w:afterAutospacing="1"/>
            </w:pPr>
            <w:r>
              <w:rPr>
                <w:sz w:val="17"/>
                <w:szCs w:val="17"/>
              </w:rPr>
              <w:t>Kaur et al. (2015)</w:t>
            </w:r>
          </w:p>
        </w:tc>
      </w:tr>
      <w:tr w:rsidR="00820B56" w14:paraId="732CFE2B" w14:textId="77777777">
        <w:tc>
          <w:tcPr>
            <w:tcW w:w="1200" w:type="dxa"/>
            <w:tcMar>
              <w:top w:w="60" w:type="dxa"/>
              <w:left w:w="80" w:type="dxa"/>
              <w:bottom w:w="60" w:type="dxa"/>
              <w:right w:w="80" w:type="dxa"/>
            </w:tcMar>
          </w:tcPr>
          <w:p w14:paraId="010C759A" w14:textId="77777777" w:rsidR="00820B56" w:rsidRDefault="00000000" w:rsidP="00B403FD">
            <w:pPr>
              <w:spacing w:before="100" w:beforeAutospacing="1" w:after="100" w:afterAutospacing="1"/>
            </w:pPr>
            <w:r>
              <w:rPr>
                <w:i/>
                <w:iCs/>
                <w:sz w:val="17"/>
                <w:szCs w:val="17"/>
              </w:rPr>
              <w:t xml:space="preserve">Tribolium </w:t>
            </w:r>
            <w:proofErr w:type="spellStart"/>
            <w:r>
              <w:rPr>
                <w:i/>
                <w:iCs/>
                <w:sz w:val="17"/>
                <w:szCs w:val="17"/>
              </w:rPr>
              <w:t>castaneum</w:t>
            </w:r>
            <w:proofErr w:type="spellEnd"/>
          </w:p>
        </w:tc>
        <w:tc>
          <w:tcPr>
            <w:tcW w:w="1300" w:type="dxa"/>
            <w:tcMar>
              <w:top w:w="60" w:type="dxa"/>
              <w:left w:w="80" w:type="dxa"/>
              <w:bottom w:w="60" w:type="dxa"/>
              <w:right w:w="80" w:type="dxa"/>
            </w:tcMar>
          </w:tcPr>
          <w:p w14:paraId="56083EAE" w14:textId="77777777" w:rsidR="00820B56" w:rsidRDefault="00000000" w:rsidP="00B403FD">
            <w:pPr>
              <w:spacing w:before="100" w:beforeAutospacing="1" w:after="100" w:afterAutospacing="1"/>
            </w:pPr>
            <w:r>
              <w:rPr>
                <w:sz w:val="17"/>
                <w:szCs w:val="17"/>
              </w:rPr>
              <w:t>Dihydrolipoamide dehydrogenase P45S</w:t>
            </w:r>
          </w:p>
        </w:tc>
        <w:tc>
          <w:tcPr>
            <w:tcW w:w="1200" w:type="dxa"/>
            <w:tcMar>
              <w:top w:w="60" w:type="dxa"/>
              <w:left w:w="80" w:type="dxa"/>
              <w:bottom w:w="60" w:type="dxa"/>
              <w:right w:w="80" w:type="dxa"/>
            </w:tcMar>
          </w:tcPr>
          <w:p w14:paraId="155979B9" w14:textId="77777777" w:rsidR="00820B56" w:rsidRDefault="00000000" w:rsidP="00B403FD">
            <w:pPr>
              <w:spacing w:before="100" w:beforeAutospacing="1" w:after="100" w:afterAutospacing="1"/>
            </w:pPr>
            <w:r>
              <w:rPr>
                <w:sz w:val="17"/>
                <w:szCs w:val="17"/>
              </w:rPr>
              <w:t>Southern India</w:t>
            </w:r>
          </w:p>
        </w:tc>
        <w:tc>
          <w:tcPr>
            <w:tcW w:w="1400" w:type="dxa"/>
            <w:tcMar>
              <w:top w:w="60" w:type="dxa"/>
              <w:left w:w="80" w:type="dxa"/>
              <w:bottom w:w="60" w:type="dxa"/>
              <w:right w:w="80" w:type="dxa"/>
            </w:tcMar>
          </w:tcPr>
          <w:p w14:paraId="249F6B5A" w14:textId="77777777" w:rsidR="00820B56" w:rsidRDefault="00000000" w:rsidP="00B403FD">
            <w:pPr>
              <w:spacing w:before="100" w:beforeAutospacing="1" w:after="100" w:afterAutospacing="1"/>
            </w:pPr>
            <w:r>
              <w:rPr>
                <w:sz w:val="17"/>
                <w:szCs w:val="17"/>
              </w:rPr>
              <w:t xml:space="preserve">Equivalent to </w:t>
            </w:r>
            <w:r>
              <w:rPr>
                <w:i/>
                <w:iCs/>
                <w:sz w:val="17"/>
                <w:szCs w:val="17"/>
              </w:rPr>
              <w:t>rph2</w:t>
            </w:r>
            <w:r>
              <w:rPr>
                <w:sz w:val="17"/>
                <w:szCs w:val="17"/>
              </w:rPr>
              <w:t xml:space="preserve"> variant</w:t>
            </w:r>
          </w:p>
        </w:tc>
        <w:tc>
          <w:tcPr>
            <w:tcW w:w="1400" w:type="dxa"/>
            <w:tcMar>
              <w:top w:w="60" w:type="dxa"/>
              <w:left w:w="80" w:type="dxa"/>
              <w:bottom w:w="60" w:type="dxa"/>
              <w:right w:w="80" w:type="dxa"/>
            </w:tcMar>
          </w:tcPr>
          <w:p w14:paraId="12E61791" w14:textId="77777777" w:rsidR="00820B56" w:rsidRDefault="00000000" w:rsidP="00B403FD">
            <w:pPr>
              <w:spacing w:before="100" w:beforeAutospacing="1" w:after="100" w:afterAutospacing="1"/>
            </w:pPr>
            <w:r>
              <w:rPr>
                <w:sz w:val="17"/>
                <w:szCs w:val="17"/>
              </w:rPr>
              <w:t>Up to 97 per cent of individuals in Tamil Nadu</w:t>
            </w:r>
          </w:p>
        </w:tc>
        <w:tc>
          <w:tcPr>
            <w:tcW w:w="1250" w:type="dxa"/>
            <w:tcMar>
              <w:top w:w="60" w:type="dxa"/>
              <w:left w:w="80" w:type="dxa"/>
              <w:bottom w:w="60" w:type="dxa"/>
              <w:right w:w="80" w:type="dxa"/>
            </w:tcMar>
          </w:tcPr>
          <w:p w14:paraId="2022CE2D" w14:textId="77777777" w:rsidR="00820B56" w:rsidRDefault="00000000" w:rsidP="00B403FD">
            <w:pPr>
              <w:spacing w:before="100" w:beforeAutospacing="1" w:after="100" w:afterAutospacing="1"/>
            </w:pPr>
            <w:r>
              <w:rPr>
                <w:sz w:val="17"/>
                <w:szCs w:val="17"/>
              </w:rPr>
              <w:t>Sequence-based detection demonstrated</w:t>
            </w:r>
          </w:p>
        </w:tc>
        <w:tc>
          <w:tcPr>
            <w:tcW w:w="1276" w:type="dxa"/>
            <w:tcMar>
              <w:top w:w="60" w:type="dxa"/>
              <w:left w:w="80" w:type="dxa"/>
              <w:bottom w:w="60" w:type="dxa"/>
              <w:right w:w="80" w:type="dxa"/>
            </w:tcMar>
          </w:tcPr>
          <w:p w14:paraId="724C462C" w14:textId="77777777" w:rsidR="00820B56" w:rsidRDefault="00000000" w:rsidP="00B403FD">
            <w:pPr>
              <w:spacing w:before="100" w:beforeAutospacing="1" w:after="100" w:afterAutospacing="1"/>
            </w:pPr>
            <w:r>
              <w:rPr>
                <w:sz w:val="17"/>
                <w:szCs w:val="17"/>
              </w:rPr>
              <w:t>Kaur et al. (2015)</w:t>
            </w:r>
          </w:p>
        </w:tc>
      </w:tr>
      <w:tr w:rsidR="00820B56" w14:paraId="2AC68B23" w14:textId="77777777">
        <w:tc>
          <w:tcPr>
            <w:tcW w:w="1200" w:type="dxa"/>
            <w:tcMar>
              <w:top w:w="60" w:type="dxa"/>
              <w:left w:w="80" w:type="dxa"/>
              <w:bottom w:w="60" w:type="dxa"/>
              <w:right w:w="80" w:type="dxa"/>
            </w:tcMar>
          </w:tcPr>
          <w:p w14:paraId="201F9EF3" w14:textId="77777777" w:rsidR="00820B56" w:rsidRDefault="00000000" w:rsidP="00B403FD">
            <w:pPr>
              <w:spacing w:before="100" w:beforeAutospacing="1" w:after="100" w:afterAutospacing="1"/>
            </w:pPr>
            <w:r>
              <w:rPr>
                <w:i/>
                <w:iCs/>
                <w:sz w:val="17"/>
                <w:szCs w:val="17"/>
              </w:rPr>
              <w:t xml:space="preserve">Tribolium </w:t>
            </w:r>
            <w:proofErr w:type="spellStart"/>
            <w:r>
              <w:rPr>
                <w:i/>
                <w:iCs/>
                <w:sz w:val="17"/>
                <w:szCs w:val="17"/>
              </w:rPr>
              <w:t>castaneum</w:t>
            </w:r>
            <w:proofErr w:type="spellEnd"/>
          </w:p>
        </w:tc>
        <w:tc>
          <w:tcPr>
            <w:tcW w:w="1300" w:type="dxa"/>
            <w:tcMar>
              <w:top w:w="60" w:type="dxa"/>
              <w:left w:w="80" w:type="dxa"/>
              <w:bottom w:w="60" w:type="dxa"/>
              <w:right w:w="80" w:type="dxa"/>
            </w:tcMar>
          </w:tcPr>
          <w:p w14:paraId="78219655" w14:textId="77777777" w:rsidR="00820B56" w:rsidRDefault="00000000" w:rsidP="00B403FD">
            <w:pPr>
              <w:spacing w:before="100" w:beforeAutospacing="1" w:after="100" w:afterAutospacing="1"/>
            </w:pPr>
            <w:r>
              <w:rPr>
                <w:sz w:val="17"/>
                <w:szCs w:val="17"/>
              </w:rPr>
              <w:t>Two major genes with synergistic epistasis</w:t>
            </w:r>
          </w:p>
        </w:tc>
        <w:tc>
          <w:tcPr>
            <w:tcW w:w="1200" w:type="dxa"/>
            <w:tcMar>
              <w:top w:w="60" w:type="dxa"/>
              <w:left w:w="80" w:type="dxa"/>
              <w:bottom w:w="60" w:type="dxa"/>
              <w:right w:w="80" w:type="dxa"/>
            </w:tcMar>
          </w:tcPr>
          <w:p w14:paraId="3B9134B7" w14:textId="77777777" w:rsidR="00820B56" w:rsidRDefault="00000000" w:rsidP="00B403FD">
            <w:pPr>
              <w:spacing w:before="100" w:beforeAutospacing="1" w:after="100" w:afterAutospacing="1"/>
            </w:pPr>
            <w:r>
              <w:rPr>
                <w:sz w:val="17"/>
                <w:szCs w:val="17"/>
              </w:rPr>
              <w:t>Australia</w:t>
            </w:r>
          </w:p>
        </w:tc>
        <w:tc>
          <w:tcPr>
            <w:tcW w:w="1400" w:type="dxa"/>
            <w:tcMar>
              <w:top w:w="60" w:type="dxa"/>
              <w:left w:w="80" w:type="dxa"/>
              <w:bottom w:w="60" w:type="dxa"/>
              <w:right w:w="80" w:type="dxa"/>
            </w:tcMar>
          </w:tcPr>
          <w:p w14:paraId="4CA01171" w14:textId="77777777" w:rsidR="00820B56" w:rsidRDefault="00000000" w:rsidP="00B403FD">
            <w:pPr>
              <w:spacing w:before="100" w:beforeAutospacing="1" w:after="100" w:afterAutospacing="1"/>
            </w:pPr>
            <w:r>
              <w:rPr>
                <w:sz w:val="17"/>
                <w:szCs w:val="17"/>
              </w:rPr>
              <w:t>Incompletely recessive, autosomal, not sex-linked</w:t>
            </w:r>
          </w:p>
        </w:tc>
        <w:tc>
          <w:tcPr>
            <w:tcW w:w="1400" w:type="dxa"/>
            <w:tcMar>
              <w:top w:w="60" w:type="dxa"/>
              <w:left w:w="80" w:type="dxa"/>
              <w:bottom w:w="60" w:type="dxa"/>
              <w:right w:w="80" w:type="dxa"/>
            </w:tcMar>
          </w:tcPr>
          <w:p w14:paraId="33CA0866" w14:textId="77777777" w:rsidR="00820B56" w:rsidRDefault="00000000" w:rsidP="00B403FD">
            <w:pPr>
              <w:spacing w:before="100" w:beforeAutospacing="1" w:after="100" w:afterAutospacing="1"/>
            </w:pPr>
            <w:r>
              <w:rPr>
                <w:sz w:val="17"/>
                <w:szCs w:val="17"/>
              </w:rPr>
              <w:t>Weak strain 3.2-fold; strong strain 431-fold</w:t>
            </w:r>
          </w:p>
        </w:tc>
        <w:tc>
          <w:tcPr>
            <w:tcW w:w="1250" w:type="dxa"/>
            <w:tcMar>
              <w:top w:w="60" w:type="dxa"/>
              <w:left w:w="80" w:type="dxa"/>
              <w:bottom w:w="60" w:type="dxa"/>
              <w:right w:w="80" w:type="dxa"/>
            </w:tcMar>
          </w:tcPr>
          <w:p w14:paraId="68B0FD8E" w14:textId="77777777" w:rsidR="00820B56" w:rsidRDefault="00000000" w:rsidP="00B403FD">
            <w:pPr>
              <w:spacing w:before="100" w:beforeAutospacing="1" w:after="100" w:afterAutospacing="1"/>
            </w:pPr>
            <w:r>
              <w:rPr>
                <w:sz w:val="17"/>
                <w:szCs w:val="17"/>
              </w:rPr>
              <w:t>Genetic analysis by crossing</w:t>
            </w:r>
          </w:p>
        </w:tc>
        <w:tc>
          <w:tcPr>
            <w:tcW w:w="1276" w:type="dxa"/>
            <w:tcMar>
              <w:top w:w="60" w:type="dxa"/>
              <w:left w:w="80" w:type="dxa"/>
              <w:bottom w:w="60" w:type="dxa"/>
              <w:right w:w="80" w:type="dxa"/>
            </w:tcMar>
          </w:tcPr>
          <w:p w14:paraId="68FC1BE2" w14:textId="77777777" w:rsidR="00820B56" w:rsidRDefault="00000000" w:rsidP="00B403FD">
            <w:pPr>
              <w:spacing w:before="100" w:beforeAutospacing="1" w:after="100" w:afterAutospacing="1"/>
            </w:pPr>
            <w:r>
              <w:rPr>
                <w:sz w:val="17"/>
                <w:szCs w:val="17"/>
              </w:rPr>
              <w:t>Jagadeesan et al. (2012)</w:t>
            </w:r>
          </w:p>
        </w:tc>
      </w:tr>
      <w:tr w:rsidR="00820B56" w14:paraId="024D4692" w14:textId="77777777">
        <w:tc>
          <w:tcPr>
            <w:tcW w:w="1200" w:type="dxa"/>
            <w:tcMar>
              <w:top w:w="60" w:type="dxa"/>
              <w:left w:w="80" w:type="dxa"/>
              <w:bottom w:w="60" w:type="dxa"/>
              <w:right w:w="80" w:type="dxa"/>
            </w:tcMar>
          </w:tcPr>
          <w:p w14:paraId="1DD495FC" w14:textId="77777777" w:rsidR="00820B56" w:rsidRDefault="00000000" w:rsidP="00B403FD">
            <w:pPr>
              <w:spacing w:before="100" w:beforeAutospacing="1" w:after="100" w:afterAutospacing="1"/>
            </w:pPr>
            <w:r>
              <w:rPr>
                <w:i/>
                <w:iCs/>
                <w:sz w:val="17"/>
                <w:szCs w:val="17"/>
              </w:rPr>
              <w:lastRenderedPageBreak/>
              <w:t xml:space="preserve">Tribolium </w:t>
            </w:r>
            <w:proofErr w:type="spellStart"/>
            <w:r>
              <w:rPr>
                <w:i/>
                <w:iCs/>
                <w:sz w:val="17"/>
                <w:szCs w:val="17"/>
              </w:rPr>
              <w:t>castaneum</w:t>
            </w:r>
            <w:proofErr w:type="spellEnd"/>
            <w:r>
              <w:rPr>
                <w:sz w:val="17"/>
                <w:szCs w:val="17"/>
              </w:rPr>
              <w:t xml:space="preserve"> and </w:t>
            </w: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7F8A96F8" w14:textId="77777777" w:rsidR="00820B56" w:rsidRDefault="00000000" w:rsidP="00B403FD">
            <w:pPr>
              <w:spacing w:before="100" w:beforeAutospacing="1" w:after="100" w:afterAutospacing="1"/>
            </w:pPr>
            <w:r>
              <w:rPr>
                <w:sz w:val="17"/>
                <w:szCs w:val="17"/>
              </w:rPr>
              <w:t>Dihydrolipoamide dehydrogenase P45S and P49S</w:t>
            </w:r>
          </w:p>
        </w:tc>
        <w:tc>
          <w:tcPr>
            <w:tcW w:w="1200" w:type="dxa"/>
            <w:tcMar>
              <w:top w:w="60" w:type="dxa"/>
              <w:left w:w="80" w:type="dxa"/>
              <w:bottom w:w="60" w:type="dxa"/>
              <w:right w:w="80" w:type="dxa"/>
            </w:tcMar>
          </w:tcPr>
          <w:p w14:paraId="02CEB1AB" w14:textId="77777777" w:rsidR="00820B56" w:rsidRDefault="00000000" w:rsidP="00B403FD">
            <w:pPr>
              <w:spacing w:before="100" w:beforeAutospacing="1" w:after="100" w:afterAutospacing="1"/>
            </w:pPr>
            <w:r>
              <w:rPr>
                <w:sz w:val="17"/>
                <w:szCs w:val="17"/>
              </w:rPr>
              <w:t>United States</w:t>
            </w:r>
          </w:p>
        </w:tc>
        <w:tc>
          <w:tcPr>
            <w:tcW w:w="1400" w:type="dxa"/>
            <w:tcMar>
              <w:top w:w="60" w:type="dxa"/>
              <w:left w:w="80" w:type="dxa"/>
              <w:bottom w:w="60" w:type="dxa"/>
              <w:right w:w="80" w:type="dxa"/>
            </w:tcMar>
          </w:tcPr>
          <w:p w14:paraId="4E828D1D" w14:textId="77777777" w:rsidR="00820B56" w:rsidRDefault="00000000" w:rsidP="00B403FD">
            <w:pPr>
              <w:spacing w:before="100" w:beforeAutospacing="1" w:after="100" w:afterAutospacing="1"/>
            </w:pPr>
            <w:r>
              <w:rPr>
                <w:sz w:val="17"/>
                <w:szCs w:val="17"/>
              </w:rPr>
              <w:t xml:space="preserve">Consistent with </w:t>
            </w:r>
            <w:r>
              <w:rPr>
                <w:i/>
                <w:iCs/>
                <w:sz w:val="17"/>
                <w:szCs w:val="17"/>
              </w:rPr>
              <w:t>rph2</w:t>
            </w:r>
          </w:p>
        </w:tc>
        <w:tc>
          <w:tcPr>
            <w:tcW w:w="1400" w:type="dxa"/>
            <w:tcMar>
              <w:top w:w="60" w:type="dxa"/>
              <w:left w:w="80" w:type="dxa"/>
              <w:bottom w:w="60" w:type="dxa"/>
              <w:right w:w="80" w:type="dxa"/>
            </w:tcMar>
          </w:tcPr>
          <w:p w14:paraId="016C80E3" w14:textId="77777777" w:rsidR="00820B56" w:rsidRDefault="00000000" w:rsidP="00B403FD">
            <w:pPr>
              <w:spacing w:before="100" w:beforeAutospacing="1" w:after="100" w:afterAutospacing="1"/>
            </w:pPr>
            <w:r>
              <w:rPr>
                <w:sz w:val="17"/>
                <w:szCs w:val="17"/>
              </w:rPr>
              <w:t>High allele frequency in strongly resistant populations</w:t>
            </w:r>
          </w:p>
        </w:tc>
        <w:tc>
          <w:tcPr>
            <w:tcW w:w="1250" w:type="dxa"/>
            <w:tcMar>
              <w:top w:w="60" w:type="dxa"/>
              <w:left w:w="80" w:type="dxa"/>
              <w:bottom w:w="60" w:type="dxa"/>
              <w:right w:w="80" w:type="dxa"/>
            </w:tcMar>
          </w:tcPr>
          <w:p w14:paraId="3A99256F" w14:textId="77777777" w:rsidR="00820B56" w:rsidRDefault="00000000" w:rsidP="00B403FD">
            <w:pPr>
              <w:spacing w:before="100" w:beforeAutospacing="1" w:after="100" w:afterAutospacing="1"/>
            </w:pPr>
            <w:r>
              <w:rPr>
                <w:sz w:val="17"/>
                <w:szCs w:val="17"/>
              </w:rPr>
              <w:t>Cleaved amplified polymorphic sequence assay validated</w:t>
            </w:r>
          </w:p>
        </w:tc>
        <w:tc>
          <w:tcPr>
            <w:tcW w:w="1276" w:type="dxa"/>
            <w:tcMar>
              <w:top w:w="60" w:type="dxa"/>
              <w:left w:w="80" w:type="dxa"/>
              <w:bottom w:w="60" w:type="dxa"/>
              <w:right w:w="80" w:type="dxa"/>
            </w:tcMar>
          </w:tcPr>
          <w:p w14:paraId="203DEA2B" w14:textId="77777777" w:rsidR="00820B56" w:rsidRDefault="00000000" w:rsidP="00B403FD">
            <w:pPr>
              <w:spacing w:before="100" w:beforeAutospacing="1" w:after="100" w:afterAutospacing="1"/>
            </w:pPr>
            <w:r>
              <w:rPr>
                <w:sz w:val="17"/>
                <w:szCs w:val="17"/>
              </w:rPr>
              <w:t>Chen et al. (2015)</w:t>
            </w:r>
          </w:p>
        </w:tc>
      </w:tr>
      <w:tr w:rsidR="00820B56" w14:paraId="69E252EA" w14:textId="77777777">
        <w:tc>
          <w:tcPr>
            <w:tcW w:w="1200" w:type="dxa"/>
            <w:tcMar>
              <w:top w:w="60" w:type="dxa"/>
              <w:left w:w="80" w:type="dxa"/>
              <w:bottom w:w="60" w:type="dxa"/>
              <w:right w:w="80" w:type="dxa"/>
            </w:tcMar>
          </w:tcPr>
          <w:p w14:paraId="6999056F" w14:textId="77777777" w:rsidR="00820B56" w:rsidRDefault="00000000" w:rsidP="00B403FD">
            <w:pPr>
              <w:spacing w:before="100" w:beforeAutospacing="1" w:after="100" w:afterAutospacing="1"/>
            </w:pPr>
            <w:r>
              <w:rPr>
                <w:i/>
                <w:iCs/>
                <w:sz w:val="17"/>
                <w:szCs w:val="17"/>
              </w:rPr>
              <w:t>Sitophilus oryzae</w:t>
            </w:r>
          </w:p>
        </w:tc>
        <w:tc>
          <w:tcPr>
            <w:tcW w:w="1300" w:type="dxa"/>
            <w:tcMar>
              <w:top w:w="60" w:type="dxa"/>
              <w:left w:w="80" w:type="dxa"/>
              <w:bottom w:w="60" w:type="dxa"/>
              <w:right w:w="80" w:type="dxa"/>
            </w:tcMar>
          </w:tcPr>
          <w:p w14:paraId="2E726E96" w14:textId="77777777" w:rsidR="00820B56" w:rsidRDefault="00000000" w:rsidP="00B403FD">
            <w:pPr>
              <w:spacing w:before="100" w:beforeAutospacing="1" w:after="100" w:afterAutospacing="1"/>
            </w:pPr>
            <w:r>
              <w:rPr>
                <w:sz w:val="17"/>
                <w:szCs w:val="17"/>
              </w:rPr>
              <w:t>Dihydrolipoamide dehydrogenase N505T</w:t>
            </w:r>
          </w:p>
        </w:tc>
        <w:tc>
          <w:tcPr>
            <w:tcW w:w="1200" w:type="dxa"/>
            <w:tcMar>
              <w:top w:w="60" w:type="dxa"/>
              <w:left w:w="80" w:type="dxa"/>
              <w:bottom w:w="60" w:type="dxa"/>
              <w:right w:w="80" w:type="dxa"/>
            </w:tcMar>
          </w:tcPr>
          <w:p w14:paraId="77093340" w14:textId="77777777" w:rsidR="00820B56" w:rsidRDefault="00000000" w:rsidP="00B403FD">
            <w:pPr>
              <w:spacing w:before="100" w:beforeAutospacing="1" w:after="100" w:afterAutospacing="1"/>
            </w:pPr>
            <w:r>
              <w:rPr>
                <w:sz w:val="17"/>
                <w:szCs w:val="17"/>
              </w:rPr>
              <w:t>China, Vietnam and Australia</w:t>
            </w:r>
          </w:p>
        </w:tc>
        <w:tc>
          <w:tcPr>
            <w:tcW w:w="1400" w:type="dxa"/>
            <w:tcMar>
              <w:top w:w="60" w:type="dxa"/>
              <w:left w:w="80" w:type="dxa"/>
              <w:bottom w:w="60" w:type="dxa"/>
              <w:right w:w="80" w:type="dxa"/>
            </w:tcMar>
          </w:tcPr>
          <w:p w14:paraId="37001862" w14:textId="77777777" w:rsidR="00820B56" w:rsidRDefault="00000000" w:rsidP="00B403FD">
            <w:pPr>
              <w:spacing w:before="100" w:beforeAutospacing="1" w:after="100" w:afterAutospacing="1"/>
            </w:pPr>
            <w:r>
              <w:rPr>
                <w:sz w:val="17"/>
                <w:szCs w:val="17"/>
              </w:rPr>
              <w:t>Absolute linkage to strong resistance across two crosses</w:t>
            </w:r>
          </w:p>
        </w:tc>
        <w:tc>
          <w:tcPr>
            <w:tcW w:w="1400" w:type="dxa"/>
            <w:tcMar>
              <w:top w:w="60" w:type="dxa"/>
              <w:left w:w="80" w:type="dxa"/>
              <w:bottom w:w="60" w:type="dxa"/>
              <w:right w:w="80" w:type="dxa"/>
            </w:tcMar>
          </w:tcPr>
          <w:p w14:paraId="19B44471" w14:textId="77777777" w:rsidR="00820B56" w:rsidRDefault="00000000" w:rsidP="00B403FD">
            <w:pPr>
              <w:spacing w:before="100" w:beforeAutospacing="1" w:after="100" w:afterAutospacing="1"/>
            </w:pPr>
            <w:r>
              <w:rPr>
                <w:sz w:val="17"/>
                <w:szCs w:val="17"/>
              </w:rPr>
              <w:t>Median lethal concentration 0.20 to 0.36 milligrams per litre over 48 hours</w:t>
            </w:r>
          </w:p>
        </w:tc>
        <w:tc>
          <w:tcPr>
            <w:tcW w:w="1250" w:type="dxa"/>
            <w:tcMar>
              <w:top w:w="60" w:type="dxa"/>
              <w:left w:w="80" w:type="dxa"/>
              <w:bottom w:w="60" w:type="dxa"/>
              <w:right w:w="80" w:type="dxa"/>
            </w:tcMar>
          </w:tcPr>
          <w:p w14:paraId="33B2588D" w14:textId="77777777" w:rsidR="00820B56" w:rsidRDefault="00000000" w:rsidP="00B403FD">
            <w:pPr>
              <w:spacing w:before="100" w:beforeAutospacing="1" w:after="100" w:afterAutospacing="1"/>
            </w:pPr>
            <w:r>
              <w:rPr>
                <w:sz w:val="17"/>
                <w:szCs w:val="17"/>
              </w:rPr>
              <w:t>Sequence-based detection demonstrated</w:t>
            </w:r>
          </w:p>
        </w:tc>
        <w:tc>
          <w:tcPr>
            <w:tcW w:w="1276" w:type="dxa"/>
            <w:tcMar>
              <w:top w:w="60" w:type="dxa"/>
              <w:left w:w="80" w:type="dxa"/>
              <w:bottom w:w="60" w:type="dxa"/>
              <w:right w:w="80" w:type="dxa"/>
            </w:tcMar>
          </w:tcPr>
          <w:p w14:paraId="5BFBE739" w14:textId="77777777" w:rsidR="00820B56" w:rsidRDefault="00000000" w:rsidP="00B403FD">
            <w:pPr>
              <w:spacing w:before="100" w:beforeAutospacing="1" w:after="100" w:afterAutospacing="1"/>
            </w:pPr>
            <w:r>
              <w:rPr>
                <w:sz w:val="17"/>
                <w:szCs w:val="17"/>
              </w:rPr>
              <w:t>Nguyen et al. (2016)</w:t>
            </w:r>
          </w:p>
        </w:tc>
      </w:tr>
      <w:tr w:rsidR="00820B56" w14:paraId="5C83101D" w14:textId="77777777">
        <w:tc>
          <w:tcPr>
            <w:tcW w:w="1200" w:type="dxa"/>
            <w:tcMar>
              <w:top w:w="60" w:type="dxa"/>
              <w:left w:w="80" w:type="dxa"/>
              <w:bottom w:w="60" w:type="dxa"/>
              <w:right w:w="80" w:type="dxa"/>
            </w:tcMar>
          </w:tcPr>
          <w:p w14:paraId="2A93D9B7" w14:textId="77777777" w:rsidR="00820B56" w:rsidRDefault="00000000" w:rsidP="00B403FD">
            <w:pPr>
              <w:spacing w:before="100" w:beforeAutospacing="1" w:after="100" w:afterAutospacing="1"/>
            </w:pPr>
            <w:proofErr w:type="spellStart"/>
            <w:r>
              <w:rPr>
                <w:i/>
                <w:iCs/>
                <w:sz w:val="17"/>
                <w:szCs w:val="17"/>
              </w:rPr>
              <w:t>Rhyzopertha</w:t>
            </w:r>
            <w:proofErr w:type="spellEnd"/>
            <w:r>
              <w:rPr>
                <w:i/>
                <w:iCs/>
                <w:sz w:val="17"/>
                <w:szCs w:val="17"/>
              </w:rPr>
              <w:t xml:space="preserve"> </w:t>
            </w:r>
            <w:proofErr w:type="spellStart"/>
            <w:r>
              <w:rPr>
                <w:i/>
                <w:iCs/>
                <w:sz w:val="17"/>
                <w:szCs w:val="17"/>
              </w:rPr>
              <w:t>dominica</w:t>
            </w:r>
            <w:proofErr w:type="spellEnd"/>
          </w:p>
        </w:tc>
        <w:tc>
          <w:tcPr>
            <w:tcW w:w="1300" w:type="dxa"/>
            <w:tcMar>
              <w:top w:w="60" w:type="dxa"/>
              <w:left w:w="80" w:type="dxa"/>
              <w:bottom w:w="60" w:type="dxa"/>
              <w:right w:w="80" w:type="dxa"/>
            </w:tcMar>
          </w:tcPr>
          <w:p w14:paraId="0513FAE1" w14:textId="77777777" w:rsidR="00820B56" w:rsidRDefault="00000000" w:rsidP="00B403FD">
            <w:pPr>
              <w:spacing w:before="100" w:beforeAutospacing="1" w:after="100" w:afterAutospacing="1"/>
            </w:pPr>
            <w:r>
              <w:rPr>
                <w:sz w:val="17"/>
                <w:szCs w:val="17"/>
              </w:rPr>
              <w:t>Not genotyped; antioxidant enzyme correlates</w:t>
            </w:r>
          </w:p>
        </w:tc>
        <w:tc>
          <w:tcPr>
            <w:tcW w:w="1200" w:type="dxa"/>
            <w:tcMar>
              <w:top w:w="60" w:type="dxa"/>
              <w:left w:w="80" w:type="dxa"/>
              <w:bottom w:w="60" w:type="dxa"/>
              <w:right w:w="80" w:type="dxa"/>
            </w:tcMar>
          </w:tcPr>
          <w:p w14:paraId="6A8C4275" w14:textId="77777777" w:rsidR="00820B56" w:rsidRDefault="00000000" w:rsidP="00B403FD">
            <w:pPr>
              <w:spacing w:before="100" w:beforeAutospacing="1" w:after="100" w:afterAutospacing="1"/>
            </w:pPr>
            <w:r>
              <w:rPr>
                <w:sz w:val="17"/>
                <w:szCs w:val="17"/>
              </w:rPr>
              <w:t>Fifteen storage sites across India</w:t>
            </w:r>
          </w:p>
        </w:tc>
        <w:tc>
          <w:tcPr>
            <w:tcW w:w="1400" w:type="dxa"/>
            <w:tcMar>
              <w:top w:w="60" w:type="dxa"/>
              <w:left w:w="80" w:type="dxa"/>
              <w:bottom w:w="60" w:type="dxa"/>
              <w:right w:w="80" w:type="dxa"/>
            </w:tcMar>
          </w:tcPr>
          <w:p w14:paraId="21DE6F9A" w14:textId="77777777" w:rsidR="00820B56" w:rsidRDefault="00000000" w:rsidP="00B403FD">
            <w:pPr>
              <w:spacing w:before="100" w:beforeAutospacing="1" w:after="100" w:afterAutospacing="1"/>
            </w:pPr>
            <w:r>
              <w:rPr>
                <w:sz w:val="17"/>
                <w:szCs w:val="17"/>
              </w:rPr>
              <w:t>Not determined</w:t>
            </w:r>
          </w:p>
        </w:tc>
        <w:tc>
          <w:tcPr>
            <w:tcW w:w="1400" w:type="dxa"/>
            <w:tcMar>
              <w:top w:w="60" w:type="dxa"/>
              <w:left w:w="80" w:type="dxa"/>
              <w:bottom w:w="60" w:type="dxa"/>
              <w:right w:w="80" w:type="dxa"/>
            </w:tcMar>
          </w:tcPr>
          <w:p w14:paraId="6D6C2C67" w14:textId="77777777" w:rsidR="00820B56" w:rsidRDefault="00000000" w:rsidP="00B403FD">
            <w:pPr>
              <w:spacing w:before="100" w:beforeAutospacing="1" w:after="100" w:afterAutospacing="1"/>
            </w:pPr>
            <w:r>
              <w:rPr>
                <w:sz w:val="17"/>
                <w:szCs w:val="17"/>
              </w:rPr>
              <w:t>Median lethal concentration 0.024 to 1.991 milligrams per litre; 1.63 to 82.96-fold</w:t>
            </w:r>
          </w:p>
        </w:tc>
        <w:tc>
          <w:tcPr>
            <w:tcW w:w="1250" w:type="dxa"/>
            <w:tcMar>
              <w:top w:w="60" w:type="dxa"/>
              <w:left w:w="80" w:type="dxa"/>
              <w:bottom w:w="60" w:type="dxa"/>
              <w:right w:w="80" w:type="dxa"/>
            </w:tcMar>
          </w:tcPr>
          <w:p w14:paraId="69F053DE" w14:textId="77777777" w:rsidR="00820B56" w:rsidRDefault="00000000" w:rsidP="00B403FD">
            <w:pPr>
              <w:spacing w:before="100" w:beforeAutospacing="1" w:after="100" w:afterAutospacing="1"/>
            </w:pPr>
            <w:r>
              <w:rPr>
                <w:sz w:val="17"/>
                <w:szCs w:val="17"/>
              </w:rPr>
              <w:t>Biochemical correlation only; not a validated diagnostic</w:t>
            </w:r>
          </w:p>
        </w:tc>
        <w:tc>
          <w:tcPr>
            <w:tcW w:w="1276" w:type="dxa"/>
            <w:tcMar>
              <w:top w:w="60" w:type="dxa"/>
              <w:left w:w="80" w:type="dxa"/>
              <w:bottom w:w="60" w:type="dxa"/>
              <w:right w:w="80" w:type="dxa"/>
            </w:tcMar>
          </w:tcPr>
          <w:p w14:paraId="43CE4D94" w14:textId="77777777" w:rsidR="00820B56" w:rsidRDefault="00000000" w:rsidP="00B403FD">
            <w:pPr>
              <w:spacing w:before="100" w:beforeAutospacing="1" w:after="100" w:afterAutospacing="1"/>
            </w:pPr>
            <w:r>
              <w:rPr>
                <w:sz w:val="17"/>
                <w:szCs w:val="17"/>
              </w:rPr>
              <w:t>Ranjith et al. (2023)</w:t>
            </w:r>
          </w:p>
        </w:tc>
      </w:tr>
    </w:tbl>
    <w:p w14:paraId="2B0E1136" w14:textId="77777777" w:rsidR="00820B56" w:rsidRDefault="00000000" w:rsidP="00B403FD">
      <w:pPr>
        <w:spacing w:before="100" w:beforeAutospacing="1" w:after="100" w:afterAutospacing="1"/>
      </w:pPr>
      <w:r>
        <w:rPr>
          <w:sz w:val="18"/>
          <w:szCs w:val="18"/>
        </w:rPr>
        <w:t>Note. Amino acid substitutions are designated by the single-letter code with the position number in the corresponding reference sequence. Resistance magnitudes are expressed as reported by the original authors and are not directly comparable across studies because exposure durations and susceptible reference strains differ.</w:t>
      </w:r>
    </w:p>
    <w:p w14:paraId="55B714F0" w14:textId="77777777" w:rsidR="00820B56" w:rsidRDefault="00000000" w:rsidP="00B403FD">
      <w:pPr>
        <w:pStyle w:val="Heading1"/>
        <w:spacing w:before="100" w:beforeAutospacing="1" w:after="100" w:afterAutospacing="1"/>
      </w:pPr>
      <w:r>
        <w:rPr>
          <w:b/>
          <w:bCs/>
          <w:color w:val="000000"/>
          <w:sz w:val="26"/>
          <w:szCs w:val="26"/>
        </w:rPr>
        <w:t>8. Interactions between Chemical Selection and Other Control Layers</w:t>
      </w:r>
    </w:p>
    <w:p w14:paraId="6BAB3099" w14:textId="77777777" w:rsidR="00820B56" w:rsidRDefault="00000000" w:rsidP="00B403FD">
      <w:pPr>
        <w:spacing w:before="100" w:beforeAutospacing="1" w:after="100" w:afterAutospacing="1"/>
        <w:jc w:val="both"/>
      </w:pPr>
      <w:r>
        <w:t>Insecticide resistance does not evolve in isolation from the other components of a pest management programme. Host-plant resistance, natural enemy communities and the physical environment all modify the selection that chemistry imposes, and in several documented cases they impose selection of their own.</w:t>
      </w:r>
    </w:p>
    <w:p w14:paraId="21744FA0" w14:textId="77777777" w:rsidR="00820B56" w:rsidRDefault="00000000" w:rsidP="00B403FD">
      <w:pPr>
        <w:pStyle w:val="Heading2"/>
        <w:spacing w:before="100" w:beforeAutospacing="1" w:after="100" w:afterAutospacing="1"/>
      </w:pPr>
      <w:r>
        <w:rPr>
          <w:b/>
          <w:bCs/>
          <w:color w:val="000000"/>
          <w:sz w:val="23"/>
          <w:szCs w:val="23"/>
        </w:rPr>
        <w:t>8.1 Host-plant resistance and virulence adaptation</w:t>
      </w:r>
    </w:p>
    <w:p w14:paraId="061F724A" w14:textId="77777777" w:rsidR="00820B56" w:rsidRDefault="00000000" w:rsidP="00B403FD">
      <w:pPr>
        <w:spacing w:before="100" w:beforeAutospacing="1" w:after="100" w:afterAutospacing="1"/>
        <w:jc w:val="both"/>
      </w:pPr>
      <w:r>
        <w:t xml:space="preserve">Resistant rice varieties constitute a second selective agent acting on the same planthopper populations that receive insecticide. Evaluation of thirty-nine rice accessions against </w:t>
      </w:r>
      <w:r>
        <w:rPr>
          <w:i/>
          <w:iCs/>
        </w:rPr>
        <w:t xml:space="preserve">N. </w:t>
      </w:r>
      <w:proofErr w:type="spellStart"/>
      <w:r>
        <w:rPr>
          <w:i/>
          <w:iCs/>
        </w:rPr>
        <w:t>lugens</w:t>
      </w:r>
      <w:proofErr w:type="spellEnd"/>
      <w:r>
        <w:t xml:space="preserve"> populations from India, Bangladesh, Myanmar, Vietnam, Indonesia, China, Taiwan and the Philippines found that only six varieties, each carrying multiple resistance genes, were generally less damaged than the susceptible check across at least half of the test populations, and that a substantial number of individually deployed resistance genes were ineffective against most populations; the analysis identified specific genes with continuing potential for South Asian deployment and concluded that pyramiding of two or more genes offers greater prospects than monogenic lines (Horgan et al., 2015). Systematic review of virulence adaptation in planthoppers and leafhoppers has since reinforced the general finding that adaptation to single resistance genes is rapid and geographically variable (Horgan, 2024). Comparable dynamics operate in the Asian rice gall midge, </w:t>
      </w:r>
      <w:proofErr w:type="spellStart"/>
      <w:r>
        <w:rPr>
          <w:i/>
          <w:iCs/>
        </w:rPr>
        <w:t>Orseolia</w:t>
      </w:r>
      <w:proofErr w:type="spellEnd"/>
      <w:r>
        <w:rPr>
          <w:i/>
          <w:iCs/>
        </w:rPr>
        <w:t xml:space="preserve"> oryzae</w:t>
      </w:r>
      <w:r>
        <w:t>, for which virulence monitoring in India documented differentiation among populations in their capacity to overcome deployed resistance genes (</w:t>
      </w:r>
      <w:proofErr w:type="spellStart"/>
      <w:r>
        <w:t>Bentur</w:t>
      </w:r>
      <w:proofErr w:type="spellEnd"/>
      <w:r>
        <w:t xml:space="preserve"> et al., 2008).</w:t>
      </w:r>
    </w:p>
    <w:p w14:paraId="7F702718" w14:textId="77777777" w:rsidR="00820B56" w:rsidRDefault="00000000" w:rsidP="00B403FD">
      <w:pPr>
        <w:spacing w:before="100" w:beforeAutospacing="1" w:after="100" w:afterAutospacing="1"/>
        <w:jc w:val="both"/>
      </w:pPr>
      <w:r>
        <w:t>The evolutionary interaction between the two selective agents is not simply additive. A partially resistant variety reduces pest density and may reduce the number of insecticide applications, which relaxes chemical selection; alternatively, it may extend the survival of an insecticide-resistant genotype by removing the density-dependent constraints that would otherwise limit its increase. Which effect predominates depends on the strength of varietal resistance and on the spray decision rule in use, and this interaction has not been examined empirically in Indian rice. Given that both varietal deployment and insecticide use are highly regionalised in India, the question is tractable with existing infrastructure and has not been asked.</w:t>
      </w:r>
    </w:p>
    <w:p w14:paraId="0C98B5FD" w14:textId="77777777" w:rsidR="00820B56" w:rsidRDefault="00000000" w:rsidP="00B403FD">
      <w:pPr>
        <w:pStyle w:val="Heading2"/>
        <w:spacing w:before="100" w:beforeAutospacing="1" w:after="100" w:afterAutospacing="1"/>
      </w:pPr>
      <w:r>
        <w:rPr>
          <w:b/>
          <w:bCs/>
          <w:color w:val="000000"/>
          <w:sz w:val="23"/>
          <w:szCs w:val="23"/>
        </w:rPr>
        <w:lastRenderedPageBreak/>
        <w:t>8.2 Natural enemies, resurgence and hormesis</w:t>
      </w:r>
    </w:p>
    <w:p w14:paraId="598A5E89" w14:textId="77777777" w:rsidR="00820B56" w:rsidRDefault="00000000" w:rsidP="00B403FD">
      <w:pPr>
        <w:spacing w:before="100" w:beforeAutospacing="1" w:after="100" w:afterAutospacing="1"/>
        <w:jc w:val="both"/>
      </w:pPr>
      <w:r>
        <w:t xml:space="preserve">Insecticide applications that remove natural enemies more completely than they remove the target pest can increase subsequent pest </w:t>
      </w:r>
      <w:proofErr w:type="gramStart"/>
      <w:r>
        <w:t>density,</w:t>
      </w:r>
      <w:proofErr w:type="gramEnd"/>
      <w:r>
        <w:t xml:space="preserve"> a phenomenon long associated with planthopper outbreaks in Asian rice. Two mechanisms are distinguishable. The first is release from predation and parasitism. The second is direct physiological stimulation of the pest by sub-lethal doses, an instance of hormesis whose relevance to arthropod pest management has been reviewed critically; the reviewers noted that </w:t>
      </w:r>
      <w:proofErr w:type="spellStart"/>
      <w:r>
        <w:t>hormetic</w:t>
      </w:r>
      <w:proofErr w:type="spellEnd"/>
      <w:r>
        <w:t xml:space="preserve"> stimulation of reproduction is well documented in laboratory studies but that its field-scale contribution to outbreaks is harder to isolate from concurrent natural enemy effects (Guedes &amp; Cutler, 2014). The distinction matters for management, because the first mechanism is addressed by selectivity and the second by dose accuracy and application frequency.</w:t>
      </w:r>
    </w:p>
    <w:p w14:paraId="2C598D61" w14:textId="77777777" w:rsidR="00820B56" w:rsidRDefault="00000000" w:rsidP="00B403FD">
      <w:pPr>
        <w:spacing w:before="100" w:beforeAutospacing="1" w:after="100" w:afterAutospacing="1"/>
        <w:jc w:val="both"/>
      </w:pPr>
      <w:r>
        <w:t xml:space="preserve">Selectivity is achievable. The </w:t>
      </w:r>
      <w:proofErr w:type="spellStart"/>
      <w:r>
        <w:t>mesoionic</w:t>
      </w:r>
      <w:proofErr w:type="spellEnd"/>
      <w:r>
        <w:t xml:space="preserve"> insecticide </w:t>
      </w:r>
      <w:proofErr w:type="spellStart"/>
      <w:r>
        <w:t>triflumezopyrim</w:t>
      </w:r>
      <w:proofErr w:type="spellEnd"/>
      <w:r>
        <w:t xml:space="preserve"> was shown to combine activity against rice planthoppers with comparatively low toxicity to several beneficial arthropod groups (Zhu et al., 2018), which offers a route to reducing enemy mortality without abandoning chemical control. The broader difficulty is that selectivity is only realised if the compound is used at recommended rates and in the absence of tank mixtures containing broad-spectrum partners, and mixture use is common where farmers seek insurance against multiple pests simultaneously. Critical assessment of integrated pest management implementation internationally has emphasised precisely this gap between the availability of selective options and their adoption in practice (</w:t>
      </w:r>
      <w:proofErr w:type="spellStart"/>
      <w:r>
        <w:t>Deguine</w:t>
      </w:r>
      <w:proofErr w:type="spellEnd"/>
      <w:r>
        <w:t xml:space="preserve"> et al., 2021). From an evolutionary standpoint, unnecessary tank mixing is doubly damaging, since it both removes the natural enemies that suppress resistant genotypes and exposes additional modes of action to selection at doses that may be sub-lethal for the non-target pests present.</w:t>
      </w:r>
    </w:p>
    <w:p w14:paraId="02919364" w14:textId="77777777" w:rsidR="00820B56" w:rsidRDefault="00000000" w:rsidP="00B403FD">
      <w:pPr>
        <w:pStyle w:val="Heading2"/>
        <w:spacing w:before="100" w:beforeAutospacing="1" w:after="100" w:afterAutospacing="1"/>
      </w:pPr>
      <w:r>
        <w:rPr>
          <w:b/>
          <w:bCs/>
          <w:color w:val="000000"/>
          <w:sz w:val="23"/>
          <w:szCs w:val="23"/>
        </w:rPr>
        <w:t>8.3 Climate and phenological modification of the selection regime</w:t>
      </w:r>
    </w:p>
    <w:p w14:paraId="25D00BF1" w14:textId="77777777" w:rsidR="00820B56" w:rsidRDefault="00000000" w:rsidP="00B403FD">
      <w:pPr>
        <w:spacing w:before="100" w:beforeAutospacing="1" w:after="100" w:afterAutospacing="1"/>
        <w:jc w:val="both"/>
      </w:pPr>
      <w:r>
        <w:t xml:space="preserve">Changes in temperature and atmospheric composition alter the number of pest generations per season, the synchrony of pest and crop phenology, and the timing of insecticide applications relative to susceptible life stages. Experimental work conducted in India indicated that elevated carbon dioxide and temperature modify population performance in </w:t>
      </w:r>
      <w:r>
        <w:rPr>
          <w:i/>
          <w:iCs/>
        </w:rPr>
        <w:t xml:space="preserve">N. </w:t>
      </w:r>
      <w:proofErr w:type="spellStart"/>
      <w:r>
        <w:rPr>
          <w:i/>
          <w:iCs/>
        </w:rPr>
        <w:t>lugens</w:t>
      </w:r>
      <w:proofErr w:type="spellEnd"/>
      <w:r>
        <w:t xml:space="preserve"> (</w:t>
      </w:r>
      <w:proofErr w:type="spellStart"/>
      <w:r>
        <w:t>Vailla</w:t>
      </w:r>
      <w:proofErr w:type="spellEnd"/>
      <w:r>
        <w:t xml:space="preserve"> et al., 2019), which implies a corresponding change in the number of generations exposed to selection within a season. The evidence base is small, derived from controlled environments, and does not extend to the interaction between thermal conditions and the expression of resistance phenotypes, which is known to be temperature-sensitive for several metabolic mechanisms. Confidence in any projection of resistance dynamics under climate change in Indian cereals is accordingly low, and the topic is raised here principally to identify it as a source of uncertainty rather than as a basis for present recommendation.</w:t>
      </w:r>
    </w:p>
    <w:p w14:paraId="3966E143" w14:textId="77777777" w:rsidR="00820B56" w:rsidRDefault="00000000" w:rsidP="00B403FD">
      <w:pPr>
        <w:pStyle w:val="Heading1"/>
        <w:spacing w:before="100" w:beforeAutospacing="1" w:after="100" w:afterAutospacing="1"/>
      </w:pPr>
      <w:r>
        <w:rPr>
          <w:b/>
          <w:bCs/>
          <w:color w:val="000000"/>
          <w:sz w:val="26"/>
          <w:szCs w:val="26"/>
        </w:rPr>
        <w:t>9. From Evolutionary Theory to Indian Resistance Management Practice</w:t>
      </w:r>
    </w:p>
    <w:p w14:paraId="3ADCA779" w14:textId="77777777" w:rsidR="00820B56" w:rsidRDefault="00000000" w:rsidP="00B403FD">
      <w:pPr>
        <w:pStyle w:val="Heading2"/>
        <w:spacing w:before="100" w:beforeAutospacing="1" w:after="100" w:afterAutospacing="1"/>
      </w:pPr>
      <w:r>
        <w:rPr>
          <w:b/>
          <w:bCs/>
          <w:color w:val="000000"/>
          <w:sz w:val="23"/>
          <w:szCs w:val="23"/>
        </w:rPr>
        <w:t>9.1 Rotations, mixtures and mosaics under fragmented decision-making</w:t>
      </w:r>
    </w:p>
    <w:p w14:paraId="3E11A885" w14:textId="77777777" w:rsidR="00820B56" w:rsidRDefault="00000000" w:rsidP="00B403FD">
      <w:pPr>
        <w:spacing w:before="100" w:beforeAutospacing="1" w:after="100" w:afterAutospacing="1"/>
        <w:jc w:val="both"/>
      </w:pPr>
      <w:r>
        <w:t>The theoretical literature on resistance management strategies has converged on a qualified conclusion. Combination of unrelated modes of action within the same generation generally delays resistance more effectively than sequential alternation or spatial mosaics, because it imposes multiple intragenerational mortality on any individual carrying resistance to only one component (REX Consortium, 2013). Model-based comparison of mixtures and sequences reproduced this ranking and clarified the assumptions under which it holds (South &amp; Hastings, 2018). The qualification is that the ranking depends on genetic architecture: where resistance is polygenic rather than monogenic, the relative performance of sequences, rotations and mixtures changes, and mixtures lose part of their advantage (Hobbs et al., 2023). It depends further on life history and dispersal, so that a strategy optimal for one pest may be inferior for another sharing the same field (Sudo et al., 2018).</w:t>
      </w:r>
    </w:p>
    <w:p w14:paraId="467ACECF" w14:textId="77777777" w:rsidR="00820B56" w:rsidRDefault="00000000" w:rsidP="00B403FD">
      <w:pPr>
        <w:spacing w:before="100" w:beforeAutospacing="1" w:after="100" w:afterAutospacing="1"/>
        <w:jc w:val="both"/>
      </w:pPr>
      <w:r>
        <w:t xml:space="preserve">Applying this to Indian cereals requires acknowledging three constraints that the modelling literature does not address. First, mixtures deliver their theoretical benefit only if both components are applied at </w:t>
      </w:r>
      <w:r>
        <w:lastRenderedPageBreak/>
        <w:t>doses that are individually effective; commercially formulated mixtures that reduce the rate of each component to control cost deliver a mosaic of sub-lethal exposures instead, which is close to the worst case predicted by theory. Second, the benefit assumes genuinely unrelated modes of action, which requires that the mode-of-action group codes be known to the person making the decision; where labels or advisory material omit them, alternation between products that share a group is likely (Sparks et al., 2020; Sparks et al., 2021). Third, and most fundamentally, a strategy imposed at the level of the individual holding cannot generate landscape-scale heterogeneity when the pest disperses across the landscape within a generation, as rice planthoppers do (Matsumura et al., 2018). Coordination at the scale of a block or district is therefore not a refinement of resistance management in Indian rice but a precondition for it, and no mechanism for such coordination currently exists.</w:t>
      </w:r>
    </w:p>
    <w:p w14:paraId="705CA287" w14:textId="77777777" w:rsidR="00820B56" w:rsidRDefault="00000000" w:rsidP="00B403FD">
      <w:pPr>
        <w:spacing w:before="100" w:beforeAutospacing="1" w:after="100" w:afterAutospacing="1"/>
        <w:jc w:val="both"/>
      </w:pPr>
      <w:r>
        <w:t xml:space="preserve">For stored grain the prescription differs entirely. There the binding constraint is not the diversity of chemistry, which is minimal, but the reliability of exposure. Because strong phosphine resistance is incompletely recessive and arises through epistatic interaction between loci, the management objective is to ensure that concentrations and exposure durations are sufficient to kill heterozygotes, thereby preventing the accumulation of the intermediate genotypes from which strong resistance is assembled (Jagadeesan et al., 2012; Nayak et al., 2017; </w:t>
      </w:r>
      <w:proofErr w:type="spellStart"/>
      <w:r>
        <w:t>Schlipalius</w:t>
      </w:r>
      <w:proofErr w:type="spellEnd"/>
      <w:r>
        <w:t xml:space="preserve"> et al., 2008). Investment in structural gas-tightness therefore has a specific evolutionary rationale that is stronger than its immediate efficacy rationale.</w:t>
      </w:r>
    </w:p>
    <w:p w14:paraId="2CD41240" w14:textId="77777777" w:rsidR="00820B56" w:rsidRDefault="00000000" w:rsidP="00B403FD">
      <w:pPr>
        <w:pStyle w:val="Heading2"/>
        <w:spacing w:before="100" w:beforeAutospacing="1" w:after="100" w:afterAutospacing="1"/>
      </w:pPr>
      <w:r>
        <w:rPr>
          <w:b/>
          <w:bCs/>
          <w:color w:val="000000"/>
          <w:sz w:val="23"/>
          <w:szCs w:val="23"/>
        </w:rPr>
        <w:t>9.2 Diagnostics, surveillance architecture and the evidence required for action</w:t>
      </w:r>
    </w:p>
    <w:p w14:paraId="5ECCE8CE" w14:textId="77777777" w:rsidR="00820B56" w:rsidRDefault="00000000" w:rsidP="00B403FD">
      <w:pPr>
        <w:spacing w:before="100" w:beforeAutospacing="1" w:after="100" w:afterAutospacing="1"/>
        <w:jc w:val="both"/>
      </w:pPr>
      <w:r>
        <w:t xml:space="preserve">The recurring deficiency identified throughout this review is not an absence of Indian data but a mismatch between the data collected and the decisions to be made. Efficacy trials answer the question of which product performed best last season; resistance management requires estimates of how allele frequencies are changing and of how far from control failure a given compound </w:t>
      </w:r>
      <w:proofErr w:type="gramStart"/>
      <w:r>
        <w:t>stands</w:t>
      </w:r>
      <w:proofErr w:type="gramEnd"/>
      <w:r>
        <w:t>. Three methodological transitions would close most of the gap.</w:t>
      </w:r>
    </w:p>
    <w:p w14:paraId="760C1294" w14:textId="77777777" w:rsidR="00820B56" w:rsidRDefault="00000000" w:rsidP="00B403FD">
      <w:pPr>
        <w:spacing w:before="100" w:beforeAutospacing="1" w:after="100" w:afterAutospacing="1"/>
        <w:jc w:val="both"/>
      </w:pPr>
      <w:r>
        <w:t>The first is the adoption of allele-specific molecular diagnostics where causal variants are known. This is immediately feasible for phosphine resistance in stored-grain beetles, where a restriction-based assay for the dihydrolipoamide dehydrogenase variant has been validated (Chen et al., 2015) and where the corresponding variants have already been shown to occur at high frequency in southern India (Kaur et al., 2015). It is feasible for the fall armyworm using the pyrosequencing and allelic discrimination assays developed for acetylcholinesterase, sodium channel, ryanodine receptor and ATP-binding cassette transporter alleles and demonstrated on populations from several continents (Boaventura, Martin, et al., 2020). It is not yet feasible for the Indian rice borers, because the causal variants in the relevant species have not been identified.</w:t>
      </w:r>
    </w:p>
    <w:p w14:paraId="4831BF9C" w14:textId="77777777" w:rsidR="00820B56" w:rsidRDefault="00000000" w:rsidP="00B403FD">
      <w:pPr>
        <w:spacing w:before="100" w:beforeAutospacing="1" w:after="100" w:afterAutospacing="1"/>
        <w:jc w:val="both"/>
      </w:pPr>
      <w:r>
        <w:t>The second is the standardisation of phenotypic bioassay so that results are comparable across sites and years. Development of testing procedures for resistance surveillance in Australian fall armyworm illustrates the required elements: a defined susceptible reference, a documented exposure method, sufficient populations to characterise variation, and repetition on a fixed schedule (Bird et al., 2022). The third is the routine expression of monitoring results as control failure likelihood rather than as resistance ratio alone, since only the former relates the measurement to the recommended rate and therefore to a decision (Li et al., 2020). The earlier regional status assessments of Asian planthopper resistance demonstrate the value that even simple, consistently repeated monitoring acquires when it is sustained across years (Matsumura &amp; Sanada-Morimura, 2010).</w:t>
      </w:r>
    </w:p>
    <w:p w14:paraId="3790A9A6" w14:textId="77777777" w:rsidR="00820B56" w:rsidRDefault="00000000" w:rsidP="00B403FD">
      <w:pPr>
        <w:spacing w:before="100" w:beforeAutospacing="1" w:after="100" w:afterAutospacing="1"/>
        <w:jc w:val="both"/>
      </w:pPr>
      <w:r>
        <w:t xml:space="preserve">Beyond diagnostics, technologies that could broaden the available modes of action remain at an early stage of practical development. Ribonucleic acid interference offers a mechanism of action orthogonal to all current chemistry, but its field deployment is constrained by variable efficiency of double-stranded ribonucleic acid uptake among insect orders, by stability in the environment, and by the prospect that resistance will evolve to it as it has to other selective agents (Zhu &amp; Palli, 2020). Broad metabolic mechanisms of the kind that mediate transporter-based and oxidative resistance are in principle capable </w:t>
      </w:r>
      <w:r>
        <w:lastRenderedPageBreak/>
        <w:t>of acting on a wide range of xenobiotics (</w:t>
      </w:r>
      <w:proofErr w:type="spellStart"/>
      <w:r>
        <w:t>Dermauw</w:t>
      </w:r>
      <w:proofErr w:type="spellEnd"/>
      <w:r>
        <w:t xml:space="preserve"> &amp; Van Leeuwen, 2014), so novel modalities should not be assumed to be exempt from cross-resistance until tested.</w:t>
      </w:r>
    </w:p>
    <w:p w14:paraId="43C92750" w14:textId="77777777" w:rsidR="00820B56" w:rsidRDefault="00000000" w:rsidP="00B403FD">
      <w:pPr>
        <w:pStyle w:val="Heading1"/>
        <w:spacing w:before="100" w:beforeAutospacing="1" w:after="100" w:afterAutospacing="1"/>
      </w:pPr>
      <w:r>
        <w:rPr>
          <w:b/>
          <w:bCs/>
          <w:color w:val="000000"/>
          <w:sz w:val="26"/>
          <w:szCs w:val="26"/>
        </w:rPr>
        <w:t>Future Directions</w:t>
      </w:r>
    </w:p>
    <w:p w14:paraId="16F5F205" w14:textId="77777777" w:rsidR="00820B56" w:rsidRDefault="00000000" w:rsidP="00B403FD">
      <w:pPr>
        <w:spacing w:before="100" w:beforeAutospacing="1" w:after="100" w:afterAutospacing="1"/>
        <w:jc w:val="both"/>
      </w:pPr>
      <w:r>
        <w:t>The research priorities set out below are ordered by the ratio of expected informational gain to cost and feasibility, and each is framed as a response to a specific deficiency identified in the preceding synthesis rather than as a general aspiration.</w:t>
      </w:r>
    </w:p>
    <w:p w14:paraId="74526801" w14:textId="77777777" w:rsidR="00820B56" w:rsidRDefault="00000000" w:rsidP="00B403FD">
      <w:pPr>
        <w:spacing w:before="100" w:beforeAutospacing="1" w:after="100" w:afterAutospacing="1"/>
        <w:jc w:val="both"/>
      </w:pPr>
      <w:r>
        <w:t>The first immediate priority is the establishment of a longitudinal, multi-site susceptibility monitoring series for rice planthoppers and the yellow stem borer, using a single documented susceptible reference strain, a fixed bioassay protocol and annual sampling from a stable set of locations spanning the principal rice tracts. The unresolved problem is that no rate of change in susceptibility can currently be estimated for any Indian cereal pest, because existing measurements are episodic and methodologically heterogeneous. Current evidence is inadequate precisely because a single-season resistance ratio cannot be distinguished from assay variation. The appropriate design is a fixed-panel repeated-measures survey with at least eight to twelve populations per pest, sampled in the same crop stage each year for a minimum of five years, reporting lethal concentration estimates with confidence intervals alongside the control failure likelihood at the recommended rate. Outcome measures should include the slope of the dose-response line, since flattening of the slope is an early indicator of segregating resistance that precedes any shift in the median lethal concentration. Such a series would allow advisory bodies to withdraw a compound before rather than after control failure, and would materially advance the field by supplying the first empirical trend data for South Asian cereal pests.</w:t>
      </w:r>
    </w:p>
    <w:p w14:paraId="186CE56D" w14:textId="77777777" w:rsidR="00820B56" w:rsidRDefault="00000000" w:rsidP="00B403FD">
      <w:pPr>
        <w:spacing w:before="100" w:beforeAutospacing="1" w:after="100" w:afterAutospacing="1"/>
        <w:jc w:val="both"/>
      </w:pPr>
      <w:r>
        <w:t xml:space="preserve">The second immediate priority is molecular characterisation of the ryanodine receptor in Indian populations of </w:t>
      </w:r>
      <w:r>
        <w:rPr>
          <w:i/>
          <w:iCs/>
        </w:rPr>
        <w:t xml:space="preserve">S. </w:t>
      </w:r>
      <w:proofErr w:type="spellStart"/>
      <w:r>
        <w:rPr>
          <w:i/>
          <w:iCs/>
        </w:rPr>
        <w:t>incertulas</w:t>
      </w:r>
      <w:proofErr w:type="spellEnd"/>
      <w:r>
        <w:t xml:space="preserve"> and </w:t>
      </w:r>
      <w:r>
        <w:rPr>
          <w:i/>
          <w:iCs/>
        </w:rPr>
        <w:t xml:space="preserve">C. </w:t>
      </w:r>
      <w:proofErr w:type="spellStart"/>
      <w:r>
        <w:rPr>
          <w:i/>
          <w:iCs/>
        </w:rPr>
        <w:t>medinalis</w:t>
      </w:r>
      <w:proofErr w:type="spellEnd"/>
      <w:r>
        <w:t xml:space="preserve">. The unresolved problem is that diamides now carry a substantial share of borer control in Indian rice while the mechanism by which resistance would arise in the target species is uncharacterised, so that no diagnostic exists and resistance could become widespread before it is detected. Existing evidence from </w:t>
      </w:r>
      <w:r>
        <w:rPr>
          <w:i/>
          <w:iCs/>
        </w:rPr>
        <w:t xml:space="preserve">C. </w:t>
      </w:r>
      <w:proofErr w:type="spellStart"/>
      <w:r>
        <w:rPr>
          <w:i/>
          <w:iCs/>
        </w:rPr>
        <w:t>suppressalis</w:t>
      </w:r>
      <w:proofErr w:type="spellEnd"/>
      <w:r>
        <w:t xml:space="preserve"> identifies the candidate positions and demonstrates that combinations of substitutions produce disproportionately high resistance, but interspecific transfer of a diagnostic requires the target sequence. The appropriate work is sequencing of the relevant receptor domains from field populations across at least four states, combined with dose-response phenotyping of the same populations and, where a candidate substitution is recovered, functional confirmation by genome editing in a tractable model. The scale required is modest and the outcome would be a deployable diagnostic.</w:t>
      </w:r>
    </w:p>
    <w:p w14:paraId="24AA5234" w14:textId="77777777" w:rsidR="00820B56" w:rsidRDefault="00000000" w:rsidP="00B403FD">
      <w:pPr>
        <w:spacing w:before="100" w:beforeAutospacing="1" w:after="100" w:afterAutospacing="1"/>
        <w:jc w:val="both"/>
      </w:pPr>
      <w:r>
        <w:t xml:space="preserve">The third immediate priority is genotypic surveillance of phosphine resistance in Indian storage, extending the existing southern Indian survey to national coverage. The unresolved problem is that variant frequencies approaching fixation have been reported for two species in one region, while the national distribution and the relationship between variant frequency and fumigation practice remain undescribed. Current evidence is inadequate because it is geographically restricted and because the accompanying phenotypic work in other regions used biochemical rather than genotypic endpoints. The appropriate design </w:t>
      </w:r>
      <w:proofErr w:type="gramStart"/>
      <w:r>
        <w:t>couples</w:t>
      </w:r>
      <w:proofErr w:type="gramEnd"/>
      <w:r>
        <w:t xml:space="preserve"> allele-specific genotyping of insects sampled from a stratified national sample of storage structures with recorded fumigation parameters, including sealing status, applied concentration and exposure duration, permitting direct estimation of the association between practice and allele frequency. The policy implication is immediate, since it would identify whether structural investment or fumigation protocol revision offers the greater return.</w:t>
      </w:r>
    </w:p>
    <w:p w14:paraId="352052EF" w14:textId="77777777" w:rsidR="00820B56" w:rsidRDefault="00000000" w:rsidP="00B403FD">
      <w:pPr>
        <w:spacing w:before="100" w:beforeAutospacing="1" w:after="100" w:afterAutospacing="1"/>
        <w:jc w:val="both"/>
      </w:pPr>
      <w:r>
        <w:t xml:space="preserve">A fourth priority, on a longer timescale, is the estimation of fitness costs using near-isogenic lines under field-realistic conditions for at least one Indian population of a planthopper, a borer and a stored-grain beetle. The unresolved problem is that rotation intervals and expectations of susceptibility recovery are set without any local estimate of whether resistance alleles are costly, and international evidence indicates both that costs are frequently overestimated by inadequate designs and that compensatory modifiers can erode them. The appropriate approach is repeated backcrossing to a common genetic </w:t>
      </w:r>
      <w:r>
        <w:lastRenderedPageBreak/>
        <w:t>background followed by life-table assessment under ambient field conditions and under the host plants actually grown, with fitness expressed as intrinsic rate of increase rather than as any single life-history component.</w:t>
      </w:r>
    </w:p>
    <w:p w14:paraId="341A5D96" w14:textId="77777777" w:rsidR="00820B56" w:rsidRDefault="00000000" w:rsidP="00B403FD">
      <w:pPr>
        <w:spacing w:before="100" w:beforeAutospacing="1" w:after="100" w:afterAutospacing="1"/>
        <w:jc w:val="both"/>
      </w:pPr>
      <w:r>
        <w:t>A fifth, longer-term priority is the empirical evaluation of coordinated area-wide rotation against uncoordinated practice in a rice landscape. The unresolved problem is that the theoretical superiority of heterogeneous selection has never been tested at the spatial scale at which planthoppers disperse in South Asia, and that model predictions are sensitive to dispersal parameters that have not been measured for Indian populations. The appropriate design is a paired-landscape comparison of contiguous blocks of at least several hundred hectares, with mode-of-action assignment coordinated in one member of each pair, monitored over a minimum of four seasons using the standardised bioassay of the first priority together with population genetic estimation of gene flow. Outcome measures should include susceptibility trajectory, insecticide application frequency and yield, so that the evolutionary result can be evaluated against its agronomic cost. This design is demanding and would require institutional coordination, but it addresses the single assumption on which most current resistance management advice for Indian rice implicitly rests.</w:t>
      </w:r>
    </w:p>
    <w:p w14:paraId="72851742" w14:textId="77777777" w:rsidR="00820B56" w:rsidRDefault="00000000" w:rsidP="00B403FD">
      <w:pPr>
        <w:spacing w:before="100" w:beforeAutospacing="1" w:after="100" w:afterAutospacing="1"/>
        <w:jc w:val="both"/>
      </w:pPr>
      <w:r>
        <w:t>A sixth, longer-term priority concerns the invasive fall armyworm specifically. The unresolved problem is the attribution of observed insensitivity to inherited rather than locally selected resistance, which determines whether management should focus on preserving remaining susceptibility or on reversing an established trajectory. Resolution requires comparison of archived Indian material collected close to the time of invasion with contemporary samples, using both target-site genotyping and genome-wide analysis of detoxification gene copy number, together with characterisation of the diamide susceptibility trend since 2019. Where archived material is unavailable, comparison against source-region populations offers a weaker but usable alternative.</w:t>
      </w:r>
    </w:p>
    <w:p w14:paraId="76DA4206" w14:textId="77777777" w:rsidR="00820B56" w:rsidRDefault="00000000" w:rsidP="00B403FD">
      <w:pPr>
        <w:pStyle w:val="Heading1"/>
        <w:spacing w:before="100" w:beforeAutospacing="1" w:after="100" w:afterAutospacing="1"/>
      </w:pPr>
      <w:r>
        <w:rPr>
          <w:b/>
          <w:bCs/>
          <w:color w:val="000000"/>
          <w:sz w:val="26"/>
          <w:szCs w:val="26"/>
        </w:rPr>
        <w:t>Conclusions</w:t>
      </w:r>
    </w:p>
    <w:p w14:paraId="2E23D48B" w14:textId="77777777" w:rsidR="00820B56" w:rsidRDefault="00000000" w:rsidP="00B403FD">
      <w:pPr>
        <w:spacing w:before="100" w:beforeAutospacing="1" w:after="100" w:afterAutospacing="1"/>
        <w:jc w:val="both"/>
      </w:pPr>
      <w:r>
        <w:t>The evolutionary toxicology of insecticide resistance in Indian cereal ecosystems presents a consistent asymmetry between what is understood in principle and what has been measured locally. The general theory is secure. Resistance evolves as a function of initial allele frequency, dominance at realised doses, fitness cost, cross-resistance structure and the spatial scale of gene flow, and the qualitative predictions that follow from those parameters have been confirmed repeatedly in systems where longitudinal data exist. The mechanistic basis is likewise well established for the pest groups that dominate Indian cereals, encompassing target-site substitution at several receptors and channels, overexpression and duplication of detoxifying enzymes, and the compensatory modification of the fitness costs those mechanisms impose.</w:t>
      </w:r>
    </w:p>
    <w:p w14:paraId="2F9DB5C8" w14:textId="77777777" w:rsidR="00820B56" w:rsidRDefault="00000000" w:rsidP="00B403FD">
      <w:pPr>
        <w:spacing w:before="100" w:beforeAutospacing="1" w:after="100" w:afterAutospacing="1"/>
        <w:jc w:val="both"/>
      </w:pPr>
      <w:r>
        <w:t>What is much less secure is the application of that understanding to Indian populations. For rice planthoppers, the mechanistic account on which Indian recommendations implicitly rely was constructed almost entirely from East Asian material, and the only India-specific molecular observation within that body of work is an isolated expression anomaly. For the lepidopteran borers of Indian rice, which now receive substantial diamide pressure, neither the causal resistance mechanism nor its frequency has been described in the target species, so that resistance could become established without detection. For the fall armyworm, India possesses a methodologically strong phenotypic baseline that cannot, by itself, separate inherited from locally evolved insensitivity. Confidence in any Indian field-crop resistance projection is therefore limited, and should be stated as such rather than concealed behind extrapolated mechanism.</w:t>
      </w:r>
    </w:p>
    <w:p w14:paraId="505398F7" w14:textId="77777777" w:rsidR="00820B56" w:rsidRDefault="00000000" w:rsidP="00B403FD">
      <w:pPr>
        <w:spacing w:before="100" w:beforeAutospacing="1" w:after="100" w:afterAutospacing="1"/>
        <w:jc w:val="both"/>
      </w:pPr>
      <w:r>
        <w:t xml:space="preserve">The stored-grain sector stands in deliberate contrast and provides the strongest conclusion of this review. There a causal variant has been identified, its structural equivalence across three beetle species and four continents has been demonstrated, its inheritance and epistatic interaction have been resolved, and its frequency in southern India has been surveyed and found to approach fixation in some populations. That combination supports firm inference: strong phosphine resistance in Indian storage is </w:t>
      </w:r>
      <w:r>
        <w:lastRenderedPageBreak/>
        <w:t>genetically established rather than incipient, it is unlikely to reverse spontaneously, and its management depends on the reliability of exposure rather than on the rotation of chemistry that does not exist. The evidence supporting this conclusion is stronger than that supporting any field-crop conclusion in the review.</w:t>
      </w:r>
    </w:p>
    <w:p w14:paraId="3220175E" w14:textId="77777777" w:rsidR="00820B56" w:rsidRDefault="00000000" w:rsidP="00B403FD">
      <w:pPr>
        <w:spacing w:before="100" w:beforeAutospacing="1" w:after="100" w:afterAutospacing="1"/>
        <w:jc w:val="both"/>
      </w:pPr>
      <w:r>
        <w:t>A further defensible conclusion concerns the structure of the Indian evidence base rather than its content. Efficacy trials and single-season bioassays, however numerous, cannot estimate the parameters that resistance management requires, and their accumulation does not converge on the required knowledge. The transition needed is qualitative rather than quantitative: from measuring which product works to measuring how susceptibility is changing and how close each compound stands to failure. Where causal variants are known, that transition is available now at modest cost; where they are not, identifying them is the prerequisite.</w:t>
      </w:r>
    </w:p>
    <w:p w14:paraId="142D509C" w14:textId="77777777" w:rsidR="00820B56" w:rsidRDefault="00000000" w:rsidP="00B403FD">
      <w:pPr>
        <w:spacing w:before="100" w:beforeAutospacing="1" w:after="100" w:afterAutospacing="1"/>
        <w:jc w:val="both"/>
      </w:pPr>
      <w:r>
        <w:t>The broader significance of this synthesis lies in what it implies about the transferability of resistance science. Mechanistic findings travel well as hypotheses and poorly as facts. A resistance mechanism demonstrated in one region establishes what is biologically possible in another, but not what is prevalent there, and management systems that treat the former as the latter will misallocate their remaining chemistry. Indian cereal systems combine high generation turnover, extensive gene flow, narrow effective chemical diversity and fragmented decision-making, which is the combination under which such misallocation is most costly.</w:t>
      </w:r>
    </w:p>
    <w:p w14:paraId="297A33E2" w14:textId="77777777" w:rsidR="00820B56" w:rsidRDefault="00000000" w:rsidP="00B403FD">
      <w:pPr>
        <w:pStyle w:val="Heading1"/>
        <w:spacing w:before="100" w:beforeAutospacing="1" w:after="100" w:afterAutospacing="1"/>
      </w:pPr>
      <w:r>
        <w:rPr>
          <w:b/>
          <w:bCs/>
          <w:color w:val="000000"/>
          <w:sz w:val="26"/>
          <w:szCs w:val="26"/>
        </w:rPr>
        <w:t>Limitations</w:t>
      </w:r>
    </w:p>
    <w:p w14:paraId="50253C51" w14:textId="77777777" w:rsidR="00820B56" w:rsidRDefault="00000000" w:rsidP="00B403FD">
      <w:pPr>
        <w:spacing w:before="100" w:beforeAutospacing="1" w:after="100" w:afterAutospacing="1"/>
        <w:jc w:val="both"/>
      </w:pPr>
      <w:r>
        <w:t>This review is subject to the limitations intrinsic to the narrative form. Studies were selected purposively rather than exhaustively, and the weighting of evidence within each theme reflects the judgement of the author. Selection bias and interpretive bias cannot be excluded despite the use of a documented search strategy, explicit eligibility criteria and design-specific appraisal, and a different reviewer applying the same criteria could reasonably assemble a partially different corpus and reach somewhat different emphases. No formal risk-of-bias instrument was applied, and no quantitative synthesis was attempted, so the relative weight given to individual studies rests on reasoned argument rather than on a scored procedure.</w:t>
      </w:r>
    </w:p>
    <w:p w14:paraId="3F87D9C0" w14:textId="77777777" w:rsidR="00820B56" w:rsidRDefault="00000000" w:rsidP="00B403FD">
      <w:pPr>
        <w:spacing w:before="100" w:beforeAutospacing="1" w:after="100" w:afterAutospacing="1"/>
        <w:jc w:val="both"/>
      </w:pPr>
      <w:r>
        <w:t>Access to the literature was incomplete. Subscription-based citation indexes were not available during preparation, and the search accordingly relied on open indexes, metadata registries and citation tracing. Material published in Indian journals that are not indexed in those resources, and material appearing in institutional reports, extension bulletins or theses, is likely to be under-represented. Because such sources carry a substantial proportion of Indian field observation, the review probably understates the volume of local phenotypic monitoring, although it is unlikely to understate the volume of local molecular work, which would ordinarily appear in indexed outlets. Only English-language publications were assessed, which may further reduce coverage of regionally published material.</w:t>
      </w:r>
    </w:p>
    <w:p w14:paraId="59B96AEC" w14:textId="77777777" w:rsidR="00820B56" w:rsidRDefault="00000000" w:rsidP="00B403FD">
      <w:pPr>
        <w:spacing w:before="100" w:beforeAutospacing="1" w:after="100" w:afterAutospacing="1"/>
        <w:jc w:val="both"/>
      </w:pPr>
      <w:r>
        <w:t>The evidence base is heterogeneous in ways that limit comparison. Resistance ratios drawn from different studies were generated with different bioassay methods, exposure routes, exposure durations and susceptible reference strains, so that values are not strictly comparable across studies and are reported here as the original authors expressed them. Geographical representation is uneven, with mechanistic evidence concentrated in East Asia, Brazil and Australia and Indian evidence concentrated in phenotypic screening and post-harvest genetics. Publication bias plausibly favours the reporting of populations in which resistance was detected over those in which it was not, which would inflate the apparent prevalence of resistance in any narrative reading of the literature.</w:t>
      </w:r>
    </w:p>
    <w:p w14:paraId="3947C736" w14:textId="77777777" w:rsidR="00820B56" w:rsidRDefault="00000000" w:rsidP="00B403FD">
      <w:pPr>
        <w:spacing w:before="100" w:beforeAutospacing="1" w:after="100" w:afterAutospacing="1"/>
        <w:jc w:val="both"/>
      </w:pPr>
      <w:r>
        <w:t xml:space="preserve">Several conclusions rest on observational rather than experimental evidence. The association between fumigation practice and resistance frequency, the interaction between varietal resistance and chemical selection, and the effect of climatic change on the number of generations exposed to selection are all supported by observational or controlled-environment data rather than by field experimentation, and </w:t>
      </w:r>
      <w:r>
        <w:lastRenderedPageBreak/>
        <w:t>causal language has been avoided accordingly. Long-term evidence is scarce throughout: no Indian cereal pest has a published susceptibility series of sufficient duration to estimate a rate of change, and the absence of such series is itself one of the findings of the review rather than a limitation that could be remedied within it. Finally, the field is developing rapidly, particularly in molecular diagnostics and population genomics, and conclusions concerning the availability of tools may date more quickly than conclusions concerning the underlying evolutionary parameters.</w:t>
      </w:r>
    </w:p>
    <w:p w14:paraId="797D954E" w14:textId="77777777" w:rsidR="00515A8F" w:rsidRDefault="00515A8F" w:rsidP="00B403FD">
      <w:pPr>
        <w:spacing w:before="100" w:beforeAutospacing="1" w:after="100" w:afterAutospacing="1"/>
        <w:jc w:val="both"/>
      </w:pPr>
    </w:p>
    <w:p w14:paraId="5FA80D04" w14:textId="77777777" w:rsidR="00515A8F" w:rsidRPr="000839CE" w:rsidRDefault="00515A8F" w:rsidP="00515A8F">
      <w:pPr>
        <w:rPr>
          <w:b/>
        </w:rPr>
      </w:pPr>
      <w:r w:rsidRPr="000839CE">
        <w:rPr>
          <w:b/>
        </w:rPr>
        <w:t>Declaration of AI Use</w:t>
      </w:r>
    </w:p>
    <w:p w14:paraId="4D084A7D" w14:textId="77777777" w:rsidR="00515A8F" w:rsidRPr="000839CE" w:rsidRDefault="00515A8F" w:rsidP="00515A8F"/>
    <w:p w14:paraId="521E76CD" w14:textId="77777777" w:rsidR="00515A8F" w:rsidRPr="000839CE" w:rsidRDefault="00515A8F" w:rsidP="00515A8F">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15BDDBF" w14:textId="77777777" w:rsidR="00515A8F" w:rsidRDefault="00515A8F" w:rsidP="00B403FD">
      <w:pPr>
        <w:spacing w:before="100" w:beforeAutospacing="1" w:after="100" w:afterAutospacing="1"/>
        <w:jc w:val="both"/>
      </w:pPr>
    </w:p>
    <w:p w14:paraId="11B2368A" w14:textId="77777777" w:rsidR="00820B56" w:rsidRDefault="00000000" w:rsidP="00B403FD">
      <w:pPr>
        <w:pStyle w:val="Heading1"/>
        <w:spacing w:before="100" w:beforeAutospacing="1" w:after="100" w:afterAutospacing="1"/>
      </w:pPr>
      <w:r>
        <w:rPr>
          <w:b/>
          <w:bCs/>
          <w:color w:val="000000"/>
          <w:sz w:val="26"/>
          <w:szCs w:val="26"/>
        </w:rPr>
        <w:t>References</w:t>
      </w:r>
    </w:p>
    <w:p w14:paraId="7CE31064" w14:textId="77777777" w:rsidR="00820B56" w:rsidRDefault="00000000" w:rsidP="00B403FD">
      <w:pPr>
        <w:spacing w:before="100" w:beforeAutospacing="1" w:after="100" w:afterAutospacing="1"/>
        <w:ind w:left="720" w:hanging="720"/>
      </w:pPr>
      <w:proofErr w:type="spellStart"/>
      <w:r>
        <w:t>Baethge</w:t>
      </w:r>
      <w:proofErr w:type="spellEnd"/>
      <w:r>
        <w:t xml:space="preserve">, C., Goldbeck-Wood, S., &amp; Mertens, S. (2019). SANRA—a scale for the quality assessment of narrative review articles. </w:t>
      </w:r>
      <w:r>
        <w:rPr>
          <w:i/>
          <w:iCs/>
        </w:rPr>
        <w:t>Research Integrity and Peer Review, 4</w:t>
      </w:r>
      <w:r>
        <w:t>, Article 5. https://doi.org/10.1186/s41073-019-0064-8</w:t>
      </w:r>
    </w:p>
    <w:p w14:paraId="2DF8B860" w14:textId="77777777" w:rsidR="00820B56" w:rsidRDefault="00000000" w:rsidP="00B403FD">
      <w:pPr>
        <w:spacing w:before="100" w:beforeAutospacing="1" w:after="100" w:afterAutospacing="1"/>
        <w:ind w:left="720" w:hanging="720"/>
      </w:pPr>
      <w:r>
        <w:t xml:space="preserve">Bass, C., Carvalho, R. A., Oliphant, L., </w:t>
      </w:r>
      <w:proofErr w:type="spellStart"/>
      <w:r>
        <w:t>Puinean</w:t>
      </w:r>
      <w:proofErr w:type="spellEnd"/>
      <w:r>
        <w:t xml:space="preserve">, A. M., Field, L. M., </w:t>
      </w:r>
      <w:proofErr w:type="spellStart"/>
      <w:r>
        <w:t>Nauen</w:t>
      </w:r>
      <w:proofErr w:type="spellEnd"/>
      <w:r>
        <w:t xml:space="preserve">, R., Williamson, M. S., </w:t>
      </w:r>
      <w:proofErr w:type="spellStart"/>
      <w:r>
        <w:t>Moores</w:t>
      </w:r>
      <w:proofErr w:type="spellEnd"/>
      <w:r>
        <w:t xml:space="preserve">, G., &amp; Gorman, K. (2011). Overexpression of a cytochrome P450 monooxygenase, </w:t>
      </w:r>
      <w:r>
        <w:rPr>
          <w:i/>
          <w:iCs/>
        </w:rPr>
        <w:t>CYP6ER1</w:t>
      </w:r>
      <w:r>
        <w:t xml:space="preserve">, is associated with resistance to imidacloprid in the brown planthopper, </w:t>
      </w:r>
      <w:proofErr w:type="spellStart"/>
      <w:r>
        <w:rPr>
          <w:i/>
          <w:iCs/>
        </w:rPr>
        <w:t>Nilaparvata</w:t>
      </w:r>
      <w:proofErr w:type="spellEnd"/>
      <w:r>
        <w:rPr>
          <w:i/>
          <w:iCs/>
        </w:rPr>
        <w:t xml:space="preserve"> </w:t>
      </w:r>
      <w:proofErr w:type="spellStart"/>
      <w:r>
        <w:rPr>
          <w:i/>
          <w:iCs/>
        </w:rPr>
        <w:t>lugens</w:t>
      </w:r>
      <w:proofErr w:type="spellEnd"/>
      <w:r>
        <w:t xml:space="preserve">. </w:t>
      </w:r>
      <w:r>
        <w:rPr>
          <w:i/>
          <w:iCs/>
        </w:rPr>
        <w:t>Insect Molecular Biology, 20</w:t>
      </w:r>
      <w:r>
        <w:t>(6), 763–773. https://doi.org/10.1111/j.1365-2583.2011.01105.x</w:t>
      </w:r>
    </w:p>
    <w:p w14:paraId="39C61204" w14:textId="77777777" w:rsidR="00820B56" w:rsidRDefault="00000000" w:rsidP="00B403FD">
      <w:pPr>
        <w:spacing w:before="100" w:beforeAutospacing="1" w:after="100" w:afterAutospacing="1"/>
        <w:ind w:left="720" w:hanging="720"/>
      </w:pPr>
      <w:r>
        <w:t xml:space="preserve">Bass, C., Denholm, I., Williamson, M. S., &amp; </w:t>
      </w:r>
      <w:proofErr w:type="spellStart"/>
      <w:r>
        <w:t>Nauen</w:t>
      </w:r>
      <w:proofErr w:type="spellEnd"/>
      <w:r>
        <w:t xml:space="preserve">, R. (2015). The global status of insect resistance to neonicotinoid insecticides. </w:t>
      </w:r>
      <w:r>
        <w:rPr>
          <w:i/>
          <w:iCs/>
        </w:rPr>
        <w:t>Pesticide Biochemistry and Physiology, 121</w:t>
      </w:r>
      <w:r>
        <w:t>, 78–87. https://doi.org/10.1016/j.pestbp.2015.04.004</w:t>
      </w:r>
    </w:p>
    <w:p w14:paraId="7EAE06CE" w14:textId="77777777" w:rsidR="00820B56" w:rsidRDefault="00000000" w:rsidP="00B403FD">
      <w:pPr>
        <w:spacing w:before="100" w:beforeAutospacing="1" w:after="100" w:afterAutospacing="1"/>
        <w:ind w:left="720" w:hanging="720"/>
      </w:pPr>
      <w:r>
        <w:t xml:space="preserve">Bass, C., </w:t>
      </w:r>
      <w:proofErr w:type="spellStart"/>
      <w:r>
        <w:t>Puinean</w:t>
      </w:r>
      <w:proofErr w:type="spellEnd"/>
      <w:r>
        <w:t xml:space="preserve">, A. M., Zimmer, C. T., Denholm, I., Field, L. M., Foster, S. P., Gutbrod, O., </w:t>
      </w:r>
      <w:proofErr w:type="spellStart"/>
      <w:r>
        <w:t>Nauen</w:t>
      </w:r>
      <w:proofErr w:type="spellEnd"/>
      <w:r>
        <w:t xml:space="preserve">, R., Slater, R., &amp; Williamson, M. S. (2014). The evolution of insecticide resistance in the peach potato aphid, </w:t>
      </w:r>
      <w:proofErr w:type="spellStart"/>
      <w:r>
        <w:rPr>
          <w:i/>
          <w:iCs/>
        </w:rPr>
        <w:t>Myzus</w:t>
      </w:r>
      <w:proofErr w:type="spellEnd"/>
      <w:r>
        <w:rPr>
          <w:i/>
          <w:iCs/>
        </w:rPr>
        <w:t xml:space="preserve"> </w:t>
      </w:r>
      <w:proofErr w:type="spellStart"/>
      <w:r>
        <w:rPr>
          <w:i/>
          <w:iCs/>
        </w:rPr>
        <w:t>persicae</w:t>
      </w:r>
      <w:proofErr w:type="spellEnd"/>
      <w:r>
        <w:t xml:space="preserve">. </w:t>
      </w:r>
      <w:r>
        <w:rPr>
          <w:i/>
          <w:iCs/>
        </w:rPr>
        <w:t>Insect Biochemistry and Molecular Biology, 51</w:t>
      </w:r>
      <w:r>
        <w:t>, 41–51. https://doi.org/10.1016/j.ibmb.2014.05.003</w:t>
      </w:r>
    </w:p>
    <w:p w14:paraId="7548077E" w14:textId="77777777" w:rsidR="00820B56" w:rsidRDefault="00000000" w:rsidP="00B403FD">
      <w:pPr>
        <w:spacing w:before="100" w:beforeAutospacing="1" w:after="100" w:afterAutospacing="1"/>
        <w:ind w:left="720" w:hanging="720"/>
      </w:pPr>
      <w:proofErr w:type="spellStart"/>
      <w:r>
        <w:t>Bentur</w:t>
      </w:r>
      <w:proofErr w:type="spellEnd"/>
      <w:r>
        <w:t xml:space="preserve">, J. S., </w:t>
      </w:r>
      <w:proofErr w:type="spellStart"/>
      <w:r>
        <w:t>Cheralu</w:t>
      </w:r>
      <w:proofErr w:type="spellEnd"/>
      <w:r>
        <w:t xml:space="preserve">, C., &amp; Rao, P. R. M. (2008). Monitoring virulence in Asian rice gall midge populations in India. </w:t>
      </w:r>
      <w:proofErr w:type="spellStart"/>
      <w:r>
        <w:rPr>
          <w:i/>
          <w:iCs/>
        </w:rPr>
        <w:t>Entomologia</w:t>
      </w:r>
      <w:proofErr w:type="spellEnd"/>
      <w:r>
        <w:rPr>
          <w:i/>
          <w:iCs/>
        </w:rPr>
        <w:t xml:space="preserve"> </w:t>
      </w:r>
      <w:proofErr w:type="spellStart"/>
      <w:r>
        <w:rPr>
          <w:i/>
          <w:iCs/>
        </w:rPr>
        <w:t>Experimentalis</w:t>
      </w:r>
      <w:proofErr w:type="spellEnd"/>
      <w:r>
        <w:rPr>
          <w:i/>
          <w:iCs/>
        </w:rPr>
        <w:t xml:space="preserve"> et </w:t>
      </w:r>
      <w:proofErr w:type="spellStart"/>
      <w:r>
        <w:rPr>
          <w:i/>
          <w:iCs/>
        </w:rPr>
        <w:t>Applicata</w:t>
      </w:r>
      <w:proofErr w:type="spellEnd"/>
      <w:r>
        <w:rPr>
          <w:i/>
          <w:iCs/>
        </w:rPr>
        <w:t>, 129</w:t>
      </w:r>
      <w:r>
        <w:t>(1), 96–106. https://doi.org/10.1111/j.1570-7458.2008.00756.x</w:t>
      </w:r>
    </w:p>
    <w:p w14:paraId="675453F3" w14:textId="77777777" w:rsidR="00820B56" w:rsidRDefault="00000000" w:rsidP="00B403FD">
      <w:pPr>
        <w:spacing w:before="100" w:beforeAutospacing="1" w:after="100" w:afterAutospacing="1"/>
        <w:ind w:left="720" w:hanging="720"/>
      </w:pPr>
      <w:r>
        <w:t xml:space="preserve">Bird, L. J., Miles, M., Quade, A., &amp; Spafford, H. (2022). Insecticide resistance in Australian </w:t>
      </w:r>
      <w:r>
        <w:rPr>
          <w:i/>
          <w:iCs/>
        </w:rPr>
        <w:t xml:space="preserve">Spodoptera </w:t>
      </w:r>
      <w:proofErr w:type="spellStart"/>
      <w:r>
        <w:rPr>
          <w:i/>
          <w:iCs/>
        </w:rPr>
        <w:t>frugiperda</w:t>
      </w:r>
      <w:proofErr w:type="spellEnd"/>
      <w:r>
        <w:t xml:space="preserve"> (J. E. Smith) and development of testing procedures for resistance surveillance. </w:t>
      </w:r>
      <w:r>
        <w:rPr>
          <w:i/>
          <w:iCs/>
        </w:rPr>
        <w:t>PLOS ONE, 17</w:t>
      </w:r>
      <w:r>
        <w:t>(2), Article e0263677. https://doi.org/10.1371/journal.pone.0263677</w:t>
      </w:r>
    </w:p>
    <w:p w14:paraId="29256FC3" w14:textId="77777777" w:rsidR="00820B56" w:rsidRDefault="00000000" w:rsidP="00B403FD">
      <w:pPr>
        <w:spacing w:before="100" w:beforeAutospacing="1" w:after="100" w:afterAutospacing="1"/>
        <w:ind w:left="720" w:hanging="720"/>
      </w:pPr>
      <w:r>
        <w:lastRenderedPageBreak/>
        <w:t xml:space="preserve">Boaventura, D., Bolzan, A., </w:t>
      </w:r>
      <w:proofErr w:type="spellStart"/>
      <w:r>
        <w:t>Padovez</w:t>
      </w:r>
      <w:proofErr w:type="spellEnd"/>
      <w:r>
        <w:t xml:space="preserve">, F. E. O., Okuma, D. M., Omoto, C., &amp; </w:t>
      </w:r>
      <w:proofErr w:type="spellStart"/>
      <w:r>
        <w:t>Nauen</w:t>
      </w:r>
      <w:proofErr w:type="spellEnd"/>
      <w:r>
        <w:t xml:space="preserve">, R. (2020). Detection of a ryanodine receptor target-site mutation in diamide insecticide resistant fall armyworm, </w:t>
      </w:r>
      <w:r>
        <w:rPr>
          <w:i/>
          <w:iCs/>
        </w:rPr>
        <w:t xml:space="preserve">Spodoptera </w:t>
      </w:r>
      <w:proofErr w:type="spellStart"/>
      <w:r>
        <w:rPr>
          <w:i/>
          <w:iCs/>
        </w:rPr>
        <w:t>frugiperda</w:t>
      </w:r>
      <w:proofErr w:type="spellEnd"/>
      <w:r>
        <w:t xml:space="preserve">. </w:t>
      </w:r>
      <w:r>
        <w:rPr>
          <w:i/>
          <w:iCs/>
        </w:rPr>
        <w:t>Pest Management Science, 76</w:t>
      </w:r>
      <w:r>
        <w:t>(1), 47–54. https://doi.org/10.1002/ps.5505</w:t>
      </w:r>
    </w:p>
    <w:p w14:paraId="1C3D678E" w14:textId="77777777" w:rsidR="00820B56" w:rsidRDefault="00000000" w:rsidP="00B403FD">
      <w:pPr>
        <w:spacing w:before="100" w:beforeAutospacing="1" w:after="100" w:afterAutospacing="1"/>
        <w:ind w:left="720" w:hanging="720"/>
      </w:pPr>
      <w:r>
        <w:t xml:space="preserve">Boaventura, D., Martin, M., </w:t>
      </w:r>
      <w:proofErr w:type="spellStart"/>
      <w:r>
        <w:t>Pozzebon</w:t>
      </w:r>
      <w:proofErr w:type="spellEnd"/>
      <w:r>
        <w:t xml:space="preserve">, A., Mota-Sanchez, D., &amp; </w:t>
      </w:r>
      <w:proofErr w:type="spellStart"/>
      <w:r>
        <w:t>Nauen</w:t>
      </w:r>
      <w:proofErr w:type="spellEnd"/>
      <w:r>
        <w:t xml:space="preserve">, R. (2020). Monitoring of target-site mutations conferring insecticide resistance in </w:t>
      </w:r>
      <w:r>
        <w:rPr>
          <w:i/>
          <w:iCs/>
        </w:rPr>
        <w:t xml:space="preserve">Spodoptera </w:t>
      </w:r>
      <w:proofErr w:type="spellStart"/>
      <w:r>
        <w:rPr>
          <w:i/>
          <w:iCs/>
        </w:rPr>
        <w:t>frugiperda</w:t>
      </w:r>
      <w:proofErr w:type="spellEnd"/>
      <w:r>
        <w:t xml:space="preserve">. </w:t>
      </w:r>
      <w:r>
        <w:rPr>
          <w:i/>
          <w:iCs/>
        </w:rPr>
        <w:t>Insects, 11</w:t>
      </w:r>
      <w:r>
        <w:t>(8), Article 545. https://doi.org/10.3390/insects11080545</w:t>
      </w:r>
    </w:p>
    <w:p w14:paraId="7ABA72A5" w14:textId="77777777" w:rsidR="00820B56" w:rsidRDefault="00000000" w:rsidP="00B403FD">
      <w:pPr>
        <w:spacing w:before="100" w:beforeAutospacing="1" w:after="100" w:afterAutospacing="1"/>
        <w:ind w:left="720" w:hanging="720"/>
      </w:pPr>
      <w:r>
        <w:t xml:space="preserve">Bonvoisin, T., </w:t>
      </w:r>
      <w:proofErr w:type="spellStart"/>
      <w:r>
        <w:t>Utyasheva</w:t>
      </w:r>
      <w:proofErr w:type="spellEnd"/>
      <w:r>
        <w:t xml:space="preserve">, L., Knipe, D., Gunnell, D., &amp; Eddleston, M. (2020). Suicide by pesticide poisoning in India: A review of pesticide regulations and their impact on suicide trends. </w:t>
      </w:r>
      <w:r>
        <w:rPr>
          <w:i/>
          <w:iCs/>
        </w:rPr>
        <w:t>BMC Public Health, 20</w:t>
      </w:r>
      <w:r>
        <w:t>, Article 251. https://doi.org/10.1186/s12889-020-8339-z</w:t>
      </w:r>
    </w:p>
    <w:p w14:paraId="5DCD2FC2" w14:textId="77777777" w:rsidR="00820B56" w:rsidRDefault="00000000" w:rsidP="00B403FD">
      <w:pPr>
        <w:spacing w:before="100" w:beforeAutospacing="1" w:after="100" w:afterAutospacing="1"/>
        <w:ind w:left="720" w:hanging="720"/>
      </w:pPr>
      <w:r>
        <w:t xml:space="preserve">Chen, Z., Schlipalius, D., </w:t>
      </w:r>
      <w:proofErr w:type="spellStart"/>
      <w:r>
        <w:t>Opit</w:t>
      </w:r>
      <w:proofErr w:type="spellEnd"/>
      <w:r>
        <w:t xml:space="preserve">, G., Subramanyam, B., &amp; Phillips, T. W. (2015). Diagnostic molecular markers for phosphine resistance in U.S. populations of </w:t>
      </w:r>
      <w:r>
        <w:rPr>
          <w:i/>
          <w:iCs/>
        </w:rPr>
        <w:t xml:space="preserve">Tribolium </w:t>
      </w:r>
      <w:proofErr w:type="spellStart"/>
      <w:r>
        <w:rPr>
          <w:i/>
          <w:iCs/>
        </w:rPr>
        <w:t>castaneum</w:t>
      </w:r>
      <w:proofErr w:type="spellEnd"/>
      <w:r>
        <w:t xml:space="preserve"> and </w:t>
      </w:r>
      <w:proofErr w:type="spellStart"/>
      <w:r>
        <w:rPr>
          <w:i/>
          <w:iCs/>
        </w:rPr>
        <w:t>Rhyzopertha</w:t>
      </w:r>
      <w:proofErr w:type="spellEnd"/>
      <w:r>
        <w:rPr>
          <w:i/>
          <w:iCs/>
        </w:rPr>
        <w:t xml:space="preserve"> </w:t>
      </w:r>
      <w:proofErr w:type="spellStart"/>
      <w:r>
        <w:rPr>
          <w:i/>
          <w:iCs/>
        </w:rPr>
        <w:t>dominica</w:t>
      </w:r>
      <w:proofErr w:type="spellEnd"/>
      <w:r>
        <w:t xml:space="preserve">. </w:t>
      </w:r>
      <w:r>
        <w:rPr>
          <w:i/>
          <w:iCs/>
        </w:rPr>
        <w:t>PLOS ONE, 10</w:t>
      </w:r>
      <w:r>
        <w:t>(3), Article e0121343. https://doi.org/10.1371/journal.pone.0121343</w:t>
      </w:r>
    </w:p>
    <w:p w14:paraId="23ADFD38" w14:textId="77777777" w:rsidR="00820B56" w:rsidRDefault="00000000" w:rsidP="00B403FD">
      <w:pPr>
        <w:spacing w:before="100" w:beforeAutospacing="1" w:after="100" w:afterAutospacing="1"/>
        <w:ind w:left="720" w:hanging="720"/>
      </w:pPr>
      <w:proofErr w:type="spellStart"/>
      <w:r>
        <w:t>Deguine</w:t>
      </w:r>
      <w:proofErr w:type="spellEnd"/>
      <w:r>
        <w:t xml:space="preserve">, J.-P., </w:t>
      </w:r>
      <w:proofErr w:type="spellStart"/>
      <w:r>
        <w:t>Aubertot</w:t>
      </w:r>
      <w:proofErr w:type="spellEnd"/>
      <w:r>
        <w:t xml:space="preserve">, J.-N., Flor, R. J., </w:t>
      </w:r>
      <w:proofErr w:type="spellStart"/>
      <w:r>
        <w:t>Lescourret</w:t>
      </w:r>
      <w:proofErr w:type="spellEnd"/>
      <w:r>
        <w:t xml:space="preserve">, F., </w:t>
      </w:r>
      <w:proofErr w:type="spellStart"/>
      <w:r>
        <w:t>Wyckhuys</w:t>
      </w:r>
      <w:proofErr w:type="spellEnd"/>
      <w:r>
        <w:t xml:space="preserve">, K. A. G., &amp; </w:t>
      </w:r>
      <w:proofErr w:type="spellStart"/>
      <w:r>
        <w:t>Ratnadass</w:t>
      </w:r>
      <w:proofErr w:type="spellEnd"/>
      <w:r>
        <w:t xml:space="preserve">, A. (2021). Integrated pest management: Good intentions, hard realities. A review. </w:t>
      </w:r>
      <w:r>
        <w:rPr>
          <w:i/>
          <w:iCs/>
        </w:rPr>
        <w:t>Agronomy for Sustainable Development, 41</w:t>
      </w:r>
      <w:r>
        <w:t>(3), Article 38. https://doi.org/10.1007/s13593-021-00689-w</w:t>
      </w:r>
    </w:p>
    <w:p w14:paraId="64D81BB8" w14:textId="77777777" w:rsidR="00820B56" w:rsidRDefault="00000000" w:rsidP="00B403FD">
      <w:pPr>
        <w:spacing w:before="100" w:beforeAutospacing="1" w:after="100" w:afterAutospacing="1"/>
        <w:ind w:left="720" w:hanging="720"/>
      </w:pPr>
      <w:proofErr w:type="spellStart"/>
      <w:r>
        <w:t>Dermauw</w:t>
      </w:r>
      <w:proofErr w:type="spellEnd"/>
      <w:r>
        <w:t xml:space="preserve">, W., &amp; Van Leeuwen, T. (2014). The ABC gene family in arthropods: Comparative genomics and role in insecticide transport and resistance. </w:t>
      </w:r>
      <w:r>
        <w:rPr>
          <w:i/>
          <w:iCs/>
        </w:rPr>
        <w:t>Insect Biochemistry and Molecular Biology, 45</w:t>
      </w:r>
      <w:r>
        <w:t>, 89–110. https://doi.org/10.1016/j.ibmb.2013.11.001</w:t>
      </w:r>
    </w:p>
    <w:p w14:paraId="51AC3B88" w14:textId="77777777" w:rsidR="00820B56" w:rsidRDefault="00000000" w:rsidP="00B403FD">
      <w:pPr>
        <w:spacing w:before="100" w:beforeAutospacing="1" w:after="100" w:afterAutospacing="1"/>
        <w:ind w:left="720" w:hanging="720"/>
      </w:pPr>
      <w:r>
        <w:t xml:space="preserve">Deshmukh, S., Pavithra, H. B., </w:t>
      </w:r>
      <w:proofErr w:type="spellStart"/>
      <w:r>
        <w:t>Kalleshwaraswamy</w:t>
      </w:r>
      <w:proofErr w:type="spellEnd"/>
      <w:r>
        <w:t xml:space="preserve">, C. M., </w:t>
      </w:r>
      <w:proofErr w:type="spellStart"/>
      <w:r>
        <w:t>Shivanna</w:t>
      </w:r>
      <w:proofErr w:type="spellEnd"/>
      <w:r>
        <w:t xml:space="preserve">, B. K., Maruthi, M. S., &amp; Mota-Sanchez, D. (2020). Field efficacy of insecticides for management of invasive fall armyworm, </w:t>
      </w:r>
      <w:r>
        <w:rPr>
          <w:i/>
          <w:iCs/>
        </w:rPr>
        <w:t xml:space="preserve">Spodoptera </w:t>
      </w:r>
      <w:proofErr w:type="spellStart"/>
      <w:r>
        <w:rPr>
          <w:i/>
          <w:iCs/>
        </w:rPr>
        <w:t>frugiperda</w:t>
      </w:r>
      <w:proofErr w:type="spellEnd"/>
      <w:r>
        <w:t xml:space="preserve"> (J. E. Smith) (Lepidoptera: </w:t>
      </w:r>
      <w:proofErr w:type="spellStart"/>
      <w:r>
        <w:t>Noctuidae</w:t>
      </w:r>
      <w:proofErr w:type="spellEnd"/>
      <w:r>
        <w:t xml:space="preserve">) on maize in India. </w:t>
      </w:r>
      <w:r>
        <w:rPr>
          <w:i/>
          <w:iCs/>
        </w:rPr>
        <w:t>Florida Entomologist, 103</w:t>
      </w:r>
      <w:r>
        <w:t>(2), 221–227. https://doi.org/10.1653/024.103.0211</w:t>
      </w:r>
    </w:p>
    <w:p w14:paraId="5774BA81" w14:textId="77777777" w:rsidR="00820B56" w:rsidRDefault="00000000" w:rsidP="00B403FD">
      <w:pPr>
        <w:spacing w:before="100" w:beforeAutospacing="1" w:after="100" w:afterAutospacing="1"/>
        <w:ind w:left="720" w:hanging="720"/>
      </w:pPr>
      <w:proofErr w:type="spellStart"/>
      <w:r>
        <w:t>Dhurua</w:t>
      </w:r>
      <w:proofErr w:type="spellEnd"/>
      <w:r>
        <w:t xml:space="preserve">, S., &amp; Gujar, G. T. (2011). Field-evolved resistance to </w:t>
      </w:r>
      <w:proofErr w:type="spellStart"/>
      <w:r>
        <w:t>Bt</w:t>
      </w:r>
      <w:proofErr w:type="spellEnd"/>
      <w:r>
        <w:t xml:space="preserve"> toxin Cry1Ac in the pink bollworm, </w:t>
      </w:r>
      <w:proofErr w:type="spellStart"/>
      <w:r>
        <w:rPr>
          <w:i/>
          <w:iCs/>
        </w:rPr>
        <w:t>Pectinophora</w:t>
      </w:r>
      <w:proofErr w:type="spellEnd"/>
      <w:r>
        <w:rPr>
          <w:i/>
          <w:iCs/>
        </w:rPr>
        <w:t xml:space="preserve"> </w:t>
      </w:r>
      <w:proofErr w:type="spellStart"/>
      <w:r>
        <w:rPr>
          <w:i/>
          <w:iCs/>
        </w:rPr>
        <w:t>gossypiella</w:t>
      </w:r>
      <w:proofErr w:type="spellEnd"/>
      <w:r>
        <w:t xml:space="preserve"> (Saunders) (Lepidoptera: </w:t>
      </w:r>
      <w:proofErr w:type="spellStart"/>
      <w:r>
        <w:t>Gelechiidae</w:t>
      </w:r>
      <w:proofErr w:type="spellEnd"/>
      <w:r>
        <w:t xml:space="preserve">), from India. </w:t>
      </w:r>
      <w:r>
        <w:rPr>
          <w:i/>
          <w:iCs/>
        </w:rPr>
        <w:t>Pest Management Science, 67</w:t>
      </w:r>
      <w:r>
        <w:t>(8), 898–903. https://doi.org/10.1002/ps.2127</w:t>
      </w:r>
    </w:p>
    <w:p w14:paraId="3423C87F" w14:textId="77777777" w:rsidR="00820B56" w:rsidRDefault="00000000" w:rsidP="00B403FD">
      <w:pPr>
        <w:spacing w:before="100" w:beforeAutospacing="1" w:after="100" w:afterAutospacing="1"/>
        <w:ind w:left="720" w:hanging="720"/>
      </w:pPr>
      <w:r>
        <w:t xml:space="preserve">Duarte, A., Pym, A., Garrood, W. T., </w:t>
      </w:r>
      <w:proofErr w:type="spellStart"/>
      <w:r>
        <w:t>Troczka</w:t>
      </w:r>
      <w:proofErr w:type="spellEnd"/>
      <w:r>
        <w:t xml:space="preserve">, B. J., Zimmer, C. T., Davies, T. G. E., </w:t>
      </w:r>
      <w:proofErr w:type="spellStart"/>
      <w:r>
        <w:t>Nauen</w:t>
      </w:r>
      <w:proofErr w:type="spellEnd"/>
      <w:r>
        <w:t xml:space="preserve">, R., O'Reilly, A. O., &amp; Bass, C. (2022). P450 gene duplication and divergence led to the evolution of dual novel functions and insecticide cross-resistance in the brown planthopper </w:t>
      </w:r>
      <w:proofErr w:type="spellStart"/>
      <w:r>
        <w:rPr>
          <w:i/>
          <w:iCs/>
        </w:rPr>
        <w:t>Nilaparvata</w:t>
      </w:r>
      <w:proofErr w:type="spellEnd"/>
      <w:r>
        <w:rPr>
          <w:i/>
          <w:iCs/>
        </w:rPr>
        <w:t xml:space="preserve"> </w:t>
      </w:r>
      <w:proofErr w:type="spellStart"/>
      <w:r>
        <w:rPr>
          <w:i/>
          <w:iCs/>
        </w:rPr>
        <w:t>lugens</w:t>
      </w:r>
      <w:proofErr w:type="spellEnd"/>
      <w:r>
        <w:t xml:space="preserve">. </w:t>
      </w:r>
      <w:r>
        <w:rPr>
          <w:i/>
          <w:iCs/>
        </w:rPr>
        <w:t>PLOS Genetics, 18</w:t>
      </w:r>
      <w:r>
        <w:t>(6), Article e1010279. https://doi.org/10.1371/journal.pgen.1010279</w:t>
      </w:r>
    </w:p>
    <w:p w14:paraId="5BCF7D9C" w14:textId="77777777" w:rsidR="00820B56" w:rsidRDefault="00000000" w:rsidP="00B403FD">
      <w:pPr>
        <w:spacing w:before="100" w:beforeAutospacing="1" w:after="100" w:afterAutospacing="1"/>
        <w:ind w:left="720" w:hanging="720"/>
      </w:pPr>
      <w:r>
        <w:t xml:space="preserve">Ferrari, R. (2015). Writing narrative style literature reviews. </w:t>
      </w:r>
      <w:r>
        <w:rPr>
          <w:i/>
          <w:iCs/>
        </w:rPr>
        <w:t>Medical Writing, 24</w:t>
      </w:r>
      <w:r>
        <w:t>(4), 230–235. https://doi.org/10.1179/2047480615Z.000000000329</w:t>
      </w:r>
    </w:p>
    <w:p w14:paraId="4212C2D5" w14:textId="77777777" w:rsidR="00820B56" w:rsidRDefault="00000000" w:rsidP="00B403FD">
      <w:pPr>
        <w:spacing w:before="100" w:beforeAutospacing="1" w:after="100" w:afterAutospacing="1"/>
        <w:ind w:left="720" w:hanging="720"/>
      </w:pPr>
      <w:r>
        <w:t>Food and Agriculture Organization of the United Nations. (2025). Pesticides use and trade, 1990–2023. FAO. https://www.fao.org/statistics/highlights-archive/highlights-detail/pesticides-use-and-trade-1990-2023/en</w:t>
      </w:r>
    </w:p>
    <w:p w14:paraId="64C93434" w14:textId="77777777" w:rsidR="00820B56" w:rsidRDefault="00000000" w:rsidP="00B403FD">
      <w:pPr>
        <w:spacing w:before="100" w:beforeAutospacing="1" w:after="100" w:afterAutospacing="1"/>
        <w:ind w:left="720" w:hanging="720"/>
      </w:pPr>
      <w:r>
        <w:t xml:space="preserve">Freeman, J. C., Smith, L. B., Silva, J. J., Fan, Y., Sun, H., &amp; Scott, J. G. (2021). Fitness studies of insecticide resistant strains: Lessons learned and future directions. </w:t>
      </w:r>
      <w:r>
        <w:rPr>
          <w:i/>
          <w:iCs/>
        </w:rPr>
        <w:t>Pest Management Science, 77</w:t>
      </w:r>
      <w:r>
        <w:t>(9), 3847–3856. https://doi.org/10.1002/ps.6306</w:t>
      </w:r>
    </w:p>
    <w:p w14:paraId="15E48C08" w14:textId="77777777" w:rsidR="00820B56" w:rsidRDefault="00000000" w:rsidP="00B403FD">
      <w:pPr>
        <w:spacing w:before="100" w:beforeAutospacing="1" w:after="100" w:afterAutospacing="1"/>
        <w:ind w:left="720" w:hanging="720"/>
      </w:pPr>
      <w:r>
        <w:lastRenderedPageBreak/>
        <w:t xml:space="preserve">Garrood, W. T., Zimmer, C. T., Gorman, K. J., </w:t>
      </w:r>
      <w:proofErr w:type="spellStart"/>
      <w:r>
        <w:t>Nauen</w:t>
      </w:r>
      <w:proofErr w:type="spellEnd"/>
      <w:r>
        <w:t xml:space="preserve">, R., Bass, C., &amp; Davies, T. G. E. (2016). Field-evolved resistance to imidacloprid and </w:t>
      </w:r>
      <w:proofErr w:type="spellStart"/>
      <w:r>
        <w:t>ethiprole</w:t>
      </w:r>
      <w:proofErr w:type="spellEnd"/>
      <w:r>
        <w:t xml:space="preserve"> in populations of brown planthopper </w:t>
      </w:r>
      <w:proofErr w:type="spellStart"/>
      <w:r>
        <w:rPr>
          <w:i/>
          <w:iCs/>
        </w:rPr>
        <w:t>Nilaparvata</w:t>
      </w:r>
      <w:proofErr w:type="spellEnd"/>
      <w:r>
        <w:rPr>
          <w:i/>
          <w:iCs/>
        </w:rPr>
        <w:t xml:space="preserve"> </w:t>
      </w:r>
      <w:proofErr w:type="spellStart"/>
      <w:r>
        <w:rPr>
          <w:i/>
          <w:iCs/>
        </w:rPr>
        <w:t>lugens</w:t>
      </w:r>
      <w:proofErr w:type="spellEnd"/>
      <w:r>
        <w:t xml:space="preserve"> collected from across South and East Asia. </w:t>
      </w:r>
      <w:r>
        <w:rPr>
          <w:i/>
          <w:iCs/>
        </w:rPr>
        <w:t>Pest Management Science, 72</w:t>
      </w:r>
      <w:r>
        <w:t>(1), 140–149. https://doi.org/10.1002/ps.3980</w:t>
      </w:r>
    </w:p>
    <w:p w14:paraId="7BDCB9E9" w14:textId="77777777" w:rsidR="00820B56" w:rsidRDefault="00000000" w:rsidP="00B403FD">
      <w:pPr>
        <w:spacing w:before="100" w:beforeAutospacing="1" w:after="100" w:afterAutospacing="1"/>
        <w:ind w:left="720" w:hanging="720"/>
      </w:pPr>
      <w:r>
        <w:t xml:space="preserve">Garrood, W. T., Zimmer, C. T., Gutbrod, O., </w:t>
      </w:r>
      <w:proofErr w:type="spellStart"/>
      <w:r>
        <w:t>Lüke</w:t>
      </w:r>
      <w:proofErr w:type="spellEnd"/>
      <w:r>
        <w:t xml:space="preserve">, B., Williamson, M. S., Bass, C., </w:t>
      </w:r>
      <w:proofErr w:type="spellStart"/>
      <w:r>
        <w:t>Nauen</w:t>
      </w:r>
      <w:proofErr w:type="spellEnd"/>
      <w:r>
        <w:t xml:space="preserve">, R., &amp; Davies, T. G. E. (2017). Influence of the RDL A301S mutation in the brown planthopper </w:t>
      </w:r>
      <w:proofErr w:type="spellStart"/>
      <w:r>
        <w:rPr>
          <w:i/>
          <w:iCs/>
        </w:rPr>
        <w:t>Nilaparvata</w:t>
      </w:r>
      <w:proofErr w:type="spellEnd"/>
      <w:r>
        <w:rPr>
          <w:i/>
          <w:iCs/>
        </w:rPr>
        <w:t xml:space="preserve"> </w:t>
      </w:r>
      <w:proofErr w:type="spellStart"/>
      <w:r>
        <w:rPr>
          <w:i/>
          <w:iCs/>
        </w:rPr>
        <w:t>lugens</w:t>
      </w:r>
      <w:proofErr w:type="spellEnd"/>
      <w:r>
        <w:t xml:space="preserve"> on the activity of </w:t>
      </w:r>
      <w:proofErr w:type="spellStart"/>
      <w:r>
        <w:t>phenylpyrazole</w:t>
      </w:r>
      <w:proofErr w:type="spellEnd"/>
      <w:r>
        <w:t xml:space="preserve"> insecticides. </w:t>
      </w:r>
      <w:r>
        <w:rPr>
          <w:i/>
          <w:iCs/>
        </w:rPr>
        <w:t>Pesticide Biochemistry and Physiology, 142</w:t>
      </w:r>
      <w:r>
        <w:t>, 1–8. https://doi.org/10.1016/j.pestbp.2017.01.007</w:t>
      </w:r>
    </w:p>
    <w:p w14:paraId="5DD529E3" w14:textId="77777777" w:rsidR="00820B56" w:rsidRDefault="00000000" w:rsidP="00B403FD">
      <w:pPr>
        <w:spacing w:before="100" w:beforeAutospacing="1" w:after="100" w:afterAutospacing="1"/>
        <w:ind w:left="720" w:hanging="720"/>
      </w:pPr>
      <w:r>
        <w:t xml:space="preserve">Gimenez, S., Abdelgaffar, H., Le Goff, G., Hilliou, F., Blanco, C. A., </w:t>
      </w:r>
      <w:proofErr w:type="spellStart"/>
      <w:r>
        <w:t>Hänniger</w:t>
      </w:r>
      <w:proofErr w:type="spellEnd"/>
      <w:r>
        <w:t xml:space="preserve">, S., </w:t>
      </w:r>
      <w:proofErr w:type="spellStart"/>
      <w:r>
        <w:t>Bretaudeau</w:t>
      </w:r>
      <w:proofErr w:type="spellEnd"/>
      <w:r>
        <w:t xml:space="preserve">, A., </w:t>
      </w:r>
      <w:proofErr w:type="spellStart"/>
      <w:r>
        <w:t>Legeai</w:t>
      </w:r>
      <w:proofErr w:type="spellEnd"/>
      <w:r>
        <w:t xml:space="preserve">, F., Nègre, N., Jurat-Fuentes, J. L., d'Alençon, E., &amp; Nam, K. (2020). Adaptation by copy number variation increases insecticide resistance in the fall armyworm. </w:t>
      </w:r>
      <w:r>
        <w:rPr>
          <w:i/>
          <w:iCs/>
        </w:rPr>
        <w:t>Communications Biology, 3</w:t>
      </w:r>
      <w:r>
        <w:t>, Article 664. https://doi.org/10.1038/s42003-020-01382-6</w:t>
      </w:r>
    </w:p>
    <w:p w14:paraId="55B4C840" w14:textId="77777777" w:rsidR="00820B56" w:rsidRDefault="00000000" w:rsidP="00B403FD">
      <w:pPr>
        <w:spacing w:before="100" w:beforeAutospacing="1" w:after="100" w:afterAutospacing="1"/>
        <w:ind w:left="720" w:hanging="720"/>
      </w:pPr>
      <w:r>
        <w:t xml:space="preserve">Guedes, R. N. C., &amp; Cutler, G. C. (2014). Insecticide-induced hormesis and arthropod pest management. </w:t>
      </w:r>
      <w:r>
        <w:rPr>
          <w:i/>
          <w:iCs/>
        </w:rPr>
        <w:t>Pest Management Science, 70</w:t>
      </w:r>
      <w:r>
        <w:t>(5), 690–697. https://doi.org/10.1002/ps.3669</w:t>
      </w:r>
    </w:p>
    <w:p w14:paraId="1373107A" w14:textId="77777777" w:rsidR="00820B56" w:rsidRDefault="00000000" w:rsidP="00B403FD">
      <w:pPr>
        <w:spacing w:before="100" w:beforeAutospacing="1" w:after="100" w:afterAutospacing="1"/>
        <w:ind w:left="720" w:hanging="720"/>
      </w:pPr>
      <w:r>
        <w:t xml:space="preserve">Gul, H., </w:t>
      </w:r>
      <w:proofErr w:type="spellStart"/>
      <w:r>
        <w:t>Gadratagi</w:t>
      </w:r>
      <w:proofErr w:type="spellEnd"/>
      <w:r>
        <w:t xml:space="preserve">, B. G., </w:t>
      </w:r>
      <w:proofErr w:type="spellStart"/>
      <w:r>
        <w:t>Güncan</w:t>
      </w:r>
      <w:proofErr w:type="spellEnd"/>
      <w:r>
        <w:t xml:space="preserve">, A., Tyagi, S., Ullah, F., </w:t>
      </w:r>
      <w:proofErr w:type="spellStart"/>
      <w:r>
        <w:t>Desneux</w:t>
      </w:r>
      <w:proofErr w:type="spellEnd"/>
      <w:r>
        <w:t xml:space="preserve">, N., &amp; Liu, X. (2023). Fitness costs of resistance to insecticides in insects. </w:t>
      </w:r>
      <w:r>
        <w:rPr>
          <w:i/>
          <w:iCs/>
        </w:rPr>
        <w:t>Frontiers in Physiology, 14</w:t>
      </w:r>
      <w:r>
        <w:t>, Article 1238111. https://doi.org/10.3389/fphys.2023.1238111</w:t>
      </w:r>
    </w:p>
    <w:p w14:paraId="404BC7E6" w14:textId="77777777" w:rsidR="00820B56" w:rsidRDefault="00000000" w:rsidP="00B403FD">
      <w:pPr>
        <w:spacing w:before="100" w:beforeAutospacing="1" w:after="100" w:afterAutospacing="1"/>
        <w:ind w:left="720" w:hanging="720"/>
      </w:pPr>
      <w:proofErr w:type="spellStart"/>
      <w:r>
        <w:t>Hagstrum</w:t>
      </w:r>
      <w:proofErr w:type="spellEnd"/>
      <w:r>
        <w:t xml:space="preserve">, D. W., &amp; Phillips, T. W. (2017). Evolution of stored-product entomology: Protecting the world food supply. </w:t>
      </w:r>
      <w:r>
        <w:rPr>
          <w:i/>
          <w:iCs/>
        </w:rPr>
        <w:t>Annual Review of Entomology, 62</w:t>
      </w:r>
      <w:r>
        <w:t>, 379–397. https://doi.org/10.1146/annurev-ento-031616-035146</w:t>
      </w:r>
    </w:p>
    <w:p w14:paraId="3640A982" w14:textId="77777777" w:rsidR="00820B56" w:rsidRDefault="00000000" w:rsidP="00B403FD">
      <w:pPr>
        <w:spacing w:before="100" w:beforeAutospacing="1" w:after="100" w:afterAutospacing="1"/>
        <w:ind w:left="720" w:hanging="720"/>
      </w:pPr>
      <w:r>
        <w:t xml:space="preserve">Hobbs, N. P., Weetman, D., &amp; Hastings, I. M. (2023). Insecticide resistance management strategies for public health control of mosquitoes exhibiting polygenic resistance: A comparison of sequences, rotations, and mixtures. </w:t>
      </w:r>
      <w:r>
        <w:rPr>
          <w:i/>
          <w:iCs/>
        </w:rPr>
        <w:t>Evolutionary Applications, 16</w:t>
      </w:r>
      <w:r>
        <w:t>(4), 936–959. https://doi.org/10.1111/eva.13546</w:t>
      </w:r>
    </w:p>
    <w:p w14:paraId="69B3A9BB" w14:textId="77777777" w:rsidR="00820B56" w:rsidRDefault="00000000" w:rsidP="00B403FD">
      <w:pPr>
        <w:spacing w:before="100" w:beforeAutospacing="1" w:after="100" w:afterAutospacing="1"/>
        <w:ind w:left="720" w:hanging="720"/>
      </w:pPr>
      <w:r>
        <w:t xml:space="preserve">Horgan, F. G. (2024). Virulence adaptation by rice planthoppers and leafhoppers to resistance genes and loci: A review. </w:t>
      </w:r>
      <w:r>
        <w:rPr>
          <w:i/>
          <w:iCs/>
        </w:rPr>
        <w:t>Insects, 15</w:t>
      </w:r>
      <w:r>
        <w:t>(9), Article 652. https://doi.org/10.3390/insects15090652</w:t>
      </w:r>
    </w:p>
    <w:p w14:paraId="2C834C0B" w14:textId="77777777" w:rsidR="00820B56" w:rsidRDefault="00000000" w:rsidP="00B403FD">
      <w:pPr>
        <w:spacing w:before="100" w:beforeAutospacing="1" w:after="100" w:afterAutospacing="1"/>
        <w:ind w:left="720" w:hanging="720"/>
      </w:pPr>
      <w:r>
        <w:t xml:space="preserve">Horgan, F. G., Ramal, A. F., </w:t>
      </w:r>
      <w:proofErr w:type="spellStart"/>
      <w:r>
        <w:t>Bentur</w:t>
      </w:r>
      <w:proofErr w:type="spellEnd"/>
      <w:r>
        <w:t xml:space="preserve">, J. S., Kumar, R., Bhanu, K. V., Sarao, P. S., </w:t>
      </w:r>
      <w:proofErr w:type="spellStart"/>
      <w:r>
        <w:t>Iswanto</w:t>
      </w:r>
      <w:proofErr w:type="spellEnd"/>
      <w:r>
        <w:t>, E. H., Van Chien, H., Phyu, M. H., Bernal, C. C., Almazan, M. L. P., Alam, M. Z., Lu, Z., &amp; Huang, S.-H. (2015). Virulence of brown planthopper (</w:t>
      </w:r>
      <w:proofErr w:type="spellStart"/>
      <w:r>
        <w:rPr>
          <w:i/>
          <w:iCs/>
        </w:rPr>
        <w:t>Nilaparvata</w:t>
      </w:r>
      <w:proofErr w:type="spellEnd"/>
      <w:r>
        <w:rPr>
          <w:i/>
          <w:iCs/>
        </w:rPr>
        <w:t xml:space="preserve"> </w:t>
      </w:r>
      <w:proofErr w:type="spellStart"/>
      <w:r>
        <w:rPr>
          <w:i/>
          <w:iCs/>
        </w:rPr>
        <w:t>lugens</w:t>
      </w:r>
      <w:proofErr w:type="spellEnd"/>
      <w:r>
        <w:t xml:space="preserve">) populations from South and South East Asia against resistant rice varieties. </w:t>
      </w:r>
      <w:r>
        <w:rPr>
          <w:i/>
          <w:iCs/>
        </w:rPr>
        <w:t>Crop Protection, 78</w:t>
      </w:r>
      <w:r>
        <w:t>, 222–231. https://doi.org/10.1016/j.cropro.2015.09.014</w:t>
      </w:r>
    </w:p>
    <w:p w14:paraId="4409050F" w14:textId="77777777" w:rsidR="00820B56" w:rsidRDefault="00000000" w:rsidP="00B403FD">
      <w:pPr>
        <w:spacing w:before="100" w:beforeAutospacing="1" w:after="100" w:afterAutospacing="1"/>
        <w:ind w:left="720" w:hanging="720"/>
      </w:pPr>
      <w:r>
        <w:t xml:space="preserve">Huang, J.-M., Sun, H., He, L.-F., Liu, C., Ge, W.-C., Ni, H., Gao, C.-F., &amp; Wu, S.-F. (2021). Double ryanodine receptor mutations confer higher diamide resistance in rice stem borer, </w:t>
      </w:r>
      <w:r>
        <w:rPr>
          <w:i/>
          <w:iCs/>
        </w:rPr>
        <w:t xml:space="preserve">Chilo </w:t>
      </w:r>
      <w:proofErr w:type="spellStart"/>
      <w:r>
        <w:rPr>
          <w:i/>
          <w:iCs/>
        </w:rPr>
        <w:t>suppressalis</w:t>
      </w:r>
      <w:proofErr w:type="spellEnd"/>
      <w:r>
        <w:t xml:space="preserve">. </w:t>
      </w:r>
      <w:r>
        <w:rPr>
          <w:i/>
          <w:iCs/>
        </w:rPr>
        <w:t>Pest Management Science, 77</w:t>
      </w:r>
      <w:r>
        <w:t>(11), 4971–4979. https://doi.org/10.1002/ps.6539</w:t>
      </w:r>
    </w:p>
    <w:p w14:paraId="2913D9BB" w14:textId="77777777" w:rsidR="00820B56" w:rsidRDefault="00000000" w:rsidP="00B403FD">
      <w:pPr>
        <w:spacing w:before="100" w:beforeAutospacing="1" w:after="100" w:afterAutospacing="1"/>
        <w:ind w:left="720" w:hanging="720"/>
      </w:pPr>
      <w:r>
        <w:t xml:space="preserve">Ives, A. R., Glaum, P. R., Ziebarth, N. L., &amp; Andow, D. A. (2011). The evolution of resistance to two-toxin pyramid transgenic crops. </w:t>
      </w:r>
      <w:r>
        <w:rPr>
          <w:i/>
          <w:iCs/>
        </w:rPr>
        <w:t>Ecological Applications, 21</w:t>
      </w:r>
      <w:r>
        <w:t>(2), 503–515. https://doi.org/10.1890/09-1869.1</w:t>
      </w:r>
    </w:p>
    <w:p w14:paraId="7994A722" w14:textId="77777777" w:rsidR="00820B56" w:rsidRDefault="00000000" w:rsidP="00B403FD">
      <w:pPr>
        <w:spacing w:before="100" w:beforeAutospacing="1" w:after="100" w:afterAutospacing="1"/>
        <w:ind w:left="720" w:hanging="720"/>
      </w:pPr>
      <w:r>
        <w:t xml:space="preserve">Jagadeesan, R., Collins, P. J., Daglish, G. J., Ebert, P. R., &amp; Schlipalius, D. I. (2012). Phosphine resistance in the rust red flour beetle, </w:t>
      </w:r>
      <w:r>
        <w:rPr>
          <w:i/>
          <w:iCs/>
        </w:rPr>
        <w:t xml:space="preserve">Tribolium </w:t>
      </w:r>
      <w:proofErr w:type="spellStart"/>
      <w:r>
        <w:rPr>
          <w:i/>
          <w:iCs/>
        </w:rPr>
        <w:t>castaneum</w:t>
      </w:r>
      <w:proofErr w:type="spellEnd"/>
      <w:r>
        <w:t xml:space="preserve"> (Coleoptera: Tenebrionidae): Inheritance, gene interactions and fitness costs. </w:t>
      </w:r>
      <w:r>
        <w:rPr>
          <w:i/>
          <w:iCs/>
        </w:rPr>
        <w:t>PLOS ONE, 7</w:t>
      </w:r>
      <w:r>
        <w:t>(2), Article e31582. https://doi.org/10.1371/journal.pone.0031582</w:t>
      </w:r>
    </w:p>
    <w:p w14:paraId="56DCB923" w14:textId="77777777" w:rsidR="00820B56" w:rsidRDefault="00000000" w:rsidP="00B403FD">
      <w:pPr>
        <w:spacing w:before="100" w:beforeAutospacing="1" w:after="100" w:afterAutospacing="1"/>
        <w:ind w:left="720" w:hanging="720"/>
      </w:pPr>
      <w:r>
        <w:lastRenderedPageBreak/>
        <w:t xml:space="preserve">Jurat-Fuentes, J. L., Heckel, D. G., &amp; Ferré, J. (2021). Mechanisms of resistance to insecticidal proteins from </w:t>
      </w:r>
      <w:r>
        <w:rPr>
          <w:i/>
          <w:iCs/>
        </w:rPr>
        <w:t>Bacillus thuringiensis</w:t>
      </w:r>
      <w:r>
        <w:t xml:space="preserve">. </w:t>
      </w:r>
      <w:r>
        <w:rPr>
          <w:i/>
          <w:iCs/>
        </w:rPr>
        <w:t>Annual Review of Entomology, 66</w:t>
      </w:r>
      <w:r>
        <w:t>, 121–140. https://doi.org/10.1146/annurev-ento-052620-073348</w:t>
      </w:r>
    </w:p>
    <w:p w14:paraId="6CB7623B" w14:textId="77777777" w:rsidR="00820B56" w:rsidRDefault="00000000" w:rsidP="00B403FD">
      <w:pPr>
        <w:spacing w:before="100" w:beforeAutospacing="1" w:after="100" w:afterAutospacing="1"/>
        <w:ind w:left="720" w:hanging="720"/>
      </w:pPr>
      <w:r>
        <w:t xml:space="preserve">Kaur, R., </w:t>
      </w:r>
      <w:proofErr w:type="spellStart"/>
      <w:r>
        <w:t>Subbarayalu</w:t>
      </w:r>
      <w:proofErr w:type="spellEnd"/>
      <w:r>
        <w:t xml:space="preserve">, M., Jagadeesan, R., Daglish, G. J., Nayak, M. K., Naik, H. R., Ramasamy, S., Subramanian, C., Ebert, P. R., &amp; Schlipalius, D. I. (2015). Phosphine resistance in India is characterised by a dihydrolipoamide dehydrogenase variant that is otherwise unobserved in eukaryotes. </w:t>
      </w:r>
      <w:r>
        <w:rPr>
          <w:i/>
          <w:iCs/>
        </w:rPr>
        <w:t>Heredity, 115</w:t>
      </w:r>
      <w:r>
        <w:t>(3), 188–194. https://doi.org/10.1038/hdy.2015.24</w:t>
      </w:r>
    </w:p>
    <w:p w14:paraId="52406E90" w14:textId="77777777" w:rsidR="00820B56" w:rsidRDefault="00000000" w:rsidP="00B403FD">
      <w:pPr>
        <w:spacing w:before="100" w:beforeAutospacing="1" w:after="100" w:afterAutospacing="1"/>
        <w:ind w:left="720" w:hanging="720"/>
      </w:pPr>
      <w:r>
        <w:t xml:space="preserve">Kenis, M., Benelli, G., Biondi, A., Calatayud, P.-A., Day, R., </w:t>
      </w:r>
      <w:proofErr w:type="spellStart"/>
      <w:r>
        <w:t>Desneux</w:t>
      </w:r>
      <w:proofErr w:type="spellEnd"/>
      <w:r>
        <w:t xml:space="preserve">, N., Harrison, R. D., Kriticos, D., </w:t>
      </w:r>
      <w:proofErr w:type="spellStart"/>
      <w:r>
        <w:t>Rwomushana</w:t>
      </w:r>
      <w:proofErr w:type="spellEnd"/>
      <w:r>
        <w:t xml:space="preserve">, I., van den Berg, J., </w:t>
      </w:r>
      <w:proofErr w:type="spellStart"/>
      <w:r>
        <w:t>Verheggen</w:t>
      </w:r>
      <w:proofErr w:type="spellEnd"/>
      <w:r>
        <w:t xml:space="preserve">, F., Zhang, Y.-J., </w:t>
      </w:r>
      <w:proofErr w:type="spellStart"/>
      <w:r>
        <w:t>Agboyi</w:t>
      </w:r>
      <w:proofErr w:type="spellEnd"/>
      <w:r>
        <w:t xml:space="preserve">, L. K., Ahissou, R. B., Ba, M. N., &amp; Wu, K. (2023). Invasiveness, biology, ecology, and management of the fall armyworm, </w:t>
      </w:r>
      <w:r>
        <w:rPr>
          <w:i/>
          <w:iCs/>
        </w:rPr>
        <w:t xml:space="preserve">Spodoptera </w:t>
      </w:r>
      <w:proofErr w:type="spellStart"/>
      <w:r>
        <w:rPr>
          <w:i/>
          <w:iCs/>
        </w:rPr>
        <w:t>frugiperda</w:t>
      </w:r>
      <w:proofErr w:type="spellEnd"/>
      <w:r>
        <w:t xml:space="preserve">. </w:t>
      </w:r>
      <w:proofErr w:type="spellStart"/>
      <w:r>
        <w:rPr>
          <w:i/>
          <w:iCs/>
        </w:rPr>
        <w:t>Entomologia</w:t>
      </w:r>
      <w:proofErr w:type="spellEnd"/>
      <w:r>
        <w:rPr>
          <w:i/>
          <w:iCs/>
        </w:rPr>
        <w:t xml:space="preserve"> Generalis, 43</w:t>
      </w:r>
      <w:r>
        <w:t>(2), 187–241. https://doi.org/10.1127/entomologia/2022/1659</w:t>
      </w:r>
    </w:p>
    <w:p w14:paraId="0CDE7158" w14:textId="77777777" w:rsidR="00820B56" w:rsidRDefault="00000000" w:rsidP="00B403FD">
      <w:pPr>
        <w:spacing w:before="100" w:beforeAutospacing="1" w:after="100" w:afterAutospacing="1"/>
        <w:ind w:left="720" w:hanging="720"/>
      </w:pPr>
      <w:proofErr w:type="spellStart"/>
      <w:r>
        <w:t>Kulye</w:t>
      </w:r>
      <w:proofErr w:type="spellEnd"/>
      <w:r>
        <w:t xml:space="preserve">, M., Mehlhorn, S., Boaventura, D., Godley, N., Venkatesh, S., </w:t>
      </w:r>
      <w:proofErr w:type="spellStart"/>
      <w:r>
        <w:t>Rudrappa</w:t>
      </w:r>
      <w:proofErr w:type="spellEnd"/>
      <w:r>
        <w:t xml:space="preserve">, T., Charan, T., Rathi, D., &amp; </w:t>
      </w:r>
      <w:proofErr w:type="spellStart"/>
      <w:r>
        <w:t>Nauen</w:t>
      </w:r>
      <w:proofErr w:type="spellEnd"/>
      <w:r>
        <w:t xml:space="preserve">, R. (2021). Baseline susceptibility of </w:t>
      </w:r>
      <w:r>
        <w:rPr>
          <w:i/>
          <w:iCs/>
        </w:rPr>
        <w:t xml:space="preserve">Spodoptera </w:t>
      </w:r>
      <w:proofErr w:type="spellStart"/>
      <w:r>
        <w:rPr>
          <w:i/>
          <w:iCs/>
        </w:rPr>
        <w:t>frugiperda</w:t>
      </w:r>
      <w:proofErr w:type="spellEnd"/>
      <w:r>
        <w:t xml:space="preserve"> populations collected in India towards different chemical classes of insecticides. </w:t>
      </w:r>
      <w:r>
        <w:rPr>
          <w:i/>
          <w:iCs/>
        </w:rPr>
        <w:t>Insects, 12</w:t>
      </w:r>
      <w:r>
        <w:t>(8), Article 758. https://doi.org/10.3390/insects12080758</w:t>
      </w:r>
    </w:p>
    <w:p w14:paraId="4CAEE714" w14:textId="77777777" w:rsidR="00820B56" w:rsidRDefault="00000000" w:rsidP="00B403FD">
      <w:pPr>
        <w:spacing w:before="100" w:beforeAutospacing="1" w:after="100" w:afterAutospacing="1"/>
        <w:ind w:left="720" w:hanging="720"/>
      </w:pPr>
      <w:r>
        <w:t xml:space="preserve">Li, W., Mao, K., Liu, C., Gong, P., Xu, P., Wu, G., Le, W., Wan, H., You, H., &amp; Li, J. (2020). Resistance monitoring and assessment of the control failure likelihood of insecticides in field populations of the </w:t>
      </w:r>
      <w:proofErr w:type="spellStart"/>
      <w:r>
        <w:t>whitebacked</w:t>
      </w:r>
      <w:proofErr w:type="spellEnd"/>
      <w:r>
        <w:t xml:space="preserve"> planthopper </w:t>
      </w:r>
      <w:proofErr w:type="spellStart"/>
      <w:r>
        <w:rPr>
          <w:i/>
          <w:iCs/>
        </w:rPr>
        <w:t>Sogatella</w:t>
      </w:r>
      <w:proofErr w:type="spellEnd"/>
      <w:r>
        <w:rPr>
          <w:i/>
          <w:iCs/>
        </w:rPr>
        <w:t xml:space="preserve"> </w:t>
      </w:r>
      <w:proofErr w:type="spellStart"/>
      <w:r>
        <w:rPr>
          <w:i/>
          <w:iCs/>
        </w:rPr>
        <w:t>furcifera</w:t>
      </w:r>
      <w:proofErr w:type="spellEnd"/>
      <w:r>
        <w:t xml:space="preserve"> (Horváth). </w:t>
      </w:r>
      <w:r>
        <w:rPr>
          <w:i/>
          <w:iCs/>
        </w:rPr>
        <w:t>Crop Protection, 127</w:t>
      </w:r>
      <w:r>
        <w:t>, Article 104973. https://doi.org/10.1016/j.cropro.2019.104973</w:t>
      </w:r>
    </w:p>
    <w:p w14:paraId="6CE3C740" w14:textId="77777777" w:rsidR="00820B56" w:rsidRDefault="00000000" w:rsidP="00B403FD">
      <w:pPr>
        <w:spacing w:before="100" w:beforeAutospacing="1" w:after="100" w:afterAutospacing="1"/>
        <w:ind w:left="720" w:hanging="720"/>
      </w:pPr>
      <w:r>
        <w:t xml:space="preserve">Li, Z., Qin, Y., Jin, R., Zhang, Y., Ren, Z., Cai, T., Yu, C., Liu, Y., Cai, Y., Zeng, Q., Wan, H., &amp; Li, J. (2021). Insecticide resistance monitoring in field populations of the </w:t>
      </w:r>
      <w:proofErr w:type="spellStart"/>
      <w:r>
        <w:t>whitebacked</w:t>
      </w:r>
      <w:proofErr w:type="spellEnd"/>
      <w:r>
        <w:t xml:space="preserve"> planthopper </w:t>
      </w:r>
      <w:proofErr w:type="spellStart"/>
      <w:r>
        <w:rPr>
          <w:i/>
          <w:iCs/>
        </w:rPr>
        <w:t>Sogatella</w:t>
      </w:r>
      <w:proofErr w:type="spellEnd"/>
      <w:r>
        <w:rPr>
          <w:i/>
          <w:iCs/>
        </w:rPr>
        <w:t xml:space="preserve"> </w:t>
      </w:r>
      <w:proofErr w:type="spellStart"/>
      <w:r>
        <w:rPr>
          <w:i/>
          <w:iCs/>
        </w:rPr>
        <w:t>furcifera</w:t>
      </w:r>
      <w:proofErr w:type="spellEnd"/>
      <w:r>
        <w:t xml:space="preserve"> (Horvath) in China, 2019–2020. </w:t>
      </w:r>
      <w:r>
        <w:rPr>
          <w:i/>
          <w:iCs/>
        </w:rPr>
        <w:t>Insects, 12</w:t>
      </w:r>
      <w:r>
        <w:t>(12), Article 1078. https://doi.org/10.3390/insects12121078</w:t>
      </w:r>
    </w:p>
    <w:p w14:paraId="795FCC0C" w14:textId="77777777" w:rsidR="00820B56" w:rsidRDefault="00000000" w:rsidP="00B403FD">
      <w:pPr>
        <w:spacing w:before="100" w:beforeAutospacing="1" w:after="100" w:afterAutospacing="1"/>
        <w:ind w:left="720" w:hanging="720"/>
      </w:pPr>
      <w:r>
        <w:t xml:space="preserve">Liu, Z., Williamson, M. S., Lansdell, S. J., Denholm, I., Han, Z., &amp; Millar, N. S. (2005). A nicotinic acetylcholine receptor mutation conferring target-site resistance to imidacloprid in </w:t>
      </w:r>
      <w:proofErr w:type="spellStart"/>
      <w:r>
        <w:rPr>
          <w:i/>
          <w:iCs/>
        </w:rPr>
        <w:t>Nilaparvata</w:t>
      </w:r>
      <w:proofErr w:type="spellEnd"/>
      <w:r>
        <w:rPr>
          <w:i/>
          <w:iCs/>
        </w:rPr>
        <w:t xml:space="preserve"> </w:t>
      </w:r>
      <w:proofErr w:type="spellStart"/>
      <w:r>
        <w:rPr>
          <w:i/>
          <w:iCs/>
        </w:rPr>
        <w:t>lugens</w:t>
      </w:r>
      <w:proofErr w:type="spellEnd"/>
      <w:r>
        <w:t xml:space="preserve"> (brown planthopper). </w:t>
      </w:r>
      <w:r>
        <w:rPr>
          <w:i/>
          <w:iCs/>
        </w:rPr>
        <w:t>Proceedings of the National Academy of Sciences, 102</w:t>
      </w:r>
      <w:r>
        <w:t>(24), 8420–8425. https://doi.org/10.1073/pnas.0502901102</w:t>
      </w:r>
    </w:p>
    <w:p w14:paraId="6B23D47B" w14:textId="77777777" w:rsidR="00820B56" w:rsidRDefault="00000000" w:rsidP="00B403FD">
      <w:pPr>
        <w:spacing w:before="100" w:beforeAutospacing="1" w:after="100" w:afterAutospacing="1"/>
        <w:ind w:left="720" w:hanging="720"/>
      </w:pPr>
      <w:r>
        <w:t xml:space="preserve">Matsumura, M., &amp; Sanada-Morimura, S. (2010). Recent status of insecticide resistance in Asian rice planthoppers. </w:t>
      </w:r>
      <w:r>
        <w:rPr>
          <w:i/>
          <w:iCs/>
        </w:rPr>
        <w:t>Japan Agricultural Research Quarterly, 44</w:t>
      </w:r>
      <w:r>
        <w:t>(3), 225–230. https://doi.org/10.6090/jarq.44.225</w:t>
      </w:r>
    </w:p>
    <w:p w14:paraId="589B50B8" w14:textId="77777777" w:rsidR="00820B56" w:rsidRDefault="00000000" w:rsidP="00B403FD">
      <w:pPr>
        <w:spacing w:before="100" w:beforeAutospacing="1" w:after="100" w:afterAutospacing="1"/>
        <w:ind w:left="720" w:hanging="720"/>
      </w:pPr>
      <w:r>
        <w:t xml:space="preserve">Matsumura, M., Sanada-Morimura, S., </w:t>
      </w:r>
      <w:proofErr w:type="spellStart"/>
      <w:r>
        <w:t>Otuka</w:t>
      </w:r>
      <w:proofErr w:type="spellEnd"/>
      <w:r>
        <w:t xml:space="preserve">, A., Sonoda, S., Van Thanh, D., Van Chien, H., Van Tuong, P., Loc, P. M., Liu, Z.-W., Zhu, Z.-R., Li, J.-H., Wu, G., &amp; Huang, S.-H. (2018). Insecticide susceptibilities of the two rice planthoppers </w:t>
      </w:r>
      <w:proofErr w:type="spellStart"/>
      <w:r>
        <w:rPr>
          <w:i/>
          <w:iCs/>
        </w:rPr>
        <w:t>Nilaparvata</w:t>
      </w:r>
      <w:proofErr w:type="spellEnd"/>
      <w:r>
        <w:rPr>
          <w:i/>
          <w:iCs/>
        </w:rPr>
        <w:t xml:space="preserve"> </w:t>
      </w:r>
      <w:proofErr w:type="spellStart"/>
      <w:r>
        <w:rPr>
          <w:i/>
          <w:iCs/>
        </w:rPr>
        <w:t>lugens</w:t>
      </w:r>
      <w:proofErr w:type="spellEnd"/>
      <w:r>
        <w:t xml:space="preserve"> and </w:t>
      </w:r>
      <w:proofErr w:type="spellStart"/>
      <w:r>
        <w:rPr>
          <w:i/>
          <w:iCs/>
        </w:rPr>
        <w:t>Sogatella</w:t>
      </w:r>
      <w:proofErr w:type="spellEnd"/>
      <w:r>
        <w:rPr>
          <w:i/>
          <w:iCs/>
        </w:rPr>
        <w:t xml:space="preserve"> </w:t>
      </w:r>
      <w:proofErr w:type="spellStart"/>
      <w:r>
        <w:rPr>
          <w:i/>
          <w:iCs/>
        </w:rPr>
        <w:t>furcifera</w:t>
      </w:r>
      <w:proofErr w:type="spellEnd"/>
      <w:r>
        <w:t xml:space="preserve"> in East Asia, the Red River Delta, and the Mekong Delta. </w:t>
      </w:r>
      <w:r>
        <w:rPr>
          <w:i/>
          <w:iCs/>
        </w:rPr>
        <w:t>Pest Management Science, 74</w:t>
      </w:r>
      <w:r>
        <w:t>(2), 456–464. https://doi.org/10.1002/ps.4729</w:t>
      </w:r>
    </w:p>
    <w:p w14:paraId="59747B2F" w14:textId="77777777" w:rsidR="00820B56" w:rsidRDefault="00000000" w:rsidP="00B403FD">
      <w:pPr>
        <w:spacing w:before="100" w:beforeAutospacing="1" w:after="100" w:afterAutospacing="1"/>
        <w:ind w:left="720" w:hanging="720"/>
      </w:pPr>
      <w:r>
        <w:t xml:space="preserve">Mau, Y. S., Collins, P. J., Daglish, G. J., Nayak, M. K., &amp; Ebert, P. R. (2012). The </w:t>
      </w:r>
      <w:r>
        <w:rPr>
          <w:i/>
          <w:iCs/>
        </w:rPr>
        <w:t>rph2</w:t>
      </w:r>
      <w:r>
        <w:t xml:space="preserve"> gene is responsible for high level resistance to phosphine in independent field strains of </w:t>
      </w:r>
      <w:proofErr w:type="spellStart"/>
      <w:r>
        <w:rPr>
          <w:i/>
          <w:iCs/>
        </w:rPr>
        <w:t>Rhyzopertha</w:t>
      </w:r>
      <w:proofErr w:type="spellEnd"/>
      <w:r>
        <w:rPr>
          <w:i/>
          <w:iCs/>
        </w:rPr>
        <w:t xml:space="preserve"> </w:t>
      </w:r>
      <w:proofErr w:type="spellStart"/>
      <w:r>
        <w:rPr>
          <w:i/>
          <w:iCs/>
        </w:rPr>
        <w:t>dominica</w:t>
      </w:r>
      <w:proofErr w:type="spellEnd"/>
      <w:r>
        <w:t xml:space="preserve">. </w:t>
      </w:r>
      <w:r>
        <w:rPr>
          <w:i/>
          <w:iCs/>
        </w:rPr>
        <w:t>PLOS ONE, 7</w:t>
      </w:r>
      <w:r>
        <w:t>(3), Article e34027. https://doi.org/10.1371/journal.pone.0034027</w:t>
      </w:r>
    </w:p>
    <w:p w14:paraId="64A699D5" w14:textId="77777777" w:rsidR="00820B56" w:rsidRDefault="00000000" w:rsidP="00B403FD">
      <w:pPr>
        <w:spacing w:before="100" w:beforeAutospacing="1" w:after="100" w:afterAutospacing="1"/>
        <w:ind w:left="720" w:hanging="720"/>
      </w:pPr>
      <w:r>
        <w:t xml:space="preserve">Meng, H., Huang, R., Wan, H., Li, J., Li, J., &amp; Zhang, X. (2022). Insecticide resistance monitoring in field populations of </w:t>
      </w:r>
      <w:r>
        <w:rPr>
          <w:i/>
          <w:iCs/>
        </w:rPr>
        <w:t xml:space="preserve">Chilo </w:t>
      </w:r>
      <w:proofErr w:type="spellStart"/>
      <w:r>
        <w:rPr>
          <w:i/>
          <w:iCs/>
        </w:rPr>
        <w:t>suppressalis</w:t>
      </w:r>
      <w:proofErr w:type="spellEnd"/>
      <w:r>
        <w:t xml:space="preserve"> Walker (Lepidoptera: </w:t>
      </w:r>
      <w:proofErr w:type="spellStart"/>
      <w:r>
        <w:t>Crambidae</w:t>
      </w:r>
      <w:proofErr w:type="spellEnd"/>
      <w:r>
        <w:t xml:space="preserve">) from central China. </w:t>
      </w:r>
      <w:r>
        <w:rPr>
          <w:i/>
          <w:iCs/>
        </w:rPr>
        <w:t>Frontiers in Physiology, 13</w:t>
      </w:r>
      <w:r>
        <w:t>, Article 1029319. https://doi.org/10.3389/fphys.2022.1029319</w:t>
      </w:r>
    </w:p>
    <w:p w14:paraId="66685F76" w14:textId="77777777" w:rsidR="00820B56" w:rsidRDefault="00000000" w:rsidP="00B403FD">
      <w:pPr>
        <w:spacing w:before="100" w:beforeAutospacing="1" w:after="100" w:afterAutospacing="1"/>
        <w:ind w:left="720" w:hanging="720"/>
      </w:pPr>
      <w:r>
        <w:lastRenderedPageBreak/>
        <w:t xml:space="preserve">Mohan, U., Lakshmi, V. J., Sharma, S., Katti, G. R., </w:t>
      </w:r>
      <w:proofErr w:type="spellStart"/>
      <w:r>
        <w:t>Chirutkar</w:t>
      </w:r>
      <w:proofErr w:type="spellEnd"/>
      <w:r>
        <w:t xml:space="preserve">, P. M., &amp; Krishnaiah, N. V. (2019). Monitoring of insecticide resistance in rice brown planthopper </w:t>
      </w:r>
      <w:proofErr w:type="spellStart"/>
      <w:r>
        <w:rPr>
          <w:i/>
          <w:iCs/>
        </w:rPr>
        <w:t>Nilaparvata</w:t>
      </w:r>
      <w:proofErr w:type="spellEnd"/>
      <w:r>
        <w:rPr>
          <w:i/>
          <w:iCs/>
        </w:rPr>
        <w:t xml:space="preserve"> </w:t>
      </w:r>
      <w:proofErr w:type="spellStart"/>
      <w:r>
        <w:rPr>
          <w:i/>
          <w:iCs/>
        </w:rPr>
        <w:t>lugens</w:t>
      </w:r>
      <w:proofErr w:type="spellEnd"/>
      <w:r>
        <w:t xml:space="preserve"> (Stål) in Nalgonda District of Telangana State, India. </w:t>
      </w:r>
      <w:r>
        <w:rPr>
          <w:i/>
          <w:iCs/>
        </w:rPr>
        <w:t>Annals of Plant Protection Sciences, 27</w:t>
      </w:r>
      <w:r>
        <w:t>(2), 172–176. https://doi.org/10.5958/0974-0163.2019.00035.1</w:t>
      </w:r>
    </w:p>
    <w:p w14:paraId="4D231EF6" w14:textId="77777777" w:rsidR="00820B56" w:rsidRDefault="00000000" w:rsidP="00B403FD">
      <w:pPr>
        <w:spacing w:before="100" w:beforeAutospacing="1" w:after="100" w:afterAutospacing="1"/>
        <w:ind w:left="720" w:hanging="720"/>
      </w:pPr>
      <w:r>
        <w:t xml:space="preserve">Naik, V. C. B., Kumbhare, S., Kranthi, S., Satija, U., &amp; Kranthi, K. R. (2018). Field-evolved resistance of pink bollworm, </w:t>
      </w:r>
      <w:proofErr w:type="spellStart"/>
      <w:r>
        <w:rPr>
          <w:i/>
          <w:iCs/>
        </w:rPr>
        <w:t>Pectinophora</w:t>
      </w:r>
      <w:proofErr w:type="spellEnd"/>
      <w:r>
        <w:rPr>
          <w:i/>
          <w:iCs/>
        </w:rPr>
        <w:t xml:space="preserve"> </w:t>
      </w:r>
      <w:proofErr w:type="spellStart"/>
      <w:r>
        <w:rPr>
          <w:i/>
          <w:iCs/>
        </w:rPr>
        <w:t>gossypiella</w:t>
      </w:r>
      <w:proofErr w:type="spellEnd"/>
      <w:r>
        <w:t xml:space="preserve"> (Saunders) (Lepidoptera: </w:t>
      </w:r>
      <w:proofErr w:type="spellStart"/>
      <w:r>
        <w:t>Gelechiidae</w:t>
      </w:r>
      <w:proofErr w:type="spellEnd"/>
      <w:r>
        <w:t xml:space="preserve">), to transgenic </w:t>
      </w:r>
      <w:r>
        <w:rPr>
          <w:i/>
          <w:iCs/>
        </w:rPr>
        <w:t>Bacillus thuringiensis</w:t>
      </w:r>
      <w:r>
        <w:t xml:space="preserve"> (</w:t>
      </w:r>
      <w:proofErr w:type="spellStart"/>
      <w:r>
        <w:t>Bt</w:t>
      </w:r>
      <w:proofErr w:type="spellEnd"/>
      <w:r>
        <w:t xml:space="preserve">) cotton expressing crystal 1Ac (Cry1Ac) and Cry2Ab in India. </w:t>
      </w:r>
      <w:r>
        <w:rPr>
          <w:i/>
          <w:iCs/>
        </w:rPr>
        <w:t>Pest Management Science, 74</w:t>
      </w:r>
      <w:r>
        <w:t>(11), 2544–2554. https://doi.org/10.1002/ps.5038</w:t>
      </w:r>
    </w:p>
    <w:p w14:paraId="5767AF30" w14:textId="77777777" w:rsidR="00820B56" w:rsidRDefault="00000000" w:rsidP="00B403FD">
      <w:pPr>
        <w:spacing w:before="100" w:beforeAutospacing="1" w:after="100" w:afterAutospacing="1"/>
        <w:ind w:left="720" w:hanging="720"/>
      </w:pPr>
      <w:proofErr w:type="spellStart"/>
      <w:r>
        <w:t>Nauen</w:t>
      </w:r>
      <w:proofErr w:type="spellEnd"/>
      <w:r>
        <w:t xml:space="preserve">, R., Bass, C., Feyereisen, R., &amp; </w:t>
      </w:r>
      <w:proofErr w:type="spellStart"/>
      <w:r>
        <w:t>Vontas</w:t>
      </w:r>
      <w:proofErr w:type="spellEnd"/>
      <w:r>
        <w:t xml:space="preserve">, J. (2022). The role of cytochrome P450s in insect toxicology and resistance. </w:t>
      </w:r>
      <w:r>
        <w:rPr>
          <w:i/>
          <w:iCs/>
        </w:rPr>
        <w:t>Annual Review of Entomology, 67</w:t>
      </w:r>
      <w:r>
        <w:t>, 105–124. https://doi.org/10.1146/annurev-ento-070621-061328</w:t>
      </w:r>
    </w:p>
    <w:p w14:paraId="3FB8ACE3" w14:textId="77777777" w:rsidR="00820B56" w:rsidRDefault="00000000" w:rsidP="00B403FD">
      <w:pPr>
        <w:spacing w:before="100" w:beforeAutospacing="1" w:after="100" w:afterAutospacing="1"/>
        <w:ind w:left="720" w:hanging="720"/>
      </w:pPr>
      <w:r>
        <w:t xml:space="preserve">Nayak, M. K., Falk, M. G., Emery, R. N., Collins, P. J., &amp; Holloway, J. C. (2017). An analysis of trends, frequencies and factors influencing the development of resistance to phosphine in the red flour beetle </w:t>
      </w:r>
      <w:r>
        <w:rPr>
          <w:i/>
          <w:iCs/>
        </w:rPr>
        <w:t xml:space="preserve">Tribolium </w:t>
      </w:r>
      <w:proofErr w:type="spellStart"/>
      <w:r>
        <w:rPr>
          <w:i/>
          <w:iCs/>
        </w:rPr>
        <w:t>castaneum</w:t>
      </w:r>
      <w:proofErr w:type="spellEnd"/>
      <w:r>
        <w:t xml:space="preserve"> (Herbst) in Australia. </w:t>
      </w:r>
      <w:r>
        <w:rPr>
          <w:i/>
          <w:iCs/>
        </w:rPr>
        <w:t>Journal of Stored Products Research, 72</w:t>
      </w:r>
      <w:r>
        <w:t>, 35–48. https://doi.org/10.1016/j.jspr.2017.03.004</w:t>
      </w:r>
    </w:p>
    <w:p w14:paraId="2ACD623F" w14:textId="77777777" w:rsidR="00820B56" w:rsidRDefault="00000000" w:rsidP="00B403FD">
      <w:pPr>
        <w:spacing w:before="100" w:beforeAutospacing="1" w:after="100" w:afterAutospacing="1"/>
        <w:ind w:left="720" w:hanging="720"/>
      </w:pPr>
      <w:r>
        <w:t xml:space="preserve">Nguyen, T. T., Collins, P. J., Duong, T. M., Schlipalius, D. I., &amp; Ebert, P. R. (2016). Genetic conservation of phosphine resistance in the rice weevil </w:t>
      </w:r>
      <w:r>
        <w:rPr>
          <w:i/>
          <w:iCs/>
        </w:rPr>
        <w:t>Sitophilus oryzae</w:t>
      </w:r>
      <w:r>
        <w:t xml:space="preserve"> (L.). Journal of </w:t>
      </w:r>
      <w:r>
        <w:rPr>
          <w:i/>
          <w:iCs/>
        </w:rPr>
        <w:t>Heredity, 107</w:t>
      </w:r>
      <w:r>
        <w:t>(3), 228–237. https://doi.org/10.1093/jhered/esw001</w:t>
      </w:r>
    </w:p>
    <w:p w14:paraId="243EE64D" w14:textId="77777777" w:rsidR="00820B56" w:rsidRDefault="00000000" w:rsidP="00B403FD">
      <w:pPr>
        <w:spacing w:before="100" w:beforeAutospacing="1" w:after="100" w:afterAutospacing="1"/>
        <w:ind w:left="720" w:hanging="720"/>
      </w:pPr>
      <w:r>
        <w:t xml:space="preserve">Pang, R., Xing, K., Yuan, L., Liang, Z., Chen, M., Yue, X., Dong, Y., Ling, Y., He, X., Li, X., &amp; Zhang, W. (2021). Peroxiredoxin alleviates the fitness costs of imidacloprid resistance in an insect pest of rice. </w:t>
      </w:r>
      <w:r>
        <w:rPr>
          <w:i/>
          <w:iCs/>
        </w:rPr>
        <w:t>PLOS Biology, 19</w:t>
      </w:r>
      <w:r>
        <w:t>(4), Article e3001190. https://doi.org/10.1371/journal.pbio.3001190</w:t>
      </w:r>
    </w:p>
    <w:p w14:paraId="1C15E287" w14:textId="77777777" w:rsidR="00820B56" w:rsidRDefault="00000000" w:rsidP="00B403FD">
      <w:pPr>
        <w:spacing w:before="100" w:beforeAutospacing="1" w:after="100" w:afterAutospacing="1"/>
        <w:ind w:left="720" w:hanging="720"/>
      </w:pPr>
      <w:proofErr w:type="spellStart"/>
      <w:r>
        <w:t>Puinean</w:t>
      </w:r>
      <w:proofErr w:type="spellEnd"/>
      <w:r>
        <w:t xml:space="preserve">, A. M., Denholm, I., Millar, N. S., </w:t>
      </w:r>
      <w:proofErr w:type="spellStart"/>
      <w:r>
        <w:t>Nauen</w:t>
      </w:r>
      <w:proofErr w:type="spellEnd"/>
      <w:r>
        <w:t xml:space="preserve">, R., &amp; Williamson, M. S. (2010). Characterisation of imidacloprid resistance mechanisms in the brown planthopper, </w:t>
      </w:r>
      <w:proofErr w:type="spellStart"/>
      <w:r>
        <w:rPr>
          <w:i/>
          <w:iCs/>
        </w:rPr>
        <w:t>Nilaparvata</w:t>
      </w:r>
      <w:proofErr w:type="spellEnd"/>
      <w:r>
        <w:rPr>
          <w:i/>
          <w:iCs/>
        </w:rPr>
        <w:t xml:space="preserve"> </w:t>
      </w:r>
      <w:proofErr w:type="spellStart"/>
      <w:r>
        <w:rPr>
          <w:i/>
          <w:iCs/>
        </w:rPr>
        <w:t>lugens</w:t>
      </w:r>
      <w:proofErr w:type="spellEnd"/>
      <w:r>
        <w:t xml:space="preserve"> Stål (Hemiptera: </w:t>
      </w:r>
      <w:proofErr w:type="spellStart"/>
      <w:r>
        <w:t>Delphacidae</w:t>
      </w:r>
      <w:proofErr w:type="spellEnd"/>
      <w:r>
        <w:t xml:space="preserve">). </w:t>
      </w:r>
      <w:r>
        <w:rPr>
          <w:i/>
          <w:iCs/>
        </w:rPr>
        <w:t>Pesticide Biochemistry and Physiology, 97</w:t>
      </w:r>
      <w:r>
        <w:t>(2), 129–132. https://doi.org/10.1016/j.pestbp.2009.06.008</w:t>
      </w:r>
    </w:p>
    <w:p w14:paraId="0EA0249F" w14:textId="77777777" w:rsidR="00820B56" w:rsidRDefault="00000000" w:rsidP="00B403FD">
      <w:pPr>
        <w:spacing w:before="100" w:beforeAutospacing="1" w:after="100" w:afterAutospacing="1"/>
        <w:ind w:left="720" w:hanging="720"/>
      </w:pPr>
      <w:r>
        <w:t>Ranjith, H. V., Sagar, D., Kalia, V. K., Dahuja, A., &amp; Subramanian, S. (2023). Differential activities of antioxidant enzymes, superoxide dismutase, peroxidase, and catalase vis-à-vis phosphine resistance in field populations of lesser grain borer (</w:t>
      </w:r>
      <w:proofErr w:type="spellStart"/>
      <w:r>
        <w:rPr>
          <w:i/>
          <w:iCs/>
        </w:rPr>
        <w:t>Rhyzopertha</w:t>
      </w:r>
      <w:proofErr w:type="spellEnd"/>
      <w:r>
        <w:rPr>
          <w:i/>
          <w:iCs/>
        </w:rPr>
        <w:t xml:space="preserve"> </w:t>
      </w:r>
      <w:proofErr w:type="spellStart"/>
      <w:r>
        <w:rPr>
          <w:i/>
          <w:iCs/>
        </w:rPr>
        <w:t>dominica</w:t>
      </w:r>
      <w:proofErr w:type="spellEnd"/>
      <w:r>
        <w:t xml:space="preserve">) from India. </w:t>
      </w:r>
      <w:r>
        <w:rPr>
          <w:i/>
          <w:iCs/>
        </w:rPr>
        <w:t>Antioxidants, 12</w:t>
      </w:r>
      <w:r>
        <w:t>(2), Article 270. https://doi.org/10.3390/antiox12020270</w:t>
      </w:r>
    </w:p>
    <w:p w14:paraId="30A9977E" w14:textId="77777777" w:rsidR="00820B56" w:rsidRDefault="00000000" w:rsidP="00B403FD">
      <w:pPr>
        <w:spacing w:before="100" w:beforeAutospacing="1" w:after="100" w:afterAutospacing="1"/>
        <w:ind w:left="720" w:hanging="720"/>
      </w:pPr>
      <w:r>
        <w:t xml:space="preserve">REX Consortium. (2013). Heterogeneity of selection and the evolution of resistance. </w:t>
      </w:r>
      <w:r>
        <w:rPr>
          <w:i/>
          <w:iCs/>
        </w:rPr>
        <w:t>Trends in Ecology &amp; Evolution, 28</w:t>
      </w:r>
      <w:r>
        <w:t>(2), 110–118. https://doi.org/10.1016/j.tree.2012.09.001</w:t>
      </w:r>
    </w:p>
    <w:p w14:paraId="75258B4C" w14:textId="77777777" w:rsidR="00820B56" w:rsidRDefault="00000000" w:rsidP="00B403FD">
      <w:pPr>
        <w:spacing w:before="100" w:beforeAutospacing="1" w:after="100" w:afterAutospacing="1"/>
        <w:ind w:left="720" w:hanging="720"/>
      </w:pPr>
      <w:r>
        <w:t xml:space="preserve">Richardson, E. B., </w:t>
      </w:r>
      <w:proofErr w:type="spellStart"/>
      <w:r>
        <w:t>Troczka</w:t>
      </w:r>
      <w:proofErr w:type="spellEnd"/>
      <w:r>
        <w:t xml:space="preserve">, B. J., Gutbrod, O., Davies, T. G. E., &amp; </w:t>
      </w:r>
      <w:proofErr w:type="spellStart"/>
      <w:r>
        <w:t>Nauen</w:t>
      </w:r>
      <w:proofErr w:type="spellEnd"/>
      <w:r>
        <w:t xml:space="preserve">, R. (2020). Diamide resistance: 10 years of lessons from lepidopteran pests. </w:t>
      </w:r>
      <w:r>
        <w:rPr>
          <w:i/>
          <w:iCs/>
        </w:rPr>
        <w:t>Journal of Pest Science, 93</w:t>
      </w:r>
      <w:r>
        <w:t>(3), 911–928. https://doi.org/10.1007/s10340-020-01220-y</w:t>
      </w:r>
    </w:p>
    <w:p w14:paraId="3C5DCA3C" w14:textId="77777777" w:rsidR="00820B56" w:rsidRDefault="00000000" w:rsidP="00B403FD">
      <w:pPr>
        <w:spacing w:before="100" w:beforeAutospacing="1" w:after="100" w:afterAutospacing="1"/>
        <w:ind w:left="720" w:hanging="720"/>
      </w:pPr>
      <w:r>
        <w:t xml:space="preserve">Schlipalius, D. I., Chen, W., Collins, P. J., Nguyen, T., Reilly, P. E. B., &amp; Ebert, P. R. (2008). Gene interactions constrain the course of evolution of phosphine resistance in the lesser grain borer, </w:t>
      </w:r>
      <w:proofErr w:type="spellStart"/>
      <w:r>
        <w:rPr>
          <w:i/>
          <w:iCs/>
        </w:rPr>
        <w:t>Rhyzopertha</w:t>
      </w:r>
      <w:proofErr w:type="spellEnd"/>
      <w:r>
        <w:rPr>
          <w:i/>
          <w:iCs/>
        </w:rPr>
        <w:t xml:space="preserve"> </w:t>
      </w:r>
      <w:proofErr w:type="spellStart"/>
      <w:r>
        <w:rPr>
          <w:i/>
          <w:iCs/>
        </w:rPr>
        <w:t>dominica</w:t>
      </w:r>
      <w:proofErr w:type="spellEnd"/>
      <w:r>
        <w:t xml:space="preserve">. </w:t>
      </w:r>
      <w:r>
        <w:rPr>
          <w:i/>
          <w:iCs/>
        </w:rPr>
        <w:t>Heredity, 100</w:t>
      </w:r>
      <w:r>
        <w:t>(5), 506–516. https://doi.org/10.1038/hdy.2008.4</w:t>
      </w:r>
    </w:p>
    <w:p w14:paraId="752441BA" w14:textId="77777777" w:rsidR="00820B56" w:rsidRDefault="00000000" w:rsidP="00B403FD">
      <w:pPr>
        <w:spacing w:before="100" w:beforeAutospacing="1" w:after="100" w:afterAutospacing="1"/>
        <w:ind w:left="720" w:hanging="720"/>
      </w:pPr>
      <w:r>
        <w:t xml:space="preserve">South, A., &amp; Hastings, I. M. (2018). Insecticide resistance evolution with mixtures and sequences: A model-based explanation. </w:t>
      </w:r>
      <w:r>
        <w:rPr>
          <w:i/>
          <w:iCs/>
        </w:rPr>
        <w:t>Malaria Journal, 17</w:t>
      </w:r>
      <w:r>
        <w:t>, Article 80. https://doi.org/10.1186/s12936-018-2203-y</w:t>
      </w:r>
    </w:p>
    <w:p w14:paraId="0AFA65EC" w14:textId="77777777" w:rsidR="00820B56" w:rsidRDefault="00000000" w:rsidP="00B403FD">
      <w:pPr>
        <w:spacing w:before="100" w:beforeAutospacing="1" w:after="100" w:afterAutospacing="1"/>
        <w:ind w:left="720" w:hanging="720"/>
      </w:pPr>
      <w:r>
        <w:lastRenderedPageBreak/>
        <w:t xml:space="preserve">Sparks, T. C., </w:t>
      </w:r>
      <w:proofErr w:type="spellStart"/>
      <w:r>
        <w:t>Crossthwaite</w:t>
      </w:r>
      <w:proofErr w:type="spellEnd"/>
      <w:r>
        <w:t xml:space="preserve">, A. J., </w:t>
      </w:r>
      <w:proofErr w:type="spellStart"/>
      <w:r>
        <w:t>Nauen</w:t>
      </w:r>
      <w:proofErr w:type="spellEnd"/>
      <w:r>
        <w:t>, R., Banba, S., Cordova, D., Earley, F., Ebbinghaus-</w:t>
      </w:r>
      <w:proofErr w:type="spellStart"/>
      <w:r>
        <w:t>Kintscher</w:t>
      </w:r>
      <w:proofErr w:type="spellEnd"/>
      <w:r>
        <w:t xml:space="preserve">, U., Fujioka, S., Hirao, A., Karmon, D., Kennedy, R., Nakao, T., Popham, H. J. R., Salgado, V., Watson, G. B., Wedel, B. J., &amp; Wessels, F. J. (2020). Insecticides, biologics and nematicides: Updates to IRAC's mode of action classification—A tool for resistance management. </w:t>
      </w:r>
      <w:r>
        <w:rPr>
          <w:i/>
          <w:iCs/>
        </w:rPr>
        <w:t>Pesticide Biochemistry and Physiology, 167</w:t>
      </w:r>
      <w:r>
        <w:t>, Article 104587. https://doi.org/10.1016/j.pestbp.2020.104587</w:t>
      </w:r>
    </w:p>
    <w:p w14:paraId="4324D132" w14:textId="77777777" w:rsidR="00820B56" w:rsidRDefault="00000000" w:rsidP="00B403FD">
      <w:pPr>
        <w:spacing w:before="100" w:beforeAutospacing="1" w:after="100" w:afterAutospacing="1"/>
        <w:ind w:left="720" w:hanging="720"/>
      </w:pPr>
      <w:r>
        <w:t xml:space="preserve">Sparks, T. C., &amp; </w:t>
      </w:r>
      <w:proofErr w:type="spellStart"/>
      <w:r>
        <w:t>Nauen</w:t>
      </w:r>
      <w:proofErr w:type="spellEnd"/>
      <w:r>
        <w:t xml:space="preserve">, R. (2015). IRAC: Mode of action classification and insecticide resistance management. </w:t>
      </w:r>
      <w:r>
        <w:rPr>
          <w:i/>
          <w:iCs/>
        </w:rPr>
        <w:t>Pesticide Biochemistry and Physiology, 121</w:t>
      </w:r>
      <w:r>
        <w:t>, 122–128. https://doi.org/10.1016/j.pestbp.2014.11.014</w:t>
      </w:r>
    </w:p>
    <w:p w14:paraId="767A496C" w14:textId="77777777" w:rsidR="00820B56" w:rsidRDefault="00000000" w:rsidP="00B403FD">
      <w:pPr>
        <w:spacing w:before="100" w:beforeAutospacing="1" w:after="100" w:afterAutospacing="1"/>
        <w:ind w:left="720" w:hanging="720"/>
      </w:pPr>
      <w:r>
        <w:t xml:space="preserve">Sparks, T. C., Storer, N., Porter, A., Slater, R., &amp; </w:t>
      </w:r>
      <w:proofErr w:type="spellStart"/>
      <w:r>
        <w:t>Nauen</w:t>
      </w:r>
      <w:proofErr w:type="spellEnd"/>
      <w:r>
        <w:t xml:space="preserve">, R. (2021). Insecticide resistance management and industry: The origins and evolution of the Insecticide Resistance Action Committee (IRAC) and the mode of action classification scheme. </w:t>
      </w:r>
      <w:r>
        <w:rPr>
          <w:i/>
          <w:iCs/>
        </w:rPr>
        <w:t>Pest Management Science, 77</w:t>
      </w:r>
      <w:r>
        <w:t>(6), 2609–2619. https://doi.org/10.1002/ps.6254</w:t>
      </w:r>
    </w:p>
    <w:p w14:paraId="4C5FA168" w14:textId="77777777" w:rsidR="00820B56" w:rsidRDefault="00000000" w:rsidP="00B403FD">
      <w:pPr>
        <w:spacing w:before="100" w:beforeAutospacing="1" w:after="100" w:afterAutospacing="1"/>
        <w:ind w:left="720" w:hanging="720"/>
      </w:pPr>
      <w:r>
        <w:t xml:space="preserve">Sudo, M., Takahashi, D., Andow, D. A., Suzuki, Y., &amp; Yamanaka, T. (2018). Optimal management strategy of insecticide resistance under various insect life histories: Heterogeneous timing of selection and interpatch dispersal. </w:t>
      </w:r>
      <w:r>
        <w:rPr>
          <w:i/>
          <w:iCs/>
        </w:rPr>
        <w:t>Evolutionary Applications, 11</w:t>
      </w:r>
      <w:r>
        <w:t>(2), 271–283. https://doi.org/10.1111/eva.12550</w:t>
      </w:r>
    </w:p>
    <w:p w14:paraId="0BBFDF49" w14:textId="77777777" w:rsidR="00820B56" w:rsidRDefault="00000000" w:rsidP="00B403FD">
      <w:pPr>
        <w:spacing w:before="100" w:beforeAutospacing="1" w:after="100" w:afterAutospacing="1"/>
        <w:ind w:left="720" w:hanging="720"/>
      </w:pPr>
      <w:r>
        <w:t xml:space="preserve">Sun, H., Wang, S., Liu, C., Hu, W.-K., Liu, J.-W., Zheng, L.-J., Gao, M.-Y., Guo, F.-R., Qiao, S.-T., Liu, J.-L., Sun, B., Gao, C.-F., &amp; Wu, S.-F. (2024). Risk assessment, fitness cost, cross-resistance, and mechanism of </w:t>
      </w:r>
      <w:proofErr w:type="spellStart"/>
      <w:r>
        <w:t>tetraniliprole</w:t>
      </w:r>
      <w:proofErr w:type="spellEnd"/>
      <w:r>
        <w:t xml:space="preserve"> resistance in the rice stem borer, </w:t>
      </w:r>
      <w:r>
        <w:rPr>
          <w:i/>
          <w:iCs/>
        </w:rPr>
        <w:t xml:space="preserve">Chilo </w:t>
      </w:r>
      <w:proofErr w:type="spellStart"/>
      <w:r>
        <w:rPr>
          <w:i/>
          <w:iCs/>
        </w:rPr>
        <w:t>suppressalis</w:t>
      </w:r>
      <w:proofErr w:type="spellEnd"/>
      <w:r>
        <w:t xml:space="preserve">. </w:t>
      </w:r>
      <w:r>
        <w:rPr>
          <w:i/>
          <w:iCs/>
        </w:rPr>
        <w:t>Insect Science, 31</w:t>
      </w:r>
      <w:r>
        <w:t>(3), 835–846. https://doi.org/10.1111/1744-7917.13282</w:t>
      </w:r>
    </w:p>
    <w:p w14:paraId="5AE5B874" w14:textId="77777777" w:rsidR="00820B56" w:rsidRDefault="00000000" w:rsidP="00B403FD">
      <w:pPr>
        <w:spacing w:before="100" w:beforeAutospacing="1" w:after="100" w:afterAutospacing="1"/>
        <w:ind w:left="720" w:hanging="720"/>
      </w:pPr>
      <w:proofErr w:type="spellStart"/>
      <w:r>
        <w:t>Tabashnik</w:t>
      </w:r>
      <w:proofErr w:type="spellEnd"/>
      <w:r>
        <w:t xml:space="preserve">, B. E., &amp; Carrière, Y. (2019). Global patterns of resistance to </w:t>
      </w:r>
      <w:proofErr w:type="spellStart"/>
      <w:r>
        <w:t>Bt</w:t>
      </w:r>
      <w:proofErr w:type="spellEnd"/>
      <w:r>
        <w:t xml:space="preserve"> crops highlighting pink bollworm in the United States, China, and India. </w:t>
      </w:r>
      <w:r>
        <w:rPr>
          <w:i/>
          <w:iCs/>
        </w:rPr>
        <w:t>Journal of Economic Entomology, 112</w:t>
      </w:r>
      <w:r>
        <w:t>(6), 2513–2523. https://doi.org/10.1093/jee/toz173</w:t>
      </w:r>
    </w:p>
    <w:p w14:paraId="39E2182D" w14:textId="77777777" w:rsidR="00820B56" w:rsidRDefault="00000000" w:rsidP="00B403FD">
      <w:pPr>
        <w:spacing w:before="100" w:beforeAutospacing="1" w:after="100" w:afterAutospacing="1"/>
        <w:ind w:left="720" w:hanging="720"/>
      </w:pPr>
      <w:proofErr w:type="spellStart"/>
      <w:r>
        <w:t>Tabashnik</w:t>
      </w:r>
      <w:proofErr w:type="spellEnd"/>
      <w:r>
        <w:t xml:space="preserve">, B. E., Gould, F., &amp; Carrière, Y. (2004). Delaying evolution of insect resistance to transgenic crops by decreasing dominance and heritability. </w:t>
      </w:r>
      <w:r>
        <w:rPr>
          <w:i/>
          <w:iCs/>
        </w:rPr>
        <w:t>Journal of Evolutionary Biology, 17</w:t>
      </w:r>
      <w:r>
        <w:t>(4), 904–912. https://doi.org/10.1111/j.1420-9101.2004.00695.x</w:t>
      </w:r>
    </w:p>
    <w:p w14:paraId="31C64E9D" w14:textId="77777777" w:rsidR="00820B56" w:rsidRDefault="00000000" w:rsidP="00B403FD">
      <w:pPr>
        <w:spacing w:before="100" w:beforeAutospacing="1" w:after="100" w:afterAutospacing="1"/>
        <w:ind w:left="720" w:hanging="720"/>
      </w:pPr>
      <w:r>
        <w:t xml:space="preserve">Tay, W. T., Meagher, R. L., </w:t>
      </w:r>
      <w:proofErr w:type="spellStart"/>
      <w:r>
        <w:t>Czepak</w:t>
      </w:r>
      <w:proofErr w:type="spellEnd"/>
      <w:r>
        <w:t xml:space="preserve">, C., &amp; Groot, A. T. (2023). </w:t>
      </w:r>
      <w:r>
        <w:rPr>
          <w:i/>
          <w:iCs/>
        </w:rPr>
        <w:t xml:space="preserve">Spodoptera </w:t>
      </w:r>
      <w:proofErr w:type="spellStart"/>
      <w:r>
        <w:rPr>
          <w:i/>
          <w:iCs/>
        </w:rPr>
        <w:t>frugiperda</w:t>
      </w:r>
      <w:proofErr w:type="spellEnd"/>
      <w:r>
        <w:t xml:space="preserve">: Ecology, evolution, and management options of an invasive species. </w:t>
      </w:r>
      <w:r>
        <w:rPr>
          <w:i/>
          <w:iCs/>
        </w:rPr>
        <w:t>Annual Review of Entomology, 68</w:t>
      </w:r>
      <w:r>
        <w:t>, 299–317. https://doi.org/10.1146/annurev-ento-120220-102548</w:t>
      </w:r>
    </w:p>
    <w:p w14:paraId="1FC2B5D4" w14:textId="77777777" w:rsidR="00820B56" w:rsidRDefault="00000000" w:rsidP="00B403FD">
      <w:pPr>
        <w:spacing w:before="100" w:beforeAutospacing="1" w:after="100" w:afterAutospacing="1"/>
        <w:ind w:left="720" w:hanging="720"/>
      </w:pPr>
      <w:proofErr w:type="spellStart"/>
      <w:r>
        <w:t>Vailla</w:t>
      </w:r>
      <w:proofErr w:type="spellEnd"/>
      <w:r>
        <w:t xml:space="preserve">, S., Muthusamy, S., </w:t>
      </w:r>
      <w:proofErr w:type="spellStart"/>
      <w:r>
        <w:t>Konijeti</w:t>
      </w:r>
      <w:proofErr w:type="spellEnd"/>
      <w:r>
        <w:t xml:space="preserve">, C., Shanker, C., &amp; Vattikuti, J. L. (2019). Effects of elevated carbon dioxide and temperature on rice brown planthopper, </w:t>
      </w:r>
      <w:proofErr w:type="spellStart"/>
      <w:r>
        <w:rPr>
          <w:i/>
          <w:iCs/>
        </w:rPr>
        <w:t>Nilaparvata</w:t>
      </w:r>
      <w:proofErr w:type="spellEnd"/>
      <w:r>
        <w:rPr>
          <w:i/>
          <w:iCs/>
        </w:rPr>
        <w:t xml:space="preserve"> </w:t>
      </w:r>
      <w:proofErr w:type="spellStart"/>
      <w:r>
        <w:rPr>
          <w:i/>
          <w:iCs/>
        </w:rPr>
        <w:t>lugens</w:t>
      </w:r>
      <w:proofErr w:type="spellEnd"/>
      <w:r>
        <w:t xml:space="preserve"> (Stal) populations in India. </w:t>
      </w:r>
      <w:r>
        <w:rPr>
          <w:i/>
          <w:iCs/>
        </w:rPr>
        <w:t>Current Science, 116</w:t>
      </w:r>
      <w:r>
        <w:t>(6), 988–996. https://doi.org/10.18520/cs/v116/i6/988-996</w:t>
      </w:r>
    </w:p>
    <w:p w14:paraId="0BC642DC" w14:textId="77777777" w:rsidR="00820B56" w:rsidRDefault="00000000" w:rsidP="00B403FD">
      <w:pPr>
        <w:spacing w:before="100" w:beforeAutospacing="1" w:after="100" w:afterAutospacing="1"/>
        <w:ind w:left="720" w:hanging="720"/>
      </w:pPr>
      <w:r>
        <w:t xml:space="preserve">Wu, S., He, M., Xia, F., Zhao, X., Liao, X., Li, R., &amp; Li, M. (2022). The cross-resistance pattern and the metabolic resistance mechanism of acetamiprid in the brown planthopper, </w:t>
      </w:r>
      <w:proofErr w:type="spellStart"/>
      <w:r>
        <w:rPr>
          <w:i/>
          <w:iCs/>
        </w:rPr>
        <w:t>Nilaparvata</w:t>
      </w:r>
      <w:proofErr w:type="spellEnd"/>
      <w:r>
        <w:rPr>
          <w:i/>
          <w:iCs/>
        </w:rPr>
        <w:t xml:space="preserve"> </w:t>
      </w:r>
      <w:proofErr w:type="spellStart"/>
      <w:r>
        <w:rPr>
          <w:i/>
          <w:iCs/>
        </w:rPr>
        <w:t>lugens</w:t>
      </w:r>
      <w:proofErr w:type="spellEnd"/>
      <w:r>
        <w:t xml:space="preserve"> (Stål). </w:t>
      </w:r>
      <w:r>
        <w:rPr>
          <w:i/>
          <w:iCs/>
        </w:rPr>
        <w:t>International Journal of Molecular Sciences, 23</w:t>
      </w:r>
      <w:r>
        <w:t>(16), Article 9429. https://doi.org/10.3390/ijms23169429</w:t>
      </w:r>
    </w:p>
    <w:p w14:paraId="4FFFB847" w14:textId="77777777" w:rsidR="00820B56" w:rsidRDefault="00000000" w:rsidP="00B403FD">
      <w:pPr>
        <w:spacing w:before="100" w:beforeAutospacing="1" w:after="100" w:afterAutospacing="1"/>
        <w:ind w:left="720" w:hanging="720"/>
      </w:pPr>
      <w:r>
        <w:t>Wu, S.-F., Zeng, B., Zheng, C., Mu, X.-C., Zhang, Y., Hu, J., Zhang, S., Gao, C.-F., &amp; Shen, J.-L. (2018). The evolution of insecticide resistance in the brown planthopper (</w:t>
      </w:r>
      <w:proofErr w:type="spellStart"/>
      <w:r>
        <w:rPr>
          <w:i/>
          <w:iCs/>
        </w:rPr>
        <w:t>Nilaparvata</w:t>
      </w:r>
      <w:proofErr w:type="spellEnd"/>
      <w:r>
        <w:rPr>
          <w:i/>
          <w:iCs/>
        </w:rPr>
        <w:t xml:space="preserve"> </w:t>
      </w:r>
      <w:proofErr w:type="spellStart"/>
      <w:r>
        <w:rPr>
          <w:i/>
          <w:iCs/>
        </w:rPr>
        <w:t>lugens</w:t>
      </w:r>
      <w:proofErr w:type="spellEnd"/>
      <w:r>
        <w:t xml:space="preserve"> Stål) of China in the period 2012–2016. </w:t>
      </w:r>
      <w:r>
        <w:rPr>
          <w:i/>
          <w:iCs/>
        </w:rPr>
        <w:t>Scientific Reports, 8</w:t>
      </w:r>
      <w:r>
        <w:t>, Article 4586. https://doi.org/10.1038/s41598-018-22906-5</w:t>
      </w:r>
    </w:p>
    <w:p w14:paraId="204D6B23" w14:textId="77777777" w:rsidR="00820B56" w:rsidRDefault="00000000" w:rsidP="00B403FD">
      <w:pPr>
        <w:spacing w:before="100" w:beforeAutospacing="1" w:after="100" w:afterAutospacing="1"/>
        <w:ind w:left="720" w:hanging="720"/>
      </w:pPr>
      <w:r>
        <w:lastRenderedPageBreak/>
        <w:t xml:space="preserve">Yao, R., Zhao, D.-D., Zhang, S., Zhou, L.-Q., Wang, X., Gao, C.-F., &amp; Wu, S.-F. (2017). Monitoring and mechanisms of insecticide resistance in </w:t>
      </w:r>
      <w:r>
        <w:rPr>
          <w:i/>
          <w:iCs/>
        </w:rPr>
        <w:t xml:space="preserve">Chilo </w:t>
      </w:r>
      <w:proofErr w:type="spellStart"/>
      <w:r>
        <w:rPr>
          <w:i/>
          <w:iCs/>
        </w:rPr>
        <w:t>suppressalis</w:t>
      </w:r>
      <w:proofErr w:type="spellEnd"/>
      <w:r>
        <w:t xml:space="preserve"> (Lepidoptera: </w:t>
      </w:r>
      <w:proofErr w:type="spellStart"/>
      <w:r>
        <w:t>Crambidae</w:t>
      </w:r>
      <w:proofErr w:type="spellEnd"/>
      <w:r>
        <w:t xml:space="preserve">), with special reference to diamides. </w:t>
      </w:r>
      <w:r>
        <w:rPr>
          <w:i/>
          <w:iCs/>
        </w:rPr>
        <w:t>Pest Management Science, 73</w:t>
      </w:r>
      <w:r>
        <w:t>(6), 1169–1178. https://doi.org/10.1002/ps.4439</w:t>
      </w:r>
    </w:p>
    <w:p w14:paraId="5513F468" w14:textId="77777777" w:rsidR="00820B56" w:rsidRDefault="00000000" w:rsidP="00B403FD">
      <w:pPr>
        <w:spacing w:before="100" w:beforeAutospacing="1" w:after="100" w:afterAutospacing="1"/>
        <w:ind w:left="720" w:hanging="720"/>
      </w:pPr>
      <w:r>
        <w:t xml:space="preserve">Zhang, L., Liu, B., Zheng, W., Liu, C., Zhang, D., Zhao, S., Li, Z., Xu, P., Wilson, K., Withers, A., Jones, C. M., Smith, J. A., </w:t>
      </w:r>
      <w:proofErr w:type="spellStart"/>
      <w:r>
        <w:t>Chipabika</w:t>
      </w:r>
      <w:proofErr w:type="spellEnd"/>
      <w:r>
        <w:t xml:space="preserve">, G., </w:t>
      </w:r>
      <w:proofErr w:type="spellStart"/>
      <w:r>
        <w:t>Kachigamba</w:t>
      </w:r>
      <w:proofErr w:type="spellEnd"/>
      <w:r>
        <w:t xml:space="preserve">, D. L., Nam, K., d'Alençon, E., Liu, B., Liang, X., Jin, M., . . . Xiao, Y. (2020). Genetic structure and insecticide resistance characteristics of fall armyworm populations invading China. </w:t>
      </w:r>
      <w:r>
        <w:rPr>
          <w:i/>
          <w:iCs/>
        </w:rPr>
        <w:t>Molecular Ecology Resources, 20</w:t>
      </w:r>
      <w:r>
        <w:t>(6), 1682–1696. https://doi.org/10.1111/1755-0998.13219</w:t>
      </w:r>
    </w:p>
    <w:p w14:paraId="799419B0" w14:textId="77777777" w:rsidR="00820B56" w:rsidRDefault="00000000" w:rsidP="00B403FD">
      <w:pPr>
        <w:spacing w:before="100" w:beforeAutospacing="1" w:after="100" w:afterAutospacing="1"/>
        <w:ind w:left="720" w:hanging="720"/>
      </w:pPr>
      <w:r>
        <w:t xml:space="preserve">Zhang, S.-K., Ren, X.-B., Wang, Y.-C., &amp; Su, J. (2014). Resistance in </w:t>
      </w:r>
      <w:proofErr w:type="spellStart"/>
      <w:r>
        <w:rPr>
          <w:i/>
          <w:iCs/>
        </w:rPr>
        <w:t>Cnaphalocrocis</w:t>
      </w:r>
      <w:proofErr w:type="spellEnd"/>
      <w:r>
        <w:rPr>
          <w:i/>
          <w:iCs/>
        </w:rPr>
        <w:t xml:space="preserve"> </w:t>
      </w:r>
      <w:proofErr w:type="spellStart"/>
      <w:r>
        <w:rPr>
          <w:i/>
          <w:iCs/>
        </w:rPr>
        <w:t>medinalis</w:t>
      </w:r>
      <w:proofErr w:type="spellEnd"/>
      <w:r>
        <w:t xml:space="preserve"> (Lepidoptera: </w:t>
      </w:r>
      <w:proofErr w:type="spellStart"/>
      <w:r>
        <w:t>Pyralidae</w:t>
      </w:r>
      <w:proofErr w:type="spellEnd"/>
      <w:r>
        <w:t xml:space="preserve">) to new chemistry insecticides. </w:t>
      </w:r>
      <w:r>
        <w:rPr>
          <w:i/>
          <w:iCs/>
        </w:rPr>
        <w:t>Journal of Economic Entomology, 107</w:t>
      </w:r>
      <w:r>
        <w:t>(2), 815–820. https://doi.org/10.1603/EC13506</w:t>
      </w:r>
    </w:p>
    <w:p w14:paraId="41AA61F5" w14:textId="77777777" w:rsidR="00820B56" w:rsidRDefault="00000000" w:rsidP="00B403FD">
      <w:pPr>
        <w:spacing w:before="100" w:beforeAutospacing="1" w:after="100" w:afterAutospacing="1"/>
        <w:ind w:left="720" w:hanging="720"/>
      </w:pPr>
      <w:r>
        <w:t xml:space="preserve">Zhu, J., Li, Y., Jiang, H., Liu, C., Lu, W., Dai, W., Xu, J., &amp; Liu, F. (2018). Selective toxicity of the </w:t>
      </w:r>
      <w:proofErr w:type="spellStart"/>
      <w:r>
        <w:t>mesoionic</w:t>
      </w:r>
      <w:proofErr w:type="spellEnd"/>
      <w:r>
        <w:t xml:space="preserve"> insecticide, </w:t>
      </w:r>
      <w:proofErr w:type="spellStart"/>
      <w:r>
        <w:t>triflumezopyrim</w:t>
      </w:r>
      <w:proofErr w:type="spellEnd"/>
      <w:r>
        <w:t xml:space="preserve">, to rice planthoppers and beneficial arthropods. </w:t>
      </w:r>
      <w:r>
        <w:rPr>
          <w:i/>
          <w:iCs/>
        </w:rPr>
        <w:t>Ecotoxicology, 27</w:t>
      </w:r>
      <w:r>
        <w:t>(4), 411–419. https://doi.org/10.1007/s10646-018-1904-x</w:t>
      </w:r>
    </w:p>
    <w:p w14:paraId="407CD8EF" w14:textId="77777777" w:rsidR="00820B56" w:rsidRDefault="00000000" w:rsidP="00B403FD">
      <w:pPr>
        <w:spacing w:before="100" w:beforeAutospacing="1" w:after="100" w:afterAutospacing="1"/>
        <w:ind w:left="720" w:hanging="720"/>
      </w:pPr>
      <w:r>
        <w:t xml:space="preserve">Zhu, K. Y., &amp; Palli, S. R. (2020). Mechanisms, applications, and challenges of insect RNA interference. </w:t>
      </w:r>
      <w:r>
        <w:rPr>
          <w:i/>
          <w:iCs/>
        </w:rPr>
        <w:t>Annual Review of Entomology, 65</w:t>
      </w:r>
      <w:r>
        <w:t>, 293–311. https://doi.org/10.1146/annurev-ento-011019-025224</w:t>
      </w:r>
    </w:p>
    <w:sectPr w:rsidR="00820B5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1A085" w14:textId="77777777" w:rsidR="00215929" w:rsidRDefault="00215929" w:rsidP="00363A72">
      <w:r>
        <w:separator/>
      </w:r>
    </w:p>
  </w:endnote>
  <w:endnote w:type="continuationSeparator" w:id="0">
    <w:p w14:paraId="2A5D8722" w14:textId="77777777" w:rsidR="00215929" w:rsidRDefault="00215929" w:rsidP="0036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2E9A" w14:textId="77777777" w:rsidR="00363A72" w:rsidRDefault="00363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CFA3" w14:textId="77777777" w:rsidR="00363A72" w:rsidRDefault="00363A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CEAF" w14:textId="77777777" w:rsidR="00363A72" w:rsidRDefault="0036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1B80" w14:textId="77777777" w:rsidR="00215929" w:rsidRDefault="00215929" w:rsidP="00363A72">
      <w:r>
        <w:separator/>
      </w:r>
    </w:p>
  </w:footnote>
  <w:footnote w:type="continuationSeparator" w:id="0">
    <w:p w14:paraId="4E97FC8A" w14:textId="77777777" w:rsidR="00215929" w:rsidRDefault="00215929" w:rsidP="00363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BEA0" w14:textId="689081C5" w:rsidR="00363A72" w:rsidRDefault="00363A72">
    <w:pPr>
      <w:pStyle w:val="Header"/>
    </w:pPr>
    <w:r>
      <w:rPr>
        <w:noProof/>
      </w:rPr>
      <w:pict w14:anchorId="0AC5FD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3946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5769" w14:textId="22A27F91" w:rsidR="00363A72" w:rsidRDefault="00363A72">
    <w:pPr>
      <w:pStyle w:val="Header"/>
    </w:pPr>
    <w:r>
      <w:rPr>
        <w:noProof/>
      </w:rPr>
      <w:pict w14:anchorId="19EFE1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3947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BC3E" w14:textId="1C0C619B" w:rsidR="00363A72" w:rsidRDefault="00363A72">
    <w:pPr>
      <w:pStyle w:val="Header"/>
    </w:pPr>
    <w:r>
      <w:rPr>
        <w:noProof/>
      </w:rPr>
      <w:pict w14:anchorId="6ED27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3946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C5CFF"/>
    <w:multiLevelType w:val="hybridMultilevel"/>
    <w:tmpl w:val="C9764B10"/>
    <w:lvl w:ilvl="0" w:tplc="0E3C8664">
      <w:start w:val="1"/>
      <w:numFmt w:val="bullet"/>
      <w:lvlText w:val="●"/>
      <w:lvlJc w:val="left"/>
      <w:pPr>
        <w:ind w:left="720" w:hanging="360"/>
      </w:pPr>
    </w:lvl>
    <w:lvl w:ilvl="1" w:tplc="1EDC4044">
      <w:start w:val="1"/>
      <w:numFmt w:val="bullet"/>
      <w:lvlText w:val="○"/>
      <w:lvlJc w:val="left"/>
      <w:pPr>
        <w:ind w:left="1440" w:hanging="360"/>
      </w:pPr>
    </w:lvl>
    <w:lvl w:ilvl="2" w:tplc="D212722A">
      <w:start w:val="1"/>
      <w:numFmt w:val="bullet"/>
      <w:lvlText w:val="■"/>
      <w:lvlJc w:val="left"/>
      <w:pPr>
        <w:ind w:left="2160" w:hanging="360"/>
      </w:pPr>
    </w:lvl>
    <w:lvl w:ilvl="3" w:tplc="24A6513C">
      <w:start w:val="1"/>
      <w:numFmt w:val="bullet"/>
      <w:lvlText w:val="●"/>
      <w:lvlJc w:val="left"/>
      <w:pPr>
        <w:ind w:left="2880" w:hanging="360"/>
      </w:pPr>
    </w:lvl>
    <w:lvl w:ilvl="4" w:tplc="E5385B9A">
      <w:start w:val="1"/>
      <w:numFmt w:val="bullet"/>
      <w:lvlText w:val="○"/>
      <w:lvlJc w:val="left"/>
      <w:pPr>
        <w:ind w:left="3600" w:hanging="360"/>
      </w:pPr>
    </w:lvl>
    <w:lvl w:ilvl="5" w:tplc="B27CD7C4">
      <w:start w:val="1"/>
      <w:numFmt w:val="bullet"/>
      <w:lvlText w:val="■"/>
      <w:lvlJc w:val="left"/>
      <w:pPr>
        <w:ind w:left="4320" w:hanging="360"/>
      </w:pPr>
    </w:lvl>
    <w:lvl w:ilvl="6" w:tplc="1F8A6084">
      <w:start w:val="1"/>
      <w:numFmt w:val="bullet"/>
      <w:lvlText w:val="●"/>
      <w:lvlJc w:val="left"/>
      <w:pPr>
        <w:ind w:left="5040" w:hanging="360"/>
      </w:pPr>
    </w:lvl>
    <w:lvl w:ilvl="7" w:tplc="0C567B06">
      <w:start w:val="1"/>
      <w:numFmt w:val="bullet"/>
      <w:lvlText w:val="●"/>
      <w:lvlJc w:val="left"/>
      <w:pPr>
        <w:ind w:left="5760" w:hanging="360"/>
      </w:pPr>
    </w:lvl>
    <w:lvl w:ilvl="8" w:tplc="09B6F3D4">
      <w:start w:val="1"/>
      <w:numFmt w:val="bullet"/>
      <w:lvlText w:val="●"/>
      <w:lvlJc w:val="left"/>
      <w:pPr>
        <w:ind w:left="6480" w:hanging="360"/>
      </w:pPr>
    </w:lvl>
  </w:abstractNum>
  <w:num w:numId="1" w16cid:durableId="6336083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B56"/>
    <w:rsid w:val="00151B09"/>
    <w:rsid w:val="00173AE5"/>
    <w:rsid w:val="00215929"/>
    <w:rsid w:val="00363A72"/>
    <w:rsid w:val="003F3A87"/>
    <w:rsid w:val="00515A8F"/>
    <w:rsid w:val="00820B56"/>
    <w:rsid w:val="009311F2"/>
    <w:rsid w:val="00B403FD"/>
    <w:rsid w:val="00C03BE0"/>
    <w:rsid w:val="00F3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6C6A7"/>
  <w15:docId w15:val="{FB4669F3-1A10-43D1-854E-F2D1805B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63A72"/>
    <w:pPr>
      <w:tabs>
        <w:tab w:val="center" w:pos="4513"/>
        <w:tab w:val="right" w:pos="9026"/>
      </w:tabs>
    </w:pPr>
  </w:style>
  <w:style w:type="character" w:customStyle="1" w:styleId="HeaderChar">
    <w:name w:val="Header Char"/>
    <w:basedOn w:val="DefaultParagraphFont"/>
    <w:link w:val="Header"/>
    <w:uiPriority w:val="99"/>
    <w:rsid w:val="00363A72"/>
  </w:style>
  <w:style w:type="paragraph" w:styleId="Footer">
    <w:name w:val="footer"/>
    <w:basedOn w:val="Normal"/>
    <w:link w:val="FooterChar"/>
    <w:uiPriority w:val="99"/>
    <w:unhideWhenUsed/>
    <w:rsid w:val="00363A72"/>
    <w:pPr>
      <w:tabs>
        <w:tab w:val="center" w:pos="4513"/>
        <w:tab w:val="right" w:pos="9026"/>
      </w:tabs>
    </w:pPr>
  </w:style>
  <w:style w:type="character" w:customStyle="1" w:styleId="FooterChar">
    <w:name w:val="Footer Char"/>
    <w:basedOn w:val="DefaultParagraphFont"/>
    <w:link w:val="Footer"/>
    <w:uiPriority w:val="99"/>
    <w:rsid w:val="0036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31</Pages>
  <Words>18130</Words>
  <Characters>103345</Characters>
  <Application>Microsoft Office Word</Application>
  <DocSecurity>0</DocSecurity>
  <Lines>861</Lines>
  <Paragraphs>242</Paragraphs>
  <ScaleCrop>false</ScaleCrop>
  <Company>HP</Company>
  <LinksUpToDate>false</LinksUpToDate>
  <CharactersWithSpaces>121233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8</cp:revision>
  <dcterms:created xsi:type="dcterms:W3CDTF">2026-07-30T16:07:00Z</dcterms:created>
  <dcterms:modified xsi:type="dcterms:W3CDTF">2026-07-31T11:29:00Z</dcterms:modified>
</cp:coreProperties>
</file>