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9B48D" w14:textId="222EE3C5" w:rsidR="00B96C88" w:rsidRPr="00B96C88" w:rsidRDefault="00B96C88" w:rsidP="00B96C88">
      <w:pPr>
        <w:pStyle w:val="Author"/>
        <w:spacing w:line="240" w:lineRule="auto"/>
        <w:jc w:val="left"/>
        <w:rPr>
          <w:rFonts w:ascii="Arial" w:hAnsi="Arial" w:cs="Arial"/>
          <w:bCs/>
          <w:iCs/>
          <w:kern w:val="28"/>
          <w:sz w:val="36"/>
          <w:u w:val="single"/>
        </w:rPr>
      </w:pPr>
      <w:r w:rsidRPr="00B96C88">
        <w:rPr>
          <w:rFonts w:ascii="Arial" w:hAnsi="Arial" w:cs="Arial"/>
          <w:bCs/>
          <w:iCs/>
          <w:kern w:val="28"/>
          <w:sz w:val="36"/>
          <w:u w:val="single"/>
        </w:rPr>
        <w:t>Original Research Article</w:t>
      </w:r>
    </w:p>
    <w:p w14:paraId="6936A6FB" w14:textId="784459E6" w:rsidR="00163BC4" w:rsidRDefault="002B4ADD" w:rsidP="00441B6F">
      <w:pPr>
        <w:pStyle w:val="Author"/>
        <w:spacing w:line="240" w:lineRule="auto"/>
        <w:rPr>
          <w:rFonts w:ascii="Arial" w:hAnsi="Arial" w:cs="Arial"/>
          <w:bCs/>
          <w:iCs/>
          <w:kern w:val="28"/>
          <w:sz w:val="36"/>
        </w:rPr>
      </w:pPr>
      <w:r>
        <w:rPr>
          <w:rFonts w:ascii="Arial" w:hAnsi="Arial" w:cs="Arial"/>
          <w:bCs/>
          <w:iCs/>
          <w:kern w:val="28"/>
          <w:sz w:val="36"/>
        </w:rPr>
        <w:t xml:space="preserve">Molecular Systematics and Phylogeography of </w:t>
      </w:r>
      <w:r w:rsidR="003110D8" w:rsidRPr="003110D8">
        <w:rPr>
          <w:rFonts w:ascii="Arial" w:hAnsi="Arial" w:cs="Arial"/>
          <w:bCs/>
          <w:i/>
          <w:iCs/>
          <w:kern w:val="28"/>
          <w:sz w:val="36"/>
        </w:rPr>
        <w:t>Hemidactylus</w:t>
      </w:r>
      <w:r>
        <w:rPr>
          <w:rFonts w:ascii="Arial" w:hAnsi="Arial" w:cs="Arial"/>
          <w:bCs/>
          <w:iCs/>
          <w:kern w:val="28"/>
          <w:sz w:val="36"/>
        </w:rPr>
        <w:t xml:space="preserve"> Geckos (Reptilia: Gekkonidae) from Manipur, the Indo-Myanmar Biodiversity Hotspot</w:t>
      </w:r>
      <w:r w:rsidR="00231920">
        <w:rPr>
          <w:rFonts w:ascii="Arial" w:hAnsi="Arial" w:cs="Arial"/>
          <w:bCs/>
          <w:iCs/>
          <w:kern w:val="28"/>
          <w:sz w:val="36"/>
        </w:rPr>
        <w:t xml:space="preserve"> </w:t>
      </w:r>
    </w:p>
    <w:p w14:paraId="70B0E0BE" w14:textId="77777777" w:rsidR="00A258C3" w:rsidRPr="00790ADA" w:rsidRDefault="00A258C3" w:rsidP="00441B6F">
      <w:pPr>
        <w:pStyle w:val="Author"/>
        <w:spacing w:line="240" w:lineRule="auto"/>
        <w:jc w:val="both"/>
        <w:rPr>
          <w:rFonts w:ascii="Arial" w:hAnsi="Arial" w:cs="Arial"/>
          <w:sz w:val="36"/>
        </w:rPr>
      </w:pPr>
    </w:p>
    <w:p w14:paraId="05E5C8C7" w14:textId="0F08FA82" w:rsidR="00EF4DE0" w:rsidRPr="00EF4DE0" w:rsidRDefault="00EF4DE0" w:rsidP="00EF4DE0">
      <w:pPr>
        <w:pStyle w:val="Affiliation"/>
        <w:rPr>
          <w:rFonts w:ascii="Arial" w:hAnsi="Arial" w:cs="Arial"/>
          <w:i/>
        </w:rPr>
      </w:pPr>
      <w:r>
        <w:rPr>
          <w:rFonts w:ascii="Arial" w:hAnsi="Arial" w:cs="Arial"/>
          <w:i/>
        </w:rPr>
        <w:t xml:space="preserve"> </w:t>
      </w:r>
    </w:p>
    <w:p w14:paraId="4EAD972F" w14:textId="77777777" w:rsidR="00EF4DE0" w:rsidRPr="001C0822" w:rsidRDefault="00EF4DE0" w:rsidP="001C0822">
      <w:pPr>
        <w:pStyle w:val="Affiliation"/>
        <w:spacing w:after="0" w:line="240" w:lineRule="auto"/>
        <w:rPr>
          <w:rFonts w:ascii="Arial" w:hAnsi="Arial" w:cs="Arial"/>
          <w:i/>
          <w:highlight w:val="yellow"/>
        </w:rPr>
      </w:pPr>
    </w:p>
    <w:p w14:paraId="1AE51E73" w14:textId="77777777" w:rsidR="001C0822" w:rsidRDefault="001C0822" w:rsidP="00441B6F">
      <w:pPr>
        <w:pStyle w:val="Affiliation"/>
        <w:spacing w:after="0" w:line="240" w:lineRule="auto"/>
        <w:rPr>
          <w:rFonts w:ascii="Arial" w:hAnsi="Arial" w:cs="Arial"/>
          <w:i/>
          <w:highlight w:val="yellow"/>
        </w:rPr>
      </w:pPr>
    </w:p>
    <w:p w14:paraId="62CDDE64" w14:textId="77777777" w:rsidR="00790ADA" w:rsidRDefault="00790ADA" w:rsidP="00441B6F">
      <w:pPr>
        <w:pStyle w:val="Affiliation"/>
        <w:spacing w:after="0" w:line="240" w:lineRule="auto"/>
        <w:jc w:val="both"/>
        <w:rPr>
          <w:rFonts w:ascii="Arial" w:hAnsi="Arial" w:cs="Arial"/>
        </w:rPr>
      </w:pPr>
    </w:p>
    <w:p w14:paraId="0ED9A083" w14:textId="77777777" w:rsidR="002C57D2" w:rsidRPr="00FB3A86" w:rsidRDefault="002C57D2" w:rsidP="00441B6F">
      <w:pPr>
        <w:pStyle w:val="Affiliation"/>
        <w:spacing w:after="0" w:line="240" w:lineRule="auto"/>
        <w:jc w:val="both"/>
        <w:rPr>
          <w:rFonts w:ascii="Arial" w:hAnsi="Arial" w:cs="Arial"/>
        </w:rPr>
      </w:pPr>
    </w:p>
    <w:p w14:paraId="4DEF7092" w14:textId="0C43BC03" w:rsidR="00B01FCD" w:rsidRPr="00FB3A86" w:rsidRDefault="006B2118" w:rsidP="00441B6F">
      <w:pPr>
        <w:pStyle w:val="Copyright"/>
        <w:spacing w:after="0" w:line="240" w:lineRule="auto"/>
        <w:jc w:val="both"/>
        <w:rPr>
          <w:rFonts w:ascii="Arial" w:hAnsi="Arial" w:cs="Arial"/>
        </w:rPr>
        <w:sectPr w:rsidR="00B01FCD" w:rsidRPr="00FB3A86" w:rsidSect="00EE0611">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194CAFEF" wp14:editId="2FC3F967">
                <wp:extent cx="5303520" cy="635"/>
                <wp:effectExtent l="15240" t="12700" r="15240" b="15875"/>
                <wp:docPr id="191384094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88EA9"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75BE669B"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247332C9"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1A98699C" w14:textId="77777777" w:rsidTr="001E44FE">
        <w:tc>
          <w:tcPr>
            <w:tcW w:w="9576" w:type="dxa"/>
            <w:shd w:val="clear" w:color="auto" w:fill="F2F2F2"/>
          </w:tcPr>
          <w:p w14:paraId="727000D7" w14:textId="5EBEB8FA" w:rsidR="00BE4FCE" w:rsidRPr="00BE4FCE" w:rsidRDefault="00BE4FCE" w:rsidP="00BE4FCE">
            <w:pPr>
              <w:jc w:val="both"/>
              <w:rPr>
                <w:rFonts w:ascii="Arial" w:hAnsi="Arial" w:cs="Arial"/>
                <w:sz w:val="22"/>
                <w:szCs w:val="22"/>
              </w:rPr>
            </w:pPr>
            <w:r w:rsidRPr="00BE4FCE">
              <w:rPr>
                <w:rFonts w:ascii="Arial" w:eastAsia="Calibri" w:hAnsi="Arial" w:cs="Arial"/>
                <w:b/>
                <w:sz w:val="22"/>
                <w:szCs w:val="22"/>
              </w:rPr>
              <w:t xml:space="preserve">Aims: </w:t>
            </w:r>
            <w:r w:rsidRPr="00BE4FCE">
              <w:rPr>
                <w:rFonts w:ascii="Arial" w:hAnsi="Arial" w:cs="Arial"/>
                <w:sz w:val="22"/>
                <w:szCs w:val="22"/>
              </w:rPr>
              <w:t xml:space="preserve">The present study was undertaken to address the evolutionary history, molecular phylogenetic linkages, divergence pattern and historical biogeography of the genus </w:t>
            </w:r>
            <w:r w:rsidR="003110D8" w:rsidRPr="003110D8">
              <w:rPr>
                <w:rFonts w:ascii="Arial" w:hAnsi="Arial" w:cs="Arial"/>
                <w:i/>
                <w:iCs/>
                <w:sz w:val="22"/>
                <w:szCs w:val="22"/>
              </w:rPr>
              <w:t>Hemidactylus</w:t>
            </w:r>
            <w:r w:rsidRPr="00BE4FCE">
              <w:rPr>
                <w:rFonts w:ascii="Arial" w:hAnsi="Arial" w:cs="Arial"/>
                <w:sz w:val="22"/>
                <w:szCs w:val="22"/>
              </w:rPr>
              <w:t xml:space="preserve"> (Family: Gekkonidae) of North-eastern India. The study also aimed at examining the influence of past geological barriers and environmental changes on species diversification using Geographic Information Systems (GIS).</w:t>
            </w:r>
          </w:p>
          <w:p w14:paraId="4DDD1E4F" w14:textId="18C6BEBF" w:rsidR="00BE4FCE" w:rsidRPr="00BE4FCE" w:rsidRDefault="00BE4FCE" w:rsidP="00BE4FCE">
            <w:pPr>
              <w:jc w:val="both"/>
              <w:rPr>
                <w:rFonts w:ascii="Arial" w:hAnsi="Arial" w:cs="Arial"/>
                <w:sz w:val="22"/>
                <w:szCs w:val="22"/>
              </w:rPr>
            </w:pPr>
            <w:r w:rsidRPr="00BE4FCE">
              <w:rPr>
                <w:rFonts w:ascii="Arial" w:eastAsia="Calibri" w:hAnsi="Arial" w:cs="Arial"/>
                <w:b/>
                <w:sz w:val="22"/>
                <w:szCs w:val="22"/>
              </w:rPr>
              <w:t>Place and Duration of Study:</w:t>
            </w:r>
            <w:r w:rsidRPr="00BE4FCE">
              <w:rPr>
                <w:rFonts w:ascii="Arial" w:eastAsia="Calibri" w:hAnsi="Arial" w:cs="Arial"/>
                <w:sz w:val="22"/>
                <w:szCs w:val="22"/>
              </w:rPr>
              <w:t xml:space="preserve"> </w:t>
            </w:r>
            <w:r w:rsidRPr="00BE4FCE">
              <w:rPr>
                <w:rFonts w:ascii="Arial" w:hAnsi="Arial" w:cs="Arial"/>
                <w:sz w:val="22"/>
                <w:szCs w:val="22"/>
              </w:rPr>
              <w:t>The study was conducted in Manipur, North East India from December 2021 to November 2025. Laboratory analyses were carried out at Department of Zoology, University of Delhi and School of Life Sciences, Manipur University.</w:t>
            </w:r>
          </w:p>
          <w:p w14:paraId="36E08D3F" w14:textId="6EE38F31" w:rsidR="00BE4FCE" w:rsidRPr="00BE4FCE" w:rsidRDefault="00BE4FCE" w:rsidP="00BE4FCE">
            <w:pPr>
              <w:jc w:val="both"/>
              <w:rPr>
                <w:rFonts w:ascii="Arial" w:hAnsi="Arial" w:cs="Arial"/>
                <w:sz w:val="22"/>
                <w:szCs w:val="22"/>
              </w:rPr>
            </w:pPr>
            <w:r w:rsidRPr="00BE4FCE">
              <w:rPr>
                <w:rFonts w:ascii="Arial" w:hAnsi="Arial" w:cs="Arial"/>
                <w:b/>
                <w:sz w:val="22"/>
                <w:szCs w:val="22"/>
              </w:rPr>
              <w:t xml:space="preserve">Methodology: </w:t>
            </w:r>
            <w:r w:rsidRPr="00BE4FCE">
              <w:rPr>
                <w:rFonts w:ascii="Arial" w:hAnsi="Arial" w:cs="Arial"/>
                <w:sz w:val="22"/>
                <w:szCs w:val="22"/>
              </w:rPr>
              <w:t xml:space="preserve">Molecular phylogenetic analysis employing representative species of </w:t>
            </w:r>
            <w:r w:rsidR="003110D8" w:rsidRPr="003110D8">
              <w:rPr>
                <w:rFonts w:ascii="Arial" w:hAnsi="Arial" w:cs="Arial"/>
                <w:i/>
                <w:iCs/>
                <w:sz w:val="22"/>
                <w:szCs w:val="22"/>
              </w:rPr>
              <w:t>Hemidactylus</w:t>
            </w:r>
            <w:r w:rsidRPr="00BE4FCE">
              <w:rPr>
                <w:rFonts w:ascii="Arial" w:hAnsi="Arial" w:cs="Arial"/>
                <w:sz w:val="22"/>
                <w:szCs w:val="22"/>
              </w:rPr>
              <w:t xml:space="preserve"> were undertaken to estimate evolutionary relationships and divergence histories. Historical biogeographic reconstruction was performed to reveal ancestral distribution patterns. GIS-based spatial studies were used to evaluate the role of topographical features, river systems and historical landscape changes in species radiation and distribution.</w:t>
            </w:r>
          </w:p>
          <w:p w14:paraId="5F978DD7" w14:textId="35CB390C" w:rsidR="00BE4FCE" w:rsidRPr="00BE4FCE" w:rsidRDefault="00BE4FCE" w:rsidP="00BE4FCE">
            <w:pPr>
              <w:jc w:val="both"/>
              <w:rPr>
                <w:rFonts w:ascii="Arial" w:hAnsi="Arial" w:cs="Arial"/>
                <w:sz w:val="22"/>
                <w:szCs w:val="22"/>
              </w:rPr>
            </w:pPr>
            <w:r w:rsidRPr="00BE4FCE">
              <w:rPr>
                <w:rFonts w:ascii="Arial" w:hAnsi="Arial" w:cs="Arial"/>
                <w:b/>
                <w:sz w:val="22"/>
                <w:szCs w:val="22"/>
              </w:rPr>
              <w:t xml:space="preserve">Results: </w:t>
            </w:r>
            <w:r w:rsidRPr="00BE4FCE">
              <w:rPr>
                <w:rFonts w:ascii="Arial" w:hAnsi="Arial" w:cs="Arial"/>
                <w:sz w:val="22"/>
                <w:szCs w:val="22"/>
              </w:rPr>
              <w:t xml:space="preserve">Phylogenetic analysis revealed isolated evolutionary lineages of </w:t>
            </w:r>
            <w:r w:rsidR="003110D8" w:rsidRPr="003110D8">
              <w:rPr>
                <w:rFonts w:ascii="Arial" w:hAnsi="Arial" w:cs="Arial"/>
                <w:i/>
                <w:iCs/>
                <w:sz w:val="22"/>
                <w:szCs w:val="22"/>
              </w:rPr>
              <w:t>Hemidactylus</w:t>
            </w:r>
            <w:r w:rsidRPr="00BE4FCE">
              <w:rPr>
                <w:rFonts w:ascii="Arial" w:hAnsi="Arial" w:cs="Arial"/>
                <w:sz w:val="22"/>
                <w:szCs w:val="22"/>
              </w:rPr>
              <w:t xml:space="preserve"> in North-eastern India indicating past genetic isolation from Peninsular Indian populations. Biogeographic reconstruction and GIS analysis suggested that geological obstacles, shifting ecosystems and complex physiography of Indo-Myanmar region had likely contributed to independent evolutionary radiation and diversification within the genus.</w:t>
            </w:r>
          </w:p>
          <w:p w14:paraId="542956C8" w14:textId="5A4F9B06" w:rsidR="00BE4FCE" w:rsidRPr="00BE4FCE" w:rsidRDefault="00BE4FCE" w:rsidP="00BE4FCE">
            <w:pPr>
              <w:jc w:val="both"/>
              <w:rPr>
                <w:rFonts w:ascii="Arial" w:hAnsi="Arial" w:cs="Arial"/>
                <w:sz w:val="22"/>
                <w:szCs w:val="22"/>
              </w:rPr>
            </w:pPr>
            <w:r w:rsidRPr="00BE4FCE">
              <w:rPr>
                <w:rFonts w:ascii="Arial" w:hAnsi="Arial" w:cs="Arial"/>
                <w:b/>
                <w:sz w:val="22"/>
                <w:szCs w:val="22"/>
              </w:rPr>
              <w:t xml:space="preserve">Conclusion: </w:t>
            </w:r>
            <w:r w:rsidRPr="00BE4FCE">
              <w:rPr>
                <w:rFonts w:ascii="Arial" w:hAnsi="Arial" w:cs="Arial"/>
                <w:sz w:val="22"/>
                <w:szCs w:val="22"/>
              </w:rPr>
              <w:t xml:space="preserve">The results emphasize the evolutionary importance of North-eastern India as a diversification </w:t>
            </w:r>
            <w:r w:rsidR="003110D8" w:rsidRPr="00BE4FCE">
              <w:rPr>
                <w:rFonts w:ascii="Arial" w:hAnsi="Arial" w:cs="Arial"/>
                <w:sz w:val="22"/>
                <w:szCs w:val="22"/>
              </w:rPr>
              <w:t>center</w:t>
            </w:r>
            <w:r w:rsidRPr="00BE4FCE">
              <w:rPr>
                <w:rFonts w:ascii="Arial" w:hAnsi="Arial" w:cs="Arial"/>
                <w:sz w:val="22"/>
                <w:szCs w:val="22"/>
              </w:rPr>
              <w:t xml:space="preserve"> of </w:t>
            </w:r>
            <w:r w:rsidR="003110D8" w:rsidRPr="003110D8">
              <w:rPr>
                <w:rFonts w:ascii="Arial" w:hAnsi="Arial" w:cs="Arial"/>
                <w:i/>
                <w:iCs/>
                <w:sz w:val="22"/>
                <w:szCs w:val="22"/>
              </w:rPr>
              <w:t>Hemidactylus</w:t>
            </w:r>
            <w:r w:rsidRPr="00BE4FCE">
              <w:rPr>
                <w:rFonts w:ascii="Arial" w:hAnsi="Arial" w:cs="Arial"/>
                <w:sz w:val="22"/>
                <w:szCs w:val="22"/>
              </w:rPr>
              <w:t>. Molecular phylogenetics combined with historical biogeography and GIS are powerful tools to understand the processes underlying the reptilian evolution in this biodiversity hotspot. The results contribute to the knowledge of the evolutionary history of Indian geckos and give a scientific basis for future taxonomic, ecological and conservation investigations in the region.</w:t>
            </w:r>
          </w:p>
          <w:p w14:paraId="50F32327" w14:textId="77777777" w:rsidR="00BE4FCE" w:rsidRPr="00BA1B01" w:rsidRDefault="00BE4FCE" w:rsidP="00BE4FCE">
            <w:pPr>
              <w:pStyle w:val="Body"/>
              <w:spacing w:after="0"/>
              <w:rPr>
                <w:rFonts w:ascii="Arial" w:eastAsia="Calibri" w:hAnsi="Arial" w:cs="Arial"/>
                <w:szCs w:val="22"/>
              </w:rPr>
            </w:pPr>
          </w:p>
        </w:tc>
      </w:tr>
    </w:tbl>
    <w:p w14:paraId="6418425D" w14:textId="77777777" w:rsidR="00636EB2" w:rsidRDefault="00636EB2" w:rsidP="00441B6F">
      <w:pPr>
        <w:pStyle w:val="Body"/>
        <w:spacing w:after="0"/>
        <w:rPr>
          <w:rFonts w:ascii="Arial" w:hAnsi="Arial" w:cs="Arial"/>
          <w:i/>
        </w:rPr>
      </w:pPr>
    </w:p>
    <w:p w14:paraId="11B6C893" w14:textId="77777777" w:rsidR="00A24E7E" w:rsidRDefault="00A24E7E" w:rsidP="009F5782">
      <w:pPr>
        <w:pStyle w:val="Body"/>
        <w:spacing w:after="0" w:line="276" w:lineRule="auto"/>
        <w:rPr>
          <w:rFonts w:ascii="Arial" w:hAnsi="Arial" w:cs="Arial"/>
          <w:i/>
        </w:rPr>
      </w:pPr>
      <w:r w:rsidRPr="009F5782">
        <w:rPr>
          <w:rFonts w:ascii="Arial" w:hAnsi="Arial" w:cs="Arial"/>
          <w:i/>
        </w:rPr>
        <w:lastRenderedPageBreak/>
        <w:t>Keywords:</w:t>
      </w:r>
      <w:r>
        <w:rPr>
          <w:rFonts w:ascii="Arial" w:hAnsi="Arial" w:cs="Arial"/>
          <w:i/>
        </w:rPr>
        <w:t xml:space="preserve"> </w:t>
      </w:r>
      <w:r w:rsidR="00BE4FCE" w:rsidRPr="00BE4FCE">
        <w:rPr>
          <w:rFonts w:ascii="Arial" w:hAnsi="Arial" w:cs="Arial"/>
          <w:i/>
          <w:kern w:val="2"/>
          <w:lang w:val="en-IN"/>
        </w:rPr>
        <w:t>Reptili</w:t>
      </w:r>
      <w:r w:rsidR="00DC71AD">
        <w:rPr>
          <w:rFonts w:ascii="Arial" w:hAnsi="Arial" w:cs="Arial"/>
          <w:i/>
          <w:kern w:val="2"/>
          <w:lang w:val="en-IN"/>
        </w:rPr>
        <w:t>a;</w:t>
      </w:r>
      <w:r w:rsidR="00BE4FCE" w:rsidRPr="00BE4FCE">
        <w:rPr>
          <w:rFonts w:ascii="Arial" w:hAnsi="Arial" w:cs="Arial"/>
          <w:i/>
          <w:kern w:val="2"/>
          <w:lang w:val="en-IN"/>
        </w:rPr>
        <w:t xml:space="preserve"> Geographic Information Systems</w:t>
      </w:r>
      <w:r w:rsidR="00DC71AD">
        <w:rPr>
          <w:rFonts w:ascii="Arial" w:hAnsi="Arial" w:cs="Arial"/>
          <w:i/>
          <w:kern w:val="2"/>
          <w:lang w:val="en-IN"/>
        </w:rPr>
        <w:t xml:space="preserve"> (GIS); Biogeography; molecular </w:t>
      </w:r>
      <w:r w:rsidR="00DC71AD">
        <w:rPr>
          <w:rFonts w:ascii="Arial" w:hAnsi="Arial" w:cs="Arial"/>
          <w:i/>
          <w:kern w:val="2"/>
          <w:lang w:val="en-IN"/>
        </w:rPr>
        <w:tab/>
        <w:t xml:space="preserve">   </w:t>
      </w:r>
      <w:r w:rsidR="00DC71AD">
        <w:rPr>
          <w:rFonts w:ascii="Arial" w:hAnsi="Arial" w:cs="Arial"/>
          <w:i/>
          <w:kern w:val="2"/>
          <w:lang w:val="en-IN"/>
        </w:rPr>
        <w:tab/>
        <w:t xml:space="preserve">    phylogenetics; invasive species; illegal wildlife trade (IWT); tropical ecology;</w:t>
      </w:r>
      <w:r w:rsidR="00BE4FCE" w:rsidRPr="00BE4FCE">
        <w:rPr>
          <w:rFonts w:ascii="Arial" w:hAnsi="Arial" w:cs="Arial"/>
          <w:i/>
          <w:kern w:val="2"/>
          <w:lang w:val="en-IN"/>
        </w:rPr>
        <w:t xml:space="preserve"> </w:t>
      </w:r>
      <w:r w:rsidR="00DC71AD">
        <w:rPr>
          <w:rFonts w:ascii="Arial" w:hAnsi="Arial" w:cs="Arial"/>
          <w:i/>
          <w:kern w:val="2"/>
          <w:lang w:val="en-IN"/>
        </w:rPr>
        <w:tab/>
        <w:t xml:space="preserve">   </w:t>
      </w:r>
      <w:r w:rsidR="00DC71AD">
        <w:rPr>
          <w:rFonts w:ascii="Arial" w:hAnsi="Arial" w:cs="Arial"/>
          <w:i/>
          <w:kern w:val="2"/>
          <w:lang w:val="en-IN"/>
        </w:rPr>
        <w:tab/>
        <w:t xml:space="preserve">    </w:t>
      </w:r>
      <w:r w:rsidR="00BE4FCE" w:rsidRPr="00BE4FCE">
        <w:rPr>
          <w:rFonts w:ascii="Arial" w:hAnsi="Arial" w:cs="Arial"/>
          <w:i/>
          <w:kern w:val="2"/>
          <w:lang w:val="en-IN"/>
        </w:rPr>
        <w:t>urbanization.</w:t>
      </w:r>
    </w:p>
    <w:p w14:paraId="2C395A43" w14:textId="77777777" w:rsidR="00505F06" w:rsidRPr="00A24E7E" w:rsidRDefault="00505F06" w:rsidP="00BE4FCE">
      <w:pPr>
        <w:pStyle w:val="Body"/>
        <w:spacing w:after="0" w:line="480" w:lineRule="auto"/>
        <w:rPr>
          <w:rFonts w:ascii="Arial" w:hAnsi="Arial" w:cs="Arial"/>
          <w:i/>
        </w:rPr>
      </w:pPr>
    </w:p>
    <w:p w14:paraId="2F489249" w14:textId="77777777" w:rsidR="00790ADA" w:rsidRPr="00FB3A86" w:rsidRDefault="00902823" w:rsidP="00BE4FCE">
      <w:pPr>
        <w:pStyle w:val="AbstHead"/>
        <w:spacing w:after="0" w:line="480" w:lineRule="auto"/>
        <w:jc w:val="both"/>
        <w:rPr>
          <w:rFonts w:ascii="Arial" w:hAnsi="Arial" w:cs="Arial"/>
        </w:rPr>
      </w:pPr>
      <w:r>
        <w:rPr>
          <w:rFonts w:ascii="Arial" w:hAnsi="Arial" w:cs="Arial"/>
        </w:rPr>
        <w:t xml:space="preserve">1. </w:t>
      </w:r>
      <w:r w:rsidR="00B01FCD" w:rsidRPr="00FB3A86">
        <w:rPr>
          <w:rFonts w:ascii="Arial" w:hAnsi="Arial" w:cs="Arial"/>
        </w:rPr>
        <w:t>INTRODUCTION</w:t>
      </w:r>
    </w:p>
    <w:p w14:paraId="0E20BB1C" w14:textId="5AEDFCB6" w:rsidR="00BE4FCE" w:rsidRPr="00BE4FCE" w:rsidRDefault="00BE4FCE" w:rsidP="00BE4FCE">
      <w:pPr>
        <w:pStyle w:val="Body"/>
        <w:spacing w:line="480" w:lineRule="auto"/>
        <w:rPr>
          <w:rFonts w:ascii="Arial" w:hAnsi="Arial" w:cs="Arial"/>
        </w:rPr>
      </w:pPr>
      <w:r w:rsidRPr="00BE4FCE">
        <w:rPr>
          <w:rFonts w:ascii="Arial" w:hAnsi="Arial" w:cs="Arial"/>
        </w:rPr>
        <w:t xml:space="preserve">The genus </w:t>
      </w:r>
      <w:r w:rsidR="003110D8" w:rsidRPr="003110D8">
        <w:rPr>
          <w:rFonts w:ascii="Arial" w:hAnsi="Arial" w:cs="Arial"/>
          <w:i/>
          <w:iCs/>
        </w:rPr>
        <w:t>Hemidactylus</w:t>
      </w:r>
      <w:r w:rsidRPr="00BE4FCE">
        <w:rPr>
          <w:rFonts w:ascii="Arial" w:hAnsi="Arial" w:cs="Arial"/>
        </w:rPr>
        <w:t xml:space="preserve"> (Gekkonidae) represents ~10% of gekkonid diversity, and is widely distributed across tropical Asia, Africa, and the New World (Agashe et al.</w:t>
      </w:r>
      <w:r w:rsidR="00D865B6">
        <w:rPr>
          <w:rFonts w:ascii="Arial" w:hAnsi="Arial" w:cs="Arial"/>
        </w:rPr>
        <w:t>, 2025;</w:t>
      </w:r>
      <w:r w:rsidRPr="00BE4FCE">
        <w:rPr>
          <w:rFonts w:ascii="Arial" w:hAnsi="Arial" w:cs="Arial"/>
        </w:rPr>
        <w:t xml:space="preserve"> Uetz et al.</w:t>
      </w:r>
      <w:r w:rsidR="00D865B6">
        <w:rPr>
          <w:rFonts w:ascii="Arial" w:hAnsi="Arial" w:cs="Arial"/>
        </w:rPr>
        <w:t>,</w:t>
      </w:r>
      <w:r w:rsidRPr="00BE4FCE">
        <w:rPr>
          <w:rFonts w:ascii="Arial" w:hAnsi="Arial" w:cs="Arial"/>
        </w:rPr>
        <w:t xml:space="preserve"> 2024). However, because of contested taxonomy and inadequate understanding of classification and distribution, the precise diversity of species remains undetermined. Smith (1935) </w:t>
      </w:r>
      <w:proofErr w:type="spellStart"/>
      <w:r w:rsidRPr="00BE4FCE">
        <w:rPr>
          <w:rFonts w:ascii="Arial" w:hAnsi="Arial" w:cs="Arial"/>
        </w:rPr>
        <w:t>recognised</w:t>
      </w:r>
      <w:proofErr w:type="spellEnd"/>
      <w:r w:rsidRPr="00BE4FCE">
        <w:rPr>
          <w:rFonts w:ascii="Arial" w:hAnsi="Arial" w:cs="Arial"/>
        </w:rPr>
        <w:t xml:space="preserve"> 17 species of </w:t>
      </w:r>
      <w:r w:rsidR="003110D8" w:rsidRPr="003110D8">
        <w:rPr>
          <w:rFonts w:ascii="Arial" w:hAnsi="Arial" w:cs="Arial"/>
          <w:i/>
          <w:iCs/>
        </w:rPr>
        <w:t>Hemidactylus</w:t>
      </w:r>
      <w:r w:rsidRPr="00BE4FCE">
        <w:rPr>
          <w:rFonts w:ascii="Arial" w:hAnsi="Arial" w:cs="Arial"/>
        </w:rPr>
        <w:t xml:space="preserve"> from the Indian subcontinent. Subsequent taxonomic work, including recent species descriptions, has increased this number to at least 28 (Giri</w:t>
      </w:r>
      <w:r w:rsidR="00D865B6">
        <w:rPr>
          <w:rFonts w:ascii="Arial" w:hAnsi="Arial" w:cs="Arial"/>
        </w:rPr>
        <w:t>,</w:t>
      </w:r>
      <w:r w:rsidRPr="00BE4FCE">
        <w:rPr>
          <w:rFonts w:ascii="Arial" w:hAnsi="Arial" w:cs="Arial"/>
        </w:rPr>
        <w:t xml:space="preserve"> 2008; Giri &amp; Bauer</w:t>
      </w:r>
      <w:r w:rsidR="00D865B6">
        <w:rPr>
          <w:rFonts w:ascii="Arial" w:hAnsi="Arial" w:cs="Arial"/>
        </w:rPr>
        <w:t>,</w:t>
      </w:r>
      <w:r w:rsidR="00D451EB">
        <w:rPr>
          <w:rFonts w:ascii="Arial" w:hAnsi="Arial" w:cs="Arial"/>
        </w:rPr>
        <w:t xml:space="preserve"> 2008</w:t>
      </w:r>
      <w:r w:rsidRPr="00BE4FCE">
        <w:rPr>
          <w:rFonts w:ascii="Arial" w:hAnsi="Arial" w:cs="Arial"/>
        </w:rPr>
        <w:t>). Of these, three species—</w:t>
      </w:r>
      <w:r w:rsidRPr="0024436B">
        <w:rPr>
          <w:rFonts w:ascii="Arial" w:hAnsi="Arial" w:cs="Arial"/>
          <w:i/>
        </w:rPr>
        <w:t xml:space="preserve">H. frenatus, H. </w:t>
      </w:r>
      <w:proofErr w:type="spellStart"/>
      <w:r w:rsidRPr="0024436B">
        <w:rPr>
          <w:rFonts w:ascii="Arial" w:hAnsi="Arial" w:cs="Arial"/>
          <w:i/>
        </w:rPr>
        <w:t>flaviviridis</w:t>
      </w:r>
      <w:proofErr w:type="spellEnd"/>
      <w:r w:rsidRPr="0024436B">
        <w:rPr>
          <w:rFonts w:ascii="Arial" w:hAnsi="Arial" w:cs="Arial"/>
          <w:i/>
        </w:rPr>
        <w:t>,</w:t>
      </w:r>
      <w:r w:rsidRPr="00BE4FCE">
        <w:rPr>
          <w:rFonts w:ascii="Arial" w:hAnsi="Arial" w:cs="Arial"/>
        </w:rPr>
        <w:t xml:space="preserve"> and </w:t>
      </w:r>
      <w:r w:rsidRPr="0024436B">
        <w:rPr>
          <w:rFonts w:ascii="Arial" w:hAnsi="Arial" w:cs="Arial"/>
          <w:i/>
        </w:rPr>
        <w:t xml:space="preserve">H. </w:t>
      </w:r>
      <w:proofErr w:type="spellStart"/>
      <w:r w:rsidRPr="0024436B">
        <w:rPr>
          <w:rFonts w:ascii="Arial" w:hAnsi="Arial" w:cs="Arial"/>
          <w:i/>
        </w:rPr>
        <w:t>brookii</w:t>
      </w:r>
      <w:proofErr w:type="spellEnd"/>
      <w:r w:rsidRPr="00BE4FCE">
        <w:rPr>
          <w:rFonts w:ascii="Arial" w:hAnsi="Arial" w:cs="Arial"/>
        </w:rPr>
        <w:t xml:space="preserve">—are widely distributed across India and the tropical Old World, occur commensally with humans, and have been widely introduced beyond their native ranges. Previous phylogenetic studies of </w:t>
      </w:r>
      <w:r w:rsidR="003110D8" w:rsidRPr="003110D8">
        <w:rPr>
          <w:rFonts w:ascii="Arial" w:hAnsi="Arial" w:cs="Arial"/>
          <w:i/>
          <w:iCs/>
        </w:rPr>
        <w:t>Hemidactylus</w:t>
      </w:r>
      <w:r w:rsidRPr="00BE4FCE">
        <w:rPr>
          <w:rFonts w:ascii="Arial" w:hAnsi="Arial" w:cs="Arial"/>
        </w:rPr>
        <w:t xml:space="preserve"> included limited sampling from the Indian subcontinent, restricting tests of tropical Asian mon</w:t>
      </w:r>
      <w:r w:rsidR="00D451EB">
        <w:rPr>
          <w:rFonts w:ascii="Arial" w:hAnsi="Arial" w:cs="Arial"/>
        </w:rPr>
        <w:t>ophyly (Carranza &amp; Arnold, 2006)</w:t>
      </w:r>
      <w:r w:rsidRPr="00BE4FCE">
        <w:rPr>
          <w:rFonts w:ascii="Arial" w:hAnsi="Arial" w:cs="Arial"/>
        </w:rPr>
        <w:t>.  The ecological competition between the invasive tropical house gecko (</w:t>
      </w:r>
      <w:r w:rsidRPr="0024436B">
        <w:rPr>
          <w:rFonts w:ascii="Arial" w:hAnsi="Arial" w:cs="Arial"/>
          <w:i/>
        </w:rPr>
        <w:t xml:space="preserve">H. </w:t>
      </w:r>
      <w:proofErr w:type="spellStart"/>
      <w:r w:rsidRPr="0024436B">
        <w:rPr>
          <w:rFonts w:ascii="Arial" w:hAnsi="Arial" w:cs="Arial"/>
          <w:i/>
        </w:rPr>
        <w:t>mabouia</w:t>
      </w:r>
      <w:proofErr w:type="spellEnd"/>
      <w:r w:rsidRPr="00BE4FCE">
        <w:rPr>
          <w:rFonts w:ascii="Arial" w:hAnsi="Arial" w:cs="Arial"/>
        </w:rPr>
        <w:t>) and the native Dutch leaf-toed gecko (</w:t>
      </w:r>
      <w:proofErr w:type="spellStart"/>
      <w:r w:rsidRPr="0024436B">
        <w:rPr>
          <w:rFonts w:ascii="Arial" w:hAnsi="Arial" w:cs="Arial"/>
          <w:i/>
        </w:rPr>
        <w:t>Phyllodactylus</w:t>
      </w:r>
      <w:proofErr w:type="spellEnd"/>
      <w:r w:rsidRPr="0024436B">
        <w:rPr>
          <w:rFonts w:ascii="Arial" w:hAnsi="Arial" w:cs="Arial"/>
          <w:i/>
        </w:rPr>
        <w:t xml:space="preserve"> martini</w:t>
      </w:r>
      <w:r w:rsidRPr="00BE4FCE">
        <w:rPr>
          <w:rFonts w:ascii="Arial" w:hAnsi="Arial" w:cs="Arial"/>
        </w:rPr>
        <w:t>) on the island of Curaçao, the Kingdom of Netherland (April D. Lamb et al.</w:t>
      </w:r>
      <w:r w:rsidR="0024436B">
        <w:rPr>
          <w:rFonts w:ascii="Arial" w:hAnsi="Arial" w:cs="Arial"/>
        </w:rPr>
        <w:t xml:space="preserve">, </w:t>
      </w:r>
      <w:r w:rsidRPr="00BE4FCE">
        <w:rPr>
          <w:rFonts w:ascii="Arial" w:hAnsi="Arial" w:cs="Arial"/>
        </w:rPr>
        <w:t xml:space="preserve">2021) confirm a systematic displacement by invasive gecko which possesses morphological advantages, including larger body and head sizes. The arrival of </w:t>
      </w:r>
      <w:r w:rsidRPr="0024436B">
        <w:rPr>
          <w:rFonts w:ascii="Arial" w:hAnsi="Arial" w:cs="Arial"/>
          <w:i/>
        </w:rPr>
        <w:t xml:space="preserve">H. </w:t>
      </w:r>
      <w:proofErr w:type="spellStart"/>
      <w:r w:rsidRPr="0024436B">
        <w:rPr>
          <w:rFonts w:ascii="Arial" w:hAnsi="Arial" w:cs="Arial"/>
          <w:i/>
        </w:rPr>
        <w:t>mabouia</w:t>
      </w:r>
      <w:proofErr w:type="spellEnd"/>
      <w:r w:rsidRPr="00BE4FCE">
        <w:rPr>
          <w:rFonts w:ascii="Arial" w:hAnsi="Arial" w:cs="Arial"/>
        </w:rPr>
        <w:t xml:space="preserve"> has fundamentally altered the ecological "rules-of-engagement," favoring a biological toolkit optimized for the high-energy environments created by human development. The yellow-bellied house gecko, </w:t>
      </w:r>
      <w:r w:rsidRPr="0024436B">
        <w:rPr>
          <w:rFonts w:ascii="Arial" w:hAnsi="Arial" w:cs="Arial"/>
          <w:i/>
        </w:rPr>
        <w:t xml:space="preserve">H. </w:t>
      </w:r>
      <w:proofErr w:type="spellStart"/>
      <w:r w:rsidRPr="0024436B">
        <w:rPr>
          <w:rFonts w:ascii="Arial" w:hAnsi="Arial" w:cs="Arial"/>
          <w:i/>
        </w:rPr>
        <w:t>flaviviridis</w:t>
      </w:r>
      <w:proofErr w:type="spellEnd"/>
      <w:r w:rsidRPr="00BE4FCE">
        <w:rPr>
          <w:rFonts w:ascii="Arial" w:hAnsi="Arial" w:cs="Arial"/>
        </w:rPr>
        <w:t>, has recently emerged as an invasive species in Assam, India, likely introduced from western India via human-mediated trade routes (Das et al.</w:t>
      </w:r>
      <w:r w:rsidR="0024436B">
        <w:rPr>
          <w:rFonts w:ascii="Arial" w:hAnsi="Arial" w:cs="Arial"/>
        </w:rPr>
        <w:t>,</w:t>
      </w:r>
      <w:r w:rsidRPr="00BE4FCE">
        <w:rPr>
          <w:rFonts w:ascii="Arial" w:hAnsi="Arial" w:cs="Arial"/>
        </w:rPr>
        <w:t xml:space="preserve"> 2011). Preliminary evidence indicates a decline in native gecko populations, particularly </w:t>
      </w:r>
      <w:r w:rsidR="003110D8" w:rsidRPr="003110D8">
        <w:rPr>
          <w:rFonts w:ascii="Arial" w:hAnsi="Arial" w:cs="Arial"/>
          <w:i/>
          <w:iCs/>
        </w:rPr>
        <w:t>Hemidactylus</w:t>
      </w:r>
      <w:r w:rsidRPr="00D865B6">
        <w:rPr>
          <w:rFonts w:ascii="Arial" w:hAnsi="Arial" w:cs="Arial"/>
          <w:i/>
        </w:rPr>
        <w:t xml:space="preserve"> frenatus,</w:t>
      </w:r>
      <w:r w:rsidRPr="00BE4FCE">
        <w:rPr>
          <w:rFonts w:ascii="Arial" w:hAnsi="Arial" w:cs="Arial"/>
        </w:rPr>
        <w:t xml:space="preserve"> (Das et al.</w:t>
      </w:r>
      <w:r>
        <w:rPr>
          <w:rFonts w:ascii="Arial" w:hAnsi="Arial" w:cs="Arial"/>
        </w:rPr>
        <w:t>,</w:t>
      </w:r>
      <w:r w:rsidRPr="00BE4FCE">
        <w:rPr>
          <w:rFonts w:ascii="Arial" w:hAnsi="Arial" w:cs="Arial"/>
        </w:rPr>
        <w:t xml:space="preserve"> 2011) suggesting competitive displacement in invaded areas. Continued monitoring is required to evaluate long-term ecological impacts and potential range expansion. </w:t>
      </w:r>
      <w:r w:rsidRPr="0024436B">
        <w:rPr>
          <w:rFonts w:ascii="Arial" w:hAnsi="Arial" w:cs="Arial"/>
          <w:i/>
        </w:rPr>
        <w:t xml:space="preserve">H. </w:t>
      </w:r>
      <w:proofErr w:type="spellStart"/>
      <w:r w:rsidRPr="0024436B">
        <w:rPr>
          <w:rFonts w:ascii="Arial" w:hAnsi="Arial" w:cs="Arial"/>
          <w:i/>
        </w:rPr>
        <w:t>garnotii</w:t>
      </w:r>
      <w:proofErr w:type="spellEnd"/>
      <w:r w:rsidRPr="00BE4FCE">
        <w:rPr>
          <w:rFonts w:ascii="Arial" w:hAnsi="Arial" w:cs="Arial"/>
        </w:rPr>
        <w:t xml:space="preserve"> and </w:t>
      </w:r>
      <w:r w:rsidRPr="0024436B">
        <w:rPr>
          <w:rFonts w:ascii="Arial" w:hAnsi="Arial" w:cs="Arial"/>
          <w:i/>
        </w:rPr>
        <w:t>H. frenatus</w:t>
      </w:r>
      <w:r w:rsidRPr="00BE4FCE">
        <w:rPr>
          <w:rFonts w:ascii="Arial" w:hAnsi="Arial" w:cs="Arial"/>
        </w:rPr>
        <w:t xml:space="preserve"> are two of the most common types of </w:t>
      </w:r>
      <w:r w:rsidR="003110D8" w:rsidRPr="003110D8">
        <w:rPr>
          <w:rFonts w:ascii="Arial" w:hAnsi="Arial" w:cs="Arial"/>
          <w:i/>
          <w:iCs/>
        </w:rPr>
        <w:lastRenderedPageBreak/>
        <w:t>Hemidactylus</w:t>
      </w:r>
      <w:r w:rsidRPr="00BE4FCE">
        <w:rPr>
          <w:rFonts w:ascii="Arial" w:hAnsi="Arial" w:cs="Arial"/>
        </w:rPr>
        <w:t xml:space="preserve"> found in North East India. They are native to tropical Asia, but they have also expanded to and been naturalized in many other parts of the world (Lever</w:t>
      </w:r>
      <w:r w:rsidR="00D865B6">
        <w:rPr>
          <w:rFonts w:ascii="Arial" w:hAnsi="Arial" w:cs="Arial"/>
        </w:rPr>
        <w:t>, 2003;</w:t>
      </w:r>
      <w:r w:rsidRPr="00BE4FCE">
        <w:rPr>
          <w:rFonts w:ascii="Arial" w:hAnsi="Arial" w:cs="Arial"/>
        </w:rPr>
        <w:t xml:space="preserve"> Kraus</w:t>
      </w:r>
      <w:r w:rsidR="00D865B6">
        <w:rPr>
          <w:rFonts w:ascii="Arial" w:hAnsi="Arial" w:cs="Arial"/>
        </w:rPr>
        <w:t>,</w:t>
      </w:r>
      <w:r w:rsidRPr="00BE4FCE">
        <w:rPr>
          <w:rFonts w:ascii="Arial" w:hAnsi="Arial" w:cs="Arial"/>
        </w:rPr>
        <w:t xml:space="preserve"> 2009). Scientists looked directly at stomach contents and stable isotope signatures, and found that invasive species were more common at higher trophic levels, based on a variety of prey and a Schoener Index that was higher than 0.60. In terms of conservation biology, this supports direct exploitative competition and indicate that invasive success can frequently be the consequence of a combination of advantages, including intraguild predation, morphological superiority, exploitative competition, and parasitic pressure (</w:t>
      </w:r>
      <w:proofErr w:type="spellStart"/>
      <w:r w:rsidRPr="00BE4FCE">
        <w:rPr>
          <w:rFonts w:ascii="Arial" w:hAnsi="Arial" w:cs="Arial"/>
        </w:rPr>
        <w:t>Bissattini</w:t>
      </w:r>
      <w:proofErr w:type="spellEnd"/>
      <w:r w:rsidRPr="00BE4FCE">
        <w:rPr>
          <w:rFonts w:ascii="Arial" w:hAnsi="Arial" w:cs="Arial"/>
        </w:rPr>
        <w:t xml:space="preserve"> et al.</w:t>
      </w:r>
      <w:r w:rsidR="0024436B">
        <w:rPr>
          <w:rFonts w:ascii="Arial" w:hAnsi="Arial" w:cs="Arial"/>
        </w:rPr>
        <w:t>,</w:t>
      </w:r>
      <w:r w:rsidRPr="00BE4FCE">
        <w:rPr>
          <w:rFonts w:ascii="Arial" w:hAnsi="Arial" w:cs="Arial"/>
        </w:rPr>
        <w:t xml:space="preserve"> 2021). </w:t>
      </w:r>
    </w:p>
    <w:p w14:paraId="18B6EAAE" w14:textId="4421A2CC" w:rsidR="00BE4FCE" w:rsidRPr="00BE4FCE" w:rsidRDefault="00BE4FCE" w:rsidP="00F465ED">
      <w:pPr>
        <w:pStyle w:val="Body"/>
        <w:spacing w:line="480" w:lineRule="auto"/>
        <w:rPr>
          <w:rFonts w:ascii="Arial" w:hAnsi="Arial" w:cs="Arial"/>
        </w:rPr>
      </w:pPr>
      <w:r w:rsidRPr="00BE4FCE">
        <w:rPr>
          <w:rFonts w:ascii="Arial" w:hAnsi="Arial" w:cs="Arial"/>
        </w:rPr>
        <w:t>In environ</w:t>
      </w:r>
      <w:r w:rsidR="0024436B">
        <w:rPr>
          <w:rFonts w:ascii="Arial" w:hAnsi="Arial" w:cs="Arial"/>
        </w:rPr>
        <w:t>ments that are changing rapidly,</w:t>
      </w:r>
      <w:r w:rsidRPr="00BE4FCE">
        <w:rPr>
          <w:rFonts w:ascii="Arial" w:hAnsi="Arial" w:cs="Arial"/>
        </w:rPr>
        <w:t xml:space="preserve"> comprehensive mapping is a crucial step toward informed conservation management. When these species show morphological similarities as a result of convergent evolution, genetic markers enable in identifying species by generating the best-resolved trees with highest nodal support for shallow-level relationships. For a subset of taxa, two nuclear loci were sequenced to infer an </w:t>
      </w:r>
      <w:proofErr w:type="spellStart"/>
      <w:r w:rsidRPr="00BE4FCE">
        <w:rPr>
          <w:rFonts w:ascii="Arial" w:hAnsi="Arial" w:cs="Arial"/>
        </w:rPr>
        <w:t>nDNA</w:t>
      </w:r>
      <w:proofErr w:type="spellEnd"/>
      <w:r w:rsidRPr="00BE4FCE">
        <w:rPr>
          <w:rFonts w:ascii="Arial" w:hAnsi="Arial" w:cs="Arial"/>
        </w:rPr>
        <w:t xml:space="preserve"> phylogeny. Combined mitochondrial and nuclear phylogenies were used to test the monophyly of Indian, Southeast Asian, and tropical Asian clades, and to examine the evolutionary origins and biogeography of the commensal species of </w:t>
      </w:r>
      <w:r w:rsidRPr="0024436B">
        <w:rPr>
          <w:rFonts w:ascii="Arial" w:hAnsi="Arial" w:cs="Arial"/>
          <w:i/>
        </w:rPr>
        <w:t xml:space="preserve">H. </w:t>
      </w:r>
      <w:proofErr w:type="spellStart"/>
      <w:r w:rsidRPr="0024436B">
        <w:rPr>
          <w:rFonts w:ascii="Arial" w:hAnsi="Arial" w:cs="Arial"/>
          <w:i/>
        </w:rPr>
        <w:t>brookii</w:t>
      </w:r>
      <w:proofErr w:type="spellEnd"/>
      <w:r w:rsidRPr="0024436B">
        <w:rPr>
          <w:rFonts w:ascii="Arial" w:hAnsi="Arial" w:cs="Arial"/>
          <w:i/>
        </w:rPr>
        <w:t>, H. frenatus,</w:t>
      </w:r>
      <w:r w:rsidRPr="00BE4FCE">
        <w:rPr>
          <w:rFonts w:ascii="Arial" w:hAnsi="Arial" w:cs="Arial"/>
        </w:rPr>
        <w:t xml:space="preserve"> and </w:t>
      </w:r>
      <w:r w:rsidRPr="0024436B">
        <w:rPr>
          <w:rFonts w:ascii="Arial" w:hAnsi="Arial" w:cs="Arial"/>
          <w:i/>
        </w:rPr>
        <w:t xml:space="preserve">H. </w:t>
      </w:r>
      <w:proofErr w:type="spellStart"/>
      <w:r w:rsidRPr="0024436B">
        <w:rPr>
          <w:rFonts w:ascii="Arial" w:hAnsi="Arial" w:cs="Arial"/>
          <w:i/>
        </w:rPr>
        <w:t>flaviviridis</w:t>
      </w:r>
      <w:proofErr w:type="spellEnd"/>
      <w:r w:rsidRPr="00BE4FCE">
        <w:rPr>
          <w:rFonts w:ascii="Arial" w:hAnsi="Arial" w:cs="Arial"/>
        </w:rPr>
        <w:t xml:space="preserve">. Most remaining species are restricted to the Indian subcontinent, with limited extensions into </w:t>
      </w:r>
      <w:proofErr w:type="spellStart"/>
      <w:r w:rsidRPr="00BE4FCE">
        <w:rPr>
          <w:rFonts w:ascii="Arial" w:hAnsi="Arial" w:cs="Arial"/>
        </w:rPr>
        <w:t>neighbouring</w:t>
      </w:r>
      <w:proofErr w:type="spellEnd"/>
      <w:r w:rsidRPr="00BE4FCE">
        <w:rPr>
          <w:rFonts w:ascii="Arial" w:hAnsi="Arial" w:cs="Arial"/>
        </w:rPr>
        <w:t xml:space="preserve"> regions from northeast India. The ND2 gene (NADH dehydrogenase subunit 2) is the primary marker used in </w:t>
      </w:r>
      <w:r w:rsidR="003110D8" w:rsidRPr="003110D8">
        <w:rPr>
          <w:rFonts w:ascii="Arial" w:hAnsi="Arial" w:cs="Arial"/>
          <w:i/>
          <w:iCs/>
        </w:rPr>
        <w:t>Hemidactylus</w:t>
      </w:r>
      <w:r w:rsidRPr="00BE4FCE">
        <w:rPr>
          <w:rFonts w:ascii="Arial" w:hAnsi="Arial" w:cs="Arial"/>
        </w:rPr>
        <w:t xml:space="preserve"> (</w:t>
      </w:r>
      <w:r w:rsidRPr="00BB4C5B">
        <w:rPr>
          <w:rFonts w:ascii="Arial" w:hAnsi="Arial" w:cs="Arial"/>
        </w:rPr>
        <w:t>Carranza &amp; Arnold</w:t>
      </w:r>
      <w:r w:rsidR="004F53E0" w:rsidRPr="00BB4C5B">
        <w:rPr>
          <w:rFonts w:ascii="Arial" w:hAnsi="Arial" w:cs="Arial"/>
        </w:rPr>
        <w:t>,</w:t>
      </w:r>
      <w:r w:rsidRPr="00BB4C5B">
        <w:rPr>
          <w:rFonts w:ascii="Arial" w:hAnsi="Arial" w:cs="Arial"/>
        </w:rPr>
        <w:t xml:space="preserve"> 2006),</w:t>
      </w:r>
      <w:r w:rsidRPr="00BE4FCE">
        <w:rPr>
          <w:rFonts w:ascii="Arial" w:hAnsi="Arial" w:cs="Arial"/>
        </w:rPr>
        <w:t xml:space="preserve"> while other markers like RAG1, PDC, and MXRA5 are also used to study more extensive branches (Karanth et al.</w:t>
      </w:r>
      <w:r w:rsidR="004F53E0">
        <w:rPr>
          <w:rFonts w:ascii="Arial" w:hAnsi="Arial" w:cs="Arial"/>
        </w:rPr>
        <w:t>,</w:t>
      </w:r>
      <w:r w:rsidRPr="00BE4FCE">
        <w:rPr>
          <w:rFonts w:ascii="Arial" w:hAnsi="Arial" w:cs="Arial"/>
        </w:rPr>
        <w:t xml:space="preserve"> 2013). The mitochondrial cytochrome b (</w:t>
      </w:r>
      <w:proofErr w:type="spellStart"/>
      <w:r w:rsidRPr="00BE4FCE">
        <w:rPr>
          <w:rFonts w:ascii="Arial" w:hAnsi="Arial" w:cs="Arial"/>
        </w:rPr>
        <w:t>Cyt</w:t>
      </w:r>
      <w:proofErr w:type="spellEnd"/>
      <w:r w:rsidRPr="00BE4FCE">
        <w:rPr>
          <w:rFonts w:ascii="Arial" w:hAnsi="Arial" w:cs="Arial"/>
        </w:rPr>
        <w:t xml:space="preserve"> b) gene is extensively used in evolutionary and phylogeographic research owing to its relatively rapid evolutionary rate, maternal inheritance, and the simplicity of amplification across several taxa (Avise</w:t>
      </w:r>
      <w:r w:rsidR="00CB3A57">
        <w:rPr>
          <w:rFonts w:ascii="Arial" w:hAnsi="Arial" w:cs="Arial"/>
        </w:rPr>
        <w:t>,</w:t>
      </w:r>
      <w:r w:rsidRPr="00BE4FCE">
        <w:rPr>
          <w:rFonts w:ascii="Arial" w:hAnsi="Arial" w:cs="Arial"/>
        </w:rPr>
        <w:t xml:space="preserve"> 2000; Hillis et al.</w:t>
      </w:r>
      <w:r w:rsidR="00CB3A57">
        <w:rPr>
          <w:rFonts w:ascii="Arial" w:hAnsi="Arial" w:cs="Arial"/>
        </w:rPr>
        <w:t>,</w:t>
      </w:r>
      <w:r w:rsidRPr="00BE4FCE">
        <w:rPr>
          <w:rFonts w:ascii="Arial" w:hAnsi="Arial" w:cs="Arial"/>
        </w:rPr>
        <w:t xml:space="preserve"> 1996). The diversity seems to be skewed in most studies; for instance, only three countries—Myanmar, Vietnam, and Malaysia—account for 48% of all recent d</w:t>
      </w:r>
      <w:r w:rsidR="00F465ED">
        <w:rPr>
          <w:rFonts w:ascii="Arial" w:hAnsi="Arial" w:cs="Arial"/>
        </w:rPr>
        <w:t xml:space="preserve">escriptions of </w:t>
      </w:r>
      <w:proofErr w:type="spellStart"/>
      <w:r w:rsidR="00F465ED">
        <w:rPr>
          <w:rFonts w:ascii="Arial" w:hAnsi="Arial" w:cs="Arial"/>
        </w:rPr>
        <w:t>Cyrtodactylus</w:t>
      </w:r>
      <w:proofErr w:type="spellEnd"/>
      <w:r w:rsidR="00F465ED">
        <w:rPr>
          <w:rFonts w:ascii="Arial" w:hAnsi="Arial" w:cs="Arial"/>
        </w:rPr>
        <w:t xml:space="preserve"> (L</w:t>
      </w:r>
      <w:r w:rsidRPr="00BE4FCE">
        <w:rPr>
          <w:rFonts w:ascii="Arial" w:hAnsi="Arial" w:cs="Arial"/>
        </w:rPr>
        <w:t>e et al.</w:t>
      </w:r>
      <w:r w:rsidR="00CB3A57">
        <w:rPr>
          <w:rFonts w:ascii="Arial" w:hAnsi="Arial" w:cs="Arial"/>
        </w:rPr>
        <w:t>,</w:t>
      </w:r>
      <w:r w:rsidR="004F53E0">
        <w:rPr>
          <w:rFonts w:ascii="Arial" w:hAnsi="Arial" w:cs="Arial"/>
        </w:rPr>
        <w:t xml:space="preserve"> 2021;</w:t>
      </w:r>
      <w:r w:rsidRPr="00BE4FCE">
        <w:rPr>
          <w:rFonts w:ascii="Arial" w:hAnsi="Arial" w:cs="Arial"/>
        </w:rPr>
        <w:t xml:space="preserve"> Uetz et al.</w:t>
      </w:r>
      <w:r w:rsidR="00CB3A57">
        <w:rPr>
          <w:rFonts w:ascii="Arial" w:hAnsi="Arial" w:cs="Arial"/>
        </w:rPr>
        <w:t>,</w:t>
      </w:r>
      <w:r w:rsidRPr="00BE4FCE">
        <w:rPr>
          <w:rFonts w:ascii="Arial" w:hAnsi="Arial" w:cs="Arial"/>
        </w:rPr>
        <w:t xml:space="preserve"> 2024). This skewness suggests a lack of survey effort in areas such as the northe</w:t>
      </w:r>
      <w:r w:rsidR="00CB3A57">
        <w:rPr>
          <w:rFonts w:ascii="Arial" w:hAnsi="Arial" w:cs="Arial"/>
        </w:rPr>
        <w:t xml:space="preserve">astern </w:t>
      </w:r>
      <w:r w:rsidR="00CB3A57">
        <w:rPr>
          <w:rFonts w:ascii="Arial" w:hAnsi="Arial" w:cs="Arial"/>
        </w:rPr>
        <w:lastRenderedPageBreak/>
        <w:t xml:space="preserve">parts of India; and not </w:t>
      </w:r>
      <w:r w:rsidRPr="00BE4FCE">
        <w:rPr>
          <w:rFonts w:ascii="Arial" w:hAnsi="Arial" w:cs="Arial"/>
        </w:rPr>
        <w:t>due to lack of diversity elsewhere. Since many geckos are narrow-range endemics that are limited to a particular habitat, such studies assist in identifying "Cryptic" diversity (Bansal &amp; Karanth</w:t>
      </w:r>
      <w:r w:rsidR="004F53E0">
        <w:rPr>
          <w:rFonts w:ascii="Arial" w:hAnsi="Arial" w:cs="Arial"/>
        </w:rPr>
        <w:t>,</w:t>
      </w:r>
      <w:r w:rsidRPr="00BE4FCE">
        <w:rPr>
          <w:rFonts w:ascii="Arial" w:hAnsi="Arial" w:cs="Arial"/>
        </w:rPr>
        <w:t xml:space="preserve"> 2013; </w:t>
      </w:r>
      <w:r w:rsidRPr="00BB4C5B">
        <w:rPr>
          <w:rFonts w:ascii="Arial" w:hAnsi="Arial" w:cs="Arial"/>
        </w:rPr>
        <w:t>Agarwal et al.</w:t>
      </w:r>
      <w:r w:rsidR="004F53E0" w:rsidRPr="00BB4C5B">
        <w:rPr>
          <w:rFonts w:ascii="Arial" w:hAnsi="Arial" w:cs="Arial"/>
        </w:rPr>
        <w:t>,</w:t>
      </w:r>
      <w:r w:rsidRPr="00BB4C5B">
        <w:rPr>
          <w:rFonts w:ascii="Arial" w:hAnsi="Arial" w:cs="Arial"/>
        </w:rPr>
        <w:t xml:space="preserve"> 2014–2019</w:t>
      </w:r>
      <w:r w:rsidRPr="00BE4FCE">
        <w:rPr>
          <w:rFonts w:ascii="Arial" w:hAnsi="Arial" w:cs="Arial"/>
        </w:rPr>
        <w:t xml:space="preserve">). Thus, even in genus like </w:t>
      </w:r>
      <w:r w:rsidR="003110D8" w:rsidRPr="003110D8">
        <w:rPr>
          <w:rFonts w:ascii="Arial" w:hAnsi="Arial" w:cs="Arial"/>
          <w:i/>
          <w:iCs/>
        </w:rPr>
        <w:t>Hemidactylus</w:t>
      </w:r>
      <w:r w:rsidRPr="00BE4FCE">
        <w:rPr>
          <w:rFonts w:ascii="Arial" w:hAnsi="Arial" w:cs="Arial"/>
        </w:rPr>
        <w:t>; hidden variation among closely related species may shed light on their evolution and adaptation. However, depending on just one mitochondrial marker may lack scientific validity as it only shows the history of the maternal lineage and may not show the phylogenies of species considering processes like introgression, incomplete lineage sorting, and substitution saturation (Soltis &amp; Soltis</w:t>
      </w:r>
      <w:r w:rsidR="004F53E0">
        <w:rPr>
          <w:rFonts w:ascii="Arial" w:hAnsi="Arial" w:cs="Arial"/>
        </w:rPr>
        <w:t>,</w:t>
      </w:r>
      <w:r w:rsidRPr="00BE4FCE">
        <w:rPr>
          <w:rFonts w:ascii="Arial" w:hAnsi="Arial" w:cs="Arial"/>
        </w:rPr>
        <w:t xml:space="preserve"> 2026; Yang</w:t>
      </w:r>
      <w:r w:rsidR="004F53E0">
        <w:rPr>
          <w:rFonts w:ascii="Arial" w:hAnsi="Arial" w:cs="Arial"/>
        </w:rPr>
        <w:t>,</w:t>
      </w:r>
      <w:r w:rsidRPr="00BE4FCE">
        <w:rPr>
          <w:rFonts w:ascii="Arial" w:hAnsi="Arial" w:cs="Arial"/>
        </w:rPr>
        <w:t xml:space="preserve"> 2006). </w:t>
      </w:r>
    </w:p>
    <w:p w14:paraId="3C55CFF5" w14:textId="77777777" w:rsidR="00790ADA" w:rsidRDefault="00BE4FCE" w:rsidP="00BE4FCE">
      <w:pPr>
        <w:pStyle w:val="Body"/>
        <w:spacing w:after="0" w:line="480" w:lineRule="auto"/>
        <w:rPr>
          <w:rFonts w:ascii="Arial" w:hAnsi="Arial" w:cs="Arial"/>
        </w:rPr>
      </w:pPr>
      <w:r w:rsidRPr="00BE4FCE">
        <w:rPr>
          <w:rFonts w:ascii="Arial" w:hAnsi="Arial" w:cs="Arial"/>
        </w:rPr>
        <w:t>North-eastern India, a part of the Indo-Myanmar biodiversity hotspot, supports a rich assemblage of Herpetofauna, with more than 274 species of amphibians and reptiles known from the region. India's northward drift and collision with mainland Asia about ~55 Mya greatly influenced biotic evolution through faunal interaction and subcontinental spread, isolation, and diversification. Thus, Northeast India is a crucial biotic transition zone that facilitates animals to migrate between the Indian and Asian plates. Eastern Himalaya and Indo-Burma biodiversity hotspot has a lot of different types of habitats, complicated terrain, and big differences in climate (</w:t>
      </w:r>
      <w:r w:rsidRPr="00987F1F">
        <w:rPr>
          <w:rFonts w:ascii="Arial" w:hAnsi="Arial" w:cs="Arial"/>
        </w:rPr>
        <w:t>Rodgers and Panwar</w:t>
      </w:r>
      <w:r w:rsidR="00CB3A57" w:rsidRPr="00987F1F">
        <w:rPr>
          <w:rFonts w:ascii="Arial" w:hAnsi="Arial" w:cs="Arial"/>
        </w:rPr>
        <w:t>,</w:t>
      </w:r>
      <w:r w:rsidRPr="00987F1F">
        <w:rPr>
          <w:rFonts w:ascii="Arial" w:hAnsi="Arial" w:cs="Arial"/>
        </w:rPr>
        <w:t xml:space="preserve"> 1998</w:t>
      </w:r>
      <w:r w:rsidRPr="00BE4FCE">
        <w:rPr>
          <w:rFonts w:ascii="Arial" w:hAnsi="Arial" w:cs="Arial"/>
        </w:rPr>
        <w:t>; Myers et al.</w:t>
      </w:r>
      <w:r w:rsidR="00CB3A57">
        <w:rPr>
          <w:rFonts w:ascii="Arial" w:hAnsi="Arial" w:cs="Arial"/>
        </w:rPr>
        <w:t>,</w:t>
      </w:r>
      <w:r w:rsidRPr="00BE4FCE">
        <w:rPr>
          <w:rFonts w:ascii="Arial" w:hAnsi="Arial" w:cs="Arial"/>
        </w:rPr>
        <w:t xml:space="preserve"> 2000). The elevation goes from lowland plains to montane forests that are more than 3,000 m high. These areas are habitat to a wide diversity of forests, from tropical evergreen and semi-evergreen forests to subtropical and temperate condition (</w:t>
      </w:r>
      <w:r w:rsidRPr="00987F1F">
        <w:rPr>
          <w:rFonts w:ascii="Arial" w:hAnsi="Arial" w:cs="Arial"/>
        </w:rPr>
        <w:t>Mittermeier et al.</w:t>
      </w:r>
      <w:r w:rsidR="00CB3A57" w:rsidRPr="00987F1F">
        <w:rPr>
          <w:rFonts w:ascii="Arial" w:hAnsi="Arial" w:cs="Arial"/>
        </w:rPr>
        <w:t>,</w:t>
      </w:r>
      <w:r w:rsidRPr="00987F1F">
        <w:rPr>
          <w:rFonts w:ascii="Arial" w:hAnsi="Arial" w:cs="Arial"/>
        </w:rPr>
        <w:t xml:space="preserve"> 2011).</w:t>
      </w:r>
      <w:r w:rsidRPr="00BE4FCE">
        <w:rPr>
          <w:rFonts w:ascii="Arial" w:hAnsi="Arial" w:cs="Arial"/>
        </w:rPr>
        <w:t xml:space="preserve"> These characteristics make it an ideal location to study lizard diversity, endemism, and biogeography (Mani</w:t>
      </w:r>
      <w:r w:rsidR="00CB3A57">
        <w:rPr>
          <w:rFonts w:ascii="Arial" w:hAnsi="Arial" w:cs="Arial"/>
        </w:rPr>
        <w:t>,</w:t>
      </w:r>
      <w:r w:rsidRPr="00BE4FCE">
        <w:rPr>
          <w:rFonts w:ascii="Arial" w:hAnsi="Arial" w:cs="Arial"/>
        </w:rPr>
        <w:t xml:space="preserve"> 1974; Karanth</w:t>
      </w:r>
      <w:r w:rsidR="00CB3A57">
        <w:rPr>
          <w:rFonts w:ascii="Arial" w:hAnsi="Arial" w:cs="Arial"/>
        </w:rPr>
        <w:t>,</w:t>
      </w:r>
      <w:r w:rsidRPr="00BE4FCE">
        <w:rPr>
          <w:rFonts w:ascii="Arial" w:hAnsi="Arial" w:cs="Arial"/>
        </w:rPr>
        <w:t xml:space="preserve"> 2021). Moreover, different anthropogenic stresses on the same piece of land have different effects on the landscape, biodiversity and the forest cover, making it an intriguing canvas to evaluate. In this study, we have tried to understand the phylogeography and evolution of genus </w:t>
      </w:r>
      <w:proofErr w:type="spellStart"/>
      <w:r w:rsidRPr="002470DA">
        <w:rPr>
          <w:rFonts w:ascii="Arial" w:hAnsi="Arial" w:cs="Arial"/>
        </w:rPr>
        <w:t>Hemidatylus</w:t>
      </w:r>
      <w:proofErr w:type="spellEnd"/>
      <w:r w:rsidRPr="00BE4FCE">
        <w:rPr>
          <w:rFonts w:ascii="Arial" w:hAnsi="Arial" w:cs="Arial"/>
        </w:rPr>
        <w:t xml:space="preserve"> of Manipur via molecular phylogenetic analysis, divergence data and area reconstruction.</w:t>
      </w:r>
    </w:p>
    <w:p w14:paraId="4317AD11" w14:textId="77777777" w:rsidR="00BE4FCE" w:rsidRPr="00FB3A86" w:rsidRDefault="00BE4FCE" w:rsidP="00BE4FCE">
      <w:pPr>
        <w:pStyle w:val="Body"/>
        <w:spacing w:after="0"/>
        <w:rPr>
          <w:rFonts w:ascii="Arial" w:hAnsi="Arial" w:cs="Arial"/>
        </w:rPr>
      </w:pPr>
    </w:p>
    <w:p w14:paraId="7E572E74" w14:textId="77777777" w:rsidR="007F7B32" w:rsidRDefault="00902823" w:rsidP="00441B6F">
      <w:pPr>
        <w:pStyle w:val="AbstHead"/>
        <w:spacing w:after="0"/>
        <w:jc w:val="both"/>
        <w:rPr>
          <w:rFonts w:ascii="Arial" w:hAnsi="Arial" w:cs="Arial"/>
        </w:rPr>
      </w:pPr>
      <w:r>
        <w:rPr>
          <w:rFonts w:ascii="Arial" w:hAnsi="Arial" w:cs="Arial"/>
        </w:rPr>
        <w:lastRenderedPageBreak/>
        <w:t xml:space="preserve">2. </w:t>
      </w:r>
      <w:r w:rsidR="004F3457">
        <w:rPr>
          <w:rFonts w:ascii="Arial" w:hAnsi="Arial" w:cs="Arial"/>
        </w:rPr>
        <w:t>material and methods</w:t>
      </w:r>
    </w:p>
    <w:p w14:paraId="719E0AB4" w14:textId="77777777" w:rsidR="00790ADA" w:rsidRPr="00FB3A86" w:rsidRDefault="00790ADA" w:rsidP="00441B6F">
      <w:pPr>
        <w:pStyle w:val="AbstHead"/>
        <w:spacing w:after="0"/>
        <w:jc w:val="both"/>
        <w:rPr>
          <w:rFonts w:ascii="Arial" w:hAnsi="Arial" w:cs="Arial"/>
        </w:rPr>
      </w:pPr>
    </w:p>
    <w:p w14:paraId="570D9140" w14:textId="77777777" w:rsidR="00D865B6" w:rsidRPr="00D47EA5" w:rsidRDefault="00D865B6" w:rsidP="00D865B6">
      <w:pPr>
        <w:pStyle w:val="ListParagraph"/>
        <w:spacing w:line="360" w:lineRule="auto"/>
        <w:ind w:left="180" w:hanging="180"/>
        <w:jc w:val="both"/>
        <w:rPr>
          <w:rFonts w:ascii="Arial" w:hAnsi="Arial" w:cs="Arial"/>
          <w:b/>
          <w:kern w:val="2"/>
          <w:lang w:val="en-IN"/>
        </w:rPr>
      </w:pPr>
      <w:r w:rsidRPr="00D47EA5">
        <w:rPr>
          <w:rFonts w:ascii="Arial" w:hAnsi="Arial" w:cs="Arial"/>
          <w:b/>
          <w:kern w:val="2"/>
          <w:lang w:val="en-IN"/>
        </w:rPr>
        <w:t>2.1. Study Area</w:t>
      </w:r>
    </w:p>
    <w:p w14:paraId="3E8A39D0" w14:textId="1A37E259" w:rsidR="00D865B6" w:rsidRDefault="00D865B6" w:rsidP="004F53E0">
      <w:pPr>
        <w:spacing w:line="480" w:lineRule="auto"/>
        <w:jc w:val="both"/>
        <w:rPr>
          <w:rFonts w:cstheme="minorHAnsi"/>
        </w:rPr>
      </w:pPr>
      <w:r w:rsidRPr="00D865B6">
        <w:rPr>
          <w:rFonts w:cstheme="minorHAnsi"/>
          <w:kern w:val="2"/>
          <w:lang w:val="en-IN"/>
        </w:rPr>
        <w:t xml:space="preserve">The study was carried out in various locations of Manipur, Northeast India, a biogeographically intricate region situated at the confluence of the Indian subcontinent and Southeast Asia. The state is located between 23°83'N and 25°68'N latitude and 93°03'E and 94°78'E longitude. The state covers 22,347 km² and has an elevation range of 40 m in </w:t>
      </w:r>
      <w:proofErr w:type="spellStart"/>
      <w:r w:rsidRPr="00D865B6">
        <w:rPr>
          <w:rFonts w:cstheme="minorHAnsi"/>
          <w:kern w:val="2"/>
          <w:lang w:val="en-IN"/>
        </w:rPr>
        <w:t>Jiribam</w:t>
      </w:r>
      <w:proofErr w:type="spellEnd"/>
      <w:r w:rsidRPr="00D865B6">
        <w:rPr>
          <w:rFonts w:cstheme="minorHAnsi"/>
          <w:kern w:val="2"/>
          <w:lang w:val="en-IN"/>
        </w:rPr>
        <w:t xml:space="preserve"> to 2,994 m at Mt. Iso Peak near Mao </w:t>
      </w:r>
      <w:proofErr w:type="spellStart"/>
      <w:r w:rsidRPr="00D865B6">
        <w:rPr>
          <w:rFonts w:cstheme="minorHAnsi"/>
          <w:kern w:val="2"/>
          <w:lang w:val="en-IN"/>
        </w:rPr>
        <w:t>Songsong</w:t>
      </w:r>
      <w:proofErr w:type="spellEnd"/>
      <w:r w:rsidRPr="00D865B6">
        <w:rPr>
          <w:rFonts w:cstheme="minorHAnsi"/>
          <w:kern w:val="2"/>
          <w:lang w:val="en-IN"/>
        </w:rPr>
        <w:t xml:space="preserve"> (</w:t>
      </w:r>
      <w:r w:rsidRPr="008F5E55">
        <w:rPr>
          <w:rFonts w:cstheme="minorHAnsi"/>
        </w:rPr>
        <w:t>EUROSTAT</w:t>
      </w:r>
      <w:r w:rsidRPr="00D865B6" w:rsidDel="00595340">
        <w:rPr>
          <w:rFonts w:cstheme="minorHAnsi"/>
          <w:kern w:val="2"/>
          <w:lang w:val="en-IN"/>
        </w:rPr>
        <w:t xml:space="preserve"> </w:t>
      </w:r>
      <w:r w:rsidRPr="00D865B6">
        <w:rPr>
          <w:rFonts w:cstheme="minorHAnsi"/>
          <w:kern w:val="2"/>
          <w:lang w:val="en-IN"/>
        </w:rPr>
        <w:t>Planning Department, Government of Manipur https://www.tpmanipur.mn.gov.in/).</w:t>
      </w:r>
      <w:r w:rsidRPr="00D865B6">
        <w:rPr>
          <w:rFonts w:cstheme="minorHAnsi"/>
          <w:b/>
          <w:bCs/>
          <w:kern w:val="2"/>
          <w:lang w:val="en-IN"/>
        </w:rPr>
        <w:t xml:space="preserve"> </w:t>
      </w:r>
      <w:r w:rsidRPr="003110D8">
        <w:rPr>
          <w:rFonts w:cstheme="minorHAnsi"/>
          <w:b/>
          <w:kern w:val="2"/>
          <w:lang w:val="en-IN"/>
        </w:rPr>
        <w:t>Figure 1</w:t>
      </w:r>
      <w:r w:rsidRPr="00D865B6">
        <w:rPr>
          <w:rFonts w:cstheme="minorHAnsi"/>
          <w:kern w:val="2"/>
          <w:lang w:val="en-IN"/>
        </w:rPr>
        <w:t xml:space="preserve"> outlines the complex geography and tectonic heterogeneity in the Indo-Myanmar region.  For this research, over 200 </w:t>
      </w:r>
      <w:r w:rsidR="003110D8" w:rsidRPr="003110D8">
        <w:rPr>
          <w:rFonts w:cstheme="minorHAnsi"/>
          <w:i/>
          <w:iCs/>
          <w:kern w:val="2"/>
          <w:lang w:val="en-IN"/>
        </w:rPr>
        <w:t>Hemidactylus</w:t>
      </w:r>
      <w:r w:rsidRPr="00D865B6">
        <w:rPr>
          <w:rFonts w:cstheme="minorHAnsi"/>
          <w:kern w:val="2"/>
          <w:lang w:val="en-IN"/>
        </w:rPr>
        <w:t xml:space="preserve"> specimens from 26 different Manipur localities were used.  </w:t>
      </w:r>
      <w:r w:rsidRPr="003110D8">
        <w:rPr>
          <w:rStyle w:val="Strong"/>
          <w:rFonts w:cstheme="minorHAnsi"/>
          <w:bCs w:val="0"/>
        </w:rPr>
        <w:t>Table 1</w:t>
      </w:r>
      <w:r w:rsidRPr="008F5E55">
        <w:rPr>
          <w:rFonts w:cstheme="minorHAnsi"/>
        </w:rPr>
        <w:t xml:space="preserve"> gives an account of the distribution of sampled species collected across diverse study locations of Manipur with corresponding collection details and their local identity.</w:t>
      </w:r>
    </w:p>
    <w:p w14:paraId="57D8BA2D" w14:textId="77777777" w:rsidR="00D865B6" w:rsidRDefault="002470DA" w:rsidP="002470DA">
      <w:pPr>
        <w:spacing w:line="360" w:lineRule="auto"/>
        <w:jc w:val="center"/>
        <w:rPr>
          <w:rFonts w:cstheme="minorHAnsi"/>
          <w:kern w:val="2"/>
          <w:lang w:val="en-IN"/>
        </w:rPr>
      </w:pPr>
      <w:r>
        <w:rPr>
          <w:rFonts w:cstheme="minorHAnsi"/>
          <w:noProof/>
          <w:kern w:val="2"/>
        </w:rPr>
        <w:drawing>
          <wp:inline distT="0" distB="0" distL="0" distR="0" wp14:anchorId="1A8FCB96" wp14:editId="19820506">
            <wp:extent cx="5060950" cy="2535050"/>
            <wp:effectExtent l="0" t="0" r="0" b="0"/>
            <wp:docPr id="1" name="Picture 1" descr="C:\Users\lenovo\Desktop\Ph.D related documents\Ph.D work\Chapter 1\UP journal of zoology\To send\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Ph.D related documents\Ph.D work\Chapter 1\UP journal of zoology\To send\Figure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0950" cy="2535050"/>
                    </a:xfrm>
                    <a:prstGeom prst="rect">
                      <a:avLst/>
                    </a:prstGeom>
                    <a:noFill/>
                    <a:ln>
                      <a:noFill/>
                    </a:ln>
                  </pic:spPr>
                </pic:pic>
              </a:graphicData>
            </a:graphic>
          </wp:inline>
        </w:drawing>
      </w:r>
    </w:p>
    <w:p w14:paraId="306B337B" w14:textId="77777777" w:rsidR="007A62FF" w:rsidRDefault="002470DA" w:rsidP="003C2A9E">
      <w:pPr>
        <w:spacing w:line="360" w:lineRule="auto"/>
        <w:jc w:val="both"/>
        <w:rPr>
          <w:rFonts w:ascii="Arial" w:hAnsi="Arial" w:cs="Arial"/>
          <w:b/>
        </w:rPr>
      </w:pPr>
      <w:r w:rsidRPr="007A62FF">
        <w:rPr>
          <w:rFonts w:ascii="Arial" w:hAnsi="Arial" w:cs="Arial"/>
          <w:b/>
          <w:kern w:val="2"/>
          <w:lang w:val="en-IN"/>
        </w:rPr>
        <w:t xml:space="preserve">Fig. 1. </w:t>
      </w:r>
      <w:r w:rsidR="00474B71" w:rsidRPr="007A62FF">
        <w:rPr>
          <w:rFonts w:ascii="Arial" w:hAnsi="Arial" w:cs="Arial"/>
          <w:b/>
        </w:rPr>
        <w:t>Geological cross-section from the Bengal Basin to the Sino–Burma microcontinent showing the tectonic structure and evolution of the convergent boundary</w:t>
      </w:r>
      <w:r w:rsidR="007A62FF" w:rsidRPr="007A62FF">
        <w:rPr>
          <w:rFonts w:ascii="Arial" w:hAnsi="Arial" w:cs="Arial"/>
          <w:b/>
        </w:rPr>
        <w:t xml:space="preserve"> forming Indo–Burma–Andaman microcontinent. </w:t>
      </w:r>
    </w:p>
    <w:p w14:paraId="1FC167AF" w14:textId="36C43C52" w:rsidR="002470DA" w:rsidRPr="006F462E" w:rsidRDefault="007A62FF" w:rsidP="003C2A9E">
      <w:pPr>
        <w:spacing w:line="360" w:lineRule="auto"/>
        <w:jc w:val="both"/>
        <w:rPr>
          <w:rFonts w:ascii="Arial" w:hAnsi="Arial" w:cs="Arial"/>
          <w:b/>
          <w:kern w:val="2"/>
          <w:lang w:val="en-IN"/>
        </w:rPr>
      </w:pPr>
      <w:r w:rsidRPr="007A62FF">
        <w:rPr>
          <w:rFonts w:ascii="Arial" w:hAnsi="Arial" w:cs="Arial"/>
          <w:b/>
          <w:kern w:val="2"/>
          <w:lang w:val="en-IN"/>
        </w:rPr>
        <w:t>(</w:t>
      </w:r>
      <w:r w:rsidRPr="007A62FF">
        <w:rPr>
          <w:rFonts w:ascii="Arial" w:hAnsi="Arial" w:cs="Arial"/>
          <w:b/>
          <w:color w:val="000000" w:themeColor="text1"/>
        </w:rPr>
        <w:t xml:space="preserve">Source: </w:t>
      </w:r>
      <w:proofErr w:type="spellStart"/>
      <w:r w:rsidRPr="007A62FF">
        <w:rPr>
          <w:rFonts w:ascii="Arial" w:hAnsi="Arial" w:cs="Arial"/>
          <w:b/>
          <w:color w:val="000000" w:themeColor="text1"/>
          <w:shd w:val="clear" w:color="auto" w:fill="FFFFFF"/>
        </w:rPr>
        <w:t>Acharyya</w:t>
      </w:r>
      <w:proofErr w:type="spellEnd"/>
      <w:r w:rsidRPr="007A62FF">
        <w:rPr>
          <w:rFonts w:ascii="Arial" w:hAnsi="Arial" w:cs="Arial"/>
          <w:b/>
          <w:color w:val="000000" w:themeColor="text1"/>
          <w:shd w:val="clear" w:color="auto" w:fill="FFFFFF"/>
        </w:rPr>
        <w:t xml:space="preserve"> et al. 2010</w:t>
      </w:r>
      <w:r w:rsidRPr="007A62FF">
        <w:rPr>
          <w:rFonts w:ascii="Arial" w:hAnsi="Arial" w:cs="Arial"/>
          <w:b/>
          <w:kern w:val="2"/>
          <w:lang w:val="en-IN"/>
        </w:rPr>
        <w:t>)</w:t>
      </w:r>
    </w:p>
    <w:p w14:paraId="59B361A4" w14:textId="77777777" w:rsidR="002470DA" w:rsidRDefault="002470DA" w:rsidP="00A22FF2">
      <w:pPr>
        <w:jc w:val="center"/>
        <w:rPr>
          <w:rFonts w:cstheme="minorHAnsi"/>
          <w:b/>
          <w:bCs/>
          <w:color w:val="000000"/>
          <w:sz w:val="18"/>
          <w:szCs w:val="18"/>
        </w:rPr>
        <w:sectPr w:rsidR="002470DA" w:rsidSect="00EE0611">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51B5ABD7" w14:textId="77777777" w:rsidR="001553F6" w:rsidRDefault="001553F6" w:rsidP="002470DA">
      <w:pPr>
        <w:spacing w:line="360" w:lineRule="auto"/>
        <w:jc w:val="center"/>
        <w:rPr>
          <w:rFonts w:cstheme="minorHAnsi"/>
          <w:b/>
          <w:kern w:val="2"/>
          <w:lang w:val="en-IN"/>
        </w:rPr>
      </w:pPr>
    </w:p>
    <w:p w14:paraId="418E3A16" w14:textId="77777777" w:rsidR="007A62FF" w:rsidRPr="007A62FF" w:rsidRDefault="002470DA" w:rsidP="007A62FF">
      <w:pPr>
        <w:spacing w:line="360" w:lineRule="auto"/>
        <w:jc w:val="center"/>
        <w:rPr>
          <w:rFonts w:ascii="Arial" w:hAnsi="Arial" w:cs="Arial"/>
          <w:b/>
          <w:kern w:val="2"/>
          <w:lang w:val="en-IN"/>
        </w:rPr>
      </w:pPr>
      <w:r w:rsidRPr="007A62FF">
        <w:rPr>
          <w:rFonts w:ascii="Arial" w:hAnsi="Arial" w:cs="Arial"/>
          <w:b/>
          <w:kern w:val="2"/>
          <w:lang w:val="en-IN"/>
        </w:rPr>
        <w:t xml:space="preserve">Table 1. </w:t>
      </w:r>
      <w:r w:rsidR="007A62FF" w:rsidRPr="007A62FF">
        <w:rPr>
          <w:rFonts w:ascii="Arial" w:hAnsi="Arial" w:cs="Arial"/>
          <w:b/>
          <w:kern w:val="2"/>
          <w:lang w:val="en-IN"/>
        </w:rPr>
        <w:t>Summary of sampling sites in Manipur providing geographical coordinates, environmental factors (elevation, temperature, humidity and habitat type), species documented, local names (as collected from indigenous groups) and habitat characteristics.</w:t>
      </w:r>
    </w:p>
    <w:p w14:paraId="085735D0" w14:textId="77777777" w:rsidR="002470DA" w:rsidRDefault="002470DA" w:rsidP="002470DA">
      <w:pPr>
        <w:spacing w:line="360" w:lineRule="auto"/>
        <w:jc w:val="center"/>
        <w:rPr>
          <w:rFonts w:cstheme="minorHAnsi"/>
          <w:b/>
          <w:kern w:val="2"/>
          <w:lang w:val="en-IN"/>
        </w:rPr>
      </w:pPr>
    </w:p>
    <w:tbl>
      <w:tblPr>
        <w:tblW w:w="1476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137"/>
        <w:gridCol w:w="2678"/>
        <w:gridCol w:w="1414"/>
        <w:gridCol w:w="1454"/>
        <w:gridCol w:w="1017"/>
        <w:gridCol w:w="1307"/>
        <w:gridCol w:w="2160"/>
        <w:gridCol w:w="2921"/>
      </w:tblGrid>
      <w:tr w:rsidR="002470DA" w:rsidRPr="00516EEA" w14:paraId="36FD4CDC" w14:textId="77777777" w:rsidTr="00EB0F65">
        <w:trPr>
          <w:trHeight w:val="1187"/>
        </w:trPr>
        <w:tc>
          <w:tcPr>
            <w:tcW w:w="677" w:type="dxa"/>
            <w:shd w:val="clear" w:color="000000" w:fill="BFBFBF"/>
            <w:noWrap/>
            <w:vAlign w:val="bottom"/>
            <w:hideMark/>
          </w:tcPr>
          <w:p w14:paraId="14B81B8C" w14:textId="77777777" w:rsidR="002470DA" w:rsidRDefault="002470DA" w:rsidP="00A22FF2">
            <w:pPr>
              <w:jc w:val="center"/>
              <w:rPr>
                <w:rFonts w:cstheme="minorHAnsi"/>
                <w:b/>
                <w:bCs/>
                <w:color w:val="000000"/>
                <w:sz w:val="18"/>
                <w:szCs w:val="18"/>
              </w:rPr>
            </w:pPr>
            <w:proofErr w:type="spellStart"/>
            <w:r w:rsidRPr="000469B8">
              <w:rPr>
                <w:rFonts w:cstheme="minorHAnsi"/>
                <w:b/>
                <w:bCs/>
                <w:color w:val="000000"/>
                <w:sz w:val="18"/>
                <w:szCs w:val="18"/>
              </w:rPr>
              <w:t>S.No</w:t>
            </w:r>
            <w:proofErr w:type="spellEnd"/>
            <w:r w:rsidRPr="000469B8">
              <w:rPr>
                <w:rFonts w:cstheme="minorHAnsi"/>
                <w:b/>
                <w:bCs/>
                <w:color w:val="000000"/>
                <w:sz w:val="18"/>
                <w:szCs w:val="18"/>
              </w:rPr>
              <w:t>.</w:t>
            </w:r>
          </w:p>
          <w:p w14:paraId="76057910" w14:textId="77777777" w:rsidR="002470DA" w:rsidRPr="000469B8" w:rsidRDefault="002470DA" w:rsidP="00A22FF2">
            <w:pPr>
              <w:jc w:val="center"/>
              <w:rPr>
                <w:rFonts w:cstheme="minorHAnsi"/>
                <w:b/>
                <w:bCs/>
                <w:color w:val="000000"/>
                <w:sz w:val="18"/>
                <w:szCs w:val="18"/>
              </w:rPr>
            </w:pPr>
          </w:p>
          <w:p w14:paraId="4B024549" w14:textId="77777777" w:rsidR="002470DA" w:rsidRPr="000469B8" w:rsidRDefault="002470DA" w:rsidP="00A22FF2">
            <w:pPr>
              <w:jc w:val="center"/>
              <w:rPr>
                <w:rFonts w:cstheme="minorHAnsi"/>
                <w:b/>
                <w:bCs/>
                <w:color w:val="000000"/>
                <w:sz w:val="18"/>
                <w:szCs w:val="18"/>
              </w:rPr>
            </w:pPr>
          </w:p>
        </w:tc>
        <w:tc>
          <w:tcPr>
            <w:tcW w:w="1137" w:type="dxa"/>
            <w:shd w:val="clear" w:color="000000" w:fill="BFBFBF"/>
            <w:noWrap/>
            <w:vAlign w:val="bottom"/>
            <w:hideMark/>
          </w:tcPr>
          <w:p w14:paraId="3128DFB5" w14:textId="77777777" w:rsidR="002470DA" w:rsidRPr="000469B8" w:rsidRDefault="002470DA" w:rsidP="00A22FF2">
            <w:pPr>
              <w:jc w:val="center"/>
              <w:rPr>
                <w:rFonts w:cstheme="minorHAnsi"/>
                <w:b/>
                <w:bCs/>
                <w:color w:val="000000"/>
                <w:sz w:val="18"/>
                <w:szCs w:val="18"/>
              </w:rPr>
            </w:pPr>
          </w:p>
          <w:p w14:paraId="081AE299"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Specimen Code</w:t>
            </w:r>
          </w:p>
          <w:p w14:paraId="0A73B1C5" w14:textId="77777777" w:rsidR="002470DA" w:rsidRPr="000469B8" w:rsidRDefault="002470DA" w:rsidP="00A22FF2">
            <w:pPr>
              <w:jc w:val="center"/>
              <w:rPr>
                <w:rFonts w:cstheme="minorHAnsi"/>
                <w:b/>
                <w:bCs/>
                <w:color w:val="000000"/>
                <w:sz w:val="18"/>
                <w:szCs w:val="18"/>
              </w:rPr>
            </w:pPr>
          </w:p>
        </w:tc>
        <w:tc>
          <w:tcPr>
            <w:tcW w:w="2678" w:type="dxa"/>
            <w:shd w:val="clear" w:color="000000" w:fill="BFBFBF"/>
            <w:noWrap/>
            <w:vAlign w:val="bottom"/>
            <w:hideMark/>
          </w:tcPr>
          <w:p w14:paraId="13779029"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Location</w:t>
            </w:r>
          </w:p>
          <w:p w14:paraId="6CE23435" w14:textId="77777777" w:rsidR="002470DA" w:rsidRPr="000469B8" w:rsidRDefault="002470DA" w:rsidP="00A22FF2">
            <w:pPr>
              <w:jc w:val="center"/>
              <w:rPr>
                <w:rFonts w:cstheme="minorHAnsi"/>
                <w:b/>
                <w:bCs/>
                <w:color w:val="000000"/>
                <w:sz w:val="18"/>
                <w:szCs w:val="18"/>
              </w:rPr>
            </w:pPr>
          </w:p>
          <w:p w14:paraId="3CF9C1C0" w14:textId="77777777" w:rsidR="002470DA" w:rsidRPr="000469B8" w:rsidRDefault="002470DA" w:rsidP="00A22FF2">
            <w:pPr>
              <w:jc w:val="center"/>
              <w:rPr>
                <w:rFonts w:cstheme="minorHAnsi"/>
                <w:b/>
                <w:bCs/>
                <w:color w:val="000000"/>
                <w:sz w:val="18"/>
                <w:szCs w:val="18"/>
              </w:rPr>
            </w:pPr>
          </w:p>
        </w:tc>
        <w:tc>
          <w:tcPr>
            <w:tcW w:w="1414" w:type="dxa"/>
            <w:shd w:val="clear" w:color="000000" w:fill="BFBFBF"/>
            <w:noWrap/>
            <w:vAlign w:val="bottom"/>
            <w:hideMark/>
          </w:tcPr>
          <w:p w14:paraId="548ABD30"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Latitude</w:t>
            </w:r>
          </w:p>
          <w:p w14:paraId="6988BD7E" w14:textId="77777777" w:rsidR="002470DA" w:rsidRPr="000469B8" w:rsidRDefault="002470DA" w:rsidP="00A22FF2">
            <w:pPr>
              <w:jc w:val="center"/>
              <w:rPr>
                <w:rFonts w:cstheme="minorHAnsi"/>
                <w:b/>
                <w:bCs/>
                <w:color w:val="000000"/>
                <w:sz w:val="18"/>
                <w:szCs w:val="18"/>
              </w:rPr>
            </w:pPr>
          </w:p>
          <w:p w14:paraId="3DDA698F" w14:textId="77777777" w:rsidR="002470DA" w:rsidRPr="000469B8" w:rsidRDefault="002470DA" w:rsidP="00A22FF2">
            <w:pPr>
              <w:jc w:val="center"/>
              <w:rPr>
                <w:rFonts w:cstheme="minorHAnsi"/>
                <w:b/>
                <w:bCs/>
                <w:color w:val="000000"/>
                <w:sz w:val="18"/>
                <w:szCs w:val="18"/>
              </w:rPr>
            </w:pPr>
          </w:p>
        </w:tc>
        <w:tc>
          <w:tcPr>
            <w:tcW w:w="1454" w:type="dxa"/>
            <w:shd w:val="clear" w:color="000000" w:fill="BFBFBF"/>
            <w:noWrap/>
            <w:vAlign w:val="bottom"/>
            <w:hideMark/>
          </w:tcPr>
          <w:p w14:paraId="7F10642B"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Longitude</w:t>
            </w:r>
          </w:p>
          <w:p w14:paraId="32DFC1EE" w14:textId="77777777" w:rsidR="002470DA" w:rsidRPr="000469B8" w:rsidRDefault="002470DA" w:rsidP="00A22FF2">
            <w:pPr>
              <w:jc w:val="center"/>
              <w:rPr>
                <w:rFonts w:cstheme="minorHAnsi"/>
                <w:b/>
                <w:bCs/>
                <w:color w:val="000000"/>
                <w:sz w:val="18"/>
                <w:szCs w:val="18"/>
              </w:rPr>
            </w:pPr>
          </w:p>
          <w:p w14:paraId="4D1F8820" w14:textId="77777777" w:rsidR="002470DA" w:rsidRPr="000469B8" w:rsidRDefault="002470DA" w:rsidP="00A22FF2">
            <w:pPr>
              <w:jc w:val="center"/>
              <w:rPr>
                <w:rFonts w:cstheme="minorHAnsi"/>
                <w:b/>
                <w:bCs/>
                <w:color w:val="000000"/>
                <w:sz w:val="18"/>
                <w:szCs w:val="18"/>
              </w:rPr>
            </w:pPr>
          </w:p>
        </w:tc>
        <w:tc>
          <w:tcPr>
            <w:tcW w:w="1017" w:type="dxa"/>
            <w:shd w:val="clear" w:color="000000" w:fill="BFBFBF"/>
            <w:noWrap/>
            <w:vAlign w:val="bottom"/>
            <w:hideMark/>
          </w:tcPr>
          <w:p w14:paraId="4DB60419" w14:textId="77777777" w:rsidR="002470DA" w:rsidRPr="000469B8" w:rsidRDefault="002470DA" w:rsidP="00A22FF2">
            <w:pPr>
              <w:jc w:val="center"/>
              <w:rPr>
                <w:rFonts w:cstheme="minorHAnsi"/>
                <w:b/>
                <w:bCs/>
                <w:color w:val="000000"/>
                <w:sz w:val="18"/>
                <w:szCs w:val="18"/>
              </w:rPr>
            </w:pPr>
          </w:p>
          <w:p w14:paraId="5AC81011"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Elevation (m)</w:t>
            </w:r>
          </w:p>
          <w:p w14:paraId="481D45F9" w14:textId="77777777" w:rsidR="002470DA" w:rsidRPr="000469B8" w:rsidRDefault="002470DA" w:rsidP="00A22FF2">
            <w:pPr>
              <w:jc w:val="center"/>
              <w:rPr>
                <w:rFonts w:cstheme="minorHAnsi"/>
                <w:b/>
                <w:bCs/>
                <w:color w:val="000000"/>
                <w:sz w:val="18"/>
                <w:szCs w:val="18"/>
              </w:rPr>
            </w:pPr>
          </w:p>
        </w:tc>
        <w:tc>
          <w:tcPr>
            <w:tcW w:w="1307" w:type="dxa"/>
            <w:shd w:val="clear" w:color="000000" w:fill="BFBFBF"/>
            <w:noWrap/>
            <w:vAlign w:val="bottom"/>
            <w:hideMark/>
          </w:tcPr>
          <w:p w14:paraId="26124D95" w14:textId="77777777" w:rsidR="002470DA" w:rsidRPr="000469B8" w:rsidRDefault="002470DA" w:rsidP="00A22FF2">
            <w:pPr>
              <w:jc w:val="center"/>
              <w:rPr>
                <w:rFonts w:cstheme="minorHAnsi"/>
                <w:b/>
                <w:bCs/>
                <w:color w:val="000000"/>
                <w:sz w:val="18"/>
                <w:szCs w:val="18"/>
              </w:rPr>
            </w:pPr>
            <w:r w:rsidRPr="000469B8">
              <w:rPr>
                <w:rFonts w:cstheme="minorHAnsi"/>
                <w:b/>
                <w:bCs/>
                <w:color w:val="000000"/>
                <w:sz w:val="18"/>
                <w:szCs w:val="18"/>
              </w:rPr>
              <w:t>Temp</w:t>
            </w:r>
            <w:r>
              <w:rPr>
                <w:rFonts w:cstheme="minorHAnsi"/>
                <w:b/>
                <w:bCs/>
                <w:color w:val="000000"/>
                <w:sz w:val="18"/>
                <w:szCs w:val="18"/>
              </w:rPr>
              <w:t>erature</w:t>
            </w:r>
            <w:r w:rsidRPr="000469B8">
              <w:rPr>
                <w:rFonts w:cstheme="minorHAnsi"/>
                <w:b/>
                <w:bCs/>
                <w:color w:val="000000"/>
                <w:sz w:val="18"/>
                <w:szCs w:val="18"/>
              </w:rPr>
              <w:t xml:space="preserve"> (18</w:t>
            </w:r>
            <w:r w:rsidRPr="000469B8">
              <w:rPr>
                <w:rFonts w:cstheme="minorHAnsi"/>
                <w:b/>
                <w:bCs/>
                <w:color w:val="000000"/>
                <w:sz w:val="18"/>
                <w:szCs w:val="18"/>
                <w:vertAlign w:val="superscript"/>
              </w:rPr>
              <w:t>0</w:t>
            </w:r>
            <w:r w:rsidRPr="000469B8">
              <w:rPr>
                <w:rFonts w:cstheme="minorHAnsi"/>
                <w:b/>
                <w:bCs/>
                <w:color w:val="000000"/>
                <w:sz w:val="18"/>
                <w:szCs w:val="18"/>
              </w:rPr>
              <w:t>C – 35</w:t>
            </w:r>
            <w:r w:rsidRPr="000469B8">
              <w:rPr>
                <w:rFonts w:cstheme="minorHAnsi"/>
                <w:b/>
                <w:bCs/>
                <w:color w:val="000000"/>
                <w:sz w:val="18"/>
                <w:szCs w:val="18"/>
                <w:vertAlign w:val="superscript"/>
              </w:rPr>
              <w:t>0</w:t>
            </w:r>
            <w:r w:rsidRPr="000469B8">
              <w:rPr>
                <w:rFonts w:cstheme="minorHAnsi"/>
                <w:b/>
                <w:bCs/>
                <w:color w:val="000000"/>
                <w:sz w:val="18"/>
                <w:szCs w:val="18"/>
              </w:rPr>
              <w:t>C) &amp; Humidity (85%-99%)</w:t>
            </w:r>
          </w:p>
          <w:p w14:paraId="273704BA" w14:textId="77777777" w:rsidR="002470DA" w:rsidRPr="000469B8" w:rsidRDefault="002470DA" w:rsidP="00A22FF2">
            <w:pPr>
              <w:jc w:val="center"/>
              <w:rPr>
                <w:rFonts w:cstheme="minorHAnsi"/>
                <w:b/>
                <w:bCs/>
                <w:color w:val="000000"/>
                <w:sz w:val="18"/>
                <w:szCs w:val="18"/>
              </w:rPr>
            </w:pPr>
          </w:p>
        </w:tc>
        <w:tc>
          <w:tcPr>
            <w:tcW w:w="2160" w:type="dxa"/>
            <w:shd w:val="clear" w:color="000000" w:fill="BFBFBF"/>
            <w:noWrap/>
            <w:vAlign w:val="bottom"/>
            <w:hideMark/>
          </w:tcPr>
          <w:p w14:paraId="04BD24DF" w14:textId="77777777" w:rsidR="002470DA" w:rsidRPr="000469B8" w:rsidRDefault="002470DA" w:rsidP="00A22FF2">
            <w:pPr>
              <w:jc w:val="center"/>
              <w:rPr>
                <w:rFonts w:cstheme="minorHAnsi"/>
                <w:b/>
                <w:bCs/>
                <w:color w:val="000000"/>
                <w:sz w:val="18"/>
                <w:szCs w:val="18"/>
              </w:rPr>
            </w:pPr>
          </w:p>
          <w:p w14:paraId="673C358F" w14:textId="77777777" w:rsidR="002470DA" w:rsidRDefault="002470DA" w:rsidP="00A22FF2">
            <w:pPr>
              <w:jc w:val="center"/>
              <w:rPr>
                <w:rFonts w:cstheme="minorHAnsi"/>
                <w:b/>
                <w:bCs/>
                <w:color w:val="000000"/>
                <w:sz w:val="18"/>
                <w:szCs w:val="18"/>
              </w:rPr>
            </w:pPr>
            <w:r>
              <w:rPr>
                <w:rFonts w:cstheme="minorHAnsi"/>
                <w:b/>
                <w:bCs/>
                <w:color w:val="000000"/>
                <w:sz w:val="18"/>
                <w:szCs w:val="18"/>
              </w:rPr>
              <w:t>Species</w:t>
            </w:r>
            <w:r w:rsidRPr="000469B8">
              <w:rPr>
                <w:rFonts w:cstheme="minorHAnsi"/>
                <w:b/>
                <w:bCs/>
                <w:color w:val="000000"/>
                <w:sz w:val="18"/>
                <w:szCs w:val="18"/>
              </w:rPr>
              <w:t>, local name</w:t>
            </w:r>
          </w:p>
          <w:p w14:paraId="0BDF91C8" w14:textId="77777777" w:rsidR="002470DA" w:rsidRDefault="002470DA" w:rsidP="00A22FF2">
            <w:pPr>
              <w:jc w:val="center"/>
              <w:rPr>
                <w:rFonts w:cstheme="minorHAnsi"/>
                <w:b/>
                <w:bCs/>
                <w:color w:val="000000"/>
                <w:sz w:val="18"/>
                <w:szCs w:val="18"/>
              </w:rPr>
            </w:pPr>
          </w:p>
          <w:p w14:paraId="1AE86F8A" w14:textId="77777777" w:rsidR="002470DA" w:rsidRPr="000469B8" w:rsidRDefault="002470DA" w:rsidP="00A22FF2">
            <w:pPr>
              <w:jc w:val="center"/>
              <w:rPr>
                <w:rFonts w:cstheme="minorHAnsi"/>
                <w:b/>
                <w:bCs/>
                <w:color w:val="000000"/>
                <w:sz w:val="18"/>
                <w:szCs w:val="18"/>
              </w:rPr>
            </w:pPr>
          </w:p>
        </w:tc>
        <w:tc>
          <w:tcPr>
            <w:tcW w:w="2921" w:type="dxa"/>
            <w:shd w:val="clear" w:color="000000" w:fill="BFBFBF"/>
            <w:noWrap/>
            <w:vAlign w:val="bottom"/>
            <w:hideMark/>
          </w:tcPr>
          <w:p w14:paraId="620BB85A" w14:textId="77777777" w:rsidR="002470DA" w:rsidRDefault="002470DA" w:rsidP="00A22FF2">
            <w:pPr>
              <w:jc w:val="center"/>
              <w:rPr>
                <w:rFonts w:cstheme="minorHAnsi"/>
                <w:b/>
                <w:bCs/>
                <w:color w:val="000000"/>
                <w:sz w:val="18"/>
                <w:szCs w:val="18"/>
              </w:rPr>
            </w:pPr>
            <w:r w:rsidRPr="000469B8">
              <w:rPr>
                <w:rFonts w:cstheme="minorHAnsi"/>
                <w:b/>
                <w:bCs/>
                <w:color w:val="000000"/>
                <w:sz w:val="18"/>
                <w:szCs w:val="18"/>
              </w:rPr>
              <w:t>Habitat type</w:t>
            </w:r>
          </w:p>
          <w:p w14:paraId="76AC4FE0" w14:textId="77777777" w:rsidR="002470DA" w:rsidRPr="000469B8" w:rsidRDefault="002470DA" w:rsidP="00A22FF2">
            <w:pPr>
              <w:jc w:val="center"/>
              <w:rPr>
                <w:rFonts w:cstheme="minorHAnsi"/>
                <w:b/>
                <w:bCs/>
                <w:color w:val="000000"/>
                <w:sz w:val="18"/>
                <w:szCs w:val="18"/>
              </w:rPr>
            </w:pPr>
          </w:p>
          <w:p w14:paraId="4B8135E4" w14:textId="77777777" w:rsidR="002470DA" w:rsidRPr="000469B8" w:rsidRDefault="002470DA" w:rsidP="00A22FF2">
            <w:pPr>
              <w:tabs>
                <w:tab w:val="left" w:pos="2573"/>
                <w:tab w:val="left" w:pos="4078"/>
              </w:tabs>
              <w:ind w:right="2502"/>
              <w:jc w:val="center"/>
              <w:rPr>
                <w:rFonts w:cstheme="minorHAnsi"/>
                <w:b/>
                <w:bCs/>
                <w:color w:val="000000"/>
                <w:sz w:val="18"/>
                <w:szCs w:val="18"/>
              </w:rPr>
            </w:pPr>
          </w:p>
        </w:tc>
      </w:tr>
      <w:tr w:rsidR="002470DA" w:rsidRPr="00516EEA" w14:paraId="19F707FE" w14:textId="77777777" w:rsidTr="00EB0F65">
        <w:trPr>
          <w:trHeight w:val="330"/>
        </w:trPr>
        <w:tc>
          <w:tcPr>
            <w:tcW w:w="677" w:type="dxa"/>
            <w:noWrap/>
            <w:vAlign w:val="bottom"/>
            <w:hideMark/>
          </w:tcPr>
          <w:p w14:paraId="2E7A7661"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w:t>
            </w:r>
          </w:p>
        </w:tc>
        <w:tc>
          <w:tcPr>
            <w:tcW w:w="1137" w:type="dxa"/>
            <w:noWrap/>
            <w:vAlign w:val="bottom"/>
            <w:hideMark/>
          </w:tcPr>
          <w:p w14:paraId="2B1C34A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MDK0101</w:t>
            </w:r>
          </w:p>
        </w:tc>
        <w:tc>
          <w:tcPr>
            <w:tcW w:w="2678" w:type="dxa"/>
            <w:noWrap/>
            <w:vAlign w:val="bottom"/>
            <w:hideMark/>
          </w:tcPr>
          <w:p w14:paraId="741C4367" w14:textId="77777777" w:rsidR="002470DA" w:rsidRPr="00516EEA" w:rsidRDefault="002470DA" w:rsidP="00A22FF2">
            <w:pPr>
              <w:rPr>
                <w:rFonts w:cstheme="minorHAnsi"/>
                <w:color w:val="000000"/>
                <w:sz w:val="18"/>
                <w:szCs w:val="18"/>
              </w:rPr>
            </w:pPr>
            <w:proofErr w:type="spellStart"/>
            <w:r>
              <w:rPr>
                <w:rFonts w:cstheme="minorHAnsi"/>
                <w:color w:val="000000"/>
                <w:sz w:val="18"/>
                <w:szCs w:val="18"/>
              </w:rPr>
              <w:t>Ningthoukhong</w:t>
            </w:r>
            <w:proofErr w:type="spellEnd"/>
            <w:r>
              <w:rPr>
                <w:rFonts w:cstheme="minorHAnsi"/>
                <w:color w:val="000000"/>
                <w:sz w:val="18"/>
                <w:szCs w:val="18"/>
              </w:rPr>
              <w:t>, Bishnupur dist.</w:t>
            </w:r>
          </w:p>
        </w:tc>
        <w:tc>
          <w:tcPr>
            <w:tcW w:w="1414" w:type="dxa"/>
            <w:noWrap/>
            <w:vAlign w:val="center"/>
            <w:hideMark/>
          </w:tcPr>
          <w:p w14:paraId="7B52BFB9"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34’18.44”</w:t>
            </w:r>
          </w:p>
        </w:tc>
        <w:tc>
          <w:tcPr>
            <w:tcW w:w="1454" w:type="dxa"/>
            <w:noWrap/>
            <w:vAlign w:val="center"/>
            <w:hideMark/>
          </w:tcPr>
          <w:p w14:paraId="30921F68"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46’03.36”</w:t>
            </w:r>
          </w:p>
        </w:tc>
        <w:tc>
          <w:tcPr>
            <w:tcW w:w="1017" w:type="dxa"/>
            <w:noWrap/>
            <w:vAlign w:val="bottom"/>
            <w:hideMark/>
          </w:tcPr>
          <w:p w14:paraId="70CBB4B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729</w:t>
            </w:r>
          </w:p>
        </w:tc>
        <w:tc>
          <w:tcPr>
            <w:tcW w:w="1307" w:type="dxa"/>
            <w:noWrap/>
            <w:vAlign w:val="bottom"/>
            <w:hideMark/>
          </w:tcPr>
          <w:p w14:paraId="51E0CBD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30</w:t>
            </w:r>
            <w:r w:rsidRPr="008415A2">
              <w:rPr>
                <w:rFonts w:cstheme="minorHAnsi"/>
                <w:color w:val="000000"/>
                <w:sz w:val="18"/>
                <w:szCs w:val="18"/>
                <w:vertAlign w:val="superscript"/>
              </w:rPr>
              <w:t>0</w:t>
            </w:r>
            <w:r>
              <w:rPr>
                <w:rFonts w:cstheme="minorHAnsi"/>
                <w:color w:val="000000"/>
                <w:sz w:val="18"/>
                <w:szCs w:val="18"/>
              </w:rPr>
              <w:t xml:space="preserve">C, </w:t>
            </w:r>
            <w:r w:rsidRPr="00516EEA">
              <w:rPr>
                <w:rFonts w:cstheme="minorHAnsi"/>
                <w:color w:val="000000"/>
                <w:sz w:val="18"/>
                <w:szCs w:val="18"/>
              </w:rPr>
              <w:t>87</w:t>
            </w:r>
            <w:r>
              <w:rPr>
                <w:rFonts w:cstheme="minorHAnsi"/>
                <w:color w:val="000000"/>
                <w:sz w:val="18"/>
                <w:szCs w:val="18"/>
              </w:rPr>
              <w:t>%</w:t>
            </w:r>
          </w:p>
        </w:tc>
        <w:tc>
          <w:tcPr>
            <w:tcW w:w="2160" w:type="dxa"/>
            <w:noWrap/>
            <w:vAlign w:val="bottom"/>
            <w:hideMark/>
          </w:tcPr>
          <w:p w14:paraId="37F7C3CE"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371F7620" w14:textId="77777777" w:rsidR="002470DA" w:rsidRPr="00516EEA" w:rsidRDefault="002470DA" w:rsidP="00A22FF2">
            <w:pPr>
              <w:jc w:val="center"/>
              <w:rPr>
                <w:rFonts w:cstheme="minorHAnsi"/>
                <w:color w:val="000000"/>
                <w:sz w:val="18"/>
                <w:szCs w:val="18"/>
              </w:rPr>
            </w:pPr>
            <w:r>
              <w:rPr>
                <w:rFonts w:cstheme="minorHAnsi"/>
                <w:color w:val="000000"/>
                <w:sz w:val="18"/>
                <w:szCs w:val="18"/>
              </w:rPr>
              <w:t xml:space="preserve">Chum </w:t>
            </w:r>
          </w:p>
        </w:tc>
        <w:tc>
          <w:tcPr>
            <w:tcW w:w="2921" w:type="dxa"/>
            <w:noWrap/>
            <w:vAlign w:val="bottom"/>
            <w:hideMark/>
          </w:tcPr>
          <w:p w14:paraId="4D037D9F"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Residential </w:t>
            </w:r>
          </w:p>
        </w:tc>
      </w:tr>
      <w:tr w:rsidR="002470DA" w:rsidRPr="00516EEA" w14:paraId="7BC334E3" w14:textId="77777777" w:rsidTr="00EB0F65">
        <w:trPr>
          <w:trHeight w:val="330"/>
        </w:trPr>
        <w:tc>
          <w:tcPr>
            <w:tcW w:w="677" w:type="dxa"/>
            <w:noWrap/>
            <w:vAlign w:val="bottom"/>
            <w:hideMark/>
          </w:tcPr>
          <w:p w14:paraId="34FA5CD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w:t>
            </w:r>
          </w:p>
        </w:tc>
        <w:tc>
          <w:tcPr>
            <w:tcW w:w="1137" w:type="dxa"/>
            <w:noWrap/>
            <w:vAlign w:val="bottom"/>
            <w:hideMark/>
          </w:tcPr>
          <w:p w14:paraId="03C8551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MDK0201</w:t>
            </w:r>
          </w:p>
        </w:tc>
        <w:tc>
          <w:tcPr>
            <w:tcW w:w="2678" w:type="dxa"/>
            <w:noWrap/>
            <w:vAlign w:val="bottom"/>
            <w:hideMark/>
          </w:tcPr>
          <w:p w14:paraId="3775E512"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Thanga </w:t>
            </w:r>
            <w:proofErr w:type="spellStart"/>
            <w:r w:rsidRPr="00516EEA">
              <w:rPr>
                <w:rFonts w:cstheme="minorHAnsi"/>
                <w:color w:val="000000"/>
                <w:sz w:val="18"/>
                <w:szCs w:val="18"/>
              </w:rPr>
              <w:t>Kwatham</w:t>
            </w:r>
            <w:proofErr w:type="spellEnd"/>
            <w:r>
              <w:rPr>
                <w:rFonts w:cstheme="minorHAnsi"/>
                <w:color w:val="000000"/>
                <w:sz w:val="18"/>
                <w:szCs w:val="18"/>
              </w:rPr>
              <w:t>, Bishnupur dist.</w:t>
            </w:r>
          </w:p>
        </w:tc>
        <w:tc>
          <w:tcPr>
            <w:tcW w:w="1414" w:type="dxa"/>
            <w:noWrap/>
            <w:vAlign w:val="center"/>
            <w:hideMark/>
          </w:tcPr>
          <w:p w14:paraId="40E1AB78"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31’47.64”</w:t>
            </w:r>
          </w:p>
        </w:tc>
        <w:tc>
          <w:tcPr>
            <w:tcW w:w="1454" w:type="dxa"/>
            <w:noWrap/>
            <w:vAlign w:val="center"/>
            <w:hideMark/>
          </w:tcPr>
          <w:p w14:paraId="2C7C02D2"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49’52.37”</w:t>
            </w:r>
          </w:p>
        </w:tc>
        <w:tc>
          <w:tcPr>
            <w:tcW w:w="1017" w:type="dxa"/>
            <w:noWrap/>
            <w:vAlign w:val="bottom"/>
            <w:hideMark/>
          </w:tcPr>
          <w:p w14:paraId="2C84FF2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765</w:t>
            </w:r>
          </w:p>
        </w:tc>
        <w:tc>
          <w:tcPr>
            <w:tcW w:w="1307" w:type="dxa"/>
            <w:noWrap/>
            <w:vAlign w:val="bottom"/>
            <w:hideMark/>
          </w:tcPr>
          <w:p w14:paraId="053DD60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28</w:t>
            </w:r>
            <w:r w:rsidRPr="008415A2">
              <w:rPr>
                <w:rFonts w:cstheme="minorHAnsi"/>
                <w:color w:val="000000"/>
                <w:sz w:val="18"/>
                <w:szCs w:val="18"/>
                <w:vertAlign w:val="superscript"/>
              </w:rPr>
              <w:t>0</w:t>
            </w:r>
            <w:r>
              <w:rPr>
                <w:rFonts w:cstheme="minorHAnsi"/>
                <w:color w:val="000000"/>
                <w:sz w:val="18"/>
                <w:szCs w:val="18"/>
              </w:rPr>
              <w:t>C, 92%</w:t>
            </w:r>
          </w:p>
        </w:tc>
        <w:tc>
          <w:tcPr>
            <w:tcW w:w="2160" w:type="dxa"/>
            <w:noWrap/>
            <w:vAlign w:val="bottom"/>
            <w:hideMark/>
          </w:tcPr>
          <w:p w14:paraId="3048E0B3"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76E10D2A"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32C2F1CE" w14:textId="77777777" w:rsidR="002470DA" w:rsidRPr="00516EEA" w:rsidRDefault="002470DA" w:rsidP="00A22FF2">
            <w:pPr>
              <w:rPr>
                <w:rFonts w:cstheme="minorHAnsi"/>
                <w:color w:val="000000"/>
                <w:sz w:val="18"/>
                <w:szCs w:val="18"/>
              </w:rPr>
            </w:pPr>
            <w:r w:rsidRPr="00516EEA">
              <w:rPr>
                <w:rFonts w:cstheme="minorHAnsi"/>
                <w:color w:val="000000"/>
                <w:sz w:val="18"/>
                <w:szCs w:val="18"/>
              </w:rPr>
              <w:t>Bamboo house</w:t>
            </w:r>
            <w:r>
              <w:rPr>
                <w:rFonts w:cstheme="minorHAnsi"/>
                <w:color w:val="000000"/>
                <w:sz w:val="18"/>
                <w:szCs w:val="18"/>
              </w:rPr>
              <w:t xml:space="preserve">s </w:t>
            </w:r>
          </w:p>
        </w:tc>
      </w:tr>
      <w:tr w:rsidR="002470DA" w:rsidRPr="00516EEA" w14:paraId="0DBC1E65" w14:textId="77777777" w:rsidTr="00EB0F65">
        <w:trPr>
          <w:trHeight w:val="330"/>
        </w:trPr>
        <w:tc>
          <w:tcPr>
            <w:tcW w:w="677" w:type="dxa"/>
            <w:noWrap/>
            <w:vAlign w:val="bottom"/>
            <w:hideMark/>
          </w:tcPr>
          <w:p w14:paraId="0AD0EC7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w:t>
            </w:r>
          </w:p>
        </w:tc>
        <w:tc>
          <w:tcPr>
            <w:tcW w:w="1137" w:type="dxa"/>
            <w:noWrap/>
            <w:vAlign w:val="bottom"/>
            <w:hideMark/>
          </w:tcPr>
          <w:p w14:paraId="0C0D535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MDK0301</w:t>
            </w:r>
          </w:p>
        </w:tc>
        <w:tc>
          <w:tcPr>
            <w:tcW w:w="2678" w:type="dxa"/>
            <w:noWrap/>
            <w:vAlign w:val="bottom"/>
            <w:hideMark/>
          </w:tcPr>
          <w:p w14:paraId="7643524C" w14:textId="77777777" w:rsidR="002470DA" w:rsidRPr="00516EEA" w:rsidRDefault="002470DA" w:rsidP="00A22FF2">
            <w:pPr>
              <w:rPr>
                <w:rFonts w:cstheme="minorHAnsi"/>
                <w:color w:val="000000"/>
                <w:sz w:val="18"/>
                <w:szCs w:val="18"/>
              </w:rPr>
            </w:pPr>
            <w:r w:rsidRPr="00516EEA">
              <w:rPr>
                <w:rFonts w:cstheme="minorHAnsi"/>
                <w:color w:val="000000"/>
                <w:sz w:val="18"/>
                <w:szCs w:val="18"/>
              </w:rPr>
              <w:t>Karang island</w:t>
            </w:r>
            <w:r>
              <w:rPr>
                <w:rFonts w:cstheme="minorHAnsi"/>
                <w:color w:val="000000"/>
                <w:sz w:val="18"/>
                <w:szCs w:val="18"/>
              </w:rPr>
              <w:t>, Bishnupur dist.</w:t>
            </w:r>
          </w:p>
        </w:tc>
        <w:tc>
          <w:tcPr>
            <w:tcW w:w="1414" w:type="dxa"/>
            <w:noWrap/>
            <w:vAlign w:val="center"/>
            <w:hideMark/>
          </w:tcPr>
          <w:p w14:paraId="0FB92D11"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32’46.75”</w:t>
            </w:r>
          </w:p>
        </w:tc>
        <w:tc>
          <w:tcPr>
            <w:tcW w:w="1454" w:type="dxa"/>
            <w:noWrap/>
            <w:vAlign w:val="center"/>
            <w:hideMark/>
          </w:tcPr>
          <w:p w14:paraId="4E02979A"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50’03.97”</w:t>
            </w:r>
          </w:p>
        </w:tc>
        <w:tc>
          <w:tcPr>
            <w:tcW w:w="1017" w:type="dxa"/>
            <w:noWrap/>
            <w:vAlign w:val="bottom"/>
            <w:hideMark/>
          </w:tcPr>
          <w:p w14:paraId="547ED22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765</w:t>
            </w:r>
          </w:p>
        </w:tc>
        <w:tc>
          <w:tcPr>
            <w:tcW w:w="1307" w:type="dxa"/>
            <w:noWrap/>
            <w:vAlign w:val="bottom"/>
            <w:hideMark/>
          </w:tcPr>
          <w:p w14:paraId="2050E88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28</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92</w:t>
            </w:r>
            <w:r>
              <w:rPr>
                <w:rFonts w:cstheme="minorHAnsi"/>
                <w:color w:val="000000"/>
                <w:sz w:val="18"/>
                <w:szCs w:val="18"/>
              </w:rPr>
              <w:t>%</w:t>
            </w:r>
          </w:p>
        </w:tc>
        <w:tc>
          <w:tcPr>
            <w:tcW w:w="2160" w:type="dxa"/>
            <w:noWrap/>
            <w:vAlign w:val="bottom"/>
            <w:hideMark/>
          </w:tcPr>
          <w:p w14:paraId="5AF54C06"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0F7258E0"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30C842EC"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Mud </w:t>
            </w:r>
            <w:r>
              <w:rPr>
                <w:rFonts w:cstheme="minorHAnsi"/>
                <w:color w:val="000000"/>
                <w:sz w:val="18"/>
                <w:szCs w:val="18"/>
              </w:rPr>
              <w:t xml:space="preserve">house </w:t>
            </w:r>
            <w:r w:rsidRPr="00516EEA">
              <w:rPr>
                <w:rFonts w:cstheme="minorHAnsi"/>
                <w:color w:val="000000"/>
                <w:sz w:val="18"/>
                <w:szCs w:val="18"/>
              </w:rPr>
              <w:t>with metal roof</w:t>
            </w:r>
          </w:p>
        </w:tc>
      </w:tr>
      <w:tr w:rsidR="002470DA" w:rsidRPr="00516EEA" w14:paraId="5CE76560" w14:textId="77777777" w:rsidTr="00EB0F65">
        <w:trPr>
          <w:trHeight w:val="330"/>
        </w:trPr>
        <w:tc>
          <w:tcPr>
            <w:tcW w:w="677" w:type="dxa"/>
            <w:noWrap/>
            <w:vAlign w:val="bottom"/>
            <w:hideMark/>
          </w:tcPr>
          <w:p w14:paraId="04E6C72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4</w:t>
            </w:r>
          </w:p>
        </w:tc>
        <w:tc>
          <w:tcPr>
            <w:tcW w:w="1137" w:type="dxa"/>
            <w:noWrap/>
            <w:vAlign w:val="bottom"/>
            <w:hideMark/>
          </w:tcPr>
          <w:p w14:paraId="24741C4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MDK0401</w:t>
            </w:r>
          </w:p>
        </w:tc>
        <w:tc>
          <w:tcPr>
            <w:tcW w:w="2678" w:type="dxa"/>
            <w:noWrap/>
            <w:vAlign w:val="bottom"/>
            <w:hideMark/>
          </w:tcPr>
          <w:p w14:paraId="156DD791"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Keibul</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lamjao</w:t>
            </w:r>
            <w:proofErr w:type="spellEnd"/>
            <w:r>
              <w:rPr>
                <w:rFonts w:cstheme="minorHAnsi"/>
                <w:color w:val="000000"/>
                <w:sz w:val="18"/>
                <w:szCs w:val="18"/>
              </w:rPr>
              <w:t>, Bishnupur dist.</w:t>
            </w:r>
          </w:p>
        </w:tc>
        <w:tc>
          <w:tcPr>
            <w:tcW w:w="1414" w:type="dxa"/>
            <w:noWrap/>
            <w:vAlign w:val="center"/>
            <w:hideMark/>
          </w:tcPr>
          <w:p w14:paraId="31F38E3F"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28’47.68”</w:t>
            </w:r>
          </w:p>
        </w:tc>
        <w:tc>
          <w:tcPr>
            <w:tcW w:w="1454" w:type="dxa"/>
            <w:noWrap/>
            <w:vAlign w:val="center"/>
            <w:hideMark/>
          </w:tcPr>
          <w:p w14:paraId="67A4E60B"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48’25.95”</w:t>
            </w:r>
          </w:p>
        </w:tc>
        <w:tc>
          <w:tcPr>
            <w:tcW w:w="1017" w:type="dxa"/>
            <w:noWrap/>
            <w:vAlign w:val="bottom"/>
            <w:hideMark/>
          </w:tcPr>
          <w:p w14:paraId="3C1A281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756</w:t>
            </w:r>
          </w:p>
        </w:tc>
        <w:tc>
          <w:tcPr>
            <w:tcW w:w="1307" w:type="dxa"/>
            <w:noWrap/>
            <w:vAlign w:val="bottom"/>
            <w:hideMark/>
          </w:tcPr>
          <w:p w14:paraId="527FAF2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26</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90</w:t>
            </w:r>
            <w:r>
              <w:rPr>
                <w:rFonts w:cstheme="minorHAnsi"/>
                <w:color w:val="000000"/>
                <w:sz w:val="18"/>
                <w:szCs w:val="18"/>
              </w:rPr>
              <w:t>%</w:t>
            </w:r>
          </w:p>
        </w:tc>
        <w:tc>
          <w:tcPr>
            <w:tcW w:w="2160" w:type="dxa"/>
            <w:noWrap/>
            <w:vAlign w:val="bottom"/>
            <w:hideMark/>
          </w:tcPr>
          <w:p w14:paraId="076F2DA2"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4F3657BF"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72D1278E" w14:textId="77777777" w:rsidR="002470DA" w:rsidRPr="00516EEA" w:rsidRDefault="002470DA" w:rsidP="00A22FF2">
            <w:pPr>
              <w:rPr>
                <w:rFonts w:cstheme="minorHAnsi"/>
                <w:color w:val="000000"/>
                <w:sz w:val="18"/>
                <w:szCs w:val="18"/>
              </w:rPr>
            </w:pPr>
            <w:proofErr w:type="spellStart"/>
            <w:r>
              <w:rPr>
                <w:rFonts w:cstheme="minorHAnsi"/>
                <w:color w:val="000000"/>
                <w:sz w:val="18"/>
                <w:szCs w:val="18"/>
              </w:rPr>
              <w:t>Keibul</w:t>
            </w:r>
            <w:proofErr w:type="spellEnd"/>
            <w:r>
              <w:rPr>
                <w:rFonts w:cstheme="minorHAnsi"/>
                <w:color w:val="000000"/>
                <w:sz w:val="18"/>
                <w:szCs w:val="18"/>
              </w:rPr>
              <w:t xml:space="preserve"> </w:t>
            </w:r>
            <w:proofErr w:type="spellStart"/>
            <w:r>
              <w:rPr>
                <w:rFonts w:cstheme="minorHAnsi"/>
                <w:color w:val="000000"/>
                <w:sz w:val="18"/>
                <w:szCs w:val="18"/>
              </w:rPr>
              <w:t>Lamjao</w:t>
            </w:r>
            <w:proofErr w:type="spellEnd"/>
            <w:r>
              <w:rPr>
                <w:rFonts w:cstheme="minorHAnsi"/>
                <w:color w:val="000000"/>
                <w:sz w:val="18"/>
                <w:szCs w:val="18"/>
              </w:rPr>
              <w:t xml:space="preserve"> National Park</w:t>
            </w:r>
          </w:p>
        </w:tc>
      </w:tr>
      <w:tr w:rsidR="002470DA" w:rsidRPr="00516EEA" w14:paraId="00D10CA1" w14:textId="77777777" w:rsidTr="00EB0F65">
        <w:trPr>
          <w:trHeight w:val="330"/>
        </w:trPr>
        <w:tc>
          <w:tcPr>
            <w:tcW w:w="677" w:type="dxa"/>
            <w:noWrap/>
            <w:vAlign w:val="bottom"/>
            <w:hideMark/>
          </w:tcPr>
          <w:p w14:paraId="3428F83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5</w:t>
            </w:r>
          </w:p>
        </w:tc>
        <w:tc>
          <w:tcPr>
            <w:tcW w:w="1137" w:type="dxa"/>
            <w:noWrap/>
            <w:vAlign w:val="bottom"/>
            <w:hideMark/>
          </w:tcPr>
          <w:p w14:paraId="22C6C50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MDK0501</w:t>
            </w:r>
          </w:p>
        </w:tc>
        <w:tc>
          <w:tcPr>
            <w:tcW w:w="2678" w:type="dxa"/>
            <w:noWrap/>
            <w:vAlign w:val="bottom"/>
            <w:hideMark/>
          </w:tcPr>
          <w:p w14:paraId="3E823540" w14:textId="77777777" w:rsidR="002470DA" w:rsidRPr="00516EEA" w:rsidRDefault="002470DA" w:rsidP="00A22FF2">
            <w:pPr>
              <w:rPr>
                <w:rFonts w:cstheme="minorHAnsi"/>
                <w:color w:val="000000"/>
                <w:sz w:val="18"/>
                <w:szCs w:val="18"/>
              </w:rPr>
            </w:pPr>
            <w:proofErr w:type="spellStart"/>
            <w:r>
              <w:rPr>
                <w:rFonts w:cstheme="minorHAnsi"/>
                <w:color w:val="000000"/>
                <w:sz w:val="18"/>
                <w:szCs w:val="18"/>
              </w:rPr>
              <w:t>Khuga</w:t>
            </w:r>
            <w:proofErr w:type="spellEnd"/>
            <w:r>
              <w:rPr>
                <w:rFonts w:cstheme="minorHAnsi"/>
                <w:color w:val="000000"/>
                <w:sz w:val="18"/>
                <w:szCs w:val="18"/>
              </w:rPr>
              <w:t xml:space="preserve"> dam, Churachandpur dist.</w:t>
            </w:r>
          </w:p>
        </w:tc>
        <w:tc>
          <w:tcPr>
            <w:tcW w:w="1414" w:type="dxa"/>
            <w:noWrap/>
            <w:vAlign w:val="center"/>
            <w:hideMark/>
          </w:tcPr>
          <w:p w14:paraId="2441B490"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17’13.28”</w:t>
            </w:r>
          </w:p>
        </w:tc>
        <w:tc>
          <w:tcPr>
            <w:tcW w:w="1454" w:type="dxa"/>
            <w:noWrap/>
            <w:vAlign w:val="center"/>
            <w:hideMark/>
          </w:tcPr>
          <w:p w14:paraId="07B8C9C3"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41’00.85”</w:t>
            </w:r>
          </w:p>
        </w:tc>
        <w:tc>
          <w:tcPr>
            <w:tcW w:w="1017" w:type="dxa"/>
            <w:noWrap/>
            <w:vAlign w:val="bottom"/>
            <w:hideMark/>
          </w:tcPr>
          <w:p w14:paraId="5721025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801</w:t>
            </w:r>
          </w:p>
        </w:tc>
        <w:tc>
          <w:tcPr>
            <w:tcW w:w="1307" w:type="dxa"/>
            <w:noWrap/>
            <w:vAlign w:val="bottom"/>
            <w:hideMark/>
          </w:tcPr>
          <w:p w14:paraId="286304B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32</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88</w:t>
            </w:r>
            <w:r>
              <w:rPr>
                <w:rFonts w:cstheme="minorHAnsi"/>
                <w:color w:val="000000"/>
                <w:sz w:val="18"/>
                <w:szCs w:val="18"/>
              </w:rPr>
              <w:t>%</w:t>
            </w:r>
          </w:p>
        </w:tc>
        <w:tc>
          <w:tcPr>
            <w:tcW w:w="2160" w:type="dxa"/>
            <w:noWrap/>
            <w:vAlign w:val="bottom"/>
            <w:hideMark/>
          </w:tcPr>
          <w:p w14:paraId="79B9B7A6" w14:textId="77777777" w:rsidR="002470DA" w:rsidRDefault="002470DA" w:rsidP="00A22FF2">
            <w:pPr>
              <w:jc w:val="cente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r>
              <w:t xml:space="preserve"> </w:t>
            </w:r>
          </w:p>
          <w:p w14:paraId="64C75835" w14:textId="77777777" w:rsidR="002470DA" w:rsidRPr="00516EEA" w:rsidRDefault="002470DA" w:rsidP="00A22FF2">
            <w:pPr>
              <w:jc w:val="center"/>
              <w:rPr>
                <w:rFonts w:cstheme="minorHAnsi"/>
                <w:color w:val="000000"/>
                <w:sz w:val="18"/>
                <w:szCs w:val="18"/>
              </w:rPr>
            </w:pPr>
            <w:proofErr w:type="spellStart"/>
            <w:r w:rsidRPr="00AA1421">
              <w:rPr>
                <w:sz w:val="18"/>
                <w:szCs w:val="18"/>
              </w:rPr>
              <w:t>Sapi</w:t>
            </w:r>
            <w:proofErr w:type="spellEnd"/>
            <w:r>
              <w:rPr>
                <w:sz w:val="18"/>
                <w:szCs w:val="18"/>
              </w:rPr>
              <w:t>/</w:t>
            </w:r>
            <w:proofErr w:type="spellStart"/>
            <w:r>
              <w:rPr>
                <w:sz w:val="18"/>
                <w:szCs w:val="18"/>
              </w:rPr>
              <w:t>Inngah</w:t>
            </w:r>
            <w:proofErr w:type="spellEnd"/>
          </w:p>
        </w:tc>
        <w:tc>
          <w:tcPr>
            <w:tcW w:w="2921" w:type="dxa"/>
            <w:noWrap/>
            <w:vAlign w:val="bottom"/>
            <w:hideMark/>
          </w:tcPr>
          <w:p w14:paraId="4E8FE1AA" w14:textId="77777777" w:rsidR="002470DA" w:rsidRPr="00516EEA" w:rsidRDefault="002470DA" w:rsidP="00A22FF2">
            <w:pPr>
              <w:rPr>
                <w:rFonts w:cstheme="minorHAnsi"/>
                <w:color w:val="000000"/>
                <w:sz w:val="18"/>
                <w:szCs w:val="18"/>
              </w:rPr>
            </w:pPr>
            <w:r w:rsidRPr="00516EEA">
              <w:rPr>
                <w:rFonts w:cstheme="minorHAnsi"/>
                <w:color w:val="000000"/>
                <w:sz w:val="18"/>
                <w:szCs w:val="18"/>
              </w:rPr>
              <w:t>Elevated wooden house</w:t>
            </w:r>
          </w:p>
        </w:tc>
      </w:tr>
      <w:tr w:rsidR="002470DA" w:rsidRPr="00516EEA" w14:paraId="7F492B83" w14:textId="77777777" w:rsidTr="00EB0F65">
        <w:trPr>
          <w:trHeight w:val="330"/>
        </w:trPr>
        <w:tc>
          <w:tcPr>
            <w:tcW w:w="677" w:type="dxa"/>
            <w:noWrap/>
            <w:vAlign w:val="bottom"/>
            <w:hideMark/>
          </w:tcPr>
          <w:p w14:paraId="6EDE361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6</w:t>
            </w:r>
          </w:p>
        </w:tc>
        <w:tc>
          <w:tcPr>
            <w:tcW w:w="1137" w:type="dxa"/>
            <w:noWrap/>
            <w:vAlign w:val="bottom"/>
            <w:hideMark/>
          </w:tcPr>
          <w:p w14:paraId="5DCE9DC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MDK0602</w:t>
            </w:r>
          </w:p>
        </w:tc>
        <w:tc>
          <w:tcPr>
            <w:tcW w:w="2678" w:type="dxa"/>
            <w:noWrap/>
            <w:vAlign w:val="bottom"/>
            <w:hideMark/>
          </w:tcPr>
          <w:p w14:paraId="5A888761"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Teisang</w:t>
            </w:r>
            <w:proofErr w:type="spellEnd"/>
            <w:r w:rsidRPr="00516EEA">
              <w:rPr>
                <w:rFonts w:cstheme="minorHAnsi"/>
                <w:color w:val="000000"/>
                <w:sz w:val="18"/>
                <w:szCs w:val="18"/>
              </w:rPr>
              <w:t>, Churachandpur</w:t>
            </w:r>
            <w:r>
              <w:rPr>
                <w:rFonts w:cstheme="minorHAnsi"/>
                <w:color w:val="000000"/>
                <w:sz w:val="18"/>
                <w:szCs w:val="18"/>
              </w:rPr>
              <w:t xml:space="preserve"> dist.</w:t>
            </w:r>
          </w:p>
        </w:tc>
        <w:tc>
          <w:tcPr>
            <w:tcW w:w="1414" w:type="dxa"/>
            <w:noWrap/>
            <w:vAlign w:val="center"/>
            <w:hideMark/>
          </w:tcPr>
          <w:p w14:paraId="42BE8023"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21’33.98”</w:t>
            </w:r>
          </w:p>
        </w:tc>
        <w:tc>
          <w:tcPr>
            <w:tcW w:w="1454" w:type="dxa"/>
            <w:noWrap/>
            <w:vAlign w:val="center"/>
            <w:hideMark/>
          </w:tcPr>
          <w:p w14:paraId="214687C6"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41’08.02”</w:t>
            </w:r>
          </w:p>
        </w:tc>
        <w:tc>
          <w:tcPr>
            <w:tcW w:w="1017" w:type="dxa"/>
            <w:noWrap/>
            <w:vAlign w:val="bottom"/>
            <w:hideMark/>
          </w:tcPr>
          <w:p w14:paraId="29D36E3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871</w:t>
            </w:r>
          </w:p>
        </w:tc>
        <w:tc>
          <w:tcPr>
            <w:tcW w:w="1307" w:type="dxa"/>
            <w:noWrap/>
            <w:vAlign w:val="bottom"/>
            <w:hideMark/>
          </w:tcPr>
          <w:p w14:paraId="2F3882D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27</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92</w:t>
            </w:r>
            <w:r>
              <w:rPr>
                <w:rFonts w:cstheme="minorHAnsi"/>
                <w:color w:val="000000"/>
                <w:sz w:val="18"/>
                <w:szCs w:val="18"/>
              </w:rPr>
              <w:t>%</w:t>
            </w:r>
          </w:p>
        </w:tc>
        <w:tc>
          <w:tcPr>
            <w:tcW w:w="2160" w:type="dxa"/>
            <w:noWrap/>
            <w:vAlign w:val="bottom"/>
            <w:hideMark/>
          </w:tcPr>
          <w:p w14:paraId="2600F8F5"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 xml:space="preserve">, </w:t>
            </w:r>
          </w:p>
          <w:p w14:paraId="0E5B89FA"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Diadep</w:t>
            </w:r>
            <w:proofErr w:type="spellEnd"/>
          </w:p>
        </w:tc>
        <w:tc>
          <w:tcPr>
            <w:tcW w:w="2921" w:type="dxa"/>
            <w:noWrap/>
            <w:vAlign w:val="bottom"/>
            <w:hideMark/>
          </w:tcPr>
          <w:p w14:paraId="68C8ED6C" w14:textId="77777777" w:rsidR="002470DA" w:rsidRPr="00516EEA" w:rsidRDefault="002470DA" w:rsidP="00A22FF2">
            <w:pPr>
              <w:rPr>
                <w:rFonts w:cstheme="minorHAnsi"/>
                <w:color w:val="000000"/>
                <w:sz w:val="18"/>
                <w:szCs w:val="18"/>
              </w:rPr>
            </w:pPr>
            <w:r>
              <w:rPr>
                <w:rFonts w:cstheme="minorHAnsi"/>
                <w:color w:val="000000"/>
                <w:sz w:val="18"/>
                <w:szCs w:val="18"/>
              </w:rPr>
              <w:t>Residential</w:t>
            </w:r>
          </w:p>
        </w:tc>
      </w:tr>
      <w:tr w:rsidR="002470DA" w:rsidRPr="00516EEA" w14:paraId="3F4F1F7A" w14:textId="77777777" w:rsidTr="00EB0F65">
        <w:trPr>
          <w:trHeight w:val="330"/>
        </w:trPr>
        <w:tc>
          <w:tcPr>
            <w:tcW w:w="677" w:type="dxa"/>
            <w:noWrap/>
            <w:vAlign w:val="bottom"/>
            <w:hideMark/>
          </w:tcPr>
          <w:p w14:paraId="35173448"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w:t>
            </w:r>
          </w:p>
        </w:tc>
        <w:tc>
          <w:tcPr>
            <w:tcW w:w="1137" w:type="dxa"/>
            <w:noWrap/>
            <w:vAlign w:val="bottom"/>
            <w:hideMark/>
          </w:tcPr>
          <w:p w14:paraId="563D730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MDK0701</w:t>
            </w:r>
          </w:p>
        </w:tc>
        <w:tc>
          <w:tcPr>
            <w:tcW w:w="2678" w:type="dxa"/>
            <w:noWrap/>
            <w:vAlign w:val="bottom"/>
            <w:hideMark/>
          </w:tcPr>
          <w:p w14:paraId="0E723786"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Kwakta</w:t>
            </w:r>
            <w:proofErr w:type="spellEnd"/>
            <w:r w:rsidRPr="00516EEA">
              <w:rPr>
                <w:rFonts w:cstheme="minorHAnsi"/>
                <w:color w:val="000000"/>
                <w:sz w:val="18"/>
                <w:szCs w:val="18"/>
              </w:rPr>
              <w:t xml:space="preserve"> Bazaar</w:t>
            </w:r>
            <w:r>
              <w:rPr>
                <w:rFonts w:cstheme="minorHAnsi"/>
                <w:color w:val="000000"/>
                <w:sz w:val="18"/>
                <w:szCs w:val="18"/>
              </w:rPr>
              <w:t>, Bishnupur dist.</w:t>
            </w:r>
          </w:p>
        </w:tc>
        <w:tc>
          <w:tcPr>
            <w:tcW w:w="1414" w:type="dxa"/>
            <w:noWrap/>
            <w:vAlign w:val="center"/>
            <w:hideMark/>
          </w:tcPr>
          <w:p w14:paraId="4EC8C5B4"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21’33.68”</w:t>
            </w:r>
          </w:p>
        </w:tc>
        <w:tc>
          <w:tcPr>
            <w:tcW w:w="1454" w:type="dxa"/>
            <w:noWrap/>
            <w:vAlign w:val="center"/>
            <w:hideMark/>
          </w:tcPr>
          <w:p w14:paraId="075562CF"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41’07.57”</w:t>
            </w:r>
          </w:p>
        </w:tc>
        <w:tc>
          <w:tcPr>
            <w:tcW w:w="1017" w:type="dxa"/>
            <w:noWrap/>
            <w:vAlign w:val="bottom"/>
            <w:hideMark/>
          </w:tcPr>
          <w:p w14:paraId="71BC5F8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824</w:t>
            </w:r>
          </w:p>
        </w:tc>
        <w:tc>
          <w:tcPr>
            <w:tcW w:w="1307" w:type="dxa"/>
            <w:noWrap/>
            <w:vAlign w:val="bottom"/>
            <w:hideMark/>
          </w:tcPr>
          <w:p w14:paraId="62AAF24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25</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90</w:t>
            </w:r>
            <w:r>
              <w:rPr>
                <w:rFonts w:cstheme="minorHAnsi"/>
                <w:color w:val="000000"/>
                <w:sz w:val="18"/>
                <w:szCs w:val="18"/>
              </w:rPr>
              <w:t>%</w:t>
            </w:r>
          </w:p>
        </w:tc>
        <w:tc>
          <w:tcPr>
            <w:tcW w:w="2160" w:type="dxa"/>
            <w:noWrap/>
            <w:vAlign w:val="bottom"/>
            <w:hideMark/>
          </w:tcPr>
          <w:p w14:paraId="531D550D"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2754A399"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7514F02F" w14:textId="77777777" w:rsidR="002470DA" w:rsidRPr="00516EEA" w:rsidRDefault="002470DA" w:rsidP="00A22FF2">
            <w:pPr>
              <w:rPr>
                <w:rFonts w:cstheme="minorHAnsi"/>
                <w:color w:val="000000"/>
                <w:sz w:val="18"/>
                <w:szCs w:val="18"/>
              </w:rPr>
            </w:pPr>
            <w:r>
              <w:rPr>
                <w:rFonts w:cstheme="minorHAnsi"/>
                <w:color w:val="000000"/>
                <w:sz w:val="18"/>
                <w:szCs w:val="18"/>
              </w:rPr>
              <w:t xml:space="preserve">Residential mud house </w:t>
            </w:r>
            <w:r w:rsidRPr="00516EEA">
              <w:rPr>
                <w:rFonts w:cstheme="minorHAnsi"/>
                <w:color w:val="000000"/>
                <w:sz w:val="18"/>
                <w:szCs w:val="18"/>
              </w:rPr>
              <w:t>near market</w:t>
            </w:r>
          </w:p>
        </w:tc>
      </w:tr>
      <w:tr w:rsidR="002470DA" w:rsidRPr="00516EEA" w14:paraId="7FE780D9" w14:textId="77777777" w:rsidTr="00EB0F65">
        <w:trPr>
          <w:trHeight w:val="330"/>
        </w:trPr>
        <w:tc>
          <w:tcPr>
            <w:tcW w:w="677" w:type="dxa"/>
            <w:noWrap/>
            <w:vAlign w:val="bottom"/>
            <w:hideMark/>
          </w:tcPr>
          <w:p w14:paraId="5977747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8</w:t>
            </w:r>
          </w:p>
        </w:tc>
        <w:tc>
          <w:tcPr>
            <w:tcW w:w="1137" w:type="dxa"/>
            <w:noWrap/>
            <w:vAlign w:val="bottom"/>
            <w:hideMark/>
          </w:tcPr>
          <w:p w14:paraId="56BB0D2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MDK0801</w:t>
            </w:r>
          </w:p>
        </w:tc>
        <w:tc>
          <w:tcPr>
            <w:tcW w:w="2678" w:type="dxa"/>
            <w:noWrap/>
            <w:vAlign w:val="bottom"/>
            <w:hideMark/>
          </w:tcPr>
          <w:p w14:paraId="60F5A0C2"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Kangchup</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Kharang</w:t>
            </w:r>
            <w:proofErr w:type="spellEnd"/>
            <w:r w:rsidRPr="00516EEA">
              <w:rPr>
                <w:rFonts w:cstheme="minorHAnsi"/>
                <w:color w:val="000000"/>
                <w:sz w:val="18"/>
                <w:szCs w:val="18"/>
              </w:rPr>
              <w:t xml:space="preserve"> Koireng</w:t>
            </w:r>
            <w:r>
              <w:rPr>
                <w:rFonts w:cstheme="minorHAnsi"/>
                <w:color w:val="000000"/>
                <w:sz w:val="18"/>
                <w:szCs w:val="18"/>
              </w:rPr>
              <w:t>, Imphal west dist.</w:t>
            </w:r>
          </w:p>
        </w:tc>
        <w:tc>
          <w:tcPr>
            <w:tcW w:w="1414" w:type="dxa"/>
            <w:noWrap/>
            <w:vAlign w:val="center"/>
            <w:hideMark/>
          </w:tcPr>
          <w:p w14:paraId="4A2526C4"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51’38.81”</w:t>
            </w:r>
          </w:p>
        </w:tc>
        <w:tc>
          <w:tcPr>
            <w:tcW w:w="1454" w:type="dxa"/>
            <w:noWrap/>
            <w:vAlign w:val="center"/>
            <w:hideMark/>
          </w:tcPr>
          <w:p w14:paraId="0E4D0373"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48’23.68”</w:t>
            </w:r>
          </w:p>
        </w:tc>
        <w:tc>
          <w:tcPr>
            <w:tcW w:w="1017" w:type="dxa"/>
            <w:noWrap/>
            <w:vAlign w:val="bottom"/>
            <w:hideMark/>
          </w:tcPr>
          <w:p w14:paraId="3B8A08E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824</w:t>
            </w:r>
          </w:p>
        </w:tc>
        <w:tc>
          <w:tcPr>
            <w:tcW w:w="1307" w:type="dxa"/>
            <w:noWrap/>
            <w:vAlign w:val="bottom"/>
            <w:hideMark/>
          </w:tcPr>
          <w:p w14:paraId="398358C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24</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91</w:t>
            </w:r>
            <w:r>
              <w:rPr>
                <w:rFonts w:cstheme="minorHAnsi"/>
                <w:color w:val="000000"/>
                <w:sz w:val="18"/>
                <w:szCs w:val="18"/>
              </w:rPr>
              <w:t>%</w:t>
            </w:r>
          </w:p>
        </w:tc>
        <w:tc>
          <w:tcPr>
            <w:tcW w:w="2160" w:type="dxa"/>
            <w:noWrap/>
            <w:vAlign w:val="bottom"/>
            <w:hideMark/>
          </w:tcPr>
          <w:p w14:paraId="7EF0ED14"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7BC419F7" w14:textId="77777777" w:rsidR="002470DA" w:rsidRPr="00F3563B" w:rsidRDefault="002470DA" w:rsidP="00A22FF2">
            <w:pPr>
              <w:jc w:val="center"/>
              <w:rPr>
                <w:rFonts w:cstheme="minorHAnsi"/>
                <w:color w:val="000000"/>
                <w:sz w:val="18"/>
                <w:szCs w:val="18"/>
              </w:rPr>
            </w:pPr>
            <w:r w:rsidRPr="00F3563B">
              <w:rPr>
                <w:rFonts w:cstheme="minorHAnsi"/>
                <w:color w:val="000000"/>
                <w:sz w:val="18"/>
                <w:szCs w:val="18"/>
              </w:rPr>
              <w:t>Chum</w:t>
            </w:r>
          </w:p>
        </w:tc>
        <w:tc>
          <w:tcPr>
            <w:tcW w:w="2921" w:type="dxa"/>
            <w:noWrap/>
            <w:vAlign w:val="bottom"/>
            <w:hideMark/>
          </w:tcPr>
          <w:p w14:paraId="2D2502C1" w14:textId="77777777" w:rsidR="002470DA" w:rsidRPr="00516EEA" w:rsidRDefault="002470DA" w:rsidP="00A22FF2">
            <w:pPr>
              <w:rPr>
                <w:rFonts w:cstheme="minorHAnsi"/>
                <w:color w:val="000000"/>
                <w:sz w:val="18"/>
                <w:szCs w:val="18"/>
              </w:rPr>
            </w:pPr>
            <w:r>
              <w:rPr>
                <w:rFonts w:cstheme="minorHAnsi"/>
                <w:color w:val="000000"/>
                <w:sz w:val="18"/>
                <w:szCs w:val="18"/>
              </w:rPr>
              <w:t>Foothill around near S</w:t>
            </w:r>
            <w:r w:rsidRPr="00516EEA">
              <w:rPr>
                <w:rFonts w:cstheme="minorHAnsi"/>
                <w:color w:val="000000"/>
                <w:sz w:val="18"/>
                <w:szCs w:val="18"/>
              </w:rPr>
              <w:t>inda dam</w:t>
            </w:r>
          </w:p>
        </w:tc>
      </w:tr>
      <w:tr w:rsidR="002470DA" w:rsidRPr="00516EEA" w14:paraId="72EB2F55" w14:textId="77777777" w:rsidTr="00EB0F65">
        <w:trPr>
          <w:trHeight w:val="330"/>
        </w:trPr>
        <w:tc>
          <w:tcPr>
            <w:tcW w:w="677" w:type="dxa"/>
            <w:noWrap/>
            <w:vAlign w:val="bottom"/>
            <w:hideMark/>
          </w:tcPr>
          <w:p w14:paraId="6F4703C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9</w:t>
            </w:r>
          </w:p>
        </w:tc>
        <w:tc>
          <w:tcPr>
            <w:tcW w:w="1137" w:type="dxa"/>
            <w:noWrap/>
            <w:vAlign w:val="bottom"/>
            <w:hideMark/>
          </w:tcPr>
          <w:p w14:paraId="12681E4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MDK0901</w:t>
            </w:r>
          </w:p>
        </w:tc>
        <w:tc>
          <w:tcPr>
            <w:tcW w:w="2678" w:type="dxa"/>
            <w:noWrap/>
            <w:vAlign w:val="bottom"/>
            <w:hideMark/>
          </w:tcPr>
          <w:p w14:paraId="3F5EDD9E"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Leimatak</w:t>
            </w:r>
            <w:proofErr w:type="spellEnd"/>
            <w:r w:rsidRPr="00516EEA">
              <w:rPr>
                <w:rFonts w:cstheme="minorHAnsi"/>
                <w:color w:val="000000"/>
                <w:sz w:val="18"/>
                <w:szCs w:val="18"/>
              </w:rPr>
              <w:t xml:space="preserve"> Silen Bazaar</w:t>
            </w:r>
            <w:r>
              <w:rPr>
                <w:rFonts w:cstheme="minorHAnsi"/>
                <w:color w:val="000000"/>
                <w:sz w:val="18"/>
                <w:szCs w:val="18"/>
              </w:rPr>
              <w:t>, CCP dist.</w:t>
            </w:r>
          </w:p>
        </w:tc>
        <w:tc>
          <w:tcPr>
            <w:tcW w:w="1414" w:type="dxa"/>
            <w:noWrap/>
            <w:vAlign w:val="center"/>
            <w:hideMark/>
          </w:tcPr>
          <w:p w14:paraId="3568BCFB"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51’38.99”</w:t>
            </w:r>
          </w:p>
        </w:tc>
        <w:tc>
          <w:tcPr>
            <w:tcW w:w="1454" w:type="dxa"/>
            <w:noWrap/>
            <w:vAlign w:val="center"/>
            <w:hideMark/>
          </w:tcPr>
          <w:p w14:paraId="0E26C712"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48’23.70”</w:t>
            </w:r>
          </w:p>
        </w:tc>
        <w:tc>
          <w:tcPr>
            <w:tcW w:w="1017" w:type="dxa"/>
            <w:noWrap/>
            <w:vAlign w:val="bottom"/>
            <w:hideMark/>
          </w:tcPr>
          <w:p w14:paraId="00AFC7D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453</w:t>
            </w:r>
          </w:p>
        </w:tc>
        <w:tc>
          <w:tcPr>
            <w:tcW w:w="1307" w:type="dxa"/>
            <w:shd w:val="clear" w:color="000000" w:fill="FFFFFF"/>
            <w:noWrap/>
            <w:vAlign w:val="bottom"/>
            <w:hideMark/>
          </w:tcPr>
          <w:p w14:paraId="729370A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26</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99</w:t>
            </w:r>
            <w:r>
              <w:rPr>
                <w:rFonts w:cstheme="minorHAnsi"/>
                <w:color w:val="000000"/>
                <w:sz w:val="18"/>
                <w:szCs w:val="18"/>
              </w:rPr>
              <w:t>%</w:t>
            </w:r>
          </w:p>
        </w:tc>
        <w:tc>
          <w:tcPr>
            <w:tcW w:w="2160" w:type="dxa"/>
            <w:noWrap/>
            <w:vAlign w:val="bottom"/>
            <w:hideMark/>
          </w:tcPr>
          <w:p w14:paraId="1D56A5AC"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201E6A10"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Diadep</w:t>
            </w:r>
            <w:proofErr w:type="spellEnd"/>
          </w:p>
        </w:tc>
        <w:tc>
          <w:tcPr>
            <w:tcW w:w="2921" w:type="dxa"/>
            <w:noWrap/>
            <w:vAlign w:val="bottom"/>
            <w:hideMark/>
          </w:tcPr>
          <w:p w14:paraId="49D7B297"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Small market near NHPC power house </w:t>
            </w:r>
          </w:p>
        </w:tc>
      </w:tr>
      <w:tr w:rsidR="002470DA" w:rsidRPr="00516EEA" w14:paraId="4F8FD221" w14:textId="77777777" w:rsidTr="00EB0F65">
        <w:trPr>
          <w:trHeight w:val="330"/>
        </w:trPr>
        <w:tc>
          <w:tcPr>
            <w:tcW w:w="677" w:type="dxa"/>
            <w:noWrap/>
            <w:vAlign w:val="bottom"/>
            <w:hideMark/>
          </w:tcPr>
          <w:p w14:paraId="4383BFF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10</w:t>
            </w:r>
          </w:p>
        </w:tc>
        <w:tc>
          <w:tcPr>
            <w:tcW w:w="1137" w:type="dxa"/>
            <w:noWrap/>
            <w:vAlign w:val="bottom"/>
            <w:hideMark/>
          </w:tcPr>
          <w:p w14:paraId="3068831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MDK1001</w:t>
            </w:r>
          </w:p>
        </w:tc>
        <w:tc>
          <w:tcPr>
            <w:tcW w:w="2678" w:type="dxa"/>
            <w:noWrap/>
            <w:vAlign w:val="bottom"/>
            <w:hideMark/>
          </w:tcPr>
          <w:p w14:paraId="347A7FDF" w14:textId="77777777" w:rsidR="002470DA" w:rsidRPr="00516EEA" w:rsidRDefault="002470DA" w:rsidP="00A22FF2">
            <w:pPr>
              <w:rPr>
                <w:rFonts w:cstheme="minorHAnsi"/>
                <w:color w:val="000000"/>
                <w:sz w:val="18"/>
                <w:szCs w:val="18"/>
              </w:rPr>
            </w:pPr>
            <w:r w:rsidRPr="00516EEA">
              <w:rPr>
                <w:rFonts w:cstheme="minorHAnsi"/>
                <w:color w:val="000000"/>
                <w:sz w:val="18"/>
                <w:szCs w:val="18"/>
              </w:rPr>
              <w:t>Tadubi, Senapati</w:t>
            </w:r>
            <w:r>
              <w:rPr>
                <w:rFonts w:cstheme="minorHAnsi"/>
                <w:color w:val="000000"/>
                <w:sz w:val="18"/>
                <w:szCs w:val="18"/>
              </w:rPr>
              <w:t xml:space="preserve"> dist.</w:t>
            </w:r>
          </w:p>
        </w:tc>
        <w:tc>
          <w:tcPr>
            <w:tcW w:w="1414" w:type="dxa"/>
            <w:noWrap/>
            <w:vAlign w:val="center"/>
            <w:hideMark/>
          </w:tcPr>
          <w:p w14:paraId="5A88586A"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35’25.21”</w:t>
            </w:r>
          </w:p>
        </w:tc>
        <w:tc>
          <w:tcPr>
            <w:tcW w:w="1454" w:type="dxa"/>
            <w:noWrap/>
            <w:vAlign w:val="center"/>
            <w:hideMark/>
          </w:tcPr>
          <w:p w14:paraId="3BB4C282"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40’07.50”</w:t>
            </w:r>
          </w:p>
        </w:tc>
        <w:tc>
          <w:tcPr>
            <w:tcW w:w="1017" w:type="dxa"/>
            <w:noWrap/>
            <w:vAlign w:val="bottom"/>
            <w:hideMark/>
          </w:tcPr>
          <w:p w14:paraId="2096D39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1504</w:t>
            </w:r>
          </w:p>
        </w:tc>
        <w:tc>
          <w:tcPr>
            <w:tcW w:w="1307" w:type="dxa"/>
            <w:noWrap/>
            <w:vAlign w:val="bottom"/>
            <w:hideMark/>
          </w:tcPr>
          <w:p w14:paraId="553F091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22</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85</w:t>
            </w:r>
            <w:r>
              <w:rPr>
                <w:rFonts w:cstheme="minorHAnsi"/>
                <w:color w:val="000000"/>
                <w:sz w:val="18"/>
                <w:szCs w:val="18"/>
              </w:rPr>
              <w:t>%</w:t>
            </w:r>
          </w:p>
        </w:tc>
        <w:tc>
          <w:tcPr>
            <w:tcW w:w="2160" w:type="dxa"/>
            <w:noWrap/>
            <w:vAlign w:val="bottom"/>
            <w:hideMark/>
          </w:tcPr>
          <w:p w14:paraId="6E4C7FA9"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07CA5B1A"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Shikri</w:t>
            </w:r>
            <w:proofErr w:type="spellEnd"/>
          </w:p>
        </w:tc>
        <w:tc>
          <w:tcPr>
            <w:tcW w:w="2921" w:type="dxa"/>
            <w:noWrap/>
            <w:vAlign w:val="bottom"/>
            <w:hideMark/>
          </w:tcPr>
          <w:p w14:paraId="7915ACB7" w14:textId="77777777" w:rsidR="002470DA" w:rsidRPr="00516EEA" w:rsidRDefault="002470DA" w:rsidP="00A22FF2">
            <w:pPr>
              <w:rPr>
                <w:rFonts w:cstheme="minorHAnsi"/>
                <w:color w:val="000000"/>
                <w:sz w:val="18"/>
                <w:szCs w:val="18"/>
              </w:rPr>
            </w:pPr>
            <w:r>
              <w:rPr>
                <w:rFonts w:cstheme="minorHAnsi"/>
                <w:color w:val="000000"/>
                <w:sz w:val="18"/>
                <w:szCs w:val="18"/>
              </w:rPr>
              <w:t>A</w:t>
            </w:r>
            <w:r w:rsidRPr="00516EEA">
              <w:rPr>
                <w:rFonts w:cstheme="minorHAnsi"/>
                <w:color w:val="000000"/>
                <w:sz w:val="18"/>
                <w:szCs w:val="18"/>
              </w:rPr>
              <w:t>bandon</w:t>
            </w:r>
            <w:r>
              <w:rPr>
                <w:rFonts w:cstheme="minorHAnsi"/>
                <w:color w:val="000000"/>
                <w:sz w:val="18"/>
                <w:szCs w:val="18"/>
              </w:rPr>
              <w:t>ed</w:t>
            </w:r>
            <w:r w:rsidRPr="00516EEA">
              <w:rPr>
                <w:rFonts w:cstheme="minorHAnsi"/>
                <w:color w:val="000000"/>
                <w:sz w:val="18"/>
                <w:szCs w:val="18"/>
              </w:rPr>
              <w:t xml:space="preserve"> </w:t>
            </w:r>
            <w:r>
              <w:rPr>
                <w:rFonts w:cstheme="minorHAnsi"/>
                <w:color w:val="000000"/>
                <w:sz w:val="18"/>
                <w:szCs w:val="18"/>
              </w:rPr>
              <w:t xml:space="preserve">government </w:t>
            </w:r>
            <w:r w:rsidRPr="00516EEA">
              <w:rPr>
                <w:rFonts w:cstheme="minorHAnsi"/>
                <w:color w:val="000000"/>
                <w:sz w:val="18"/>
                <w:szCs w:val="18"/>
              </w:rPr>
              <w:t>quarter</w:t>
            </w:r>
          </w:p>
        </w:tc>
      </w:tr>
      <w:tr w:rsidR="002470DA" w:rsidRPr="00516EEA" w14:paraId="5092574F" w14:textId="77777777" w:rsidTr="00EB0F65">
        <w:trPr>
          <w:trHeight w:val="330"/>
        </w:trPr>
        <w:tc>
          <w:tcPr>
            <w:tcW w:w="677" w:type="dxa"/>
            <w:noWrap/>
            <w:vAlign w:val="bottom"/>
            <w:hideMark/>
          </w:tcPr>
          <w:p w14:paraId="5B7D1A5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11</w:t>
            </w:r>
          </w:p>
        </w:tc>
        <w:tc>
          <w:tcPr>
            <w:tcW w:w="1137" w:type="dxa"/>
            <w:noWrap/>
            <w:vAlign w:val="bottom"/>
            <w:hideMark/>
          </w:tcPr>
          <w:p w14:paraId="6967AFE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MDK1005</w:t>
            </w:r>
          </w:p>
        </w:tc>
        <w:tc>
          <w:tcPr>
            <w:tcW w:w="2678" w:type="dxa"/>
            <w:noWrap/>
            <w:vAlign w:val="bottom"/>
            <w:hideMark/>
          </w:tcPr>
          <w:p w14:paraId="49D505C4"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Karong</w:t>
            </w:r>
            <w:proofErr w:type="spellEnd"/>
            <w:r w:rsidRPr="00516EEA">
              <w:rPr>
                <w:rFonts w:cstheme="minorHAnsi"/>
                <w:color w:val="000000"/>
                <w:sz w:val="18"/>
                <w:szCs w:val="18"/>
              </w:rPr>
              <w:t>, Senapati</w:t>
            </w:r>
            <w:r>
              <w:rPr>
                <w:rFonts w:cstheme="minorHAnsi"/>
                <w:color w:val="000000"/>
                <w:sz w:val="18"/>
                <w:szCs w:val="18"/>
              </w:rPr>
              <w:t xml:space="preserve"> dist.</w:t>
            </w:r>
          </w:p>
        </w:tc>
        <w:tc>
          <w:tcPr>
            <w:tcW w:w="1414" w:type="dxa"/>
            <w:noWrap/>
            <w:vAlign w:val="center"/>
            <w:hideMark/>
          </w:tcPr>
          <w:p w14:paraId="0C4B14E9"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35’25.23”</w:t>
            </w:r>
          </w:p>
        </w:tc>
        <w:tc>
          <w:tcPr>
            <w:tcW w:w="1454" w:type="dxa"/>
            <w:noWrap/>
            <w:vAlign w:val="center"/>
            <w:hideMark/>
          </w:tcPr>
          <w:p w14:paraId="376DE6EB"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40’07.52”</w:t>
            </w:r>
          </w:p>
        </w:tc>
        <w:tc>
          <w:tcPr>
            <w:tcW w:w="1017" w:type="dxa"/>
            <w:shd w:val="clear" w:color="000000" w:fill="FFFFFF"/>
            <w:noWrap/>
            <w:vAlign w:val="bottom"/>
            <w:hideMark/>
          </w:tcPr>
          <w:p w14:paraId="0E4088A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1504</w:t>
            </w:r>
          </w:p>
        </w:tc>
        <w:tc>
          <w:tcPr>
            <w:tcW w:w="1307" w:type="dxa"/>
            <w:noWrap/>
            <w:vAlign w:val="bottom"/>
            <w:hideMark/>
          </w:tcPr>
          <w:p w14:paraId="5CC7733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20</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85</w:t>
            </w:r>
            <w:r>
              <w:rPr>
                <w:rFonts w:cstheme="minorHAnsi"/>
                <w:color w:val="000000"/>
                <w:sz w:val="18"/>
                <w:szCs w:val="18"/>
              </w:rPr>
              <w:t>%</w:t>
            </w:r>
          </w:p>
        </w:tc>
        <w:tc>
          <w:tcPr>
            <w:tcW w:w="2160" w:type="dxa"/>
            <w:noWrap/>
            <w:vAlign w:val="bottom"/>
            <w:hideMark/>
          </w:tcPr>
          <w:p w14:paraId="6A9BEB2E"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w:t>
            </w:r>
          </w:p>
          <w:p w14:paraId="7A9A3A9E"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Diadep</w:t>
            </w:r>
            <w:proofErr w:type="spellEnd"/>
          </w:p>
        </w:tc>
        <w:tc>
          <w:tcPr>
            <w:tcW w:w="2921" w:type="dxa"/>
            <w:noWrap/>
            <w:vAlign w:val="bottom"/>
            <w:hideMark/>
          </w:tcPr>
          <w:p w14:paraId="09C7C9B8" w14:textId="77777777" w:rsidR="002470DA" w:rsidRPr="00516EEA" w:rsidRDefault="002470DA" w:rsidP="00A22FF2">
            <w:pPr>
              <w:rPr>
                <w:rFonts w:cstheme="minorHAnsi"/>
                <w:color w:val="000000"/>
                <w:sz w:val="18"/>
                <w:szCs w:val="18"/>
              </w:rPr>
            </w:pPr>
            <w:r w:rsidRPr="00516EEA">
              <w:rPr>
                <w:rFonts w:cstheme="minorHAnsi"/>
                <w:color w:val="000000"/>
                <w:sz w:val="18"/>
                <w:szCs w:val="18"/>
              </w:rPr>
              <w:t>Govt. Office near</w:t>
            </w:r>
            <w:r>
              <w:rPr>
                <w:rFonts w:cstheme="minorHAnsi"/>
                <w:color w:val="000000"/>
                <w:sz w:val="18"/>
                <w:szCs w:val="18"/>
              </w:rPr>
              <w:t xml:space="preserve"> </w:t>
            </w:r>
            <w:r w:rsidRPr="00516EEA">
              <w:rPr>
                <w:rFonts w:cstheme="minorHAnsi"/>
                <w:color w:val="000000"/>
                <w:sz w:val="18"/>
                <w:szCs w:val="18"/>
              </w:rPr>
              <w:t>market</w:t>
            </w:r>
          </w:p>
        </w:tc>
      </w:tr>
      <w:tr w:rsidR="002470DA" w:rsidRPr="00516EEA" w14:paraId="71007EF6" w14:textId="77777777" w:rsidTr="00EB0F65">
        <w:trPr>
          <w:trHeight w:val="330"/>
        </w:trPr>
        <w:tc>
          <w:tcPr>
            <w:tcW w:w="677" w:type="dxa"/>
            <w:noWrap/>
            <w:vAlign w:val="bottom"/>
            <w:hideMark/>
          </w:tcPr>
          <w:p w14:paraId="192C45C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12</w:t>
            </w:r>
          </w:p>
        </w:tc>
        <w:tc>
          <w:tcPr>
            <w:tcW w:w="1137" w:type="dxa"/>
            <w:noWrap/>
            <w:vAlign w:val="bottom"/>
            <w:hideMark/>
          </w:tcPr>
          <w:p w14:paraId="527D68C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MDK1101</w:t>
            </w:r>
          </w:p>
        </w:tc>
        <w:tc>
          <w:tcPr>
            <w:tcW w:w="2678" w:type="dxa"/>
            <w:noWrap/>
            <w:vAlign w:val="bottom"/>
            <w:hideMark/>
          </w:tcPr>
          <w:p w14:paraId="3028E4A5" w14:textId="77777777" w:rsidR="002470DA" w:rsidRPr="00516EEA" w:rsidRDefault="002470DA" w:rsidP="00A22FF2">
            <w:pPr>
              <w:rPr>
                <w:rFonts w:cstheme="minorHAnsi"/>
                <w:color w:val="000000"/>
                <w:sz w:val="18"/>
                <w:szCs w:val="18"/>
              </w:rPr>
            </w:pPr>
            <w:r>
              <w:rPr>
                <w:rFonts w:cstheme="minorHAnsi"/>
                <w:color w:val="000000"/>
                <w:sz w:val="18"/>
                <w:szCs w:val="18"/>
              </w:rPr>
              <w:t xml:space="preserve">T. </w:t>
            </w:r>
            <w:r w:rsidRPr="00516EEA">
              <w:rPr>
                <w:rFonts w:cstheme="minorHAnsi"/>
                <w:color w:val="000000"/>
                <w:sz w:val="18"/>
                <w:szCs w:val="18"/>
              </w:rPr>
              <w:t xml:space="preserve">Kullen, </w:t>
            </w:r>
            <w:proofErr w:type="spellStart"/>
            <w:r w:rsidRPr="00516EEA">
              <w:rPr>
                <w:rFonts w:cstheme="minorHAnsi"/>
                <w:color w:val="000000"/>
                <w:sz w:val="18"/>
                <w:szCs w:val="18"/>
              </w:rPr>
              <w:t>Kangpokpi</w:t>
            </w:r>
            <w:proofErr w:type="spellEnd"/>
            <w:r>
              <w:rPr>
                <w:rFonts w:cstheme="minorHAnsi"/>
                <w:color w:val="000000"/>
                <w:sz w:val="18"/>
                <w:szCs w:val="18"/>
              </w:rPr>
              <w:t xml:space="preserve"> dist.</w:t>
            </w:r>
          </w:p>
        </w:tc>
        <w:tc>
          <w:tcPr>
            <w:tcW w:w="1414" w:type="dxa"/>
            <w:noWrap/>
            <w:vAlign w:val="center"/>
            <w:hideMark/>
          </w:tcPr>
          <w:p w14:paraId="2BD865AF"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N25</w:t>
            </w:r>
            <w:r w:rsidRPr="00516EEA">
              <w:rPr>
                <w:rFonts w:cstheme="minorHAnsi"/>
                <w:color w:val="000000"/>
                <w:sz w:val="18"/>
                <w:szCs w:val="18"/>
                <w:vertAlign w:val="superscript"/>
              </w:rPr>
              <w:t>o</w:t>
            </w:r>
            <w:r w:rsidRPr="00516EEA">
              <w:rPr>
                <w:rFonts w:cstheme="minorHAnsi"/>
                <w:color w:val="000000"/>
                <w:sz w:val="18"/>
                <w:szCs w:val="18"/>
              </w:rPr>
              <w:t>09’16.21”</w:t>
            </w:r>
          </w:p>
        </w:tc>
        <w:tc>
          <w:tcPr>
            <w:tcW w:w="1454" w:type="dxa"/>
            <w:noWrap/>
            <w:vAlign w:val="center"/>
            <w:hideMark/>
          </w:tcPr>
          <w:p w14:paraId="27C1B8F3"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58’25.91”</w:t>
            </w:r>
          </w:p>
        </w:tc>
        <w:tc>
          <w:tcPr>
            <w:tcW w:w="1017" w:type="dxa"/>
            <w:noWrap/>
            <w:vAlign w:val="bottom"/>
            <w:hideMark/>
          </w:tcPr>
          <w:p w14:paraId="4DE11BF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1062</w:t>
            </w:r>
          </w:p>
        </w:tc>
        <w:tc>
          <w:tcPr>
            <w:tcW w:w="1307" w:type="dxa"/>
            <w:noWrap/>
            <w:vAlign w:val="bottom"/>
            <w:hideMark/>
          </w:tcPr>
          <w:p w14:paraId="4FFABCD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20</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86</w:t>
            </w:r>
            <w:r>
              <w:rPr>
                <w:rFonts w:cstheme="minorHAnsi"/>
                <w:color w:val="000000"/>
                <w:sz w:val="18"/>
                <w:szCs w:val="18"/>
              </w:rPr>
              <w:t>%</w:t>
            </w:r>
          </w:p>
        </w:tc>
        <w:tc>
          <w:tcPr>
            <w:tcW w:w="2160" w:type="dxa"/>
            <w:noWrap/>
            <w:vAlign w:val="bottom"/>
            <w:hideMark/>
          </w:tcPr>
          <w:p w14:paraId="612AF2A5" w14:textId="77777777" w:rsidR="002470DA" w:rsidRPr="00EB0F65" w:rsidRDefault="002470DA" w:rsidP="00A22FF2">
            <w:pPr>
              <w:jc w:val="center"/>
              <w:rPr>
                <w:rFonts w:cstheme="minorHAnsi"/>
                <w:i/>
                <w:color w:val="000000"/>
                <w:sz w:val="18"/>
                <w:szCs w:val="18"/>
              </w:rPr>
            </w:pPr>
            <w:proofErr w:type="spellStart"/>
            <w:proofErr w:type="gramStart"/>
            <w:r w:rsidRPr="00EB0F65">
              <w:rPr>
                <w:rFonts w:cstheme="minorHAnsi"/>
                <w:i/>
                <w:color w:val="000000"/>
                <w:sz w:val="18"/>
                <w:szCs w:val="18"/>
              </w:rPr>
              <w:t>H.bowringii</w:t>
            </w:r>
            <w:proofErr w:type="spellEnd"/>
            <w:proofErr w:type="gramEnd"/>
            <w:r w:rsidRPr="00EB0F65">
              <w:rPr>
                <w:rFonts w:cstheme="minorHAnsi"/>
                <w:i/>
                <w:color w:val="000000"/>
                <w:sz w:val="18"/>
                <w:szCs w:val="18"/>
              </w:rPr>
              <w:t>,</w:t>
            </w:r>
          </w:p>
          <w:p w14:paraId="47AB97C8" w14:textId="77777777" w:rsidR="002470DA" w:rsidRPr="00EB0F65" w:rsidRDefault="002470DA" w:rsidP="00A22FF2">
            <w:pPr>
              <w:jc w:val="center"/>
              <w:rPr>
                <w:rFonts w:cstheme="minorHAnsi"/>
                <w:color w:val="000000"/>
                <w:sz w:val="18"/>
                <w:szCs w:val="18"/>
              </w:rPr>
            </w:pPr>
            <w:proofErr w:type="spellStart"/>
            <w:r w:rsidRPr="00EB0F65">
              <w:rPr>
                <w:sz w:val="18"/>
                <w:szCs w:val="18"/>
              </w:rPr>
              <w:t>Bhitti</w:t>
            </w:r>
            <w:proofErr w:type="spellEnd"/>
          </w:p>
        </w:tc>
        <w:tc>
          <w:tcPr>
            <w:tcW w:w="2921" w:type="dxa"/>
            <w:noWrap/>
            <w:vAlign w:val="bottom"/>
            <w:hideMark/>
          </w:tcPr>
          <w:p w14:paraId="1CEAA674" w14:textId="77777777" w:rsidR="002470DA" w:rsidRPr="00EB0F65" w:rsidRDefault="002470DA" w:rsidP="00A22FF2">
            <w:pPr>
              <w:rPr>
                <w:rFonts w:cstheme="minorHAnsi"/>
                <w:color w:val="000000"/>
                <w:sz w:val="18"/>
                <w:szCs w:val="18"/>
              </w:rPr>
            </w:pPr>
            <w:r w:rsidRPr="00EB0F65">
              <w:rPr>
                <w:rFonts w:cstheme="minorHAnsi"/>
                <w:color w:val="000000"/>
                <w:sz w:val="18"/>
                <w:szCs w:val="18"/>
              </w:rPr>
              <w:t xml:space="preserve">Mud wall near National highway-2 </w:t>
            </w:r>
          </w:p>
        </w:tc>
      </w:tr>
      <w:tr w:rsidR="002470DA" w:rsidRPr="00516EEA" w14:paraId="403FF020" w14:textId="77777777" w:rsidTr="00EB0F65">
        <w:trPr>
          <w:trHeight w:val="330"/>
        </w:trPr>
        <w:tc>
          <w:tcPr>
            <w:tcW w:w="677" w:type="dxa"/>
            <w:noWrap/>
            <w:vAlign w:val="bottom"/>
            <w:hideMark/>
          </w:tcPr>
          <w:p w14:paraId="3B13A6D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lastRenderedPageBreak/>
              <w:t>13</w:t>
            </w:r>
          </w:p>
        </w:tc>
        <w:tc>
          <w:tcPr>
            <w:tcW w:w="1137" w:type="dxa"/>
            <w:noWrap/>
            <w:vAlign w:val="bottom"/>
            <w:hideMark/>
          </w:tcPr>
          <w:p w14:paraId="7BF56418"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MDK1201</w:t>
            </w:r>
          </w:p>
        </w:tc>
        <w:tc>
          <w:tcPr>
            <w:tcW w:w="2678" w:type="dxa"/>
            <w:noWrap/>
            <w:vAlign w:val="bottom"/>
            <w:hideMark/>
          </w:tcPr>
          <w:p w14:paraId="100DD792" w14:textId="77777777" w:rsidR="002470DA" w:rsidRPr="00516EEA" w:rsidRDefault="002470DA" w:rsidP="00A22FF2">
            <w:pPr>
              <w:rPr>
                <w:rFonts w:cstheme="minorHAnsi"/>
                <w:color w:val="000000"/>
                <w:sz w:val="18"/>
                <w:szCs w:val="18"/>
              </w:rPr>
            </w:pPr>
            <w:proofErr w:type="spellStart"/>
            <w:r>
              <w:rPr>
                <w:rFonts w:cstheme="minorHAnsi"/>
                <w:color w:val="000000"/>
                <w:sz w:val="18"/>
                <w:szCs w:val="18"/>
              </w:rPr>
              <w:t>Ramrei</w:t>
            </w:r>
            <w:proofErr w:type="spellEnd"/>
            <w:r>
              <w:rPr>
                <w:rFonts w:cstheme="minorHAnsi"/>
                <w:color w:val="000000"/>
                <w:sz w:val="18"/>
                <w:szCs w:val="18"/>
              </w:rPr>
              <w:t xml:space="preserve"> Village, </w:t>
            </w:r>
            <w:proofErr w:type="spellStart"/>
            <w:r>
              <w:rPr>
                <w:rFonts w:cstheme="minorHAnsi"/>
                <w:color w:val="000000"/>
                <w:sz w:val="18"/>
                <w:szCs w:val="18"/>
              </w:rPr>
              <w:t>Kamjong</w:t>
            </w:r>
            <w:proofErr w:type="spellEnd"/>
            <w:r>
              <w:rPr>
                <w:rFonts w:cstheme="minorHAnsi"/>
                <w:color w:val="000000"/>
                <w:sz w:val="18"/>
                <w:szCs w:val="18"/>
              </w:rPr>
              <w:t xml:space="preserve"> dist.</w:t>
            </w:r>
          </w:p>
        </w:tc>
        <w:tc>
          <w:tcPr>
            <w:tcW w:w="1414" w:type="dxa"/>
            <w:noWrap/>
            <w:vAlign w:val="center"/>
            <w:hideMark/>
          </w:tcPr>
          <w:p w14:paraId="7E13B069"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52’45.53”</w:t>
            </w:r>
          </w:p>
        </w:tc>
        <w:tc>
          <w:tcPr>
            <w:tcW w:w="1454" w:type="dxa"/>
            <w:noWrap/>
            <w:vAlign w:val="center"/>
            <w:hideMark/>
          </w:tcPr>
          <w:p w14:paraId="5463AB12"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E094</w:t>
            </w:r>
            <w:r w:rsidRPr="00516EEA">
              <w:rPr>
                <w:rFonts w:cstheme="minorHAnsi"/>
                <w:color w:val="000000"/>
                <w:sz w:val="18"/>
                <w:szCs w:val="18"/>
                <w:vertAlign w:val="superscript"/>
              </w:rPr>
              <w:t>o</w:t>
            </w:r>
            <w:r w:rsidRPr="00516EEA">
              <w:rPr>
                <w:rFonts w:cstheme="minorHAnsi"/>
                <w:color w:val="000000"/>
                <w:sz w:val="18"/>
                <w:szCs w:val="18"/>
              </w:rPr>
              <w:t>08’00.87”</w:t>
            </w:r>
          </w:p>
        </w:tc>
        <w:tc>
          <w:tcPr>
            <w:tcW w:w="1017" w:type="dxa"/>
            <w:noWrap/>
            <w:vAlign w:val="bottom"/>
            <w:hideMark/>
          </w:tcPr>
          <w:p w14:paraId="0EA6C65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960</w:t>
            </w:r>
          </w:p>
        </w:tc>
        <w:tc>
          <w:tcPr>
            <w:tcW w:w="1307" w:type="dxa"/>
            <w:noWrap/>
            <w:vAlign w:val="bottom"/>
            <w:hideMark/>
          </w:tcPr>
          <w:p w14:paraId="2F144B5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32</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90</w:t>
            </w:r>
            <w:r>
              <w:rPr>
                <w:rFonts w:cstheme="minorHAnsi"/>
                <w:color w:val="000000"/>
                <w:sz w:val="18"/>
                <w:szCs w:val="18"/>
              </w:rPr>
              <w:t>%</w:t>
            </w:r>
          </w:p>
        </w:tc>
        <w:tc>
          <w:tcPr>
            <w:tcW w:w="2160" w:type="dxa"/>
            <w:noWrap/>
            <w:vAlign w:val="bottom"/>
            <w:hideMark/>
          </w:tcPr>
          <w:p w14:paraId="389BA1AC"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4596257E"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Kangjabi</w:t>
            </w:r>
            <w:proofErr w:type="spellEnd"/>
          </w:p>
        </w:tc>
        <w:tc>
          <w:tcPr>
            <w:tcW w:w="2921" w:type="dxa"/>
            <w:noWrap/>
            <w:vAlign w:val="bottom"/>
            <w:hideMark/>
          </w:tcPr>
          <w:p w14:paraId="2C291CBB" w14:textId="77777777" w:rsidR="002470DA" w:rsidRPr="00516EEA" w:rsidRDefault="002470DA" w:rsidP="00A22FF2">
            <w:pPr>
              <w:rPr>
                <w:rFonts w:cstheme="minorHAnsi"/>
                <w:color w:val="000000"/>
                <w:sz w:val="18"/>
                <w:szCs w:val="18"/>
              </w:rPr>
            </w:pPr>
            <w:r>
              <w:rPr>
                <w:rFonts w:cstheme="minorHAnsi"/>
                <w:color w:val="000000"/>
                <w:sz w:val="18"/>
                <w:szCs w:val="18"/>
              </w:rPr>
              <w:t xml:space="preserve">Mud </w:t>
            </w:r>
            <w:r w:rsidRPr="00516EEA">
              <w:rPr>
                <w:rFonts w:cstheme="minorHAnsi"/>
                <w:color w:val="000000"/>
                <w:sz w:val="18"/>
                <w:szCs w:val="18"/>
              </w:rPr>
              <w:t>houses</w:t>
            </w:r>
          </w:p>
        </w:tc>
      </w:tr>
      <w:tr w:rsidR="002470DA" w:rsidRPr="00516EEA" w14:paraId="4479B319" w14:textId="77777777" w:rsidTr="00EB0F65">
        <w:trPr>
          <w:trHeight w:val="330"/>
        </w:trPr>
        <w:tc>
          <w:tcPr>
            <w:tcW w:w="677" w:type="dxa"/>
            <w:noWrap/>
            <w:vAlign w:val="bottom"/>
            <w:hideMark/>
          </w:tcPr>
          <w:p w14:paraId="6FEBCC5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14</w:t>
            </w:r>
          </w:p>
        </w:tc>
        <w:tc>
          <w:tcPr>
            <w:tcW w:w="1137" w:type="dxa"/>
            <w:noWrap/>
            <w:vAlign w:val="bottom"/>
            <w:hideMark/>
          </w:tcPr>
          <w:p w14:paraId="440A57A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MDK1201A</w:t>
            </w:r>
          </w:p>
        </w:tc>
        <w:tc>
          <w:tcPr>
            <w:tcW w:w="2678" w:type="dxa"/>
            <w:noWrap/>
            <w:vAlign w:val="bottom"/>
            <w:hideMark/>
          </w:tcPr>
          <w:p w14:paraId="5BD28BA5"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Pureitang</w:t>
            </w:r>
            <w:proofErr w:type="spellEnd"/>
            <w:r w:rsidRPr="00516EEA">
              <w:rPr>
                <w:rFonts w:cstheme="minorHAnsi"/>
                <w:color w:val="000000"/>
                <w:sz w:val="18"/>
                <w:szCs w:val="18"/>
              </w:rPr>
              <w:t xml:space="preserve">, Tongou, </w:t>
            </w:r>
            <w:proofErr w:type="spellStart"/>
            <w:r w:rsidRPr="00516EEA">
              <w:rPr>
                <w:rFonts w:cstheme="minorHAnsi"/>
                <w:color w:val="000000"/>
                <w:sz w:val="18"/>
                <w:szCs w:val="18"/>
              </w:rPr>
              <w:t>Ukhrul</w:t>
            </w:r>
            <w:proofErr w:type="spellEnd"/>
            <w:r w:rsidRPr="00516EEA">
              <w:rPr>
                <w:rFonts w:cstheme="minorHAnsi"/>
                <w:color w:val="000000"/>
                <w:sz w:val="18"/>
                <w:szCs w:val="18"/>
              </w:rPr>
              <w:t xml:space="preserve"> dist</w:t>
            </w:r>
            <w:r>
              <w:rPr>
                <w:rFonts w:cstheme="minorHAnsi"/>
                <w:color w:val="000000"/>
                <w:sz w:val="18"/>
                <w:szCs w:val="18"/>
              </w:rPr>
              <w:t>.</w:t>
            </w:r>
          </w:p>
        </w:tc>
        <w:tc>
          <w:tcPr>
            <w:tcW w:w="1414" w:type="dxa"/>
            <w:noWrap/>
            <w:vAlign w:val="center"/>
            <w:hideMark/>
          </w:tcPr>
          <w:p w14:paraId="37442630"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N25</w:t>
            </w:r>
            <w:r w:rsidRPr="00516EEA">
              <w:rPr>
                <w:rFonts w:cstheme="minorHAnsi"/>
                <w:color w:val="000000"/>
                <w:sz w:val="18"/>
                <w:szCs w:val="18"/>
                <w:vertAlign w:val="superscript"/>
              </w:rPr>
              <w:t>o</w:t>
            </w:r>
            <w:r w:rsidRPr="00516EEA">
              <w:rPr>
                <w:rFonts w:cstheme="minorHAnsi"/>
                <w:color w:val="000000"/>
                <w:sz w:val="18"/>
                <w:szCs w:val="18"/>
              </w:rPr>
              <w:t>05’52.13”</w:t>
            </w:r>
          </w:p>
        </w:tc>
        <w:tc>
          <w:tcPr>
            <w:tcW w:w="1454" w:type="dxa"/>
            <w:noWrap/>
            <w:vAlign w:val="center"/>
            <w:hideMark/>
          </w:tcPr>
          <w:p w14:paraId="4C79D2D5"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E094</w:t>
            </w:r>
            <w:r w:rsidRPr="00516EEA">
              <w:rPr>
                <w:rFonts w:cstheme="minorHAnsi"/>
                <w:color w:val="000000"/>
                <w:sz w:val="18"/>
                <w:szCs w:val="18"/>
                <w:vertAlign w:val="superscript"/>
              </w:rPr>
              <w:t>o</w:t>
            </w:r>
            <w:r w:rsidRPr="00516EEA">
              <w:rPr>
                <w:rFonts w:cstheme="minorHAnsi"/>
                <w:color w:val="000000"/>
                <w:sz w:val="18"/>
                <w:szCs w:val="18"/>
              </w:rPr>
              <w:t>21’41.34”</w:t>
            </w:r>
          </w:p>
        </w:tc>
        <w:tc>
          <w:tcPr>
            <w:tcW w:w="1017" w:type="dxa"/>
            <w:noWrap/>
            <w:vAlign w:val="bottom"/>
            <w:hideMark/>
          </w:tcPr>
          <w:p w14:paraId="789A159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1912</w:t>
            </w:r>
          </w:p>
        </w:tc>
        <w:tc>
          <w:tcPr>
            <w:tcW w:w="1307" w:type="dxa"/>
            <w:noWrap/>
            <w:vAlign w:val="bottom"/>
            <w:hideMark/>
          </w:tcPr>
          <w:p w14:paraId="4A3AFE06"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18</w:t>
            </w:r>
            <w:r w:rsidRPr="008415A2">
              <w:rPr>
                <w:rFonts w:cstheme="minorHAnsi"/>
                <w:color w:val="000000"/>
                <w:sz w:val="18"/>
                <w:szCs w:val="18"/>
                <w:vertAlign w:val="superscript"/>
              </w:rPr>
              <w:t>0</w:t>
            </w:r>
            <w:r>
              <w:rPr>
                <w:rFonts w:cstheme="minorHAnsi"/>
                <w:color w:val="000000"/>
                <w:sz w:val="18"/>
                <w:szCs w:val="18"/>
              </w:rPr>
              <w:t>C,</w:t>
            </w:r>
            <w:r w:rsidRPr="00B25FED">
              <w:rPr>
                <w:rFonts w:cstheme="minorHAnsi"/>
                <w:color w:val="000000"/>
                <w:sz w:val="18"/>
                <w:szCs w:val="18"/>
              </w:rPr>
              <w:t xml:space="preserve"> 98</w:t>
            </w:r>
            <w:r>
              <w:rPr>
                <w:rFonts w:cstheme="minorHAnsi"/>
                <w:color w:val="000000"/>
                <w:sz w:val="18"/>
                <w:szCs w:val="18"/>
              </w:rPr>
              <w:t>%</w:t>
            </w:r>
          </w:p>
        </w:tc>
        <w:tc>
          <w:tcPr>
            <w:tcW w:w="2160" w:type="dxa"/>
            <w:noWrap/>
            <w:vAlign w:val="bottom"/>
            <w:hideMark/>
          </w:tcPr>
          <w:p w14:paraId="5430009F"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5094C8CD" w14:textId="77777777" w:rsidR="002470DA" w:rsidRPr="001E3EC0" w:rsidRDefault="002470DA" w:rsidP="00A22FF2">
            <w:pPr>
              <w:jc w:val="center"/>
              <w:rPr>
                <w:rFonts w:cstheme="minorHAnsi"/>
                <w:color w:val="000000"/>
                <w:sz w:val="18"/>
                <w:szCs w:val="18"/>
              </w:rPr>
            </w:pPr>
            <w:proofErr w:type="spellStart"/>
            <w:r w:rsidRPr="001E3EC0">
              <w:rPr>
                <w:rFonts w:cstheme="minorHAnsi"/>
                <w:color w:val="000000"/>
                <w:sz w:val="18"/>
                <w:szCs w:val="18"/>
              </w:rPr>
              <w:t>Chirang</w:t>
            </w:r>
            <w:proofErr w:type="spellEnd"/>
          </w:p>
        </w:tc>
        <w:tc>
          <w:tcPr>
            <w:tcW w:w="2921" w:type="dxa"/>
            <w:shd w:val="clear" w:color="auto" w:fill="FFFFFF" w:themeFill="background1"/>
            <w:noWrap/>
            <w:vAlign w:val="bottom"/>
            <w:hideMark/>
          </w:tcPr>
          <w:p w14:paraId="76E82FAB" w14:textId="77777777" w:rsidR="002470DA" w:rsidRPr="00B25FED" w:rsidRDefault="002470DA" w:rsidP="00A22FF2">
            <w:pPr>
              <w:rPr>
                <w:rFonts w:cstheme="minorHAnsi"/>
                <w:color w:val="000000"/>
                <w:sz w:val="18"/>
                <w:szCs w:val="18"/>
              </w:rPr>
            </w:pPr>
            <w:r>
              <w:rPr>
                <w:rFonts w:cstheme="minorHAnsi"/>
                <w:color w:val="000000"/>
                <w:sz w:val="18"/>
                <w:szCs w:val="18"/>
              </w:rPr>
              <w:t>G</w:t>
            </w:r>
            <w:r w:rsidRPr="00B25FED">
              <w:rPr>
                <w:rFonts w:cstheme="minorHAnsi"/>
                <w:color w:val="000000"/>
                <w:sz w:val="18"/>
                <w:szCs w:val="18"/>
              </w:rPr>
              <w:t>rocery shop</w:t>
            </w:r>
          </w:p>
        </w:tc>
      </w:tr>
      <w:tr w:rsidR="002470DA" w:rsidRPr="00516EEA" w14:paraId="7D490364" w14:textId="77777777" w:rsidTr="00EB0F65">
        <w:trPr>
          <w:trHeight w:val="330"/>
        </w:trPr>
        <w:tc>
          <w:tcPr>
            <w:tcW w:w="677" w:type="dxa"/>
            <w:noWrap/>
            <w:vAlign w:val="bottom"/>
            <w:hideMark/>
          </w:tcPr>
          <w:p w14:paraId="0BD8A93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15</w:t>
            </w:r>
          </w:p>
        </w:tc>
        <w:tc>
          <w:tcPr>
            <w:tcW w:w="1137" w:type="dxa"/>
            <w:noWrap/>
            <w:vAlign w:val="bottom"/>
            <w:hideMark/>
          </w:tcPr>
          <w:p w14:paraId="11E0625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MDK1201B</w:t>
            </w:r>
          </w:p>
        </w:tc>
        <w:tc>
          <w:tcPr>
            <w:tcW w:w="2678" w:type="dxa"/>
            <w:noWrap/>
            <w:vAlign w:val="bottom"/>
            <w:hideMark/>
          </w:tcPr>
          <w:p w14:paraId="682AA39C"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Finch Corner, </w:t>
            </w:r>
            <w:proofErr w:type="spellStart"/>
            <w:r w:rsidRPr="00516EEA">
              <w:rPr>
                <w:rFonts w:cstheme="minorHAnsi"/>
                <w:color w:val="000000"/>
                <w:sz w:val="18"/>
                <w:szCs w:val="18"/>
              </w:rPr>
              <w:t>Ukhrul</w:t>
            </w:r>
            <w:proofErr w:type="spellEnd"/>
            <w:r>
              <w:rPr>
                <w:rFonts w:cstheme="minorHAnsi"/>
                <w:color w:val="000000"/>
                <w:sz w:val="18"/>
                <w:szCs w:val="18"/>
              </w:rPr>
              <w:t xml:space="preserve"> dist.</w:t>
            </w:r>
          </w:p>
        </w:tc>
        <w:tc>
          <w:tcPr>
            <w:tcW w:w="1414" w:type="dxa"/>
            <w:noWrap/>
            <w:vAlign w:val="center"/>
            <w:hideMark/>
          </w:tcPr>
          <w:p w14:paraId="46D3945A"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N25</w:t>
            </w:r>
            <w:r w:rsidRPr="00516EEA">
              <w:rPr>
                <w:rFonts w:cstheme="minorHAnsi"/>
                <w:color w:val="000000"/>
                <w:sz w:val="18"/>
                <w:szCs w:val="18"/>
                <w:vertAlign w:val="superscript"/>
              </w:rPr>
              <w:t>o</w:t>
            </w:r>
            <w:r w:rsidRPr="00516EEA">
              <w:rPr>
                <w:rFonts w:cstheme="minorHAnsi"/>
                <w:color w:val="000000"/>
                <w:sz w:val="18"/>
                <w:szCs w:val="18"/>
              </w:rPr>
              <w:t>00’52.68”</w:t>
            </w:r>
          </w:p>
        </w:tc>
        <w:tc>
          <w:tcPr>
            <w:tcW w:w="1454" w:type="dxa"/>
            <w:noWrap/>
            <w:vAlign w:val="center"/>
            <w:hideMark/>
          </w:tcPr>
          <w:p w14:paraId="3DEF2420"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E094</w:t>
            </w:r>
            <w:r w:rsidRPr="00516EEA">
              <w:rPr>
                <w:rFonts w:cstheme="minorHAnsi"/>
                <w:color w:val="000000"/>
                <w:sz w:val="18"/>
                <w:szCs w:val="18"/>
                <w:vertAlign w:val="superscript"/>
              </w:rPr>
              <w:t>o</w:t>
            </w:r>
            <w:r w:rsidRPr="00516EEA">
              <w:rPr>
                <w:rFonts w:cstheme="minorHAnsi"/>
                <w:color w:val="000000"/>
                <w:sz w:val="18"/>
                <w:szCs w:val="18"/>
              </w:rPr>
              <w:t>18’39.26”</w:t>
            </w:r>
          </w:p>
        </w:tc>
        <w:tc>
          <w:tcPr>
            <w:tcW w:w="1017" w:type="dxa"/>
            <w:noWrap/>
            <w:vAlign w:val="bottom"/>
            <w:hideMark/>
          </w:tcPr>
          <w:p w14:paraId="1A49BAE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1350</w:t>
            </w:r>
          </w:p>
        </w:tc>
        <w:tc>
          <w:tcPr>
            <w:tcW w:w="1307" w:type="dxa"/>
            <w:noWrap/>
            <w:vAlign w:val="bottom"/>
            <w:hideMark/>
          </w:tcPr>
          <w:p w14:paraId="1993797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22</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98</w:t>
            </w:r>
            <w:r>
              <w:rPr>
                <w:rFonts w:cstheme="minorHAnsi"/>
                <w:color w:val="000000"/>
                <w:sz w:val="18"/>
                <w:szCs w:val="18"/>
              </w:rPr>
              <w:t>%</w:t>
            </w:r>
          </w:p>
        </w:tc>
        <w:tc>
          <w:tcPr>
            <w:tcW w:w="2160" w:type="dxa"/>
            <w:noWrap/>
            <w:vAlign w:val="bottom"/>
            <w:hideMark/>
          </w:tcPr>
          <w:p w14:paraId="49A6E23B"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2241C6C7" w14:textId="77777777" w:rsidR="002470DA" w:rsidRPr="007F0A05" w:rsidRDefault="002470DA" w:rsidP="00A22FF2">
            <w:pPr>
              <w:jc w:val="center"/>
              <w:rPr>
                <w:rFonts w:cstheme="minorHAnsi"/>
                <w:color w:val="000000"/>
                <w:sz w:val="18"/>
                <w:szCs w:val="18"/>
              </w:rPr>
            </w:pPr>
            <w:proofErr w:type="spellStart"/>
            <w:r w:rsidRPr="007F0A05">
              <w:rPr>
                <w:rFonts w:cstheme="minorHAnsi"/>
                <w:color w:val="000000"/>
                <w:sz w:val="18"/>
                <w:szCs w:val="18"/>
              </w:rPr>
              <w:t>Chirang</w:t>
            </w:r>
            <w:proofErr w:type="spellEnd"/>
          </w:p>
        </w:tc>
        <w:tc>
          <w:tcPr>
            <w:tcW w:w="2921" w:type="dxa"/>
            <w:shd w:val="clear" w:color="auto" w:fill="FFFFFF" w:themeFill="background1"/>
            <w:noWrap/>
            <w:vAlign w:val="bottom"/>
            <w:hideMark/>
          </w:tcPr>
          <w:p w14:paraId="507395DC"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Traffic </w:t>
            </w:r>
            <w:proofErr w:type="gramStart"/>
            <w:r w:rsidRPr="00516EEA">
              <w:rPr>
                <w:rFonts w:cstheme="minorHAnsi"/>
                <w:color w:val="000000"/>
                <w:sz w:val="18"/>
                <w:szCs w:val="18"/>
              </w:rPr>
              <w:t>point</w:t>
            </w:r>
            <w:proofErr w:type="gramEnd"/>
            <w:r>
              <w:rPr>
                <w:rFonts w:cstheme="minorHAnsi"/>
                <w:color w:val="000000"/>
                <w:sz w:val="18"/>
                <w:szCs w:val="18"/>
              </w:rPr>
              <w:t xml:space="preserve"> wooden shop</w:t>
            </w:r>
          </w:p>
        </w:tc>
      </w:tr>
      <w:tr w:rsidR="002470DA" w:rsidRPr="00516EEA" w14:paraId="17416CF9" w14:textId="77777777" w:rsidTr="00EB0F65">
        <w:trPr>
          <w:trHeight w:val="330"/>
        </w:trPr>
        <w:tc>
          <w:tcPr>
            <w:tcW w:w="677" w:type="dxa"/>
            <w:noWrap/>
            <w:vAlign w:val="bottom"/>
            <w:hideMark/>
          </w:tcPr>
          <w:p w14:paraId="751417C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16</w:t>
            </w:r>
          </w:p>
        </w:tc>
        <w:tc>
          <w:tcPr>
            <w:tcW w:w="1137" w:type="dxa"/>
            <w:noWrap/>
            <w:vAlign w:val="bottom"/>
            <w:hideMark/>
          </w:tcPr>
          <w:p w14:paraId="1EE1F2B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MDK1204X</w:t>
            </w:r>
          </w:p>
        </w:tc>
        <w:tc>
          <w:tcPr>
            <w:tcW w:w="2678" w:type="dxa"/>
            <w:noWrap/>
            <w:vAlign w:val="bottom"/>
            <w:hideMark/>
          </w:tcPr>
          <w:p w14:paraId="5D28DE7F"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Litan, </w:t>
            </w:r>
            <w:proofErr w:type="spellStart"/>
            <w:r w:rsidRPr="00516EEA">
              <w:rPr>
                <w:rFonts w:cstheme="minorHAnsi"/>
                <w:color w:val="000000"/>
                <w:sz w:val="18"/>
                <w:szCs w:val="18"/>
              </w:rPr>
              <w:t>Ukhrul</w:t>
            </w:r>
            <w:proofErr w:type="spellEnd"/>
            <w:r w:rsidRPr="00516EEA">
              <w:rPr>
                <w:rFonts w:cstheme="minorHAnsi"/>
                <w:color w:val="000000"/>
                <w:sz w:val="18"/>
                <w:szCs w:val="18"/>
              </w:rPr>
              <w:t xml:space="preserve"> dist</w:t>
            </w:r>
            <w:r>
              <w:rPr>
                <w:rFonts w:cstheme="minorHAnsi"/>
                <w:color w:val="000000"/>
                <w:sz w:val="18"/>
                <w:szCs w:val="18"/>
              </w:rPr>
              <w:t>.</w:t>
            </w:r>
          </w:p>
        </w:tc>
        <w:tc>
          <w:tcPr>
            <w:tcW w:w="1414" w:type="dxa"/>
            <w:noWrap/>
            <w:vAlign w:val="center"/>
            <w:hideMark/>
          </w:tcPr>
          <w:p w14:paraId="03EC98B0"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57’04.40”</w:t>
            </w:r>
          </w:p>
        </w:tc>
        <w:tc>
          <w:tcPr>
            <w:tcW w:w="1454" w:type="dxa"/>
            <w:noWrap/>
            <w:vAlign w:val="center"/>
            <w:hideMark/>
          </w:tcPr>
          <w:p w14:paraId="26AA56A8"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E094</w:t>
            </w:r>
            <w:r w:rsidRPr="00516EEA">
              <w:rPr>
                <w:rFonts w:cstheme="minorHAnsi"/>
                <w:color w:val="000000"/>
                <w:sz w:val="18"/>
                <w:szCs w:val="18"/>
                <w:vertAlign w:val="superscript"/>
              </w:rPr>
              <w:t>o</w:t>
            </w:r>
            <w:r w:rsidRPr="00516EEA">
              <w:rPr>
                <w:rFonts w:cstheme="minorHAnsi"/>
                <w:color w:val="000000"/>
                <w:sz w:val="18"/>
                <w:szCs w:val="18"/>
              </w:rPr>
              <w:t>12’14.04”</w:t>
            </w:r>
          </w:p>
        </w:tc>
        <w:tc>
          <w:tcPr>
            <w:tcW w:w="1017" w:type="dxa"/>
            <w:noWrap/>
            <w:vAlign w:val="bottom"/>
            <w:hideMark/>
          </w:tcPr>
          <w:p w14:paraId="6FCB1FC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908</w:t>
            </w:r>
          </w:p>
        </w:tc>
        <w:tc>
          <w:tcPr>
            <w:tcW w:w="1307" w:type="dxa"/>
            <w:noWrap/>
            <w:vAlign w:val="bottom"/>
            <w:hideMark/>
          </w:tcPr>
          <w:p w14:paraId="5E8F10B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25</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94</w:t>
            </w:r>
            <w:r>
              <w:rPr>
                <w:rFonts w:cstheme="minorHAnsi"/>
                <w:color w:val="000000"/>
                <w:sz w:val="18"/>
                <w:szCs w:val="18"/>
              </w:rPr>
              <w:t>%</w:t>
            </w:r>
          </w:p>
        </w:tc>
        <w:tc>
          <w:tcPr>
            <w:tcW w:w="2160" w:type="dxa"/>
            <w:noWrap/>
            <w:vAlign w:val="bottom"/>
            <w:hideMark/>
          </w:tcPr>
          <w:p w14:paraId="31808329"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w:t>
            </w:r>
          </w:p>
          <w:p w14:paraId="2A349775" w14:textId="77777777" w:rsidR="002470DA" w:rsidRPr="00516EEA" w:rsidRDefault="002470DA" w:rsidP="00A22FF2">
            <w:pPr>
              <w:jc w:val="center"/>
              <w:rPr>
                <w:rFonts w:cstheme="minorHAnsi"/>
                <w:color w:val="000000"/>
                <w:sz w:val="18"/>
                <w:szCs w:val="18"/>
              </w:rPr>
            </w:pPr>
            <w:proofErr w:type="spellStart"/>
            <w:r>
              <w:rPr>
                <w:rFonts w:cstheme="minorHAnsi"/>
                <w:color w:val="000000"/>
                <w:sz w:val="18"/>
                <w:szCs w:val="18"/>
              </w:rPr>
              <w:t>Bhitti</w:t>
            </w:r>
            <w:proofErr w:type="spellEnd"/>
          </w:p>
        </w:tc>
        <w:tc>
          <w:tcPr>
            <w:tcW w:w="2921" w:type="dxa"/>
            <w:noWrap/>
            <w:vAlign w:val="bottom"/>
            <w:hideMark/>
          </w:tcPr>
          <w:p w14:paraId="3EA33BFF" w14:textId="77777777" w:rsidR="002470DA" w:rsidRPr="00516EEA" w:rsidRDefault="002470DA" w:rsidP="00A22FF2">
            <w:pPr>
              <w:rPr>
                <w:rFonts w:cstheme="minorHAnsi"/>
                <w:color w:val="000000"/>
                <w:sz w:val="18"/>
                <w:szCs w:val="18"/>
              </w:rPr>
            </w:pPr>
            <w:r>
              <w:rPr>
                <w:rFonts w:cstheme="minorHAnsi"/>
                <w:color w:val="000000"/>
                <w:sz w:val="18"/>
                <w:szCs w:val="18"/>
              </w:rPr>
              <w:t xml:space="preserve">Mud </w:t>
            </w:r>
            <w:proofErr w:type="gramStart"/>
            <w:r>
              <w:rPr>
                <w:rFonts w:cstheme="minorHAnsi"/>
                <w:color w:val="000000"/>
                <w:sz w:val="18"/>
                <w:szCs w:val="18"/>
              </w:rPr>
              <w:t>wall</w:t>
            </w:r>
            <w:r w:rsidRPr="00516EEA">
              <w:rPr>
                <w:rFonts w:cstheme="minorHAnsi"/>
                <w:color w:val="000000"/>
                <w:sz w:val="18"/>
                <w:szCs w:val="18"/>
              </w:rPr>
              <w:t xml:space="preserve"> </w:t>
            </w:r>
            <w:r>
              <w:rPr>
                <w:rFonts w:cstheme="minorHAnsi"/>
                <w:color w:val="000000"/>
                <w:sz w:val="18"/>
                <w:szCs w:val="18"/>
              </w:rPr>
              <w:t xml:space="preserve"> in</w:t>
            </w:r>
            <w:proofErr w:type="gramEnd"/>
            <w:r>
              <w:rPr>
                <w:rFonts w:cstheme="minorHAnsi"/>
                <w:color w:val="000000"/>
                <w:sz w:val="18"/>
                <w:szCs w:val="18"/>
              </w:rPr>
              <w:t xml:space="preserve"> m</w:t>
            </w:r>
            <w:r w:rsidRPr="00516EEA">
              <w:rPr>
                <w:rFonts w:cstheme="minorHAnsi"/>
                <w:color w:val="000000"/>
                <w:sz w:val="18"/>
                <w:szCs w:val="18"/>
              </w:rPr>
              <w:t>arket area</w:t>
            </w:r>
            <w:r>
              <w:rPr>
                <w:rFonts w:cstheme="minorHAnsi"/>
                <w:color w:val="000000"/>
                <w:sz w:val="18"/>
                <w:szCs w:val="18"/>
              </w:rPr>
              <w:t xml:space="preserve"> </w:t>
            </w:r>
          </w:p>
        </w:tc>
      </w:tr>
      <w:tr w:rsidR="002470DA" w:rsidRPr="00516EEA" w14:paraId="457D789E" w14:textId="77777777" w:rsidTr="00EB0F65">
        <w:trPr>
          <w:trHeight w:val="330"/>
        </w:trPr>
        <w:tc>
          <w:tcPr>
            <w:tcW w:w="677" w:type="dxa"/>
            <w:noWrap/>
            <w:vAlign w:val="bottom"/>
            <w:hideMark/>
          </w:tcPr>
          <w:p w14:paraId="43FE3CF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17</w:t>
            </w:r>
          </w:p>
        </w:tc>
        <w:tc>
          <w:tcPr>
            <w:tcW w:w="1137" w:type="dxa"/>
            <w:noWrap/>
            <w:vAlign w:val="bottom"/>
            <w:hideMark/>
          </w:tcPr>
          <w:p w14:paraId="0B748AA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MDK1301</w:t>
            </w:r>
          </w:p>
        </w:tc>
        <w:tc>
          <w:tcPr>
            <w:tcW w:w="2678" w:type="dxa"/>
            <w:noWrap/>
            <w:vAlign w:val="bottom"/>
            <w:hideMark/>
          </w:tcPr>
          <w:p w14:paraId="10F8A6E7"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Kakching</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khunou</w:t>
            </w:r>
            <w:proofErr w:type="spellEnd"/>
            <w:r>
              <w:rPr>
                <w:rFonts w:cstheme="minorHAnsi"/>
                <w:color w:val="000000"/>
                <w:sz w:val="18"/>
                <w:szCs w:val="18"/>
              </w:rPr>
              <w:t xml:space="preserve">, </w:t>
            </w:r>
            <w:proofErr w:type="spellStart"/>
            <w:r>
              <w:rPr>
                <w:rFonts w:cstheme="minorHAnsi"/>
                <w:color w:val="000000"/>
                <w:sz w:val="18"/>
                <w:szCs w:val="18"/>
              </w:rPr>
              <w:t>Kakching</w:t>
            </w:r>
            <w:proofErr w:type="spellEnd"/>
            <w:r>
              <w:rPr>
                <w:rFonts w:cstheme="minorHAnsi"/>
                <w:color w:val="000000"/>
                <w:sz w:val="18"/>
                <w:szCs w:val="18"/>
              </w:rPr>
              <w:t xml:space="preserve"> dist.</w:t>
            </w:r>
          </w:p>
        </w:tc>
        <w:tc>
          <w:tcPr>
            <w:tcW w:w="1414" w:type="dxa"/>
            <w:noWrap/>
            <w:vAlign w:val="center"/>
            <w:hideMark/>
          </w:tcPr>
          <w:p w14:paraId="2E27AB29"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24’10.48”</w:t>
            </w:r>
          </w:p>
        </w:tc>
        <w:tc>
          <w:tcPr>
            <w:tcW w:w="1454" w:type="dxa"/>
            <w:noWrap/>
            <w:vAlign w:val="center"/>
            <w:hideMark/>
          </w:tcPr>
          <w:p w14:paraId="42DE030F"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54'06.75”</w:t>
            </w:r>
          </w:p>
        </w:tc>
        <w:tc>
          <w:tcPr>
            <w:tcW w:w="1017" w:type="dxa"/>
            <w:noWrap/>
            <w:vAlign w:val="bottom"/>
            <w:hideMark/>
          </w:tcPr>
          <w:p w14:paraId="5A28350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779</w:t>
            </w:r>
          </w:p>
        </w:tc>
        <w:tc>
          <w:tcPr>
            <w:tcW w:w="1307" w:type="dxa"/>
            <w:noWrap/>
            <w:vAlign w:val="bottom"/>
            <w:hideMark/>
          </w:tcPr>
          <w:p w14:paraId="53867068"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28</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92</w:t>
            </w:r>
            <w:r>
              <w:rPr>
                <w:rFonts w:cstheme="minorHAnsi"/>
                <w:color w:val="000000"/>
                <w:sz w:val="18"/>
                <w:szCs w:val="18"/>
              </w:rPr>
              <w:t>%</w:t>
            </w:r>
          </w:p>
        </w:tc>
        <w:tc>
          <w:tcPr>
            <w:tcW w:w="2160" w:type="dxa"/>
            <w:noWrap/>
            <w:vAlign w:val="bottom"/>
            <w:hideMark/>
          </w:tcPr>
          <w:p w14:paraId="67932816"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1375B9D3"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2666815C" w14:textId="77777777" w:rsidR="002470DA" w:rsidRPr="00516EEA" w:rsidRDefault="002470DA" w:rsidP="00A22FF2">
            <w:pPr>
              <w:rPr>
                <w:rFonts w:cstheme="minorHAnsi"/>
                <w:color w:val="000000"/>
                <w:sz w:val="18"/>
                <w:szCs w:val="18"/>
              </w:rPr>
            </w:pPr>
            <w:r w:rsidRPr="00516EEA">
              <w:rPr>
                <w:rFonts w:cstheme="minorHAnsi"/>
                <w:color w:val="000000"/>
                <w:sz w:val="18"/>
                <w:szCs w:val="18"/>
              </w:rPr>
              <w:t>Grocery shop</w:t>
            </w:r>
            <w:r>
              <w:rPr>
                <w:rFonts w:cstheme="minorHAnsi"/>
                <w:color w:val="000000"/>
                <w:sz w:val="18"/>
                <w:szCs w:val="18"/>
              </w:rPr>
              <w:t xml:space="preserve"> </w:t>
            </w:r>
          </w:p>
        </w:tc>
      </w:tr>
      <w:tr w:rsidR="002470DA" w:rsidRPr="00516EEA" w14:paraId="7F1675BF" w14:textId="77777777" w:rsidTr="00EB0F65">
        <w:trPr>
          <w:trHeight w:val="330"/>
        </w:trPr>
        <w:tc>
          <w:tcPr>
            <w:tcW w:w="677" w:type="dxa"/>
            <w:noWrap/>
            <w:vAlign w:val="bottom"/>
            <w:hideMark/>
          </w:tcPr>
          <w:p w14:paraId="7989293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18</w:t>
            </w:r>
          </w:p>
        </w:tc>
        <w:tc>
          <w:tcPr>
            <w:tcW w:w="1137" w:type="dxa"/>
            <w:noWrap/>
            <w:vAlign w:val="bottom"/>
            <w:hideMark/>
          </w:tcPr>
          <w:p w14:paraId="1DFE87A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MDK1401</w:t>
            </w:r>
          </w:p>
        </w:tc>
        <w:tc>
          <w:tcPr>
            <w:tcW w:w="2678" w:type="dxa"/>
            <w:noWrap/>
            <w:vAlign w:val="bottom"/>
            <w:hideMark/>
          </w:tcPr>
          <w:p w14:paraId="48A6204D"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Oinam</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Lamkhai</w:t>
            </w:r>
            <w:proofErr w:type="spellEnd"/>
            <w:r w:rsidRPr="00516EEA">
              <w:rPr>
                <w:rFonts w:cstheme="minorHAnsi"/>
                <w:color w:val="000000"/>
                <w:sz w:val="18"/>
                <w:szCs w:val="18"/>
              </w:rPr>
              <w:t>, Imphal west</w:t>
            </w:r>
            <w:r>
              <w:rPr>
                <w:rFonts w:cstheme="minorHAnsi"/>
                <w:color w:val="000000"/>
                <w:sz w:val="18"/>
                <w:szCs w:val="18"/>
              </w:rPr>
              <w:t xml:space="preserve"> dist.</w:t>
            </w:r>
          </w:p>
        </w:tc>
        <w:tc>
          <w:tcPr>
            <w:tcW w:w="1414" w:type="dxa"/>
            <w:noWrap/>
            <w:vAlign w:val="center"/>
            <w:hideMark/>
          </w:tcPr>
          <w:p w14:paraId="28320AA2"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41’11.91”</w:t>
            </w:r>
          </w:p>
        </w:tc>
        <w:tc>
          <w:tcPr>
            <w:tcW w:w="1454" w:type="dxa"/>
            <w:noWrap/>
            <w:vAlign w:val="center"/>
            <w:hideMark/>
          </w:tcPr>
          <w:p w14:paraId="22CEA878"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54'07.01”</w:t>
            </w:r>
          </w:p>
        </w:tc>
        <w:tc>
          <w:tcPr>
            <w:tcW w:w="1017" w:type="dxa"/>
            <w:noWrap/>
            <w:vAlign w:val="bottom"/>
            <w:hideMark/>
          </w:tcPr>
          <w:p w14:paraId="6D21BF3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769</w:t>
            </w:r>
          </w:p>
        </w:tc>
        <w:tc>
          <w:tcPr>
            <w:tcW w:w="1307" w:type="dxa"/>
            <w:shd w:val="clear" w:color="000000" w:fill="FFFFFF"/>
            <w:noWrap/>
            <w:vAlign w:val="bottom"/>
            <w:hideMark/>
          </w:tcPr>
          <w:p w14:paraId="42B2511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31</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93</w:t>
            </w:r>
            <w:r>
              <w:rPr>
                <w:rFonts w:cstheme="minorHAnsi"/>
                <w:color w:val="000000"/>
                <w:sz w:val="18"/>
                <w:szCs w:val="18"/>
              </w:rPr>
              <w:t>%</w:t>
            </w:r>
          </w:p>
        </w:tc>
        <w:tc>
          <w:tcPr>
            <w:tcW w:w="2160" w:type="dxa"/>
            <w:noWrap/>
            <w:vAlign w:val="bottom"/>
            <w:hideMark/>
          </w:tcPr>
          <w:p w14:paraId="4DDEAA2A"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w:t>
            </w:r>
          </w:p>
          <w:p w14:paraId="7232E4EC"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25851F82" w14:textId="77777777" w:rsidR="002470DA" w:rsidRPr="00516EEA" w:rsidRDefault="002470DA" w:rsidP="00A22FF2">
            <w:pPr>
              <w:rPr>
                <w:rFonts w:cstheme="minorHAnsi"/>
                <w:color w:val="000000"/>
                <w:sz w:val="18"/>
                <w:szCs w:val="18"/>
              </w:rPr>
            </w:pPr>
            <w:r w:rsidRPr="00516EEA">
              <w:rPr>
                <w:rFonts w:cstheme="minorHAnsi"/>
                <w:color w:val="000000"/>
                <w:sz w:val="18"/>
                <w:szCs w:val="18"/>
              </w:rPr>
              <w:t xml:space="preserve">Residential </w:t>
            </w:r>
          </w:p>
        </w:tc>
      </w:tr>
      <w:tr w:rsidR="002470DA" w:rsidRPr="00516EEA" w14:paraId="7EF3057F" w14:textId="77777777" w:rsidTr="00EB0F65">
        <w:trPr>
          <w:trHeight w:val="330"/>
        </w:trPr>
        <w:tc>
          <w:tcPr>
            <w:tcW w:w="677" w:type="dxa"/>
            <w:noWrap/>
            <w:vAlign w:val="bottom"/>
            <w:hideMark/>
          </w:tcPr>
          <w:p w14:paraId="1BB0111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19</w:t>
            </w:r>
          </w:p>
        </w:tc>
        <w:tc>
          <w:tcPr>
            <w:tcW w:w="1137" w:type="dxa"/>
            <w:noWrap/>
            <w:vAlign w:val="bottom"/>
            <w:hideMark/>
          </w:tcPr>
          <w:p w14:paraId="4C8C0D4C"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MDK1501</w:t>
            </w:r>
          </w:p>
        </w:tc>
        <w:tc>
          <w:tcPr>
            <w:tcW w:w="2678" w:type="dxa"/>
            <w:noWrap/>
            <w:vAlign w:val="bottom"/>
            <w:hideMark/>
          </w:tcPr>
          <w:p w14:paraId="33E6FF11" w14:textId="77777777" w:rsidR="002470DA" w:rsidRPr="00516EEA" w:rsidRDefault="002470DA" w:rsidP="00A22FF2">
            <w:pPr>
              <w:rPr>
                <w:rFonts w:cstheme="minorHAnsi"/>
                <w:color w:val="000000"/>
                <w:sz w:val="18"/>
                <w:szCs w:val="18"/>
              </w:rPr>
            </w:pPr>
            <w:r w:rsidRPr="00516EEA">
              <w:rPr>
                <w:rFonts w:cstheme="minorHAnsi"/>
                <w:color w:val="000000"/>
                <w:sz w:val="18"/>
                <w:szCs w:val="18"/>
              </w:rPr>
              <w:t>Charoi</w:t>
            </w:r>
            <w:r>
              <w:rPr>
                <w:rFonts w:cstheme="minorHAnsi"/>
                <w:color w:val="000000"/>
                <w:sz w:val="18"/>
                <w:szCs w:val="18"/>
              </w:rPr>
              <w:t xml:space="preserve"> </w:t>
            </w:r>
            <w:proofErr w:type="spellStart"/>
            <w:r>
              <w:rPr>
                <w:rFonts w:cstheme="minorHAnsi"/>
                <w:color w:val="000000"/>
                <w:sz w:val="18"/>
                <w:szCs w:val="18"/>
              </w:rPr>
              <w:t>T</w:t>
            </w:r>
            <w:r w:rsidRPr="00516EEA">
              <w:rPr>
                <w:rFonts w:cstheme="minorHAnsi"/>
                <w:color w:val="000000"/>
                <w:sz w:val="18"/>
                <w:szCs w:val="18"/>
              </w:rPr>
              <w:t>upul</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Tamenglong</w:t>
            </w:r>
            <w:proofErr w:type="spellEnd"/>
            <w:r>
              <w:rPr>
                <w:rFonts w:cstheme="minorHAnsi"/>
                <w:color w:val="000000"/>
                <w:sz w:val="18"/>
                <w:szCs w:val="18"/>
              </w:rPr>
              <w:t xml:space="preserve"> dist.</w:t>
            </w:r>
          </w:p>
        </w:tc>
        <w:tc>
          <w:tcPr>
            <w:tcW w:w="1414" w:type="dxa"/>
            <w:noWrap/>
            <w:vAlign w:val="center"/>
            <w:hideMark/>
          </w:tcPr>
          <w:p w14:paraId="3FD3FC94"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46’57.98”</w:t>
            </w:r>
          </w:p>
        </w:tc>
        <w:tc>
          <w:tcPr>
            <w:tcW w:w="1454" w:type="dxa"/>
            <w:noWrap/>
            <w:vAlign w:val="center"/>
            <w:hideMark/>
          </w:tcPr>
          <w:p w14:paraId="428D8598"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39'47.75”</w:t>
            </w:r>
          </w:p>
        </w:tc>
        <w:tc>
          <w:tcPr>
            <w:tcW w:w="1017" w:type="dxa"/>
            <w:noWrap/>
            <w:vAlign w:val="bottom"/>
            <w:hideMark/>
          </w:tcPr>
          <w:p w14:paraId="4A4AEB2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428</w:t>
            </w:r>
          </w:p>
        </w:tc>
        <w:tc>
          <w:tcPr>
            <w:tcW w:w="1307" w:type="dxa"/>
            <w:noWrap/>
            <w:vAlign w:val="bottom"/>
            <w:hideMark/>
          </w:tcPr>
          <w:p w14:paraId="372C870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31</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91</w:t>
            </w:r>
            <w:r>
              <w:rPr>
                <w:rFonts w:cstheme="minorHAnsi"/>
                <w:color w:val="000000"/>
                <w:sz w:val="18"/>
                <w:szCs w:val="18"/>
              </w:rPr>
              <w:t>%</w:t>
            </w:r>
          </w:p>
        </w:tc>
        <w:tc>
          <w:tcPr>
            <w:tcW w:w="2160" w:type="dxa"/>
            <w:noWrap/>
            <w:vAlign w:val="bottom"/>
            <w:hideMark/>
          </w:tcPr>
          <w:p w14:paraId="42449FB6"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5DAFDB3D" w14:textId="77777777" w:rsidR="002470DA" w:rsidRPr="009055D6" w:rsidRDefault="002470DA" w:rsidP="00A22FF2">
            <w:pPr>
              <w:jc w:val="center"/>
              <w:rPr>
                <w:rFonts w:cstheme="minorHAnsi"/>
                <w:color w:val="000000"/>
                <w:sz w:val="18"/>
                <w:szCs w:val="18"/>
              </w:rPr>
            </w:pPr>
            <w:proofErr w:type="spellStart"/>
            <w:r w:rsidRPr="009055D6">
              <w:rPr>
                <w:rFonts w:cstheme="minorHAnsi"/>
                <w:color w:val="000000"/>
                <w:sz w:val="18"/>
                <w:szCs w:val="18"/>
              </w:rPr>
              <w:t>Dangkhonpui</w:t>
            </w:r>
            <w:proofErr w:type="spellEnd"/>
          </w:p>
        </w:tc>
        <w:tc>
          <w:tcPr>
            <w:tcW w:w="2921" w:type="dxa"/>
            <w:noWrap/>
            <w:vAlign w:val="bottom"/>
            <w:hideMark/>
          </w:tcPr>
          <w:p w14:paraId="3E7A8FFF" w14:textId="77777777" w:rsidR="002470DA" w:rsidRPr="00516EEA" w:rsidRDefault="002470DA" w:rsidP="00A22FF2">
            <w:pPr>
              <w:rPr>
                <w:rFonts w:cstheme="minorHAnsi"/>
                <w:color w:val="000000"/>
                <w:sz w:val="18"/>
                <w:szCs w:val="18"/>
              </w:rPr>
            </w:pPr>
            <w:r w:rsidRPr="00516EEA">
              <w:rPr>
                <w:rFonts w:cstheme="minorHAnsi"/>
                <w:color w:val="000000"/>
                <w:sz w:val="18"/>
                <w:szCs w:val="18"/>
              </w:rPr>
              <w:t>Residential area</w:t>
            </w:r>
            <w:r>
              <w:rPr>
                <w:rFonts w:cstheme="minorHAnsi"/>
                <w:color w:val="000000"/>
                <w:sz w:val="18"/>
                <w:szCs w:val="18"/>
              </w:rPr>
              <w:t xml:space="preserve"> near NH-37 </w:t>
            </w:r>
          </w:p>
        </w:tc>
      </w:tr>
      <w:tr w:rsidR="002470DA" w:rsidRPr="00516EEA" w14:paraId="27B2E21A" w14:textId="77777777" w:rsidTr="00EB0F65">
        <w:trPr>
          <w:trHeight w:val="330"/>
        </w:trPr>
        <w:tc>
          <w:tcPr>
            <w:tcW w:w="677" w:type="dxa"/>
            <w:noWrap/>
            <w:vAlign w:val="bottom"/>
            <w:hideMark/>
          </w:tcPr>
          <w:p w14:paraId="4C26CD80"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20</w:t>
            </w:r>
          </w:p>
        </w:tc>
        <w:tc>
          <w:tcPr>
            <w:tcW w:w="1137" w:type="dxa"/>
            <w:noWrap/>
            <w:vAlign w:val="bottom"/>
            <w:hideMark/>
          </w:tcPr>
          <w:p w14:paraId="07A684C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MDK1601</w:t>
            </w:r>
          </w:p>
        </w:tc>
        <w:tc>
          <w:tcPr>
            <w:tcW w:w="2678" w:type="dxa"/>
            <w:noWrap/>
            <w:vAlign w:val="bottom"/>
            <w:hideMark/>
          </w:tcPr>
          <w:p w14:paraId="1A40F255" w14:textId="77777777" w:rsidR="002470DA" w:rsidRPr="00516EEA" w:rsidRDefault="002470DA" w:rsidP="00A22FF2">
            <w:pPr>
              <w:rPr>
                <w:rFonts w:cstheme="minorHAnsi"/>
                <w:color w:val="000000"/>
                <w:sz w:val="18"/>
                <w:szCs w:val="18"/>
              </w:rPr>
            </w:pPr>
            <w:proofErr w:type="spellStart"/>
            <w:r>
              <w:rPr>
                <w:rFonts w:cstheme="minorHAnsi"/>
                <w:color w:val="000000"/>
                <w:sz w:val="18"/>
                <w:szCs w:val="18"/>
              </w:rPr>
              <w:t>Nungba</w:t>
            </w:r>
            <w:proofErr w:type="spellEnd"/>
            <w:r>
              <w:rPr>
                <w:rFonts w:cstheme="minorHAnsi"/>
                <w:color w:val="000000"/>
                <w:sz w:val="18"/>
                <w:szCs w:val="18"/>
              </w:rPr>
              <w:t xml:space="preserve">, </w:t>
            </w:r>
            <w:proofErr w:type="spellStart"/>
            <w:r w:rsidRPr="00516EEA">
              <w:rPr>
                <w:rFonts w:cstheme="minorHAnsi"/>
                <w:color w:val="000000"/>
                <w:sz w:val="18"/>
                <w:szCs w:val="18"/>
              </w:rPr>
              <w:t>Tamenglong</w:t>
            </w:r>
            <w:proofErr w:type="spellEnd"/>
            <w:r>
              <w:rPr>
                <w:rFonts w:cstheme="minorHAnsi"/>
                <w:color w:val="000000"/>
                <w:sz w:val="18"/>
                <w:szCs w:val="18"/>
              </w:rPr>
              <w:t xml:space="preserve"> dist.</w:t>
            </w:r>
          </w:p>
        </w:tc>
        <w:tc>
          <w:tcPr>
            <w:tcW w:w="1414" w:type="dxa"/>
            <w:noWrap/>
            <w:vAlign w:val="center"/>
            <w:hideMark/>
          </w:tcPr>
          <w:p w14:paraId="489D5C27" w14:textId="77777777" w:rsidR="002470DA" w:rsidRPr="00516EEA" w:rsidRDefault="002470DA" w:rsidP="00A22FF2">
            <w:pPr>
              <w:rPr>
                <w:rFonts w:cstheme="minorHAnsi"/>
                <w:color w:val="000000"/>
                <w:sz w:val="18"/>
                <w:szCs w:val="18"/>
              </w:rPr>
            </w:pPr>
            <w:proofErr w:type="gramStart"/>
            <w:r>
              <w:rPr>
                <w:rFonts w:cstheme="minorHAnsi"/>
                <w:color w:val="000000"/>
                <w:sz w:val="18"/>
                <w:szCs w:val="18"/>
              </w:rPr>
              <w:t>.</w:t>
            </w:r>
            <w:r w:rsidRPr="00516EEA">
              <w:rPr>
                <w:rFonts w:cstheme="minorHAnsi"/>
                <w:color w:val="000000"/>
                <w:sz w:val="18"/>
                <w:szCs w:val="18"/>
              </w:rPr>
              <w:t>N</w:t>
            </w:r>
            <w:proofErr w:type="gramEnd"/>
            <w:r w:rsidRPr="00516EEA">
              <w:rPr>
                <w:rFonts w:cstheme="minorHAnsi"/>
                <w:color w:val="000000"/>
                <w:sz w:val="18"/>
                <w:szCs w:val="18"/>
              </w:rPr>
              <w:t>24</w:t>
            </w:r>
            <w:r w:rsidRPr="00516EEA">
              <w:rPr>
                <w:rFonts w:cstheme="minorHAnsi"/>
                <w:color w:val="000000"/>
                <w:sz w:val="18"/>
                <w:szCs w:val="18"/>
                <w:vertAlign w:val="superscript"/>
              </w:rPr>
              <w:t>o</w:t>
            </w:r>
            <w:r w:rsidRPr="00516EEA">
              <w:rPr>
                <w:rFonts w:cstheme="minorHAnsi"/>
                <w:color w:val="000000"/>
                <w:sz w:val="18"/>
                <w:szCs w:val="18"/>
              </w:rPr>
              <w:t>44’44.56”</w:t>
            </w:r>
          </w:p>
        </w:tc>
        <w:tc>
          <w:tcPr>
            <w:tcW w:w="1454" w:type="dxa"/>
            <w:noWrap/>
            <w:vAlign w:val="center"/>
            <w:hideMark/>
          </w:tcPr>
          <w:p w14:paraId="57E523A0"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25'30.73”</w:t>
            </w:r>
          </w:p>
        </w:tc>
        <w:tc>
          <w:tcPr>
            <w:tcW w:w="1017" w:type="dxa"/>
            <w:noWrap/>
            <w:vAlign w:val="bottom"/>
            <w:hideMark/>
          </w:tcPr>
          <w:p w14:paraId="0C949AB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775</w:t>
            </w:r>
          </w:p>
        </w:tc>
        <w:tc>
          <w:tcPr>
            <w:tcW w:w="1307" w:type="dxa"/>
            <w:noWrap/>
            <w:vAlign w:val="bottom"/>
            <w:hideMark/>
          </w:tcPr>
          <w:p w14:paraId="3BFF9C3F"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25</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86</w:t>
            </w:r>
            <w:r>
              <w:rPr>
                <w:rFonts w:cstheme="minorHAnsi"/>
                <w:color w:val="000000"/>
                <w:sz w:val="18"/>
                <w:szCs w:val="18"/>
              </w:rPr>
              <w:t>%</w:t>
            </w:r>
          </w:p>
        </w:tc>
        <w:tc>
          <w:tcPr>
            <w:tcW w:w="2160" w:type="dxa"/>
            <w:noWrap/>
            <w:vAlign w:val="bottom"/>
            <w:hideMark/>
          </w:tcPr>
          <w:p w14:paraId="5819E0D8"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73D3B501" w14:textId="77777777" w:rsidR="002470DA" w:rsidRPr="00516EEA" w:rsidRDefault="002470DA" w:rsidP="00A22FF2">
            <w:pPr>
              <w:jc w:val="center"/>
              <w:rPr>
                <w:rFonts w:cstheme="minorHAnsi"/>
                <w:color w:val="000000"/>
                <w:sz w:val="18"/>
                <w:szCs w:val="18"/>
              </w:rPr>
            </w:pPr>
            <w:proofErr w:type="spellStart"/>
            <w:r w:rsidRPr="009055D6">
              <w:rPr>
                <w:rFonts w:cstheme="minorHAnsi"/>
                <w:color w:val="000000"/>
                <w:sz w:val="18"/>
                <w:szCs w:val="18"/>
              </w:rPr>
              <w:t>Dangkhonpui</w:t>
            </w:r>
            <w:proofErr w:type="spellEnd"/>
          </w:p>
        </w:tc>
        <w:tc>
          <w:tcPr>
            <w:tcW w:w="2921" w:type="dxa"/>
            <w:noWrap/>
            <w:vAlign w:val="bottom"/>
            <w:hideMark/>
          </w:tcPr>
          <w:p w14:paraId="1BD3CED7" w14:textId="77777777" w:rsidR="002470DA" w:rsidRPr="00516EEA" w:rsidRDefault="002470DA" w:rsidP="00A22FF2">
            <w:pPr>
              <w:rPr>
                <w:rFonts w:cstheme="minorHAnsi"/>
                <w:color w:val="000000"/>
                <w:sz w:val="18"/>
                <w:szCs w:val="18"/>
              </w:rPr>
            </w:pPr>
            <w:r w:rsidRPr="00516EEA">
              <w:rPr>
                <w:rFonts w:cstheme="minorHAnsi"/>
                <w:color w:val="000000"/>
                <w:sz w:val="18"/>
                <w:szCs w:val="18"/>
              </w:rPr>
              <w:t>Market area</w:t>
            </w:r>
          </w:p>
        </w:tc>
      </w:tr>
      <w:tr w:rsidR="002470DA" w:rsidRPr="00516EEA" w14:paraId="3BCFE895" w14:textId="77777777" w:rsidTr="00EB0F65">
        <w:trPr>
          <w:trHeight w:val="330"/>
        </w:trPr>
        <w:tc>
          <w:tcPr>
            <w:tcW w:w="677" w:type="dxa"/>
            <w:noWrap/>
            <w:vAlign w:val="bottom"/>
            <w:hideMark/>
          </w:tcPr>
          <w:p w14:paraId="1498CAA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21</w:t>
            </w:r>
          </w:p>
        </w:tc>
        <w:tc>
          <w:tcPr>
            <w:tcW w:w="1137" w:type="dxa"/>
            <w:noWrap/>
            <w:vAlign w:val="bottom"/>
            <w:hideMark/>
          </w:tcPr>
          <w:p w14:paraId="44A4106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MDK1701</w:t>
            </w:r>
          </w:p>
        </w:tc>
        <w:tc>
          <w:tcPr>
            <w:tcW w:w="2678" w:type="dxa"/>
            <w:noWrap/>
            <w:vAlign w:val="bottom"/>
            <w:hideMark/>
          </w:tcPr>
          <w:p w14:paraId="65166382"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Jiribam</w:t>
            </w:r>
            <w:proofErr w:type="spellEnd"/>
            <w:r w:rsidRPr="00516EEA">
              <w:rPr>
                <w:rFonts w:cstheme="minorHAnsi"/>
                <w:color w:val="000000"/>
                <w:sz w:val="18"/>
                <w:szCs w:val="18"/>
              </w:rPr>
              <w:t xml:space="preserve"> Babupara</w:t>
            </w:r>
            <w:r>
              <w:rPr>
                <w:rFonts w:cstheme="minorHAnsi"/>
                <w:color w:val="000000"/>
                <w:sz w:val="18"/>
                <w:szCs w:val="18"/>
              </w:rPr>
              <w:t xml:space="preserve">, </w:t>
            </w:r>
            <w:proofErr w:type="spellStart"/>
            <w:r>
              <w:rPr>
                <w:rFonts w:cstheme="minorHAnsi"/>
                <w:color w:val="000000"/>
                <w:sz w:val="18"/>
                <w:szCs w:val="18"/>
              </w:rPr>
              <w:t>Jiribam</w:t>
            </w:r>
            <w:proofErr w:type="spellEnd"/>
            <w:r>
              <w:rPr>
                <w:rFonts w:cstheme="minorHAnsi"/>
                <w:color w:val="000000"/>
                <w:sz w:val="18"/>
                <w:szCs w:val="18"/>
              </w:rPr>
              <w:t xml:space="preserve"> dist.</w:t>
            </w:r>
          </w:p>
        </w:tc>
        <w:tc>
          <w:tcPr>
            <w:tcW w:w="1414" w:type="dxa"/>
            <w:noWrap/>
            <w:vAlign w:val="center"/>
            <w:hideMark/>
          </w:tcPr>
          <w:p w14:paraId="26F46A7D"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48’21.24”</w:t>
            </w:r>
          </w:p>
        </w:tc>
        <w:tc>
          <w:tcPr>
            <w:tcW w:w="1454" w:type="dxa"/>
            <w:noWrap/>
            <w:vAlign w:val="center"/>
            <w:hideMark/>
          </w:tcPr>
          <w:p w14:paraId="09A60558"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06'50.10”</w:t>
            </w:r>
          </w:p>
        </w:tc>
        <w:tc>
          <w:tcPr>
            <w:tcW w:w="1017" w:type="dxa"/>
            <w:noWrap/>
            <w:vAlign w:val="bottom"/>
            <w:hideMark/>
          </w:tcPr>
          <w:p w14:paraId="4127C2D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14</w:t>
            </w:r>
          </w:p>
        </w:tc>
        <w:tc>
          <w:tcPr>
            <w:tcW w:w="1307" w:type="dxa"/>
            <w:noWrap/>
            <w:vAlign w:val="bottom"/>
            <w:hideMark/>
          </w:tcPr>
          <w:p w14:paraId="2D6A324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35</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99</w:t>
            </w:r>
            <w:r>
              <w:rPr>
                <w:rFonts w:cstheme="minorHAnsi"/>
                <w:color w:val="000000"/>
                <w:sz w:val="18"/>
                <w:szCs w:val="18"/>
              </w:rPr>
              <w:t>%</w:t>
            </w:r>
          </w:p>
        </w:tc>
        <w:tc>
          <w:tcPr>
            <w:tcW w:w="2160" w:type="dxa"/>
            <w:noWrap/>
            <w:vAlign w:val="bottom"/>
            <w:hideMark/>
          </w:tcPr>
          <w:p w14:paraId="5E16CF63"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w:t>
            </w:r>
          </w:p>
          <w:p w14:paraId="2C1EF8C2"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3B3A049E" w14:textId="77777777" w:rsidR="002470DA" w:rsidRPr="00516EEA" w:rsidRDefault="002470DA" w:rsidP="00A22FF2">
            <w:pPr>
              <w:rPr>
                <w:rFonts w:cstheme="minorHAnsi"/>
                <w:color w:val="000000"/>
                <w:sz w:val="18"/>
                <w:szCs w:val="18"/>
              </w:rPr>
            </w:pPr>
            <w:r w:rsidRPr="00516EEA">
              <w:rPr>
                <w:rFonts w:cstheme="minorHAnsi"/>
                <w:color w:val="000000"/>
                <w:sz w:val="18"/>
                <w:szCs w:val="18"/>
              </w:rPr>
              <w:t>Market area</w:t>
            </w:r>
          </w:p>
        </w:tc>
      </w:tr>
      <w:tr w:rsidR="002470DA" w:rsidRPr="00516EEA" w14:paraId="07CF84D2" w14:textId="77777777" w:rsidTr="00EB0F65">
        <w:trPr>
          <w:trHeight w:val="330"/>
        </w:trPr>
        <w:tc>
          <w:tcPr>
            <w:tcW w:w="677" w:type="dxa"/>
            <w:noWrap/>
            <w:vAlign w:val="bottom"/>
            <w:hideMark/>
          </w:tcPr>
          <w:p w14:paraId="321A650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22</w:t>
            </w:r>
          </w:p>
        </w:tc>
        <w:tc>
          <w:tcPr>
            <w:tcW w:w="1137" w:type="dxa"/>
            <w:noWrap/>
            <w:vAlign w:val="bottom"/>
            <w:hideMark/>
          </w:tcPr>
          <w:p w14:paraId="39A2D9FE"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MDK1801</w:t>
            </w:r>
          </w:p>
        </w:tc>
        <w:tc>
          <w:tcPr>
            <w:tcW w:w="2678" w:type="dxa"/>
            <w:noWrap/>
            <w:vAlign w:val="bottom"/>
            <w:hideMark/>
          </w:tcPr>
          <w:p w14:paraId="3791C94E"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Jiribam</w:t>
            </w:r>
            <w:proofErr w:type="spellEnd"/>
            <w:r w:rsidRPr="00516EEA">
              <w:rPr>
                <w:rFonts w:cstheme="minorHAnsi"/>
                <w:color w:val="000000"/>
                <w:sz w:val="18"/>
                <w:szCs w:val="18"/>
              </w:rPr>
              <w:t xml:space="preserve"> Tower</w:t>
            </w:r>
            <w:r>
              <w:rPr>
                <w:rFonts w:cstheme="minorHAnsi"/>
                <w:color w:val="000000"/>
                <w:sz w:val="18"/>
                <w:szCs w:val="18"/>
              </w:rPr>
              <w:t xml:space="preserve">, </w:t>
            </w:r>
            <w:proofErr w:type="spellStart"/>
            <w:r>
              <w:rPr>
                <w:rFonts w:cstheme="minorHAnsi"/>
                <w:color w:val="000000"/>
                <w:sz w:val="18"/>
                <w:szCs w:val="18"/>
              </w:rPr>
              <w:t>Jiribam</w:t>
            </w:r>
            <w:proofErr w:type="spellEnd"/>
            <w:r>
              <w:rPr>
                <w:rFonts w:cstheme="minorHAnsi"/>
                <w:color w:val="000000"/>
                <w:sz w:val="18"/>
                <w:szCs w:val="18"/>
              </w:rPr>
              <w:t xml:space="preserve"> dist.</w:t>
            </w:r>
          </w:p>
        </w:tc>
        <w:tc>
          <w:tcPr>
            <w:tcW w:w="1414" w:type="dxa"/>
            <w:noWrap/>
            <w:vAlign w:val="center"/>
            <w:hideMark/>
          </w:tcPr>
          <w:p w14:paraId="6EE47B9E"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26’54.90”</w:t>
            </w:r>
          </w:p>
        </w:tc>
        <w:tc>
          <w:tcPr>
            <w:tcW w:w="1454" w:type="dxa"/>
            <w:noWrap/>
            <w:vAlign w:val="center"/>
            <w:hideMark/>
          </w:tcPr>
          <w:p w14:paraId="4E6744C6"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12'03.17”</w:t>
            </w:r>
          </w:p>
        </w:tc>
        <w:tc>
          <w:tcPr>
            <w:tcW w:w="1017" w:type="dxa"/>
            <w:noWrap/>
            <w:vAlign w:val="bottom"/>
            <w:hideMark/>
          </w:tcPr>
          <w:p w14:paraId="6AC63AD1"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119</w:t>
            </w:r>
          </w:p>
        </w:tc>
        <w:tc>
          <w:tcPr>
            <w:tcW w:w="1307" w:type="dxa"/>
            <w:noWrap/>
            <w:vAlign w:val="bottom"/>
            <w:hideMark/>
          </w:tcPr>
          <w:p w14:paraId="51CB4A6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35</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99</w:t>
            </w:r>
            <w:r>
              <w:rPr>
                <w:rFonts w:cstheme="minorHAnsi"/>
                <w:color w:val="000000"/>
                <w:sz w:val="18"/>
                <w:szCs w:val="18"/>
              </w:rPr>
              <w:t>%</w:t>
            </w:r>
          </w:p>
        </w:tc>
        <w:tc>
          <w:tcPr>
            <w:tcW w:w="2160" w:type="dxa"/>
            <w:noWrap/>
            <w:vAlign w:val="bottom"/>
            <w:hideMark/>
          </w:tcPr>
          <w:p w14:paraId="7EF32404"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50B9A749"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7D5382D8" w14:textId="77777777" w:rsidR="002470DA" w:rsidRPr="00516EEA" w:rsidRDefault="002470DA" w:rsidP="00A22FF2">
            <w:pPr>
              <w:rPr>
                <w:rFonts w:cstheme="minorHAnsi"/>
                <w:color w:val="000000"/>
                <w:sz w:val="18"/>
                <w:szCs w:val="18"/>
              </w:rPr>
            </w:pPr>
            <w:r>
              <w:rPr>
                <w:rFonts w:cstheme="minorHAnsi"/>
                <w:color w:val="000000"/>
                <w:sz w:val="18"/>
                <w:szCs w:val="18"/>
              </w:rPr>
              <w:t>Shop on NH-37</w:t>
            </w:r>
          </w:p>
        </w:tc>
      </w:tr>
      <w:tr w:rsidR="002470DA" w:rsidRPr="00516EEA" w14:paraId="6BE92D25" w14:textId="77777777" w:rsidTr="00EB0F65">
        <w:trPr>
          <w:trHeight w:val="330"/>
        </w:trPr>
        <w:tc>
          <w:tcPr>
            <w:tcW w:w="677" w:type="dxa"/>
            <w:noWrap/>
            <w:vAlign w:val="bottom"/>
            <w:hideMark/>
          </w:tcPr>
          <w:p w14:paraId="3F27129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23</w:t>
            </w:r>
          </w:p>
        </w:tc>
        <w:tc>
          <w:tcPr>
            <w:tcW w:w="1137" w:type="dxa"/>
            <w:noWrap/>
            <w:vAlign w:val="bottom"/>
            <w:hideMark/>
          </w:tcPr>
          <w:p w14:paraId="59008AA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MDK1901</w:t>
            </w:r>
          </w:p>
        </w:tc>
        <w:tc>
          <w:tcPr>
            <w:tcW w:w="2678" w:type="dxa"/>
            <w:noWrap/>
            <w:vAlign w:val="bottom"/>
            <w:hideMark/>
          </w:tcPr>
          <w:p w14:paraId="04D36503"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Kamperon</w:t>
            </w:r>
            <w:proofErr w:type="spellEnd"/>
            <w:r w:rsidRPr="00516EEA">
              <w:rPr>
                <w:rFonts w:cstheme="minorHAnsi"/>
                <w:color w:val="000000"/>
                <w:sz w:val="18"/>
                <w:szCs w:val="18"/>
              </w:rPr>
              <w:t xml:space="preserve">, </w:t>
            </w:r>
            <w:proofErr w:type="spellStart"/>
            <w:r w:rsidRPr="00516EEA">
              <w:rPr>
                <w:rFonts w:cstheme="minorHAnsi"/>
                <w:color w:val="000000"/>
                <w:sz w:val="18"/>
                <w:szCs w:val="18"/>
              </w:rPr>
              <w:t>Tamenglong</w:t>
            </w:r>
            <w:proofErr w:type="spellEnd"/>
            <w:r>
              <w:rPr>
                <w:rFonts w:cstheme="minorHAnsi"/>
                <w:color w:val="000000"/>
                <w:sz w:val="18"/>
                <w:szCs w:val="18"/>
              </w:rPr>
              <w:t xml:space="preserve"> dist.</w:t>
            </w:r>
          </w:p>
        </w:tc>
        <w:tc>
          <w:tcPr>
            <w:tcW w:w="1414" w:type="dxa"/>
            <w:noWrap/>
            <w:vAlign w:val="center"/>
            <w:hideMark/>
          </w:tcPr>
          <w:p w14:paraId="3CD6D6BE"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45’00.59”</w:t>
            </w:r>
          </w:p>
        </w:tc>
        <w:tc>
          <w:tcPr>
            <w:tcW w:w="1454" w:type="dxa"/>
            <w:noWrap/>
            <w:vAlign w:val="center"/>
            <w:hideMark/>
          </w:tcPr>
          <w:p w14:paraId="18F908C6"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23'04.31”</w:t>
            </w:r>
          </w:p>
        </w:tc>
        <w:tc>
          <w:tcPr>
            <w:tcW w:w="1017" w:type="dxa"/>
            <w:noWrap/>
            <w:vAlign w:val="bottom"/>
            <w:hideMark/>
          </w:tcPr>
          <w:p w14:paraId="24D24DED"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388</w:t>
            </w:r>
          </w:p>
        </w:tc>
        <w:tc>
          <w:tcPr>
            <w:tcW w:w="1307" w:type="dxa"/>
            <w:noWrap/>
            <w:vAlign w:val="bottom"/>
            <w:hideMark/>
          </w:tcPr>
          <w:p w14:paraId="33044734"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32</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98</w:t>
            </w:r>
            <w:r>
              <w:rPr>
                <w:rFonts w:cstheme="minorHAnsi"/>
                <w:color w:val="000000"/>
                <w:sz w:val="18"/>
                <w:szCs w:val="18"/>
              </w:rPr>
              <w:t>%</w:t>
            </w:r>
          </w:p>
        </w:tc>
        <w:tc>
          <w:tcPr>
            <w:tcW w:w="2160" w:type="dxa"/>
            <w:noWrap/>
            <w:vAlign w:val="bottom"/>
            <w:hideMark/>
          </w:tcPr>
          <w:p w14:paraId="462C6205"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 xml:space="preserve">, </w:t>
            </w:r>
          </w:p>
          <w:p w14:paraId="2FB92246" w14:textId="77777777" w:rsidR="002470DA" w:rsidRPr="00516EEA" w:rsidRDefault="002470DA" w:rsidP="00A22FF2">
            <w:pPr>
              <w:jc w:val="center"/>
              <w:rPr>
                <w:rFonts w:cstheme="minorHAnsi"/>
                <w:color w:val="000000"/>
                <w:sz w:val="18"/>
                <w:szCs w:val="18"/>
              </w:rPr>
            </w:pPr>
            <w:proofErr w:type="spellStart"/>
            <w:r w:rsidRPr="00722A51">
              <w:rPr>
                <w:rFonts w:cstheme="minorHAnsi"/>
                <w:color w:val="000000"/>
                <w:sz w:val="18"/>
                <w:szCs w:val="18"/>
              </w:rPr>
              <w:t>Japuanpui</w:t>
            </w:r>
            <w:proofErr w:type="spellEnd"/>
          </w:p>
        </w:tc>
        <w:tc>
          <w:tcPr>
            <w:tcW w:w="2921" w:type="dxa"/>
            <w:noWrap/>
            <w:vAlign w:val="bottom"/>
            <w:hideMark/>
          </w:tcPr>
          <w:p w14:paraId="6C64A3B4"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Ramrei</w:t>
            </w:r>
            <w:proofErr w:type="spellEnd"/>
            <w:r w:rsidRPr="00516EEA">
              <w:rPr>
                <w:rFonts w:cstheme="minorHAnsi"/>
                <w:color w:val="000000"/>
                <w:sz w:val="18"/>
                <w:szCs w:val="18"/>
              </w:rPr>
              <w:t xml:space="preserve"> river</w:t>
            </w:r>
            <w:r>
              <w:rPr>
                <w:rFonts w:cstheme="minorHAnsi"/>
                <w:color w:val="000000"/>
                <w:sz w:val="18"/>
                <w:szCs w:val="18"/>
              </w:rPr>
              <w:t xml:space="preserve"> bank with cemented floor </w:t>
            </w:r>
            <w:proofErr w:type="gramStart"/>
            <w:r>
              <w:rPr>
                <w:rFonts w:cstheme="minorHAnsi"/>
                <w:color w:val="000000"/>
                <w:sz w:val="18"/>
                <w:szCs w:val="18"/>
              </w:rPr>
              <w:t>and  bamboo</w:t>
            </w:r>
            <w:proofErr w:type="gramEnd"/>
            <w:r>
              <w:rPr>
                <w:rFonts w:cstheme="minorHAnsi"/>
                <w:color w:val="000000"/>
                <w:sz w:val="18"/>
                <w:szCs w:val="18"/>
              </w:rPr>
              <w:t xml:space="preserve"> wall</w:t>
            </w:r>
          </w:p>
        </w:tc>
      </w:tr>
      <w:tr w:rsidR="002470DA" w:rsidRPr="00516EEA" w14:paraId="2972D2EA" w14:textId="77777777" w:rsidTr="00EB0F65">
        <w:trPr>
          <w:trHeight w:val="330"/>
        </w:trPr>
        <w:tc>
          <w:tcPr>
            <w:tcW w:w="677" w:type="dxa"/>
            <w:noWrap/>
            <w:vAlign w:val="bottom"/>
            <w:hideMark/>
          </w:tcPr>
          <w:p w14:paraId="6B75CEE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24</w:t>
            </w:r>
          </w:p>
        </w:tc>
        <w:tc>
          <w:tcPr>
            <w:tcW w:w="1137" w:type="dxa"/>
            <w:noWrap/>
            <w:vAlign w:val="bottom"/>
            <w:hideMark/>
          </w:tcPr>
          <w:p w14:paraId="218FC53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MDK2001</w:t>
            </w:r>
          </w:p>
        </w:tc>
        <w:tc>
          <w:tcPr>
            <w:tcW w:w="2678" w:type="dxa"/>
            <w:noWrap/>
            <w:vAlign w:val="bottom"/>
            <w:hideMark/>
          </w:tcPr>
          <w:p w14:paraId="238CCF14"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Noney</w:t>
            </w:r>
            <w:proofErr w:type="spellEnd"/>
            <w:r w:rsidRPr="00516EEA">
              <w:rPr>
                <w:rFonts w:cstheme="minorHAnsi"/>
                <w:color w:val="000000"/>
                <w:sz w:val="18"/>
                <w:szCs w:val="18"/>
              </w:rPr>
              <w:t xml:space="preserve"> Bazaar</w:t>
            </w:r>
            <w:r>
              <w:rPr>
                <w:rFonts w:cstheme="minorHAnsi"/>
                <w:color w:val="000000"/>
                <w:sz w:val="18"/>
                <w:szCs w:val="18"/>
              </w:rPr>
              <w:t xml:space="preserve">, </w:t>
            </w:r>
            <w:proofErr w:type="spellStart"/>
            <w:r>
              <w:rPr>
                <w:rFonts w:cstheme="minorHAnsi"/>
                <w:color w:val="000000"/>
                <w:sz w:val="18"/>
                <w:szCs w:val="18"/>
              </w:rPr>
              <w:t>Noney</w:t>
            </w:r>
            <w:proofErr w:type="spellEnd"/>
            <w:r>
              <w:rPr>
                <w:rFonts w:cstheme="minorHAnsi"/>
                <w:color w:val="000000"/>
                <w:sz w:val="18"/>
                <w:szCs w:val="18"/>
              </w:rPr>
              <w:t xml:space="preserve"> dist.</w:t>
            </w:r>
          </w:p>
        </w:tc>
        <w:tc>
          <w:tcPr>
            <w:tcW w:w="1414" w:type="dxa"/>
            <w:noWrap/>
            <w:vAlign w:val="center"/>
            <w:hideMark/>
          </w:tcPr>
          <w:p w14:paraId="6BF109C8"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51’36.90”</w:t>
            </w:r>
          </w:p>
        </w:tc>
        <w:tc>
          <w:tcPr>
            <w:tcW w:w="1454" w:type="dxa"/>
            <w:noWrap/>
            <w:vAlign w:val="center"/>
            <w:hideMark/>
          </w:tcPr>
          <w:p w14:paraId="19111D7E"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37'26.98”</w:t>
            </w:r>
          </w:p>
        </w:tc>
        <w:tc>
          <w:tcPr>
            <w:tcW w:w="1017" w:type="dxa"/>
            <w:noWrap/>
            <w:vAlign w:val="bottom"/>
            <w:hideMark/>
          </w:tcPr>
          <w:p w14:paraId="40A52A8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343</w:t>
            </w:r>
          </w:p>
        </w:tc>
        <w:tc>
          <w:tcPr>
            <w:tcW w:w="1307" w:type="dxa"/>
            <w:noWrap/>
            <w:vAlign w:val="bottom"/>
            <w:hideMark/>
          </w:tcPr>
          <w:p w14:paraId="1B5DB9B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28</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96</w:t>
            </w:r>
            <w:r>
              <w:rPr>
                <w:rFonts w:cstheme="minorHAnsi"/>
                <w:color w:val="000000"/>
                <w:sz w:val="18"/>
                <w:szCs w:val="18"/>
              </w:rPr>
              <w:t>%</w:t>
            </w:r>
          </w:p>
        </w:tc>
        <w:tc>
          <w:tcPr>
            <w:tcW w:w="2160" w:type="dxa"/>
            <w:noWrap/>
            <w:vAlign w:val="bottom"/>
            <w:hideMark/>
          </w:tcPr>
          <w:p w14:paraId="75AA6331" w14:textId="77777777" w:rsidR="002470DA" w:rsidRDefault="002470DA" w:rsidP="00A22FF2">
            <w:pPr>
              <w:jc w:val="center"/>
              <w:rPr>
                <w:rFonts w:cstheme="minorHAnsi"/>
                <w:i/>
                <w:color w:val="000000"/>
                <w:sz w:val="18"/>
                <w:szCs w:val="18"/>
              </w:rPr>
            </w:pPr>
            <w:proofErr w:type="spellStart"/>
            <w:proofErr w:type="gramStart"/>
            <w:r>
              <w:rPr>
                <w:rFonts w:cstheme="minorHAnsi"/>
                <w:i/>
                <w:color w:val="000000"/>
                <w:sz w:val="18"/>
                <w:szCs w:val="18"/>
              </w:rPr>
              <w:t>H.bowringii</w:t>
            </w:r>
            <w:proofErr w:type="spellEnd"/>
            <w:proofErr w:type="gramEnd"/>
            <w:r>
              <w:rPr>
                <w:rFonts w:cstheme="minorHAnsi"/>
                <w:i/>
                <w:color w:val="000000"/>
                <w:sz w:val="18"/>
                <w:szCs w:val="18"/>
              </w:rPr>
              <w:t>,</w:t>
            </w:r>
          </w:p>
          <w:p w14:paraId="24AC341B" w14:textId="77777777" w:rsidR="002470DA" w:rsidRPr="00722A51" w:rsidRDefault="002470DA" w:rsidP="00A22FF2">
            <w:pPr>
              <w:jc w:val="center"/>
              <w:rPr>
                <w:rFonts w:cstheme="minorHAnsi"/>
                <w:color w:val="000000"/>
                <w:sz w:val="18"/>
                <w:szCs w:val="18"/>
              </w:rPr>
            </w:pPr>
            <w:proofErr w:type="spellStart"/>
            <w:r w:rsidRPr="00722A51">
              <w:rPr>
                <w:rFonts w:cstheme="minorHAnsi"/>
                <w:color w:val="000000"/>
                <w:sz w:val="18"/>
                <w:szCs w:val="18"/>
              </w:rPr>
              <w:t>Dangkhonpui</w:t>
            </w:r>
            <w:proofErr w:type="spellEnd"/>
            <w:r w:rsidRPr="00722A51">
              <w:rPr>
                <w:rFonts w:cstheme="minorHAnsi"/>
                <w:color w:val="000000"/>
                <w:sz w:val="18"/>
                <w:szCs w:val="18"/>
              </w:rPr>
              <w:t xml:space="preserve"> </w:t>
            </w:r>
          </w:p>
        </w:tc>
        <w:tc>
          <w:tcPr>
            <w:tcW w:w="2921" w:type="dxa"/>
            <w:noWrap/>
            <w:vAlign w:val="bottom"/>
            <w:hideMark/>
          </w:tcPr>
          <w:p w14:paraId="7D57B976" w14:textId="77777777" w:rsidR="002470DA" w:rsidRPr="00516EEA" w:rsidRDefault="002470DA" w:rsidP="00A22FF2">
            <w:pPr>
              <w:rPr>
                <w:rFonts w:cstheme="minorHAnsi"/>
                <w:color w:val="000000"/>
                <w:sz w:val="18"/>
                <w:szCs w:val="18"/>
              </w:rPr>
            </w:pPr>
            <w:r w:rsidRPr="00516EEA">
              <w:rPr>
                <w:rFonts w:cstheme="minorHAnsi"/>
                <w:color w:val="000000"/>
                <w:sz w:val="18"/>
                <w:szCs w:val="18"/>
              </w:rPr>
              <w:t>Residential</w:t>
            </w:r>
            <w:r>
              <w:rPr>
                <w:rFonts w:cstheme="minorHAnsi"/>
                <w:color w:val="000000"/>
                <w:sz w:val="18"/>
                <w:szCs w:val="18"/>
              </w:rPr>
              <w:t xml:space="preserve"> </w:t>
            </w:r>
          </w:p>
        </w:tc>
      </w:tr>
      <w:tr w:rsidR="002470DA" w:rsidRPr="00516EEA" w14:paraId="3C4836FB" w14:textId="77777777" w:rsidTr="00EB0F65">
        <w:trPr>
          <w:trHeight w:val="330"/>
        </w:trPr>
        <w:tc>
          <w:tcPr>
            <w:tcW w:w="677" w:type="dxa"/>
            <w:noWrap/>
            <w:vAlign w:val="bottom"/>
            <w:hideMark/>
          </w:tcPr>
          <w:p w14:paraId="351215F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25</w:t>
            </w:r>
          </w:p>
        </w:tc>
        <w:tc>
          <w:tcPr>
            <w:tcW w:w="1137" w:type="dxa"/>
            <w:noWrap/>
            <w:vAlign w:val="bottom"/>
            <w:hideMark/>
          </w:tcPr>
          <w:p w14:paraId="11E1EFCA"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MDK2101</w:t>
            </w:r>
          </w:p>
        </w:tc>
        <w:tc>
          <w:tcPr>
            <w:tcW w:w="2678" w:type="dxa"/>
            <w:noWrap/>
            <w:vAlign w:val="bottom"/>
            <w:hideMark/>
          </w:tcPr>
          <w:p w14:paraId="23B8D54D" w14:textId="77777777" w:rsidR="002470DA" w:rsidRPr="00F92109" w:rsidRDefault="002470DA" w:rsidP="00A22FF2">
            <w:pPr>
              <w:rPr>
                <w:rFonts w:cstheme="minorHAnsi"/>
                <w:color w:val="000000"/>
                <w:sz w:val="18"/>
                <w:szCs w:val="18"/>
              </w:rPr>
            </w:pPr>
            <w:proofErr w:type="spellStart"/>
            <w:r w:rsidRPr="00F92109">
              <w:rPr>
                <w:sz w:val="18"/>
                <w:szCs w:val="18"/>
              </w:rPr>
              <w:t>Lamphel</w:t>
            </w:r>
            <w:proofErr w:type="spellEnd"/>
            <w:r w:rsidRPr="00F92109">
              <w:rPr>
                <w:sz w:val="18"/>
                <w:szCs w:val="18"/>
              </w:rPr>
              <w:t>, Imphal west</w:t>
            </w:r>
            <w:r>
              <w:rPr>
                <w:sz w:val="18"/>
                <w:szCs w:val="18"/>
              </w:rPr>
              <w:t xml:space="preserve"> dist.</w:t>
            </w:r>
          </w:p>
        </w:tc>
        <w:tc>
          <w:tcPr>
            <w:tcW w:w="1414" w:type="dxa"/>
            <w:noWrap/>
            <w:vAlign w:val="center"/>
            <w:hideMark/>
          </w:tcPr>
          <w:p w14:paraId="04DBB84D"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49’11.36”</w:t>
            </w:r>
          </w:p>
        </w:tc>
        <w:tc>
          <w:tcPr>
            <w:tcW w:w="1454" w:type="dxa"/>
            <w:noWrap/>
            <w:vAlign w:val="center"/>
            <w:hideMark/>
          </w:tcPr>
          <w:p w14:paraId="7C3A26D4"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55'47.21”</w:t>
            </w:r>
          </w:p>
        </w:tc>
        <w:tc>
          <w:tcPr>
            <w:tcW w:w="1017" w:type="dxa"/>
            <w:noWrap/>
            <w:vAlign w:val="bottom"/>
            <w:hideMark/>
          </w:tcPr>
          <w:p w14:paraId="5DF09072"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782</w:t>
            </w:r>
          </w:p>
        </w:tc>
        <w:tc>
          <w:tcPr>
            <w:tcW w:w="1307" w:type="dxa"/>
            <w:noWrap/>
            <w:vAlign w:val="bottom"/>
            <w:hideMark/>
          </w:tcPr>
          <w:p w14:paraId="70E241F3"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26</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98</w:t>
            </w:r>
            <w:r>
              <w:rPr>
                <w:rFonts w:cstheme="minorHAnsi"/>
                <w:color w:val="000000"/>
                <w:sz w:val="18"/>
                <w:szCs w:val="18"/>
              </w:rPr>
              <w:t>%</w:t>
            </w:r>
          </w:p>
        </w:tc>
        <w:tc>
          <w:tcPr>
            <w:tcW w:w="2160" w:type="dxa"/>
            <w:noWrap/>
            <w:vAlign w:val="bottom"/>
            <w:hideMark/>
          </w:tcPr>
          <w:p w14:paraId="3308EDA1"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7891181F" w14:textId="77777777" w:rsidR="002470DA" w:rsidRPr="00516EEA" w:rsidRDefault="002470DA" w:rsidP="00A22FF2">
            <w:pPr>
              <w:jc w:val="center"/>
              <w:rPr>
                <w:rFonts w:cstheme="minorHAnsi"/>
                <w:color w:val="000000"/>
                <w:sz w:val="18"/>
                <w:szCs w:val="18"/>
              </w:rPr>
            </w:pPr>
            <w:r>
              <w:rPr>
                <w:rFonts w:cstheme="minorHAnsi"/>
                <w:color w:val="000000"/>
                <w:sz w:val="18"/>
                <w:szCs w:val="18"/>
              </w:rPr>
              <w:t>Chum</w:t>
            </w:r>
          </w:p>
        </w:tc>
        <w:tc>
          <w:tcPr>
            <w:tcW w:w="2921" w:type="dxa"/>
            <w:noWrap/>
            <w:vAlign w:val="bottom"/>
            <w:hideMark/>
          </w:tcPr>
          <w:p w14:paraId="715746E8" w14:textId="77777777" w:rsidR="002470DA" w:rsidRPr="00516EEA" w:rsidRDefault="002470DA" w:rsidP="00A22FF2">
            <w:pPr>
              <w:tabs>
                <w:tab w:val="left" w:pos="-187"/>
              </w:tabs>
              <w:rPr>
                <w:rFonts w:cstheme="minorHAnsi"/>
                <w:color w:val="000000"/>
                <w:sz w:val="18"/>
                <w:szCs w:val="18"/>
              </w:rPr>
            </w:pPr>
            <w:r w:rsidRPr="00516EEA">
              <w:rPr>
                <w:rFonts w:cstheme="minorHAnsi"/>
                <w:color w:val="000000"/>
                <w:sz w:val="18"/>
                <w:szCs w:val="18"/>
              </w:rPr>
              <w:t>Quarter</w:t>
            </w:r>
            <w:r>
              <w:rPr>
                <w:rFonts w:cstheme="minorHAnsi"/>
                <w:color w:val="000000"/>
                <w:sz w:val="18"/>
                <w:szCs w:val="18"/>
              </w:rPr>
              <w:t xml:space="preserve"> in</w:t>
            </w:r>
            <w:r w:rsidRPr="00516EEA">
              <w:rPr>
                <w:rFonts w:cstheme="minorHAnsi"/>
                <w:color w:val="000000"/>
                <w:sz w:val="18"/>
                <w:szCs w:val="18"/>
              </w:rPr>
              <w:t xml:space="preserve"> AIR staff colony</w:t>
            </w:r>
          </w:p>
        </w:tc>
      </w:tr>
      <w:tr w:rsidR="002470DA" w:rsidRPr="00516EEA" w14:paraId="091CAA0E" w14:textId="77777777" w:rsidTr="00EB0F65">
        <w:trPr>
          <w:trHeight w:val="330"/>
        </w:trPr>
        <w:tc>
          <w:tcPr>
            <w:tcW w:w="677" w:type="dxa"/>
            <w:noWrap/>
            <w:vAlign w:val="bottom"/>
            <w:hideMark/>
          </w:tcPr>
          <w:p w14:paraId="39720909"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26</w:t>
            </w:r>
          </w:p>
        </w:tc>
        <w:tc>
          <w:tcPr>
            <w:tcW w:w="1137" w:type="dxa"/>
            <w:noWrap/>
            <w:vAlign w:val="bottom"/>
            <w:hideMark/>
          </w:tcPr>
          <w:p w14:paraId="66D16D8B"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MDK2201</w:t>
            </w:r>
          </w:p>
        </w:tc>
        <w:tc>
          <w:tcPr>
            <w:tcW w:w="2678" w:type="dxa"/>
            <w:noWrap/>
            <w:vAlign w:val="bottom"/>
            <w:hideMark/>
          </w:tcPr>
          <w:p w14:paraId="0B644E15" w14:textId="77777777" w:rsidR="002470DA" w:rsidRPr="00516EEA" w:rsidRDefault="002470DA" w:rsidP="00A22FF2">
            <w:pPr>
              <w:rPr>
                <w:rFonts w:cstheme="minorHAnsi"/>
                <w:color w:val="000000"/>
                <w:sz w:val="18"/>
                <w:szCs w:val="18"/>
              </w:rPr>
            </w:pPr>
            <w:proofErr w:type="spellStart"/>
            <w:r w:rsidRPr="00516EEA">
              <w:rPr>
                <w:rFonts w:cstheme="minorHAnsi"/>
                <w:color w:val="000000"/>
                <w:sz w:val="18"/>
                <w:szCs w:val="18"/>
              </w:rPr>
              <w:t>Nambol</w:t>
            </w:r>
            <w:proofErr w:type="spellEnd"/>
            <w:r w:rsidRPr="00516EEA">
              <w:rPr>
                <w:rFonts w:cstheme="minorHAnsi"/>
                <w:color w:val="000000"/>
                <w:sz w:val="18"/>
                <w:szCs w:val="18"/>
              </w:rPr>
              <w:t xml:space="preserve"> Bazaar</w:t>
            </w:r>
            <w:r>
              <w:rPr>
                <w:rFonts w:cstheme="minorHAnsi"/>
                <w:color w:val="000000"/>
                <w:sz w:val="18"/>
                <w:szCs w:val="18"/>
              </w:rPr>
              <w:t xml:space="preserve">, Bishnupur dist. </w:t>
            </w:r>
          </w:p>
        </w:tc>
        <w:tc>
          <w:tcPr>
            <w:tcW w:w="1414" w:type="dxa"/>
            <w:noWrap/>
            <w:vAlign w:val="center"/>
            <w:hideMark/>
          </w:tcPr>
          <w:p w14:paraId="22143447" w14:textId="77777777" w:rsidR="002470DA" w:rsidRPr="00516EEA" w:rsidRDefault="002470DA" w:rsidP="00A22FF2">
            <w:pPr>
              <w:rPr>
                <w:rFonts w:cstheme="minorHAnsi"/>
                <w:color w:val="000000"/>
                <w:sz w:val="18"/>
                <w:szCs w:val="18"/>
              </w:rPr>
            </w:pPr>
            <w:r w:rsidRPr="00516EEA">
              <w:rPr>
                <w:rFonts w:cstheme="minorHAnsi"/>
                <w:color w:val="000000"/>
                <w:sz w:val="18"/>
                <w:szCs w:val="18"/>
              </w:rPr>
              <w:t>N24</w:t>
            </w:r>
            <w:r w:rsidRPr="00516EEA">
              <w:rPr>
                <w:rFonts w:cstheme="minorHAnsi"/>
                <w:color w:val="000000"/>
                <w:sz w:val="18"/>
                <w:szCs w:val="18"/>
                <w:vertAlign w:val="superscript"/>
              </w:rPr>
              <w:t>o</w:t>
            </w:r>
            <w:r w:rsidRPr="00516EEA">
              <w:rPr>
                <w:rFonts w:cstheme="minorHAnsi"/>
                <w:color w:val="000000"/>
                <w:sz w:val="18"/>
                <w:szCs w:val="18"/>
              </w:rPr>
              <w:t>43’06.03”</w:t>
            </w:r>
          </w:p>
        </w:tc>
        <w:tc>
          <w:tcPr>
            <w:tcW w:w="1454" w:type="dxa"/>
            <w:noWrap/>
            <w:vAlign w:val="center"/>
            <w:hideMark/>
          </w:tcPr>
          <w:p w14:paraId="7C26478E" w14:textId="77777777" w:rsidR="002470DA" w:rsidRPr="00516EEA" w:rsidRDefault="002470DA" w:rsidP="00A22FF2">
            <w:pPr>
              <w:rPr>
                <w:rFonts w:cstheme="minorHAnsi"/>
                <w:color w:val="000000"/>
                <w:sz w:val="18"/>
                <w:szCs w:val="18"/>
              </w:rPr>
            </w:pPr>
            <w:r w:rsidRPr="00516EEA">
              <w:rPr>
                <w:rFonts w:cstheme="minorHAnsi"/>
                <w:color w:val="000000"/>
                <w:sz w:val="18"/>
                <w:szCs w:val="18"/>
              </w:rPr>
              <w:t>E093</w:t>
            </w:r>
            <w:r w:rsidRPr="00516EEA">
              <w:rPr>
                <w:rFonts w:cstheme="minorHAnsi"/>
                <w:color w:val="000000"/>
                <w:sz w:val="18"/>
                <w:szCs w:val="18"/>
                <w:vertAlign w:val="superscript"/>
              </w:rPr>
              <w:t>o</w:t>
            </w:r>
            <w:r w:rsidRPr="00516EEA">
              <w:rPr>
                <w:rFonts w:cstheme="minorHAnsi"/>
                <w:color w:val="000000"/>
                <w:sz w:val="18"/>
                <w:szCs w:val="18"/>
              </w:rPr>
              <w:t>50'17.30”</w:t>
            </w:r>
          </w:p>
        </w:tc>
        <w:tc>
          <w:tcPr>
            <w:tcW w:w="1017" w:type="dxa"/>
            <w:noWrap/>
            <w:vAlign w:val="bottom"/>
            <w:hideMark/>
          </w:tcPr>
          <w:p w14:paraId="63940287"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776</w:t>
            </w:r>
          </w:p>
        </w:tc>
        <w:tc>
          <w:tcPr>
            <w:tcW w:w="1307" w:type="dxa"/>
            <w:noWrap/>
            <w:vAlign w:val="bottom"/>
            <w:hideMark/>
          </w:tcPr>
          <w:p w14:paraId="4031DD45" w14:textId="77777777" w:rsidR="002470DA" w:rsidRPr="00516EEA" w:rsidRDefault="002470DA" w:rsidP="00A22FF2">
            <w:pPr>
              <w:jc w:val="center"/>
              <w:rPr>
                <w:rFonts w:cstheme="minorHAnsi"/>
                <w:color w:val="000000"/>
                <w:sz w:val="18"/>
                <w:szCs w:val="18"/>
              </w:rPr>
            </w:pPr>
            <w:r w:rsidRPr="00516EEA">
              <w:rPr>
                <w:rFonts w:cstheme="minorHAnsi"/>
                <w:color w:val="000000"/>
                <w:sz w:val="18"/>
                <w:szCs w:val="18"/>
              </w:rPr>
              <w:t>24</w:t>
            </w:r>
            <w:r w:rsidRPr="008415A2">
              <w:rPr>
                <w:rFonts w:cstheme="minorHAnsi"/>
                <w:color w:val="000000"/>
                <w:sz w:val="18"/>
                <w:szCs w:val="18"/>
                <w:vertAlign w:val="superscript"/>
              </w:rPr>
              <w:t>0</w:t>
            </w:r>
            <w:r>
              <w:rPr>
                <w:rFonts w:cstheme="minorHAnsi"/>
                <w:color w:val="000000"/>
                <w:sz w:val="18"/>
                <w:szCs w:val="18"/>
              </w:rPr>
              <w:t>C,</w:t>
            </w:r>
            <w:r w:rsidRPr="00516EEA">
              <w:rPr>
                <w:rFonts w:cstheme="minorHAnsi"/>
                <w:color w:val="000000"/>
                <w:sz w:val="18"/>
                <w:szCs w:val="18"/>
              </w:rPr>
              <w:t xml:space="preserve"> 94</w:t>
            </w:r>
            <w:r>
              <w:rPr>
                <w:rFonts w:cstheme="minorHAnsi"/>
                <w:color w:val="000000"/>
                <w:sz w:val="18"/>
                <w:szCs w:val="18"/>
              </w:rPr>
              <w:t>%</w:t>
            </w:r>
          </w:p>
        </w:tc>
        <w:tc>
          <w:tcPr>
            <w:tcW w:w="2160" w:type="dxa"/>
            <w:noWrap/>
            <w:vAlign w:val="bottom"/>
            <w:hideMark/>
          </w:tcPr>
          <w:p w14:paraId="54026CF1" w14:textId="77777777" w:rsidR="002470DA" w:rsidRDefault="002470DA" w:rsidP="00A22FF2">
            <w:pPr>
              <w:jc w:val="center"/>
              <w:rPr>
                <w:rFonts w:cstheme="minorHAnsi"/>
                <w:color w:val="000000"/>
                <w:sz w:val="18"/>
                <w:szCs w:val="18"/>
              </w:rPr>
            </w:pPr>
            <w:proofErr w:type="spellStart"/>
            <w:proofErr w:type="gramStart"/>
            <w:r w:rsidRPr="00810350">
              <w:rPr>
                <w:rFonts w:cstheme="minorHAnsi"/>
                <w:i/>
                <w:color w:val="000000"/>
                <w:sz w:val="18"/>
                <w:szCs w:val="18"/>
              </w:rPr>
              <w:t>H.frenatus</w:t>
            </w:r>
            <w:proofErr w:type="spellEnd"/>
            <w:proofErr w:type="gramEnd"/>
            <w:r>
              <w:rPr>
                <w:rFonts w:cstheme="minorHAnsi"/>
                <w:color w:val="000000"/>
                <w:sz w:val="18"/>
                <w:szCs w:val="18"/>
              </w:rPr>
              <w:t xml:space="preserve">, </w:t>
            </w:r>
          </w:p>
          <w:p w14:paraId="7C1A4153" w14:textId="77777777" w:rsidR="002470DA" w:rsidRPr="00516EEA" w:rsidRDefault="002470DA" w:rsidP="00A22FF2">
            <w:pPr>
              <w:jc w:val="center"/>
              <w:rPr>
                <w:rFonts w:cstheme="minorHAnsi"/>
                <w:color w:val="000000"/>
                <w:sz w:val="18"/>
                <w:szCs w:val="18"/>
              </w:rPr>
            </w:pPr>
            <w:r>
              <w:rPr>
                <w:rFonts w:cstheme="minorHAnsi"/>
                <w:color w:val="000000"/>
                <w:sz w:val="18"/>
                <w:szCs w:val="18"/>
              </w:rPr>
              <w:t xml:space="preserve">Chum </w:t>
            </w:r>
          </w:p>
        </w:tc>
        <w:tc>
          <w:tcPr>
            <w:tcW w:w="2921" w:type="dxa"/>
            <w:noWrap/>
            <w:vAlign w:val="bottom"/>
            <w:hideMark/>
          </w:tcPr>
          <w:p w14:paraId="1648FCF3" w14:textId="77777777" w:rsidR="002470DA" w:rsidRPr="00516EEA" w:rsidRDefault="002470DA" w:rsidP="00A22FF2">
            <w:pPr>
              <w:rPr>
                <w:rFonts w:cstheme="minorHAnsi"/>
                <w:color w:val="000000"/>
                <w:sz w:val="18"/>
                <w:szCs w:val="18"/>
              </w:rPr>
            </w:pPr>
            <w:r w:rsidRPr="00516EEA">
              <w:rPr>
                <w:rFonts w:cstheme="minorHAnsi"/>
                <w:color w:val="000000"/>
                <w:sz w:val="18"/>
                <w:szCs w:val="18"/>
              </w:rPr>
              <w:t>Vacant shopping complex</w:t>
            </w:r>
          </w:p>
        </w:tc>
      </w:tr>
    </w:tbl>
    <w:p w14:paraId="2BB4A245" w14:textId="77777777" w:rsidR="002470DA" w:rsidRDefault="002470DA" w:rsidP="002470DA">
      <w:pPr>
        <w:spacing w:line="360" w:lineRule="auto"/>
        <w:jc w:val="center"/>
        <w:rPr>
          <w:rFonts w:cstheme="minorHAnsi"/>
          <w:b/>
          <w:kern w:val="2"/>
          <w:lang w:val="en-IN"/>
        </w:rPr>
        <w:sectPr w:rsidR="002470DA" w:rsidSect="00EE0611">
          <w:type w:val="continuous"/>
          <w:pgSz w:w="15840" w:h="12240" w:orient="landscape"/>
          <w:pgMar w:top="2016" w:right="2016" w:bottom="2016" w:left="1440" w:header="720" w:footer="1123" w:gutter="0"/>
          <w:cols w:space="720"/>
          <w:docGrid w:linePitch="272"/>
        </w:sectPr>
      </w:pPr>
    </w:p>
    <w:p w14:paraId="4BC1F9F9" w14:textId="77777777" w:rsidR="002470DA" w:rsidRPr="002470DA" w:rsidRDefault="002470DA" w:rsidP="002470DA">
      <w:pPr>
        <w:spacing w:line="360" w:lineRule="auto"/>
        <w:jc w:val="center"/>
        <w:rPr>
          <w:rFonts w:cstheme="minorHAnsi"/>
          <w:b/>
          <w:kern w:val="2"/>
          <w:lang w:val="en-IN"/>
        </w:rPr>
      </w:pPr>
    </w:p>
    <w:p w14:paraId="6B9F952E" w14:textId="77777777" w:rsidR="00D865B6" w:rsidRPr="00D47EA5" w:rsidRDefault="00D865B6" w:rsidP="00D865B6">
      <w:pPr>
        <w:pStyle w:val="ListParagraph"/>
        <w:spacing w:line="360" w:lineRule="auto"/>
        <w:ind w:left="0"/>
        <w:jc w:val="both"/>
        <w:rPr>
          <w:rFonts w:ascii="Arial" w:hAnsi="Arial" w:cs="Arial"/>
          <w:b/>
          <w:kern w:val="2"/>
          <w:lang w:val="en-IN"/>
        </w:rPr>
      </w:pPr>
      <w:r w:rsidRPr="00D47EA5">
        <w:rPr>
          <w:rFonts w:ascii="Arial" w:hAnsi="Arial" w:cs="Arial"/>
          <w:b/>
          <w:kern w:val="2"/>
          <w:lang w:val="en-IN"/>
        </w:rPr>
        <w:t>2.2</w:t>
      </w:r>
      <w:r w:rsidR="00CB3A57">
        <w:rPr>
          <w:rFonts w:ascii="Arial" w:hAnsi="Arial" w:cs="Arial"/>
          <w:b/>
          <w:kern w:val="2"/>
          <w:lang w:val="en-IN"/>
        </w:rPr>
        <w:t>. Samples, DNA extraction, and A</w:t>
      </w:r>
      <w:r w:rsidRPr="00D47EA5">
        <w:rPr>
          <w:rFonts w:ascii="Arial" w:hAnsi="Arial" w:cs="Arial"/>
          <w:b/>
          <w:kern w:val="2"/>
          <w:lang w:val="en-IN"/>
        </w:rPr>
        <w:t>mplification</w:t>
      </w:r>
    </w:p>
    <w:p w14:paraId="642AE9BD" w14:textId="003534A9" w:rsidR="00D865B6" w:rsidRPr="004B207F" w:rsidRDefault="00EA3CD1" w:rsidP="00723F55">
      <w:pPr>
        <w:spacing w:before="240" w:line="480" w:lineRule="auto"/>
        <w:jc w:val="both"/>
        <w:rPr>
          <w:rFonts w:cstheme="minorHAnsi"/>
          <w:sz w:val="24"/>
          <w:szCs w:val="24"/>
        </w:rPr>
      </w:pPr>
      <w:r>
        <w:rPr>
          <w:rFonts w:cstheme="minorHAnsi"/>
        </w:rPr>
        <w:t xml:space="preserve">All animals were handled </w:t>
      </w:r>
      <w:r w:rsidR="00D865B6" w:rsidRPr="008F5E55">
        <w:rPr>
          <w:rFonts w:cstheme="minorHAnsi"/>
        </w:rPr>
        <w:t xml:space="preserve">and sample </w:t>
      </w:r>
      <w:r>
        <w:rPr>
          <w:rFonts w:cstheme="minorHAnsi"/>
        </w:rPr>
        <w:t>collection</w:t>
      </w:r>
      <w:r w:rsidR="00D865B6" w:rsidRPr="008F5E55">
        <w:rPr>
          <w:rFonts w:cstheme="minorHAnsi"/>
        </w:rPr>
        <w:t xml:space="preserve"> w</w:t>
      </w:r>
      <w:r w:rsidR="00FC7BCD">
        <w:rPr>
          <w:rFonts w:cstheme="minorHAnsi"/>
        </w:rPr>
        <w:t>as</w:t>
      </w:r>
      <w:r w:rsidR="00D865B6" w:rsidRPr="008F5E55">
        <w:rPr>
          <w:rFonts w:cstheme="minorHAnsi"/>
        </w:rPr>
        <w:t xml:space="preserve"> performed in accordance </w:t>
      </w:r>
      <w:r w:rsidR="006C3C57">
        <w:rPr>
          <w:rFonts w:cstheme="minorHAnsi"/>
        </w:rPr>
        <w:t>to</w:t>
      </w:r>
      <w:r w:rsidR="00D865B6" w:rsidRPr="008F5E55">
        <w:rPr>
          <w:rFonts w:cstheme="minorHAnsi"/>
        </w:rPr>
        <w:t xml:space="preserve"> the </w:t>
      </w:r>
      <w:r w:rsidR="00B01ABD">
        <w:rPr>
          <w:rFonts w:cstheme="minorHAnsi"/>
        </w:rPr>
        <w:t>approved</w:t>
      </w:r>
      <w:r w:rsidR="00D865B6" w:rsidRPr="008F5E55">
        <w:rPr>
          <w:rFonts w:cstheme="minorHAnsi"/>
        </w:rPr>
        <w:t xml:space="preserve"> </w:t>
      </w:r>
      <w:r w:rsidR="00B01ABD">
        <w:rPr>
          <w:rFonts w:cstheme="minorHAnsi"/>
        </w:rPr>
        <w:t>protocols</w:t>
      </w:r>
      <w:r w:rsidR="00D865B6" w:rsidRPr="008F5E55">
        <w:rPr>
          <w:rFonts w:cstheme="minorHAnsi"/>
        </w:rPr>
        <w:t xml:space="preserve">. </w:t>
      </w:r>
      <w:r w:rsidR="00D865B6" w:rsidRPr="00D865B6">
        <w:rPr>
          <w:rFonts w:cstheme="minorHAnsi"/>
          <w:kern w:val="2"/>
          <w:lang w:val="en-IN"/>
        </w:rPr>
        <w:t>Standard PCR conditions and procedures were followed in order to amplify and sequence partial sequences of the mitochondrial cytochrome b (</w:t>
      </w:r>
      <w:proofErr w:type="spellStart"/>
      <w:r w:rsidR="00D865B6" w:rsidRPr="00D865B6">
        <w:rPr>
          <w:rFonts w:cstheme="minorHAnsi"/>
          <w:kern w:val="2"/>
          <w:lang w:val="en-IN"/>
        </w:rPr>
        <w:t>cyt</w:t>
      </w:r>
      <w:proofErr w:type="spellEnd"/>
      <w:r w:rsidR="00D865B6" w:rsidRPr="00D865B6">
        <w:rPr>
          <w:rFonts w:cstheme="minorHAnsi"/>
          <w:kern w:val="2"/>
          <w:lang w:val="en-IN"/>
        </w:rPr>
        <w:t xml:space="preserve"> b) genes (</w:t>
      </w:r>
      <w:r w:rsidR="00D865B6" w:rsidRPr="00A925DD">
        <w:rPr>
          <w:rFonts w:cstheme="minorHAnsi"/>
          <w:kern w:val="2"/>
          <w:lang w:val="en-IN"/>
        </w:rPr>
        <w:t xml:space="preserve">Carranza et </w:t>
      </w:r>
      <w:r w:rsidR="00A925DD" w:rsidRPr="00A925DD">
        <w:rPr>
          <w:rFonts w:cstheme="minorHAnsi"/>
          <w:kern w:val="2"/>
          <w:lang w:val="en-IN"/>
        </w:rPr>
        <w:t>al. 2006</w:t>
      </w:r>
      <w:r w:rsidR="00D865B6" w:rsidRPr="00A925DD">
        <w:rPr>
          <w:rFonts w:cstheme="minorHAnsi"/>
          <w:kern w:val="2"/>
          <w:lang w:val="en-IN"/>
        </w:rPr>
        <w:t>).</w:t>
      </w:r>
      <w:r w:rsidR="00D865B6" w:rsidRPr="00D865B6">
        <w:rPr>
          <w:rFonts w:cstheme="minorHAnsi"/>
          <w:kern w:val="2"/>
          <w:lang w:val="en-IN"/>
        </w:rPr>
        <w:t xml:space="preserve"> The </w:t>
      </w:r>
      <w:proofErr w:type="spellStart"/>
      <w:r w:rsidR="00D865B6" w:rsidRPr="00D865B6">
        <w:rPr>
          <w:rFonts w:cstheme="minorHAnsi"/>
          <w:kern w:val="2"/>
          <w:lang w:val="en-IN"/>
        </w:rPr>
        <w:t>cyt</w:t>
      </w:r>
      <w:proofErr w:type="spellEnd"/>
      <w:r w:rsidR="00D865B6" w:rsidRPr="00D865B6">
        <w:rPr>
          <w:rFonts w:cstheme="minorHAnsi"/>
          <w:kern w:val="2"/>
          <w:lang w:val="en-IN"/>
        </w:rPr>
        <w:t xml:space="preserve"> b primers used for both amplification and sequencing have the forward primer: </w:t>
      </w:r>
      <w:proofErr w:type="spellStart"/>
      <w:r w:rsidR="00D865B6" w:rsidRPr="00D865B6">
        <w:rPr>
          <w:rFonts w:cstheme="minorHAnsi"/>
          <w:kern w:val="2"/>
          <w:lang w:val="en-IN"/>
        </w:rPr>
        <w:t>Cytb_mcb</w:t>
      </w:r>
      <w:proofErr w:type="spellEnd"/>
      <w:r w:rsidR="00D865B6" w:rsidRPr="00D865B6">
        <w:rPr>
          <w:rFonts w:cstheme="minorHAnsi"/>
          <w:kern w:val="2"/>
          <w:lang w:val="en-IN"/>
        </w:rPr>
        <w:t xml:space="preserve"> 398-TACCATGAGGACAAATATCATTCTG and backward primer: </w:t>
      </w:r>
      <w:proofErr w:type="spellStart"/>
      <w:r w:rsidR="00D865B6" w:rsidRPr="00D865B6">
        <w:rPr>
          <w:rFonts w:cstheme="minorHAnsi"/>
          <w:kern w:val="2"/>
          <w:lang w:val="en-IN"/>
        </w:rPr>
        <w:t>Cytb_mcb</w:t>
      </w:r>
      <w:proofErr w:type="spellEnd"/>
      <w:r w:rsidR="00D865B6" w:rsidRPr="00D865B6">
        <w:rPr>
          <w:rFonts w:cstheme="minorHAnsi"/>
          <w:kern w:val="2"/>
          <w:lang w:val="en-IN"/>
        </w:rPr>
        <w:t xml:space="preserve"> 869- CCTCCTAGTTTGTTAGGGATTGATCG. Genomic DNA was extracted using the Qiagen </w:t>
      </w:r>
      <w:proofErr w:type="spellStart"/>
      <w:r w:rsidR="00D865B6" w:rsidRPr="00D865B6">
        <w:rPr>
          <w:rFonts w:cstheme="minorHAnsi"/>
          <w:kern w:val="2"/>
          <w:lang w:val="en-IN"/>
        </w:rPr>
        <w:t>DNeasy</w:t>
      </w:r>
      <w:proofErr w:type="spellEnd"/>
      <w:r w:rsidR="00D865B6" w:rsidRPr="00D865B6">
        <w:rPr>
          <w:rFonts w:cstheme="minorHAnsi"/>
          <w:kern w:val="2"/>
          <w:lang w:val="en-IN"/>
        </w:rPr>
        <w:t xml:space="preserve"> extraction kit from tail tissues stored in ethanol. A 450–500 nucleotide section of the mitochondrial </w:t>
      </w:r>
      <w:proofErr w:type="spellStart"/>
      <w:r w:rsidR="00D865B6" w:rsidRPr="00D865B6">
        <w:rPr>
          <w:rFonts w:cstheme="minorHAnsi"/>
          <w:kern w:val="2"/>
          <w:lang w:val="en-IN"/>
        </w:rPr>
        <w:t>cyt</w:t>
      </w:r>
      <w:proofErr w:type="spellEnd"/>
      <w:r w:rsidR="00D865B6" w:rsidRPr="00D865B6">
        <w:rPr>
          <w:rFonts w:cstheme="minorHAnsi"/>
          <w:kern w:val="2"/>
          <w:lang w:val="en-IN"/>
        </w:rPr>
        <w:t xml:space="preserve"> b gene was amplified using the primers </w:t>
      </w:r>
      <w:proofErr w:type="spellStart"/>
      <w:r w:rsidR="00D865B6" w:rsidRPr="00D865B6">
        <w:rPr>
          <w:rFonts w:cstheme="minorHAnsi"/>
          <w:kern w:val="2"/>
          <w:lang w:val="en-IN"/>
        </w:rPr>
        <w:t>Cytb_mcc</w:t>
      </w:r>
      <w:proofErr w:type="spellEnd"/>
      <w:r w:rsidR="00D865B6" w:rsidRPr="00D865B6">
        <w:rPr>
          <w:rFonts w:cstheme="minorHAnsi"/>
          <w:kern w:val="2"/>
          <w:lang w:val="en-IN"/>
        </w:rPr>
        <w:t xml:space="preserve"> 398 and </w:t>
      </w:r>
      <w:proofErr w:type="spellStart"/>
      <w:r w:rsidR="00D865B6" w:rsidRPr="00D865B6">
        <w:rPr>
          <w:rFonts w:cstheme="minorHAnsi"/>
          <w:kern w:val="2"/>
          <w:lang w:val="en-IN"/>
        </w:rPr>
        <w:t>Cytb_mcb</w:t>
      </w:r>
      <w:proofErr w:type="spellEnd"/>
      <w:r w:rsidR="00D865B6" w:rsidRPr="00D865B6">
        <w:rPr>
          <w:rFonts w:cstheme="minorHAnsi"/>
          <w:kern w:val="2"/>
          <w:lang w:val="en-IN"/>
        </w:rPr>
        <w:t xml:space="preserve"> 869, and was then used to sequence the result as per the protocol by </w:t>
      </w:r>
      <w:r w:rsidR="00D865B6" w:rsidRPr="00A925DD">
        <w:rPr>
          <w:rFonts w:cstheme="minorHAnsi"/>
          <w:kern w:val="2"/>
          <w:lang w:val="en-IN"/>
        </w:rPr>
        <w:t>Macey et al. 1997.</w:t>
      </w:r>
      <w:r w:rsidR="00D865B6" w:rsidRPr="00D865B6">
        <w:rPr>
          <w:rFonts w:cstheme="minorHAnsi"/>
          <w:kern w:val="2"/>
          <w:lang w:val="en-IN"/>
        </w:rPr>
        <w:t xml:space="preserve"> The </w:t>
      </w:r>
      <w:proofErr w:type="spellStart"/>
      <w:r w:rsidR="00D865B6" w:rsidRPr="00D865B6">
        <w:rPr>
          <w:rFonts w:cstheme="minorHAnsi"/>
          <w:kern w:val="2"/>
          <w:lang w:val="en-IN"/>
        </w:rPr>
        <w:t>UniPath</w:t>
      </w:r>
      <w:proofErr w:type="spellEnd"/>
      <w:r w:rsidR="00D865B6" w:rsidRPr="00D865B6">
        <w:rPr>
          <w:rFonts w:cstheme="minorHAnsi"/>
          <w:kern w:val="2"/>
          <w:lang w:val="en-IN"/>
        </w:rPr>
        <w:t xml:space="preserve"> sequencing facility provided the commercial sequences. MEGA 5.2.2 (Tamura et al.</w:t>
      </w:r>
      <w:r w:rsidR="00D47EA5">
        <w:rPr>
          <w:rFonts w:cstheme="minorHAnsi"/>
          <w:kern w:val="2"/>
          <w:lang w:val="en-IN"/>
        </w:rPr>
        <w:t>,</w:t>
      </w:r>
      <w:r w:rsidR="00D865B6" w:rsidRPr="00D865B6">
        <w:rPr>
          <w:rFonts w:cstheme="minorHAnsi"/>
          <w:kern w:val="2"/>
          <w:lang w:val="en-IN"/>
        </w:rPr>
        <w:t xml:space="preserve"> 2011) was used to align the sequences and compute the uncorrected percentage pairwise sequence divergence. Ten separate maximum likelihood (ML) runs were used to generate the phylogeny, and 1000 quick bootstraps were run to evaluate its support.</w:t>
      </w:r>
    </w:p>
    <w:p w14:paraId="5D55E461" w14:textId="77777777" w:rsidR="00D865B6" w:rsidRPr="00723F55" w:rsidRDefault="00D865B6" w:rsidP="00723F55">
      <w:pPr>
        <w:spacing w:before="240" w:line="480" w:lineRule="auto"/>
        <w:jc w:val="both"/>
        <w:rPr>
          <w:rFonts w:ascii="Arial" w:hAnsi="Arial" w:cs="Arial"/>
          <w:b/>
          <w:kern w:val="2"/>
          <w:sz w:val="22"/>
          <w:szCs w:val="22"/>
          <w:lang w:val="en-IN"/>
        </w:rPr>
      </w:pPr>
      <w:r w:rsidRPr="00723F55">
        <w:rPr>
          <w:rFonts w:ascii="Arial" w:hAnsi="Arial" w:cs="Arial"/>
          <w:b/>
          <w:kern w:val="2"/>
          <w:sz w:val="22"/>
          <w:szCs w:val="22"/>
          <w:lang w:val="en-IN"/>
        </w:rPr>
        <w:t>2.3. Mapping using GIS and Remote sensing Technique</w:t>
      </w:r>
    </w:p>
    <w:p w14:paraId="43274C95" w14:textId="3B71925C" w:rsidR="00790ADA" w:rsidRPr="004F53E0" w:rsidRDefault="00D865B6" w:rsidP="00A925DD">
      <w:pPr>
        <w:autoSpaceDE w:val="0"/>
        <w:autoSpaceDN w:val="0"/>
        <w:adjustRightInd w:val="0"/>
        <w:spacing w:before="240" w:after="240" w:line="480" w:lineRule="auto"/>
        <w:jc w:val="both"/>
        <w:rPr>
          <w:rFonts w:cstheme="minorHAnsi"/>
          <w:kern w:val="2"/>
          <w:lang w:val="en-IN"/>
        </w:rPr>
      </w:pPr>
      <w:r w:rsidRPr="00D865B6">
        <w:rPr>
          <w:rFonts w:cstheme="minorHAnsi"/>
          <w:kern w:val="2"/>
          <w:lang w:val="en-IN"/>
        </w:rPr>
        <w:t xml:space="preserve">To </w:t>
      </w:r>
      <w:proofErr w:type="spellStart"/>
      <w:r w:rsidRPr="00D865B6">
        <w:rPr>
          <w:rFonts w:cstheme="minorHAnsi"/>
          <w:kern w:val="2"/>
          <w:lang w:val="en-IN"/>
        </w:rPr>
        <w:t>analyze</w:t>
      </w:r>
      <w:proofErr w:type="spellEnd"/>
      <w:r w:rsidRPr="00D865B6">
        <w:rPr>
          <w:rFonts w:cstheme="minorHAnsi"/>
          <w:kern w:val="2"/>
          <w:lang w:val="en-IN"/>
        </w:rPr>
        <w:t xml:space="preserve"> faunal diversity and verify the accuracy of ground data, we carried out a field survey from </w:t>
      </w:r>
      <w:r w:rsidRPr="00B01ABD">
        <w:rPr>
          <w:rFonts w:cstheme="minorHAnsi"/>
          <w:kern w:val="2"/>
          <w:lang w:val="en-IN"/>
        </w:rPr>
        <w:t>October 2019 to November 2024.</w:t>
      </w:r>
      <w:r w:rsidRPr="00D865B6">
        <w:rPr>
          <w:rFonts w:cstheme="minorHAnsi"/>
          <w:kern w:val="2"/>
          <w:lang w:val="en-IN"/>
        </w:rPr>
        <w:t xml:space="preserve"> In order to document the faunal dive</w:t>
      </w:r>
      <w:r w:rsidR="001214CE">
        <w:rPr>
          <w:rFonts w:cstheme="minorHAnsi"/>
          <w:kern w:val="2"/>
          <w:lang w:val="en-IN"/>
        </w:rPr>
        <w:t>rsity in the sampling plots, we</w:t>
      </w:r>
      <w:r w:rsidRPr="00D865B6">
        <w:rPr>
          <w:rFonts w:cstheme="minorHAnsi"/>
          <w:kern w:val="2"/>
          <w:lang w:val="en-IN"/>
        </w:rPr>
        <w:t xml:space="preserve"> employed a variety of traditional methods and field survey techniques, including, trail sampling, variable radius point count, visual encounter surveys, opportunistic records, and non-invasive sampling. The map of faunal richness of the study landscape was developed in QGIS (version- 3.38.3) utilizing the geospatial data of all the samples collected using Garmin </w:t>
      </w:r>
      <w:proofErr w:type="spellStart"/>
      <w:r w:rsidRPr="00D865B6">
        <w:rPr>
          <w:rFonts w:cstheme="minorHAnsi"/>
          <w:kern w:val="2"/>
          <w:lang w:val="en-IN"/>
        </w:rPr>
        <w:t>eTrex</w:t>
      </w:r>
      <w:proofErr w:type="spellEnd"/>
      <w:r w:rsidRPr="00D865B6">
        <w:rPr>
          <w:rFonts w:cstheme="minorHAnsi"/>
          <w:kern w:val="2"/>
          <w:lang w:val="en-IN"/>
        </w:rPr>
        <w:t xml:space="preserve"> 10.2.4. For phylogenetic analyses, the sequences for each gene were individually aligned with </w:t>
      </w:r>
      <w:proofErr w:type="spellStart"/>
      <w:r w:rsidRPr="00D865B6">
        <w:rPr>
          <w:rFonts w:cstheme="minorHAnsi"/>
          <w:kern w:val="2"/>
          <w:lang w:val="en-IN"/>
        </w:rPr>
        <w:t>ClustalW</w:t>
      </w:r>
      <w:proofErr w:type="spellEnd"/>
      <w:r w:rsidRPr="00D865B6">
        <w:rPr>
          <w:rFonts w:cstheme="minorHAnsi"/>
          <w:kern w:val="2"/>
          <w:lang w:val="en-IN"/>
        </w:rPr>
        <w:t xml:space="preserve"> v. 1.6 (Thompson et al.</w:t>
      </w:r>
      <w:r w:rsidR="00D47EA5">
        <w:rPr>
          <w:rFonts w:cstheme="minorHAnsi"/>
          <w:kern w:val="2"/>
          <w:lang w:val="en-IN"/>
        </w:rPr>
        <w:t>,</w:t>
      </w:r>
      <w:r w:rsidRPr="00D865B6">
        <w:rPr>
          <w:rFonts w:cstheme="minorHAnsi"/>
          <w:kern w:val="2"/>
          <w:lang w:val="en-IN"/>
        </w:rPr>
        <w:t xml:space="preserve"> 1994), included in MEGA (Tamura et al.</w:t>
      </w:r>
      <w:r w:rsidR="00CB3A57">
        <w:rPr>
          <w:rFonts w:cstheme="minorHAnsi"/>
          <w:kern w:val="2"/>
          <w:lang w:val="en-IN"/>
        </w:rPr>
        <w:t>,</w:t>
      </w:r>
      <w:r w:rsidRPr="00D865B6">
        <w:rPr>
          <w:rFonts w:cstheme="minorHAnsi"/>
          <w:kern w:val="2"/>
          <w:lang w:val="en-IN"/>
        </w:rPr>
        <w:t xml:space="preserve"> 2011) applying default parameters. The individual genes for each of the taxon were concatenated to establish a comprehensive dataset. We applied </w:t>
      </w:r>
      <w:proofErr w:type="spellStart"/>
      <w:r w:rsidRPr="00D865B6">
        <w:rPr>
          <w:rFonts w:cstheme="minorHAnsi"/>
          <w:kern w:val="2"/>
          <w:lang w:val="en-IN"/>
        </w:rPr>
        <w:t>PartitionFinder</w:t>
      </w:r>
      <w:proofErr w:type="spellEnd"/>
      <w:r w:rsidRPr="00D865B6">
        <w:rPr>
          <w:rFonts w:cstheme="minorHAnsi"/>
          <w:kern w:val="2"/>
          <w:lang w:val="en-IN"/>
        </w:rPr>
        <w:t xml:space="preserve"> v. 1.1.1 (Lanfear et al.</w:t>
      </w:r>
      <w:r w:rsidR="00CB3A57">
        <w:rPr>
          <w:rFonts w:cstheme="minorHAnsi"/>
          <w:kern w:val="2"/>
          <w:lang w:val="en-IN"/>
        </w:rPr>
        <w:t>,</w:t>
      </w:r>
      <w:r w:rsidRPr="00D865B6">
        <w:rPr>
          <w:rFonts w:cstheme="minorHAnsi"/>
          <w:kern w:val="2"/>
          <w:lang w:val="en-IN"/>
        </w:rPr>
        <w:t xml:space="preserve"> 2012) to identify the suitable partitioning scheme and the models of evolutionary sequence evolution for each partition. </w:t>
      </w:r>
    </w:p>
    <w:p w14:paraId="55B1C6D2" w14:textId="77777777" w:rsidR="00902823" w:rsidRDefault="00000F8F" w:rsidP="00A925DD">
      <w:pPr>
        <w:pStyle w:val="Head1"/>
        <w:spacing w:before="240" w:line="480" w:lineRule="auto"/>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5102D92F" w14:textId="311C3FA1" w:rsidR="00EB0F65" w:rsidRDefault="00060C57" w:rsidP="00A925DD">
      <w:pPr>
        <w:spacing w:after="240" w:line="480" w:lineRule="auto"/>
        <w:jc w:val="both"/>
        <w:rPr>
          <w:rFonts w:ascii="Arial" w:hAnsi="Arial" w:cs="Arial"/>
          <w:kern w:val="2"/>
          <w:lang w:val="en-IN"/>
        </w:rPr>
      </w:pPr>
      <w:r w:rsidRPr="00060C57">
        <w:rPr>
          <w:rFonts w:ascii="Arial" w:hAnsi="Arial" w:cs="Arial"/>
          <w:kern w:val="2"/>
          <w:lang w:val="en-IN"/>
        </w:rPr>
        <w:t xml:space="preserve">The sampling sites are not randomly distributed but are rather clustered. </w:t>
      </w:r>
      <w:r w:rsidRPr="003C3D07">
        <w:rPr>
          <w:rFonts w:ascii="Arial" w:hAnsi="Arial" w:cs="Arial"/>
          <w:b/>
          <w:kern w:val="2"/>
          <w:lang w:val="en-IN"/>
        </w:rPr>
        <w:t>Figure 2</w:t>
      </w:r>
      <w:r w:rsidRPr="00060C57">
        <w:rPr>
          <w:rFonts w:ascii="Arial" w:hAnsi="Arial" w:cs="Arial"/>
          <w:kern w:val="2"/>
          <w:lang w:val="en-IN"/>
        </w:rPr>
        <w:t xml:space="preserve"> illustrates the spatial distribution of sampling sites (MDK-coded points) in Manipur on a comprehensive topographic base map incorporating elevation gradients, river networks and topography. Most of the specimens are located concentrated in the central valley area surrounding Imphal and extend into the northern and north-eastern hill ranges, whereas the western and southern hill tracts are comparatively less represented. This spatial pattern suggests a strong influence of topography, where low elevation areas, </w:t>
      </w:r>
      <w:r w:rsidRPr="00060C57">
        <w:rPr>
          <w:rFonts w:ascii="Arial" w:hAnsi="Arial" w:cs="Arial"/>
          <w:kern w:val="2"/>
          <w:lang w:val="en-IN"/>
        </w:rPr>
        <w:lastRenderedPageBreak/>
        <w:t xml:space="preserve">especially around </w:t>
      </w:r>
      <w:proofErr w:type="spellStart"/>
      <w:r w:rsidRPr="00060C57">
        <w:rPr>
          <w:rFonts w:ascii="Arial" w:hAnsi="Arial" w:cs="Arial"/>
          <w:kern w:val="2"/>
          <w:lang w:val="en-IN"/>
        </w:rPr>
        <w:t>Loktak</w:t>
      </w:r>
      <w:proofErr w:type="spellEnd"/>
      <w:r w:rsidRPr="00060C57">
        <w:rPr>
          <w:rFonts w:ascii="Arial" w:hAnsi="Arial" w:cs="Arial"/>
          <w:kern w:val="2"/>
          <w:lang w:val="en-IN"/>
        </w:rPr>
        <w:t xml:space="preserve"> Lake, show flat terrain, wetlands, and dense river systems, which are likely to support higher sampling density because of better accessibility, greater habitat productivity and possibly higher species abundance or diversity. By contrast, high elevation hill regions are characterized by fewer, but selectively distributed sample sites, suggestive of logistical restrictions and occurrence of species adapted to montane habitats. Overall, the map shows a clear valley–hill gradient in species distribution, with lowland areas supporting generalist and highland locations perhaps harbouring specialist or unique species. The pattern of distribution underlines the importance of topography, hydrology and accessibility of sampling in the determination of spatial heterogeneity and biodiversity pattern in the region. </w:t>
      </w:r>
    </w:p>
    <w:p w14:paraId="7552C4ED" w14:textId="77777777" w:rsidR="00EB0F65" w:rsidRDefault="00EB0F65" w:rsidP="007A62FF">
      <w:pPr>
        <w:spacing w:line="276" w:lineRule="auto"/>
        <w:jc w:val="both"/>
        <w:rPr>
          <w:rFonts w:ascii="Arial" w:hAnsi="Arial" w:cs="Arial"/>
          <w:kern w:val="2"/>
          <w:lang w:val="en-IN"/>
        </w:rPr>
      </w:pPr>
      <w:r>
        <w:rPr>
          <w:rFonts w:ascii="Arial" w:hAnsi="Arial" w:cs="Arial"/>
          <w:noProof/>
          <w:kern w:val="2"/>
        </w:rPr>
        <w:drawing>
          <wp:inline distT="0" distB="0" distL="0" distR="0" wp14:anchorId="4DCF11FE" wp14:editId="419B9C8F">
            <wp:extent cx="6686108" cy="3975372"/>
            <wp:effectExtent l="0" t="0" r="0" b="0"/>
            <wp:docPr id="4" name="Picture 4" descr="C:\Users\lenovo\Desktop\Ph.D related documents\Ph.D work\Chapter 1\UP journal of zoology\To send\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Ph.D related documents\Ph.D work\Chapter 1\UP journal of zoology\To send\Figure 2.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17664" cy="3994134"/>
                    </a:xfrm>
                    <a:prstGeom prst="rect">
                      <a:avLst/>
                    </a:prstGeom>
                    <a:noFill/>
                    <a:ln>
                      <a:noFill/>
                    </a:ln>
                  </pic:spPr>
                </pic:pic>
              </a:graphicData>
            </a:graphic>
          </wp:inline>
        </w:drawing>
      </w:r>
    </w:p>
    <w:p w14:paraId="6952CC14" w14:textId="77777777" w:rsidR="003C2A9E" w:rsidRDefault="003C2A9E" w:rsidP="007A62FF">
      <w:pPr>
        <w:spacing w:line="360" w:lineRule="auto"/>
        <w:jc w:val="center"/>
        <w:rPr>
          <w:rFonts w:ascii="Arial" w:hAnsi="Arial" w:cs="Arial"/>
          <w:b/>
          <w:kern w:val="2"/>
          <w:lang w:val="en-IN"/>
        </w:rPr>
      </w:pPr>
    </w:p>
    <w:p w14:paraId="0359A4AC" w14:textId="4994B78F" w:rsidR="007A62FF" w:rsidRDefault="00EB0F65" w:rsidP="003C2A9E">
      <w:pPr>
        <w:spacing w:line="360" w:lineRule="auto"/>
        <w:jc w:val="both"/>
        <w:rPr>
          <w:rFonts w:ascii="Arial" w:hAnsi="Arial" w:cs="Arial"/>
          <w:b/>
          <w:kern w:val="2"/>
          <w:lang w:val="en-IN"/>
        </w:rPr>
      </w:pPr>
      <w:r w:rsidRPr="007A62FF">
        <w:rPr>
          <w:rFonts w:ascii="Arial" w:hAnsi="Arial" w:cs="Arial"/>
          <w:b/>
          <w:kern w:val="2"/>
          <w:lang w:val="en-IN"/>
        </w:rPr>
        <w:t xml:space="preserve">Fig. 2. </w:t>
      </w:r>
      <w:r w:rsidR="007A62FF" w:rsidRPr="007A62FF">
        <w:rPr>
          <w:rFonts w:ascii="Arial" w:hAnsi="Arial" w:cs="Arial"/>
          <w:b/>
          <w:kern w:val="2"/>
          <w:lang w:val="en-IN"/>
        </w:rPr>
        <w:t>(a) GIS-based physiographic map of Manipur showing elevation gradients, major river systems, road systems, and sample sites (MDK codes) overlaid on the topography; inset shows relative sampling abundance. (b) Simplified map illustrating spatial distribution of MDK sample sites within the state boundary. The figure shows the distribution of sampling sites in the context of topographic features and regional landscape structure.</w:t>
      </w:r>
    </w:p>
    <w:p w14:paraId="210F159B" w14:textId="77777777" w:rsidR="007A62FF" w:rsidRPr="007A62FF" w:rsidRDefault="007A62FF" w:rsidP="007A62FF">
      <w:pPr>
        <w:spacing w:line="360" w:lineRule="auto"/>
        <w:jc w:val="center"/>
        <w:rPr>
          <w:rFonts w:ascii="Arial" w:hAnsi="Arial" w:cs="Arial"/>
          <w:b/>
          <w:kern w:val="2"/>
          <w:lang w:val="en-IN"/>
        </w:rPr>
      </w:pPr>
    </w:p>
    <w:p w14:paraId="5ABC9AD9" w14:textId="031AB4F5" w:rsidR="00060C57" w:rsidRPr="00060C57" w:rsidRDefault="00485B26" w:rsidP="00A925DD">
      <w:pPr>
        <w:spacing w:after="240" w:line="480" w:lineRule="auto"/>
        <w:jc w:val="both"/>
        <w:rPr>
          <w:rFonts w:ascii="Arial" w:hAnsi="Arial" w:cs="Arial"/>
          <w:kern w:val="2"/>
          <w:lang w:val="en-IN"/>
        </w:rPr>
      </w:pPr>
      <w:r>
        <w:rPr>
          <w:rFonts w:ascii="Arial" w:hAnsi="Arial" w:cs="Arial"/>
          <w:kern w:val="2"/>
          <w:lang w:val="en-IN"/>
        </w:rPr>
        <w:t>F</w:t>
      </w:r>
      <w:r w:rsidR="00EB0F65" w:rsidRPr="00485B26">
        <w:rPr>
          <w:rFonts w:ascii="Arial" w:hAnsi="Arial" w:cs="Arial"/>
          <w:b/>
          <w:bCs/>
          <w:kern w:val="2"/>
          <w:lang w:val="en-IN"/>
        </w:rPr>
        <w:t>igure 3</w:t>
      </w:r>
      <w:r w:rsidR="00060C57" w:rsidRPr="00060C57">
        <w:rPr>
          <w:rFonts w:ascii="Arial" w:hAnsi="Arial" w:cs="Arial"/>
          <w:kern w:val="2"/>
          <w:lang w:val="en-IN"/>
        </w:rPr>
        <w:t>, highlight species of the genus</w:t>
      </w:r>
      <w:r w:rsidR="00060C57" w:rsidRPr="002470DA">
        <w:rPr>
          <w:rFonts w:ascii="Arial" w:hAnsi="Arial" w:cs="Arial"/>
          <w:kern w:val="2"/>
          <w:lang w:val="en-IN"/>
        </w:rPr>
        <w:t xml:space="preserve"> </w:t>
      </w:r>
      <w:r w:rsidR="003110D8" w:rsidRPr="003110D8">
        <w:rPr>
          <w:rFonts w:ascii="Arial" w:hAnsi="Arial" w:cs="Arial"/>
          <w:i/>
          <w:iCs/>
          <w:kern w:val="2"/>
          <w:lang w:val="en-IN"/>
        </w:rPr>
        <w:t>Hemidactylus</w:t>
      </w:r>
      <w:r w:rsidR="00060C57" w:rsidRPr="00060C57">
        <w:rPr>
          <w:rFonts w:ascii="Arial" w:hAnsi="Arial" w:cs="Arial"/>
          <w:kern w:val="2"/>
          <w:lang w:val="en-IN"/>
        </w:rPr>
        <w:t xml:space="preserve"> from different habitats such urban built-up areas, areas located near hydropower projects, reservoir edges and wetland ecosystems. Synanthropic populations in anthropogenic structures are shown in panel (a) and occurrences in semi-natural and altered - hill habitats with rocky substrates and mixed vegetation are shown in panels (b) and (c). Panel (d) indicates populations affiliated with lowland wetland and lacustrine settings. The graphic suggests habitat-specific occurrence patterns and indicates ecological adaptability of the documented gecko </w:t>
      </w:r>
      <w:r w:rsidR="00060C57" w:rsidRPr="00060C57">
        <w:rPr>
          <w:rFonts w:ascii="Arial" w:hAnsi="Arial" w:cs="Arial"/>
          <w:kern w:val="2"/>
          <w:lang w:val="en-IN"/>
        </w:rPr>
        <w:lastRenderedPageBreak/>
        <w:t>species, with distribution impacted by microhabitat availability, moisture regimes and degree of human disturbance across the region.</w:t>
      </w:r>
    </w:p>
    <w:p w14:paraId="108D51E0" w14:textId="77777777" w:rsidR="00060C57" w:rsidRDefault="00EB0F65" w:rsidP="00EB0F65">
      <w:pPr>
        <w:spacing w:line="480" w:lineRule="auto"/>
        <w:jc w:val="center"/>
        <w:rPr>
          <w:rFonts w:ascii="Arial" w:hAnsi="Arial" w:cs="Arial"/>
          <w:kern w:val="2"/>
          <w:lang w:val="en-IN"/>
        </w:rPr>
      </w:pPr>
      <w:r>
        <w:rPr>
          <w:rFonts w:ascii="Arial" w:hAnsi="Arial" w:cs="Arial"/>
          <w:noProof/>
          <w:kern w:val="2"/>
        </w:rPr>
        <w:drawing>
          <wp:inline distT="0" distB="0" distL="0" distR="0" wp14:anchorId="3E958A28" wp14:editId="09E1FBB9">
            <wp:extent cx="4988435" cy="3664003"/>
            <wp:effectExtent l="0" t="0" r="0" b="0"/>
            <wp:docPr id="3" name="Picture 3" descr="C:\Users\lenovo\Desktop\Ph.D related documents\Ph.D work\Chapter 1\UP journal of zoology\To send\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Ph.D related documents\Ph.D work\Chapter 1\UP journal of zoology\To send\Image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9596" cy="3664856"/>
                    </a:xfrm>
                    <a:prstGeom prst="rect">
                      <a:avLst/>
                    </a:prstGeom>
                    <a:noFill/>
                    <a:ln>
                      <a:noFill/>
                    </a:ln>
                  </pic:spPr>
                </pic:pic>
              </a:graphicData>
            </a:graphic>
          </wp:inline>
        </w:drawing>
      </w:r>
    </w:p>
    <w:p w14:paraId="188AA617" w14:textId="77777777" w:rsidR="004629B5" w:rsidRPr="004629B5" w:rsidRDefault="00EB0F65" w:rsidP="00485B26">
      <w:pPr>
        <w:spacing w:line="360" w:lineRule="auto"/>
        <w:jc w:val="both"/>
        <w:rPr>
          <w:rFonts w:ascii="Arial" w:hAnsi="Arial" w:cs="Arial"/>
          <w:b/>
          <w:kern w:val="2"/>
          <w:lang w:val="en-IN"/>
        </w:rPr>
      </w:pPr>
      <w:r w:rsidRPr="004629B5">
        <w:rPr>
          <w:rFonts w:ascii="Arial" w:hAnsi="Arial" w:cs="Arial"/>
          <w:b/>
          <w:kern w:val="2"/>
          <w:lang w:val="en-IN"/>
        </w:rPr>
        <w:t xml:space="preserve">Fig. 3. </w:t>
      </w:r>
      <w:r w:rsidR="004629B5" w:rsidRPr="004629B5">
        <w:rPr>
          <w:rFonts w:ascii="Arial" w:hAnsi="Arial" w:cs="Arial"/>
          <w:b/>
          <w:kern w:val="2"/>
          <w:lang w:val="en-IN"/>
        </w:rPr>
        <w:t xml:space="preserve">Representative images of recorded species from diverse locations of Manipur: (a) FCI Godown, Imphal West, (b) </w:t>
      </w:r>
      <w:proofErr w:type="spellStart"/>
      <w:r w:rsidR="004629B5" w:rsidRPr="004629B5">
        <w:rPr>
          <w:rFonts w:ascii="Arial" w:hAnsi="Arial" w:cs="Arial"/>
          <w:b/>
          <w:kern w:val="2"/>
          <w:lang w:val="en-IN"/>
        </w:rPr>
        <w:t>Leimatak</w:t>
      </w:r>
      <w:proofErr w:type="spellEnd"/>
      <w:r w:rsidR="004629B5" w:rsidRPr="004629B5">
        <w:rPr>
          <w:rFonts w:ascii="Arial" w:hAnsi="Arial" w:cs="Arial"/>
          <w:b/>
          <w:kern w:val="2"/>
          <w:lang w:val="en-IN"/>
        </w:rPr>
        <w:t xml:space="preserve">, CCP, (c) </w:t>
      </w:r>
      <w:proofErr w:type="spellStart"/>
      <w:r w:rsidR="004629B5" w:rsidRPr="004629B5">
        <w:rPr>
          <w:rFonts w:ascii="Arial" w:hAnsi="Arial" w:cs="Arial"/>
          <w:b/>
          <w:kern w:val="2"/>
          <w:lang w:val="en-IN"/>
        </w:rPr>
        <w:t>Khuga</w:t>
      </w:r>
      <w:proofErr w:type="spellEnd"/>
      <w:r w:rsidR="004629B5" w:rsidRPr="004629B5">
        <w:rPr>
          <w:rFonts w:ascii="Arial" w:hAnsi="Arial" w:cs="Arial"/>
          <w:b/>
          <w:kern w:val="2"/>
          <w:lang w:val="en-IN"/>
        </w:rPr>
        <w:t xml:space="preserve"> Dam, CCP, and (d) Thanga, Bishnupur district. The image illustrates the species prevalence across different habitats and ecological settings.</w:t>
      </w:r>
    </w:p>
    <w:p w14:paraId="1A127E2D" w14:textId="77777777" w:rsidR="00EB0F65" w:rsidRPr="00EB0F65" w:rsidRDefault="00EB0F65" w:rsidP="00EB0F65">
      <w:pPr>
        <w:spacing w:line="480" w:lineRule="auto"/>
        <w:jc w:val="center"/>
        <w:rPr>
          <w:rFonts w:ascii="Arial" w:hAnsi="Arial" w:cs="Arial"/>
          <w:b/>
          <w:kern w:val="2"/>
          <w:lang w:val="en-IN"/>
        </w:rPr>
      </w:pPr>
    </w:p>
    <w:p w14:paraId="527F3234" w14:textId="728CDF8A" w:rsidR="00060C57" w:rsidRPr="00060C57" w:rsidRDefault="00060C57" w:rsidP="00060C57">
      <w:pPr>
        <w:autoSpaceDE w:val="0"/>
        <w:autoSpaceDN w:val="0"/>
        <w:adjustRightInd w:val="0"/>
        <w:spacing w:line="480" w:lineRule="auto"/>
        <w:jc w:val="both"/>
        <w:rPr>
          <w:rFonts w:ascii="Arial" w:hAnsi="Arial" w:cs="Arial"/>
          <w:kern w:val="2"/>
          <w:lang w:val="en-IN"/>
        </w:rPr>
      </w:pPr>
      <w:r w:rsidRPr="00060C57">
        <w:rPr>
          <w:rFonts w:ascii="Arial" w:hAnsi="Arial" w:cs="Arial"/>
          <w:kern w:val="2"/>
          <w:lang w:val="en-IN"/>
        </w:rPr>
        <w:t xml:space="preserve">As depicted in </w:t>
      </w:r>
      <w:r w:rsidR="004629B5" w:rsidRPr="004F0222">
        <w:rPr>
          <w:rFonts w:ascii="Arial" w:hAnsi="Arial" w:cs="Arial"/>
          <w:b/>
          <w:kern w:val="2"/>
          <w:lang w:val="en-IN"/>
        </w:rPr>
        <w:t>figure 4</w:t>
      </w:r>
      <w:r w:rsidRPr="00060C57">
        <w:rPr>
          <w:rFonts w:ascii="Arial" w:hAnsi="Arial" w:cs="Arial"/>
          <w:bCs/>
          <w:kern w:val="2"/>
          <w:lang w:val="en-IN"/>
        </w:rPr>
        <w:t>,</w:t>
      </w:r>
      <w:r w:rsidRPr="00060C57">
        <w:rPr>
          <w:rFonts w:ascii="Arial" w:hAnsi="Arial" w:cs="Arial"/>
          <w:kern w:val="2"/>
          <w:lang w:val="en-IN"/>
        </w:rPr>
        <w:t xml:space="preserve"> molecular phylogenetic tree of geckos, primarily from the genus </w:t>
      </w:r>
      <w:r w:rsidR="003110D8" w:rsidRPr="003110D8">
        <w:rPr>
          <w:rFonts w:ascii="Arial" w:hAnsi="Arial" w:cs="Arial"/>
          <w:i/>
          <w:iCs/>
          <w:kern w:val="2"/>
          <w:lang w:val="en-IN"/>
        </w:rPr>
        <w:t>Hemidactylus</w:t>
      </w:r>
      <w:r w:rsidRPr="002470DA">
        <w:rPr>
          <w:rFonts w:ascii="Arial" w:hAnsi="Arial" w:cs="Arial"/>
          <w:kern w:val="2"/>
          <w:lang w:val="en-IN"/>
        </w:rPr>
        <w:t>,</w:t>
      </w:r>
      <w:r w:rsidRPr="00060C57">
        <w:rPr>
          <w:rFonts w:ascii="Arial" w:hAnsi="Arial" w:cs="Arial"/>
          <w:kern w:val="2"/>
          <w:lang w:val="en-IN"/>
        </w:rPr>
        <w:t xml:space="preserve"> was constructed using mitochondrial </w:t>
      </w:r>
      <w:proofErr w:type="spellStart"/>
      <w:r w:rsidRPr="00060C57">
        <w:rPr>
          <w:rFonts w:ascii="Arial" w:hAnsi="Arial" w:cs="Arial"/>
          <w:kern w:val="2"/>
          <w:lang w:val="en-IN"/>
        </w:rPr>
        <w:t>Cyt</w:t>
      </w:r>
      <w:proofErr w:type="spellEnd"/>
      <w:r w:rsidRPr="00060C57">
        <w:rPr>
          <w:rFonts w:ascii="Arial" w:hAnsi="Arial" w:cs="Arial"/>
          <w:kern w:val="2"/>
          <w:lang w:val="en-IN"/>
        </w:rPr>
        <w:t xml:space="preserve"> b gene sequences. The tree is rooted and has two outgroup taxa: </w:t>
      </w:r>
      <w:proofErr w:type="spellStart"/>
      <w:r w:rsidRPr="00060C57">
        <w:rPr>
          <w:rFonts w:ascii="Arial" w:hAnsi="Arial" w:cs="Arial"/>
          <w:i/>
          <w:iCs/>
          <w:kern w:val="2"/>
          <w:lang w:val="en-IN"/>
        </w:rPr>
        <w:t>Cyrtodactylus</w:t>
      </w:r>
      <w:proofErr w:type="spellEnd"/>
      <w:r w:rsidRPr="00060C57">
        <w:rPr>
          <w:rFonts w:ascii="Arial" w:hAnsi="Arial" w:cs="Arial"/>
          <w:i/>
          <w:iCs/>
          <w:kern w:val="2"/>
          <w:lang w:val="en-IN"/>
        </w:rPr>
        <w:t xml:space="preserve"> </w:t>
      </w:r>
      <w:proofErr w:type="spellStart"/>
      <w:r w:rsidRPr="00060C57">
        <w:rPr>
          <w:rFonts w:ascii="Arial" w:hAnsi="Arial" w:cs="Arial"/>
          <w:i/>
          <w:iCs/>
          <w:kern w:val="2"/>
          <w:lang w:val="en-IN"/>
        </w:rPr>
        <w:t>collegalensis</w:t>
      </w:r>
      <w:proofErr w:type="spellEnd"/>
      <w:r w:rsidRPr="00060C57">
        <w:rPr>
          <w:rFonts w:ascii="Arial" w:hAnsi="Arial" w:cs="Arial"/>
          <w:kern w:val="2"/>
          <w:lang w:val="en-IN"/>
        </w:rPr>
        <w:t xml:space="preserve"> and </w:t>
      </w:r>
      <w:proofErr w:type="spellStart"/>
      <w:r w:rsidRPr="00060C57">
        <w:rPr>
          <w:rFonts w:ascii="Arial" w:hAnsi="Arial" w:cs="Arial"/>
          <w:i/>
          <w:iCs/>
          <w:kern w:val="2"/>
          <w:lang w:val="en-IN"/>
        </w:rPr>
        <w:t>Cyrtodactylus</w:t>
      </w:r>
      <w:proofErr w:type="spellEnd"/>
      <w:r w:rsidRPr="00060C57">
        <w:rPr>
          <w:rFonts w:ascii="Arial" w:hAnsi="Arial" w:cs="Arial"/>
          <w:i/>
          <w:iCs/>
          <w:kern w:val="2"/>
          <w:lang w:val="en-IN"/>
        </w:rPr>
        <w:t xml:space="preserve"> </w:t>
      </w:r>
      <w:proofErr w:type="spellStart"/>
      <w:r w:rsidRPr="00060C57">
        <w:rPr>
          <w:rFonts w:ascii="Arial" w:hAnsi="Arial" w:cs="Arial"/>
          <w:i/>
          <w:iCs/>
          <w:kern w:val="2"/>
          <w:lang w:val="en-IN"/>
        </w:rPr>
        <w:t>triedrus</w:t>
      </w:r>
      <w:proofErr w:type="spellEnd"/>
      <w:r w:rsidRPr="00060C57">
        <w:rPr>
          <w:rFonts w:ascii="Arial" w:hAnsi="Arial" w:cs="Arial"/>
          <w:kern w:val="2"/>
          <w:lang w:val="en-IN"/>
        </w:rPr>
        <w:t xml:space="preserve">. These serve as reference points to deduce evolutionary relationships within </w:t>
      </w:r>
      <w:r w:rsidR="003110D8" w:rsidRPr="003110D8">
        <w:rPr>
          <w:rFonts w:ascii="Arial" w:hAnsi="Arial" w:cs="Arial"/>
          <w:i/>
          <w:iCs/>
          <w:kern w:val="2"/>
          <w:lang w:val="en-IN"/>
        </w:rPr>
        <w:t>Hemidactylus</w:t>
      </w:r>
      <w:r w:rsidRPr="002470DA">
        <w:rPr>
          <w:rFonts w:ascii="Arial" w:hAnsi="Arial" w:cs="Arial"/>
          <w:kern w:val="2"/>
          <w:lang w:val="en-IN"/>
        </w:rPr>
        <w:t>.</w:t>
      </w:r>
      <w:r w:rsidRPr="00060C57">
        <w:rPr>
          <w:rFonts w:ascii="Arial" w:hAnsi="Arial" w:cs="Arial"/>
          <w:kern w:val="2"/>
          <w:lang w:val="en-IN"/>
        </w:rPr>
        <w:t xml:space="preserve"> Bootstrap support values are the numbers next to nodes (for example, 60%), which show how confident you are of each clade. The </w:t>
      </w:r>
      <w:r w:rsidR="003110D8" w:rsidRPr="003110D8">
        <w:rPr>
          <w:rFonts w:ascii="Arial" w:hAnsi="Arial" w:cs="Arial"/>
          <w:i/>
          <w:iCs/>
          <w:kern w:val="2"/>
          <w:lang w:val="en-IN"/>
        </w:rPr>
        <w:t>Hemidactylus</w:t>
      </w:r>
      <w:r w:rsidRPr="00060C57">
        <w:rPr>
          <w:rFonts w:ascii="Arial" w:hAnsi="Arial" w:cs="Arial"/>
          <w:i/>
          <w:kern w:val="2"/>
          <w:lang w:val="en-IN"/>
        </w:rPr>
        <w:t xml:space="preserve"> frenatus</w:t>
      </w:r>
      <w:r w:rsidRPr="00060C57">
        <w:rPr>
          <w:rFonts w:ascii="Arial" w:hAnsi="Arial" w:cs="Arial"/>
          <w:kern w:val="2"/>
          <w:lang w:val="en-IN"/>
        </w:rPr>
        <w:t xml:space="preserve"> clade has several samples with the following labels: MDK 1601, 2201, 2101, 1701, 1401, 1001 and 0201. These groups are genetically similar, which means they are probably the same species or closely related groups. The Bootstrap support is only moderate (around 51–60%), which means that there is some genetic variation within the species. The </w:t>
      </w:r>
      <w:r w:rsidR="003110D8" w:rsidRPr="003110D8">
        <w:rPr>
          <w:rFonts w:ascii="Arial" w:hAnsi="Arial" w:cs="Arial"/>
          <w:i/>
          <w:iCs/>
          <w:kern w:val="2"/>
          <w:lang w:val="en-IN"/>
        </w:rPr>
        <w:t>Hemidactylus</w:t>
      </w:r>
      <w:r w:rsidRPr="00060C57">
        <w:rPr>
          <w:rFonts w:ascii="Arial" w:hAnsi="Arial" w:cs="Arial"/>
          <w:i/>
          <w:iCs/>
          <w:kern w:val="2"/>
          <w:lang w:val="en-IN"/>
        </w:rPr>
        <w:t xml:space="preserve"> </w:t>
      </w:r>
      <w:proofErr w:type="spellStart"/>
      <w:r w:rsidRPr="00060C57">
        <w:rPr>
          <w:rFonts w:ascii="Arial" w:hAnsi="Arial" w:cs="Arial"/>
          <w:i/>
          <w:iCs/>
          <w:kern w:val="2"/>
          <w:lang w:val="en-IN"/>
        </w:rPr>
        <w:t>bowringii</w:t>
      </w:r>
      <w:proofErr w:type="spellEnd"/>
      <w:r w:rsidRPr="00060C57">
        <w:rPr>
          <w:rFonts w:ascii="Arial" w:hAnsi="Arial" w:cs="Arial"/>
          <w:kern w:val="2"/>
          <w:lang w:val="en-IN"/>
        </w:rPr>
        <w:t xml:space="preserve"> clade, comprising samples MDK 1201A, 1501, 1901, 1201B and 0901, constitutes a unique cluster, different from </w:t>
      </w:r>
      <w:r w:rsidRPr="00060C57">
        <w:rPr>
          <w:rFonts w:ascii="Arial" w:hAnsi="Arial" w:cs="Arial"/>
          <w:i/>
          <w:kern w:val="2"/>
          <w:lang w:val="en-IN"/>
        </w:rPr>
        <w:t>H. frenatus</w:t>
      </w:r>
      <w:r w:rsidRPr="00060C57">
        <w:rPr>
          <w:rFonts w:ascii="Arial" w:hAnsi="Arial" w:cs="Arial"/>
          <w:kern w:val="2"/>
          <w:lang w:val="en-IN"/>
        </w:rPr>
        <w:t xml:space="preserve">. It shows that the species are unambiguously distinct, but the internal branching shows that the population may be structured and that there may be minor variations between samples. This indicates a potential close evolutionary lineage or misidentification/cryptic lineage. That suggests the necessity of additional markers to precisely </w:t>
      </w:r>
      <w:r w:rsidRPr="00060C57">
        <w:rPr>
          <w:rFonts w:ascii="Arial" w:hAnsi="Arial" w:cs="Arial"/>
          <w:kern w:val="2"/>
          <w:lang w:val="en-IN"/>
        </w:rPr>
        <w:lastRenderedPageBreak/>
        <w:t xml:space="preserve">establish the evolutionary lineage. The phylogenetic tree displays two parallel sets of samples. Both datasets exhibit analogous clustering patterns. This corroborates the consistency in phylogenetic signal and indicates comparable </w:t>
      </w:r>
      <w:r w:rsidRPr="00060C57">
        <w:rPr>
          <w:rFonts w:ascii="Arial" w:hAnsi="Arial" w:cs="Arial"/>
          <w:i/>
          <w:iCs/>
          <w:kern w:val="2"/>
          <w:lang w:val="en-IN"/>
        </w:rPr>
        <w:t>in situ</w:t>
      </w:r>
      <w:r w:rsidRPr="00060C57">
        <w:rPr>
          <w:rFonts w:ascii="Arial" w:hAnsi="Arial" w:cs="Arial"/>
          <w:kern w:val="2"/>
          <w:lang w:val="en-IN"/>
        </w:rPr>
        <w:t xml:space="preserve"> diversification patterns. Very small branch lengths within clusters (e.g., 0.000–0.01) indicate minor genetic divergence, which means that the species may have separated recently or are the same species. Larger branch lengths within clades indicate species-level separation. Bootstrap values range from 40% to 60%, which means there is moderate confidence. This could be because only one marker (</w:t>
      </w:r>
      <w:proofErr w:type="spellStart"/>
      <w:r w:rsidRPr="00060C57">
        <w:rPr>
          <w:rFonts w:ascii="Arial" w:hAnsi="Arial" w:cs="Arial"/>
          <w:kern w:val="2"/>
          <w:lang w:val="en-IN"/>
        </w:rPr>
        <w:t>Cyt</w:t>
      </w:r>
      <w:proofErr w:type="spellEnd"/>
      <w:r w:rsidRPr="00060C57">
        <w:rPr>
          <w:rFonts w:ascii="Arial" w:hAnsi="Arial" w:cs="Arial"/>
          <w:kern w:val="2"/>
          <w:lang w:val="en-IN"/>
        </w:rPr>
        <w:t xml:space="preserve"> b) was used, which has a short sequence length and comes from closely related taxa. </w:t>
      </w:r>
      <w:r w:rsidRPr="00060C57">
        <w:rPr>
          <w:rFonts w:ascii="Arial" w:hAnsi="Arial" w:cs="Arial"/>
          <w:i/>
          <w:kern w:val="2"/>
          <w:lang w:val="en-IN"/>
        </w:rPr>
        <w:t>H. frenatus</w:t>
      </w:r>
      <w:r w:rsidRPr="00060C57">
        <w:rPr>
          <w:rFonts w:ascii="Arial" w:hAnsi="Arial" w:cs="Arial"/>
          <w:kern w:val="2"/>
          <w:lang w:val="en-IN"/>
        </w:rPr>
        <w:t xml:space="preserve"> and </w:t>
      </w:r>
      <w:r w:rsidRPr="00060C57">
        <w:rPr>
          <w:rFonts w:ascii="Arial" w:hAnsi="Arial" w:cs="Arial"/>
          <w:i/>
          <w:kern w:val="2"/>
          <w:lang w:val="en-IN"/>
        </w:rPr>
        <w:t xml:space="preserve">H. </w:t>
      </w:r>
      <w:proofErr w:type="spellStart"/>
      <w:r w:rsidRPr="00060C57">
        <w:rPr>
          <w:rFonts w:ascii="Arial" w:hAnsi="Arial" w:cs="Arial"/>
          <w:i/>
          <w:kern w:val="2"/>
          <w:lang w:val="en-IN"/>
        </w:rPr>
        <w:t>bowringii</w:t>
      </w:r>
      <w:proofErr w:type="spellEnd"/>
      <w:r w:rsidRPr="00060C57">
        <w:rPr>
          <w:rFonts w:ascii="Arial" w:hAnsi="Arial" w:cs="Arial"/>
          <w:kern w:val="2"/>
          <w:lang w:val="en-IN"/>
        </w:rPr>
        <w:t xml:space="preserve"> are separate clades, affirming their taxonomic validity as distinct species-level clusters. Multiple sub-branches within each species reinforce population divergence and potential early-stage speciation. The similar topology in both MCB groups indicates a parallel structure across datasets, suggesting a stable evolutionary pattern and reinforce phylogenetic reliability. There are, however, limitations with this tree. Specifically, the low bootstrap value indicating weak confidence, the use of single mitochondrial marker (</w:t>
      </w:r>
      <w:proofErr w:type="spellStart"/>
      <w:r w:rsidRPr="00060C57">
        <w:rPr>
          <w:rFonts w:ascii="Arial" w:hAnsi="Arial" w:cs="Arial"/>
          <w:kern w:val="2"/>
          <w:lang w:val="en-IN"/>
        </w:rPr>
        <w:t>Cyt</w:t>
      </w:r>
      <w:proofErr w:type="spellEnd"/>
      <w:r w:rsidRPr="00060C57">
        <w:rPr>
          <w:rFonts w:ascii="Arial" w:hAnsi="Arial" w:cs="Arial"/>
          <w:kern w:val="2"/>
          <w:lang w:val="en-IN"/>
        </w:rPr>
        <w:t xml:space="preserve"> b) and limited geographical sampling indicating that the results do not fully resolve deep evolutionary relationships.</w:t>
      </w:r>
    </w:p>
    <w:p w14:paraId="74B5D505" w14:textId="77777777" w:rsidR="00790ADA" w:rsidRDefault="00EB0F65" w:rsidP="00EB0F65">
      <w:pPr>
        <w:pStyle w:val="Body"/>
        <w:spacing w:after="0"/>
        <w:jc w:val="center"/>
        <w:rPr>
          <w:rFonts w:ascii="Arial" w:hAnsi="Arial" w:cs="Arial"/>
        </w:rPr>
      </w:pPr>
      <w:r>
        <w:rPr>
          <w:rFonts w:ascii="Arial" w:hAnsi="Arial" w:cs="Arial"/>
          <w:noProof/>
        </w:rPr>
        <w:drawing>
          <wp:inline distT="0" distB="0" distL="0" distR="0" wp14:anchorId="3D829DDB" wp14:editId="56EEB67F">
            <wp:extent cx="5619750" cy="3187865"/>
            <wp:effectExtent l="0" t="0" r="0" b="0"/>
            <wp:docPr id="2" name="Picture 2" descr="C:\Users\lenovo\Desktop\Ph.D related documents\Ph.D work\Chapter 1\UP journal of zoology\To send\Figure 3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Ph.D related documents\Ph.D work\Chapter 1\UP journal of zoology\To send\Figure 3 (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0" cy="3187865"/>
                    </a:xfrm>
                    <a:prstGeom prst="rect">
                      <a:avLst/>
                    </a:prstGeom>
                    <a:noFill/>
                    <a:ln>
                      <a:noFill/>
                    </a:ln>
                  </pic:spPr>
                </pic:pic>
              </a:graphicData>
            </a:graphic>
          </wp:inline>
        </w:drawing>
      </w:r>
    </w:p>
    <w:p w14:paraId="45D3ABAA" w14:textId="0CA791ED" w:rsidR="0052255F" w:rsidRPr="0052255F" w:rsidRDefault="00EB0F65" w:rsidP="0076522F">
      <w:pPr>
        <w:spacing w:line="360" w:lineRule="auto"/>
        <w:jc w:val="both"/>
        <w:rPr>
          <w:rFonts w:ascii="Arial" w:hAnsi="Arial" w:cs="Arial"/>
          <w:b/>
          <w:kern w:val="2"/>
          <w:lang w:val="en-IN"/>
        </w:rPr>
      </w:pPr>
      <w:r w:rsidRPr="0052255F">
        <w:rPr>
          <w:rFonts w:ascii="Arial" w:hAnsi="Arial" w:cs="Arial"/>
          <w:b/>
        </w:rPr>
        <w:t xml:space="preserve">Fig. 4. </w:t>
      </w:r>
      <w:r w:rsidR="0052255F" w:rsidRPr="0052255F">
        <w:rPr>
          <w:rFonts w:ascii="Arial" w:hAnsi="Arial" w:cs="Arial"/>
          <w:b/>
          <w:kern w:val="2"/>
          <w:lang w:val="en-IN"/>
        </w:rPr>
        <w:t xml:space="preserve">Maximum Likelihood phylogenetic tree of the endemic radiation of </w:t>
      </w:r>
      <w:r w:rsidR="003110D8" w:rsidRPr="003110D8">
        <w:rPr>
          <w:rFonts w:ascii="Arial" w:hAnsi="Arial" w:cs="Arial"/>
          <w:b/>
          <w:i/>
          <w:iCs/>
          <w:kern w:val="2"/>
          <w:lang w:val="en-IN"/>
        </w:rPr>
        <w:t>Hemidactylus</w:t>
      </w:r>
      <w:r w:rsidR="0052255F" w:rsidRPr="0052255F">
        <w:rPr>
          <w:rFonts w:ascii="Arial" w:hAnsi="Arial" w:cs="Arial"/>
          <w:b/>
          <w:kern w:val="2"/>
          <w:lang w:val="en-IN"/>
        </w:rPr>
        <w:t xml:space="preserve"> geckos from various locations of Manipur, Northeast India.</w:t>
      </w:r>
      <w:r w:rsidR="0076522F">
        <w:rPr>
          <w:rFonts w:ascii="Arial" w:hAnsi="Arial" w:cs="Arial"/>
          <w:b/>
          <w:kern w:val="2"/>
          <w:lang w:val="en-IN"/>
        </w:rPr>
        <w:t xml:space="preserve"> </w:t>
      </w:r>
      <w:r w:rsidR="0052255F" w:rsidRPr="0052255F">
        <w:rPr>
          <w:rFonts w:ascii="Arial" w:hAnsi="Arial" w:cs="Arial"/>
          <w:b/>
          <w:kern w:val="2"/>
          <w:lang w:val="en-IN"/>
        </w:rPr>
        <w:t>A phylogenetic analysis utilizing two partial mitochondrial sequences (excluding the third codon position) resulted in strongly supported clades. The maximum likelihood bootstrap values and the Bayesian posterior probability are the support values for internal branches. Values less than 50/0.5 are left out, except for one.</w:t>
      </w:r>
    </w:p>
    <w:p w14:paraId="646D6E19" w14:textId="77777777" w:rsidR="00EB0F65" w:rsidRPr="00EB0F65" w:rsidRDefault="00EB0F65" w:rsidP="00EB0F65">
      <w:pPr>
        <w:pStyle w:val="Body"/>
        <w:spacing w:after="0"/>
        <w:jc w:val="center"/>
        <w:rPr>
          <w:rFonts w:ascii="Arial" w:hAnsi="Arial" w:cs="Arial"/>
          <w:b/>
        </w:rPr>
      </w:pPr>
    </w:p>
    <w:p w14:paraId="5525B103" w14:textId="55B94C18" w:rsidR="0016060D" w:rsidRDefault="0016060D" w:rsidP="001C0822">
      <w:pPr>
        <w:spacing w:line="480" w:lineRule="auto"/>
        <w:jc w:val="both"/>
        <w:rPr>
          <w:rFonts w:cstheme="minorHAnsi"/>
          <w:kern w:val="2"/>
          <w:lang w:val="en-IN"/>
        </w:rPr>
      </w:pPr>
      <w:r w:rsidRPr="0016060D">
        <w:rPr>
          <w:rFonts w:cstheme="minorHAnsi"/>
          <w:kern w:val="2"/>
          <w:lang w:val="en-IN"/>
        </w:rPr>
        <w:t xml:space="preserve">Research in systematics, historical biogeography, and phylogenetic analysis indicates that the biodiversity of the Indian subcontinent has developed over hundreds of millions of years, by an assemblage of both ancient and contemporary lineages having various biogeographical affinities. The Indian plate's complex geological past had a major impact on the </w:t>
      </w:r>
      <w:r w:rsidRPr="0016060D">
        <w:rPr>
          <w:rFonts w:cstheme="minorHAnsi"/>
          <w:kern w:val="2"/>
          <w:lang w:val="en-IN"/>
        </w:rPr>
        <w:lastRenderedPageBreak/>
        <w:t xml:space="preserve">variety, distribution, and evolution of species. Ancient lineages with Gondwanan affinity that originated from plate tectonic-mediated vicariance are part of the Indian biota; just as some of the lineages dispersed from India, many other lineages spread into India from adjacent landmasses during a variety of time periods. However, many other lineages have endured </w:t>
      </w:r>
      <w:r w:rsidRPr="0016060D">
        <w:rPr>
          <w:rFonts w:cstheme="minorHAnsi"/>
          <w:i/>
          <w:iCs/>
          <w:kern w:val="2"/>
          <w:lang w:val="en-IN"/>
        </w:rPr>
        <w:t>in situ</w:t>
      </w:r>
      <w:r w:rsidRPr="0016060D">
        <w:rPr>
          <w:rFonts w:cstheme="minorHAnsi"/>
          <w:kern w:val="2"/>
          <w:lang w:val="en-IN"/>
        </w:rPr>
        <w:t xml:space="preserve"> speciation within India (Karanth</w:t>
      </w:r>
      <w:r w:rsidR="001C0822">
        <w:rPr>
          <w:rFonts w:cstheme="minorHAnsi"/>
          <w:kern w:val="2"/>
          <w:lang w:val="en-IN"/>
        </w:rPr>
        <w:t>, 2015;</w:t>
      </w:r>
      <w:r w:rsidRPr="0016060D">
        <w:rPr>
          <w:rFonts w:cstheme="minorHAnsi"/>
          <w:kern w:val="2"/>
          <w:lang w:val="en-IN"/>
        </w:rPr>
        <w:t xml:space="preserve"> Cyriac et al.</w:t>
      </w:r>
      <w:r w:rsidR="001C0822">
        <w:rPr>
          <w:rFonts w:cstheme="minorHAnsi"/>
          <w:kern w:val="2"/>
          <w:lang w:val="en-IN"/>
        </w:rPr>
        <w:t>, 2024;</w:t>
      </w:r>
      <w:r w:rsidR="00654225">
        <w:rPr>
          <w:rFonts w:cstheme="minorHAnsi"/>
          <w:kern w:val="2"/>
          <w:lang w:val="en-IN"/>
        </w:rPr>
        <w:t xml:space="preserve"> </w:t>
      </w:r>
      <w:r w:rsidRPr="0016060D">
        <w:rPr>
          <w:rFonts w:cstheme="minorHAnsi"/>
          <w:kern w:val="2"/>
          <w:lang w:val="en-IN"/>
        </w:rPr>
        <w:t>Joshi</w:t>
      </w:r>
      <w:r w:rsidR="00654225">
        <w:rPr>
          <w:rFonts w:cstheme="minorHAnsi"/>
          <w:kern w:val="2"/>
          <w:lang w:val="en-IN"/>
        </w:rPr>
        <w:t xml:space="preserve"> et al.</w:t>
      </w:r>
      <w:r w:rsidR="001C0822">
        <w:rPr>
          <w:rFonts w:cstheme="minorHAnsi"/>
          <w:kern w:val="2"/>
          <w:lang w:val="en-IN"/>
        </w:rPr>
        <w:t>,</w:t>
      </w:r>
      <w:r w:rsidRPr="0016060D">
        <w:rPr>
          <w:rFonts w:cstheme="minorHAnsi"/>
          <w:kern w:val="2"/>
          <w:lang w:val="en-IN"/>
        </w:rPr>
        <w:t xml:space="preserve"> 2025). The </w:t>
      </w:r>
      <w:r w:rsidR="003110D8" w:rsidRPr="003110D8">
        <w:rPr>
          <w:rFonts w:cstheme="minorHAnsi"/>
          <w:i/>
          <w:iCs/>
          <w:kern w:val="2"/>
          <w:lang w:val="en-IN"/>
        </w:rPr>
        <w:t>Hemidactylus</w:t>
      </w:r>
      <w:r w:rsidRPr="0016060D">
        <w:rPr>
          <w:rFonts w:cstheme="minorHAnsi"/>
          <w:kern w:val="2"/>
          <w:lang w:val="en-IN"/>
        </w:rPr>
        <w:t xml:space="preserve"> groups have diversified into multiple species independently, yet exhibit similar trend of evolution across the places.</w:t>
      </w:r>
    </w:p>
    <w:p w14:paraId="0A34B93A" w14:textId="77777777" w:rsidR="004D0A3B" w:rsidRPr="0016060D" w:rsidRDefault="004D0A3B" w:rsidP="001C0822">
      <w:pPr>
        <w:spacing w:line="480" w:lineRule="auto"/>
        <w:jc w:val="both"/>
        <w:rPr>
          <w:rFonts w:cstheme="minorHAnsi"/>
          <w:kern w:val="2"/>
          <w:lang w:val="en-IN"/>
        </w:rPr>
      </w:pPr>
    </w:p>
    <w:p w14:paraId="2204AA91" w14:textId="77777777" w:rsidR="0016060D" w:rsidRPr="0016060D" w:rsidRDefault="0016060D" w:rsidP="001C0822">
      <w:pPr>
        <w:spacing w:line="480" w:lineRule="auto"/>
        <w:jc w:val="both"/>
        <w:rPr>
          <w:rFonts w:cstheme="minorHAnsi"/>
          <w:kern w:val="2"/>
          <w:lang w:val="en-IN"/>
        </w:rPr>
      </w:pPr>
      <w:r w:rsidRPr="0016060D">
        <w:rPr>
          <w:rFonts w:cstheme="minorHAnsi"/>
          <w:kern w:val="2"/>
          <w:lang w:val="en-IN"/>
        </w:rPr>
        <w:t xml:space="preserve">This study primarily elucidates a small part of India's remarkable biodiversity and habitat/ecosystem variability, which remains mostly unexplored and understudied, particularly in the context of Northeast India. It has to be ascertained whether these patterns are universally relevant across taxa. There is a shortage of integrated biogeographical patterns and processes connected to conservation initiatives across taxa and environments. For example, the presence of endangered, endemic or evolutionarily unique species could be used to identify high conservation priority areas as well as areas that need attention. In order to identify diversity and endemic hotspots, reconstruction of biogeographic histories, and analysis of diversification pattern, and accurate data acquisition on species geographic distributions is essential. Species distribution </w:t>
      </w:r>
      <w:r w:rsidR="003078CF" w:rsidRPr="0016060D">
        <w:rPr>
          <w:rFonts w:cstheme="minorHAnsi"/>
          <w:kern w:val="2"/>
          <w:lang w:val="en-IN"/>
        </w:rPr>
        <w:t>modelling</w:t>
      </w:r>
      <w:r w:rsidRPr="0016060D">
        <w:rPr>
          <w:rFonts w:cstheme="minorHAnsi"/>
          <w:kern w:val="2"/>
          <w:lang w:val="en-IN"/>
        </w:rPr>
        <w:t>, conservation prioritization, and environmental impact assessments are supported by georeferenced occurrence data, especially in ecologically sensitive and dynamic areas like the country's northeast state of Manipur, which form a crucial biogeographic transition zone between the Asian plate and the Indian plate. Recent taxonomic and phylogenetic research have shown significant undocumented diversity in Northeast India, indicating that the region's gecko fauna is still poorly documented (Joshi</w:t>
      </w:r>
      <w:r w:rsidR="001C0822">
        <w:rPr>
          <w:rFonts w:cstheme="minorHAnsi"/>
          <w:kern w:val="2"/>
          <w:lang w:val="en-IN"/>
        </w:rPr>
        <w:t>,</w:t>
      </w:r>
      <w:r w:rsidRPr="0016060D">
        <w:rPr>
          <w:rFonts w:cstheme="minorHAnsi"/>
          <w:kern w:val="2"/>
          <w:lang w:val="en-IN"/>
        </w:rPr>
        <w:t xml:space="preserve"> 2025; Karanth</w:t>
      </w:r>
      <w:r w:rsidR="001C0822">
        <w:rPr>
          <w:rFonts w:cstheme="minorHAnsi"/>
          <w:kern w:val="2"/>
          <w:lang w:val="en-IN"/>
        </w:rPr>
        <w:t>,</w:t>
      </w:r>
      <w:r w:rsidRPr="0016060D">
        <w:rPr>
          <w:rFonts w:cstheme="minorHAnsi"/>
          <w:kern w:val="2"/>
          <w:lang w:val="en-IN"/>
        </w:rPr>
        <w:t xml:space="preserve"> 2021). These results emphasize the importance of systematic sampling and integrative taxonomic techniques while highlighting Northeast India as a significant centre of cryptic and endemic gekkonid diversity.</w:t>
      </w:r>
    </w:p>
    <w:p w14:paraId="2810346D" w14:textId="77777777" w:rsidR="0016060D" w:rsidRPr="0016060D" w:rsidRDefault="0016060D" w:rsidP="001C0822">
      <w:pPr>
        <w:spacing w:line="480" w:lineRule="auto"/>
        <w:jc w:val="center"/>
        <w:rPr>
          <w:rFonts w:cstheme="minorHAnsi"/>
          <w:kern w:val="2"/>
          <w:lang w:val="en-IN"/>
        </w:rPr>
      </w:pPr>
    </w:p>
    <w:p w14:paraId="10B7F279" w14:textId="77777777" w:rsidR="00E053D0" w:rsidRPr="004F3457" w:rsidRDefault="0016060D" w:rsidP="001C0822">
      <w:pPr>
        <w:spacing w:line="480" w:lineRule="auto"/>
        <w:jc w:val="both"/>
        <w:rPr>
          <w:rFonts w:cstheme="minorHAnsi"/>
          <w:kern w:val="2"/>
          <w:lang w:val="en-IN"/>
        </w:rPr>
      </w:pPr>
      <w:r w:rsidRPr="0016060D">
        <w:rPr>
          <w:rFonts w:cstheme="minorHAnsi"/>
          <w:kern w:val="2"/>
          <w:lang w:val="en-IN"/>
        </w:rPr>
        <w:t xml:space="preserve">Prioritizing areas that include distinct lineages rather than common taxa can be achieved by changing the focus from species counts to "evolutionary potential," which is crucial for a genus that spans the most imperilled landscapes of North East India. Significant "stumbling blocks," namely the publication of localized phylogenies that resisted integration and the use of inconsistent genetic markers, impeded conservation efforts. Due to this fragmentation, it was not possible to find reciprocally monophyletic links across political boundaries, which resulted in low nodal support and sampling errors. We transformed conservation accuracy by combining these different data into a thorough, genus-wide phylogeny. In land-use planning, "undescribed candidate species" must be taken into consideration by government environmental policy. A site must be considered a high-biodiversity zone if it has the particular geological features—such as north-south ridges, river basins, wetland areas, and valleys—that are known to host species radiations. However, there still lacks a scientific or systematic </w:t>
      </w:r>
      <w:r w:rsidRPr="0016060D">
        <w:rPr>
          <w:rFonts w:cstheme="minorHAnsi"/>
          <w:kern w:val="2"/>
          <w:lang w:val="en-IN"/>
        </w:rPr>
        <w:lastRenderedPageBreak/>
        <w:t>biodiver</w:t>
      </w:r>
      <w:r w:rsidRPr="0016060D">
        <w:rPr>
          <w:rFonts w:cstheme="minorHAnsi"/>
          <w:kern w:val="2"/>
          <w:lang w:val="en-IN"/>
        </w:rPr>
        <w:softHyphen/>
        <w:t>sity conservation plan, with most efforts focused on a few charis</w:t>
      </w:r>
      <w:r w:rsidRPr="0016060D">
        <w:rPr>
          <w:rFonts w:cstheme="minorHAnsi"/>
          <w:kern w:val="2"/>
          <w:lang w:val="en-IN"/>
        </w:rPr>
        <w:softHyphen/>
        <w:t>matic large mammals. Additionally, the complex interplay between natural and human-induced factors that shape the distribution, composition, and functioning of ecosystems in India remains to be explored.</w:t>
      </w:r>
    </w:p>
    <w:p w14:paraId="7BDDBA42" w14:textId="77777777" w:rsidR="00790ADA" w:rsidRPr="00FB3A86" w:rsidRDefault="00790ADA" w:rsidP="00441B6F">
      <w:pPr>
        <w:pStyle w:val="Body"/>
        <w:spacing w:after="0"/>
        <w:rPr>
          <w:rFonts w:ascii="Arial" w:hAnsi="Arial" w:cs="Arial"/>
        </w:rPr>
      </w:pPr>
    </w:p>
    <w:p w14:paraId="043F7FEC"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131B43A6" w14:textId="77777777" w:rsidR="00790ADA" w:rsidRPr="00FB3A86" w:rsidRDefault="00790ADA" w:rsidP="00441B6F">
      <w:pPr>
        <w:pStyle w:val="ConcHead"/>
        <w:spacing w:after="0"/>
        <w:jc w:val="both"/>
        <w:rPr>
          <w:rFonts w:ascii="Arial" w:hAnsi="Arial" w:cs="Arial"/>
        </w:rPr>
      </w:pPr>
    </w:p>
    <w:p w14:paraId="17FEF2A7" w14:textId="345D8A8E" w:rsidR="00790ADA" w:rsidRPr="00FB3A86" w:rsidRDefault="0016060D" w:rsidP="0016060D">
      <w:pPr>
        <w:pStyle w:val="Body"/>
        <w:spacing w:after="0" w:line="480" w:lineRule="auto"/>
        <w:rPr>
          <w:rFonts w:ascii="Arial" w:hAnsi="Arial" w:cs="Arial"/>
        </w:rPr>
      </w:pPr>
      <w:r w:rsidRPr="0016060D">
        <w:rPr>
          <w:rFonts w:ascii="Arial" w:hAnsi="Arial" w:cs="Arial"/>
        </w:rPr>
        <w:t xml:space="preserve">The Indian subcontinent is a globally significant zone of biodiversity established through a complicated geological history, many biogeographic dispersal events, and long-term in situ diversification. Northeast India, especially Manipur, is an important biogeographic transition zone with a large but poorly described variety including cryptic and unique species of </w:t>
      </w:r>
      <w:r w:rsidR="003110D8" w:rsidRPr="003110D8">
        <w:rPr>
          <w:rFonts w:ascii="Arial" w:hAnsi="Arial" w:cs="Arial"/>
          <w:i/>
          <w:iCs/>
        </w:rPr>
        <w:t>Hemidactylus</w:t>
      </w:r>
      <w:r w:rsidRPr="0016060D">
        <w:rPr>
          <w:rFonts w:ascii="Arial" w:hAnsi="Arial" w:cs="Arial"/>
        </w:rPr>
        <w:t>. Accurately reconstructing evolutionary histories, identifying centers of endemism and prioritizing conservation are fundamental to integrative methods to systematics, phylogenetics, historical biogeography and georeferenced distribution data. Integrating evolutionary distinctiveness and undescribed candidate species into conservation planning will enhance biodiversity management and environmental policy. The future study should be focused on extensive sampling, standardization of DNA databases and multidisciplinary analysis to improve the conservation strategies of the unique herpetofauna and ecosystems of Northeast India.</w:t>
      </w:r>
    </w:p>
    <w:p w14:paraId="77E54611" w14:textId="77777777" w:rsidR="00315186" w:rsidRPr="00315186" w:rsidRDefault="00315186" w:rsidP="00441B6F"/>
    <w:p w14:paraId="030A9BAB" w14:textId="77777777" w:rsidR="00371FB6" w:rsidRDefault="00371FB6" w:rsidP="00441B6F">
      <w:pPr>
        <w:pStyle w:val="ReferHead"/>
        <w:spacing w:after="0"/>
        <w:jc w:val="both"/>
        <w:rPr>
          <w:rFonts w:ascii="Arial" w:hAnsi="Arial" w:cs="Arial"/>
          <w:b w:val="0"/>
          <w:caps w:val="0"/>
          <w:sz w:val="20"/>
        </w:rPr>
      </w:pPr>
    </w:p>
    <w:p w14:paraId="154C6591" w14:textId="77777777" w:rsidR="007716F4" w:rsidRDefault="007716F4" w:rsidP="00441B6F">
      <w:pPr>
        <w:pStyle w:val="ReferHead"/>
        <w:spacing w:after="0"/>
        <w:jc w:val="both"/>
        <w:rPr>
          <w:rFonts w:ascii="Arial" w:hAnsi="Arial" w:cs="Arial"/>
          <w:bCs/>
        </w:rPr>
      </w:pPr>
    </w:p>
    <w:p w14:paraId="2E2E9BE4" w14:textId="77777777" w:rsidR="002B685A" w:rsidRDefault="002B685A" w:rsidP="00441B6F">
      <w:pPr>
        <w:pStyle w:val="ReferHead"/>
        <w:spacing w:after="0"/>
        <w:jc w:val="both"/>
        <w:rPr>
          <w:rFonts w:ascii="Arial" w:hAnsi="Arial" w:cs="Arial"/>
          <w:b w:val="0"/>
          <w:caps w:val="0"/>
          <w:sz w:val="20"/>
        </w:rPr>
      </w:pPr>
    </w:p>
    <w:p w14:paraId="59B55F3B" w14:textId="77777777" w:rsidR="001A29D8" w:rsidRDefault="001A29D8" w:rsidP="00441B6F">
      <w:pPr>
        <w:pStyle w:val="ReferHead"/>
        <w:spacing w:after="0"/>
        <w:jc w:val="both"/>
        <w:rPr>
          <w:rFonts w:ascii="Arial" w:hAnsi="Arial" w:cs="Arial"/>
          <w:b w:val="0"/>
          <w:caps w:val="0"/>
          <w:sz w:val="20"/>
        </w:rPr>
      </w:pPr>
    </w:p>
    <w:p w14:paraId="614AB8CA"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0AA012A6" w14:textId="77777777" w:rsidR="005C784C" w:rsidRPr="00876A44" w:rsidRDefault="005C784C" w:rsidP="00441B6F">
      <w:pPr>
        <w:pStyle w:val="ReferHead"/>
        <w:spacing w:after="0"/>
        <w:jc w:val="both"/>
        <w:rPr>
          <w:rFonts w:ascii="Arial" w:hAnsi="Arial" w:cs="Arial"/>
          <w:b w:val="0"/>
          <w:caps w:val="0"/>
          <w:sz w:val="20"/>
          <w:u w:val="single"/>
        </w:rPr>
      </w:pPr>
    </w:p>
    <w:p w14:paraId="7EF8FC49" w14:textId="45F5F32F" w:rsidR="0041027F" w:rsidRDefault="00876A44" w:rsidP="00876A44">
      <w:pPr>
        <w:pStyle w:val="ReferHead"/>
        <w:spacing w:after="0" w:line="480" w:lineRule="auto"/>
        <w:jc w:val="both"/>
        <w:rPr>
          <w:rFonts w:ascii="Arial" w:hAnsi="Arial" w:cs="Arial"/>
          <w:b w:val="0"/>
          <w:caps w:val="0"/>
          <w:sz w:val="20"/>
        </w:rPr>
      </w:pPr>
      <w:r w:rsidRPr="00876A44">
        <w:rPr>
          <w:rFonts w:ascii="Arial" w:hAnsi="Arial" w:cs="Arial"/>
          <w:b w:val="0"/>
          <w:caps w:val="0"/>
          <w:sz w:val="20"/>
        </w:rPr>
        <w:t>Animal handling and sample protocols were performed in accordance with the standards of the Committee for the Purpose of Control and Supervision of Experiments on Animals (CPCSEA). Field sampling was carried out with the requisite authorization from the Forest Department, Government of Manipur, Office of Principal Chief Conservator of forest (Wildlife) &amp; Chief Wildlife Warden, Approval No. 3/22/2018-WL(Vol-II) with minimum disturbance to animals and their habitat.</w:t>
      </w:r>
      <w:r w:rsidR="008671C6" w:rsidRPr="00876A44">
        <w:rPr>
          <w:rFonts w:ascii="Arial" w:hAnsi="Arial" w:cs="Arial"/>
          <w:b w:val="0"/>
          <w:caps w:val="0"/>
          <w:sz w:val="20"/>
        </w:rPr>
        <w:t xml:space="preserve"> All experiments have been examined and approved by the appropriate ethics committee</w:t>
      </w:r>
      <w:r w:rsidR="00896A35">
        <w:rPr>
          <w:rFonts w:ascii="Arial" w:hAnsi="Arial" w:cs="Arial"/>
          <w:b w:val="0"/>
          <w:caps w:val="0"/>
          <w:sz w:val="20"/>
        </w:rPr>
        <w:t>.</w:t>
      </w:r>
    </w:p>
    <w:p w14:paraId="340D02DC" w14:textId="77777777" w:rsidR="00EF4DE0" w:rsidRDefault="00EF4DE0" w:rsidP="00876A44">
      <w:pPr>
        <w:pStyle w:val="ReferHead"/>
        <w:spacing w:after="0" w:line="480" w:lineRule="auto"/>
        <w:jc w:val="both"/>
        <w:rPr>
          <w:rFonts w:ascii="Arial" w:hAnsi="Arial" w:cs="Arial"/>
          <w:b w:val="0"/>
          <w:caps w:val="0"/>
          <w:sz w:val="20"/>
        </w:rPr>
      </w:pPr>
    </w:p>
    <w:p w14:paraId="3972FB68" w14:textId="77777777" w:rsidR="00EF4DE0" w:rsidRPr="00EF4DE0" w:rsidRDefault="00EF4DE0" w:rsidP="00EF4DE0">
      <w:pPr>
        <w:rPr>
          <w:rFonts w:ascii="Times New Roman" w:eastAsia="Calibri" w:hAnsi="Times New Roman"/>
          <w:b/>
          <w:sz w:val="22"/>
          <w:szCs w:val="22"/>
        </w:rPr>
      </w:pPr>
      <w:r w:rsidRPr="00EF4DE0">
        <w:rPr>
          <w:rFonts w:ascii="Times New Roman" w:eastAsia="Calibri" w:hAnsi="Times New Roman"/>
          <w:b/>
          <w:sz w:val="22"/>
          <w:szCs w:val="22"/>
        </w:rPr>
        <w:t>Declaration of AI Use</w:t>
      </w:r>
    </w:p>
    <w:p w14:paraId="0B238FA3" w14:textId="77777777" w:rsidR="00EF4DE0" w:rsidRPr="00EF4DE0" w:rsidRDefault="00EF4DE0" w:rsidP="00EF4DE0">
      <w:pPr>
        <w:rPr>
          <w:rFonts w:ascii="Times New Roman" w:eastAsia="Calibri" w:hAnsi="Times New Roman"/>
          <w:sz w:val="22"/>
          <w:szCs w:val="22"/>
        </w:rPr>
      </w:pPr>
    </w:p>
    <w:p w14:paraId="6E4A254C" w14:textId="77777777" w:rsidR="00EF4DE0" w:rsidRPr="00EF4DE0" w:rsidRDefault="00EF4DE0" w:rsidP="00EF4DE0">
      <w:pPr>
        <w:jc w:val="both"/>
        <w:rPr>
          <w:rFonts w:ascii="Times New Roman" w:eastAsia="Calibri" w:hAnsi="Times New Roman"/>
          <w:sz w:val="22"/>
          <w:szCs w:val="22"/>
        </w:rPr>
      </w:pPr>
      <w:r w:rsidRPr="00EF4DE0">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85C095" w14:textId="77777777" w:rsidR="00EF4DE0" w:rsidRPr="00EF4DE0" w:rsidRDefault="00EF4DE0" w:rsidP="00EF4DE0">
      <w:pPr>
        <w:jc w:val="both"/>
        <w:rPr>
          <w:rFonts w:ascii="Times New Roman" w:eastAsia="Calibri" w:hAnsi="Times New Roman"/>
          <w:sz w:val="22"/>
          <w:szCs w:val="22"/>
        </w:rPr>
      </w:pPr>
    </w:p>
    <w:p w14:paraId="7F39E439" w14:textId="77777777" w:rsidR="00EF4DE0" w:rsidRPr="00EF4DE0" w:rsidRDefault="00EF4DE0" w:rsidP="00EF4DE0">
      <w:pPr>
        <w:jc w:val="both"/>
        <w:rPr>
          <w:rFonts w:ascii="Times New Roman" w:eastAsia="Calibri" w:hAnsi="Times New Roman"/>
          <w:sz w:val="22"/>
          <w:szCs w:val="22"/>
        </w:rPr>
      </w:pPr>
    </w:p>
    <w:p w14:paraId="6AF56593" w14:textId="77777777" w:rsidR="00EF4DE0" w:rsidRPr="00EF4DE0" w:rsidRDefault="00EF4DE0" w:rsidP="00EF4DE0">
      <w:pPr>
        <w:spacing w:after="200" w:line="276" w:lineRule="auto"/>
        <w:rPr>
          <w:rFonts w:ascii="Cambria" w:hAnsi="Cambria" w:cs="Arial"/>
          <w:b/>
          <w:bCs/>
          <w:sz w:val="22"/>
          <w:szCs w:val="22"/>
          <w:lang w:val="en-GB" w:eastAsia="en-GB"/>
        </w:rPr>
      </w:pPr>
      <w:r w:rsidRPr="00EF4DE0">
        <w:rPr>
          <w:rFonts w:ascii="Cambria" w:hAnsi="Cambria" w:cs="Arial"/>
          <w:b/>
          <w:bCs/>
          <w:sz w:val="22"/>
          <w:szCs w:val="22"/>
          <w:lang w:val="en-GB" w:eastAsia="en-GB"/>
        </w:rPr>
        <w:t>COMPETING INTERESTS DISCLAIMER:</w:t>
      </w:r>
    </w:p>
    <w:p w14:paraId="6346B6CE" w14:textId="77777777" w:rsidR="00EF4DE0" w:rsidRPr="00EF4DE0" w:rsidRDefault="00EF4DE0" w:rsidP="00EF4DE0">
      <w:pPr>
        <w:spacing w:after="200" w:line="276" w:lineRule="auto"/>
        <w:rPr>
          <w:rFonts w:ascii="Cambria" w:hAnsi="Cambria"/>
          <w:sz w:val="22"/>
          <w:szCs w:val="22"/>
          <w:lang w:val="en-GB" w:eastAsia="en-GB"/>
        </w:rPr>
      </w:pPr>
      <w:r w:rsidRPr="00EF4DE0">
        <w:rPr>
          <w:rFonts w:ascii="Cambria" w:hAnsi="Cambria" w:cs="Arial"/>
          <w:sz w:val="22"/>
          <w:szCs w:val="22"/>
          <w:lang w:val="en-GB" w:eastAsia="en-GB"/>
        </w:rPr>
        <w:lastRenderedPageBreak/>
        <w:t>Authors have declared that they have no known competing financial interests OR non-financial interests OR personal relationships that could have appeared to influence the work reported in this paper.</w:t>
      </w:r>
    </w:p>
    <w:p w14:paraId="42A39DB4" w14:textId="77777777" w:rsidR="00EF4DE0" w:rsidRPr="00876A44" w:rsidRDefault="00EF4DE0" w:rsidP="00876A44">
      <w:pPr>
        <w:pStyle w:val="ReferHead"/>
        <w:spacing w:after="0" w:line="480" w:lineRule="auto"/>
        <w:jc w:val="both"/>
        <w:rPr>
          <w:rFonts w:ascii="Arial" w:hAnsi="Arial" w:cs="Arial"/>
          <w:b w:val="0"/>
          <w:caps w:val="0"/>
          <w:sz w:val="20"/>
        </w:rPr>
      </w:pPr>
    </w:p>
    <w:p w14:paraId="30F366EB" w14:textId="77777777" w:rsidR="00CD6856" w:rsidRPr="00876A44" w:rsidRDefault="00CD6856" w:rsidP="00441B6F">
      <w:pPr>
        <w:pStyle w:val="ReferHead"/>
        <w:spacing w:after="0"/>
        <w:jc w:val="both"/>
        <w:rPr>
          <w:rFonts w:ascii="Arial" w:hAnsi="Arial" w:cs="Arial"/>
          <w:b w:val="0"/>
          <w:caps w:val="0"/>
          <w:sz w:val="20"/>
        </w:rPr>
      </w:pPr>
    </w:p>
    <w:p w14:paraId="04C01C84" w14:textId="77777777" w:rsidR="00860000" w:rsidRDefault="00860000" w:rsidP="00441B6F">
      <w:pPr>
        <w:pStyle w:val="ReferHead"/>
        <w:spacing w:after="0"/>
        <w:jc w:val="both"/>
        <w:rPr>
          <w:rFonts w:ascii="Arial" w:hAnsi="Arial" w:cs="Arial"/>
        </w:rPr>
      </w:pPr>
    </w:p>
    <w:p w14:paraId="5912B0F2"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D1B0835" w14:textId="77777777" w:rsidR="00790ADA" w:rsidRPr="00FB3A86" w:rsidRDefault="00790ADA" w:rsidP="00441B6F">
      <w:pPr>
        <w:pStyle w:val="ReferHead"/>
        <w:spacing w:after="0"/>
        <w:jc w:val="both"/>
        <w:rPr>
          <w:rFonts w:ascii="Arial" w:hAnsi="Arial" w:cs="Arial"/>
        </w:rPr>
      </w:pPr>
    </w:p>
    <w:p w14:paraId="5116C05B" w14:textId="2AFB8FEA" w:rsidR="00A22FF2" w:rsidRDefault="00A22FF2" w:rsidP="00331D5F">
      <w:pPr>
        <w:pStyle w:val="NormalWeb"/>
        <w:spacing w:line="360" w:lineRule="auto"/>
        <w:ind w:left="90"/>
        <w:jc w:val="both"/>
        <w:rPr>
          <w:rFonts w:ascii="Arial" w:hAnsi="Arial" w:cs="Arial"/>
          <w:sz w:val="20"/>
          <w:szCs w:val="20"/>
        </w:rPr>
      </w:pPr>
      <w:r w:rsidRPr="009B254D">
        <w:rPr>
          <w:rFonts w:ascii="Arial" w:hAnsi="Arial" w:cs="Arial"/>
          <w:sz w:val="20"/>
          <w:szCs w:val="20"/>
        </w:rPr>
        <w:t xml:space="preserve">Agashe, M., Šmíd, J., Janák, V., Biswas, A., &amp; Karanth, K. P. (2025). Twin cradles of </w:t>
      </w:r>
      <w:r w:rsidR="00331D5F">
        <w:rPr>
          <w:rFonts w:ascii="Arial" w:hAnsi="Arial" w:cs="Arial"/>
          <w:sz w:val="20"/>
          <w:szCs w:val="20"/>
        </w:rPr>
        <w:tab/>
      </w:r>
      <w:r w:rsidRPr="009B254D">
        <w:rPr>
          <w:rFonts w:ascii="Arial" w:hAnsi="Arial" w:cs="Arial"/>
          <w:sz w:val="20"/>
          <w:szCs w:val="20"/>
        </w:rPr>
        <w:t xml:space="preserve">diversity: Parallel in-situ radiations in India and Africa drive the evolution of </w:t>
      </w:r>
      <w:r w:rsidR="00331D5F">
        <w:rPr>
          <w:rFonts w:ascii="Arial" w:hAnsi="Arial" w:cs="Arial"/>
          <w:sz w:val="20"/>
          <w:szCs w:val="20"/>
        </w:rPr>
        <w:tab/>
      </w:r>
      <w:r w:rsidR="003110D8" w:rsidRPr="003110D8">
        <w:rPr>
          <w:rStyle w:val="Emphasis"/>
          <w:rFonts w:ascii="Arial" w:hAnsi="Arial" w:cs="Arial"/>
          <w:sz w:val="20"/>
          <w:szCs w:val="20"/>
        </w:rPr>
        <w:t>Hemidactylus</w:t>
      </w:r>
      <w:r w:rsidRPr="009B254D">
        <w:rPr>
          <w:rFonts w:ascii="Arial" w:hAnsi="Arial" w:cs="Arial"/>
          <w:sz w:val="20"/>
          <w:szCs w:val="20"/>
        </w:rPr>
        <w:t xml:space="preserve"> geckos. </w:t>
      </w:r>
      <w:r w:rsidRPr="009B254D">
        <w:rPr>
          <w:rStyle w:val="Emphasis"/>
          <w:rFonts w:ascii="Arial" w:hAnsi="Arial" w:cs="Arial"/>
          <w:sz w:val="20"/>
          <w:szCs w:val="20"/>
        </w:rPr>
        <w:t>Journal of Biogeography</w:t>
      </w:r>
      <w:r w:rsidRPr="009B254D">
        <w:rPr>
          <w:rFonts w:ascii="Arial" w:hAnsi="Arial" w:cs="Arial"/>
          <w:sz w:val="20"/>
          <w:szCs w:val="20"/>
        </w:rPr>
        <w:t xml:space="preserve">, </w:t>
      </w:r>
      <w:r w:rsidRPr="009B254D">
        <w:rPr>
          <w:rStyle w:val="Strong"/>
          <w:rFonts w:ascii="Arial" w:hAnsi="Arial" w:cs="Arial"/>
          <w:sz w:val="20"/>
          <w:szCs w:val="20"/>
        </w:rPr>
        <w:t>52</w:t>
      </w:r>
      <w:r w:rsidRPr="009B254D">
        <w:rPr>
          <w:rFonts w:ascii="Arial" w:hAnsi="Arial" w:cs="Arial"/>
          <w:sz w:val="20"/>
          <w:szCs w:val="20"/>
        </w:rPr>
        <w:t xml:space="preserve">(8), e15165. </w:t>
      </w:r>
      <w:r w:rsidR="00331D5F">
        <w:rPr>
          <w:rFonts w:ascii="Arial" w:hAnsi="Arial" w:cs="Arial"/>
          <w:sz w:val="20"/>
          <w:szCs w:val="20"/>
        </w:rPr>
        <w:tab/>
      </w:r>
      <w:hyperlink r:id="rId23" w:history="1">
        <w:r w:rsidRPr="009B254D">
          <w:rPr>
            <w:rStyle w:val="Hyperlink"/>
            <w:rFonts w:ascii="Arial" w:hAnsi="Arial" w:cs="Arial"/>
            <w:sz w:val="20"/>
            <w:szCs w:val="20"/>
          </w:rPr>
          <w:t>https://doi.org/10.1111/jbi.15165</w:t>
        </w:r>
      </w:hyperlink>
    </w:p>
    <w:p w14:paraId="70DE3A7F"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Uetz PH, et al. 2024. A reference database of reptile images. </w:t>
      </w:r>
      <w:r w:rsidRPr="00D854FC">
        <w:rPr>
          <w:rStyle w:val="Emphasis"/>
          <w:rFonts w:ascii="Arial" w:hAnsi="Arial" w:cs="Arial"/>
          <w:sz w:val="20"/>
          <w:szCs w:val="20"/>
        </w:rPr>
        <w:t>Taxonomy</w:t>
      </w:r>
      <w:r w:rsidRPr="00D854FC">
        <w:rPr>
          <w:rFonts w:ascii="Arial" w:hAnsi="Arial" w:cs="Arial"/>
          <w:sz w:val="20"/>
          <w:szCs w:val="20"/>
        </w:rPr>
        <w:t>. 4(4):723–732.</w:t>
      </w:r>
    </w:p>
    <w:p w14:paraId="1877195E" w14:textId="77777777" w:rsidR="00A22FF2" w:rsidRPr="009B254D" w:rsidRDefault="00A22FF2" w:rsidP="00A22FF2">
      <w:pPr>
        <w:pStyle w:val="NormalWeb"/>
        <w:spacing w:line="360" w:lineRule="auto"/>
        <w:ind w:left="90"/>
        <w:jc w:val="both"/>
        <w:rPr>
          <w:rFonts w:ascii="Arial" w:hAnsi="Arial" w:cs="Arial"/>
          <w:sz w:val="20"/>
          <w:szCs w:val="20"/>
        </w:rPr>
      </w:pPr>
      <w:r>
        <w:t xml:space="preserve">Smith, M. A. (1935). </w:t>
      </w:r>
      <w:r>
        <w:rPr>
          <w:rStyle w:val="Emphasis"/>
        </w:rPr>
        <w:t xml:space="preserve">The Fauna of British India, Including Ceylon and Burma. </w:t>
      </w:r>
      <w:r w:rsidR="00331D5F">
        <w:rPr>
          <w:rStyle w:val="Emphasis"/>
        </w:rPr>
        <w:tab/>
      </w:r>
      <w:r>
        <w:rPr>
          <w:rStyle w:val="Emphasis"/>
        </w:rPr>
        <w:t>Reptilia and Amphibia. Vol. II: Sauria</w:t>
      </w:r>
      <w:r>
        <w:t>. Taylor &amp; Francis, London.</w:t>
      </w:r>
    </w:p>
    <w:p w14:paraId="2C14EF1C"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Giri C, et al. </w:t>
      </w:r>
      <w:r>
        <w:rPr>
          <w:rFonts w:ascii="Arial" w:hAnsi="Arial" w:cs="Arial"/>
          <w:sz w:val="20"/>
          <w:szCs w:val="20"/>
        </w:rPr>
        <w:t>(</w:t>
      </w:r>
      <w:r w:rsidRPr="00D854FC">
        <w:rPr>
          <w:rFonts w:ascii="Arial" w:hAnsi="Arial" w:cs="Arial"/>
          <w:sz w:val="20"/>
          <w:szCs w:val="20"/>
        </w:rPr>
        <w:t>2008</w:t>
      </w:r>
      <w:r>
        <w:rPr>
          <w:rFonts w:ascii="Arial" w:hAnsi="Arial" w:cs="Arial"/>
          <w:sz w:val="20"/>
          <w:szCs w:val="20"/>
        </w:rPr>
        <w:t>)</w:t>
      </w:r>
      <w:r w:rsidRPr="00D854FC">
        <w:rPr>
          <w:rFonts w:ascii="Arial" w:hAnsi="Arial" w:cs="Arial"/>
          <w:sz w:val="20"/>
          <w:szCs w:val="20"/>
        </w:rPr>
        <w:t xml:space="preserve">. Mangrove forest distributions and dynamics (1975–2005) of the </w:t>
      </w:r>
      <w:r w:rsidR="00331D5F">
        <w:rPr>
          <w:rFonts w:ascii="Arial" w:hAnsi="Arial" w:cs="Arial"/>
          <w:sz w:val="20"/>
          <w:szCs w:val="20"/>
        </w:rPr>
        <w:tab/>
      </w:r>
      <w:r w:rsidRPr="00D854FC">
        <w:rPr>
          <w:rFonts w:ascii="Arial" w:hAnsi="Arial" w:cs="Arial"/>
          <w:sz w:val="20"/>
          <w:szCs w:val="20"/>
        </w:rPr>
        <w:t xml:space="preserve">tsunami-affected region of Asia. </w:t>
      </w:r>
      <w:r w:rsidRPr="00D854FC">
        <w:rPr>
          <w:rStyle w:val="Emphasis"/>
          <w:rFonts w:ascii="Arial" w:hAnsi="Arial" w:cs="Arial"/>
          <w:sz w:val="20"/>
          <w:szCs w:val="20"/>
        </w:rPr>
        <w:t>Journal of Biogeography</w:t>
      </w:r>
      <w:r w:rsidRPr="00D854FC">
        <w:rPr>
          <w:rFonts w:ascii="Arial" w:hAnsi="Arial" w:cs="Arial"/>
          <w:sz w:val="20"/>
          <w:szCs w:val="20"/>
        </w:rPr>
        <w:t>. 35(3):519–528.</w:t>
      </w:r>
    </w:p>
    <w:p w14:paraId="3A25D559" w14:textId="25306F88" w:rsidR="00A22FF2" w:rsidRPr="00360EFB" w:rsidRDefault="00A22FF2" w:rsidP="00A22FF2">
      <w:pPr>
        <w:pStyle w:val="NormalWeb"/>
        <w:spacing w:line="360" w:lineRule="auto"/>
        <w:ind w:left="90"/>
        <w:jc w:val="both"/>
        <w:rPr>
          <w:rFonts w:ascii="Arial" w:hAnsi="Arial" w:cs="Arial"/>
          <w:sz w:val="20"/>
          <w:szCs w:val="20"/>
        </w:rPr>
      </w:pPr>
      <w:r w:rsidRPr="00360EFB">
        <w:rPr>
          <w:rFonts w:ascii="Arial" w:hAnsi="Arial" w:cs="Arial"/>
          <w:sz w:val="20"/>
          <w:szCs w:val="20"/>
        </w:rPr>
        <w:t xml:space="preserve">Giri, V. B., &amp; Bauer, A. M. (2008). A new ground-dwelling </w:t>
      </w:r>
      <w:r w:rsidR="003110D8" w:rsidRPr="003110D8">
        <w:rPr>
          <w:rStyle w:val="Emphasis"/>
          <w:rFonts w:ascii="Arial" w:hAnsi="Arial" w:cs="Arial"/>
          <w:sz w:val="20"/>
          <w:szCs w:val="20"/>
        </w:rPr>
        <w:t>Hemidactylus</w:t>
      </w:r>
      <w:r w:rsidRPr="00360EFB">
        <w:rPr>
          <w:rFonts w:ascii="Arial" w:hAnsi="Arial" w:cs="Arial"/>
          <w:sz w:val="20"/>
          <w:szCs w:val="20"/>
        </w:rPr>
        <w:t xml:space="preserve"> (Squamata: </w:t>
      </w:r>
      <w:r w:rsidR="00331D5F">
        <w:rPr>
          <w:rFonts w:ascii="Arial" w:hAnsi="Arial" w:cs="Arial"/>
          <w:sz w:val="20"/>
          <w:szCs w:val="20"/>
        </w:rPr>
        <w:tab/>
      </w:r>
      <w:r w:rsidRPr="00360EFB">
        <w:rPr>
          <w:rFonts w:ascii="Arial" w:hAnsi="Arial" w:cs="Arial"/>
          <w:sz w:val="20"/>
          <w:szCs w:val="20"/>
        </w:rPr>
        <w:t xml:space="preserve">Gekkonidae) from Maharashtra, with a key to the </w:t>
      </w:r>
      <w:r w:rsidR="003110D8" w:rsidRPr="003110D8">
        <w:rPr>
          <w:rStyle w:val="Emphasis"/>
          <w:rFonts w:ascii="Arial" w:hAnsi="Arial" w:cs="Arial"/>
          <w:sz w:val="20"/>
          <w:szCs w:val="20"/>
        </w:rPr>
        <w:t>Hemidactylus</w:t>
      </w:r>
      <w:r w:rsidRPr="00360EFB">
        <w:rPr>
          <w:rFonts w:ascii="Arial" w:hAnsi="Arial" w:cs="Arial"/>
          <w:sz w:val="20"/>
          <w:szCs w:val="20"/>
        </w:rPr>
        <w:t xml:space="preserve"> of India. </w:t>
      </w:r>
      <w:proofErr w:type="spellStart"/>
      <w:r w:rsidRPr="00360EFB">
        <w:rPr>
          <w:rStyle w:val="Emphasis"/>
          <w:rFonts w:ascii="Arial" w:hAnsi="Arial" w:cs="Arial"/>
          <w:sz w:val="20"/>
          <w:szCs w:val="20"/>
        </w:rPr>
        <w:t>Zootaxa</w:t>
      </w:r>
      <w:proofErr w:type="spellEnd"/>
      <w:r w:rsidRPr="00360EFB">
        <w:rPr>
          <w:rFonts w:ascii="Arial" w:hAnsi="Arial" w:cs="Arial"/>
          <w:sz w:val="20"/>
          <w:szCs w:val="20"/>
        </w:rPr>
        <w:t xml:space="preserve">, </w:t>
      </w:r>
      <w:r w:rsidR="00331D5F">
        <w:rPr>
          <w:rFonts w:ascii="Arial" w:hAnsi="Arial" w:cs="Arial"/>
          <w:sz w:val="20"/>
          <w:szCs w:val="20"/>
        </w:rPr>
        <w:tab/>
      </w:r>
      <w:r w:rsidRPr="00360EFB">
        <w:rPr>
          <w:rStyle w:val="Strong"/>
          <w:rFonts w:ascii="Arial" w:hAnsi="Arial" w:cs="Arial"/>
          <w:sz w:val="20"/>
          <w:szCs w:val="20"/>
        </w:rPr>
        <w:t>1700</w:t>
      </w:r>
      <w:r w:rsidRPr="00360EFB">
        <w:rPr>
          <w:rFonts w:ascii="Arial" w:hAnsi="Arial" w:cs="Arial"/>
          <w:sz w:val="20"/>
          <w:szCs w:val="20"/>
        </w:rPr>
        <w:t xml:space="preserve">(1), 21–34. </w:t>
      </w:r>
      <w:hyperlink r:id="rId24" w:history="1">
        <w:r w:rsidRPr="00360EFB">
          <w:rPr>
            <w:rStyle w:val="Hyperlink"/>
            <w:rFonts w:ascii="Arial" w:hAnsi="Arial" w:cs="Arial"/>
            <w:sz w:val="20"/>
            <w:szCs w:val="20"/>
          </w:rPr>
          <w:t>https://doi.org/10.11646/zootaxa.1700.1.2</w:t>
        </w:r>
      </w:hyperlink>
    </w:p>
    <w:p w14:paraId="58767872" w14:textId="28A032AF"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Carranza S, Arnold EN. </w:t>
      </w:r>
      <w:r>
        <w:rPr>
          <w:rFonts w:ascii="Arial" w:hAnsi="Arial" w:cs="Arial"/>
          <w:sz w:val="20"/>
          <w:szCs w:val="20"/>
        </w:rPr>
        <w:t>(</w:t>
      </w:r>
      <w:r w:rsidRPr="00D854FC">
        <w:rPr>
          <w:rFonts w:ascii="Arial" w:hAnsi="Arial" w:cs="Arial"/>
          <w:sz w:val="20"/>
          <w:szCs w:val="20"/>
        </w:rPr>
        <w:t>2006</w:t>
      </w:r>
      <w:r>
        <w:rPr>
          <w:rFonts w:ascii="Arial" w:hAnsi="Arial" w:cs="Arial"/>
          <w:sz w:val="20"/>
          <w:szCs w:val="20"/>
        </w:rPr>
        <w:t>)</w:t>
      </w:r>
      <w:r w:rsidRPr="00D854FC">
        <w:rPr>
          <w:rFonts w:ascii="Arial" w:hAnsi="Arial" w:cs="Arial"/>
          <w:sz w:val="20"/>
          <w:szCs w:val="20"/>
        </w:rPr>
        <w:t xml:space="preserve">. Systematics, biogeography and evolution of </w:t>
      </w:r>
      <w:r w:rsidR="003110D8" w:rsidRPr="003110D8">
        <w:rPr>
          <w:rStyle w:val="Emphasis"/>
          <w:rFonts w:ascii="Arial" w:hAnsi="Arial" w:cs="Arial"/>
          <w:sz w:val="20"/>
          <w:szCs w:val="20"/>
        </w:rPr>
        <w:t>Hemidactylus</w:t>
      </w:r>
      <w:r w:rsidRPr="00D854FC">
        <w:rPr>
          <w:rFonts w:ascii="Arial" w:hAnsi="Arial" w:cs="Arial"/>
          <w:sz w:val="20"/>
          <w:szCs w:val="20"/>
        </w:rPr>
        <w:t xml:space="preserve"> </w:t>
      </w:r>
      <w:r w:rsidR="00331D5F">
        <w:rPr>
          <w:rFonts w:ascii="Arial" w:hAnsi="Arial" w:cs="Arial"/>
          <w:sz w:val="20"/>
          <w:szCs w:val="20"/>
        </w:rPr>
        <w:tab/>
      </w:r>
      <w:r w:rsidRPr="00D854FC">
        <w:rPr>
          <w:rFonts w:ascii="Arial" w:hAnsi="Arial" w:cs="Arial"/>
          <w:sz w:val="20"/>
          <w:szCs w:val="20"/>
        </w:rPr>
        <w:t xml:space="preserve">geckos (Reptilia: Gekkonidae) elucidated using mitochondrial DNA sequences. </w:t>
      </w:r>
      <w:r w:rsidR="00331D5F">
        <w:rPr>
          <w:rFonts w:ascii="Arial" w:hAnsi="Arial" w:cs="Arial"/>
          <w:sz w:val="20"/>
          <w:szCs w:val="20"/>
        </w:rPr>
        <w:tab/>
      </w:r>
      <w:r w:rsidRPr="00D854FC">
        <w:rPr>
          <w:rStyle w:val="Emphasis"/>
          <w:rFonts w:ascii="Arial" w:hAnsi="Arial" w:cs="Arial"/>
          <w:sz w:val="20"/>
          <w:szCs w:val="20"/>
        </w:rPr>
        <w:t>Molecular Phylogenetics and Evolution</w:t>
      </w:r>
      <w:r w:rsidRPr="00D854FC">
        <w:rPr>
          <w:rFonts w:ascii="Arial" w:hAnsi="Arial" w:cs="Arial"/>
          <w:sz w:val="20"/>
          <w:szCs w:val="20"/>
        </w:rPr>
        <w:t>. 38(2):531-545.</w:t>
      </w:r>
    </w:p>
    <w:p w14:paraId="53F78155" w14:textId="3C05F1DF" w:rsidR="00A22FF2" w:rsidRPr="007F47D9" w:rsidRDefault="00A22FF2" w:rsidP="00A22FF2">
      <w:pPr>
        <w:pStyle w:val="NormalWeb"/>
        <w:spacing w:line="360" w:lineRule="auto"/>
        <w:ind w:left="90"/>
        <w:jc w:val="both"/>
        <w:rPr>
          <w:rFonts w:ascii="Arial" w:hAnsi="Arial" w:cs="Arial"/>
          <w:sz w:val="20"/>
          <w:szCs w:val="20"/>
        </w:rPr>
      </w:pPr>
      <w:r>
        <w:rPr>
          <w:rFonts w:ascii="Arial" w:hAnsi="Arial" w:cs="Arial"/>
          <w:color w:val="222222"/>
          <w:sz w:val="20"/>
          <w:szCs w:val="20"/>
          <w:shd w:val="clear" w:color="auto" w:fill="FFFFFF"/>
        </w:rPr>
        <w:t xml:space="preserve">Lamb, April D., et al. (2021):"Comparing the dietary niche overlap and ecomorphological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differences between invasive </w:t>
      </w:r>
      <w:r w:rsidR="003110D8" w:rsidRPr="003110D8">
        <w:rPr>
          <w:rFonts w:ascii="Arial" w:hAnsi="Arial" w:cs="Arial"/>
          <w:i/>
          <w:iCs/>
          <w:color w:val="222222"/>
          <w:sz w:val="20"/>
          <w:szCs w:val="20"/>
          <w:shd w:val="clear" w:color="auto" w:fill="FFFFFF"/>
        </w:rPr>
        <w:t>Hemidactylus</w:t>
      </w:r>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mabouia</w:t>
      </w:r>
      <w:proofErr w:type="spellEnd"/>
      <w:r>
        <w:rPr>
          <w:rFonts w:ascii="Arial" w:hAnsi="Arial" w:cs="Arial"/>
          <w:color w:val="222222"/>
          <w:sz w:val="20"/>
          <w:szCs w:val="20"/>
          <w:shd w:val="clear" w:color="auto" w:fill="FFFFFF"/>
        </w:rPr>
        <w:t xml:space="preserve"> geckos and a native gecko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competitor." </w:t>
      </w:r>
      <w:r>
        <w:rPr>
          <w:rFonts w:ascii="Arial" w:hAnsi="Arial" w:cs="Arial"/>
          <w:i/>
          <w:iCs/>
          <w:color w:val="222222"/>
          <w:sz w:val="20"/>
          <w:szCs w:val="20"/>
          <w:shd w:val="clear" w:color="auto" w:fill="FFFFFF"/>
        </w:rPr>
        <w:t>Ecology and Evolution</w:t>
      </w:r>
      <w:r>
        <w:rPr>
          <w:rFonts w:ascii="Arial" w:hAnsi="Arial" w:cs="Arial"/>
          <w:color w:val="222222"/>
          <w:sz w:val="20"/>
          <w:szCs w:val="20"/>
          <w:shd w:val="clear" w:color="auto" w:fill="FFFFFF"/>
        </w:rPr>
        <w:t> 11.24:18719-18732.</w:t>
      </w:r>
    </w:p>
    <w:p w14:paraId="59298480" w14:textId="2CAE1E3B"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Das M, et al. </w:t>
      </w:r>
      <w:r>
        <w:rPr>
          <w:rFonts w:ascii="Arial" w:hAnsi="Arial" w:cs="Arial"/>
          <w:sz w:val="20"/>
          <w:szCs w:val="20"/>
        </w:rPr>
        <w:t>(</w:t>
      </w:r>
      <w:r w:rsidRPr="00D854FC">
        <w:rPr>
          <w:rFonts w:ascii="Arial" w:hAnsi="Arial" w:cs="Arial"/>
          <w:sz w:val="20"/>
          <w:szCs w:val="20"/>
        </w:rPr>
        <w:t>2011</w:t>
      </w:r>
      <w:r>
        <w:rPr>
          <w:rFonts w:ascii="Arial" w:hAnsi="Arial" w:cs="Arial"/>
          <w:sz w:val="20"/>
          <w:szCs w:val="20"/>
        </w:rPr>
        <w:t>)</w:t>
      </w:r>
      <w:r w:rsidRPr="00D854FC">
        <w:rPr>
          <w:rFonts w:ascii="Arial" w:hAnsi="Arial" w:cs="Arial"/>
          <w:sz w:val="20"/>
          <w:szCs w:val="20"/>
        </w:rPr>
        <w:t xml:space="preserve">. </w:t>
      </w:r>
      <w:r w:rsidR="003110D8" w:rsidRPr="003110D8">
        <w:rPr>
          <w:rStyle w:val="Emphasis"/>
          <w:rFonts w:ascii="Arial" w:hAnsi="Arial" w:cs="Arial"/>
          <w:sz w:val="20"/>
          <w:szCs w:val="20"/>
        </w:rPr>
        <w:t>Hemidactylus</w:t>
      </w:r>
      <w:r w:rsidRPr="00D854FC">
        <w:rPr>
          <w:rStyle w:val="Emphasis"/>
          <w:rFonts w:ascii="Arial" w:hAnsi="Arial" w:cs="Arial"/>
          <w:sz w:val="20"/>
          <w:szCs w:val="20"/>
        </w:rPr>
        <w:t xml:space="preserve"> </w:t>
      </w:r>
      <w:proofErr w:type="spellStart"/>
      <w:r w:rsidRPr="00D854FC">
        <w:rPr>
          <w:rStyle w:val="Emphasis"/>
          <w:rFonts w:ascii="Arial" w:hAnsi="Arial" w:cs="Arial"/>
          <w:sz w:val="20"/>
          <w:szCs w:val="20"/>
        </w:rPr>
        <w:t>flaviviridis</w:t>
      </w:r>
      <w:proofErr w:type="spellEnd"/>
      <w:r w:rsidRPr="00D854FC">
        <w:rPr>
          <w:rFonts w:ascii="Arial" w:hAnsi="Arial" w:cs="Arial"/>
          <w:sz w:val="20"/>
          <w:szCs w:val="20"/>
        </w:rPr>
        <w:t xml:space="preserve"> Rüppell, 1835 (Sauria: Gekkonidae): An </w:t>
      </w:r>
      <w:r w:rsidR="00331D5F">
        <w:rPr>
          <w:rFonts w:ascii="Arial" w:hAnsi="Arial" w:cs="Arial"/>
          <w:sz w:val="20"/>
          <w:szCs w:val="20"/>
        </w:rPr>
        <w:tab/>
      </w:r>
      <w:r w:rsidRPr="00D854FC">
        <w:rPr>
          <w:rFonts w:ascii="Arial" w:hAnsi="Arial" w:cs="Arial"/>
          <w:sz w:val="20"/>
          <w:szCs w:val="20"/>
        </w:rPr>
        <w:t xml:space="preserve">invasive gecko in Assam. </w:t>
      </w:r>
      <w:r w:rsidRPr="00D854FC">
        <w:rPr>
          <w:rStyle w:val="Emphasis"/>
          <w:rFonts w:ascii="Arial" w:hAnsi="Arial" w:cs="Arial"/>
          <w:sz w:val="20"/>
          <w:szCs w:val="20"/>
        </w:rPr>
        <w:t>North-Western Journal of Zoology</w:t>
      </w:r>
      <w:r w:rsidRPr="00D854FC">
        <w:rPr>
          <w:rFonts w:ascii="Arial" w:hAnsi="Arial" w:cs="Arial"/>
          <w:sz w:val="20"/>
          <w:szCs w:val="20"/>
        </w:rPr>
        <w:t>. 7(1).</w:t>
      </w:r>
    </w:p>
    <w:p w14:paraId="28CD0E8C"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Lever C. 2003. </w:t>
      </w:r>
      <w:r w:rsidRPr="00D854FC">
        <w:rPr>
          <w:rStyle w:val="Emphasis"/>
          <w:rFonts w:ascii="Arial" w:hAnsi="Arial" w:cs="Arial"/>
          <w:sz w:val="20"/>
          <w:szCs w:val="20"/>
        </w:rPr>
        <w:t>Naturalized Reptiles and Amphibians of the World</w:t>
      </w:r>
      <w:r w:rsidRPr="00D854FC">
        <w:rPr>
          <w:rFonts w:ascii="Arial" w:hAnsi="Arial" w:cs="Arial"/>
          <w:sz w:val="20"/>
          <w:szCs w:val="20"/>
        </w:rPr>
        <w:t xml:space="preserve">. Oxford University Press, </w:t>
      </w:r>
      <w:r w:rsidR="00331D5F">
        <w:rPr>
          <w:rFonts w:ascii="Arial" w:hAnsi="Arial" w:cs="Arial"/>
          <w:sz w:val="20"/>
          <w:szCs w:val="20"/>
        </w:rPr>
        <w:tab/>
      </w:r>
      <w:r w:rsidRPr="00D854FC">
        <w:rPr>
          <w:rFonts w:ascii="Arial" w:hAnsi="Arial" w:cs="Arial"/>
          <w:sz w:val="20"/>
          <w:szCs w:val="20"/>
        </w:rPr>
        <w:t>Oxford, UK.</w:t>
      </w:r>
    </w:p>
    <w:p w14:paraId="5DB3E7DA"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Kraus F. 2009. </w:t>
      </w:r>
      <w:r w:rsidRPr="00D854FC">
        <w:rPr>
          <w:rStyle w:val="Emphasis"/>
          <w:rFonts w:ascii="Arial" w:hAnsi="Arial" w:cs="Arial"/>
          <w:sz w:val="20"/>
          <w:szCs w:val="20"/>
        </w:rPr>
        <w:t>Alien Reptiles and Amphibians: A Scientific Compendium and Analysis</w:t>
      </w:r>
      <w:r w:rsidRPr="00D854FC">
        <w:rPr>
          <w:rFonts w:ascii="Arial" w:hAnsi="Arial" w:cs="Arial"/>
          <w:sz w:val="20"/>
          <w:szCs w:val="20"/>
        </w:rPr>
        <w:t xml:space="preserve">. </w:t>
      </w:r>
      <w:r w:rsidR="00331D5F">
        <w:rPr>
          <w:rFonts w:ascii="Arial" w:hAnsi="Arial" w:cs="Arial"/>
          <w:sz w:val="20"/>
          <w:szCs w:val="20"/>
        </w:rPr>
        <w:tab/>
      </w:r>
      <w:r w:rsidRPr="00D854FC">
        <w:rPr>
          <w:rFonts w:ascii="Arial" w:hAnsi="Arial" w:cs="Arial"/>
          <w:sz w:val="20"/>
          <w:szCs w:val="20"/>
        </w:rPr>
        <w:t>Springer, Dordrecht, The Netherlands.</w:t>
      </w:r>
    </w:p>
    <w:p w14:paraId="59D26B9D" w14:textId="77777777" w:rsidR="00A22FF2" w:rsidRPr="00F41C7B" w:rsidRDefault="00A22FF2" w:rsidP="00A22FF2">
      <w:pPr>
        <w:pStyle w:val="NormalWeb"/>
        <w:spacing w:line="360" w:lineRule="auto"/>
        <w:ind w:left="90"/>
        <w:jc w:val="both"/>
        <w:rPr>
          <w:rFonts w:ascii="Arial" w:hAnsi="Arial" w:cs="Arial"/>
          <w:sz w:val="20"/>
          <w:szCs w:val="20"/>
        </w:rPr>
      </w:pPr>
      <w:proofErr w:type="spellStart"/>
      <w:r>
        <w:rPr>
          <w:rFonts w:ascii="Arial" w:hAnsi="Arial" w:cs="Arial"/>
          <w:color w:val="222222"/>
          <w:sz w:val="20"/>
          <w:szCs w:val="20"/>
          <w:shd w:val="clear" w:color="auto" w:fill="FFFFFF"/>
        </w:rPr>
        <w:t>Bissattini</w:t>
      </w:r>
      <w:proofErr w:type="spellEnd"/>
      <w:r>
        <w:rPr>
          <w:rFonts w:ascii="Arial" w:hAnsi="Arial" w:cs="Arial"/>
          <w:color w:val="222222"/>
          <w:sz w:val="20"/>
          <w:szCs w:val="20"/>
          <w:shd w:val="clear" w:color="auto" w:fill="FFFFFF"/>
        </w:rPr>
        <w:t xml:space="preserve">, A. M., </w:t>
      </w:r>
      <w:proofErr w:type="spellStart"/>
      <w:r>
        <w:rPr>
          <w:rFonts w:ascii="Arial" w:hAnsi="Arial" w:cs="Arial"/>
          <w:color w:val="222222"/>
          <w:sz w:val="20"/>
          <w:szCs w:val="20"/>
          <w:shd w:val="clear" w:color="auto" w:fill="FFFFFF"/>
        </w:rPr>
        <w:t>Haubrock</w:t>
      </w:r>
      <w:proofErr w:type="spellEnd"/>
      <w:r>
        <w:rPr>
          <w:rFonts w:ascii="Arial" w:hAnsi="Arial" w:cs="Arial"/>
          <w:color w:val="222222"/>
          <w:sz w:val="20"/>
          <w:szCs w:val="20"/>
          <w:shd w:val="clear" w:color="auto" w:fill="FFFFFF"/>
        </w:rPr>
        <w:t xml:space="preserve">, P. J., Buono, V., Balzani, P., </w:t>
      </w:r>
      <w:proofErr w:type="spellStart"/>
      <w:r w:rsidR="00BB4C5B">
        <w:rPr>
          <w:rFonts w:ascii="Arial" w:hAnsi="Arial" w:cs="Arial"/>
          <w:color w:val="222222"/>
          <w:sz w:val="20"/>
          <w:szCs w:val="20"/>
          <w:shd w:val="clear" w:color="auto" w:fill="FFFFFF"/>
        </w:rPr>
        <w:t>Borgianni</w:t>
      </w:r>
      <w:proofErr w:type="spellEnd"/>
      <w:r w:rsidR="00BB4C5B">
        <w:rPr>
          <w:rFonts w:ascii="Arial" w:hAnsi="Arial" w:cs="Arial"/>
          <w:color w:val="222222"/>
          <w:sz w:val="20"/>
          <w:szCs w:val="20"/>
          <w:shd w:val="clear" w:color="auto" w:fill="FFFFFF"/>
        </w:rPr>
        <w:t xml:space="preserve">, N., </w:t>
      </w:r>
      <w:proofErr w:type="spellStart"/>
      <w:r w:rsidR="00BB4C5B">
        <w:rPr>
          <w:rFonts w:ascii="Arial" w:hAnsi="Arial" w:cs="Arial"/>
          <w:color w:val="222222"/>
          <w:sz w:val="20"/>
          <w:szCs w:val="20"/>
          <w:shd w:val="clear" w:color="auto" w:fill="FFFFFF"/>
        </w:rPr>
        <w:t>Stellati</w:t>
      </w:r>
      <w:proofErr w:type="spellEnd"/>
      <w:r w:rsidR="00BB4C5B">
        <w:rPr>
          <w:rFonts w:ascii="Arial" w:hAnsi="Arial" w:cs="Arial"/>
          <w:color w:val="222222"/>
          <w:sz w:val="20"/>
          <w:szCs w:val="20"/>
          <w:shd w:val="clear" w:color="auto" w:fill="FFFFFF"/>
        </w:rPr>
        <w:t>, L.,</w:t>
      </w:r>
      <w:r>
        <w:rPr>
          <w:rFonts w:ascii="Arial" w:hAnsi="Arial" w:cs="Arial"/>
          <w:color w:val="222222"/>
          <w:sz w:val="20"/>
          <w:szCs w:val="20"/>
          <w:shd w:val="clear" w:color="auto" w:fill="FFFFFF"/>
        </w:rPr>
        <w:t xml:space="preserve"> &amp;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Vignoli, L. (2021). Trophic structure of a pond community dominated by an invasive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alien species: insights from stomach content and stable isotope analyses. </w:t>
      </w:r>
      <w:r>
        <w:rPr>
          <w:rFonts w:ascii="Arial" w:hAnsi="Arial" w:cs="Arial"/>
          <w:i/>
          <w:iCs/>
          <w:color w:val="222222"/>
          <w:sz w:val="20"/>
          <w:szCs w:val="20"/>
          <w:shd w:val="clear" w:color="auto" w:fill="FFFFFF"/>
        </w:rPr>
        <w:t xml:space="preserve">Aquatic </w:t>
      </w:r>
      <w:r w:rsidR="00331D5F">
        <w:rPr>
          <w:rFonts w:ascii="Arial" w:hAnsi="Arial" w:cs="Arial"/>
          <w:i/>
          <w:iCs/>
          <w:color w:val="222222"/>
          <w:sz w:val="20"/>
          <w:szCs w:val="20"/>
          <w:shd w:val="clear" w:color="auto" w:fill="FFFFFF"/>
        </w:rPr>
        <w:tab/>
      </w:r>
      <w:r>
        <w:rPr>
          <w:rFonts w:ascii="Arial" w:hAnsi="Arial" w:cs="Arial"/>
          <w:i/>
          <w:iCs/>
          <w:color w:val="222222"/>
          <w:sz w:val="20"/>
          <w:szCs w:val="20"/>
          <w:shd w:val="clear" w:color="auto" w:fill="FFFFFF"/>
        </w:rPr>
        <w:t>Conservation: Marine and Freshwater Ecosystems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31</w:t>
      </w:r>
      <w:r>
        <w:rPr>
          <w:rFonts w:ascii="Arial" w:hAnsi="Arial" w:cs="Arial"/>
          <w:color w:val="222222"/>
          <w:sz w:val="20"/>
          <w:szCs w:val="20"/>
          <w:shd w:val="clear" w:color="auto" w:fill="FFFFFF"/>
        </w:rPr>
        <w:t>(4), 948-963.</w:t>
      </w:r>
    </w:p>
    <w:p w14:paraId="78774292"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Joshi J, Karanth KP. 2013. Did southern Western Ghats of peninsular India serve as refugia </w:t>
      </w:r>
      <w:r w:rsidR="00331D5F">
        <w:rPr>
          <w:rFonts w:ascii="Arial" w:hAnsi="Arial" w:cs="Arial"/>
          <w:sz w:val="20"/>
          <w:szCs w:val="20"/>
        </w:rPr>
        <w:tab/>
      </w:r>
      <w:r w:rsidRPr="00D854FC">
        <w:rPr>
          <w:rFonts w:ascii="Arial" w:hAnsi="Arial" w:cs="Arial"/>
          <w:sz w:val="20"/>
          <w:szCs w:val="20"/>
        </w:rPr>
        <w:t xml:space="preserve">for its endemic biota during the Cretaceous volcanism? </w:t>
      </w:r>
      <w:r w:rsidRPr="00D854FC">
        <w:rPr>
          <w:rStyle w:val="Emphasis"/>
          <w:rFonts w:ascii="Arial" w:hAnsi="Arial" w:cs="Arial"/>
          <w:sz w:val="20"/>
          <w:szCs w:val="20"/>
        </w:rPr>
        <w:t>Ecology and Evolution</w:t>
      </w:r>
      <w:r w:rsidRPr="00D854FC">
        <w:rPr>
          <w:rFonts w:ascii="Arial" w:hAnsi="Arial" w:cs="Arial"/>
          <w:sz w:val="20"/>
          <w:szCs w:val="20"/>
        </w:rPr>
        <w:t xml:space="preserve">. </w:t>
      </w:r>
      <w:r w:rsidR="00331D5F">
        <w:rPr>
          <w:rFonts w:ascii="Arial" w:hAnsi="Arial" w:cs="Arial"/>
          <w:sz w:val="20"/>
          <w:szCs w:val="20"/>
        </w:rPr>
        <w:tab/>
      </w:r>
      <w:r w:rsidRPr="00D854FC">
        <w:rPr>
          <w:rFonts w:ascii="Arial" w:hAnsi="Arial" w:cs="Arial"/>
          <w:sz w:val="20"/>
          <w:szCs w:val="20"/>
        </w:rPr>
        <w:t>3(10):3275–3282.</w:t>
      </w:r>
    </w:p>
    <w:p w14:paraId="1241C165" w14:textId="77777777" w:rsidR="00A22FF2" w:rsidRPr="009B254D"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lastRenderedPageBreak/>
        <w:t xml:space="preserve">Avise JC. </w:t>
      </w:r>
      <w:r>
        <w:rPr>
          <w:rFonts w:ascii="Arial" w:hAnsi="Arial" w:cs="Arial"/>
          <w:sz w:val="20"/>
          <w:szCs w:val="20"/>
        </w:rPr>
        <w:t>(</w:t>
      </w:r>
      <w:r w:rsidRPr="00D854FC">
        <w:rPr>
          <w:rFonts w:ascii="Arial" w:hAnsi="Arial" w:cs="Arial"/>
          <w:sz w:val="20"/>
          <w:szCs w:val="20"/>
        </w:rPr>
        <w:t>2000</w:t>
      </w:r>
      <w:r>
        <w:rPr>
          <w:rFonts w:ascii="Arial" w:hAnsi="Arial" w:cs="Arial"/>
          <w:sz w:val="20"/>
          <w:szCs w:val="20"/>
        </w:rPr>
        <w:t>)</w:t>
      </w:r>
      <w:r w:rsidRPr="00D854FC">
        <w:rPr>
          <w:rFonts w:ascii="Arial" w:hAnsi="Arial" w:cs="Arial"/>
          <w:sz w:val="20"/>
          <w:szCs w:val="20"/>
        </w:rPr>
        <w:t xml:space="preserve">. </w:t>
      </w:r>
      <w:r w:rsidRPr="00D854FC">
        <w:rPr>
          <w:rStyle w:val="Emphasis"/>
          <w:rFonts w:ascii="Arial" w:hAnsi="Arial" w:cs="Arial"/>
          <w:sz w:val="20"/>
          <w:szCs w:val="20"/>
        </w:rPr>
        <w:t>Phylogeography: The History and Formation of Species</w:t>
      </w:r>
      <w:r w:rsidRPr="00D854FC">
        <w:rPr>
          <w:rFonts w:ascii="Arial" w:hAnsi="Arial" w:cs="Arial"/>
          <w:sz w:val="20"/>
          <w:szCs w:val="20"/>
        </w:rPr>
        <w:t xml:space="preserve">. Harvard </w:t>
      </w:r>
      <w:r w:rsidR="00331D5F">
        <w:rPr>
          <w:rFonts w:ascii="Arial" w:hAnsi="Arial" w:cs="Arial"/>
          <w:sz w:val="20"/>
          <w:szCs w:val="20"/>
        </w:rPr>
        <w:tab/>
      </w:r>
      <w:r w:rsidRPr="00D854FC">
        <w:rPr>
          <w:rFonts w:ascii="Arial" w:hAnsi="Arial" w:cs="Arial"/>
          <w:sz w:val="20"/>
          <w:szCs w:val="20"/>
        </w:rPr>
        <w:t>University Press, Cambridge, Massachusetts, USA.</w:t>
      </w:r>
      <w:r>
        <w:rPr>
          <w:rFonts w:ascii="Arial" w:hAnsi="Arial" w:cs="Arial"/>
          <w:sz w:val="20"/>
          <w:szCs w:val="20"/>
        </w:rPr>
        <w:t xml:space="preserve"> </w:t>
      </w:r>
    </w:p>
    <w:p w14:paraId="7FA4F7F6" w14:textId="77777777"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Hillis DM. </w:t>
      </w:r>
      <w:r>
        <w:rPr>
          <w:rFonts w:ascii="Arial" w:hAnsi="Arial" w:cs="Arial"/>
          <w:sz w:val="20"/>
          <w:szCs w:val="20"/>
        </w:rPr>
        <w:t>(</w:t>
      </w:r>
      <w:r w:rsidRPr="00D854FC">
        <w:rPr>
          <w:rFonts w:ascii="Arial" w:hAnsi="Arial" w:cs="Arial"/>
          <w:sz w:val="20"/>
          <w:szCs w:val="20"/>
        </w:rPr>
        <w:t>1996</w:t>
      </w:r>
      <w:r>
        <w:rPr>
          <w:rFonts w:ascii="Arial" w:hAnsi="Arial" w:cs="Arial"/>
          <w:sz w:val="20"/>
          <w:szCs w:val="20"/>
        </w:rPr>
        <w:t>)</w:t>
      </w:r>
      <w:r w:rsidRPr="00D854FC">
        <w:rPr>
          <w:rFonts w:ascii="Arial" w:hAnsi="Arial" w:cs="Arial"/>
          <w:sz w:val="20"/>
          <w:szCs w:val="20"/>
        </w:rPr>
        <w:t xml:space="preserve">. Inferring complex phylogenies. </w:t>
      </w:r>
      <w:r w:rsidRPr="00D854FC">
        <w:rPr>
          <w:rStyle w:val="Emphasis"/>
          <w:rFonts w:ascii="Arial" w:hAnsi="Arial" w:cs="Arial"/>
          <w:sz w:val="20"/>
          <w:szCs w:val="20"/>
        </w:rPr>
        <w:t>Nature</w:t>
      </w:r>
      <w:r w:rsidRPr="00D854FC">
        <w:rPr>
          <w:rFonts w:ascii="Arial" w:hAnsi="Arial" w:cs="Arial"/>
          <w:sz w:val="20"/>
          <w:szCs w:val="20"/>
        </w:rPr>
        <w:t>. 383(6596):130–131.</w:t>
      </w:r>
    </w:p>
    <w:p w14:paraId="76C98203" w14:textId="77777777" w:rsidR="00A22FF2" w:rsidRPr="00946626" w:rsidRDefault="00A22FF2" w:rsidP="00A22FF2">
      <w:pPr>
        <w:pStyle w:val="NormalWeb"/>
        <w:spacing w:line="360" w:lineRule="auto"/>
        <w:ind w:left="90"/>
        <w:jc w:val="both"/>
        <w:rPr>
          <w:rFonts w:ascii="Arial" w:hAnsi="Arial" w:cs="Arial"/>
          <w:sz w:val="20"/>
          <w:szCs w:val="20"/>
        </w:rPr>
      </w:pPr>
      <w:r w:rsidRPr="00962B75">
        <w:rPr>
          <w:rFonts w:ascii="Arial" w:hAnsi="Arial" w:cs="Arial"/>
          <w:color w:val="222222"/>
          <w:sz w:val="20"/>
          <w:szCs w:val="20"/>
          <w:shd w:val="clear" w:color="auto" w:fill="FFFFFF"/>
        </w:rPr>
        <w:t xml:space="preserve">Lee Grismer, L., et al. </w:t>
      </w:r>
      <w:r>
        <w:rPr>
          <w:rFonts w:ascii="Arial" w:hAnsi="Arial" w:cs="Arial"/>
          <w:color w:val="222222"/>
          <w:sz w:val="20"/>
          <w:szCs w:val="20"/>
          <w:shd w:val="clear" w:color="auto" w:fill="FFFFFF"/>
        </w:rPr>
        <w:t>(2021).</w:t>
      </w:r>
      <w:r w:rsidRPr="00962B75">
        <w:rPr>
          <w:rFonts w:ascii="Arial" w:hAnsi="Arial" w:cs="Arial"/>
          <w:color w:val="222222"/>
          <w:sz w:val="20"/>
          <w:szCs w:val="20"/>
          <w:shd w:val="clear" w:color="auto" w:fill="FFFFFF"/>
        </w:rPr>
        <w:t xml:space="preserve"> "Phylogenetic partitioning of the third-largest vertebrate </w:t>
      </w:r>
      <w:r w:rsidR="00331D5F">
        <w:rPr>
          <w:rFonts w:ascii="Arial" w:hAnsi="Arial" w:cs="Arial"/>
          <w:color w:val="222222"/>
          <w:sz w:val="20"/>
          <w:szCs w:val="20"/>
          <w:shd w:val="clear" w:color="auto" w:fill="FFFFFF"/>
        </w:rPr>
        <w:tab/>
      </w:r>
      <w:r w:rsidRPr="00962B75">
        <w:rPr>
          <w:rFonts w:ascii="Arial" w:hAnsi="Arial" w:cs="Arial"/>
          <w:color w:val="222222"/>
          <w:sz w:val="20"/>
          <w:szCs w:val="20"/>
          <w:shd w:val="clear" w:color="auto" w:fill="FFFFFF"/>
        </w:rPr>
        <w:t xml:space="preserve">genus in the world, </w:t>
      </w:r>
      <w:proofErr w:type="spellStart"/>
      <w:r w:rsidRPr="00962B75">
        <w:rPr>
          <w:rFonts w:ascii="Arial" w:hAnsi="Arial" w:cs="Arial"/>
          <w:color w:val="222222"/>
          <w:sz w:val="20"/>
          <w:szCs w:val="20"/>
          <w:shd w:val="clear" w:color="auto" w:fill="FFFFFF"/>
        </w:rPr>
        <w:t>Cyrtodactylus</w:t>
      </w:r>
      <w:proofErr w:type="spellEnd"/>
      <w:r w:rsidRPr="00962B75">
        <w:rPr>
          <w:rFonts w:ascii="Arial" w:hAnsi="Arial" w:cs="Arial"/>
          <w:color w:val="222222"/>
          <w:sz w:val="20"/>
          <w:szCs w:val="20"/>
          <w:shd w:val="clear" w:color="auto" w:fill="FFFFFF"/>
        </w:rPr>
        <w:t xml:space="preserve"> Gray, 1827 (Reptilia; Squamata; Gekkonidae) and </w:t>
      </w:r>
      <w:r w:rsidR="00331D5F">
        <w:rPr>
          <w:rFonts w:ascii="Arial" w:hAnsi="Arial" w:cs="Arial"/>
          <w:color w:val="222222"/>
          <w:sz w:val="20"/>
          <w:szCs w:val="20"/>
          <w:shd w:val="clear" w:color="auto" w:fill="FFFFFF"/>
        </w:rPr>
        <w:tab/>
      </w:r>
      <w:r w:rsidRPr="00962B75">
        <w:rPr>
          <w:rFonts w:ascii="Arial" w:hAnsi="Arial" w:cs="Arial"/>
          <w:color w:val="222222"/>
          <w:sz w:val="20"/>
          <w:szCs w:val="20"/>
          <w:shd w:val="clear" w:color="auto" w:fill="FFFFFF"/>
        </w:rPr>
        <w:t>its relevance to taxonomy and conservation." </w:t>
      </w:r>
      <w:r w:rsidRPr="00962B75">
        <w:rPr>
          <w:rFonts w:ascii="Arial" w:hAnsi="Arial" w:cs="Arial"/>
          <w:i/>
          <w:iCs/>
          <w:color w:val="222222"/>
          <w:sz w:val="20"/>
          <w:szCs w:val="20"/>
          <w:shd w:val="clear" w:color="auto" w:fill="FFFFFF"/>
        </w:rPr>
        <w:t>Vertebrate Zoology</w:t>
      </w:r>
      <w:r>
        <w:rPr>
          <w:rFonts w:ascii="Arial" w:hAnsi="Arial" w:cs="Arial"/>
          <w:color w:val="222222"/>
          <w:sz w:val="20"/>
          <w:szCs w:val="20"/>
          <w:shd w:val="clear" w:color="auto" w:fill="FFFFFF"/>
        </w:rPr>
        <w:t> 71:</w:t>
      </w:r>
      <w:r w:rsidRPr="00962B75">
        <w:rPr>
          <w:rFonts w:ascii="Arial" w:hAnsi="Arial" w:cs="Arial"/>
          <w:color w:val="222222"/>
          <w:sz w:val="20"/>
          <w:szCs w:val="20"/>
          <w:shd w:val="clear" w:color="auto" w:fill="FFFFFF"/>
        </w:rPr>
        <w:t>101-154.</w:t>
      </w:r>
    </w:p>
    <w:p w14:paraId="2B8DB1CA" w14:textId="0145D969"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Bansal R, Karanth KP. </w:t>
      </w:r>
      <w:r>
        <w:rPr>
          <w:rFonts w:ascii="Arial" w:hAnsi="Arial" w:cs="Arial"/>
          <w:sz w:val="20"/>
          <w:szCs w:val="20"/>
        </w:rPr>
        <w:t>(</w:t>
      </w:r>
      <w:r w:rsidRPr="00D854FC">
        <w:rPr>
          <w:rFonts w:ascii="Arial" w:hAnsi="Arial" w:cs="Arial"/>
          <w:sz w:val="20"/>
          <w:szCs w:val="20"/>
        </w:rPr>
        <w:t>2013</w:t>
      </w:r>
      <w:r>
        <w:rPr>
          <w:rFonts w:ascii="Arial" w:hAnsi="Arial" w:cs="Arial"/>
          <w:sz w:val="20"/>
          <w:szCs w:val="20"/>
        </w:rPr>
        <w:t>)</w:t>
      </w:r>
      <w:r w:rsidRPr="00D854FC">
        <w:rPr>
          <w:rFonts w:ascii="Arial" w:hAnsi="Arial" w:cs="Arial"/>
          <w:sz w:val="20"/>
          <w:szCs w:val="20"/>
        </w:rPr>
        <w:t xml:space="preserve">. Phylogenetic analysis and molecular dating suggest that </w:t>
      </w:r>
      <w:r w:rsidR="00331D5F">
        <w:rPr>
          <w:rFonts w:ascii="Arial" w:hAnsi="Arial" w:cs="Arial"/>
          <w:sz w:val="20"/>
          <w:szCs w:val="20"/>
        </w:rPr>
        <w:tab/>
      </w:r>
      <w:r w:rsidR="003110D8" w:rsidRPr="003110D8">
        <w:rPr>
          <w:rStyle w:val="Emphasis"/>
          <w:rFonts w:ascii="Arial" w:hAnsi="Arial" w:cs="Arial"/>
          <w:sz w:val="20"/>
          <w:szCs w:val="20"/>
        </w:rPr>
        <w:t>Hemidactylus</w:t>
      </w:r>
      <w:r w:rsidRPr="00D854FC">
        <w:rPr>
          <w:rStyle w:val="Emphasis"/>
          <w:rFonts w:ascii="Arial" w:hAnsi="Arial" w:cs="Arial"/>
          <w:sz w:val="20"/>
          <w:szCs w:val="20"/>
        </w:rPr>
        <w:t xml:space="preserve"> </w:t>
      </w:r>
      <w:proofErr w:type="spellStart"/>
      <w:r w:rsidRPr="00D854FC">
        <w:rPr>
          <w:rStyle w:val="Emphasis"/>
          <w:rFonts w:ascii="Arial" w:hAnsi="Arial" w:cs="Arial"/>
          <w:sz w:val="20"/>
          <w:szCs w:val="20"/>
        </w:rPr>
        <w:t>anamallensis</w:t>
      </w:r>
      <w:proofErr w:type="spellEnd"/>
      <w:r w:rsidRPr="00D854FC">
        <w:rPr>
          <w:rFonts w:ascii="Arial" w:hAnsi="Arial" w:cs="Arial"/>
          <w:sz w:val="20"/>
          <w:szCs w:val="20"/>
        </w:rPr>
        <w:t xml:space="preserve"> is not a member of the </w:t>
      </w:r>
      <w:r w:rsidR="003110D8" w:rsidRPr="003110D8">
        <w:rPr>
          <w:rStyle w:val="Emphasis"/>
          <w:rFonts w:ascii="Arial" w:hAnsi="Arial" w:cs="Arial"/>
          <w:sz w:val="20"/>
          <w:szCs w:val="20"/>
        </w:rPr>
        <w:t>Hemidactylus</w:t>
      </w:r>
      <w:r w:rsidRPr="00D854FC">
        <w:rPr>
          <w:rFonts w:ascii="Arial" w:hAnsi="Arial" w:cs="Arial"/>
          <w:sz w:val="20"/>
          <w:szCs w:val="20"/>
        </w:rPr>
        <w:t xml:space="preserve"> radiation and has </w:t>
      </w:r>
      <w:r w:rsidR="00331D5F">
        <w:rPr>
          <w:rFonts w:ascii="Arial" w:hAnsi="Arial" w:cs="Arial"/>
          <w:sz w:val="20"/>
          <w:szCs w:val="20"/>
        </w:rPr>
        <w:tab/>
      </w:r>
      <w:r w:rsidRPr="00D854FC">
        <w:rPr>
          <w:rFonts w:ascii="Arial" w:hAnsi="Arial" w:cs="Arial"/>
          <w:sz w:val="20"/>
          <w:szCs w:val="20"/>
        </w:rPr>
        <w:t xml:space="preserve">an ancient Late Cretaceous origin. </w:t>
      </w:r>
      <w:proofErr w:type="spellStart"/>
      <w:r w:rsidRPr="00D854FC">
        <w:rPr>
          <w:rStyle w:val="Emphasis"/>
          <w:rFonts w:ascii="Arial" w:hAnsi="Arial" w:cs="Arial"/>
          <w:sz w:val="20"/>
          <w:szCs w:val="20"/>
        </w:rPr>
        <w:t>PLoS</w:t>
      </w:r>
      <w:proofErr w:type="spellEnd"/>
      <w:r w:rsidRPr="00D854FC">
        <w:rPr>
          <w:rStyle w:val="Emphasis"/>
          <w:rFonts w:ascii="Arial" w:hAnsi="Arial" w:cs="Arial"/>
          <w:sz w:val="20"/>
          <w:szCs w:val="20"/>
        </w:rPr>
        <w:t xml:space="preserve"> ONE</w:t>
      </w:r>
      <w:r w:rsidRPr="00D854FC">
        <w:rPr>
          <w:rFonts w:ascii="Arial" w:hAnsi="Arial" w:cs="Arial"/>
          <w:sz w:val="20"/>
          <w:szCs w:val="20"/>
        </w:rPr>
        <w:t>. 8(5</w:t>
      </w:r>
      <w:proofErr w:type="gramStart"/>
      <w:r w:rsidRPr="00D854FC">
        <w:rPr>
          <w:rFonts w:ascii="Arial" w:hAnsi="Arial" w:cs="Arial"/>
          <w:sz w:val="20"/>
          <w:szCs w:val="20"/>
        </w:rPr>
        <w:t>):e</w:t>
      </w:r>
      <w:proofErr w:type="gramEnd"/>
      <w:r w:rsidRPr="00D854FC">
        <w:rPr>
          <w:rFonts w:ascii="Arial" w:hAnsi="Arial" w:cs="Arial"/>
          <w:sz w:val="20"/>
          <w:szCs w:val="20"/>
        </w:rPr>
        <w:t>60615.</w:t>
      </w:r>
    </w:p>
    <w:p w14:paraId="75EA603B" w14:textId="77777777" w:rsidR="00A22FF2" w:rsidRPr="00D854FC" w:rsidRDefault="00A22FF2" w:rsidP="00A22FF2">
      <w:pPr>
        <w:pStyle w:val="NormalWeb"/>
        <w:spacing w:line="360" w:lineRule="auto"/>
        <w:ind w:left="90"/>
        <w:jc w:val="both"/>
        <w:rPr>
          <w:rFonts w:ascii="Arial" w:hAnsi="Arial" w:cs="Arial"/>
          <w:sz w:val="20"/>
          <w:szCs w:val="20"/>
        </w:rPr>
      </w:pPr>
      <w:r>
        <w:rPr>
          <w:rFonts w:ascii="Arial" w:hAnsi="Arial" w:cs="Arial"/>
          <w:color w:val="222222"/>
          <w:sz w:val="20"/>
          <w:szCs w:val="20"/>
          <w:shd w:val="clear" w:color="auto" w:fill="FFFFFF"/>
        </w:rPr>
        <w:t xml:space="preserve">Agarwal, I., Khandekar, A., Giri, V. B., Ramakrishnan, U., &amp; Karanth, K. P. (2019). The hills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are alive with geckos! A radiation of a dozen species on sky islands across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peninsular India (Squamata: Gekkonidae, </w:t>
      </w:r>
      <w:proofErr w:type="spellStart"/>
      <w:r>
        <w:rPr>
          <w:rFonts w:ascii="Arial" w:hAnsi="Arial" w:cs="Arial"/>
          <w:color w:val="222222"/>
          <w:sz w:val="20"/>
          <w:szCs w:val="20"/>
          <w:shd w:val="clear" w:color="auto" w:fill="FFFFFF"/>
        </w:rPr>
        <w:t>Hemiphyllodactylus</w:t>
      </w:r>
      <w:proofErr w:type="spellEnd"/>
      <w:r>
        <w:rPr>
          <w:rFonts w:ascii="Arial" w:hAnsi="Arial" w:cs="Arial"/>
          <w:color w:val="222222"/>
          <w:sz w:val="20"/>
          <w:szCs w:val="20"/>
          <w:shd w:val="clear" w:color="auto" w:fill="FFFFFF"/>
        </w:rPr>
        <w:t xml:space="preserve">) with the description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of three new species. </w:t>
      </w:r>
      <w:r>
        <w:rPr>
          <w:rFonts w:ascii="Arial" w:hAnsi="Arial" w:cs="Arial"/>
          <w:i/>
          <w:iCs/>
          <w:color w:val="222222"/>
          <w:sz w:val="20"/>
          <w:szCs w:val="20"/>
          <w:shd w:val="clear" w:color="auto" w:fill="FFFFFF"/>
        </w:rPr>
        <w:t>Organisms Diversity &amp; Evolution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19</w:t>
      </w:r>
      <w:r>
        <w:rPr>
          <w:rFonts w:ascii="Arial" w:hAnsi="Arial" w:cs="Arial"/>
          <w:color w:val="222222"/>
          <w:sz w:val="20"/>
          <w:szCs w:val="20"/>
          <w:shd w:val="clear" w:color="auto" w:fill="FFFFFF"/>
        </w:rPr>
        <w:t>(2), 341-361.</w:t>
      </w:r>
    </w:p>
    <w:p w14:paraId="3B7AAD12"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White E, Soltis PS, Soltis DE. 2026. Origins of diversity in the Eastern Gulf Coastal Plain of </w:t>
      </w:r>
      <w:r w:rsidR="00331D5F">
        <w:rPr>
          <w:rFonts w:ascii="Arial" w:hAnsi="Arial" w:cs="Arial"/>
          <w:sz w:val="20"/>
          <w:szCs w:val="20"/>
        </w:rPr>
        <w:tab/>
      </w:r>
      <w:r w:rsidRPr="00D854FC">
        <w:rPr>
          <w:rFonts w:ascii="Arial" w:hAnsi="Arial" w:cs="Arial"/>
          <w:sz w:val="20"/>
          <w:szCs w:val="20"/>
        </w:rPr>
        <w:t xml:space="preserve">North America: High endemism within a biodiversity hotspot. </w:t>
      </w:r>
      <w:r w:rsidRPr="00D854FC">
        <w:rPr>
          <w:rStyle w:val="Emphasis"/>
          <w:rFonts w:ascii="Arial" w:hAnsi="Arial" w:cs="Arial"/>
          <w:sz w:val="20"/>
          <w:szCs w:val="20"/>
        </w:rPr>
        <w:t>Molecular Ecology</w:t>
      </w:r>
      <w:r w:rsidRPr="00D854FC">
        <w:rPr>
          <w:rFonts w:ascii="Arial" w:hAnsi="Arial" w:cs="Arial"/>
          <w:sz w:val="20"/>
          <w:szCs w:val="20"/>
        </w:rPr>
        <w:t xml:space="preserve">. </w:t>
      </w:r>
      <w:r w:rsidR="00331D5F">
        <w:rPr>
          <w:rFonts w:ascii="Arial" w:hAnsi="Arial" w:cs="Arial"/>
          <w:sz w:val="20"/>
          <w:szCs w:val="20"/>
        </w:rPr>
        <w:tab/>
      </w:r>
      <w:r w:rsidRPr="00D854FC">
        <w:rPr>
          <w:rFonts w:ascii="Arial" w:hAnsi="Arial" w:cs="Arial"/>
          <w:sz w:val="20"/>
          <w:szCs w:val="20"/>
        </w:rPr>
        <w:t>35(5</w:t>
      </w:r>
      <w:proofErr w:type="gramStart"/>
      <w:r w:rsidRPr="00D854FC">
        <w:rPr>
          <w:rFonts w:ascii="Arial" w:hAnsi="Arial" w:cs="Arial"/>
          <w:sz w:val="20"/>
          <w:szCs w:val="20"/>
        </w:rPr>
        <w:t>):e</w:t>
      </w:r>
      <w:proofErr w:type="gramEnd"/>
      <w:r w:rsidRPr="00D854FC">
        <w:rPr>
          <w:rFonts w:ascii="Arial" w:hAnsi="Arial" w:cs="Arial"/>
          <w:sz w:val="20"/>
          <w:szCs w:val="20"/>
        </w:rPr>
        <w:t>70276.</w:t>
      </w:r>
    </w:p>
    <w:p w14:paraId="6C4E6C45" w14:textId="77777777"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Yang Z. </w:t>
      </w:r>
      <w:r>
        <w:rPr>
          <w:rFonts w:ascii="Arial" w:hAnsi="Arial" w:cs="Arial"/>
          <w:sz w:val="20"/>
          <w:szCs w:val="20"/>
        </w:rPr>
        <w:t>(</w:t>
      </w:r>
      <w:r w:rsidRPr="00D854FC">
        <w:rPr>
          <w:rFonts w:ascii="Arial" w:hAnsi="Arial" w:cs="Arial"/>
          <w:sz w:val="20"/>
          <w:szCs w:val="20"/>
        </w:rPr>
        <w:t>2006</w:t>
      </w:r>
      <w:r>
        <w:rPr>
          <w:rFonts w:ascii="Arial" w:hAnsi="Arial" w:cs="Arial"/>
          <w:sz w:val="20"/>
          <w:szCs w:val="20"/>
        </w:rPr>
        <w:t>)</w:t>
      </w:r>
      <w:r w:rsidRPr="00D854FC">
        <w:rPr>
          <w:rFonts w:ascii="Arial" w:hAnsi="Arial" w:cs="Arial"/>
          <w:sz w:val="20"/>
          <w:szCs w:val="20"/>
        </w:rPr>
        <w:t xml:space="preserve">. </w:t>
      </w:r>
      <w:r w:rsidRPr="00D854FC">
        <w:rPr>
          <w:rStyle w:val="Emphasis"/>
          <w:rFonts w:ascii="Arial" w:hAnsi="Arial" w:cs="Arial"/>
          <w:sz w:val="20"/>
          <w:szCs w:val="20"/>
        </w:rPr>
        <w:t>Computational Molecular Evolution</w:t>
      </w:r>
      <w:r w:rsidRPr="00D854FC">
        <w:rPr>
          <w:rFonts w:ascii="Arial" w:hAnsi="Arial" w:cs="Arial"/>
          <w:sz w:val="20"/>
          <w:szCs w:val="20"/>
        </w:rPr>
        <w:t>. Oxford University Press, Oxford, UK.</w:t>
      </w:r>
    </w:p>
    <w:p w14:paraId="179C8004" w14:textId="77777777" w:rsidR="00A22FF2" w:rsidRPr="00D854FC" w:rsidRDefault="00A22FF2" w:rsidP="00A22FF2">
      <w:pPr>
        <w:pStyle w:val="NormalWeb"/>
        <w:spacing w:line="360" w:lineRule="auto"/>
        <w:ind w:left="90"/>
        <w:jc w:val="both"/>
        <w:rPr>
          <w:rFonts w:ascii="Arial" w:hAnsi="Arial" w:cs="Arial"/>
          <w:sz w:val="20"/>
          <w:szCs w:val="20"/>
        </w:rPr>
      </w:pPr>
      <w:r w:rsidRPr="00434304">
        <w:rPr>
          <w:rFonts w:ascii="Arial" w:hAnsi="Arial" w:cs="Arial"/>
          <w:sz w:val="20"/>
          <w:szCs w:val="20"/>
        </w:rPr>
        <w:t xml:space="preserve">Rodgers, W. A. and Panwar, H. S. (1988). Planning a Wildlife Protected Area Network in </w:t>
      </w:r>
      <w:r w:rsidR="00331D5F">
        <w:rPr>
          <w:rFonts w:ascii="Arial" w:hAnsi="Arial" w:cs="Arial"/>
          <w:sz w:val="20"/>
          <w:szCs w:val="20"/>
        </w:rPr>
        <w:tab/>
      </w:r>
      <w:r w:rsidRPr="00434304">
        <w:rPr>
          <w:rFonts w:ascii="Arial" w:hAnsi="Arial" w:cs="Arial"/>
          <w:sz w:val="20"/>
          <w:szCs w:val="20"/>
        </w:rPr>
        <w:t>India. Vol. I and II. Wildlife Trust of India, Dehra D</w:t>
      </w:r>
      <w:r>
        <w:rPr>
          <w:rFonts w:ascii="Arial" w:hAnsi="Arial" w:cs="Arial"/>
          <w:sz w:val="20"/>
          <w:szCs w:val="20"/>
        </w:rPr>
        <w:t>un, India</w:t>
      </w:r>
    </w:p>
    <w:p w14:paraId="69E7D11F" w14:textId="77777777"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Myers N, Mittermeier RA, Mittermeier CG, da Fonseca GAB, Kent J. </w:t>
      </w:r>
      <w:r>
        <w:rPr>
          <w:rFonts w:ascii="Arial" w:hAnsi="Arial" w:cs="Arial"/>
          <w:sz w:val="20"/>
          <w:szCs w:val="20"/>
        </w:rPr>
        <w:t>(</w:t>
      </w:r>
      <w:r w:rsidRPr="00D854FC">
        <w:rPr>
          <w:rFonts w:ascii="Arial" w:hAnsi="Arial" w:cs="Arial"/>
          <w:sz w:val="20"/>
          <w:szCs w:val="20"/>
        </w:rPr>
        <w:t>2000</w:t>
      </w:r>
      <w:r>
        <w:rPr>
          <w:rFonts w:ascii="Arial" w:hAnsi="Arial" w:cs="Arial"/>
          <w:sz w:val="20"/>
          <w:szCs w:val="20"/>
        </w:rPr>
        <w:t>)</w:t>
      </w:r>
      <w:r w:rsidRPr="00D854FC">
        <w:rPr>
          <w:rFonts w:ascii="Arial" w:hAnsi="Arial" w:cs="Arial"/>
          <w:sz w:val="20"/>
          <w:szCs w:val="20"/>
        </w:rPr>
        <w:t xml:space="preserve">. Biodiversity </w:t>
      </w:r>
      <w:r w:rsidR="00331D5F">
        <w:rPr>
          <w:rFonts w:ascii="Arial" w:hAnsi="Arial" w:cs="Arial"/>
          <w:sz w:val="20"/>
          <w:szCs w:val="20"/>
        </w:rPr>
        <w:tab/>
      </w:r>
      <w:r w:rsidRPr="00D854FC">
        <w:rPr>
          <w:rFonts w:ascii="Arial" w:hAnsi="Arial" w:cs="Arial"/>
          <w:sz w:val="20"/>
          <w:szCs w:val="20"/>
        </w:rPr>
        <w:t xml:space="preserve">hotspots for conservation priorities. </w:t>
      </w:r>
      <w:r w:rsidRPr="00D854FC">
        <w:rPr>
          <w:rStyle w:val="Emphasis"/>
          <w:rFonts w:ascii="Arial" w:hAnsi="Arial" w:cs="Arial"/>
          <w:sz w:val="20"/>
          <w:szCs w:val="20"/>
        </w:rPr>
        <w:t>Nature</w:t>
      </w:r>
      <w:r w:rsidRPr="00D854FC">
        <w:rPr>
          <w:rFonts w:ascii="Arial" w:hAnsi="Arial" w:cs="Arial"/>
          <w:sz w:val="20"/>
          <w:szCs w:val="20"/>
        </w:rPr>
        <w:t>. 403(6772):853–858.</w:t>
      </w:r>
    </w:p>
    <w:p w14:paraId="7D4E90E3"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Mani MS. </w:t>
      </w:r>
      <w:r>
        <w:rPr>
          <w:rFonts w:ascii="Arial" w:hAnsi="Arial" w:cs="Arial"/>
          <w:sz w:val="20"/>
          <w:szCs w:val="20"/>
        </w:rPr>
        <w:t>(</w:t>
      </w:r>
      <w:r w:rsidRPr="00D854FC">
        <w:rPr>
          <w:rFonts w:ascii="Arial" w:hAnsi="Arial" w:cs="Arial"/>
          <w:sz w:val="20"/>
          <w:szCs w:val="20"/>
        </w:rPr>
        <w:t>1974</w:t>
      </w:r>
      <w:r>
        <w:rPr>
          <w:rFonts w:ascii="Arial" w:hAnsi="Arial" w:cs="Arial"/>
          <w:sz w:val="20"/>
          <w:szCs w:val="20"/>
        </w:rPr>
        <w:t>)</w:t>
      </w:r>
      <w:r w:rsidRPr="00D854FC">
        <w:rPr>
          <w:rFonts w:ascii="Arial" w:hAnsi="Arial" w:cs="Arial"/>
          <w:sz w:val="20"/>
          <w:szCs w:val="20"/>
        </w:rPr>
        <w:t xml:space="preserve">. Biogeographical evolution in India. In: Mani MS (Ed.), </w:t>
      </w:r>
      <w:r w:rsidRPr="00D854FC">
        <w:rPr>
          <w:rStyle w:val="Emphasis"/>
          <w:rFonts w:ascii="Arial" w:hAnsi="Arial" w:cs="Arial"/>
          <w:sz w:val="20"/>
          <w:szCs w:val="20"/>
        </w:rPr>
        <w:t xml:space="preserve">Ecology and </w:t>
      </w:r>
      <w:r w:rsidR="00331D5F">
        <w:rPr>
          <w:rStyle w:val="Emphasis"/>
          <w:rFonts w:ascii="Arial" w:hAnsi="Arial" w:cs="Arial"/>
          <w:sz w:val="20"/>
          <w:szCs w:val="20"/>
        </w:rPr>
        <w:tab/>
      </w:r>
      <w:r w:rsidRPr="00D854FC">
        <w:rPr>
          <w:rStyle w:val="Emphasis"/>
          <w:rFonts w:ascii="Arial" w:hAnsi="Arial" w:cs="Arial"/>
          <w:sz w:val="20"/>
          <w:szCs w:val="20"/>
        </w:rPr>
        <w:t>Biogeography in India</w:t>
      </w:r>
      <w:r w:rsidRPr="00D854FC">
        <w:rPr>
          <w:rFonts w:ascii="Arial" w:hAnsi="Arial" w:cs="Arial"/>
          <w:sz w:val="20"/>
          <w:szCs w:val="20"/>
        </w:rPr>
        <w:t>. Springer, Dordrecht, The Netherlands. pp. 698–724.</w:t>
      </w:r>
    </w:p>
    <w:p w14:paraId="4A19539E" w14:textId="77777777" w:rsidR="00A22FF2" w:rsidRPr="00D854FC"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Karanth KP. </w:t>
      </w:r>
      <w:r>
        <w:rPr>
          <w:rFonts w:ascii="Arial" w:hAnsi="Arial" w:cs="Arial"/>
          <w:sz w:val="20"/>
          <w:szCs w:val="20"/>
        </w:rPr>
        <w:t>(</w:t>
      </w:r>
      <w:r w:rsidRPr="00D854FC">
        <w:rPr>
          <w:rFonts w:ascii="Arial" w:hAnsi="Arial" w:cs="Arial"/>
          <w:sz w:val="20"/>
          <w:szCs w:val="20"/>
        </w:rPr>
        <w:t>2021</w:t>
      </w:r>
      <w:r>
        <w:rPr>
          <w:rFonts w:ascii="Arial" w:hAnsi="Arial" w:cs="Arial"/>
          <w:sz w:val="20"/>
          <w:szCs w:val="20"/>
        </w:rPr>
        <w:t>)</w:t>
      </w:r>
      <w:r w:rsidRPr="00D854FC">
        <w:rPr>
          <w:rFonts w:ascii="Arial" w:hAnsi="Arial" w:cs="Arial"/>
          <w:sz w:val="20"/>
          <w:szCs w:val="20"/>
        </w:rPr>
        <w:t xml:space="preserve">. Dispersal vs. vicariance: The origin of India's extant tetrapod fauna. </w:t>
      </w:r>
      <w:r w:rsidR="00331D5F">
        <w:rPr>
          <w:rFonts w:ascii="Arial" w:hAnsi="Arial" w:cs="Arial"/>
          <w:sz w:val="20"/>
          <w:szCs w:val="20"/>
        </w:rPr>
        <w:tab/>
      </w:r>
      <w:r w:rsidRPr="00D854FC">
        <w:rPr>
          <w:rStyle w:val="Emphasis"/>
          <w:rFonts w:ascii="Arial" w:hAnsi="Arial" w:cs="Arial"/>
          <w:sz w:val="20"/>
          <w:szCs w:val="20"/>
        </w:rPr>
        <w:t>Frontiers of Biogeography</w:t>
      </w:r>
      <w:r w:rsidRPr="00D854FC">
        <w:rPr>
          <w:rFonts w:ascii="Arial" w:hAnsi="Arial" w:cs="Arial"/>
          <w:sz w:val="20"/>
          <w:szCs w:val="20"/>
        </w:rPr>
        <w:t>. 13(1).</w:t>
      </w:r>
    </w:p>
    <w:p w14:paraId="48A9B7AE" w14:textId="77777777"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Eurostat. </w:t>
      </w:r>
      <w:r>
        <w:rPr>
          <w:rFonts w:ascii="Arial" w:hAnsi="Arial" w:cs="Arial"/>
          <w:sz w:val="20"/>
          <w:szCs w:val="20"/>
        </w:rPr>
        <w:t>(</w:t>
      </w:r>
      <w:r w:rsidRPr="00D854FC">
        <w:rPr>
          <w:rFonts w:ascii="Arial" w:hAnsi="Arial" w:cs="Arial"/>
          <w:sz w:val="20"/>
          <w:szCs w:val="20"/>
        </w:rPr>
        <w:t>2018</w:t>
      </w:r>
      <w:r>
        <w:rPr>
          <w:rFonts w:ascii="Arial" w:hAnsi="Arial" w:cs="Arial"/>
          <w:sz w:val="20"/>
          <w:szCs w:val="20"/>
        </w:rPr>
        <w:t>)</w:t>
      </w:r>
      <w:r w:rsidRPr="00D854FC">
        <w:rPr>
          <w:rFonts w:ascii="Arial" w:hAnsi="Arial" w:cs="Arial"/>
          <w:sz w:val="20"/>
          <w:szCs w:val="20"/>
        </w:rPr>
        <w:t xml:space="preserve">. </w:t>
      </w:r>
      <w:r w:rsidRPr="00D854FC">
        <w:rPr>
          <w:rStyle w:val="Emphasis"/>
          <w:rFonts w:ascii="Arial" w:hAnsi="Arial" w:cs="Arial"/>
          <w:sz w:val="20"/>
          <w:szCs w:val="20"/>
        </w:rPr>
        <w:t>Eurostat Regions</w:t>
      </w:r>
      <w:r w:rsidRPr="00D854FC">
        <w:rPr>
          <w:rFonts w:ascii="Arial" w:hAnsi="Arial" w:cs="Arial"/>
          <w:sz w:val="20"/>
          <w:szCs w:val="20"/>
        </w:rPr>
        <w:t xml:space="preserve">. Publications Office of the European Union, </w:t>
      </w:r>
      <w:r w:rsidR="00331D5F">
        <w:rPr>
          <w:rFonts w:ascii="Arial" w:hAnsi="Arial" w:cs="Arial"/>
          <w:sz w:val="20"/>
          <w:szCs w:val="20"/>
        </w:rPr>
        <w:tab/>
      </w:r>
      <w:r w:rsidRPr="00D854FC">
        <w:rPr>
          <w:rFonts w:ascii="Arial" w:hAnsi="Arial" w:cs="Arial"/>
          <w:sz w:val="20"/>
          <w:szCs w:val="20"/>
        </w:rPr>
        <w:t>Luxembourg.</w:t>
      </w:r>
    </w:p>
    <w:p w14:paraId="31F85B8A" w14:textId="77777777" w:rsidR="00987F1F" w:rsidRPr="00D854FC" w:rsidRDefault="00987F1F" w:rsidP="00A22FF2">
      <w:pPr>
        <w:pStyle w:val="NormalWeb"/>
        <w:spacing w:line="360" w:lineRule="auto"/>
        <w:ind w:left="90"/>
        <w:jc w:val="both"/>
        <w:rPr>
          <w:rFonts w:ascii="Arial" w:hAnsi="Arial" w:cs="Arial"/>
          <w:sz w:val="20"/>
          <w:szCs w:val="20"/>
        </w:rPr>
      </w:pPr>
      <w:proofErr w:type="spellStart"/>
      <w:r>
        <w:rPr>
          <w:rFonts w:ascii="Arial" w:hAnsi="Arial" w:cs="Arial"/>
          <w:color w:val="222222"/>
          <w:sz w:val="20"/>
          <w:szCs w:val="20"/>
          <w:shd w:val="clear" w:color="auto" w:fill="FFFFFF"/>
        </w:rPr>
        <w:t>Acharyya</w:t>
      </w:r>
      <w:proofErr w:type="spellEnd"/>
      <w:r>
        <w:rPr>
          <w:rFonts w:ascii="Arial" w:hAnsi="Arial" w:cs="Arial"/>
          <w:color w:val="222222"/>
          <w:sz w:val="20"/>
          <w:szCs w:val="20"/>
          <w:shd w:val="clear" w:color="auto" w:fill="FFFFFF"/>
        </w:rPr>
        <w:t xml:space="preserve">, S. K. (2010). Tectonic evolution of Indo-Burma range with special reference to </w:t>
      </w:r>
      <w:r>
        <w:rPr>
          <w:rFonts w:ascii="Arial" w:hAnsi="Arial" w:cs="Arial"/>
          <w:color w:val="222222"/>
          <w:sz w:val="20"/>
          <w:szCs w:val="20"/>
          <w:shd w:val="clear" w:color="auto" w:fill="FFFFFF"/>
        </w:rPr>
        <w:tab/>
        <w:t>Naga-Manipur Hills. </w:t>
      </w:r>
      <w:r>
        <w:rPr>
          <w:rFonts w:ascii="Arial" w:hAnsi="Arial" w:cs="Arial"/>
          <w:i/>
          <w:iCs/>
          <w:color w:val="222222"/>
          <w:sz w:val="20"/>
          <w:szCs w:val="20"/>
          <w:shd w:val="clear" w:color="auto" w:fill="FFFFFF"/>
        </w:rPr>
        <w:t>Mem. Geol. Soc. India</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75</w:t>
      </w:r>
      <w:r>
        <w:rPr>
          <w:rFonts w:ascii="Arial" w:hAnsi="Arial" w:cs="Arial"/>
          <w:color w:val="222222"/>
          <w:sz w:val="20"/>
          <w:szCs w:val="20"/>
          <w:shd w:val="clear" w:color="auto" w:fill="FFFFFF"/>
        </w:rPr>
        <w:t>, 25-43.</w:t>
      </w:r>
    </w:p>
    <w:p w14:paraId="1FDC81FF" w14:textId="77777777" w:rsidR="00A22FF2" w:rsidRPr="00D53C15" w:rsidRDefault="00A22FF2" w:rsidP="00A22FF2">
      <w:pPr>
        <w:pStyle w:val="NormalWeb"/>
        <w:spacing w:line="360" w:lineRule="auto"/>
        <w:ind w:left="90"/>
        <w:jc w:val="both"/>
        <w:rPr>
          <w:rFonts w:ascii="Arial" w:hAnsi="Arial" w:cs="Arial"/>
          <w:sz w:val="20"/>
          <w:szCs w:val="20"/>
        </w:rPr>
      </w:pPr>
      <w:r w:rsidRPr="00D53C15">
        <w:rPr>
          <w:rFonts w:ascii="Arial" w:hAnsi="Arial" w:cs="Arial"/>
          <w:sz w:val="20"/>
          <w:szCs w:val="20"/>
        </w:rPr>
        <w:t xml:space="preserve">Macey JR, et al. (1997). Evolutionary shifts in three major structural features of the </w:t>
      </w:r>
      <w:r w:rsidR="00331D5F">
        <w:rPr>
          <w:rFonts w:ascii="Arial" w:hAnsi="Arial" w:cs="Arial"/>
          <w:sz w:val="20"/>
          <w:szCs w:val="20"/>
        </w:rPr>
        <w:tab/>
      </w:r>
      <w:r w:rsidRPr="00D53C15">
        <w:rPr>
          <w:rFonts w:ascii="Arial" w:hAnsi="Arial" w:cs="Arial"/>
          <w:sz w:val="20"/>
          <w:szCs w:val="20"/>
        </w:rPr>
        <w:t xml:space="preserve">mitochondrial genome among iguanian lizards. </w:t>
      </w:r>
      <w:r w:rsidRPr="00D53C15">
        <w:rPr>
          <w:rStyle w:val="Emphasis"/>
          <w:rFonts w:ascii="Arial" w:hAnsi="Arial" w:cs="Arial"/>
          <w:sz w:val="20"/>
          <w:szCs w:val="20"/>
        </w:rPr>
        <w:t>Journal of Molecular Evolution</w:t>
      </w:r>
      <w:r w:rsidRPr="00D53C15">
        <w:rPr>
          <w:rFonts w:ascii="Arial" w:hAnsi="Arial" w:cs="Arial"/>
          <w:sz w:val="20"/>
          <w:szCs w:val="20"/>
        </w:rPr>
        <w:t xml:space="preserve">. </w:t>
      </w:r>
      <w:r w:rsidR="00331D5F">
        <w:rPr>
          <w:rFonts w:ascii="Arial" w:hAnsi="Arial" w:cs="Arial"/>
          <w:sz w:val="20"/>
          <w:szCs w:val="20"/>
        </w:rPr>
        <w:tab/>
      </w:r>
      <w:r w:rsidRPr="00D53C15">
        <w:rPr>
          <w:rFonts w:ascii="Arial" w:hAnsi="Arial" w:cs="Arial"/>
          <w:sz w:val="20"/>
          <w:szCs w:val="20"/>
        </w:rPr>
        <w:t>44(6):660–674.</w:t>
      </w:r>
    </w:p>
    <w:p w14:paraId="6973C457" w14:textId="77777777" w:rsidR="00A22FF2"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lastRenderedPageBreak/>
        <w:t xml:space="preserve">Tamura K, Peterson D, Peterson N, Stecher G, Nei M, Kumar S. </w:t>
      </w:r>
      <w:r>
        <w:rPr>
          <w:rFonts w:ascii="Arial" w:hAnsi="Arial" w:cs="Arial"/>
          <w:sz w:val="20"/>
          <w:szCs w:val="20"/>
        </w:rPr>
        <w:t>(</w:t>
      </w:r>
      <w:r w:rsidRPr="00D854FC">
        <w:rPr>
          <w:rFonts w:ascii="Arial" w:hAnsi="Arial" w:cs="Arial"/>
          <w:sz w:val="20"/>
          <w:szCs w:val="20"/>
        </w:rPr>
        <w:t>2011</w:t>
      </w:r>
      <w:r>
        <w:rPr>
          <w:rFonts w:ascii="Arial" w:hAnsi="Arial" w:cs="Arial"/>
          <w:sz w:val="20"/>
          <w:szCs w:val="20"/>
        </w:rPr>
        <w:t>)</w:t>
      </w:r>
      <w:r w:rsidRPr="00D854FC">
        <w:rPr>
          <w:rFonts w:ascii="Arial" w:hAnsi="Arial" w:cs="Arial"/>
          <w:sz w:val="20"/>
          <w:szCs w:val="20"/>
        </w:rPr>
        <w:t xml:space="preserve">. MEGA5: Molecular </w:t>
      </w:r>
      <w:r w:rsidR="00331D5F">
        <w:rPr>
          <w:rFonts w:ascii="Arial" w:hAnsi="Arial" w:cs="Arial"/>
          <w:sz w:val="20"/>
          <w:szCs w:val="20"/>
        </w:rPr>
        <w:tab/>
      </w:r>
      <w:r w:rsidRPr="00D854FC">
        <w:rPr>
          <w:rFonts w:ascii="Arial" w:hAnsi="Arial" w:cs="Arial"/>
          <w:sz w:val="20"/>
          <w:szCs w:val="20"/>
        </w:rPr>
        <w:t xml:space="preserve">evolutionary genetics analysis using maximum likelihood, evolutionary distance and </w:t>
      </w:r>
      <w:r w:rsidR="00331D5F">
        <w:rPr>
          <w:rFonts w:ascii="Arial" w:hAnsi="Arial" w:cs="Arial"/>
          <w:sz w:val="20"/>
          <w:szCs w:val="20"/>
        </w:rPr>
        <w:tab/>
      </w:r>
      <w:r w:rsidRPr="00D854FC">
        <w:rPr>
          <w:rFonts w:ascii="Arial" w:hAnsi="Arial" w:cs="Arial"/>
          <w:sz w:val="20"/>
          <w:szCs w:val="20"/>
        </w:rPr>
        <w:t xml:space="preserve">maximum parsimony methods. </w:t>
      </w:r>
      <w:r w:rsidRPr="00D854FC">
        <w:rPr>
          <w:rStyle w:val="Emphasis"/>
          <w:rFonts w:ascii="Arial" w:hAnsi="Arial" w:cs="Arial"/>
          <w:sz w:val="20"/>
          <w:szCs w:val="20"/>
        </w:rPr>
        <w:t>Molecular Biology and Evolution</w:t>
      </w:r>
      <w:r w:rsidRPr="00D854FC">
        <w:rPr>
          <w:rFonts w:ascii="Arial" w:hAnsi="Arial" w:cs="Arial"/>
          <w:sz w:val="20"/>
          <w:szCs w:val="20"/>
        </w:rPr>
        <w:t>. 28(10):2731–2739.</w:t>
      </w:r>
    </w:p>
    <w:p w14:paraId="194019FF" w14:textId="77777777" w:rsidR="00A22FF2" w:rsidRPr="00D854FC" w:rsidRDefault="00654225" w:rsidP="00A22FF2">
      <w:pPr>
        <w:pStyle w:val="NormalWeb"/>
        <w:spacing w:line="360" w:lineRule="auto"/>
        <w:ind w:left="90"/>
        <w:jc w:val="both"/>
        <w:rPr>
          <w:rFonts w:ascii="Arial" w:hAnsi="Arial" w:cs="Arial"/>
          <w:sz w:val="20"/>
          <w:szCs w:val="20"/>
        </w:rPr>
      </w:pPr>
      <w:r>
        <w:rPr>
          <w:rFonts w:ascii="Arial" w:hAnsi="Arial" w:cs="Arial"/>
          <w:color w:val="222222"/>
          <w:sz w:val="20"/>
          <w:szCs w:val="20"/>
          <w:shd w:val="clear" w:color="auto" w:fill="FFFFFF"/>
        </w:rPr>
        <w:t xml:space="preserve">Thompson, J. D., Higgins, D. G., &amp; Gibson, T. J. (1994). CLUSTAL W: improving the </w:t>
      </w:r>
      <w:r>
        <w:rPr>
          <w:rFonts w:ascii="Arial" w:hAnsi="Arial" w:cs="Arial"/>
          <w:color w:val="222222"/>
          <w:sz w:val="20"/>
          <w:szCs w:val="20"/>
          <w:shd w:val="clear" w:color="auto" w:fill="FFFFFF"/>
        </w:rPr>
        <w:tab/>
        <w:t xml:space="preserve">sensitivity of progressive multiple sequence alignment through sequence weighting, </w:t>
      </w:r>
      <w:r>
        <w:rPr>
          <w:rFonts w:ascii="Arial" w:hAnsi="Arial" w:cs="Arial"/>
          <w:color w:val="222222"/>
          <w:sz w:val="20"/>
          <w:szCs w:val="20"/>
          <w:shd w:val="clear" w:color="auto" w:fill="FFFFFF"/>
        </w:rPr>
        <w:tab/>
        <w:t>position-specific gap penalties and weight matrix choice. </w:t>
      </w:r>
      <w:r>
        <w:rPr>
          <w:rFonts w:ascii="Arial" w:hAnsi="Arial" w:cs="Arial"/>
          <w:i/>
          <w:iCs/>
          <w:color w:val="222222"/>
          <w:sz w:val="20"/>
          <w:szCs w:val="20"/>
          <w:shd w:val="clear" w:color="auto" w:fill="FFFFFF"/>
        </w:rPr>
        <w:t xml:space="preserve">Nucleic acids </w:t>
      </w:r>
      <w:r>
        <w:rPr>
          <w:rFonts w:ascii="Arial" w:hAnsi="Arial" w:cs="Arial"/>
          <w:i/>
          <w:iCs/>
          <w:color w:val="222222"/>
          <w:sz w:val="20"/>
          <w:szCs w:val="20"/>
          <w:shd w:val="clear" w:color="auto" w:fill="FFFFFF"/>
        </w:rPr>
        <w:tab/>
        <w:t>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22</w:t>
      </w:r>
      <w:r>
        <w:rPr>
          <w:rFonts w:ascii="Arial" w:hAnsi="Arial" w:cs="Arial"/>
          <w:color w:val="222222"/>
          <w:sz w:val="20"/>
          <w:szCs w:val="20"/>
          <w:shd w:val="clear" w:color="auto" w:fill="FFFFFF"/>
        </w:rPr>
        <w:t>(22), 4673-4680.</w:t>
      </w:r>
    </w:p>
    <w:p w14:paraId="4B31FDB0" w14:textId="77777777" w:rsidR="00A22FF2" w:rsidRPr="005E0E41" w:rsidRDefault="00A22FF2" w:rsidP="00A22FF2">
      <w:pPr>
        <w:pStyle w:val="NormalWeb"/>
        <w:spacing w:line="360" w:lineRule="auto"/>
        <w:ind w:left="90"/>
        <w:jc w:val="both"/>
        <w:rPr>
          <w:rFonts w:ascii="Arial" w:hAnsi="Arial" w:cs="Arial"/>
          <w:sz w:val="20"/>
          <w:szCs w:val="20"/>
        </w:rPr>
      </w:pPr>
      <w:r>
        <w:rPr>
          <w:rFonts w:ascii="Arial" w:hAnsi="Arial" w:cs="Arial"/>
          <w:color w:val="222222"/>
          <w:sz w:val="20"/>
          <w:szCs w:val="20"/>
          <w:shd w:val="clear" w:color="auto" w:fill="FFFFFF"/>
        </w:rPr>
        <w:t xml:space="preserve">Lanfear, R., Calcott, B., Ho, S. Y., &amp; Guindon, S. (2012). </w:t>
      </w:r>
      <w:proofErr w:type="spellStart"/>
      <w:r>
        <w:rPr>
          <w:rFonts w:ascii="Arial" w:hAnsi="Arial" w:cs="Arial"/>
          <w:color w:val="222222"/>
          <w:sz w:val="20"/>
          <w:szCs w:val="20"/>
          <w:shd w:val="clear" w:color="auto" w:fill="FFFFFF"/>
        </w:rPr>
        <w:t>PartitionFinder</w:t>
      </w:r>
      <w:proofErr w:type="spellEnd"/>
      <w:r>
        <w:rPr>
          <w:rFonts w:ascii="Arial" w:hAnsi="Arial" w:cs="Arial"/>
          <w:color w:val="222222"/>
          <w:sz w:val="20"/>
          <w:szCs w:val="20"/>
          <w:shd w:val="clear" w:color="auto" w:fill="FFFFFF"/>
        </w:rPr>
        <w:t xml:space="preserve">: combined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 xml:space="preserve">selection of partitioning schemes and substitution models for phylogenetic </w:t>
      </w:r>
      <w:r w:rsidR="00331D5F">
        <w:rPr>
          <w:rFonts w:ascii="Arial" w:hAnsi="Arial" w:cs="Arial"/>
          <w:color w:val="222222"/>
          <w:sz w:val="20"/>
          <w:szCs w:val="20"/>
          <w:shd w:val="clear" w:color="auto" w:fill="FFFFFF"/>
        </w:rPr>
        <w:tab/>
      </w:r>
      <w:r>
        <w:rPr>
          <w:rFonts w:ascii="Arial" w:hAnsi="Arial" w:cs="Arial"/>
          <w:color w:val="222222"/>
          <w:sz w:val="20"/>
          <w:szCs w:val="20"/>
          <w:shd w:val="clear" w:color="auto" w:fill="FFFFFF"/>
        </w:rPr>
        <w:t>analyses. </w:t>
      </w:r>
      <w:r>
        <w:rPr>
          <w:rFonts w:ascii="Arial" w:hAnsi="Arial" w:cs="Arial"/>
          <w:i/>
          <w:iCs/>
          <w:color w:val="222222"/>
          <w:sz w:val="20"/>
          <w:szCs w:val="20"/>
          <w:shd w:val="clear" w:color="auto" w:fill="FFFFFF"/>
        </w:rPr>
        <w:t>Molecular biology and evolution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29</w:t>
      </w:r>
      <w:r>
        <w:rPr>
          <w:rFonts w:ascii="Arial" w:hAnsi="Arial" w:cs="Arial"/>
          <w:color w:val="222222"/>
          <w:sz w:val="20"/>
          <w:szCs w:val="20"/>
          <w:shd w:val="clear" w:color="auto" w:fill="FFFFFF"/>
        </w:rPr>
        <w:t>(6), 1695-1701.</w:t>
      </w:r>
    </w:p>
    <w:p w14:paraId="57DE2FAA" w14:textId="77777777" w:rsidR="00441B6F" w:rsidRDefault="00A22FF2" w:rsidP="00A22FF2">
      <w:pPr>
        <w:pStyle w:val="NormalWeb"/>
        <w:spacing w:line="360" w:lineRule="auto"/>
        <w:ind w:left="90"/>
        <w:jc w:val="both"/>
        <w:rPr>
          <w:rFonts w:ascii="Arial" w:hAnsi="Arial" w:cs="Arial"/>
          <w:sz w:val="20"/>
          <w:szCs w:val="20"/>
        </w:rPr>
      </w:pPr>
      <w:r w:rsidRPr="00D854FC">
        <w:rPr>
          <w:rFonts w:ascii="Arial" w:hAnsi="Arial" w:cs="Arial"/>
          <w:sz w:val="20"/>
          <w:szCs w:val="20"/>
        </w:rPr>
        <w:t xml:space="preserve">Cyriac V, Ganesh S, Madani Z, Ghosh A, Kulkarni V, Shanker K. </w:t>
      </w:r>
      <w:r>
        <w:rPr>
          <w:rFonts w:ascii="Arial" w:hAnsi="Arial" w:cs="Arial"/>
          <w:sz w:val="20"/>
          <w:szCs w:val="20"/>
        </w:rPr>
        <w:t>(</w:t>
      </w:r>
      <w:r w:rsidRPr="00D854FC">
        <w:rPr>
          <w:rFonts w:ascii="Arial" w:hAnsi="Arial" w:cs="Arial"/>
          <w:sz w:val="20"/>
          <w:szCs w:val="20"/>
        </w:rPr>
        <w:t>2024</w:t>
      </w:r>
      <w:r>
        <w:rPr>
          <w:rFonts w:ascii="Arial" w:hAnsi="Arial" w:cs="Arial"/>
          <w:sz w:val="20"/>
          <w:szCs w:val="20"/>
        </w:rPr>
        <w:t>)</w:t>
      </w:r>
      <w:r w:rsidRPr="00D854FC">
        <w:rPr>
          <w:rFonts w:ascii="Arial" w:hAnsi="Arial" w:cs="Arial"/>
          <w:sz w:val="20"/>
          <w:szCs w:val="20"/>
        </w:rPr>
        <w:t xml:space="preserve">. Phylogenetic </w:t>
      </w:r>
      <w:r w:rsidR="00331D5F">
        <w:rPr>
          <w:rFonts w:ascii="Arial" w:hAnsi="Arial" w:cs="Arial"/>
          <w:sz w:val="20"/>
          <w:szCs w:val="20"/>
        </w:rPr>
        <w:tab/>
      </w:r>
      <w:r w:rsidRPr="00D854FC">
        <w:rPr>
          <w:rFonts w:ascii="Arial" w:hAnsi="Arial" w:cs="Arial"/>
          <w:sz w:val="20"/>
          <w:szCs w:val="20"/>
        </w:rPr>
        <w:t xml:space="preserve">systematics of the </w:t>
      </w:r>
      <w:proofErr w:type="spellStart"/>
      <w:r w:rsidRPr="00D854FC">
        <w:rPr>
          <w:rFonts w:ascii="Arial" w:hAnsi="Arial" w:cs="Arial"/>
          <w:sz w:val="20"/>
          <w:szCs w:val="20"/>
        </w:rPr>
        <w:t>shieldtail</w:t>
      </w:r>
      <w:proofErr w:type="spellEnd"/>
      <w:r w:rsidRPr="00D854FC">
        <w:rPr>
          <w:rFonts w:ascii="Arial" w:hAnsi="Arial" w:cs="Arial"/>
          <w:sz w:val="20"/>
          <w:szCs w:val="20"/>
        </w:rPr>
        <w:t xml:space="preserve"> snake genus </w:t>
      </w:r>
      <w:proofErr w:type="spellStart"/>
      <w:r w:rsidRPr="00D854FC">
        <w:rPr>
          <w:rStyle w:val="Emphasis"/>
          <w:rFonts w:ascii="Arial" w:hAnsi="Arial" w:cs="Arial"/>
          <w:sz w:val="20"/>
          <w:szCs w:val="20"/>
        </w:rPr>
        <w:t>Teretrurus</w:t>
      </w:r>
      <w:proofErr w:type="spellEnd"/>
      <w:r w:rsidRPr="00D854FC">
        <w:rPr>
          <w:rFonts w:ascii="Arial" w:hAnsi="Arial" w:cs="Arial"/>
          <w:sz w:val="20"/>
          <w:szCs w:val="20"/>
        </w:rPr>
        <w:t xml:space="preserve"> Beddome, 1886 (Squamata: </w:t>
      </w:r>
      <w:r w:rsidR="00331D5F">
        <w:rPr>
          <w:rFonts w:ascii="Arial" w:hAnsi="Arial" w:cs="Arial"/>
          <w:sz w:val="20"/>
          <w:szCs w:val="20"/>
        </w:rPr>
        <w:tab/>
      </w:r>
      <w:proofErr w:type="spellStart"/>
      <w:r w:rsidRPr="00D854FC">
        <w:rPr>
          <w:rFonts w:ascii="Arial" w:hAnsi="Arial" w:cs="Arial"/>
          <w:sz w:val="20"/>
          <w:szCs w:val="20"/>
        </w:rPr>
        <w:t>Uropeltidae</w:t>
      </w:r>
      <w:proofErr w:type="spellEnd"/>
      <w:r w:rsidRPr="00D854FC">
        <w:rPr>
          <w:rFonts w:ascii="Arial" w:hAnsi="Arial" w:cs="Arial"/>
          <w:sz w:val="20"/>
          <w:szCs w:val="20"/>
        </w:rPr>
        <w:t xml:space="preserve">) reveals extensive cryptic diversity and novel geographic spread in the </w:t>
      </w:r>
      <w:r w:rsidR="00331D5F">
        <w:rPr>
          <w:rFonts w:ascii="Arial" w:hAnsi="Arial" w:cs="Arial"/>
          <w:sz w:val="20"/>
          <w:szCs w:val="20"/>
        </w:rPr>
        <w:tab/>
      </w:r>
      <w:r w:rsidRPr="00D854FC">
        <w:rPr>
          <w:rFonts w:ascii="Arial" w:hAnsi="Arial" w:cs="Arial"/>
          <w:sz w:val="20"/>
          <w:szCs w:val="20"/>
        </w:rPr>
        <w:t xml:space="preserve">Western Ghats of India. </w:t>
      </w:r>
      <w:r w:rsidRPr="00D854FC">
        <w:rPr>
          <w:rStyle w:val="Emphasis"/>
          <w:rFonts w:ascii="Arial" w:hAnsi="Arial" w:cs="Arial"/>
          <w:sz w:val="20"/>
          <w:szCs w:val="20"/>
        </w:rPr>
        <w:t>Bulletin of the Society of Systematic Biologists</w:t>
      </w:r>
      <w:r w:rsidRPr="00D854FC">
        <w:rPr>
          <w:rFonts w:ascii="Arial" w:hAnsi="Arial" w:cs="Arial"/>
          <w:sz w:val="20"/>
          <w:szCs w:val="20"/>
        </w:rPr>
        <w:t xml:space="preserve">. 3(2). </w:t>
      </w:r>
      <w:r w:rsidR="00331D5F">
        <w:rPr>
          <w:rFonts w:ascii="Arial" w:hAnsi="Arial" w:cs="Arial"/>
          <w:sz w:val="20"/>
          <w:szCs w:val="20"/>
        </w:rPr>
        <w:tab/>
      </w:r>
      <w:hyperlink r:id="rId25" w:history="1">
        <w:r w:rsidRPr="00D854FC">
          <w:rPr>
            <w:rStyle w:val="Hyperlink"/>
            <w:rFonts w:ascii="Arial" w:hAnsi="Arial" w:cs="Arial"/>
            <w:sz w:val="20"/>
            <w:szCs w:val="20"/>
          </w:rPr>
          <w:t>https://doi.org/10.18061/bssb.v3i2.9630</w:t>
        </w:r>
      </w:hyperlink>
      <w:r w:rsidRPr="00D854FC">
        <w:rPr>
          <w:rFonts w:ascii="Arial" w:hAnsi="Arial" w:cs="Arial"/>
          <w:sz w:val="20"/>
          <w:szCs w:val="20"/>
        </w:rPr>
        <w:t>.</w:t>
      </w:r>
    </w:p>
    <w:p w14:paraId="01D767BA" w14:textId="77777777" w:rsidR="00654225" w:rsidRPr="00A22FF2" w:rsidRDefault="00654225" w:rsidP="00A22FF2">
      <w:pPr>
        <w:pStyle w:val="NormalWeb"/>
        <w:spacing w:line="360" w:lineRule="auto"/>
        <w:ind w:left="90"/>
        <w:jc w:val="both"/>
        <w:rPr>
          <w:rFonts w:ascii="Arial" w:hAnsi="Arial" w:cs="Arial"/>
          <w:sz w:val="20"/>
          <w:szCs w:val="20"/>
        </w:rPr>
      </w:pPr>
      <w:r>
        <w:rPr>
          <w:rFonts w:ascii="Arial" w:hAnsi="Arial" w:cs="Arial"/>
          <w:color w:val="222222"/>
          <w:sz w:val="20"/>
          <w:szCs w:val="20"/>
          <w:shd w:val="clear" w:color="auto" w:fill="FFFFFF"/>
        </w:rPr>
        <w:t xml:space="preserve">Joshi, M., Patel, S., Das, B. P., </w:t>
      </w:r>
      <w:proofErr w:type="spellStart"/>
      <w:r>
        <w:rPr>
          <w:rFonts w:ascii="Arial" w:hAnsi="Arial" w:cs="Arial"/>
          <w:color w:val="222222"/>
          <w:sz w:val="20"/>
          <w:szCs w:val="20"/>
          <w:shd w:val="clear" w:color="auto" w:fill="FFFFFF"/>
        </w:rPr>
        <w:t>Oinam</w:t>
      </w:r>
      <w:proofErr w:type="spellEnd"/>
      <w:r>
        <w:rPr>
          <w:rFonts w:ascii="Arial" w:hAnsi="Arial" w:cs="Arial"/>
          <w:color w:val="222222"/>
          <w:sz w:val="20"/>
          <w:szCs w:val="20"/>
          <w:shd w:val="clear" w:color="auto" w:fill="FFFFFF"/>
        </w:rPr>
        <w:t xml:space="preserve">, G., Srivastava, T., &amp; Kumar, A. (2025). P–T </w:t>
      </w:r>
      <w:r>
        <w:rPr>
          <w:rFonts w:ascii="Arial" w:hAnsi="Arial" w:cs="Arial"/>
          <w:color w:val="222222"/>
          <w:sz w:val="20"/>
          <w:szCs w:val="20"/>
          <w:shd w:val="clear" w:color="auto" w:fill="FFFFFF"/>
        </w:rPr>
        <w:tab/>
        <w:t xml:space="preserve">Evolution of Paleoproterozoic </w:t>
      </w:r>
      <w:proofErr w:type="spellStart"/>
      <w:r>
        <w:rPr>
          <w:rFonts w:ascii="Arial" w:hAnsi="Arial" w:cs="Arial"/>
          <w:color w:val="222222"/>
          <w:sz w:val="20"/>
          <w:szCs w:val="20"/>
          <w:shd w:val="clear" w:color="auto" w:fill="FFFFFF"/>
        </w:rPr>
        <w:t>Dangoli</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Pelitic</w:t>
      </w:r>
      <w:proofErr w:type="spellEnd"/>
      <w:r>
        <w:rPr>
          <w:rFonts w:ascii="Arial" w:hAnsi="Arial" w:cs="Arial"/>
          <w:color w:val="222222"/>
          <w:sz w:val="20"/>
          <w:szCs w:val="20"/>
          <w:shd w:val="clear" w:color="auto" w:fill="FFFFFF"/>
        </w:rPr>
        <w:t xml:space="preserve"> Gneisses, Baijnath Klippe, NW </w:t>
      </w:r>
      <w:r>
        <w:rPr>
          <w:rFonts w:ascii="Arial" w:hAnsi="Arial" w:cs="Arial"/>
          <w:color w:val="222222"/>
          <w:sz w:val="20"/>
          <w:szCs w:val="20"/>
          <w:shd w:val="clear" w:color="auto" w:fill="FFFFFF"/>
        </w:rPr>
        <w:tab/>
        <w:t xml:space="preserve">Himalaya: Insights </w:t>
      </w:r>
      <w:proofErr w:type="gramStart"/>
      <w:r>
        <w:rPr>
          <w:rFonts w:ascii="Arial" w:hAnsi="Arial" w:cs="Arial"/>
          <w:color w:val="222222"/>
          <w:sz w:val="20"/>
          <w:szCs w:val="20"/>
          <w:shd w:val="clear" w:color="auto" w:fill="FFFFFF"/>
        </w:rPr>
        <w:t>From</w:t>
      </w:r>
      <w:proofErr w:type="gramEnd"/>
      <w:r>
        <w:rPr>
          <w:rFonts w:ascii="Arial" w:hAnsi="Arial" w:cs="Arial"/>
          <w:color w:val="222222"/>
          <w:sz w:val="20"/>
          <w:szCs w:val="20"/>
          <w:shd w:val="clear" w:color="auto" w:fill="FFFFFF"/>
        </w:rPr>
        <w:t xml:space="preserve"> the Geochemistry and Zircon U–Pb Geochronology. </w:t>
      </w:r>
      <w:r>
        <w:rPr>
          <w:rFonts w:ascii="Arial" w:hAnsi="Arial" w:cs="Arial"/>
          <w:i/>
          <w:iCs/>
          <w:color w:val="222222"/>
          <w:sz w:val="20"/>
          <w:szCs w:val="20"/>
          <w:shd w:val="clear" w:color="auto" w:fill="FFFFFF"/>
        </w:rPr>
        <w:t xml:space="preserve">Island </w:t>
      </w:r>
      <w:r>
        <w:rPr>
          <w:rFonts w:ascii="Arial" w:hAnsi="Arial" w:cs="Arial"/>
          <w:i/>
          <w:iCs/>
          <w:color w:val="222222"/>
          <w:sz w:val="20"/>
          <w:szCs w:val="20"/>
          <w:shd w:val="clear" w:color="auto" w:fill="FFFFFF"/>
        </w:rPr>
        <w:tab/>
        <w:t>Arc</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34</w:t>
      </w:r>
      <w:r>
        <w:rPr>
          <w:rFonts w:ascii="Arial" w:hAnsi="Arial" w:cs="Arial"/>
          <w:color w:val="222222"/>
          <w:sz w:val="20"/>
          <w:szCs w:val="20"/>
          <w:shd w:val="clear" w:color="auto" w:fill="FFFFFF"/>
        </w:rPr>
        <w:t>(1), e70008.</w:t>
      </w:r>
    </w:p>
    <w:p w14:paraId="3FB2EB50" w14:textId="77777777" w:rsidR="00441B6F" w:rsidRDefault="00441B6F" w:rsidP="00441B6F">
      <w:pPr>
        <w:pStyle w:val="Body"/>
        <w:spacing w:after="0"/>
        <w:jc w:val="left"/>
        <w:rPr>
          <w:rFonts w:ascii="Arial" w:hAnsi="Arial" w:cs="Arial"/>
        </w:rPr>
      </w:pPr>
    </w:p>
    <w:p w14:paraId="475815E4" w14:textId="77777777" w:rsidR="00B01FCD" w:rsidRPr="00FB3A86" w:rsidRDefault="00B01FCD" w:rsidP="00441B6F">
      <w:pPr>
        <w:pStyle w:val="Appendix"/>
        <w:spacing w:after="0"/>
        <w:jc w:val="both"/>
        <w:rPr>
          <w:rFonts w:ascii="Arial" w:hAnsi="Arial" w:cs="Arial"/>
          <w:b w:val="0"/>
        </w:rPr>
      </w:pPr>
    </w:p>
    <w:sectPr w:rsidR="00B01FCD" w:rsidRPr="00FB3A86" w:rsidSect="00EE06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3416E" w14:textId="77777777" w:rsidR="00FD7445" w:rsidRDefault="00FD7445" w:rsidP="00C37E61">
      <w:r>
        <w:separator/>
      </w:r>
    </w:p>
  </w:endnote>
  <w:endnote w:type="continuationSeparator" w:id="0">
    <w:p w14:paraId="0EB34DC1" w14:textId="77777777" w:rsidR="00FD7445" w:rsidRDefault="00FD744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E547" w14:textId="77777777" w:rsidR="00EE0611" w:rsidRDefault="00EE0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B41" w14:textId="77777777" w:rsidR="00EE0611" w:rsidRDefault="00EE06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4D1E" w14:textId="60F40061" w:rsidR="00A22FF2" w:rsidRPr="00EE0611" w:rsidRDefault="00A22FF2" w:rsidP="00EE06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FE05" w14:textId="77777777" w:rsidR="00A22FF2" w:rsidRPr="00C37E61" w:rsidRDefault="00A22FF2"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0B3B" w14:textId="77777777" w:rsidR="00FD7445" w:rsidRDefault="00FD7445" w:rsidP="00C37E61">
      <w:r>
        <w:separator/>
      </w:r>
    </w:p>
  </w:footnote>
  <w:footnote w:type="continuationSeparator" w:id="0">
    <w:p w14:paraId="14297C42" w14:textId="77777777" w:rsidR="00FD7445" w:rsidRDefault="00FD744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D04B" w14:textId="38F8C3F9" w:rsidR="00EE0611" w:rsidRDefault="00EE0611">
    <w:pPr>
      <w:pStyle w:val="Header"/>
    </w:pPr>
    <w:r>
      <w:rPr>
        <w:noProof/>
      </w:rPr>
      <w:pict w14:anchorId="155A0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B917" w14:textId="76B83664" w:rsidR="00EE0611" w:rsidRDefault="00EE0611">
    <w:pPr>
      <w:pStyle w:val="Header"/>
    </w:pPr>
    <w:r>
      <w:rPr>
        <w:noProof/>
      </w:rPr>
      <w:pict w14:anchorId="57190A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1AFC" w14:textId="3CFC6D63" w:rsidR="00A22FF2" w:rsidRPr="00296529" w:rsidRDefault="00EE0611" w:rsidP="00296529">
    <w:pPr>
      <w:ind w:left="2160"/>
      <w:jc w:val="center"/>
      <w:rPr>
        <w:rFonts w:ascii="Times New Roman" w:eastAsia="Calibri" w:hAnsi="Times New Roman"/>
        <w:i/>
        <w:sz w:val="18"/>
        <w:szCs w:val="22"/>
      </w:rPr>
    </w:pPr>
    <w:r>
      <w:rPr>
        <w:noProof/>
      </w:rPr>
      <w:pict w14:anchorId="7C434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BC716A8" w14:textId="77777777" w:rsidR="00A22FF2" w:rsidRPr="00296529" w:rsidRDefault="00A22FF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FBCEE18" w14:textId="77777777" w:rsidR="00A22FF2" w:rsidRPr="00296529" w:rsidRDefault="00A22FF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06D7FF" w14:textId="77777777" w:rsidR="00A22FF2" w:rsidRPr="00296529" w:rsidRDefault="00A22FF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7994434" w14:textId="77777777" w:rsidR="00A22FF2" w:rsidRDefault="00A22FF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DDA4E50" w14:textId="77777777" w:rsidR="00A22FF2" w:rsidRDefault="00A22FF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AFB4196" w14:textId="77777777" w:rsidR="00A22FF2" w:rsidRDefault="00A22FF2">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DD8F" w14:textId="0986B94A" w:rsidR="00EE0611" w:rsidRDefault="00EE0611">
    <w:pPr>
      <w:pStyle w:val="Header"/>
    </w:pPr>
    <w:r>
      <w:rPr>
        <w:noProof/>
      </w:rPr>
      <w:pict w14:anchorId="6FE04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BB7B41F">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5B00" w14:textId="7B860ED5" w:rsidR="00EE0611" w:rsidRDefault="00EE0611">
    <w:pPr>
      <w:pStyle w:val="Header"/>
    </w:pPr>
    <w:r>
      <w:rPr>
        <w:noProof/>
      </w:rPr>
      <w:pict w14:anchorId="7E1B6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0053F55">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C541" w14:textId="5919CDC6" w:rsidR="00EE0611" w:rsidRPr="00296529" w:rsidRDefault="00EE0611" w:rsidP="00296529">
    <w:pPr>
      <w:ind w:left="2160"/>
      <w:jc w:val="center"/>
      <w:rPr>
        <w:rFonts w:ascii="Times New Roman" w:eastAsia="Calibri" w:hAnsi="Times New Roman"/>
        <w:i/>
        <w:sz w:val="18"/>
        <w:szCs w:val="22"/>
      </w:rPr>
    </w:pPr>
    <w:r>
      <w:rPr>
        <w:noProof/>
      </w:rPr>
      <w:pict w14:anchorId="773220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18B369D">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C2E2C81" w14:textId="77777777" w:rsidR="00EE0611" w:rsidRPr="00296529" w:rsidRDefault="00EE061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26E004B" w14:textId="77777777" w:rsidR="00EE0611" w:rsidRPr="00296529" w:rsidRDefault="00EE061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10E1643" w14:textId="77777777" w:rsidR="00EE0611" w:rsidRPr="00296529" w:rsidRDefault="00EE061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478DA16" w14:textId="77777777" w:rsidR="00EE0611" w:rsidRDefault="00EE061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B535E5A" w14:textId="77777777" w:rsidR="00EE0611" w:rsidRDefault="00EE061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8576CCE" w14:textId="77777777" w:rsidR="00EE0611" w:rsidRDefault="00EE061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5760CF5"/>
    <w:multiLevelType w:val="multilevel"/>
    <w:tmpl w:val="93F0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F9C67D7"/>
    <w:multiLevelType w:val="hybridMultilevel"/>
    <w:tmpl w:val="11F40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8327908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62435136">
    <w:abstractNumId w:val="17"/>
  </w:num>
  <w:num w:numId="3" w16cid:durableId="758595839">
    <w:abstractNumId w:val="25"/>
  </w:num>
  <w:num w:numId="4" w16cid:durableId="97059352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82835222">
    <w:abstractNumId w:val="8"/>
  </w:num>
  <w:num w:numId="6" w16cid:durableId="1050542942">
    <w:abstractNumId w:val="6"/>
  </w:num>
  <w:num w:numId="7" w16cid:durableId="420180977">
    <w:abstractNumId w:val="1"/>
  </w:num>
  <w:num w:numId="8" w16cid:durableId="301085131">
    <w:abstractNumId w:val="14"/>
  </w:num>
  <w:num w:numId="9" w16cid:durableId="1635601398">
    <w:abstractNumId w:val="27"/>
  </w:num>
  <w:num w:numId="10" w16cid:durableId="1567108247">
    <w:abstractNumId w:val="2"/>
  </w:num>
  <w:num w:numId="11" w16cid:durableId="1300766267">
    <w:abstractNumId w:val="20"/>
  </w:num>
  <w:num w:numId="12" w16cid:durableId="175850493">
    <w:abstractNumId w:val="3"/>
  </w:num>
  <w:num w:numId="13" w16cid:durableId="942960500">
    <w:abstractNumId w:val="19"/>
  </w:num>
  <w:num w:numId="14" w16cid:durableId="936451716">
    <w:abstractNumId w:val="9"/>
  </w:num>
  <w:num w:numId="15" w16cid:durableId="1707021664">
    <w:abstractNumId w:val="23"/>
  </w:num>
  <w:num w:numId="16" w16cid:durableId="170491232">
    <w:abstractNumId w:val="5"/>
  </w:num>
  <w:num w:numId="17" w16cid:durableId="1482887558">
    <w:abstractNumId w:val="24"/>
  </w:num>
  <w:num w:numId="18" w16cid:durableId="1062756676">
    <w:abstractNumId w:val="16"/>
  </w:num>
  <w:num w:numId="19" w16cid:durableId="851266742">
    <w:abstractNumId w:val="30"/>
  </w:num>
  <w:num w:numId="20" w16cid:durableId="2130470903">
    <w:abstractNumId w:val="13"/>
  </w:num>
  <w:num w:numId="21" w16cid:durableId="365840019">
    <w:abstractNumId w:val="11"/>
  </w:num>
  <w:num w:numId="22" w16cid:durableId="430707904">
    <w:abstractNumId w:val="15"/>
  </w:num>
  <w:num w:numId="23" w16cid:durableId="1067068137">
    <w:abstractNumId w:val="21"/>
  </w:num>
  <w:num w:numId="24" w16cid:durableId="626861173">
    <w:abstractNumId w:val="28"/>
  </w:num>
  <w:num w:numId="25" w16cid:durableId="643392663">
    <w:abstractNumId w:val="4"/>
  </w:num>
  <w:num w:numId="26" w16cid:durableId="2021272121">
    <w:abstractNumId w:val="18"/>
  </w:num>
  <w:num w:numId="27" w16cid:durableId="950286733">
    <w:abstractNumId w:val="22"/>
  </w:num>
  <w:num w:numId="28" w16cid:durableId="287787364">
    <w:abstractNumId w:val="29"/>
  </w:num>
  <w:num w:numId="29" w16cid:durableId="484401211">
    <w:abstractNumId w:val="26"/>
  </w:num>
  <w:num w:numId="30" w16cid:durableId="1419248460">
    <w:abstractNumId w:val="12"/>
  </w:num>
  <w:num w:numId="31" w16cid:durableId="580335625">
    <w:abstractNumId w:val="10"/>
  </w:num>
  <w:num w:numId="32" w16cid:durableId="1437871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60C57"/>
    <w:rsid w:val="00086732"/>
    <w:rsid w:val="000A47FA"/>
    <w:rsid w:val="000A65D3"/>
    <w:rsid w:val="000B1E33"/>
    <w:rsid w:val="000D689F"/>
    <w:rsid w:val="000E7B7B"/>
    <w:rsid w:val="000E7D62"/>
    <w:rsid w:val="00103357"/>
    <w:rsid w:val="001214CE"/>
    <w:rsid w:val="00123C9F"/>
    <w:rsid w:val="00126190"/>
    <w:rsid w:val="00130F17"/>
    <w:rsid w:val="001320BF"/>
    <w:rsid w:val="00133908"/>
    <w:rsid w:val="001553F6"/>
    <w:rsid w:val="0016060D"/>
    <w:rsid w:val="00163BC4"/>
    <w:rsid w:val="00191062"/>
    <w:rsid w:val="00192B72"/>
    <w:rsid w:val="001A29D8"/>
    <w:rsid w:val="001A5CAA"/>
    <w:rsid w:val="001B0427"/>
    <w:rsid w:val="001C0822"/>
    <w:rsid w:val="001D3A51"/>
    <w:rsid w:val="001E10D2"/>
    <w:rsid w:val="001E25B4"/>
    <w:rsid w:val="001E44FE"/>
    <w:rsid w:val="00200595"/>
    <w:rsid w:val="00204835"/>
    <w:rsid w:val="002248C7"/>
    <w:rsid w:val="00231920"/>
    <w:rsid w:val="0023195C"/>
    <w:rsid w:val="0024282C"/>
    <w:rsid w:val="0024436B"/>
    <w:rsid w:val="002460DC"/>
    <w:rsid w:val="002470DA"/>
    <w:rsid w:val="00250985"/>
    <w:rsid w:val="002556F6"/>
    <w:rsid w:val="00283105"/>
    <w:rsid w:val="00284C4C"/>
    <w:rsid w:val="00285385"/>
    <w:rsid w:val="00287E68"/>
    <w:rsid w:val="00296529"/>
    <w:rsid w:val="002A0E90"/>
    <w:rsid w:val="002B27FB"/>
    <w:rsid w:val="002B4ADD"/>
    <w:rsid w:val="002B685A"/>
    <w:rsid w:val="002C57D2"/>
    <w:rsid w:val="002E0062"/>
    <w:rsid w:val="002E0D56"/>
    <w:rsid w:val="003078CF"/>
    <w:rsid w:val="003110D8"/>
    <w:rsid w:val="00315186"/>
    <w:rsid w:val="00331D5F"/>
    <w:rsid w:val="0033343E"/>
    <w:rsid w:val="003512C2"/>
    <w:rsid w:val="00355300"/>
    <w:rsid w:val="00371FB6"/>
    <w:rsid w:val="003763C1"/>
    <w:rsid w:val="00376BBE"/>
    <w:rsid w:val="0039224F"/>
    <w:rsid w:val="003A43A4"/>
    <w:rsid w:val="003A7E18"/>
    <w:rsid w:val="003C2A9E"/>
    <w:rsid w:val="003C3D07"/>
    <w:rsid w:val="003C4C86"/>
    <w:rsid w:val="003C6258"/>
    <w:rsid w:val="003E2904"/>
    <w:rsid w:val="00401927"/>
    <w:rsid w:val="0041027F"/>
    <w:rsid w:val="00412475"/>
    <w:rsid w:val="00423789"/>
    <w:rsid w:val="00440F43"/>
    <w:rsid w:val="00441B6F"/>
    <w:rsid w:val="00446221"/>
    <w:rsid w:val="00450E62"/>
    <w:rsid w:val="004539DB"/>
    <w:rsid w:val="004629B5"/>
    <w:rsid w:val="00471A80"/>
    <w:rsid w:val="00474B71"/>
    <w:rsid w:val="00485B26"/>
    <w:rsid w:val="004D0A3B"/>
    <w:rsid w:val="004D305E"/>
    <w:rsid w:val="004D4277"/>
    <w:rsid w:val="004E25EF"/>
    <w:rsid w:val="004F0222"/>
    <w:rsid w:val="004F3457"/>
    <w:rsid w:val="004F53E0"/>
    <w:rsid w:val="00502516"/>
    <w:rsid w:val="00505F06"/>
    <w:rsid w:val="00506828"/>
    <w:rsid w:val="0052255F"/>
    <w:rsid w:val="0053056E"/>
    <w:rsid w:val="00554FDA"/>
    <w:rsid w:val="00581BE5"/>
    <w:rsid w:val="005B5659"/>
    <w:rsid w:val="005C784C"/>
    <w:rsid w:val="005D17F6"/>
    <w:rsid w:val="005E5539"/>
    <w:rsid w:val="00602BF5"/>
    <w:rsid w:val="00617FDD"/>
    <w:rsid w:val="00633614"/>
    <w:rsid w:val="00633F68"/>
    <w:rsid w:val="00636EB2"/>
    <w:rsid w:val="006375B8"/>
    <w:rsid w:val="00654225"/>
    <w:rsid w:val="0066510A"/>
    <w:rsid w:val="00673F9F"/>
    <w:rsid w:val="00686953"/>
    <w:rsid w:val="00687DEA"/>
    <w:rsid w:val="00687E67"/>
    <w:rsid w:val="006967F7"/>
    <w:rsid w:val="006A250C"/>
    <w:rsid w:val="006B2118"/>
    <w:rsid w:val="006B21D3"/>
    <w:rsid w:val="006B57D0"/>
    <w:rsid w:val="006C3C57"/>
    <w:rsid w:val="006D1564"/>
    <w:rsid w:val="006D30FF"/>
    <w:rsid w:val="006D6940"/>
    <w:rsid w:val="006E1A05"/>
    <w:rsid w:val="006E7EB5"/>
    <w:rsid w:val="006F11EC"/>
    <w:rsid w:val="006F462E"/>
    <w:rsid w:val="00700822"/>
    <w:rsid w:val="0070082C"/>
    <w:rsid w:val="00723F55"/>
    <w:rsid w:val="00730DAB"/>
    <w:rsid w:val="007369E6"/>
    <w:rsid w:val="00746E59"/>
    <w:rsid w:val="00754C9A"/>
    <w:rsid w:val="0075599A"/>
    <w:rsid w:val="00761D52"/>
    <w:rsid w:val="0076522F"/>
    <w:rsid w:val="007716F4"/>
    <w:rsid w:val="0077749E"/>
    <w:rsid w:val="00777C00"/>
    <w:rsid w:val="00790ADA"/>
    <w:rsid w:val="007A62FF"/>
    <w:rsid w:val="007D2288"/>
    <w:rsid w:val="007D338A"/>
    <w:rsid w:val="007D5883"/>
    <w:rsid w:val="007E088F"/>
    <w:rsid w:val="007F7B32"/>
    <w:rsid w:val="00804BC2"/>
    <w:rsid w:val="0081431A"/>
    <w:rsid w:val="0083216F"/>
    <w:rsid w:val="00852C47"/>
    <w:rsid w:val="00860000"/>
    <w:rsid w:val="00863BD3"/>
    <w:rsid w:val="008641ED"/>
    <w:rsid w:val="00866D66"/>
    <w:rsid w:val="008671C6"/>
    <w:rsid w:val="00875803"/>
    <w:rsid w:val="00876A44"/>
    <w:rsid w:val="00896A35"/>
    <w:rsid w:val="00897155"/>
    <w:rsid w:val="008A1DFA"/>
    <w:rsid w:val="008B459E"/>
    <w:rsid w:val="008B4FB4"/>
    <w:rsid w:val="008E13AE"/>
    <w:rsid w:val="008E1506"/>
    <w:rsid w:val="008E710C"/>
    <w:rsid w:val="008F69D6"/>
    <w:rsid w:val="00902823"/>
    <w:rsid w:val="00915CA6"/>
    <w:rsid w:val="00927834"/>
    <w:rsid w:val="009500A6"/>
    <w:rsid w:val="00957C18"/>
    <w:rsid w:val="009659BA"/>
    <w:rsid w:val="00983040"/>
    <w:rsid w:val="00987F1F"/>
    <w:rsid w:val="009B3FB9"/>
    <w:rsid w:val="009C2465"/>
    <w:rsid w:val="009D35A0"/>
    <w:rsid w:val="009D7EB7"/>
    <w:rsid w:val="009E048A"/>
    <w:rsid w:val="009E08E9"/>
    <w:rsid w:val="009E3DB9"/>
    <w:rsid w:val="009E6E35"/>
    <w:rsid w:val="009F0EDA"/>
    <w:rsid w:val="009F5782"/>
    <w:rsid w:val="00A03B96"/>
    <w:rsid w:val="00A05B19"/>
    <w:rsid w:val="00A1134E"/>
    <w:rsid w:val="00A223D9"/>
    <w:rsid w:val="00A22FF2"/>
    <w:rsid w:val="00A24E7E"/>
    <w:rsid w:val="00A258C3"/>
    <w:rsid w:val="00A347C0"/>
    <w:rsid w:val="00A51431"/>
    <w:rsid w:val="00A515DA"/>
    <w:rsid w:val="00A539AD"/>
    <w:rsid w:val="00A925DD"/>
    <w:rsid w:val="00A94063"/>
    <w:rsid w:val="00AA6219"/>
    <w:rsid w:val="00AA74E0"/>
    <w:rsid w:val="00AB703F"/>
    <w:rsid w:val="00AC6BB8"/>
    <w:rsid w:val="00AE008F"/>
    <w:rsid w:val="00B01ABD"/>
    <w:rsid w:val="00B01FCD"/>
    <w:rsid w:val="00B1776C"/>
    <w:rsid w:val="00B20EC9"/>
    <w:rsid w:val="00B52583"/>
    <w:rsid w:val="00B52896"/>
    <w:rsid w:val="00B95236"/>
    <w:rsid w:val="00B96BD9"/>
    <w:rsid w:val="00B96C88"/>
    <w:rsid w:val="00BA1B01"/>
    <w:rsid w:val="00BA2641"/>
    <w:rsid w:val="00BB37AA"/>
    <w:rsid w:val="00BB4C5B"/>
    <w:rsid w:val="00BC40EF"/>
    <w:rsid w:val="00BC53A0"/>
    <w:rsid w:val="00BE4FCE"/>
    <w:rsid w:val="00BE62AD"/>
    <w:rsid w:val="00BF121F"/>
    <w:rsid w:val="00BF1F80"/>
    <w:rsid w:val="00C166EF"/>
    <w:rsid w:val="00C17EB0"/>
    <w:rsid w:val="00C27F5F"/>
    <w:rsid w:val="00C30A0F"/>
    <w:rsid w:val="00C3456B"/>
    <w:rsid w:val="00C37E61"/>
    <w:rsid w:val="00C55D13"/>
    <w:rsid w:val="00C70F1B"/>
    <w:rsid w:val="00C71A47"/>
    <w:rsid w:val="00C7464C"/>
    <w:rsid w:val="00C85588"/>
    <w:rsid w:val="00CB3A57"/>
    <w:rsid w:val="00CD6755"/>
    <w:rsid w:val="00CD6856"/>
    <w:rsid w:val="00CE0089"/>
    <w:rsid w:val="00CE793C"/>
    <w:rsid w:val="00CF193C"/>
    <w:rsid w:val="00D173F1"/>
    <w:rsid w:val="00D451EB"/>
    <w:rsid w:val="00D47EA5"/>
    <w:rsid w:val="00D74CB0"/>
    <w:rsid w:val="00D8295D"/>
    <w:rsid w:val="00D865B6"/>
    <w:rsid w:val="00DB39E5"/>
    <w:rsid w:val="00DC2A65"/>
    <w:rsid w:val="00DC71AD"/>
    <w:rsid w:val="00DD1F66"/>
    <w:rsid w:val="00DE15F0"/>
    <w:rsid w:val="00DE5663"/>
    <w:rsid w:val="00DE78AA"/>
    <w:rsid w:val="00E053D0"/>
    <w:rsid w:val="00E15994"/>
    <w:rsid w:val="00E3114E"/>
    <w:rsid w:val="00E31A70"/>
    <w:rsid w:val="00E35B02"/>
    <w:rsid w:val="00E66496"/>
    <w:rsid w:val="00E66B35"/>
    <w:rsid w:val="00E66E10"/>
    <w:rsid w:val="00E72CFD"/>
    <w:rsid w:val="00E769F6"/>
    <w:rsid w:val="00E8407C"/>
    <w:rsid w:val="00E84F3C"/>
    <w:rsid w:val="00EA012C"/>
    <w:rsid w:val="00EA3CD1"/>
    <w:rsid w:val="00EB0F65"/>
    <w:rsid w:val="00EC6A55"/>
    <w:rsid w:val="00ED0288"/>
    <w:rsid w:val="00EE0611"/>
    <w:rsid w:val="00EE52CB"/>
    <w:rsid w:val="00EF4DE0"/>
    <w:rsid w:val="00EF581D"/>
    <w:rsid w:val="00EF7FD8"/>
    <w:rsid w:val="00F06F59"/>
    <w:rsid w:val="00F17988"/>
    <w:rsid w:val="00F465ED"/>
    <w:rsid w:val="00F469F0"/>
    <w:rsid w:val="00F53273"/>
    <w:rsid w:val="00F577FB"/>
    <w:rsid w:val="00F61868"/>
    <w:rsid w:val="00F755E4"/>
    <w:rsid w:val="00F77D02"/>
    <w:rsid w:val="00F93EF1"/>
    <w:rsid w:val="00FB3A86"/>
    <w:rsid w:val="00FC7BCD"/>
    <w:rsid w:val="00FD36C8"/>
    <w:rsid w:val="00FD7445"/>
    <w:rsid w:val="00FF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EC1A9"/>
  <w15:docId w15:val="{128CDE5D-4811-4C26-A040-D0876BE4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1C08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D865B6"/>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D865B6"/>
    <w:rPr>
      <w:b/>
      <w:bCs/>
    </w:rPr>
  </w:style>
  <w:style w:type="character" w:customStyle="1" w:styleId="Heading3Char">
    <w:name w:val="Heading 3 Char"/>
    <w:basedOn w:val="DefaultParagraphFont"/>
    <w:link w:val="Heading3"/>
    <w:semiHidden/>
    <w:rsid w:val="001C0822"/>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A22FF2"/>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700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457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i.org/10.18061/bssb.v3i2.9630" TargetMode="Externa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646/zootaxa.1700.1.2"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oi.org/10.1111/jbi.15165"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4.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F1638-39DA-42E3-A2CD-4A0EBE1D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TotalTime>
  <Pages>16</Pages>
  <Words>5214</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34871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16</cp:revision>
  <cp:lastPrinted>1999-07-06T11:00:00Z</cp:lastPrinted>
  <dcterms:created xsi:type="dcterms:W3CDTF">2026-07-25T15:28:00Z</dcterms:created>
  <dcterms:modified xsi:type="dcterms:W3CDTF">2026-07-28T07:46:00Z</dcterms:modified>
</cp:coreProperties>
</file>