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4ECF6" w14:textId="77777777" w:rsidR="009512C9" w:rsidRPr="004B14F3" w:rsidRDefault="00057D31" w:rsidP="00075BD9">
      <w:pPr>
        <w:spacing w:after="0" w:line="480" w:lineRule="auto"/>
        <w:jc w:val="both"/>
        <w:rPr>
          <w:rFonts w:ascii="Arial" w:hAnsi="Arial" w:cs="Arial"/>
          <w:b/>
          <w:bCs/>
          <w:sz w:val="20"/>
          <w:szCs w:val="20"/>
          <w:u w:val="single"/>
        </w:rPr>
      </w:pPr>
      <w:r w:rsidRPr="004B14F3">
        <w:rPr>
          <w:rFonts w:ascii="Arial" w:hAnsi="Arial" w:cs="Arial"/>
          <w:b/>
          <w:bCs/>
          <w:sz w:val="20"/>
          <w:szCs w:val="20"/>
          <w:u w:val="single"/>
        </w:rPr>
        <w:t>Original Research Article</w:t>
      </w:r>
    </w:p>
    <w:p w14:paraId="0AA34474" w14:textId="77777777" w:rsidR="00057D31" w:rsidRPr="004B14F3" w:rsidRDefault="00057D31" w:rsidP="00075BD9">
      <w:pPr>
        <w:spacing w:after="0" w:line="480" w:lineRule="auto"/>
        <w:jc w:val="center"/>
        <w:rPr>
          <w:rFonts w:ascii="Arial" w:hAnsi="Arial" w:cs="Arial"/>
          <w:b/>
          <w:bCs/>
        </w:rPr>
      </w:pPr>
    </w:p>
    <w:p w14:paraId="3485DAA0" w14:textId="77777777" w:rsidR="00104CB0" w:rsidRPr="004B14F3" w:rsidRDefault="009512C9" w:rsidP="00075BD9">
      <w:pPr>
        <w:spacing w:after="0" w:line="480" w:lineRule="auto"/>
        <w:jc w:val="center"/>
        <w:rPr>
          <w:rFonts w:ascii="Arial" w:hAnsi="Arial" w:cs="Arial"/>
          <w:b/>
          <w:bCs/>
        </w:rPr>
      </w:pPr>
      <w:r w:rsidRPr="004B14F3">
        <w:rPr>
          <w:rFonts w:ascii="Arial" w:hAnsi="Arial" w:cs="Arial"/>
          <w:b/>
          <w:bCs/>
        </w:rPr>
        <w:t xml:space="preserve">MOLECULAR PHYLOGENETIC ASSESSSMENT </w:t>
      </w:r>
      <w:r w:rsidR="00104CB0" w:rsidRPr="004B14F3">
        <w:rPr>
          <w:rFonts w:ascii="Arial" w:hAnsi="Arial" w:cs="Arial"/>
          <w:b/>
          <w:bCs/>
        </w:rPr>
        <w:t xml:space="preserve">OF </w:t>
      </w:r>
      <w:r w:rsidRPr="004B14F3">
        <w:rPr>
          <w:rFonts w:ascii="Arial" w:hAnsi="Arial" w:cs="Arial"/>
          <w:b/>
          <w:bCs/>
          <w:i/>
          <w:iCs/>
        </w:rPr>
        <w:t xml:space="preserve">GARRA MULLYA </w:t>
      </w:r>
      <w:r w:rsidRPr="004B14F3">
        <w:rPr>
          <w:rFonts w:ascii="Arial" w:hAnsi="Arial" w:cs="Arial"/>
          <w:b/>
          <w:bCs/>
        </w:rPr>
        <w:t xml:space="preserve">(SYKES, 1839) AND </w:t>
      </w:r>
      <w:r w:rsidR="00104CB0" w:rsidRPr="004B14F3">
        <w:rPr>
          <w:rFonts w:ascii="Arial" w:hAnsi="Arial" w:cs="Arial"/>
          <w:b/>
          <w:bCs/>
          <w:i/>
          <w:iCs/>
        </w:rPr>
        <w:t>PARAMBASSIS RANGA</w:t>
      </w:r>
      <w:r w:rsidR="00104CB0" w:rsidRPr="004B14F3">
        <w:rPr>
          <w:rFonts w:ascii="Arial" w:hAnsi="Arial" w:cs="Arial"/>
          <w:b/>
          <w:bCs/>
        </w:rPr>
        <w:t xml:space="preserve"> (HAMILTON, 1822) FROM UJANI </w:t>
      </w:r>
      <w:r w:rsidR="00495A19" w:rsidRPr="004B14F3">
        <w:rPr>
          <w:rFonts w:ascii="Arial" w:hAnsi="Arial" w:cs="Arial"/>
          <w:b/>
          <w:bCs/>
        </w:rPr>
        <w:t>RESERVOIR</w:t>
      </w:r>
      <w:r w:rsidR="00075BD9" w:rsidRPr="004B14F3">
        <w:rPr>
          <w:rFonts w:ascii="Arial" w:hAnsi="Arial" w:cs="Arial"/>
          <w:b/>
          <w:bCs/>
        </w:rPr>
        <w:t xml:space="preserve"> OF </w:t>
      </w:r>
      <w:r w:rsidR="00104CB0" w:rsidRPr="004B14F3">
        <w:rPr>
          <w:rFonts w:ascii="Arial" w:hAnsi="Arial" w:cs="Arial"/>
          <w:b/>
          <w:bCs/>
        </w:rPr>
        <w:t>MAHARASHTRA, INDIA</w:t>
      </w:r>
    </w:p>
    <w:p w14:paraId="0E2106B7" w14:textId="77777777" w:rsidR="009512C9" w:rsidRPr="004B14F3" w:rsidRDefault="009512C9" w:rsidP="00075BD9">
      <w:pPr>
        <w:spacing w:after="0" w:line="480" w:lineRule="auto"/>
        <w:jc w:val="center"/>
        <w:rPr>
          <w:rFonts w:ascii="Arial" w:hAnsi="Arial" w:cs="Arial"/>
          <w:b/>
          <w:bCs/>
          <w:sz w:val="20"/>
          <w:szCs w:val="20"/>
        </w:rPr>
      </w:pPr>
    </w:p>
    <w:p w14:paraId="1D57E6BF" w14:textId="77777777" w:rsidR="00495A19" w:rsidRPr="004B14F3" w:rsidRDefault="00495A19" w:rsidP="00075BD9">
      <w:pPr>
        <w:spacing w:after="0" w:line="480" w:lineRule="auto"/>
        <w:jc w:val="both"/>
        <w:rPr>
          <w:rFonts w:ascii="Arial" w:eastAsia="Times New Roman" w:hAnsi="Arial" w:cs="Arial"/>
          <w:sz w:val="20"/>
          <w:szCs w:val="20"/>
        </w:rPr>
      </w:pPr>
    </w:p>
    <w:p w14:paraId="503BE309" w14:textId="77777777" w:rsidR="00495A19" w:rsidRPr="004B14F3" w:rsidRDefault="009512C9" w:rsidP="00075BD9">
      <w:pPr>
        <w:spacing w:after="0" w:line="480" w:lineRule="auto"/>
        <w:jc w:val="both"/>
        <w:rPr>
          <w:rFonts w:ascii="Arial" w:eastAsia="Times New Roman" w:hAnsi="Arial" w:cs="Arial"/>
        </w:rPr>
      </w:pPr>
      <w:r w:rsidRPr="004B14F3">
        <w:rPr>
          <w:rFonts w:ascii="Arial" w:eastAsia="Times New Roman" w:hAnsi="Arial" w:cs="Arial"/>
          <w:b/>
          <w:bCs/>
        </w:rPr>
        <w:t xml:space="preserve">Abstract: </w:t>
      </w:r>
    </w:p>
    <w:p w14:paraId="2481AC35" w14:textId="77777777" w:rsidR="00495A19" w:rsidRPr="004B14F3" w:rsidRDefault="00495A19" w:rsidP="00075BD9">
      <w:pPr>
        <w:pStyle w:val="NormalWeb"/>
        <w:spacing w:line="480" w:lineRule="auto"/>
        <w:ind w:firstLine="720"/>
        <w:jc w:val="both"/>
        <w:rPr>
          <w:rFonts w:ascii="Arial" w:hAnsi="Arial" w:cs="Arial"/>
          <w:sz w:val="20"/>
          <w:szCs w:val="20"/>
        </w:rPr>
      </w:pPr>
      <w:r w:rsidRPr="004B14F3">
        <w:rPr>
          <w:rFonts w:ascii="Arial" w:hAnsi="Arial" w:cs="Arial"/>
          <w:sz w:val="20"/>
          <w:szCs w:val="20"/>
        </w:rPr>
        <w:t xml:space="preserve">The molecular phylogenetic assessment of </w:t>
      </w:r>
      <w:proofErr w:type="spellStart"/>
      <w:r w:rsidRPr="004B14F3">
        <w:rPr>
          <w:rStyle w:val="Emphasis"/>
          <w:rFonts w:ascii="Arial" w:eastAsiaTheme="majorEastAsia" w:hAnsi="Arial" w:cs="Arial"/>
          <w:sz w:val="20"/>
          <w:szCs w:val="20"/>
        </w:rPr>
        <w:t>Garra</w:t>
      </w:r>
      <w:proofErr w:type="spellEnd"/>
      <w:r w:rsidRPr="004B14F3">
        <w:rPr>
          <w:rStyle w:val="Emphasis"/>
          <w:rFonts w:ascii="Arial" w:eastAsiaTheme="majorEastAsia" w:hAnsi="Arial" w:cs="Arial"/>
          <w:sz w:val="20"/>
          <w:szCs w:val="20"/>
        </w:rPr>
        <w:t xml:space="preserve"> </w:t>
      </w:r>
      <w:proofErr w:type="spellStart"/>
      <w:r w:rsidRPr="004B14F3">
        <w:rPr>
          <w:rStyle w:val="Emphasis"/>
          <w:rFonts w:ascii="Arial" w:eastAsiaTheme="majorEastAsia" w:hAnsi="Arial" w:cs="Arial"/>
          <w:sz w:val="20"/>
          <w:szCs w:val="20"/>
        </w:rPr>
        <w:t>mullya</w:t>
      </w:r>
      <w:proofErr w:type="spellEnd"/>
      <w:r w:rsidRPr="004B14F3">
        <w:rPr>
          <w:rFonts w:ascii="Arial" w:hAnsi="Arial" w:cs="Arial"/>
          <w:sz w:val="20"/>
          <w:szCs w:val="20"/>
        </w:rPr>
        <w:t xml:space="preserve"> and </w:t>
      </w:r>
      <w:proofErr w:type="spellStart"/>
      <w:r w:rsidRPr="004B14F3">
        <w:rPr>
          <w:rStyle w:val="Emphasis"/>
          <w:rFonts w:ascii="Arial" w:eastAsiaTheme="majorEastAsia" w:hAnsi="Arial" w:cs="Arial"/>
          <w:sz w:val="20"/>
          <w:szCs w:val="20"/>
        </w:rPr>
        <w:t>Parambassis</w:t>
      </w:r>
      <w:proofErr w:type="spellEnd"/>
      <w:r w:rsidRPr="004B14F3">
        <w:rPr>
          <w:rStyle w:val="Emphasis"/>
          <w:rFonts w:ascii="Arial" w:eastAsiaTheme="majorEastAsia" w:hAnsi="Arial" w:cs="Arial"/>
          <w:sz w:val="20"/>
          <w:szCs w:val="20"/>
        </w:rPr>
        <w:t xml:space="preserve"> </w:t>
      </w:r>
      <w:proofErr w:type="spellStart"/>
      <w:r w:rsidRPr="004B14F3">
        <w:rPr>
          <w:rStyle w:val="Emphasis"/>
          <w:rFonts w:ascii="Arial" w:eastAsiaTheme="majorEastAsia" w:hAnsi="Arial" w:cs="Arial"/>
          <w:sz w:val="20"/>
          <w:szCs w:val="20"/>
        </w:rPr>
        <w:t>ranga</w:t>
      </w:r>
      <w:proofErr w:type="spellEnd"/>
      <w:r w:rsidRPr="004B14F3">
        <w:rPr>
          <w:rFonts w:ascii="Arial" w:hAnsi="Arial" w:cs="Arial"/>
          <w:sz w:val="20"/>
          <w:szCs w:val="20"/>
        </w:rPr>
        <w:t xml:space="preserve"> from Ujani Reservoir of Maharashtra was done in this study. </w:t>
      </w:r>
      <w:proofErr w:type="spellStart"/>
      <w:r w:rsidR="00670AC4" w:rsidRPr="004B14F3">
        <w:rPr>
          <w:rFonts w:ascii="Arial" w:hAnsi="Arial" w:cs="Arial"/>
          <w:i/>
          <w:iCs/>
          <w:sz w:val="20"/>
          <w:szCs w:val="20"/>
        </w:rPr>
        <w:t>Garra</w:t>
      </w:r>
      <w:proofErr w:type="spellEnd"/>
      <w:r w:rsidR="00670AC4" w:rsidRPr="004B14F3">
        <w:rPr>
          <w:rFonts w:ascii="Arial" w:hAnsi="Arial" w:cs="Arial"/>
          <w:i/>
          <w:iCs/>
          <w:sz w:val="20"/>
          <w:szCs w:val="20"/>
        </w:rPr>
        <w:t xml:space="preserve"> </w:t>
      </w:r>
      <w:proofErr w:type="spellStart"/>
      <w:r w:rsidR="00670AC4" w:rsidRPr="004B14F3">
        <w:rPr>
          <w:rFonts w:ascii="Arial" w:hAnsi="Arial" w:cs="Arial"/>
          <w:i/>
          <w:iCs/>
          <w:sz w:val="20"/>
          <w:szCs w:val="20"/>
        </w:rPr>
        <w:t>mullya</w:t>
      </w:r>
      <w:proofErr w:type="spellEnd"/>
      <w:r w:rsidR="00670AC4" w:rsidRPr="004B14F3">
        <w:rPr>
          <w:rFonts w:ascii="Arial" w:hAnsi="Arial" w:cs="Arial"/>
          <w:i/>
          <w:iCs/>
          <w:sz w:val="20"/>
          <w:szCs w:val="20"/>
        </w:rPr>
        <w:t xml:space="preserve"> </w:t>
      </w:r>
      <w:r w:rsidR="00670AC4" w:rsidRPr="004B14F3">
        <w:rPr>
          <w:rFonts w:ascii="Arial" w:hAnsi="Arial" w:cs="Arial"/>
          <w:sz w:val="20"/>
          <w:szCs w:val="20"/>
        </w:rPr>
        <w:t xml:space="preserve">is found in freshwaters of India and Nepal. </w:t>
      </w:r>
      <w:proofErr w:type="spellStart"/>
      <w:r w:rsidR="00670AC4" w:rsidRPr="004B14F3">
        <w:rPr>
          <w:rFonts w:ascii="Arial" w:hAnsi="Arial" w:cs="Arial"/>
          <w:i/>
          <w:iCs/>
          <w:sz w:val="20"/>
          <w:szCs w:val="20"/>
        </w:rPr>
        <w:t>Parambassis</w:t>
      </w:r>
      <w:proofErr w:type="spellEnd"/>
      <w:r w:rsidR="00670AC4" w:rsidRPr="004B14F3">
        <w:rPr>
          <w:rFonts w:ascii="Arial" w:hAnsi="Arial" w:cs="Arial"/>
          <w:i/>
          <w:iCs/>
          <w:sz w:val="20"/>
          <w:szCs w:val="20"/>
        </w:rPr>
        <w:t xml:space="preserve"> </w:t>
      </w:r>
      <w:proofErr w:type="spellStart"/>
      <w:r w:rsidR="00670AC4" w:rsidRPr="004B14F3">
        <w:rPr>
          <w:rFonts w:ascii="Arial" w:hAnsi="Arial" w:cs="Arial"/>
          <w:i/>
          <w:iCs/>
          <w:sz w:val="20"/>
          <w:szCs w:val="20"/>
        </w:rPr>
        <w:t>ranga</w:t>
      </w:r>
      <w:proofErr w:type="spellEnd"/>
      <w:r w:rsidR="00670AC4" w:rsidRPr="004B14F3">
        <w:rPr>
          <w:rFonts w:ascii="Arial" w:hAnsi="Arial" w:cs="Arial"/>
          <w:i/>
          <w:iCs/>
          <w:sz w:val="20"/>
          <w:szCs w:val="20"/>
        </w:rPr>
        <w:t xml:space="preserve"> </w:t>
      </w:r>
      <w:r w:rsidR="00670AC4" w:rsidRPr="004B14F3">
        <w:rPr>
          <w:rFonts w:ascii="Arial" w:hAnsi="Arial" w:cs="Arial"/>
          <w:sz w:val="20"/>
          <w:szCs w:val="20"/>
        </w:rPr>
        <w:t xml:space="preserve">is inhabitant of Asian countries India, </w:t>
      </w:r>
      <w:r w:rsidR="002862EA" w:rsidRPr="004B14F3">
        <w:rPr>
          <w:rFonts w:ascii="Arial" w:hAnsi="Arial" w:cs="Arial"/>
          <w:sz w:val="20"/>
          <w:szCs w:val="20"/>
        </w:rPr>
        <w:t xml:space="preserve">Bangladesh, Nepal Myanmar, Malaysia, Pakistan and Thailand. </w:t>
      </w:r>
      <w:r w:rsidRPr="004B14F3">
        <w:rPr>
          <w:rFonts w:ascii="Arial" w:hAnsi="Arial" w:cs="Arial"/>
          <w:sz w:val="20"/>
          <w:szCs w:val="20"/>
        </w:rPr>
        <w:t xml:space="preserve">Both </w:t>
      </w:r>
      <w:r w:rsidR="00566F58" w:rsidRPr="004B14F3">
        <w:rPr>
          <w:rFonts w:ascii="Arial" w:hAnsi="Arial" w:cs="Arial"/>
          <w:sz w:val="20"/>
          <w:szCs w:val="20"/>
        </w:rPr>
        <w:t xml:space="preserve">these </w:t>
      </w:r>
      <w:r w:rsidRPr="004B14F3">
        <w:rPr>
          <w:rFonts w:ascii="Arial" w:hAnsi="Arial" w:cs="Arial"/>
          <w:sz w:val="20"/>
          <w:szCs w:val="20"/>
        </w:rPr>
        <w:t xml:space="preserve">species are abundantly observed in </w:t>
      </w:r>
      <w:r w:rsidR="00566F58" w:rsidRPr="004B14F3">
        <w:rPr>
          <w:rFonts w:ascii="Arial" w:hAnsi="Arial" w:cs="Arial"/>
          <w:sz w:val="20"/>
          <w:szCs w:val="20"/>
        </w:rPr>
        <w:t xml:space="preserve">Ujani </w:t>
      </w:r>
      <w:r w:rsidRPr="004B14F3">
        <w:rPr>
          <w:rFonts w:ascii="Arial" w:hAnsi="Arial" w:cs="Arial"/>
          <w:sz w:val="20"/>
          <w:szCs w:val="20"/>
        </w:rPr>
        <w:t xml:space="preserve">reservoir. </w:t>
      </w:r>
      <w:r w:rsidR="00566F58" w:rsidRPr="004B14F3">
        <w:rPr>
          <w:rFonts w:ascii="Arial" w:hAnsi="Arial" w:cs="Arial"/>
          <w:sz w:val="20"/>
          <w:szCs w:val="20"/>
        </w:rPr>
        <w:t>Present study</w:t>
      </w:r>
      <w:r w:rsidRPr="004B14F3">
        <w:rPr>
          <w:rFonts w:ascii="Arial" w:hAnsi="Arial" w:cs="Arial"/>
          <w:sz w:val="20"/>
          <w:szCs w:val="20"/>
        </w:rPr>
        <w:t xml:space="preserve"> reveals prominent genetic structuring across their Indian distribution ranges.</w:t>
      </w:r>
      <w:r w:rsidR="00566F58" w:rsidRPr="004B14F3">
        <w:rPr>
          <w:rFonts w:ascii="Arial" w:hAnsi="Arial" w:cs="Arial"/>
          <w:sz w:val="20"/>
          <w:szCs w:val="20"/>
        </w:rPr>
        <w:t xml:space="preserve"> </w:t>
      </w:r>
      <w:r w:rsidRPr="004B14F3">
        <w:rPr>
          <w:rStyle w:val="Emphasis"/>
          <w:rFonts w:ascii="Arial" w:eastAsiaTheme="majorEastAsia" w:hAnsi="Arial" w:cs="Arial"/>
          <w:sz w:val="20"/>
          <w:szCs w:val="20"/>
        </w:rPr>
        <w:t xml:space="preserve">G. </w:t>
      </w:r>
      <w:proofErr w:type="spellStart"/>
      <w:r w:rsidRPr="004B14F3">
        <w:rPr>
          <w:rStyle w:val="Emphasis"/>
          <w:rFonts w:ascii="Arial" w:eastAsiaTheme="majorEastAsia" w:hAnsi="Arial" w:cs="Arial"/>
          <w:sz w:val="20"/>
          <w:szCs w:val="20"/>
        </w:rPr>
        <w:t>mullya</w:t>
      </w:r>
      <w:proofErr w:type="spellEnd"/>
      <w:r w:rsidRPr="004B14F3">
        <w:rPr>
          <w:rFonts w:ascii="Arial" w:hAnsi="Arial" w:cs="Arial"/>
          <w:sz w:val="20"/>
          <w:szCs w:val="20"/>
        </w:rPr>
        <w:t xml:space="preserve"> sequences generated in this study show strong affinity to Maharashtra populations, indicating limited divergence and a cohesive regional lineage.</w:t>
      </w:r>
      <w:r w:rsidR="00566F58" w:rsidRPr="004B14F3">
        <w:rPr>
          <w:rFonts w:ascii="Arial" w:hAnsi="Arial" w:cs="Arial"/>
          <w:sz w:val="20"/>
          <w:szCs w:val="20"/>
        </w:rPr>
        <w:t xml:space="preserve"> </w:t>
      </w:r>
      <w:r w:rsidRPr="004B14F3">
        <w:rPr>
          <w:rStyle w:val="Emphasis"/>
          <w:rFonts w:ascii="Arial" w:eastAsiaTheme="majorEastAsia" w:hAnsi="Arial" w:cs="Arial"/>
          <w:sz w:val="20"/>
          <w:szCs w:val="20"/>
        </w:rPr>
        <w:t xml:space="preserve">P. </w:t>
      </w:r>
      <w:proofErr w:type="spellStart"/>
      <w:r w:rsidRPr="004B14F3">
        <w:rPr>
          <w:rStyle w:val="Emphasis"/>
          <w:rFonts w:ascii="Arial" w:eastAsiaTheme="majorEastAsia" w:hAnsi="Arial" w:cs="Arial"/>
          <w:sz w:val="20"/>
          <w:szCs w:val="20"/>
        </w:rPr>
        <w:t>ranga</w:t>
      </w:r>
      <w:proofErr w:type="spellEnd"/>
      <w:r w:rsidRPr="004B14F3">
        <w:rPr>
          <w:rFonts w:ascii="Arial" w:hAnsi="Arial" w:cs="Arial"/>
          <w:sz w:val="20"/>
          <w:szCs w:val="20"/>
        </w:rPr>
        <w:t xml:space="preserve"> demonstrates considerable phylogenetic fragmentation, with the study uncovering distinct lineages associated with northeastern India and Maharashtra, supporting previous assertions of </w:t>
      </w:r>
      <w:proofErr w:type="spellStart"/>
      <w:r w:rsidRPr="004B14F3">
        <w:rPr>
          <w:rFonts w:ascii="Arial" w:hAnsi="Arial" w:cs="Arial"/>
          <w:sz w:val="20"/>
          <w:szCs w:val="20"/>
        </w:rPr>
        <w:t>crypticism</w:t>
      </w:r>
      <w:proofErr w:type="spellEnd"/>
      <w:r w:rsidRPr="004B14F3">
        <w:rPr>
          <w:rFonts w:ascii="Arial" w:hAnsi="Arial" w:cs="Arial"/>
          <w:sz w:val="20"/>
          <w:szCs w:val="20"/>
        </w:rPr>
        <w:t xml:space="preserve"> within the species complex</w:t>
      </w:r>
      <w:r w:rsidR="00566F58" w:rsidRPr="004B14F3">
        <w:rPr>
          <w:rFonts w:ascii="Arial" w:hAnsi="Arial" w:cs="Arial"/>
          <w:sz w:val="20"/>
          <w:szCs w:val="20"/>
        </w:rPr>
        <w:t xml:space="preserve">. </w:t>
      </w:r>
      <w:r w:rsidRPr="004B14F3">
        <w:rPr>
          <w:rFonts w:ascii="Arial" w:hAnsi="Arial" w:cs="Arial"/>
          <w:sz w:val="20"/>
          <w:szCs w:val="20"/>
        </w:rPr>
        <w:t xml:space="preserve">These findings highlight the importance of molecular tools in resolving species identities, understanding </w:t>
      </w:r>
      <w:proofErr w:type="spellStart"/>
      <w:r w:rsidRPr="004B14F3">
        <w:rPr>
          <w:rFonts w:ascii="Arial" w:hAnsi="Arial" w:cs="Arial"/>
          <w:sz w:val="20"/>
          <w:szCs w:val="20"/>
        </w:rPr>
        <w:t>phylo</w:t>
      </w:r>
      <w:proofErr w:type="spellEnd"/>
      <w:r w:rsidRPr="004B14F3">
        <w:rPr>
          <w:rFonts w:ascii="Arial" w:hAnsi="Arial" w:cs="Arial"/>
          <w:sz w:val="20"/>
          <w:szCs w:val="20"/>
        </w:rPr>
        <w:t>-geographic patterns, and identifying e</w:t>
      </w:r>
      <w:r w:rsidR="00566F58" w:rsidRPr="004B14F3">
        <w:rPr>
          <w:rFonts w:ascii="Arial" w:hAnsi="Arial" w:cs="Arial"/>
          <w:sz w:val="20"/>
          <w:szCs w:val="20"/>
        </w:rPr>
        <w:t>volutionarily significant units</w:t>
      </w:r>
      <w:r w:rsidRPr="004B14F3">
        <w:rPr>
          <w:rFonts w:ascii="Arial" w:hAnsi="Arial" w:cs="Arial"/>
          <w:sz w:val="20"/>
          <w:szCs w:val="20"/>
        </w:rPr>
        <w:t>.</w:t>
      </w:r>
    </w:p>
    <w:p w14:paraId="1DB8423A" w14:textId="77777777" w:rsidR="00BE005C" w:rsidRPr="004B14F3" w:rsidRDefault="00566F58" w:rsidP="00075BD9">
      <w:pPr>
        <w:spacing w:after="0" w:line="480" w:lineRule="auto"/>
        <w:jc w:val="both"/>
        <w:rPr>
          <w:rFonts w:ascii="Arial" w:eastAsia="Times New Roman" w:hAnsi="Arial" w:cs="Arial"/>
          <w:i/>
          <w:iCs/>
          <w:sz w:val="20"/>
          <w:szCs w:val="20"/>
        </w:rPr>
      </w:pPr>
      <w:r w:rsidRPr="004B14F3">
        <w:rPr>
          <w:rFonts w:ascii="Arial" w:eastAsia="Times New Roman" w:hAnsi="Arial" w:cs="Arial"/>
          <w:b/>
          <w:bCs/>
        </w:rPr>
        <w:t>Keywords:</w:t>
      </w:r>
      <w:r w:rsidRPr="004B14F3">
        <w:rPr>
          <w:rFonts w:ascii="Arial" w:eastAsia="Times New Roman" w:hAnsi="Arial" w:cs="Arial"/>
          <w:b/>
          <w:bCs/>
          <w:sz w:val="20"/>
          <w:szCs w:val="20"/>
        </w:rPr>
        <w:t xml:space="preserve"> </w:t>
      </w:r>
      <w:r w:rsidRPr="004B14F3">
        <w:rPr>
          <w:rFonts w:ascii="Arial" w:eastAsia="Times New Roman" w:hAnsi="Arial" w:cs="Arial"/>
          <w:sz w:val="20"/>
          <w:szCs w:val="20"/>
        </w:rPr>
        <w:t xml:space="preserve">Molecular phylogenetic, freshwater fish, Ujani reservoir, </w:t>
      </w:r>
      <w:proofErr w:type="spellStart"/>
      <w:r w:rsidRPr="004B14F3">
        <w:rPr>
          <w:rFonts w:ascii="Arial" w:eastAsia="Times New Roman" w:hAnsi="Arial" w:cs="Arial"/>
          <w:i/>
          <w:iCs/>
          <w:sz w:val="20"/>
          <w:szCs w:val="20"/>
        </w:rPr>
        <w:t>Garra</w:t>
      </w:r>
      <w:proofErr w:type="spellEnd"/>
      <w:r w:rsidRPr="004B14F3">
        <w:rPr>
          <w:rFonts w:ascii="Arial" w:eastAsia="Times New Roman" w:hAnsi="Arial" w:cs="Arial"/>
          <w:i/>
          <w:iCs/>
          <w:sz w:val="20"/>
          <w:szCs w:val="20"/>
        </w:rPr>
        <w:t xml:space="preserve"> </w:t>
      </w:r>
      <w:proofErr w:type="spellStart"/>
      <w:r w:rsidRPr="004B14F3">
        <w:rPr>
          <w:rFonts w:ascii="Arial" w:eastAsia="Times New Roman" w:hAnsi="Arial" w:cs="Arial"/>
          <w:i/>
          <w:iCs/>
          <w:sz w:val="20"/>
          <w:szCs w:val="20"/>
        </w:rPr>
        <w:t>mullya</w:t>
      </w:r>
      <w:proofErr w:type="spellEnd"/>
      <w:r w:rsidRPr="004B14F3">
        <w:rPr>
          <w:rFonts w:ascii="Arial" w:eastAsia="Times New Roman" w:hAnsi="Arial" w:cs="Arial"/>
          <w:sz w:val="20"/>
          <w:szCs w:val="20"/>
        </w:rPr>
        <w:t xml:space="preserve">, </w:t>
      </w:r>
      <w:proofErr w:type="spellStart"/>
      <w:r w:rsidRPr="004B14F3">
        <w:rPr>
          <w:rFonts w:ascii="Arial" w:eastAsia="Times New Roman" w:hAnsi="Arial" w:cs="Arial"/>
          <w:i/>
          <w:iCs/>
          <w:sz w:val="20"/>
          <w:szCs w:val="20"/>
        </w:rPr>
        <w:t>Parambassis</w:t>
      </w:r>
      <w:proofErr w:type="spellEnd"/>
      <w:r w:rsidRPr="004B14F3">
        <w:rPr>
          <w:rFonts w:ascii="Arial" w:eastAsia="Times New Roman" w:hAnsi="Arial" w:cs="Arial"/>
          <w:i/>
          <w:iCs/>
          <w:sz w:val="20"/>
          <w:szCs w:val="20"/>
        </w:rPr>
        <w:t xml:space="preserve"> </w:t>
      </w:r>
      <w:proofErr w:type="spellStart"/>
      <w:r w:rsidRPr="004B14F3">
        <w:rPr>
          <w:rFonts w:ascii="Arial" w:eastAsia="Times New Roman" w:hAnsi="Arial" w:cs="Arial"/>
          <w:i/>
          <w:iCs/>
          <w:sz w:val="20"/>
          <w:szCs w:val="20"/>
        </w:rPr>
        <w:t>ranga</w:t>
      </w:r>
      <w:proofErr w:type="spellEnd"/>
    </w:p>
    <w:p w14:paraId="40D15DCC" w14:textId="77777777" w:rsidR="00566F58" w:rsidRPr="004B14F3" w:rsidRDefault="00566F58" w:rsidP="00075BD9">
      <w:pPr>
        <w:spacing w:after="0" w:line="480" w:lineRule="auto"/>
        <w:rPr>
          <w:rFonts w:ascii="Arial" w:eastAsia="Times New Roman" w:hAnsi="Arial" w:cs="Arial"/>
          <w:b/>
          <w:bCs/>
          <w:sz w:val="20"/>
          <w:szCs w:val="20"/>
        </w:rPr>
      </w:pPr>
    </w:p>
    <w:p w14:paraId="3B0833D3" w14:textId="77777777" w:rsidR="009512C9" w:rsidRPr="004B14F3" w:rsidRDefault="009512C9" w:rsidP="00075BD9">
      <w:pPr>
        <w:spacing w:after="0" w:line="480" w:lineRule="auto"/>
        <w:rPr>
          <w:rFonts w:ascii="Arial" w:eastAsia="Times New Roman" w:hAnsi="Arial" w:cs="Arial"/>
          <w:b/>
          <w:bCs/>
          <w:sz w:val="20"/>
          <w:szCs w:val="20"/>
        </w:rPr>
      </w:pPr>
    </w:p>
    <w:p w14:paraId="44B901E4" w14:textId="77777777" w:rsidR="00BE321E" w:rsidRPr="004B14F3" w:rsidRDefault="00BE321E" w:rsidP="00075BD9">
      <w:pPr>
        <w:spacing w:after="0" w:line="480" w:lineRule="auto"/>
        <w:rPr>
          <w:rFonts w:ascii="Arial" w:eastAsia="Times New Roman" w:hAnsi="Arial" w:cs="Arial"/>
          <w:b/>
          <w:bCs/>
          <w:sz w:val="20"/>
          <w:szCs w:val="20"/>
        </w:rPr>
      </w:pPr>
    </w:p>
    <w:p w14:paraId="088A5250" w14:textId="77777777" w:rsidR="00104CB0" w:rsidRPr="004B14F3" w:rsidRDefault="00330EDC" w:rsidP="00075BD9">
      <w:pPr>
        <w:spacing w:after="0" w:line="480" w:lineRule="auto"/>
        <w:rPr>
          <w:rFonts w:ascii="Arial" w:eastAsia="Times New Roman" w:hAnsi="Arial" w:cs="Arial"/>
          <w:b/>
          <w:bCs/>
        </w:rPr>
      </w:pPr>
      <w:r w:rsidRPr="004B14F3">
        <w:rPr>
          <w:rFonts w:ascii="Arial" w:eastAsia="Times New Roman" w:hAnsi="Arial" w:cs="Arial"/>
          <w:b/>
          <w:bCs/>
        </w:rPr>
        <w:t xml:space="preserve">1. </w:t>
      </w:r>
      <w:r w:rsidR="00104CB0" w:rsidRPr="004B14F3">
        <w:rPr>
          <w:rFonts w:ascii="Arial" w:eastAsia="Times New Roman" w:hAnsi="Arial" w:cs="Arial"/>
          <w:b/>
          <w:bCs/>
        </w:rPr>
        <w:t xml:space="preserve">Introduction: </w:t>
      </w:r>
    </w:p>
    <w:p w14:paraId="3D84694E" w14:textId="77777777" w:rsidR="00BE321E" w:rsidRPr="004B14F3" w:rsidRDefault="00104CB0" w:rsidP="00075BD9">
      <w:pPr>
        <w:spacing w:before="100" w:beforeAutospacing="1" w:after="100" w:afterAutospacing="1" w:line="480" w:lineRule="auto"/>
        <w:ind w:firstLine="720"/>
        <w:jc w:val="both"/>
        <w:rPr>
          <w:rFonts w:ascii="Arial" w:eastAsia="Times New Roman" w:hAnsi="Arial" w:cs="Arial"/>
          <w:sz w:val="20"/>
          <w:szCs w:val="20"/>
        </w:rPr>
      </w:pPr>
      <w:r w:rsidRPr="004B14F3">
        <w:rPr>
          <w:rFonts w:ascii="Arial" w:eastAsia="Times New Roman" w:hAnsi="Arial" w:cs="Arial"/>
          <w:sz w:val="20"/>
          <w:szCs w:val="20"/>
        </w:rPr>
        <w:t xml:space="preserve">DNA barcoding </w:t>
      </w:r>
      <w:r w:rsidR="00566F58" w:rsidRPr="004B14F3">
        <w:rPr>
          <w:rFonts w:ascii="Arial" w:eastAsia="Times New Roman" w:hAnsi="Arial" w:cs="Arial"/>
          <w:sz w:val="20"/>
          <w:szCs w:val="20"/>
        </w:rPr>
        <w:t>is</w:t>
      </w:r>
      <w:r w:rsidRPr="004B14F3">
        <w:rPr>
          <w:rFonts w:ascii="Arial" w:eastAsia="Times New Roman" w:hAnsi="Arial" w:cs="Arial"/>
          <w:sz w:val="20"/>
          <w:szCs w:val="20"/>
        </w:rPr>
        <w:t xml:space="preserve"> one of the most widely applied molecular tools for taxonomic research, facilitating reliable identification and discovery of species across diverse biological groups </w:t>
      </w:r>
      <w:r w:rsidR="00163CDE" w:rsidRPr="004B14F3">
        <w:rPr>
          <w:rFonts w:ascii="Arial" w:eastAsia="Times New Roman" w:hAnsi="Arial" w:cs="Arial"/>
          <w:sz w:val="20"/>
          <w:szCs w:val="20"/>
        </w:rPr>
        <w:fldChar w:fldCharType="begin"/>
      </w:r>
      <w:r w:rsidRPr="004B14F3">
        <w:rPr>
          <w:rFonts w:ascii="Arial" w:eastAsia="Times New Roman" w:hAnsi="Arial" w:cs="Arial"/>
          <w:sz w:val="20"/>
          <w:szCs w:val="20"/>
        </w:rPr>
        <w:instrText xml:space="preserve"> ADDIN ZOTERO_ITEM CSL_CITATION {"citationID":"kg2Mvbkx","properties":{"formattedCitation":"(Hajibabaei et al., 2007; Stein et al., 2014)","plainCitation":"(Hajibabaei et al., 2007; Stein et al., 2014)","noteIndex":0},"citationItems":[{"id":553,"uris":["http://zotero.org/users/9826054/items/INTTV4BG"],"itemData":{"id":553,"type":"article-journal","container-title":"TRENDS in Genetics","issue":"4","note":"publisher: Elsevier","page":"167–172","source":"Google Scholar","title":"DNA barcoding: how it complements taxonomy, molecular phylogenetics and population genetics","title-short":"DNA barcoding","URL":"https://www.cell.com/trends/genetics/fulltext/S0168-9525(07)00036-4","volume":"23","author":[{"family":"Hajibabaei","given":"Mehrdad"},{"family":"Singer","given":"Gregory AC"},{"family":"Hebert","given":"Paul DN"},{"family":"Hickey","given":"Donal A."}],"accessed":{"date-parts":[["2024",3,13]]},"issued":{"date-parts":[["2007"]]}}},{"id":581,"uris":["http://zotero.org/users/9826054/items/MPZS3TH9"],"itemData":{"id":581,"type":"article-journal","container-title":"PloS one","issue":"4","note":"publisher: Public Library of Science San Francisco, USA","page":"e95525","source":"Google Scholar","title":"Is DNA barcoding actually cheaper and faster than traditional morphological methods: results from a survey of freshwater bioassessment efforts in the United States?","title-short":"Is DNA barcoding actually cheaper and faster than traditional morphological methods","URL":"https://journals.plos.org/plosone/article?id=10.1371/journal.pone.0095525","volume":"9","author":[{"family":"Stein","given":"Eric D."},{"family":"Martinez","given":"Maria C."},{"family":"Stiles","given":"Sara"},{"family":"Miller","given":"Peter E."},{"family":"Zakharov","given":"Evgeny V."}],"accessed":{"date-parts":[["2024",3,13]]},"issued":{"date-parts":[["2014"]]}}}],"schema":"https://github.com/citation-style-language/schema/raw/master/csl-citation.json"} </w:instrText>
      </w:r>
      <w:r w:rsidR="00163CDE" w:rsidRPr="004B14F3">
        <w:rPr>
          <w:rFonts w:ascii="Arial" w:eastAsia="Times New Roman" w:hAnsi="Arial" w:cs="Arial"/>
          <w:sz w:val="20"/>
          <w:szCs w:val="20"/>
        </w:rPr>
        <w:fldChar w:fldCharType="separate"/>
      </w:r>
      <w:r w:rsidRPr="004B14F3">
        <w:rPr>
          <w:rFonts w:ascii="Arial" w:hAnsi="Arial" w:cs="Arial"/>
          <w:sz w:val="20"/>
          <w:szCs w:val="20"/>
        </w:rPr>
        <w:t xml:space="preserve">(Hajibabaei et </w:t>
      </w:r>
      <w:r w:rsidRPr="004B14F3">
        <w:rPr>
          <w:rFonts w:ascii="Arial" w:hAnsi="Arial" w:cs="Arial"/>
          <w:sz w:val="20"/>
          <w:szCs w:val="20"/>
        </w:rPr>
        <w:lastRenderedPageBreak/>
        <w:t>al., 2007; Stein et al., 2014)</w:t>
      </w:r>
      <w:r w:rsidR="00163CDE" w:rsidRPr="004B14F3">
        <w:rPr>
          <w:rFonts w:ascii="Arial" w:eastAsia="Times New Roman" w:hAnsi="Arial" w:cs="Arial"/>
          <w:sz w:val="20"/>
          <w:szCs w:val="20"/>
        </w:rPr>
        <w:fldChar w:fldCharType="end"/>
      </w:r>
      <w:r w:rsidRPr="004B14F3">
        <w:rPr>
          <w:rFonts w:ascii="Arial" w:eastAsia="Times New Roman" w:hAnsi="Arial" w:cs="Arial"/>
          <w:sz w:val="20"/>
          <w:szCs w:val="20"/>
        </w:rPr>
        <w:t xml:space="preserve">. Within a decade, the approach has been adopted in more than a thousand projects worldwide, underscoring its rapid acceptance and utility. Its effectiveness has been demonstrated in numerous animal taxa, encompassing both invertebrates and vertebrates </w:t>
      </w:r>
      <w:r w:rsidR="00163CDE" w:rsidRPr="004B14F3">
        <w:rPr>
          <w:rFonts w:ascii="Arial" w:eastAsia="Times New Roman" w:hAnsi="Arial" w:cs="Arial"/>
          <w:sz w:val="20"/>
          <w:szCs w:val="20"/>
        </w:rPr>
        <w:fldChar w:fldCharType="begin"/>
      </w:r>
      <w:r w:rsidRPr="004B14F3">
        <w:rPr>
          <w:rFonts w:ascii="Arial" w:eastAsia="Times New Roman" w:hAnsi="Arial" w:cs="Arial"/>
          <w:sz w:val="20"/>
          <w:szCs w:val="20"/>
        </w:rPr>
        <w:instrText xml:space="preserve"> ADDIN ZOTERO_ITEM CSL_CITATION {"citationID":"kCgKIaaP","properties":{"formattedCitation":"(Hebert et al., 2004; Huemer et al., 2014)","plainCitation":"(Hebert et al., 2004; Huemer et al., 2014)","noteIndex":0},"citationItems":[{"id":555,"uris":["http://zotero.org/users/9826054/items/DMVDG2PN"],"itemData":{"id":555,"type":"article-journal","container-title":"PLoS biology","issue":"10","note":"publisher: Public Library of Science San Francisco, USA","page":"e312","source":"Google Scholar","title":"Identification of birds through DNA barcodes","URL":"https://journals.plos.org/plosbiology/article?id=10.1371/journal.pbio.0020312","volume":"2","author":[{"family":"Hebert","given":"Paul D. N."},{"family":"Stoeckle","given":"Mark Y."},{"family":"Zemlak","given":"Tyler S."},{"family":"Francis","given":"Charles M."}],"accessed":{"date-parts":[["2024",3,13]]},"issued":{"date-parts":[["2004"]]}}},{"id":556,"uris":["http://zotero.org/users/9826054/items/3AF9F3Q9"],"itemData":{"id":556,"type":"article-journal","container-title":"Plos one","issue":"12","note":"publisher: Public Library of Science San Francisco, USA","page":"e115774","source":"Google Scholar","title":"Testing DNA barcode performance in 1000 species of European Lepidoptera: large geographic distances have small genetic impacts","title-short":"Testing DNA barcode performance in 1000 species of European Lepidoptera","URL":"https://journals.plos.org/plosone/article?id=10.1371/journal.pone.0115774","volume":"9","author":[{"family":"Huemer","given":"Peter"},{"family":"Mutanen","given":"Marko"},{"family":"Sefc","given":"Kristina M."},{"family":"Hebert","given":"Paul DN"}],"accessed":{"date-parts":[["2024",3,13]]},"issued":{"date-parts":[["2014"]]}}}],"schema":"https://github.com/citation-style-language/schema/raw/master/csl-citation.json"} </w:instrText>
      </w:r>
      <w:r w:rsidR="00163CDE" w:rsidRPr="004B14F3">
        <w:rPr>
          <w:rFonts w:ascii="Arial" w:eastAsia="Times New Roman" w:hAnsi="Arial" w:cs="Arial"/>
          <w:sz w:val="20"/>
          <w:szCs w:val="20"/>
        </w:rPr>
        <w:fldChar w:fldCharType="separate"/>
      </w:r>
      <w:r w:rsidRPr="004B14F3">
        <w:rPr>
          <w:rFonts w:ascii="Arial" w:hAnsi="Arial" w:cs="Arial"/>
          <w:sz w:val="20"/>
          <w:szCs w:val="20"/>
        </w:rPr>
        <w:t>(Hebert et al., 2004; Huemer et al., 2014)</w:t>
      </w:r>
      <w:r w:rsidR="00163CDE" w:rsidRPr="004B14F3">
        <w:rPr>
          <w:rFonts w:ascii="Arial" w:eastAsia="Times New Roman" w:hAnsi="Arial" w:cs="Arial"/>
          <w:sz w:val="20"/>
          <w:szCs w:val="20"/>
        </w:rPr>
        <w:fldChar w:fldCharType="end"/>
      </w:r>
      <w:r w:rsidRPr="004B14F3">
        <w:rPr>
          <w:rFonts w:ascii="Arial" w:eastAsia="Times New Roman" w:hAnsi="Arial" w:cs="Arial"/>
          <w:sz w:val="20"/>
          <w:szCs w:val="20"/>
        </w:rPr>
        <w:t xml:space="preserve">. Among these, fishes represent one of the most extensively studied groups. DNA barcoding has significantly advanced ichthyofaunal surveys in both marine and freshwater systems across India, enabling the resolution of cryptic species complexes and revealing previously unrecognized diversity </w:t>
      </w:r>
      <w:r w:rsidR="00163CDE" w:rsidRPr="004B14F3">
        <w:rPr>
          <w:rFonts w:ascii="Arial" w:eastAsia="Times New Roman" w:hAnsi="Arial" w:cs="Arial"/>
          <w:sz w:val="20"/>
          <w:szCs w:val="20"/>
        </w:rPr>
        <w:fldChar w:fldCharType="begin"/>
      </w:r>
      <w:r w:rsidRPr="004B14F3">
        <w:rPr>
          <w:rFonts w:ascii="Arial" w:eastAsia="Times New Roman" w:hAnsi="Arial" w:cs="Arial"/>
          <w:sz w:val="20"/>
          <w:szCs w:val="20"/>
        </w:rPr>
        <w:instrText xml:space="preserve"> ADDIN ZOTERO_ITEM CSL_CITATION {"citationID":"Zeo5MwFJ","properties":{"formattedCitation":"(Samulski et al., 1991; M. Chakraborty &amp; Ghosh, 2014; C. Chakraborty et al., 2016)","plainCitation":"(Samulski et al., 1991; M. Chakraborty &amp; Ghosh, 2014; C. Chakraborty et al., 2016)","noteIndex":0},"citationItems":[{"id":577,"uris":["http://zotero.org/users/9826054/items/6BQ32VK2"],"itemData":{"id":577,"type":"article-journal","container-title":"The EMBO Journal","DOI":"10.1002/j.1460-2075.1991.tb04964.x","ISSN":"02614189","issue":"12","journalAbbreviation":"The EMBO Journal","language":"en","page":"3941-3950","source":"DOI.org (Crossref)","title":"Targeted integration of adeno-associated virus (AAV) into human chromosome 19.","URL":"https://onlinelibrary.wiley.com/doi/10.1002/j.1460-2075.1991.tb04964.x","volume":"10","author":[{"family":"Samulski","given":"R.J."},{"family":"Zhu","given":"X."},{"family":"Xiao","given":"X."},{"family":"Brook","given":"J.D."},{"family":"Housman","given":"D.E."},{"family":"Epstein","given":"N."},{"family":"Hunter","given":"L.A."}],"accessed":{"date-parts":[["2024",3,13]]},"issued":{"date-parts":[["1991",12]]}}},{"id":1159,"uris":["http://zotero.org/users/9826054/items/CPDUQ2FN"],"itemData":{"id":1159,"type":"article-journal","container-title":"Gene","issue":"1","note":"publisher: Elsevier","page":"20–28","source":"Google Scholar","title":"An assessment of the DNA barcodes of Indian freshwater fishes","URL":"https://www.sciencedirect.com/science/article/pii/S0378111913017241","volume":"537","author":[{"family":"Chakraborty","given":"Mohua"},{"family":"Ghosh","given":"Sankar Kumar"}],"accessed":{"date-parts":[["2025",5,27]]},"issued":{"date-parts":[["2014"]]}}},{"id":143,"uris":["http://zotero.org/users/9826054/items/GNY89WMD"],"itemData":{"id":143,"type":"article-journal","abstract":"Presently, nanotechnology is a multi-trillion dollar business sector that covers a wide range of industries, such as medicine, electronics and chemistry. In the current era, the commercial transition of nanotechnology from research level to industrial level is stimulating the world’s total economic growth. However, commercialization of nanoparti</w:instrText>
      </w:r>
      <w:r w:rsidRPr="004B14F3">
        <w:rPr>
          <w:rFonts w:ascii="Times New Roman" w:eastAsia="Times New Roman" w:hAnsi="Times New Roman" w:cs="Arial"/>
          <w:sz w:val="20"/>
          <w:szCs w:val="20"/>
        </w:rPr>
        <w:instrText>‑</w:instrText>
      </w:r>
      <w:r w:rsidRPr="004B14F3">
        <w:rPr>
          <w:rFonts w:ascii="Arial" w:eastAsia="Times New Roman" w:hAnsi="Arial" w:cs="Arial"/>
          <w:sz w:val="20"/>
          <w:szCs w:val="20"/>
        </w:rPr>
        <w:instrText>cles might offer possible risks once they are liberated in the environment. In recent years, the use of zebrafish (Danio rerio) as an established animal model system for nanoparticle toxicity assay is growing exponentially. In the cur</w:instrText>
      </w:r>
      <w:r w:rsidRPr="004B14F3">
        <w:rPr>
          <w:rFonts w:ascii="Times New Roman" w:eastAsia="Times New Roman" w:hAnsi="Times New Roman" w:cs="Arial"/>
          <w:sz w:val="20"/>
          <w:szCs w:val="20"/>
        </w:rPr>
        <w:instrText>‑</w:instrText>
      </w:r>
      <w:r w:rsidRPr="004B14F3">
        <w:rPr>
          <w:rFonts w:ascii="Arial" w:eastAsia="Times New Roman" w:hAnsi="Arial" w:cs="Arial"/>
          <w:sz w:val="20"/>
          <w:szCs w:val="20"/>
        </w:rPr>
        <w:instrText>rent in-depth review, we discuss the recent research approaches employing adult zebrafish and their embryos for nanoparticle toxicity assessment. Different types of parameters are being discussed here which are used to evaluate nanoparticle toxicity such as hatching achievement rate, developmental malformation of organs, damage in gill and skin, abnormal behavior (movement impairment), immunotoxicity, genotoxicity or gene expression, neurotoxicity, endocrine system disruption, reproduction toxicity and finally mortality. Furthermore, we have also highlighted the toxic effect of different nanoparticles such as silver nanoparticle, gold nanoparticle, and metal oxide nanoparticles (TiO2, Al2O3, CuO, NiO and ZnO). At the end, future directions of zebrafish model and relevant assays to study nano</w:instrText>
      </w:r>
      <w:r w:rsidRPr="004B14F3">
        <w:rPr>
          <w:rFonts w:ascii="Times New Roman" w:eastAsia="Times New Roman" w:hAnsi="Times New Roman" w:cs="Arial"/>
          <w:sz w:val="20"/>
          <w:szCs w:val="20"/>
        </w:rPr>
        <w:instrText>‑</w:instrText>
      </w:r>
      <w:r w:rsidRPr="004B14F3">
        <w:rPr>
          <w:rFonts w:ascii="Arial" w:eastAsia="Times New Roman" w:hAnsi="Arial" w:cs="Arial"/>
          <w:sz w:val="20"/>
          <w:szCs w:val="20"/>
        </w:rPr>
        <w:instrText xml:space="preserve">particle toxicity have also been argued.","container-title":"Journal of Nanobiotechnology","DOI":"10.1186/s12951-016-0217-6","ISSN":"1477-3155","issue":"1","journalAbbreviation":"J Nanobiotechnol","language":"en","page":"65","source":"DOI.org (Crossref)","title":"Zebrafish: A complete animal model to enumerate the nanoparticle toxicity","title-short":"Zebrafish","URL":"http://jnanobiotechnology.biomedcentral.com/articles/10.1186/s12951-016-0217-6","volume":"14","author":[{"family":"Chakraborty","given":"Chiranjib"},{"family":"Sharma","given":"Ashish Ranjan"},{"family":"Sharma","given":"Garima"},{"family":"Lee","given":"Sang-Soo"}],"accessed":{"date-parts":[["2023",4,15]]},"issued":{"date-parts":[["2016",12]]}}}],"schema":"https://github.com/citation-style-language/schema/raw/master/csl-citation.json"} </w:instrText>
      </w:r>
      <w:r w:rsidR="00163CDE" w:rsidRPr="004B14F3">
        <w:rPr>
          <w:rFonts w:ascii="Arial" w:eastAsia="Times New Roman" w:hAnsi="Arial" w:cs="Arial"/>
          <w:sz w:val="20"/>
          <w:szCs w:val="20"/>
        </w:rPr>
        <w:fldChar w:fldCharType="separate"/>
      </w:r>
      <w:r w:rsidRPr="004B14F3">
        <w:rPr>
          <w:rFonts w:ascii="Arial" w:hAnsi="Arial" w:cs="Arial"/>
          <w:sz w:val="20"/>
          <w:szCs w:val="20"/>
        </w:rPr>
        <w:t>(Samulski</w:t>
      </w:r>
      <w:r w:rsidR="00716572" w:rsidRPr="004B14F3">
        <w:rPr>
          <w:rFonts w:ascii="Arial" w:hAnsi="Arial" w:cs="Arial"/>
          <w:sz w:val="20"/>
          <w:szCs w:val="20"/>
        </w:rPr>
        <w:t xml:space="preserve"> et al., 1991; </w:t>
      </w:r>
      <w:r w:rsidRPr="004B14F3">
        <w:rPr>
          <w:rFonts w:ascii="Arial" w:hAnsi="Arial" w:cs="Arial"/>
          <w:sz w:val="20"/>
          <w:szCs w:val="20"/>
        </w:rPr>
        <w:t>Chakraborty et al., 2016)</w:t>
      </w:r>
      <w:r w:rsidR="00163CDE" w:rsidRPr="004B14F3">
        <w:rPr>
          <w:rFonts w:ascii="Arial" w:eastAsia="Times New Roman" w:hAnsi="Arial" w:cs="Arial"/>
          <w:sz w:val="20"/>
          <w:szCs w:val="20"/>
        </w:rPr>
        <w:fldChar w:fldCharType="end"/>
      </w:r>
      <w:r w:rsidRPr="004B14F3">
        <w:rPr>
          <w:rFonts w:ascii="Arial" w:eastAsia="Times New Roman" w:hAnsi="Arial" w:cs="Arial"/>
          <w:sz w:val="20"/>
          <w:szCs w:val="20"/>
        </w:rPr>
        <w:t>.</w:t>
      </w:r>
      <w:r w:rsidR="00BE321E" w:rsidRPr="004B14F3">
        <w:rPr>
          <w:rFonts w:ascii="Arial" w:eastAsia="Times New Roman" w:hAnsi="Arial" w:cs="Arial"/>
          <w:sz w:val="20"/>
          <w:szCs w:val="20"/>
        </w:rPr>
        <w:t xml:space="preserve"> </w:t>
      </w:r>
      <w:r w:rsidRPr="004B14F3">
        <w:rPr>
          <w:rFonts w:ascii="Arial" w:eastAsia="Times New Roman" w:hAnsi="Arial" w:cs="Arial"/>
          <w:sz w:val="20"/>
          <w:szCs w:val="20"/>
        </w:rPr>
        <w:t xml:space="preserve">Assessment of fish diversity and genetic variation is fundamental for effective fisheries development and management </w:t>
      </w:r>
      <w:r w:rsidR="00163CDE" w:rsidRPr="004B14F3">
        <w:rPr>
          <w:rFonts w:ascii="Arial" w:eastAsia="Times New Roman" w:hAnsi="Arial" w:cs="Arial"/>
          <w:sz w:val="20"/>
          <w:szCs w:val="20"/>
        </w:rPr>
        <w:fldChar w:fldCharType="begin"/>
      </w:r>
      <w:r w:rsidRPr="004B14F3">
        <w:rPr>
          <w:rFonts w:ascii="Arial" w:eastAsia="Times New Roman" w:hAnsi="Arial" w:cs="Arial"/>
          <w:sz w:val="20"/>
          <w:szCs w:val="20"/>
        </w:rPr>
        <w:instrText xml:space="preserve"> ADDIN ZOTERO_ITEM CSL_CITATION {"citationID":"fnKN8YSo","properties":{"formattedCitation":"(Panprommin et al., 2019)","plainCitation":"(Panprommin et al., 2019)","noteIndex":0},"citationItems":[{"id":621,"uris":["http://zotero.org/users/9826054/items/PQ6HP5GH"],"itemData":{"id":621,"type":"article-journal","container-title":"Journal of Asia-Pacific Biodiversity","issue":"3","note":"publisher: Elsevier","page":"382–389","source":"Google Scholar","title":"DNA barcodes for the identification of species diversity in fish from Kwan Phayao, Thailand","URL":"https://www.sciencedirect.com/science/article/pii/S2287884X18304047","volume":"12","author":[{"family":"Panprommin","given":"Dutrudi"},{"family":"Soontornprasit","given":"Kanyanat"},{"family":"Tuncharoen","given":"Siriluck"},{"family":"Pithakpol","given":"Santiwat"},{"family":"Keereelang","given":"Julatat"}],"accessed":{"date-parts":[["2024",3,25]]},"issued":{"date-parts":[["2019"]]}}}],"schema":"https://github.com/citation-style-language/schema/raw/master/csl-citation.json"} </w:instrText>
      </w:r>
      <w:r w:rsidR="00163CDE" w:rsidRPr="004B14F3">
        <w:rPr>
          <w:rFonts w:ascii="Arial" w:eastAsia="Times New Roman" w:hAnsi="Arial" w:cs="Arial"/>
          <w:sz w:val="20"/>
          <w:szCs w:val="20"/>
        </w:rPr>
        <w:fldChar w:fldCharType="separate"/>
      </w:r>
      <w:r w:rsidRPr="004B14F3">
        <w:rPr>
          <w:rFonts w:ascii="Arial" w:hAnsi="Arial" w:cs="Arial"/>
          <w:sz w:val="20"/>
          <w:szCs w:val="20"/>
        </w:rPr>
        <w:t>(Panprommin et al., 2019)</w:t>
      </w:r>
      <w:r w:rsidR="00163CDE" w:rsidRPr="004B14F3">
        <w:rPr>
          <w:rFonts w:ascii="Arial" w:eastAsia="Times New Roman" w:hAnsi="Arial" w:cs="Arial"/>
          <w:sz w:val="20"/>
          <w:szCs w:val="20"/>
        </w:rPr>
        <w:fldChar w:fldCharType="end"/>
      </w:r>
      <w:r w:rsidRPr="004B14F3">
        <w:rPr>
          <w:rFonts w:ascii="Arial" w:eastAsia="Times New Roman" w:hAnsi="Arial" w:cs="Arial"/>
          <w:sz w:val="20"/>
          <w:szCs w:val="20"/>
        </w:rPr>
        <w:t xml:space="preserve">.  </w:t>
      </w:r>
    </w:p>
    <w:p w14:paraId="1BC8AF8D" w14:textId="77777777" w:rsidR="00E33BF7" w:rsidRPr="004B14F3" w:rsidRDefault="00000000">
      <w:r w:rsidRPr="004B14F3">
        <w:t>In fish systematics, the mitochondrial cytochrome c oxidase subunit I (COI) region is particularly useful because it provides a standardized sequence for comparing specimens with reference libraries while remaining sufficiently conservative for broad amplification across taxa. Its value for species-level identification has been demonstrated in foundational animal-barcoding work and in large fish-barcoding datasets, where most species formed recognizable sequence clusters (Hebert et al., 2003; Ward et al., 2005; Lakra et al., 2016).</w:t>
      </w:r>
    </w:p>
    <w:p w14:paraId="7D03825F" w14:textId="77777777" w:rsidR="00104CB0" w:rsidRPr="004B14F3" w:rsidRDefault="00104CB0" w:rsidP="00075BD9">
      <w:pPr>
        <w:spacing w:before="100" w:beforeAutospacing="1" w:after="100" w:afterAutospacing="1" w:line="480" w:lineRule="auto"/>
        <w:ind w:firstLine="720"/>
        <w:jc w:val="both"/>
        <w:rPr>
          <w:rFonts w:ascii="Arial" w:eastAsia="Times New Roman" w:hAnsi="Arial" w:cs="Arial"/>
          <w:sz w:val="20"/>
          <w:szCs w:val="20"/>
        </w:rPr>
      </w:pPr>
      <w:r w:rsidRPr="004B14F3">
        <w:rPr>
          <w:rFonts w:ascii="Arial" w:eastAsia="Times New Roman" w:hAnsi="Arial" w:cs="Arial"/>
          <w:sz w:val="20"/>
          <w:szCs w:val="20"/>
        </w:rPr>
        <w:t>Traditionally, species identification has relied on morphological and meristic traits such as fin ray counts and scale numbers. However, these characters often overlap among species, making accurate identification challenging</w:t>
      </w:r>
      <w:r w:rsidR="005C0596" w:rsidRPr="004B14F3">
        <w:rPr>
          <w:rFonts w:ascii="Arial" w:eastAsia="Times New Roman" w:hAnsi="Arial" w:cs="Arial"/>
          <w:sz w:val="20"/>
          <w:szCs w:val="20"/>
        </w:rPr>
        <w:t xml:space="preserve"> </w:t>
      </w:r>
      <w:r w:rsidR="00163CDE" w:rsidRPr="004B14F3">
        <w:rPr>
          <w:rFonts w:ascii="Arial" w:eastAsia="Times New Roman" w:hAnsi="Arial" w:cs="Arial"/>
          <w:sz w:val="20"/>
          <w:szCs w:val="20"/>
        </w:rPr>
        <w:fldChar w:fldCharType="begin"/>
      </w:r>
      <w:r w:rsidRPr="004B14F3">
        <w:rPr>
          <w:rFonts w:ascii="Arial" w:eastAsia="Times New Roman" w:hAnsi="Arial" w:cs="Arial"/>
          <w:sz w:val="20"/>
          <w:szCs w:val="20"/>
        </w:rPr>
        <w:instrText xml:space="preserve"> ADDIN ZOTERO_ITEM CSL_CITATION {"citationID":"UAhYVZlh","properties":{"formattedCitation":"(Ward, 2009; Bingpeng et al., 2018)","plainCitation":"(Ward, 2009; Bingpeng et al., 2018)","noteIndex":0},"citationItems":[{"id":1494,"uris":["http://zotero.org/users/9826054/items/NX3MUWHD"],"itemData":{"id":1494,"type":"article-journal","abstract":"Abstract\n            COI DNA barcoding is increasingly recognized as a significant new tool for the recognition and identification of animal species. Here, publicly available barcode data are compiled and analysed for birds (657 species) and fishes (1088 species). The proportion of species that cannot be barcode</w:instrText>
      </w:r>
      <w:r w:rsidRPr="004B14F3">
        <w:rPr>
          <w:rFonts w:ascii="Times New Roman" w:eastAsia="Times New Roman" w:hAnsi="Times New Roman" w:cs="Arial"/>
          <w:sz w:val="20"/>
          <w:szCs w:val="20"/>
        </w:rPr>
        <w:instrText>‐</w:instrText>
      </w:r>
      <w:r w:rsidRPr="004B14F3">
        <w:rPr>
          <w:rFonts w:ascii="Arial" w:eastAsia="Times New Roman" w:hAnsi="Arial" w:cs="Arial"/>
          <w:sz w:val="20"/>
          <w:szCs w:val="20"/>
        </w:rPr>
        <w:instrText>distinguished by this marker is approximately 6.4% for birds and 2.1–2.5% for fishes. At all hierarchical taxonomic levels (species, genera, family, order, class), fish show greater mean COI divergence than birds. If two samples are barcode</w:instrText>
      </w:r>
      <w:r w:rsidRPr="004B14F3">
        <w:rPr>
          <w:rFonts w:ascii="Times New Roman" w:eastAsia="Times New Roman" w:hAnsi="Times New Roman" w:cs="Arial"/>
          <w:sz w:val="20"/>
          <w:szCs w:val="20"/>
        </w:rPr>
        <w:instrText>‐</w:instrText>
      </w:r>
      <w:r w:rsidRPr="004B14F3">
        <w:rPr>
          <w:rFonts w:ascii="Arial" w:eastAsia="Times New Roman" w:hAnsi="Arial" w:cs="Arial"/>
          <w:sz w:val="20"/>
          <w:szCs w:val="20"/>
        </w:rPr>
        <w:instrText>identical, then for both birds and fishes, the probability that they are from the same species is 98–99%. The probability of conspecificity rapidly drops as divergence increases. At 2% COI divergence, this probability approximates to 1% for birds and 3% for fishes. The apparent difference between birds and fishes might partially reflect currently unrecognized cryptic species complexes in the latter. These probability estimates derive from pooled samples of birds and pooled samples of fishes, and will not apply in all situations. Recently evolved species complexes will have higher proportions of species that are barcode</w:instrText>
      </w:r>
      <w:r w:rsidRPr="004B14F3">
        <w:rPr>
          <w:rFonts w:ascii="Times New Roman" w:eastAsia="Times New Roman" w:hAnsi="Times New Roman" w:cs="Arial"/>
          <w:sz w:val="20"/>
          <w:szCs w:val="20"/>
        </w:rPr>
        <w:instrText>‐</w:instrText>
      </w:r>
      <w:r w:rsidRPr="004B14F3">
        <w:rPr>
          <w:rFonts w:ascii="Arial" w:eastAsia="Times New Roman" w:hAnsi="Arial" w:cs="Arial"/>
          <w:sz w:val="20"/>
          <w:szCs w:val="20"/>
        </w:rPr>
        <w:instrText xml:space="preserve">identical. As barcode data accumulate, more refined statistical analyses will become possible.","container-title":"Molecular Ecology Resources","DOI":"10.1111/j.1755-0998.2009.02541.x","ISSN":"1755-098X, 1755-0998","issue":"4","journalAbbreviation":"Molecular Ecology Resources","language":"en","license":"http://onlinelibrary.wiley.com/termsAndConditions#vor","page":"1077-1085","source":"DOI.org (Crossref)","title":"DNA barcode divergence among species and genera of birds and fishes","URL":"https://onlinelibrary.wiley.com/doi/10.1111/j.1755-0998.2009.02541.x","volume":"9","author":[{"family":"Ward","given":"Robert D."}],"accessed":{"date-parts":[["2025",8,1]]},"issued":{"date-parts":[["2009",7]]}}},{"id":1553,"uris":["http://zotero.org/users/9826054/items/KQTCKUZS"],"itemData":{"id":1553,"type":"article-journal","container-title":"PloS one","issue":"6","note":"publisher: Public Library of Science San Francisco, CA USA","page":"e0198109","source":"Google Scholar","title":"DNA barcoding for identification of fish species in the Taiwan Strait","URL":"https://journals.plos.org/plosone/article?id=10.1371/journal.pone.0198109","volume":"13","author":[{"family":"Bingpeng","given":"Xing"},{"family":"Heshan","given":"Lin"},{"family":"Zhilan","given":"Zhang"},{"family":"Chunguang","given":"Wang"},{"family":"Yanguo","given":"Wang"},{"family":"Jianjun","given":"Wang"}],"accessed":{"date-parts":[["2025",11,14]]},"issued":{"date-parts":[["2018"]]}}}],"schema":"https://github.com/citation-style-language/schema/raw/master/csl-citation.json"} </w:instrText>
      </w:r>
      <w:r w:rsidR="00163CDE" w:rsidRPr="004B14F3">
        <w:rPr>
          <w:rFonts w:ascii="Arial" w:eastAsia="Times New Roman" w:hAnsi="Arial" w:cs="Arial"/>
          <w:sz w:val="20"/>
          <w:szCs w:val="20"/>
        </w:rPr>
        <w:fldChar w:fldCharType="separate"/>
      </w:r>
      <w:r w:rsidRPr="004B14F3">
        <w:rPr>
          <w:rFonts w:ascii="Arial" w:hAnsi="Arial" w:cs="Arial"/>
          <w:sz w:val="20"/>
          <w:szCs w:val="20"/>
        </w:rPr>
        <w:t>(Bingpeng et al., 2018)</w:t>
      </w:r>
      <w:r w:rsidR="00163CDE" w:rsidRPr="004B14F3">
        <w:rPr>
          <w:rFonts w:ascii="Arial" w:eastAsia="Times New Roman" w:hAnsi="Arial" w:cs="Arial"/>
          <w:sz w:val="20"/>
          <w:szCs w:val="20"/>
        </w:rPr>
        <w:fldChar w:fldCharType="end"/>
      </w:r>
      <w:r w:rsidR="005C0596" w:rsidRPr="004B14F3">
        <w:rPr>
          <w:rFonts w:ascii="Arial" w:eastAsia="Times New Roman" w:hAnsi="Arial" w:cs="Arial"/>
          <w:sz w:val="20"/>
          <w:szCs w:val="20"/>
        </w:rPr>
        <w:t>. I</w:t>
      </w:r>
      <w:r w:rsidRPr="004B14F3">
        <w:rPr>
          <w:rFonts w:ascii="Arial" w:eastAsia="Times New Roman" w:hAnsi="Arial" w:cs="Arial"/>
          <w:sz w:val="20"/>
          <w:szCs w:val="20"/>
        </w:rPr>
        <w:t xml:space="preserve">n the context of molecular taxonomy, the integration of gene sequence analysis with classical morphological evaluation provides a more robust framework for species identification </w:t>
      </w:r>
      <w:r w:rsidR="00163CDE" w:rsidRPr="004B14F3">
        <w:rPr>
          <w:rFonts w:ascii="Arial" w:eastAsia="Times New Roman" w:hAnsi="Arial" w:cs="Arial"/>
          <w:sz w:val="20"/>
          <w:szCs w:val="20"/>
        </w:rPr>
        <w:fldChar w:fldCharType="begin"/>
      </w:r>
      <w:r w:rsidRPr="004B14F3">
        <w:rPr>
          <w:rFonts w:ascii="Arial" w:eastAsia="Times New Roman" w:hAnsi="Arial" w:cs="Arial"/>
          <w:sz w:val="20"/>
          <w:szCs w:val="20"/>
        </w:rPr>
        <w:instrText xml:space="preserve"> ADDIN ZOTERO_ITEM CSL_CITATION {"citationID":"vvgIaEyH","properties":{"formattedCitation":"(Aquino et al., 2011; Schoenemann et al., 2019)","plainCitation":"(Aquino et al., 2011; Schoenemann et al., 2019)","noteIndex":0},"citationItems":[{"id":936,"uris":["http://zotero.org/users/9826054/items/NQYI46FS"],"itemData":{"id":936,"type":"article-journal","container-title":"Mitochondrial DNA","DOI":"10.3109/19401736.2011.624613","ISSN":"1940-1736, 1940-1744","issue":"4","journalAbbreviation":"Mitochondrial DNA","language":"en","page":"143-153","source":"DOI.org (Crossref)","title":"DNA barcoding of fishes of Laguna de Bay, Philippines","URL":"http://www.tandfonline.com/doi/full/10.3109/19401736.2011.624613","volume":"22","author":[{"family":"Aquino","given":"Luis Miguel G."},{"family":"Tango","given":"Jazzlyn M."},{"family":"Canoy","given":"Reynand Jay C."},{"family":"Fontanilla","given":"Ian Kendrich C."},{"family":"Basiao","given":"Zubaida U."},{"family":"Ong","given":"Perry S."},{"family":"Quilang","given":"Jonas P."}],"accessed":{"date-parts":[["2025",2,6]]},"issued":{"date-parts":[["2011",8]]}}},{"id":817,"uris":["http://zotero.org/users/9826054/items/598UW535"],"itemData":{"id":817,"type":"article-journal","container-title":"Scientific reports","issue":"1","note":"publisher: Nature Publishing Group UK London","page":"17797","source":"Google Scholar","title":"Insights into the 400 million-year-old eyes of giant sea scorpions (Eurypterida) suggest the structure of Palaeozoic compound eyes","URL":"https://www.nature.com/articles/s41598-019-53590-8","volume":"9","author":[{"family":"Schoenemann","given":"Brigitte"},{"family":"Poschmann","given":"Markus"},{"family":"Clarkson","given":"Euan NK"}],"accessed":{"date-parts":[["2024",11,23]]},"issued":{"date-parts":[["2019"]]}}}],"schema":"https://github.com/citation-style-language/schema/raw/master/csl-citation.json"} </w:instrText>
      </w:r>
      <w:r w:rsidR="00163CDE" w:rsidRPr="004B14F3">
        <w:rPr>
          <w:rFonts w:ascii="Arial" w:eastAsia="Times New Roman" w:hAnsi="Arial" w:cs="Arial"/>
          <w:sz w:val="20"/>
          <w:szCs w:val="20"/>
        </w:rPr>
        <w:fldChar w:fldCharType="separate"/>
      </w:r>
      <w:r w:rsidRPr="004B14F3">
        <w:rPr>
          <w:rFonts w:ascii="Arial" w:hAnsi="Arial" w:cs="Arial"/>
          <w:sz w:val="20"/>
          <w:szCs w:val="20"/>
        </w:rPr>
        <w:t>(Schoenemann et al., 2019)</w:t>
      </w:r>
      <w:r w:rsidR="00163CDE" w:rsidRPr="004B14F3">
        <w:rPr>
          <w:rFonts w:ascii="Arial" w:eastAsia="Times New Roman" w:hAnsi="Arial" w:cs="Arial"/>
          <w:sz w:val="20"/>
          <w:szCs w:val="20"/>
        </w:rPr>
        <w:fldChar w:fldCharType="end"/>
      </w:r>
      <w:r w:rsidRPr="004B14F3">
        <w:rPr>
          <w:rFonts w:ascii="Arial" w:eastAsia="Times New Roman" w:hAnsi="Arial" w:cs="Arial"/>
          <w:sz w:val="20"/>
          <w:szCs w:val="20"/>
        </w:rPr>
        <w:t xml:space="preserve">. Molecular markers particularly mitochondrial and nuclear gene sequences are now routinely employed to support species discrimination and to assess intra-specific and inter-specific genetic diversity </w:t>
      </w:r>
      <w:r w:rsidR="00163CDE" w:rsidRPr="004B14F3">
        <w:rPr>
          <w:rFonts w:ascii="Arial" w:eastAsia="Times New Roman" w:hAnsi="Arial" w:cs="Arial"/>
          <w:sz w:val="20"/>
          <w:szCs w:val="20"/>
        </w:rPr>
        <w:fldChar w:fldCharType="begin"/>
      </w:r>
      <w:r w:rsidRPr="004B14F3">
        <w:rPr>
          <w:rFonts w:ascii="Arial" w:eastAsia="Times New Roman" w:hAnsi="Arial" w:cs="Arial"/>
          <w:sz w:val="20"/>
          <w:szCs w:val="20"/>
        </w:rPr>
        <w:instrText xml:space="preserve"> ADDIN ZOTERO_ITEM CSL_CITATION {"citationID":"1t8NqiTJ","properties":{"formattedCitation":"(Sanders et al., 1995; Gruenthal &amp; Burton, 2006)","plainCitation":"(Sanders et al., 1995; Gruenthal &amp; Burton, 2006)","noteIndex":0},"citationItems":[{"id":1557,"uris":["http://zotero.org/users/9826054/items/9NBMRH9P"],"itemData":{"id":1557,"type":"article-journal","abstract":"summary\n            \n            \n              Little information currently exists on species diversity in communities of arbuscular mycorrhizal fungi (AMF), mainly owing to difficulties in identification of field extracted spores on the basis of morphology. The possibility was explored to identify individual AMF spores from the field on the basis of a molecular marker, namely the nuclear ribosomal DNA encoding the highly conserved 5.8S rRNA with the two flanking internal transcribed spacers (ITS region), known to vary between species. A technique involving polymerase chain reaction followed by restriction fragment length polymorphism analysis (PCR–RFLP) was developed to amplify and characterize the ITS region from single AMF spores. PCR reactions with extracts from single spores of three AMF species, raised under glasshouse conditions, yielded reproducibly a single amplification product of the ITS region in sufficient amounts to allow cleavage with several restriction enzymes. The size of the ITS region,\n              c.\n              600 base pairs, varied only slightly between species. Digestion of the PCR products with the restriction enzymes\n              Hin\n              fl and\n              Taq\n              I resulted in banding patterns that were reproducible for different individual spores of a given species, but showed clear differences between the three species tested. The sum of the fragment sizes was sometimes greater than the size of the original PCR product, e.g. in\n              Glomus mosseae.\n              Clones of the amplification product from a single spore of this fungus were obtained and sequenced. This yielded two closely related but different sequences, indicating that two different ITS regions co</w:instrText>
      </w:r>
      <w:r w:rsidRPr="004B14F3">
        <w:rPr>
          <w:rFonts w:ascii="Times New Roman" w:eastAsia="Times New Roman" w:hAnsi="Times New Roman" w:cs="Arial"/>
          <w:sz w:val="20"/>
          <w:szCs w:val="20"/>
        </w:rPr>
        <w:instrText>‐</w:instrText>
      </w:r>
      <w:r w:rsidRPr="004B14F3">
        <w:rPr>
          <w:rFonts w:ascii="Arial" w:eastAsia="Times New Roman" w:hAnsi="Arial" w:cs="Arial"/>
          <w:sz w:val="20"/>
          <w:szCs w:val="20"/>
        </w:rPr>
        <w:instrText>existed in the spore. The RLFP pattern of the amplification product of the spore was a result of an amalgamation of these two sequences. The technique was applied to AMF spores collected from a species</w:instrText>
      </w:r>
      <w:r w:rsidRPr="004B14F3">
        <w:rPr>
          <w:rFonts w:ascii="Times New Roman" w:eastAsia="Times New Roman" w:hAnsi="Times New Roman" w:cs="Arial"/>
          <w:sz w:val="20"/>
          <w:szCs w:val="20"/>
        </w:rPr>
        <w:instrText>‐</w:instrText>
      </w:r>
      <w:r w:rsidRPr="004B14F3">
        <w:rPr>
          <w:rFonts w:ascii="Arial" w:eastAsia="Times New Roman" w:hAnsi="Arial" w:cs="Arial"/>
          <w:sz w:val="20"/>
          <w:szCs w:val="20"/>
        </w:rPr>
        <w:instrText xml:space="preserve">rich grassland. Spores were sorted into morphological groups on the basis of their colour, size, and shape, and then subjected to PCR–RFLP analysis. In some morphological groups, a large percentage of spores failed to yield an amplification product, probably because they had lost their contents. A group of\n              Glomus\n              spores yielding amplification products in the majority of cases was further investigated: PCR RFLP analysis on 10 individual spores from the field produced 10 different patterns. Similar results were obtained with other groups of spores. The results suggest that the diversity in natural AMF communities and the genetic diversity within individual spores might he much greater than previously thought.","container-title":"New Phytologist","DOI":"10.1111/j.1469-8137.1995.tb01836.x","ISSN":"0028-646X, 1469-8137","issue":"3","journalAbbreviation":"New Phytologist","language":"en","license":"http://onlinelibrary.wiley.com/termsAndConditions#vor","page":"419-427","source":"DOI.org (Crossref)","title":"Identification of ribosomal DNA polymorphisms among and within spores of the Glomales: application to studies on the genetic diversity of arbuscular mycorrhizal fungal communities","title-short":"Identification of ribosomal DNA polymorphisms among and within spores of the Glomales","URL":"https://nph.onlinelibrary.wiley.com/doi/10.1111/j.1469-8137.1995.tb01836.x","volume":"130","author":[{"family":"Sanders","given":"Ian R."},{"family":"Alt","given":"Monica"},{"family":"Groppe","given":"Kathleen"},{"family":"Boller","given":"Thomas"},{"family":"Wiemken","given":"Andres"}],"accessed":{"date-parts":[["2025",11,14]]},"issued":{"date-parts":[["1995",7]]}}},{"id":1562,"uris":["http://zotero.org/users/9826054/items/DZSTLJKQ"],"itemData":{"id":1562,"type":"article-journal","container-title":"Conservation Genetics","DOI":"10.1007/s10592-005-9079-4","ISSN":"1566-0621, 1572-9737","issue":"6","journalAbbreviation":"Conserv Genet","language":"en","license":"http://www.springer.com/tdm","page":"929-939","source":"DOI.org (Crossref)","title":"Genetic diversity and species identification in the endangered white abalone (Haliotis sorenseni)","URL":"http://link.springer.com/10.1007/s10592-005-9079-4","volume":"6","author":[{"family":"Gruenthal","given":"K.M."},{"family":"Burton","given":"R.S."}],"accessed":{"date-parts":[["2025",11,14]]},"issued":{"date-parts":[["2006",2,20]]}}}],"schema":"https://github.com/citation-style-language/schema/raw/master/csl-citation.json"} </w:instrText>
      </w:r>
      <w:r w:rsidR="00163CDE" w:rsidRPr="004B14F3">
        <w:rPr>
          <w:rFonts w:ascii="Arial" w:eastAsia="Times New Roman" w:hAnsi="Arial" w:cs="Arial"/>
          <w:sz w:val="20"/>
          <w:szCs w:val="20"/>
        </w:rPr>
        <w:fldChar w:fldCharType="separate"/>
      </w:r>
      <w:r w:rsidRPr="004B14F3">
        <w:rPr>
          <w:rFonts w:ascii="Arial" w:hAnsi="Arial" w:cs="Arial"/>
          <w:sz w:val="20"/>
          <w:szCs w:val="20"/>
        </w:rPr>
        <w:t>(Sanders et al., 1995; Gruenthal &amp; Burton, 2006)</w:t>
      </w:r>
      <w:r w:rsidR="00163CDE" w:rsidRPr="004B14F3">
        <w:rPr>
          <w:rFonts w:ascii="Arial" w:eastAsia="Times New Roman" w:hAnsi="Arial" w:cs="Arial"/>
          <w:sz w:val="20"/>
          <w:szCs w:val="20"/>
        </w:rPr>
        <w:fldChar w:fldCharType="end"/>
      </w:r>
      <w:r w:rsidRPr="004B14F3">
        <w:rPr>
          <w:rFonts w:ascii="Arial" w:eastAsia="Times New Roman" w:hAnsi="Arial" w:cs="Arial"/>
          <w:sz w:val="20"/>
          <w:szCs w:val="20"/>
        </w:rPr>
        <w:t>. This combined approach enhances taxonomic resolution and contributes to a more comprehensive understanding of fish biodiversity.</w:t>
      </w:r>
    </w:p>
    <w:p w14:paraId="0AAD61AA" w14:textId="77777777" w:rsidR="00216047" w:rsidRPr="004B14F3" w:rsidRDefault="00104CB0" w:rsidP="00075BD9">
      <w:pPr>
        <w:spacing w:line="480" w:lineRule="auto"/>
        <w:ind w:firstLine="720"/>
        <w:jc w:val="both"/>
        <w:rPr>
          <w:rFonts w:ascii="Arial" w:eastAsia="Times New Roman" w:hAnsi="Arial" w:cs="Arial"/>
          <w:sz w:val="20"/>
          <w:szCs w:val="20"/>
        </w:rPr>
      </w:pPr>
      <w:proofErr w:type="spellStart"/>
      <w:r w:rsidRPr="004B14F3">
        <w:rPr>
          <w:rFonts w:ascii="Arial" w:eastAsia="Times New Roman" w:hAnsi="Arial" w:cs="Arial"/>
          <w:i/>
          <w:iCs/>
          <w:sz w:val="20"/>
          <w:szCs w:val="20"/>
        </w:rPr>
        <w:t>Garra</w:t>
      </w:r>
      <w:proofErr w:type="spellEnd"/>
      <w:r w:rsidRPr="004B14F3">
        <w:rPr>
          <w:rFonts w:ascii="Arial" w:eastAsia="Times New Roman" w:hAnsi="Arial" w:cs="Arial"/>
          <w:i/>
          <w:iCs/>
          <w:sz w:val="20"/>
          <w:szCs w:val="20"/>
        </w:rPr>
        <w:t xml:space="preserve"> </w:t>
      </w:r>
      <w:proofErr w:type="spellStart"/>
      <w:r w:rsidRPr="004B14F3">
        <w:rPr>
          <w:rFonts w:ascii="Arial" w:eastAsia="Times New Roman" w:hAnsi="Arial" w:cs="Arial"/>
          <w:i/>
          <w:iCs/>
          <w:sz w:val="20"/>
          <w:szCs w:val="20"/>
        </w:rPr>
        <w:t>mullya</w:t>
      </w:r>
      <w:proofErr w:type="spellEnd"/>
      <w:r w:rsidRPr="004B14F3">
        <w:rPr>
          <w:rFonts w:ascii="Arial" w:eastAsia="Times New Roman" w:hAnsi="Arial" w:cs="Arial"/>
          <w:sz w:val="20"/>
          <w:szCs w:val="20"/>
        </w:rPr>
        <w:t xml:space="preserve"> (Family: </w:t>
      </w:r>
      <w:proofErr w:type="spellStart"/>
      <w:r w:rsidRPr="004B14F3">
        <w:rPr>
          <w:rFonts w:ascii="Arial" w:eastAsia="Times New Roman" w:hAnsi="Arial" w:cs="Arial"/>
          <w:sz w:val="20"/>
          <w:szCs w:val="20"/>
        </w:rPr>
        <w:t>Cyprinidae</w:t>
      </w:r>
      <w:proofErr w:type="spellEnd"/>
      <w:r w:rsidRPr="004B14F3">
        <w:rPr>
          <w:rFonts w:ascii="Arial" w:eastAsia="Times New Roman" w:hAnsi="Arial" w:cs="Arial"/>
          <w:sz w:val="20"/>
          <w:szCs w:val="20"/>
        </w:rPr>
        <w:t>), commonly referred to as the stone sucker, was first described from its type locality in the Bh</w:t>
      </w:r>
      <w:r w:rsidR="002A569A" w:rsidRPr="004B14F3">
        <w:rPr>
          <w:rFonts w:ascii="Arial" w:eastAsia="Times New Roman" w:hAnsi="Arial" w:cs="Arial"/>
          <w:sz w:val="20"/>
          <w:szCs w:val="20"/>
        </w:rPr>
        <w:t xml:space="preserve">ima River at </w:t>
      </w:r>
      <w:proofErr w:type="spellStart"/>
      <w:r w:rsidR="002A569A" w:rsidRPr="004B14F3">
        <w:rPr>
          <w:rFonts w:ascii="Arial" w:eastAsia="Times New Roman" w:hAnsi="Arial" w:cs="Arial"/>
          <w:sz w:val="20"/>
          <w:szCs w:val="20"/>
        </w:rPr>
        <w:t>Daund</w:t>
      </w:r>
      <w:proofErr w:type="spellEnd"/>
      <w:r w:rsidR="002A569A" w:rsidRPr="004B14F3">
        <w:rPr>
          <w:rFonts w:ascii="Arial" w:eastAsia="Times New Roman" w:hAnsi="Arial" w:cs="Arial"/>
          <w:sz w:val="20"/>
          <w:szCs w:val="20"/>
        </w:rPr>
        <w:t xml:space="preserve">, Maharashtra. </w:t>
      </w:r>
      <w:r w:rsidRPr="004B14F3">
        <w:rPr>
          <w:rFonts w:ascii="Arial" w:eastAsia="Times New Roman" w:hAnsi="Arial" w:cs="Arial"/>
          <w:sz w:val="20"/>
          <w:szCs w:val="20"/>
        </w:rPr>
        <w:t xml:space="preserve">It exhibits a broad distribution throughout the inland waters of India, except for the Himalayan and Assamese regions (Talwar &amp; </w:t>
      </w:r>
      <w:proofErr w:type="spellStart"/>
      <w:r w:rsidR="00BE321E" w:rsidRPr="004B14F3">
        <w:rPr>
          <w:rFonts w:ascii="Arial" w:eastAsia="Times New Roman" w:hAnsi="Arial" w:cs="Arial"/>
          <w:sz w:val="20"/>
          <w:szCs w:val="20"/>
        </w:rPr>
        <w:t>Jhingran</w:t>
      </w:r>
      <w:proofErr w:type="spellEnd"/>
      <w:r w:rsidR="00BE321E" w:rsidRPr="004B14F3">
        <w:rPr>
          <w:rFonts w:ascii="Arial" w:eastAsia="Times New Roman" w:hAnsi="Arial" w:cs="Arial"/>
          <w:sz w:val="20"/>
          <w:szCs w:val="20"/>
        </w:rPr>
        <w:t xml:space="preserve">, 1991). </w:t>
      </w:r>
      <w:r w:rsidRPr="004B14F3">
        <w:rPr>
          <w:rFonts w:ascii="Arial" w:eastAsia="Times New Roman" w:hAnsi="Arial" w:cs="Arial"/>
          <w:sz w:val="20"/>
          <w:szCs w:val="20"/>
        </w:rPr>
        <w:t xml:space="preserve">Within the Ujani wetland, the focal site of the present study, </w:t>
      </w:r>
      <w:r w:rsidRPr="004B14F3">
        <w:rPr>
          <w:rFonts w:ascii="Arial" w:eastAsia="Times New Roman" w:hAnsi="Arial" w:cs="Arial"/>
          <w:i/>
          <w:iCs/>
          <w:sz w:val="20"/>
          <w:szCs w:val="20"/>
        </w:rPr>
        <w:t xml:space="preserve">G. </w:t>
      </w:r>
      <w:proofErr w:type="spellStart"/>
      <w:r w:rsidRPr="004B14F3">
        <w:rPr>
          <w:rFonts w:ascii="Arial" w:eastAsia="Times New Roman" w:hAnsi="Arial" w:cs="Arial"/>
          <w:i/>
          <w:iCs/>
          <w:sz w:val="20"/>
          <w:szCs w:val="20"/>
        </w:rPr>
        <w:t>mullya</w:t>
      </w:r>
      <w:proofErr w:type="spellEnd"/>
      <w:r w:rsidRPr="004B14F3">
        <w:rPr>
          <w:rFonts w:ascii="Arial" w:eastAsia="Times New Roman" w:hAnsi="Arial" w:cs="Arial"/>
          <w:sz w:val="20"/>
          <w:szCs w:val="20"/>
        </w:rPr>
        <w:t xml:space="preserve"> has previously been reported by Yazdani</w:t>
      </w:r>
      <w:r w:rsidR="002A569A" w:rsidRPr="004B14F3">
        <w:rPr>
          <w:rFonts w:ascii="Arial" w:eastAsia="Times New Roman" w:hAnsi="Arial" w:cs="Arial"/>
          <w:sz w:val="20"/>
          <w:szCs w:val="20"/>
        </w:rPr>
        <w:t xml:space="preserve"> </w:t>
      </w:r>
      <w:r w:rsidRPr="004B14F3">
        <w:rPr>
          <w:rFonts w:ascii="Arial" w:eastAsia="Times New Roman" w:hAnsi="Arial" w:cs="Arial"/>
          <w:sz w:val="20"/>
          <w:szCs w:val="20"/>
        </w:rPr>
        <w:t xml:space="preserve">&amp; Singh (2002), </w:t>
      </w:r>
      <w:proofErr w:type="spellStart"/>
      <w:r w:rsidRPr="004B14F3">
        <w:rPr>
          <w:rFonts w:ascii="Arial" w:eastAsia="Times New Roman" w:hAnsi="Arial" w:cs="Arial"/>
          <w:sz w:val="20"/>
          <w:szCs w:val="20"/>
        </w:rPr>
        <w:t>Sarwade</w:t>
      </w:r>
      <w:proofErr w:type="spellEnd"/>
      <w:r w:rsidRPr="004B14F3">
        <w:rPr>
          <w:rFonts w:ascii="Arial" w:eastAsia="Times New Roman" w:hAnsi="Arial" w:cs="Arial"/>
          <w:sz w:val="20"/>
          <w:szCs w:val="20"/>
        </w:rPr>
        <w:t xml:space="preserve"> &amp; </w:t>
      </w:r>
      <w:proofErr w:type="spellStart"/>
      <w:r w:rsidRPr="004B14F3">
        <w:rPr>
          <w:rFonts w:ascii="Arial" w:eastAsia="Times New Roman" w:hAnsi="Arial" w:cs="Arial"/>
          <w:sz w:val="20"/>
          <w:szCs w:val="20"/>
        </w:rPr>
        <w:t>Khillare</w:t>
      </w:r>
      <w:proofErr w:type="spellEnd"/>
      <w:r w:rsidRPr="004B14F3">
        <w:rPr>
          <w:rFonts w:ascii="Arial" w:eastAsia="Times New Roman" w:hAnsi="Arial" w:cs="Arial"/>
          <w:sz w:val="20"/>
          <w:szCs w:val="20"/>
        </w:rPr>
        <w:t xml:space="preserve"> (2010), and Markad et al. (2025).</w:t>
      </w:r>
      <w:r w:rsidR="00BE321E" w:rsidRPr="004B14F3">
        <w:rPr>
          <w:rFonts w:ascii="Arial" w:eastAsia="Times New Roman" w:hAnsi="Arial" w:cs="Arial"/>
          <w:sz w:val="20"/>
          <w:szCs w:val="20"/>
        </w:rPr>
        <w:t xml:space="preserve"> </w:t>
      </w:r>
      <w:r w:rsidRPr="004B14F3">
        <w:rPr>
          <w:rFonts w:ascii="Arial" w:eastAsia="Times New Roman" w:hAnsi="Arial" w:cs="Arial"/>
          <w:sz w:val="20"/>
          <w:szCs w:val="20"/>
        </w:rPr>
        <w:t xml:space="preserve">The genus </w:t>
      </w:r>
      <w:proofErr w:type="spellStart"/>
      <w:r w:rsidRPr="004B14F3">
        <w:rPr>
          <w:rFonts w:ascii="Arial" w:eastAsia="Times New Roman" w:hAnsi="Arial" w:cs="Arial"/>
          <w:i/>
          <w:iCs/>
          <w:sz w:val="20"/>
          <w:szCs w:val="20"/>
        </w:rPr>
        <w:t>Parambassis</w:t>
      </w:r>
      <w:proofErr w:type="spellEnd"/>
      <w:r w:rsidRPr="004B14F3">
        <w:rPr>
          <w:rFonts w:ascii="Arial" w:eastAsia="Times New Roman" w:hAnsi="Arial" w:cs="Arial"/>
          <w:sz w:val="20"/>
          <w:szCs w:val="20"/>
        </w:rPr>
        <w:t xml:space="preserve">, </w:t>
      </w:r>
      <w:r w:rsidRPr="004B14F3">
        <w:rPr>
          <w:rFonts w:ascii="Arial" w:eastAsia="Times New Roman" w:hAnsi="Arial" w:cs="Arial"/>
          <w:sz w:val="20"/>
          <w:szCs w:val="20"/>
        </w:rPr>
        <w:lastRenderedPageBreak/>
        <w:t xml:space="preserve">formerly placed under the order Perciformes and now classified within </w:t>
      </w:r>
      <w:proofErr w:type="spellStart"/>
      <w:r w:rsidRPr="004B14F3">
        <w:rPr>
          <w:rFonts w:ascii="Arial" w:eastAsia="Times New Roman" w:hAnsi="Arial" w:cs="Arial"/>
          <w:sz w:val="20"/>
          <w:szCs w:val="20"/>
        </w:rPr>
        <w:t>Ovalentaria</w:t>
      </w:r>
      <w:proofErr w:type="spellEnd"/>
      <w:r w:rsidRPr="004B14F3">
        <w:rPr>
          <w:rFonts w:ascii="Arial" w:eastAsia="Times New Roman" w:hAnsi="Arial" w:cs="Arial"/>
          <w:sz w:val="20"/>
          <w:szCs w:val="20"/>
        </w:rPr>
        <w:t xml:space="preserve">, comprises 19 valid species with a distribution largely confined to the Asian continent. </w:t>
      </w:r>
      <w:proofErr w:type="spellStart"/>
      <w:r w:rsidRPr="004B14F3">
        <w:rPr>
          <w:rFonts w:ascii="Arial" w:eastAsia="Times New Roman" w:hAnsi="Arial" w:cs="Arial"/>
          <w:i/>
          <w:iCs/>
          <w:sz w:val="20"/>
          <w:szCs w:val="20"/>
        </w:rPr>
        <w:t>Parambassis</w:t>
      </w:r>
      <w:proofErr w:type="spellEnd"/>
      <w:r w:rsidRPr="004B14F3">
        <w:rPr>
          <w:rFonts w:ascii="Arial" w:eastAsia="Times New Roman" w:hAnsi="Arial" w:cs="Arial"/>
          <w:i/>
          <w:iCs/>
          <w:sz w:val="20"/>
          <w:szCs w:val="20"/>
        </w:rPr>
        <w:t xml:space="preserve"> </w:t>
      </w:r>
      <w:proofErr w:type="spellStart"/>
      <w:r w:rsidRPr="004B14F3">
        <w:rPr>
          <w:rFonts w:ascii="Arial" w:eastAsia="Times New Roman" w:hAnsi="Arial" w:cs="Arial"/>
          <w:i/>
          <w:iCs/>
          <w:sz w:val="20"/>
          <w:szCs w:val="20"/>
        </w:rPr>
        <w:t>ranga</w:t>
      </w:r>
      <w:proofErr w:type="spellEnd"/>
      <w:r w:rsidRPr="004B14F3">
        <w:rPr>
          <w:rFonts w:ascii="Arial" w:eastAsia="Times New Roman" w:hAnsi="Arial" w:cs="Arial"/>
          <w:sz w:val="20"/>
          <w:szCs w:val="20"/>
        </w:rPr>
        <w:t xml:space="preserve"> (Family: </w:t>
      </w:r>
      <w:proofErr w:type="spellStart"/>
      <w:r w:rsidRPr="004B14F3">
        <w:rPr>
          <w:rFonts w:ascii="Arial" w:eastAsia="Times New Roman" w:hAnsi="Arial" w:cs="Arial"/>
          <w:sz w:val="20"/>
          <w:szCs w:val="20"/>
        </w:rPr>
        <w:t>Ambassidae</w:t>
      </w:r>
      <w:proofErr w:type="spellEnd"/>
      <w:r w:rsidRPr="004B14F3">
        <w:rPr>
          <w:rFonts w:ascii="Arial" w:eastAsia="Times New Roman" w:hAnsi="Arial" w:cs="Arial"/>
          <w:sz w:val="20"/>
          <w:szCs w:val="20"/>
        </w:rPr>
        <w:t>), widely known as the Indian glassfish, was originally described from the Gangetic plains (Hamilton, 1822).</w:t>
      </w:r>
      <w:r w:rsidR="00BE321E" w:rsidRPr="004B14F3">
        <w:rPr>
          <w:rFonts w:ascii="Arial" w:eastAsia="Times New Roman" w:hAnsi="Arial" w:cs="Arial"/>
          <w:sz w:val="20"/>
          <w:szCs w:val="20"/>
        </w:rPr>
        <w:t xml:space="preserve"> </w:t>
      </w:r>
      <w:r w:rsidRPr="004B14F3">
        <w:rPr>
          <w:rFonts w:ascii="Arial" w:eastAsia="Times New Roman" w:hAnsi="Arial" w:cs="Arial"/>
          <w:sz w:val="20"/>
          <w:szCs w:val="20"/>
        </w:rPr>
        <w:t xml:space="preserve">The present study employs COI-based sequencing to elucidate the genetic identity and phylogenetic placement of </w:t>
      </w:r>
      <w:r w:rsidRPr="004B14F3">
        <w:rPr>
          <w:rFonts w:ascii="Arial" w:eastAsia="Times New Roman" w:hAnsi="Arial" w:cs="Arial"/>
          <w:i/>
          <w:iCs/>
          <w:sz w:val="20"/>
          <w:szCs w:val="20"/>
        </w:rPr>
        <w:t xml:space="preserve">G. </w:t>
      </w:r>
      <w:proofErr w:type="spellStart"/>
      <w:r w:rsidRPr="004B14F3">
        <w:rPr>
          <w:rFonts w:ascii="Arial" w:eastAsia="Times New Roman" w:hAnsi="Arial" w:cs="Arial"/>
          <w:i/>
          <w:iCs/>
          <w:sz w:val="20"/>
          <w:szCs w:val="20"/>
        </w:rPr>
        <w:t>mullya</w:t>
      </w:r>
      <w:proofErr w:type="spellEnd"/>
      <w:r w:rsidRPr="004B14F3">
        <w:rPr>
          <w:rFonts w:ascii="Arial" w:eastAsia="Times New Roman" w:hAnsi="Arial" w:cs="Arial"/>
          <w:sz w:val="20"/>
          <w:szCs w:val="20"/>
        </w:rPr>
        <w:t xml:space="preserve"> and </w:t>
      </w:r>
      <w:r w:rsidRPr="004B14F3">
        <w:rPr>
          <w:rFonts w:ascii="Arial" w:eastAsia="Times New Roman" w:hAnsi="Arial" w:cs="Arial"/>
          <w:i/>
          <w:iCs/>
          <w:sz w:val="20"/>
          <w:szCs w:val="20"/>
        </w:rPr>
        <w:t xml:space="preserve">P. </w:t>
      </w:r>
      <w:proofErr w:type="spellStart"/>
      <w:r w:rsidRPr="004B14F3">
        <w:rPr>
          <w:rFonts w:ascii="Arial" w:eastAsia="Times New Roman" w:hAnsi="Arial" w:cs="Arial"/>
          <w:i/>
          <w:iCs/>
          <w:sz w:val="20"/>
          <w:szCs w:val="20"/>
        </w:rPr>
        <w:t>ranga</w:t>
      </w:r>
      <w:proofErr w:type="spellEnd"/>
      <w:r w:rsidRPr="004B14F3">
        <w:rPr>
          <w:rFonts w:ascii="Arial" w:eastAsia="Times New Roman" w:hAnsi="Arial" w:cs="Arial"/>
          <w:sz w:val="20"/>
          <w:szCs w:val="20"/>
        </w:rPr>
        <w:t xml:space="preserve"> from the Ujani wetland, Maharashtra, thereby contributing to regional biodiversity assessments and improving molecular reference data for these taxa.</w:t>
      </w:r>
    </w:p>
    <w:p w14:paraId="388860A5" w14:textId="77777777" w:rsidR="00E33BF7" w:rsidRPr="004B14F3" w:rsidRDefault="00000000">
      <w:r w:rsidRPr="004B14F3">
        <w:t xml:space="preserve">Recent Indian freshwater-fish barcoding studies further indicate that COI data can strengthen regional faunal inventories by clarifying specimen identity, detecting divergent haplotypes, and highlighting candidate cryptic diversity across river systems and biodiversity hotspots (Barman et al., 2018; Kundu et al., 2019; </w:t>
      </w:r>
      <w:proofErr w:type="spellStart"/>
      <w:r w:rsidRPr="004B14F3">
        <w:t>Modeel</w:t>
      </w:r>
      <w:proofErr w:type="spellEnd"/>
      <w:r w:rsidRPr="004B14F3">
        <w:t xml:space="preserve"> et al., 2024). In this context, additional sequence records from Ujani wetland are valuable because reservoir and riverine habitats in India can contain geographically structured fish populations that require careful taxonomic and conservation interpretation (Khedkar et al., 2014; Patil et al., 2018).</w:t>
      </w:r>
    </w:p>
    <w:p w14:paraId="62F06205" w14:textId="77777777" w:rsidR="00104CB0" w:rsidRPr="004B14F3" w:rsidRDefault="00330EDC" w:rsidP="00075BD9">
      <w:pPr>
        <w:spacing w:line="480" w:lineRule="auto"/>
        <w:jc w:val="both"/>
        <w:rPr>
          <w:rFonts w:ascii="Arial" w:eastAsia="Times New Roman" w:hAnsi="Arial" w:cs="Arial"/>
        </w:rPr>
      </w:pPr>
      <w:r w:rsidRPr="004B14F3">
        <w:rPr>
          <w:rFonts w:ascii="Arial" w:hAnsi="Arial" w:cs="Arial"/>
          <w:b/>
        </w:rPr>
        <w:t xml:space="preserve">2. </w:t>
      </w:r>
      <w:r w:rsidR="00104CB0" w:rsidRPr="004B14F3">
        <w:rPr>
          <w:rFonts w:ascii="Arial" w:hAnsi="Arial" w:cs="Arial"/>
          <w:b/>
        </w:rPr>
        <w:t>Material and Methods:</w:t>
      </w:r>
    </w:p>
    <w:p w14:paraId="3AED4FFB" w14:textId="77777777" w:rsidR="00104CB0" w:rsidRPr="004B14F3" w:rsidRDefault="00330EDC" w:rsidP="00075BD9">
      <w:pPr>
        <w:spacing w:before="100" w:beforeAutospacing="1" w:after="100" w:afterAutospacing="1" w:line="480" w:lineRule="auto"/>
        <w:jc w:val="both"/>
        <w:outlineLvl w:val="2"/>
        <w:rPr>
          <w:rFonts w:ascii="Arial" w:eastAsia="Times New Roman" w:hAnsi="Arial" w:cs="Arial"/>
          <w:b/>
          <w:bCs/>
          <w:sz w:val="20"/>
          <w:szCs w:val="20"/>
        </w:rPr>
      </w:pPr>
      <w:r w:rsidRPr="004B14F3">
        <w:rPr>
          <w:rFonts w:ascii="Arial" w:eastAsia="Times New Roman" w:hAnsi="Arial" w:cs="Arial"/>
          <w:b/>
          <w:bCs/>
          <w:sz w:val="20"/>
          <w:szCs w:val="20"/>
        </w:rPr>
        <w:t xml:space="preserve">2.1. </w:t>
      </w:r>
      <w:r w:rsidR="00104CB0" w:rsidRPr="004B14F3">
        <w:rPr>
          <w:rFonts w:ascii="Arial" w:eastAsia="Times New Roman" w:hAnsi="Arial" w:cs="Arial"/>
          <w:b/>
          <w:bCs/>
          <w:sz w:val="20"/>
          <w:szCs w:val="20"/>
        </w:rPr>
        <w:t>Collection and Preservation of Samples</w:t>
      </w:r>
    </w:p>
    <w:p w14:paraId="3D2214D2" w14:textId="77777777" w:rsidR="00104CB0" w:rsidRPr="004B14F3" w:rsidRDefault="00104CB0" w:rsidP="00075BD9">
      <w:pPr>
        <w:spacing w:before="100" w:beforeAutospacing="1" w:after="100" w:afterAutospacing="1" w:line="480" w:lineRule="auto"/>
        <w:ind w:firstLine="720"/>
        <w:jc w:val="both"/>
        <w:rPr>
          <w:rFonts w:ascii="Arial" w:eastAsia="Times New Roman" w:hAnsi="Arial" w:cs="Arial"/>
          <w:sz w:val="20"/>
          <w:szCs w:val="20"/>
        </w:rPr>
      </w:pPr>
      <w:r w:rsidRPr="004B14F3">
        <w:rPr>
          <w:rFonts w:ascii="Arial" w:eastAsia="Times New Roman" w:hAnsi="Arial" w:cs="Arial"/>
          <w:sz w:val="20"/>
          <w:szCs w:val="20"/>
        </w:rPr>
        <w:t xml:space="preserve">Field sampling was conducted between 2022 and 2023 in Ujani wetland, Maharashtra, India. Specimens were obtained during multiple field visits using standard capture methods. Tissue samples intended for molecular analyses were excised from muscle or fin tissue and immediately preserved in 95% ethanol to ensure DNA integrity. </w:t>
      </w:r>
    </w:p>
    <w:p w14:paraId="5F857E73" w14:textId="77777777" w:rsidR="00104CB0" w:rsidRPr="004B14F3" w:rsidRDefault="00330EDC" w:rsidP="00075BD9">
      <w:pPr>
        <w:spacing w:before="100" w:beforeAutospacing="1" w:after="100" w:afterAutospacing="1" w:line="480" w:lineRule="auto"/>
        <w:jc w:val="both"/>
        <w:outlineLvl w:val="2"/>
        <w:rPr>
          <w:rFonts w:ascii="Arial" w:eastAsia="Times New Roman" w:hAnsi="Arial" w:cs="Arial"/>
          <w:b/>
          <w:bCs/>
          <w:sz w:val="20"/>
          <w:szCs w:val="20"/>
        </w:rPr>
      </w:pPr>
      <w:r w:rsidRPr="004B14F3">
        <w:rPr>
          <w:rFonts w:ascii="Arial" w:eastAsia="Times New Roman" w:hAnsi="Arial" w:cs="Arial"/>
          <w:b/>
          <w:bCs/>
          <w:sz w:val="20"/>
          <w:szCs w:val="20"/>
        </w:rPr>
        <w:t xml:space="preserve">2.2. </w:t>
      </w:r>
      <w:r w:rsidR="00104CB0" w:rsidRPr="004B14F3">
        <w:rPr>
          <w:rFonts w:ascii="Arial" w:eastAsia="Times New Roman" w:hAnsi="Arial" w:cs="Arial"/>
          <w:b/>
          <w:bCs/>
          <w:sz w:val="20"/>
          <w:szCs w:val="20"/>
        </w:rPr>
        <w:t xml:space="preserve">DNA Extraction and </w:t>
      </w:r>
    </w:p>
    <w:p w14:paraId="1F50EA88" w14:textId="77777777" w:rsidR="00BE321E" w:rsidRPr="004B14F3" w:rsidRDefault="00104CB0" w:rsidP="00075BD9">
      <w:pPr>
        <w:spacing w:before="100" w:beforeAutospacing="1" w:after="100" w:afterAutospacing="1" w:line="480" w:lineRule="auto"/>
        <w:jc w:val="both"/>
        <w:rPr>
          <w:rFonts w:ascii="Arial" w:eastAsia="Times New Roman" w:hAnsi="Arial" w:cs="Arial"/>
          <w:sz w:val="20"/>
          <w:szCs w:val="20"/>
        </w:rPr>
      </w:pPr>
      <w:r w:rsidRPr="004B14F3">
        <w:rPr>
          <w:rFonts w:ascii="Arial" w:eastAsia="Times New Roman" w:hAnsi="Arial" w:cs="Arial"/>
          <w:sz w:val="20"/>
          <w:szCs w:val="20"/>
        </w:rPr>
        <w:t xml:space="preserve">Genomic DNA was isolated from fin clips of fish by using </w:t>
      </w:r>
      <w:proofErr w:type="spellStart"/>
      <w:r w:rsidRPr="004B14F3">
        <w:rPr>
          <w:rFonts w:ascii="Arial" w:eastAsia="Times New Roman" w:hAnsi="Arial" w:cs="Arial"/>
          <w:sz w:val="20"/>
          <w:szCs w:val="20"/>
        </w:rPr>
        <w:t>DNeasy</w:t>
      </w:r>
      <w:proofErr w:type="spellEnd"/>
      <w:r w:rsidRPr="004B14F3">
        <w:rPr>
          <w:rFonts w:ascii="Arial" w:eastAsia="Times New Roman" w:hAnsi="Arial" w:cs="Arial"/>
          <w:sz w:val="20"/>
          <w:szCs w:val="20"/>
        </w:rPr>
        <w:t xml:space="preserve"> Blood and Tissue Kit (Qiagen made), following instructions and protocol. The purified DNA was then eluted in 100 µL of 10mMTris-Cl buffer (pH 8.0) and quantified with a Qubit 2.0 fluorometer. </w:t>
      </w:r>
    </w:p>
    <w:p w14:paraId="7E421455" w14:textId="77777777" w:rsidR="00BE321E" w:rsidRPr="004B14F3" w:rsidRDefault="00330EDC" w:rsidP="00075BD9">
      <w:pPr>
        <w:spacing w:before="100" w:beforeAutospacing="1" w:after="100" w:afterAutospacing="1" w:line="480" w:lineRule="auto"/>
        <w:jc w:val="both"/>
        <w:outlineLvl w:val="2"/>
        <w:rPr>
          <w:rFonts w:ascii="Arial" w:eastAsia="Times New Roman" w:hAnsi="Arial" w:cs="Arial"/>
          <w:b/>
          <w:bCs/>
          <w:sz w:val="20"/>
          <w:szCs w:val="20"/>
        </w:rPr>
      </w:pPr>
      <w:r w:rsidRPr="004B14F3">
        <w:rPr>
          <w:rFonts w:ascii="Arial" w:eastAsia="Times New Roman" w:hAnsi="Arial" w:cs="Arial"/>
          <w:b/>
          <w:bCs/>
          <w:sz w:val="20"/>
          <w:szCs w:val="20"/>
        </w:rPr>
        <w:t xml:space="preserve">2.3. </w:t>
      </w:r>
      <w:r w:rsidR="00BE321E" w:rsidRPr="004B14F3">
        <w:rPr>
          <w:rFonts w:ascii="Arial" w:eastAsia="Times New Roman" w:hAnsi="Arial" w:cs="Arial"/>
          <w:b/>
          <w:bCs/>
          <w:sz w:val="20"/>
          <w:szCs w:val="20"/>
        </w:rPr>
        <w:t>PCR Amplification</w:t>
      </w:r>
    </w:p>
    <w:p w14:paraId="4812F22C" w14:textId="77777777" w:rsidR="00104CB0" w:rsidRPr="004B14F3" w:rsidRDefault="00104CB0" w:rsidP="00075BD9">
      <w:pPr>
        <w:spacing w:before="100" w:beforeAutospacing="1" w:after="100" w:afterAutospacing="1" w:line="480" w:lineRule="auto"/>
        <w:jc w:val="both"/>
        <w:rPr>
          <w:rFonts w:ascii="Arial" w:eastAsia="Times New Roman" w:hAnsi="Arial" w:cs="Arial"/>
          <w:sz w:val="20"/>
          <w:szCs w:val="20"/>
        </w:rPr>
      </w:pPr>
      <w:r w:rsidRPr="004B14F3">
        <w:rPr>
          <w:rFonts w:ascii="Arial" w:eastAsia="Times New Roman" w:hAnsi="Arial" w:cs="Arial"/>
          <w:sz w:val="20"/>
          <w:szCs w:val="20"/>
        </w:rPr>
        <w:t xml:space="preserve">Samples yielding ≥50 ng of DNA were selected for PCR amplification procedure of the mitochondrial COI gene using Folmer’s universal primers LCO1490 (5'-GGTCAACAAATCATAAAGATATTGG-3') and </w:t>
      </w:r>
      <w:r w:rsidRPr="004B14F3">
        <w:rPr>
          <w:rFonts w:ascii="Arial" w:eastAsia="Times New Roman" w:hAnsi="Arial" w:cs="Arial"/>
          <w:sz w:val="20"/>
          <w:szCs w:val="20"/>
        </w:rPr>
        <w:lastRenderedPageBreak/>
        <w:t xml:space="preserve">HCO2198 (5'-TAAACTTCAGGGTGACCAAAAAATCA-3') </w:t>
      </w:r>
      <w:r w:rsidR="00163CDE" w:rsidRPr="004B14F3">
        <w:rPr>
          <w:rFonts w:ascii="Arial" w:eastAsia="Times New Roman" w:hAnsi="Arial" w:cs="Arial"/>
          <w:sz w:val="20"/>
          <w:szCs w:val="20"/>
        </w:rPr>
        <w:fldChar w:fldCharType="begin"/>
      </w:r>
      <w:r w:rsidRPr="004B14F3">
        <w:rPr>
          <w:rFonts w:ascii="Arial" w:eastAsia="Times New Roman" w:hAnsi="Arial" w:cs="Arial"/>
          <w:sz w:val="20"/>
          <w:szCs w:val="20"/>
        </w:rPr>
        <w:instrText xml:space="preserve"> ADDIN ZOTERO_ITEM CSL_CITATION {"citationID":"TdVuneiM","properties":{"formattedCitation":"(Vrijenhoek, 1994)","plainCitation":"(Vrijenhoek, 1994)","noteIndex":0},"citationItems":[{"id":1566,"uris":["http://zotero.org/users/9826054/items/RNXMBURY"],"itemData":{"id":1566,"type":"article-journal","container-title":"Mol Mar Biol Biotechnol","issue":"5","page":"294–9","source":"Google Scholar","title":"DNA primers for amplification of mitochondrial cytochrome c oxidase subunit I from diverse metazoan invertebrates","volume":"3","author":[{"family":"Vrijenhoek","given":"RJMMBB"}],"issued":{"date-parts":[["1994"]]}}}],"schema":"https://github.com/citation-style-language/schema/raw/master/csl-citation.json"} </w:instrText>
      </w:r>
      <w:r w:rsidR="00163CDE" w:rsidRPr="004B14F3">
        <w:rPr>
          <w:rFonts w:ascii="Arial" w:eastAsia="Times New Roman" w:hAnsi="Arial" w:cs="Arial"/>
          <w:sz w:val="20"/>
          <w:szCs w:val="20"/>
        </w:rPr>
        <w:fldChar w:fldCharType="separate"/>
      </w:r>
      <w:r w:rsidRPr="004B14F3">
        <w:rPr>
          <w:rFonts w:ascii="Arial" w:hAnsi="Arial" w:cs="Arial"/>
          <w:sz w:val="20"/>
          <w:szCs w:val="20"/>
        </w:rPr>
        <w:t>(Vrijenhoek, 1994)</w:t>
      </w:r>
      <w:r w:rsidR="00163CDE" w:rsidRPr="004B14F3">
        <w:rPr>
          <w:rFonts w:ascii="Arial" w:eastAsia="Times New Roman" w:hAnsi="Arial" w:cs="Arial"/>
          <w:sz w:val="20"/>
          <w:szCs w:val="20"/>
        </w:rPr>
        <w:fldChar w:fldCharType="end"/>
      </w:r>
      <w:r w:rsidR="00BE321E" w:rsidRPr="004B14F3">
        <w:rPr>
          <w:rFonts w:ascii="Arial" w:eastAsia="Times New Roman" w:hAnsi="Arial" w:cs="Arial"/>
          <w:sz w:val="20"/>
          <w:szCs w:val="20"/>
        </w:rPr>
        <w:t xml:space="preserve">. </w:t>
      </w:r>
      <w:r w:rsidRPr="004B14F3">
        <w:rPr>
          <w:rFonts w:ascii="Arial" w:eastAsia="Times New Roman" w:hAnsi="Arial" w:cs="Arial"/>
          <w:sz w:val="20"/>
          <w:szCs w:val="20"/>
        </w:rPr>
        <w:t xml:space="preserve">Positive amplicons were processed for purification using </w:t>
      </w:r>
      <w:proofErr w:type="spellStart"/>
      <w:r w:rsidRPr="004B14F3">
        <w:rPr>
          <w:rFonts w:ascii="Arial" w:eastAsia="Times New Roman" w:hAnsi="Arial" w:cs="Arial"/>
          <w:sz w:val="20"/>
          <w:szCs w:val="20"/>
        </w:rPr>
        <w:t>QIAquick</w:t>
      </w:r>
      <w:proofErr w:type="spellEnd"/>
      <w:r w:rsidRPr="004B14F3">
        <w:rPr>
          <w:rFonts w:ascii="Arial" w:eastAsia="Times New Roman" w:hAnsi="Arial" w:cs="Arial"/>
          <w:sz w:val="20"/>
          <w:szCs w:val="20"/>
        </w:rPr>
        <w:t xml:space="preserve"> PCR Purification Kit (Qiagen) and then sent for bidirectional sequencing on ABI 3730xl Genetic Analyzer. Resulting sequences were </w:t>
      </w:r>
      <w:r w:rsidR="004573EE" w:rsidRPr="004B14F3">
        <w:rPr>
          <w:rFonts w:ascii="Arial" w:eastAsia="Times New Roman" w:hAnsi="Arial" w:cs="Arial"/>
          <w:sz w:val="20"/>
          <w:szCs w:val="20"/>
        </w:rPr>
        <w:t>submitted to NCBI.</w:t>
      </w:r>
    </w:p>
    <w:p w14:paraId="19E14E0A" w14:textId="77777777" w:rsidR="00BE321E" w:rsidRPr="004B14F3" w:rsidRDefault="00BE321E" w:rsidP="00075BD9">
      <w:pPr>
        <w:spacing w:before="100" w:beforeAutospacing="1" w:after="100" w:afterAutospacing="1" w:line="480" w:lineRule="auto"/>
        <w:jc w:val="both"/>
        <w:outlineLvl w:val="2"/>
        <w:rPr>
          <w:rFonts w:ascii="Arial" w:eastAsia="Times New Roman" w:hAnsi="Arial" w:cs="Arial"/>
          <w:b/>
          <w:bCs/>
          <w:sz w:val="20"/>
          <w:szCs w:val="20"/>
        </w:rPr>
      </w:pPr>
    </w:p>
    <w:p w14:paraId="737B971E" w14:textId="77777777" w:rsidR="00104CB0" w:rsidRPr="004B14F3" w:rsidRDefault="00330EDC" w:rsidP="00075BD9">
      <w:pPr>
        <w:spacing w:before="100" w:beforeAutospacing="1" w:after="100" w:afterAutospacing="1" w:line="480" w:lineRule="auto"/>
        <w:jc w:val="both"/>
        <w:outlineLvl w:val="2"/>
        <w:rPr>
          <w:rFonts w:ascii="Arial" w:eastAsia="Times New Roman" w:hAnsi="Arial" w:cs="Arial"/>
          <w:b/>
          <w:bCs/>
          <w:sz w:val="20"/>
          <w:szCs w:val="20"/>
        </w:rPr>
      </w:pPr>
      <w:r w:rsidRPr="004B14F3">
        <w:rPr>
          <w:rFonts w:ascii="Arial" w:eastAsia="Times New Roman" w:hAnsi="Arial" w:cs="Arial"/>
          <w:b/>
          <w:bCs/>
          <w:sz w:val="20"/>
          <w:szCs w:val="20"/>
        </w:rPr>
        <w:t xml:space="preserve">2.4. </w:t>
      </w:r>
      <w:r w:rsidR="00104CB0" w:rsidRPr="004B14F3">
        <w:rPr>
          <w:rFonts w:ascii="Arial" w:eastAsia="Times New Roman" w:hAnsi="Arial" w:cs="Arial"/>
          <w:b/>
          <w:bCs/>
          <w:sz w:val="20"/>
          <w:szCs w:val="20"/>
        </w:rPr>
        <w:t>Phylogenetic Tree Construction</w:t>
      </w:r>
    </w:p>
    <w:p w14:paraId="676150A8" w14:textId="77777777" w:rsidR="00104CB0" w:rsidRPr="004B14F3" w:rsidRDefault="00104CB0" w:rsidP="00075BD9">
      <w:pPr>
        <w:spacing w:before="100" w:beforeAutospacing="1" w:after="100" w:afterAutospacing="1" w:line="480" w:lineRule="auto"/>
        <w:ind w:firstLine="720"/>
        <w:jc w:val="both"/>
        <w:rPr>
          <w:rFonts w:ascii="Arial" w:eastAsia="Times New Roman" w:hAnsi="Arial" w:cs="Arial"/>
          <w:sz w:val="20"/>
          <w:szCs w:val="20"/>
        </w:rPr>
      </w:pPr>
      <w:r w:rsidRPr="004B14F3">
        <w:rPr>
          <w:rFonts w:ascii="Arial" w:eastAsia="Times New Roman" w:hAnsi="Arial" w:cs="Arial"/>
          <w:sz w:val="20"/>
          <w:szCs w:val="20"/>
        </w:rPr>
        <w:t xml:space="preserve">Raw sequence chromatograms </w:t>
      </w:r>
      <w:proofErr w:type="gramStart"/>
      <w:r w:rsidRPr="004B14F3">
        <w:rPr>
          <w:rFonts w:ascii="Arial" w:eastAsia="Times New Roman" w:hAnsi="Arial" w:cs="Arial"/>
          <w:sz w:val="20"/>
          <w:szCs w:val="20"/>
        </w:rPr>
        <w:t>(.ab</w:t>
      </w:r>
      <w:proofErr w:type="gramEnd"/>
      <w:r w:rsidRPr="004B14F3">
        <w:rPr>
          <w:rFonts w:ascii="Arial" w:eastAsia="Times New Roman" w:hAnsi="Arial" w:cs="Arial"/>
          <w:sz w:val="20"/>
          <w:szCs w:val="20"/>
        </w:rPr>
        <w:t xml:space="preserve">1 files) were inspected and manually curated in CHROMAS Lite (version 2.6.6). Sequence identities were validated using the BLAST algorithm against the NCBI nucleotide database </w:t>
      </w:r>
      <w:r w:rsidR="00163CDE" w:rsidRPr="004B14F3">
        <w:rPr>
          <w:rFonts w:ascii="Arial" w:eastAsia="Times New Roman" w:hAnsi="Arial" w:cs="Arial"/>
          <w:sz w:val="20"/>
          <w:szCs w:val="20"/>
        </w:rPr>
        <w:fldChar w:fldCharType="begin"/>
      </w:r>
      <w:r w:rsidRPr="004B14F3">
        <w:rPr>
          <w:rFonts w:ascii="Arial" w:eastAsia="Times New Roman" w:hAnsi="Arial" w:cs="Arial"/>
          <w:sz w:val="20"/>
          <w:szCs w:val="20"/>
        </w:rPr>
        <w:instrText xml:space="preserve"> ADDIN ZOTERO_ITEM CSL_CITATION {"citationID":"5DzvMhYD","properties":{"formattedCitation":"(Altschul et al., 1990; Johnson et al., 2008)","plainCitation":"(Altschul et al., 1990; Johnson et al., 2008)","noteIndex":0},"citationItems":[{"id":1133,"uris":["http://zotero.org/users/9826054/items/SNLMTV3L"],"itemData":{"id":1133,"type":"article-journal","abstract":"A new approach to rapid sequence comparison, basic local alignment search tool (BLAST), directly approximates alignments that optimize a measure of local similarity, the maximal segment pair (MSP) score. Recent mathematical results on the stochastic properties of MSP scores allow an analysis of the performance of this method as well as the statistical significance of alignments it generates. The basic algorithm is simple and robust; it can be implemented in a number of ways and applied in a variety of contexts including straightforward DNA and protein sequence database searches, motif searches, gene identification searches, and in the analysis of multiple regions of similarity in long DNA sequences. In addition to its flexibility and tractability to mathematical analysis, BLAST is an order of magnitude faster than existing sequence comparison tools of comparable sensitivity.","container-title":"Journal of Molecular Biology","DOI":"10.1016/S0022-2836(05)80360-2","ISSN":"0022-2836","issue":"3","journalAbbreviation":"J Mol Biol","language":"eng","note":"PMID: 2231712","page":"403-410","source":"PubMed","title":"Basic local alignment search tool","volume":"215","author":[{"family":"Altschul","given":"S. F."},{"family":"Gish","given":"W."},{"family":"Miller","given":"W."},{"family":"Myers","given":"E. W."},{"family":"Lipman","given":"D. J."}],"issued":{"date-parts":[["1990",10,5]]}}},{"id":1568,"uris":["http://zotero.org/users/9826054/items/QBEPTK3H"],"itemData":{"id":1568,"type":"article-journal","container-title":"Nucleic acids research","issue":"suppl_2","note":"publisher: Oxford University Press","page":"W5–W9","source":"Google Scholar","title":"NCBI BLAST: a better web interface","title-short":"NCBI BLAST","URL":"https://academic.oup.com/nar/article-abstract/36/suppl_2/W5/2505810","volume":"36","author":[{"family":"Johnson","given":"Mark"},{"family":"Zaretskaya","given":"Irena"},{"family":"Raytselis","given":"Yan"},{"family":"Merezhuk","given":"Yuri"},{"family":"McGinnis","given":"Scott"},{"family":"Madden","given":"Thomas L."}],"accessed":{"date-parts":[["2025",11,14]]},"issued":{"date-parts":[["2008"]]}}}],"schema":"https://github.com/citation-style-language/schema/raw/master/csl-citation.json"} </w:instrText>
      </w:r>
      <w:r w:rsidR="00163CDE" w:rsidRPr="004B14F3">
        <w:rPr>
          <w:rFonts w:ascii="Arial" w:eastAsia="Times New Roman" w:hAnsi="Arial" w:cs="Arial"/>
          <w:sz w:val="20"/>
          <w:szCs w:val="20"/>
        </w:rPr>
        <w:fldChar w:fldCharType="separate"/>
      </w:r>
      <w:r w:rsidRPr="004B14F3">
        <w:rPr>
          <w:rFonts w:ascii="Arial" w:hAnsi="Arial" w:cs="Arial"/>
          <w:sz w:val="20"/>
          <w:szCs w:val="20"/>
        </w:rPr>
        <w:t>(Altschul et al., 1990; Johnson et al., 2008)</w:t>
      </w:r>
      <w:r w:rsidR="00163CDE" w:rsidRPr="004B14F3">
        <w:rPr>
          <w:rFonts w:ascii="Arial" w:eastAsia="Times New Roman" w:hAnsi="Arial" w:cs="Arial"/>
          <w:sz w:val="20"/>
          <w:szCs w:val="20"/>
        </w:rPr>
        <w:fldChar w:fldCharType="end"/>
      </w:r>
      <w:r w:rsidRPr="004B14F3">
        <w:rPr>
          <w:rFonts w:ascii="Arial" w:eastAsia="Times New Roman" w:hAnsi="Arial" w:cs="Arial"/>
          <w:sz w:val="20"/>
          <w:szCs w:val="20"/>
        </w:rPr>
        <w:t xml:space="preserve">. Phylogenetic reconstruction was performed in MEGA X employing the Maximum Likelihood method under Tamura 3-parameter </w:t>
      </w:r>
      <w:r w:rsidR="009138A5" w:rsidRPr="004B14F3">
        <w:rPr>
          <w:rFonts w:ascii="Arial" w:eastAsia="Times New Roman" w:hAnsi="Arial" w:cs="Arial"/>
          <w:sz w:val="20"/>
          <w:szCs w:val="20"/>
        </w:rPr>
        <w:t xml:space="preserve">(T92) substitution model. </w:t>
      </w:r>
      <w:r w:rsidRPr="004B14F3">
        <w:rPr>
          <w:rFonts w:ascii="Arial" w:hAnsi="Arial" w:cs="Arial"/>
          <w:sz w:val="20"/>
          <w:szCs w:val="20"/>
        </w:rPr>
        <w:t xml:space="preserve">Total 90 and 41 sequences of different genera of </w:t>
      </w:r>
      <w:proofErr w:type="spellStart"/>
      <w:r w:rsidRPr="004B14F3">
        <w:rPr>
          <w:rFonts w:ascii="Arial" w:hAnsi="Arial" w:cs="Arial"/>
          <w:sz w:val="20"/>
          <w:szCs w:val="20"/>
        </w:rPr>
        <w:t>Ambassidae</w:t>
      </w:r>
      <w:proofErr w:type="spellEnd"/>
      <w:r w:rsidRPr="004B14F3">
        <w:rPr>
          <w:rFonts w:ascii="Arial" w:hAnsi="Arial" w:cs="Arial"/>
          <w:sz w:val="20"/>
          <w:szCs w:val="20"/>
        </w:rPr>
        <w:t xml:space="preserve"> and </w:t>
      </w:r>
      <w:proofErr w:type="spellStart"/>
      <w:r w:rsidRPr="004B14F3">
        <w:rPr>
          <w:rFonts w:ascii="Arial" w:hAnsi="Arial" w:cs="Arial"/>
          <w:sz w:val="20"/>
          <w:szCs w:val="20"/>
        </w:rPr>
        <w:t>Cyprinidae</w:t>
      </w:r>
      <w:proofErr w:type="spellEnd"/>
      <w:r w:rsidRPr="004B14F3">
        <w:rPr>
          <w:rFonts w:ascii="Arial" w:hAnsi="Arial" w:cs="Arial"/>
          <w:sz w:val="20"/>
          <w:szCs w:val="20"/>
        </w:rPr>
        <w:t xml:space="preserve"> respectively, were downloaded from GenBank. </w:t>
      </w:r>
    </w:p>
    <w:p w14:paraId="1B60397D" w14:textId="77777777" w:rsidR="00104CB0" w:rsidRPr="003B61EE" w:rsidRDefault="00330EDC" w:rsidP="00075BD9">
      <w:pPr>
        <w:spacing w:before="100" w:beforeAutospacing="1" w:after="100" w:afterAutospacing="1" w:line="480" w:lineRule="auto"/>
        <w:jc w:val="both"/>
        <w:rPr>
          <w:rFonts w:ascii="Arial" w:hAnsi="Arial" w:cs="Arial"/>
          <w:b/>
          <w:bCs/>
        </w:rPr>
      </w:pPr>
      <w:r w:rsidRPr="003B61EE">
        <w:rPr>
          <w:b/>
          <w:bCs/>
        </w:rPr>
        <w:t>3. Results and Discussion:</w:t>
      </w:r>
    </w:p>
    <w:p w14:paraId="558A3EEF" w14:textId="77777777" w:rsidR="00104CB0" w:rsidRPr="004B14F3" w:rsidRDefault="00330EDC" w:rsidP="00075BD9">
      <w:pPr>
        <w:spacing w:before="100" w:beforeAutospacing="1" w:after="100" w:afterAutospacing="1" w:line="480" w:lineRule="auto"/>
        <w:jc w:val="both"/>
        <w:rPr>
          <w:rFonts w:ascii="Arial" w:hAnsi="Arial" w:cs="Arial"/>
          <w:sz w:val="20"/>
          <w:szCs w:val="20"/>
        </w:rPr>
      </w:pPr>
      <w:r w:rsidRPr="004B14F3">
        <w:rPr>
          <w:rStyle w:val="Strong"/>
          <w:rFonts w:ascii="Arial" w:hAnsi="Arial" w:cs="Arial"/>
          <w:sz w:val="20"/>
          <w:szCs w:val="20"/>
        </w:rPr>
        <w:t xml:space="preserve">3.1. </w:t>
      </w:r>
      <w:r w:rsidR="00E0128D" w:rsidRPr="004B14F3">
        <w:rPr>
          <w:rStyle w:val="Strong"/>
          <w:rFonts w:ascii="Arial" w:hAnsi="Arial" w:cs="Arial"/>
          <w:sz w:val="20"/>
          <w:szCs w:val="20"/>
        </w:rPr>
        <w:t>Phylogenetic a</w:t>
      </w:r>
      <w:r w:rsidR="00104CB0" w:rsidRPr="004B14F3">
        <w:rPr>
          <w:rStyle w:val="Strong"/>
          <w:rFonts w:ascii="Arial" w:hAnsi="Arial" w:cs="Arial"/>
          <w:sz w:val="20"/>
          <w:szCs w:val="20"/>
        </w:rPr>
        <w:t>ssessment</w:t>
      </w:r>
      <w:r w:rsidR="00104CB0" w:rsidRPr="004B14F3">
        <w:rPr>
          <w:rStyle w:val="Strong"/>
          <w:rFonts w:ascii="Arial" w:hAnsi="Arial" w:cs="Arial"/>
          <w:i/>
          <w:iCs/>
          <w:sz w:val="20"/>
          <w:szCs w:val="20"/>
        </w:rPr>
        <w:t xml:space="preserve"> </w:t>
      </w:r>
      <w:r w:rsidR="00104CB0" w:rsidRPr="004B14F3">
        <w:rPr>
          <w:rStyle w:val="Strong"/>
          <w:rFonts w:ascii="Arial" w:hAnsi="Arial" w:cs="Arial"/>
          <w:sz w:val="20"/>
          <w:szCs w:val="20"/>
        </w:rPr>
        <w:t>of</w:t>
      </w:r>
      <w:r w:rsidR="00104CB0" w:rsidRPr="004B14F3">
        <w:rPr>
          <w:rStyle w:val="Strong"/>
          <w:rFonts w:ascii="Arial" w:hAnsi="Arial" w:cs="Arial"/>
          <w:i/>
          <w:iCs/>
          <w:sz w:val="20"/>
          <w:szCs w:val="20"/>
        </w:rPr>
        <w:t xml:space="preserve"> </w:t>
      </w:r>
      <w:proofErr w:type="spellStart"/>
      <w:r w:rsidR="00104CB0" w:rsidRPr="004B14F3">
        <w:rPr>
          <w:rStyle w:val="Emphasis"/>
          <w:rFonts w:ascii="Arial" w:hAnsi="Arial" w:cs="Arial"/>
          <w:b/>
          <w:bCs/>
          <w:sz w:val="20"/>
          <w:szCs w:val="20"/>
        </w:rPr>
        <w:t>Garra</w:t>
      </w:r>
      <w:proofErr w:type="spellEnd"/>
      <w:r w:rsidR="00104CB0" w:rsidRPr="004B14F3">
        <w:rPr>
          <w:rStyle w:val="Emphasis"/>
          <w:rFonts w:ascii="Arial" w:hAnsi="Arial" w:cs="Arial"/>
          <w:b/>
          <w:bCs/>
          <w:sz w:val="20"/>
          <w:szCs w:val="20"/>
        </w:rPr>
        <w:t xml:space="preserve"> </w:t>
      </w:r>
      <w:proofErr w:type="spellStart"/>
      <w:r w:rsidR="00104CB0" w:rsidRPr="004B14F3">
        <w:rPr>
          <w:rStyle w:val="Emphasis"/>
          <w:rFonts w:ascii="Arial" w:hAnsi="Arial" w:cs="Arial"/>
          <w:b/>
          <w:bCs/>
          <w:sz w:val="20"/>
          <w:szCs w:val="20"/>
        </w:rPr>
        <w:t>mully</w:t>
      </w:r>
      <w:r w:rsidR="00E0128D" w:rsidRPr="004B14F3">
        <w:rPr>
          <w:rStyle w:val="Emphasis"/>
          <w:rFonts w:ascii="Arial" w:hAnsi="Arial" w:cs="Arial"/>
          <w:b/>
          <w:bCs/>
          <w:i w:val="0"/>
          <w:iCs w:val="0"/>
          <w:sz w:val="20"/>
          <w:szCs w:val="20"/>
        </w:rPr>
        <w:t>a</w:t>
      </w:r>
      <w:proofErr w:type="spellEnd"/>
      <w:r w:rsidR="00E0128D" w:rsidRPr="004B14F3">
        <w:rPr>
          <w:rStyle w:val="Emphasis"/>
          <w:rFonts w:ascii="Arial" w:hAnsi="Arial" w:cs="Arial"/>
          <w:b/>
          <w:bCs/>
          <w:i w:val="0"/>
          <w:iCs w:val="0"/>
          <w:sz w:val="20"/>
          <w:szCs w:val="20"/>
        </w:rPr>
        <w:t>:</w:t>
      </w:r>
    </w:p>
    <w:p w14:paraId="339D3E73" w14:textId="77777777" w:rsidR="00104CB0" w:rsidRPr="004B14F3" w:rsidRDefault="00104CB0" w:rsidP="00075BD9">
      <w:pPr>
        <w:pStyle w:val="NormalWeb"/>
        <w:spacing w:line="480" w:lineRule="auto"/>
        <w:ind w:firstLine="720"/>
        <w:jc w:val="both"/>
        <w:rPr>
          <w:rFonts w:ascii="Arial" w:hAnsi="Arial" w:cs="Arial"/>
          <w:sz w:val="20"/>
          <w:szCs w:val="20"/>
        </w:rPr>
      </w:pPr>
      <w:r w:rsidRPr="004B14F3">
        <w:rPr>
          <w:rFonts w:ascii="Arial" w:hAnsi="Arial" w:cs="Arial"/>
          <w:sz w:val="20"/>
          <w:szCs w:val="20"/>
        </w:rPr>
        <w:t xml:space="preserve">The Maximum Likelihood (ML) phylogenetic reconstruction based on mitochondrial COI sequences revealed clear genetic structuring within </w:t>
      </w:r>
      <w:proofErr w:type="spellStart"/>
      <w:r w:rsidRPr="004B14F3">
        <w:rPr>
          <w:rStyle w:val="Emphasis"/>
          <w:rFonts w:ascii="Arial" w:eastAsiaTheme="majorEastAsia" w:hAnsi="Arial" w:cs="Arial"/>
          <w:sz w:val="20"/>
          <w:szCs w:val="20"/>
        </w:rPr>
        <w:t>Garra</w:t>
      </w:r>
      <w:proofErr w:type="spellEnd"/>
      <w:r w:rsidRPr="004B14F3">
        <w:rPr>
          <w:rStyle w:val="Emphasis"/>
          <w:rFonts w:ascii="Arial" w:eastAsiaTheme="majorEastAsia" w:hAnsi="Arial" w:cs="Arial"/>
          <w:sz w:val="20"/>
          <w:szCs w:val="20"/>
        </w:rPr>
        <w:t xml:space="preserve"> </w:t>
      </w:r>
      <w:proofErr w:type="spellStart"/>
      <w:r w:rsidRPr="004B14F3">
        <w:rPr>
          <w:rStyle w:val="Emphasis"/>
          <w:rFonts w:ascii="Arial" w:eastAsiaTheme="majorEastAsia" w:hAnsi="Arial" w:cs="Arial"/>
          <w:sz w:val="20"/>
          <w:szCs w:val="20"/>
        </w:rPr>
        <w:t>mullya</w:t>
      </w:r>
      <w:proofErr w:type="spellEnd"/>
      <w:r w:rsidRPr="004B14F3">
        <w:rPr>
          <w:rFonts w:ascii="Arial" w:hAnsi="Arial" w:cs="Arial"/>
          <w:sz w:val="20"/>
          <w:szCs w:val="20"/>
        </w:rPr>
        <w:t xml:space="preserve"> across its distributional range in India. The sequences generated in this study (AA1F–AA3F and AA1R–AA3R) consistently clustered within the major </w:t>
      </w:r>
      <w:r w:rsidRPr="004B14F3">
        <w:rPr>
          <w:rStyle w:val="Emphasis"/>
          <w:rFonts w:ascii="Arial" w:eastAsiaTheme="majorEastAsia" w:hAnsi="Arial" w:cs="Arial"/>
          <w:sz w:val="20"/>
          <w:szCs w:val="20"/>
        </w:rPr>
        <w:t xml:space="preserve">G. </w:t>
      </w:r>
      <w:proofErr w:type="spellStart"/>
      <w:r w:rsidRPr="004B14F3">
        <w:rPr>
          <w:rStyle w:val="Emphasis"/>
          <w:rFonts w:ascii="Arial" w:eastAsiaTheme="majorEastAsia" w:hAnsi="Arial" w:cs="Arial"/>
          <w:sz w:val="20"/>
          <w:szCs w:val="20"/>
        </w:rPr>
        <w:t>mullya</w:t>
      </w:r>
      <w:proofErr w:type="spellEnd"/>
      <w:r w:rsidRPr="004B14F3">
        <w:rPr>
          <w:rFonts w:ascii="Arial" w:hAnsi="Arial" w:cs="Arial"/>
          <w:sz w:val="20"/>
          <w:szCs w:val="20"/>
        </w:rPr>
        <w:t xml:space="preserve"> clade representing populations from Maharashtra, including publicly available sequences such as MK440699.1. Their placement within a strongly supported sub-cluster indicates a high degree of genetic similarity and affirms their taxonomic identity as </w:t>
      </w:r>
      <w:r w:rsidRPr="004B14F3">
        <w:rPr>
          <w:rStyle w:val="Emphasis"/>
          <w:rFonts w:ascii="Arial" w:eastAsiaTheme="majorEastAsia" w:hAnsi="Arial" w:cs="Arial"/>
          <w:sz w:val="20"/>
          <w:szCs w:val="20"/>
        </w:rPr>
        <w:t xml:space="preserve">G. </w:t>
      </w:r>
      <w:proofErr w:type="spellStart"/>
      <w:r w:rsidRPr="004B14F3">
        <w:rPr>
          <w:rStyle w:val="Emphasis"/>
          <w:rFonts w:ascii="Arial" w:eastAsiaTheme="majorEastAsia" w:hAnsi="Arial" w:cs="Arial"/>
          <w:sz w:val="20"/>
          <w:szCs w:val="20"/>
        </w:rPr>
        <w:t>mullya</w:t>
      </w:r>
      <w:proofErr w:type="spellEnd"/>
      <w:r w:rsidRPr="004B14F3">
        <w:rPr>
          <w:rFonts w:ascii="Arial" w:hAnsi="Arial" w:cs="Arial"/>
          <w:sz w:val="20"/>
          <w:szCs w:val="20"/>
        </w:rPr>
        <w:t xml:space="preserve"> from this region (</w:t>
      </w:r>
      <w:r w:rsidR="009138A5" w:rsidRPr="004B14F3">
        <w:rPr>
          <w:rFonts w:ascii="Arial" w:hAnsi="Arial" w:cs="Arial"/>
          <w:sz w:val="20"/>
          <w:szCs w:val="20"/>
        </w:rPr>
        <w:t>Figure 1</w:t>
      </w:r>
      <w:r w:rsidRPr="004B14F3">
        <w:rPr>
          <w:rFonts w:ascii="Arial" w:hAnsi="Arial" w:cs="Arial"/>
          <w:sz w:val="20"/>
          <w:szCs w:val="20"/>
        </w:rPr>
        <w:t>).</w:t>
      </w:r>
    </w:p>
    <w:p w14:paraId="3271A3A3" w14:textId="77777777" w:rsidR="00104CB0" w:rsidRPr="004B14F3" w:rsidRDefault="00104CB0" w:rsidP="00075BD9">
      <w:pPr>
        <w:pStyle w:val="NormalWeb"/>
        <w:spacing w:line="480" w:lineRule="auto"/>
        <w:ind w:firstLine="720"/>
        <w:jc w:val="both"/>
        <w:rPr>
          <w:rFonts w:ascii="Arial" w:hAnsi="Arial" w:cs="Arial"/>
          <w:sz w:val="20"/>
          <w:szCs w:val="20"/>
        </w:rPr>
      </w:pPr>
      <w:r w:rsidRPr="004B14F3">
        <w:rPr>
          <w:rFonts w:ascii="Arial" w:hAnsi="Arial" w:cs="Arial"/>
          <w:sz w:val="20"/>
          <w:szCs w:val="20"/>
        </w:rPr>
        <w:t xml:space="preserve">The close genetic affinity of the newly generated sequences to previously reported Maharashtra specimens </w:t>
      </w:r>
      <w:proofErr w:type="gramStart"/>
      <w:r w:rsidRPr="004B14F3">
        <w:rPr>
          <w:rFonts w:ascii="Arial" w:hAnsi="Arial" w:cs="Arial"/>
          <w:sz w:val="20"/>
          <w:szCs w:val="20"/>
        </w:rPr>
        <w:t>suggests</w:t>
      </w:r>
      <w:proofErr w:type="gramEnd"/>
      <w:r w:rsidRPr="004B14F3">
        <w:rPr>
          <w:rFonts w:ascii="Arial" w:hAnsi="Arial" w:cs="Arial"/>
          <w:sz w:val="20"/>
          <w:szCs w:val="20"/>
        </w:rPr>
        <w:t xml:space="preserve"> low intra-specific divergence within this population. In contrast, </w:t>
      </w:r>
      <w:r w:rsidRPr="004B14F3">
        <w:rPr>
          <w:rStyle w:val="Emphasis"/>
          <w:rFonts w:ascii="Arial" w:eastAsiaTheme="majorEastAsia" w:hAnsi="Arial" w:cs="Arial"/>
          <w:sz w:val="20"/>
          <w:szCs w:val="20"/>
        </w:rPr>
        <w:t xml:space="preserve">G. </w:t>
      </w:r>
      <w:proofErr w:type="spellStart"/>
      <w:r w:rsidRPr="004B14F3">
        <w:rPr>
          <w:rStyle w:val="Emphasis"/>
          <w:rFonts w:ascii="Arial" w:eastAsiaTheme="majorEastAsia" w:hAnsi="Arial" w:cs="Arial"/>
          <w:sz w:val="20"/>
          <w:szCs w:val="20"/>
        </w:rPr>
        <w:t>mullya</w:t>
      </w:r>
      <w:proofErr w:type="spellEnd"/>
      <w:r w:rsidRPr="004B14F3">
        <w:rPr>
          <w:rFonts w:ascii="Arial" w:hAnsi="Arial" w:cs="Arial"/>
          <w:sz w:val="20"/>
          <w:szCs w:val="20"/>
        </w:rPr>
        <w:t xml:space="preserve"> sequences from Chhattisgarh, Andhra Pradesh, and Madhya Pradesh formed adjacent but distinct sub-clusters, pointing to possible geographic structuring and the presence of region-specific haplotypes. Such </w:t>
      </w:r>
      <w:r w:rsidRPr="004B14F3">
        <w:rPr>
          <w:rFonts w:ascii="Arial" w:hAnsi="Arial" w:cs="Arial"/>
          <w:sz w:val="20"/>
          <w:szCs w:val="20"/>
        </w:rPr>
        <w:lastRenderedPageBreak/>
        <w:t>divergence is likely shaped by historical river basin separation and localized ecological pressures (</w:t>
      </w:r>
      <w:r w:rsidRPr="004B14F3">
        <w:rPr>
          <w:rFonts w:ascii="Arial" w:hAnsi="Arial" w:cs="Arial"/>
          <w:color w:val="000000"/>
          <w:sz w:val="20"/>
          <w:szCs w:val="20"/>
        </w:rPr>
        <w:t>Khedkar</w:t>
      </w:r>
      <w:r w:rsidR="003C6B42" w:rsidRPr="004B14F3">
        <w:rPr>
          <w:rFonts w:ascii="Arial" w:hAnsi="Arial" w:cs="Arial"/>
          <w:color w:val="000000"/>
          <w:sz w:val="20"/>
          <w:szCs w:val="20"/>
        </w:rPr>
        <w:t xml:space="preserve"> </w:t>
      </w:r>
      <w:r w:rsidRPr="004B14F3">
        <w:rPr>
          <w:rFonts w:ascii="Arial" w:hAnsi="Arial" w:cs="Arial"/>
          <w:i/>
          <w:iCs/>
          <w:color w:val="000000"/>
          <w:sz w:val="20"/>
          <w:szCs w:val="20"/>
        </w:rPr>
        <w:t>et al</w:t>
      </w:r>
      <w:r w:rsidRPr="004B14F3">
        <w:rPr>
          <w:rFonts w:ascii="Arial" w:hAnsi="Arial" w:cs="Arial"/>
          <w:color w:val="000000"/>
          <w:sz w:val="20"/>
          <w:szCs w:val="20"/>
        </w:rPr>
        <w:t xml:space="preserve">., </w:t>
      </w:r>
      <w:r w:rsidRPr="004B14F3">
        <w:rPr>
          <w:rFonts w:ascii="Arial" w:hAnsi="Arial" w:cs="Arial"/>
          <w:sz w:val="20"/>
          <w:szCs w:val="20"/>
        </w:rPr>
        <w:t>2014).</w:t>
      </w:r>
    </w:p>
    <w:p w14:paraId="4C9F603B" w14:textId="77777777" w:rsidR="00104CB0" w:rsidRPr="004B14F3" w:rsidRDefault="00104CB0" w:rsidP="00075BD9">
      <w:pPr>
        <w:pStyle w:val="NormalWeb"/>
        <w:spacing w:line="480" w:lineRule="auto"/>
        <w:ind w:firstLine="720"/>
        <w:jc w:val="both"/>
        <w:rPr>
          <w:rFonts w:ascii="Arial" w:hAnsi="Arial" w:cs="Arial"/>
          <w:sz w:val="20"/>
          <w:szCs w:val="20"/>
        </w:rPr>
      </w:pPr>
      <w:r w:rsidRPr="004B14F3">
        <w:rPr>
          <w:rFonts w:ascii="Arial" w:hAnsi="Arial" w:cs="Arial"/>
          <w:sz w:val="20"/>
          <w:szCs w:val="20"/>
        </w:rPr>
        <w:t xml:space="preserve">Sequences originating from Rajasthan and Chhattisgarh also grouped within the broader </w:t>
      </w:r>
      <w:r w:rsidRPr="004B14F3">
        <w:rPr>
          <w:rStyle w:val="Emphasis"/>
          <w:rFonts w:ascii="Arial" w:eastAsiaTheme="majorEastAsia" w:hAnsi="Arial" w:cs="Arial"/>
          <w:sz w:val="20"/>
          <w:szCs w:val="20"/>
        </w:rPr>
        <w:t xml:space="preserve">G. </w:t>
      </w:r>
      <w:proofErr w:type="spellStart"/>
      <w:r w:rsidRPr="004B14F3">
        <w:rPr>
          <w:rStyle w:val="Emphasis"/>
          <w:rFonts w:ascii="Arial" w:eastAsiaTheme="majorEastAsia" w:hAnsi="Arial" w:cs="Arial"/>
          <w:sz w:val="20"/>
          <w:szCs w:val="20"/>
        </w:rPr>
        <w:t>mullya</w:t>
      </w:r>
      <w:proofErr w:type="spellEnd"/>
      <w:r w:rsidRPr="004B14F3">
        <w:rPr>
          <w:rFonts w:ascii="Arial" w:hAnsi="Arial" w:cs="Arial"/>
          <w:sz w:val="20"/>
          <w:szCs w:val="20"/>
        </w:rPr>
        <w:t xml:space="preserve"> lineage but exhibited subtle genetic differentiation. These patterns may reflect environmental adaptation, demographic isolation, or historical fragmentation of populations (</w:t>
      </w:r>
      <w:proofErr w:type="spellStart"/>
      <w:r w:rsidRPr="004B14F3">
        <w:rPr>
          <w:rFonts w:ascii="Arial" w:hAnsi="Arial" w:cs="Arial"/>
          <w:sz w:val="20"/>
          <w:szCs w:val="20"/>
        </w:rPr>
        <w:t>Sabaridasan</w:t>
      </w:r>
      <w:proofErr w:type="spellEnd"/>
      <w:r w:rsidR="003C6B42" w:rsidRPr="004B14F3">
        <w:rPr>
          <w:rFonts w:ascii="Arial" w:hAnsi="Arial" w:cs="Arial"/>
          <w:sz w:val="20"/>
          <w:szCs w:val="20"/>
        </w:rPr>
        <w:t xml:space="preserve"> </w:t>
      </w:r>
      <w:r w:rsidRPr="004B14F3">
        <w:rPr>
          <w:rFonts w:ascii="Arial" w:hAnsi="Arial" w:cs="Arial"/>
          <w:i/>
          <w:iCs/>
          <w:sz w:val="20"/>
          <w:szCs w:val="20"/>
        </w:rPr>
        <w:t>et al.,</w:t>
      </w:r>
      <w:r w:rsidRPr="004B14F3">
        <w:rPr>
          <w:rFonts w:ascii="Arial" w:hAnsi="Arial" w:cs="Arial"/>
          <w:sz w:val="20"/>
          <w:szCs w:val="20"/>
        </w:rPr>
        <w:t xml:space="preserve"> 2017). The clear separation of all </w:t>
      </w:r>
      <w:r w:rsidRPr="004B14F3">
        <w:rPr>
          <w:rStyle w:val="Emphasis"/>
          <w:rFonts w:ascii="Arial" w:eastAsiaTheme="majorEastAsia" w:hAnsi="Arial" w:cs="Arial"/>
          <w:sz w:val="20"/>
          <w:szCs w:val="20"/>
        </w:rPr>
        <w:t xml:space="preserve">G. </w:t>
      </w:r>
      <w:proofErr w:type="spellStart"/>
      <w:r w:rsidRPr="004B14F3">
        <w:rPr>
          <w:rStyle w:val="Emphasis"/>
          <w:rFonts w:ascii="Arial" w:eastAsiaTheme="majorEastAsia" w:hAnsi="Arial" w:cs="Arial"/>
          <w:sz w:val="20"/>
          <w:szCs w:val="20"/>
        </w:rPr>
        <w:t>mullya</w:t>
      </w:r>
      <w:proofErr w:type="spellEnd"/>
      <w:r w:rsidR="003C6B42" w:rsidRPr="004B14F3">
        <w:rPr>
          <w:rFonts w:ascii="Arial" w:hAnsi="Arial" w:cs="Arial"/>
          <w:sz w:val="20"/>
          <w:szCs w:val="20"/>
        </w:rPr>
        <w:t xml:space="preserve"> sequences from </w:t>
      </w:r>
      <w:r w:rsidRPr="004B14F3">
        <w:rPr>
          <w:rFonts w:ascii="Arial" w:hAnsi="Arial" w:cs="Arial"/>
          <w:sz w:val="20"/>
          <w:szCs w:val="20"/>
        </w:rPr>
        <w:t>outgroup (</w:t>
      </w:r>
      <w:r w:rsidRPr="004B14F3">
        <w:rPr>
          <w:rStyle w:val="Emphasis"/>
          <w:rFonts w:ascii="Arial" w:eastAsiaTheme="majorEastAsia" w:hAnsi="Arial" w:cs="Arial"/>
          <w:sz w:val="20"/>
          <w:szCs w:val="20"/>
        </w:rPr>
        <w:t>Catostomus</w:t>
      </w:r>
      <w:r w:rsidR="003C6B42" w:rsidRPr="004B14F3">
        <w:rPr>
          <w:rStyle w:val="Emphasis"/>
          <w:rFonts w:ascii="Arial" w:eastAsiaTheme="majorEastAsia" w:hAnsi="Arial" w:cs="Arial"/>
          <w:sz w:val="20"/>
          <w:szCs w:val="20"/>
        </w:rPr>
        <w:t xml:space="preserve"> </w:t>
      </w:r>
      <w:proofErr w:type="spellStart"/>
      <w:r w:rsidRPr="004B14F3">
        <w:rPr>
          <w:rStyle w:val="Emphasis"/>
          <w:rFonts w:ascii="Arial" w:eastAsiaTheme="majorEastAsia" w:hAnsi="Arial" w:cs="Arial"/>
          <w:sz w:val="20"/>
          <w:szCs w:val="20"/>
        </w:rPr>
        <w:t>catostomus</w:t>
      </w:r>
      <w:proofErr w:type="spellEnd"/>
      <w:r w:rsidRPr="004B14F3">
        <w:rPr>
          <w:rFonts w:ascii="Arial" w:hAnsi="Arial" w:cs="Arial"/>
          <w:sz w:val="20"/>
          <w:szCs w:val="20"/>
        </w:rPr>
        <w:t>) confirms the robustness and taxonomic resolution of the ML tree (</w:t>
      </w:r>
      <w:proofErr w:type="spellStart"/>
      <w:r w:rsidRPr="004B14F3">
        <w:rPr>
          <w:rFonts w:ascii="Arial" w:hAnsi="Arial" w:cs="Arial"/>
          <w:sz w:val="20"/>
          <w:szCs w:val="20"/>
        </w:rPr>
        <w:t>Schoelinck</w:t>
      </w:r>
      <w:proofErr w:type="spellEnd"/>
      <w:r w:rsidR="003C6B42" w:rsidRPr="004B14F3">
        <w:rPr>
          <w:rFonts w:ascii="Arial" w:hAnsi="Arial" w:cs="Arial"/>
          <w:sz w:val="20"/>
          <w:szCs w:val="20"/>
        </w:rPr>
        <w:t xml:space="preserve"> </w:t>
      </w:r>
      <w:r w:rsidRPr="004B14F3">
        <w:rPr>
          <w:rFonts w:ascii="Arial" w:hAnsi="Arial" w:cs="Arial"/>
          <w:i/>
          <w:iCs/>
          <w:sz w:val="20"/>
          <w:szCs w:val="20"/>
        </w:rPr>
        <w:t>et al</w:t>
      </w:r>
      <w:r w:rsidRPr="004B14F3">
        <w:rPr>
          <w:rFonts w:ascii="Arial" w:hAnsi="Arial" w:cs="Arial"/>
          <w:sz w:val="20"/>
          <w:szCs w:val="20"/>
        </w:rPr>
        <w:t>., 2016).</w:t>
      </w:r>
    </w:p>
    <w:p w14:paraId="193BA43B" w14:textId="77777777" w:rsidR="00104CB0" w:rsidRPr="004B14F3" w:rsidRDefault="00104CB0" w:rsidP="00075BD9">
      <w:pPr>
        <w:pStyle w:val="NormalWeb"/>
        <w:spacing w:line="480" w:lineRule="auto"/>
        <w:ind w:firstLine="720"/>
        <w:jc w:val="both"/>
        <w:rPr>
          <w:rFonts w:ascii="Arial" w:hAnsi="Arial" w:cs="Arial"/>
          <w:sz w:val="20"/>
          <w:szCs w:val="20"/>
        </w:rPr>
      </w:pPr>
      <w:r w:rsidRPr="004B14F3">
        <w:rPr>
          <w:rFonts w:ascii="Arial" w:hAnsi="Arial" w:cs="Arial"/>
          <w:sz w:val="20"/>
          <w:szCs w:val="20"/>
        </w:rPr>
        <w:t xml:space="preserve">Overall, the placement of AA1F–AA3F and AA1R–AA3R within the Maharashtra clade underscores the genetic cohesion of this regional population and enriches the existing knowledge of intra-specific diversity within </w:t>
      </w:r>
      <w:r w:rsidRPr="004B14F3">
        <w:rPr>
          <w:rStyle w:val="Emphasis"/>
          <w:rFonts w:ascii="Arial" w:eastAsiaTheme="majorEastAsia" w:hAnsi="Arial" w:cs="Arial"/>
          <w:sz w:val="20"/>
          <w:szCs w:val="20"/>
        </w:rPr>
        <w:t xml:space="preserve">G. </w:t>
      </w:r>
      <w:proofErr w:type="spellStart"/>
      <w:r w:rsidRPr="004B14F3">
        <w:rPr>
          <w:rStyle w:val="Emphasis"/>
          <w:rFonts w:ascii="Arial" w:eastAsiaTheme="majorEastAsia" w:hAnsi="Arial" w:cs="Arial"/>
          <w:sz w:val="20"/>
          <w:szCs w:val="20"/>
        </w:rPr>
        <w:t>mullya</w:t>
      </w:r>
      <w:proofErr w:type="spellEnd"/>
      <w:r w:rsidRPr="004B14F3">
        <w:rPr>
          <w:rFonts w:ascii="Arial" w:hAnsi="Arial" w:cs="Arial"/>
          <w:sz w:val="20"/>
          <w:szCs w:val="20"/>
        </w:rPr>
        <w:t>. These findings also provide reliable molecular reference points for future barcoding and conservation-oriented studies.</w:t>
      </w:r>
    </w:p>
    <w:p w14:paraId="20183B62" w14:textId="77777777" w:rsidR="00E33BF7" w:rsidRPr="004B14F3" w:rsidRDefault="00000000">
      <w:pPr>
        <w:pStyle w:val="NormalWeb"/>
      </w:pPr>
      <w:r w:rsidRPr="004B14F3">
        <w:t xml:space="preserve">The clustering pattern should therefore be interpreted as evidence of regional affinity rather than as complete population-level resolution, because COI-based datasets are most informative when supported by adequate geographic sampling and comparative reference sequences. Similar studies on Indian freshwater fishes have shown that COI can discriminate closely related taxa and reveal geographically informative lineages, but they also emphasize that barcode results should be evaluated alongside sampling coverage, morphology, and river-basin context (Sharma &amp; Nagar, 2020; Patil et al., 2018; </w:t>
      </w:r>
      <w:proofErr w:type="spellStart"/>
      <w:r w:rsidRPr="004B14F3">
        <w:t>Modeel</w:t>
      </w:r>
      <w:proofErr w:type="spellEnd"/>
      <w:r w:rsidRPr="004B14F3">
        <w:t xml:space="preserve"> et al., 2024). For G. </w:t>
      </w:r>
      <w:proofErr w:type="spellStart"/>
      <w:r w:rsidRPr="004B14F3">
        <w:t>mullya</w:t>
      </w:r>
      <w:proofErr w:type="spellEnd"/>
      <w:r w:rsidRPr="004B14F3">
        <w:t>, the association of the present sequences with Maharashtra records is consistent with localized genetic cohesion, whereas the separation of sequences from other Indian regions may reflect river-basin fragmentation, isolation by distance, or unsampled haplotype diversity rather than immediate evidence of taxonomic separation (Khedkar et al., 2014; Kundu et al., 2019).</w:t>
      </w:r>
    </w:p>
    <w:p w14:paraId="5CAAF12C" w14:textId="77777777" w:rsidR="00104CB0" w:rsidRPr="004B14F3" w:rsidRDefault="00104CB0" w:rsidP="00075BD9">
      <w:pPr>
        <w:pStyle w:val="NormalWeb"/>
        <w:keepNext/>
        <w:spacing w:line="480" w:lineRule="auto"/>
        <w:ind w:firstLine="720"/>
        <w:jc w:val="center"/>
        <w:rPr>
          <w:rFonts w:ascii="Arial" w:hAnsi="Arial" w:cs="Arial"/>
          <w:sz w:val="20"/>
          <w:szCs w:val="20"/>
        </w:rPr>
      </w:pPr>
      <w:r w:rsidRPr="004B14F3">
        <w:rPr>
          <w:rFonts w:ascii="Arial" w:hAnsi="Arial" w:cs="Arial"/>
          <w:noProof/>
          <w:sz w:val="20"/>
          <w:szCs w:val="20"/>
        </w:rPr>
        <w:lastRenderedPageBreak/>
        <w:drawing>
          <wp:inline distT="0" distB="0" distL="0" distR="0" wp14:anchorId="22166B32" wp14:editId="511B1D4D">
            <wp:extent cx="3410174" cy="7215994"/>
            <wp:effectExtent l="1905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00_bootstrap captio.png"/>
                    <pic:cNvPicPr/>
                  </pic:nvPicPr>
                  <pic:blipFill>
                    <a:blip r:embed="rId7">
                      <a:extLst>
                        <a:ext uri="{28A0092B-C50C-407E-A947-70E740481C1C}">
                          <a14:useLocalDpi xmlns:a14="http://schemas.microsoft.com/office/drawing/2010/main" val="0"/>
                        </a:ext>
                      </a:extLst>
                    </a:blip>
                    <a:stretch>
                      <a:fillRect/>
                    </a:stretch>
                  </pic:blipFill>
                  <pic:spPr>
                    <a:xfrm>
                      <a:off x="0" y="0"/>
                      <a:ext cx="3412044" cy="7219950"/>
                    </a:xfrm>
                    <a:prstGeom prst="rect">
                      <a:avLst/>
                    </a:prstGeom>
                  </pic:spPr>
                </pic:pic>
              </a:graphicData>
            </a:graphic>
          </wp:inline>
        </w:drawing>
      </w:r>
    </w:p>
    <w:p w14:paraId="24F30545" w14:textId="77777777" w:rsidR="00E0128D" w:rsidRPr="004B14F3" w:rsidRDefault="00104CB0" w:rsidP="00075BD9">
      <w:pPr>
        <w:pStyle w:val="Caption"/>
        <w:tabs>
          <w:tab w:val="left" w:pos="4860"/>
        </w:tabs>
        <w:spacing w:line="480" w:lineRule="auto"/>
        <w:jc w:val="center"/>
        <w:rPr>
          <w:rStyle w:val="Strong"/>
          <w:rFonts w:ascii="Arial" w:hAnsi="Arial" w:cs="Arial"/>
          <w:b/>
          <w:bCs/>
          <w:color w:val="auto"/>
          <w:sz w:val="20"/>
          <w:szCs w:val="20"/>
        </w:rPr>
      </w:pPr>
      <w:bookmarkStart w:id="0" w:name="_Toc215494625"/>
      <w:bookmarkStart w:id="1" w:name="_Toc215495944"/>
      <w:bookmarkStart w:id="2" w:name="_Toc217034579"/>
      <w:r w:rsidRPr="004B14F3">
        <w:rPr>
          <w:rFonts w:ascii="Arial" w:hAnsi="Arial" w:cs="Arial"/>
          <w:color w:val="auto"/>
          <w:sz w:val="20"/>
          <w:szCs w:val="20"/>
        </w:rPr>
        <w:t xml:space="preserve">Figure </w:t>
      </w:r>
      <w:r w:rsidR="00163CDE" w:rsidRPr="004B14F3">
        <w:rPr>
          <w:rFonts w:ascii="Arial" w:hAnsi="Arial" w:cs="Arial"/>
          <w:color w:val="auto"/>
          <w:sz w:val="20"/>
          <w:szCs w:val="20"/>
        </w:rPr>
        <w:fldChar w:fldCharType="begin"/>
      </w:r>
      <w:r w:rsidRPr="004B14F3">
        <w:rPr>
          <w:rFonts w:ascii="Arial" w:hAnsi="Arial" w:cs="Arial"/>
          <w:color w:val="auto"/>
          <w:sz w:val="20"/>
          <w:szCs w:val="20"/>
        </w:rPr>
        <w:instrText xml:space="preserve"> SEQ Figure \* ARABIC </w:instrText>
      </w:r>
      <w:r w:rsidR="00163CDE" w:rsidRPr="004B14F3">
        <w:rPr>
          <w:rFonts w:ascii="Arial" w:hAnsi="Arial" w:cs="Arial"/>
          <w:color w:val="auto"/>
          <w:sz w:val="20"/>
          <w:szCs w:val="20"/>
        </w:rPr>
        <w:fldChar w:fldCharType="separate"/>
      </w:r>
      <w:r w:rsidR="004C6026" w:rsidRPr="004B14F3">
        <w:rPr>
          <w:rFonts w:ascii="Arial" w:hAnsi="Arial" w:cs="Arial"/>
          <w:noProof/>
          <w:color w:val="auto"/>
          <w:sz w:val="20"/>
          <w:szCs w:val="20"/>
        </w:rPr>
        <w:t>1</w:t>
      </w:r>
      <w:r w:rsidR="00163CDE" w:rsidRPr="004B14F3">
        <w:rPr>
          <w:rFonts w:ascii="Arial" w:hAnsi="Arial" w:cs="Arial"/>
          <w:color w:val="auto"/>
          <w:sz w:val="20"/>
          <w:szCs w:val="20"/>
        </w:rPr>
        <w:fldChar w:fldCharType="end"/>
      </w:r>
      <w:r w:rsidR="00D24CAE" w:rsidRPr="004B14F3">
        <w:rPr>
          <w:rFonts w:ascii="Arial" w:hAnsi="Arial" w:cs="Arial"/>
          <w:color w:val="auto"/>
          <w:sz w:val="20"/>
          <w:szCs w:val="20"/>
        </w:rPr>
        <w:t>:</w:t>
      </w:r>
      <w:r w:rsidRPr="004B14F3">
        <w:rPr>
          <w:rFonts w:ascii="Arial" w:hAnsi="Arial" w:cs="Arial"/>
          <w:color w:val="auto"/>
          <w:sz w:val="20"/>
          <w:szCs w:val="20"/>
        </w:rPr>
        <w:t xml:space="preserve"> Evolutionary Analysis by Maximum likelihood method with 100 Bootstrap using Tamura 3 parameter model of </w:t>
      </w:r>
      <w:proofErr w:type="spellStart"/>
      <w:r w:rsidRPr="004B14F3">
        <w:rPr>
          <w:rFonts w:ascii="Arial" w:hAnsi="Arial" w:cs="Arial"/>
          <w:color w:val="auto"/>
          <w:sz w:val="20"/>
          <w:szCs w:val="20"/>
        </w:rPr>
        <w:t>Cyprinidae</w:t>
      </w:r>
      <w:proofErr w:type="spellEnd"/>
      <w:r w:rsidRPr="004B14F3">
        <w:rPr>
          <w:rFonts w:ascii="Arial" w:hAnsi="Arial" w:cs="Arial"/>
          <w:color w:val="auto"/>
          <w:sz w:val="20"/>
          <w:szCs w:val="20"/>
        </w:rPr>
        <w:t xml:space="preserve"> family.</w:t>
      </w:r>
      <w:bookmarkEnd w:id="0"/>
      <w:bookmarkEnd w:id="1"/>
      <w:bookmarkEnd w:id="2"/>
    </w:p>
    <w:p w14:paraId="1A1DEB34" w14:textId="77777777" w:rsidR="00104CB0" w:rsidRPr="004B14F3" w:rsidRDefault="00330EDC" w:rsidP="00075BD9">
      <w:pPr>
        <w:pStyle w:val="NormalWeb"/>
        <w:spacing w:line="480" w:lineRule="auto"/>
        <w:jc w:val="both"/>
        <w:rPr>
          <w:rFonts w:ascii="Arial" w:hAnsi="Arial" w:cs="Arial"/>
          <w:b/>
          <w:bCs/>
          <w:sz w:val="22"/>
          <w:szCs w:val="22"/>
        </w:rPr>
      </w:pPr>
      <w:r w:rsidRPr="004B14F3">
        <w:rPr>
          <w:rStyle w:val="Strong"/>
          <w:rFonts w:ascii="Arial" w:hAnsi="Arial" w:cs="Arial"/>
          <w:sz w:val="22"/>
          <w:szCs w:val="22"/>
        </w:rPr>
        <w:lastRenderedPageBreak/>
        <w:t xml:space="preserve">3.2 </w:t>
      </w:r>
      <w:r w:rsidR="00104CB0" w:rsidRPr="004B14F3">
        <w:rPr>
          <w:rStyle w:val="Strong"/>
          <w:rFonts w:ascii="Arial" w:hAnsi="Arial" w:cs="Arial"/>
          <w:sz w:val="22"/>
          <w:szCs w:val="22"/>
        </w:rPr>
        <w:t xml:space="preserve">Phylogenetic </w:t>
      </w:r>
      <w:r w:rsidR="00E0128D" w:rsidRPr="004B14F3">
        <w:rPr>
          <w:rStyle w:val="Strong"/>
          <w:rFonts w:ascii="Arial" w:hAnsi="Arial" w:cs="Arial"/>
          <w:sz w:val="22"/>
          <w:szCs w:val="22"/>
        </w:rPr>
        <w:t>assessment of</w:t>
      </w:r>
      <w:r w:rsidR="00104CB0" w:rsidRPr="004B14F3">
        <w:rPr>
          <w:rStyle w:val="Strong"/>
          <w:rFonts w:ascii="Arial" w:hAnsi="Arial" w:cs="Arial"/>
          <w:sz w:val="22"/>
          <w:szCs w:val="22"/>
        </w:rPr>
        <w:t xml:space="preserve"> </w:t>
      </w:r>
      <w:proofErr w:type="spellStart"/>
      <w:r w:rsidR="00104CB0" w:rsidRPr="004B14F3">
        <w:rPr>
          <w:rStyle w:val="Emphasis"/>
          <w:rFonts w:ascii="Arial" w:eastAsiaTheme="majorEastAsia" w:hAnsi="Arial" w:cs="Arial"/>
          <w:b/>
          <w:bCs/>
          <w:sz w:val="22"/>
          <w:szCs w:val="22"/>
        </w:rPr>
        <w:t>Parambassis</w:t>
      </w:r>
      <w:proofErr w:type="spellEnd"/>
      <w:r w:rsidR="00104CB0" w:rsidRPr="004B14F3">
        <w:rPr>
          <w:rStyle w:val="Emphasis"/>
          <w:rFonts w:ascii="Arial" w:eastAsiaTheme="majorEastAsia" w:hAnsi="Arial" w:cs="Arial"/>
          <w:b/>
          <w:bCs/>
          <w:sz w:val="22"/>
          <w:szCs w:val="22"/>
        </w:rPr>
        <w:t xml:space="preserve"> </w:t>
      </w:r>
      <w:proofErr w:type="spellStart"/>
      <w:r w:rsidR="00104CB0" w:rsidRPr="004B14F3">
        <w:rPr>
          <w:rStyle w:val="Emphasis"/>
          <w:rFonts w:ascii="Arial" w:eastAsiaTheme="majorEastAsia" w:hAnsi="Arial" w:cs="Arial"/>
          <w:b/>
          <w:bCs/>
          <w:sz w:val="22"/>
          <w:szCs w:val="22"/>
        </w:rPr>
        <w:t>ranga</w:t>
      </w:r>
      <w:proofErr w:type="spellEnd"/>
      <w:r w:rsidR="00E0128D" w:rsidRPr="004B14F3">
        <w:rPr>
          <w:rStyle w:val="Emphasis"/>
          <w:rFonts w:ascii="Arial" w:eastAsiaTheme="majorEastAsia" w:hAnsi="Arial" w:cs="Arial"/>
          <w:b/>
          <w:bCs/>
          <w:i w:val="0"/>
          <w:iCs w:val="0"/>
          <w:sz w:val="22"/>
          <w:szCs w:val="22"/>
        </w:rPr>
        <w:t>:</w:t>
      </w:r>
    </w:p>
    <w:p w14:paraId="08D4FA24" w14:textId="77777777" w:rsidR="00104CB0" w:rsidRPr="004B14F3" w:rsidRDefault="00104CB0" w:rsidP="00075BD9">
      <w:pPr>
        <w:pStyle w:val="NormalWeb"/>
        <w:spacing w:line="480" w:lineRule="auto"/>
        <w:ind w:firstLine="720"/>
        <w:jc w:val="both"/>
        <w:rPr>
          <w:rFonts w:ascii="Arial" w:hAnsi="Arial" w:cs="Arial"/>
          <w:sz w:val="20"/>
          <w:szCs w:val="20"/>
        </w:rPr>
      </w:pPr>
      <w:r w:rsidRPr="004B14F3">
        <w:t xml:space="preserve">The Bayesian inference tree resolved several strongly supported </w:t>
      </w:r>
      <w:proofErr w:type="gramStart"/>
      <w:r w:rsidRPr="004B14F3">
        <w:t>clade</w:t>
      </w:r>
      <w:proofErr w:type="gramEnd"/>
      <w:r w:rsidRPr="004B14F3">
        <w:t xml:space="preserve"> within </w:t>
      </w:r>
      <w:proofErr w:type="spellStart"/>
      <w:r w:rsidRPr="004B14F3">
        <w:t>Parambassis</w:t>
      </w:r>
      <w:proofErr w:type="spellEnd"/>
      <w:r w:rsidRPr="004B14F3">
        <w:t xml:space="preserve">, with posterior probability (PP) values ≥0.95, indicating high analytical confidence. The sequences B1, B2, and B3 generated in this study demonstrated notable genetic distinctiveness, forming separate lineages within the P. </w:t>
      </w:r>
      <w:proofErr w:type="spellStart"/>
      <w:r w:rsidRPr="004B14F3">
        <w:t>ranga</w:t>
      </w:r>
      <w:proofErr w:type="spellEnd"/>
      <w:r w:rsidRPr="004B14F3">
        <w:t xml:space="preserve"> complex (Figure 2).</w:t>
      </w:r>
    </w:p>
    <w:p w14:paraId="6D8CFF28" w14:textId="77777777" w:rsidR="00104CB0" w:rsidRPr="004B14F3" w:rsidRDefault="00104CB0" w:rsidP="00075BD9">
      <w:pPr>
        <w:pStyle w:val="NormalWeb"/>
        <w:spacing w:line="480" w:lineRule="auto"/>
        <w:ind w:firstLine="720"/>
        <w:jc w:val="both"/>
        <w:rPr>
          <w:rFonts w:ascii="Arial" w:hAnsi="Arial" w:cs="Arial"/>
          <w:sz w:val="20"/>
          <w:szCs w:val="20"/>
        </w:rPr>
      </w:pPr>
      <w:r w:rsidRPr="004B14F3">
        <w:rPr>
          <w:rFonts w:ascii="Arial" w:hAnsi="Arial" w:cs="Arial"/>
          <w:sz w:val="20"/>
          <w:szCs w:val="20"/>
        </w:rPr>
        <w:t xml:space="preserve">Sequence B1 clustered with a well-supported northeastern clade comprising samples from Mizoram and Meghalaya (PP = 1.0), suggesting its genetic affinity to populations from this region. Conversely, B2 and B3 formed a monophyletic sub-clade aligned with sequences from Maharashtra, pointing toward geographically structured divergence within </w:t>
      </w:r>
      <w:r w:rsidRPr="004B14F3">
        <w:rPr>
          <w:rStyle w:val="Emphasis"/>
          <w:rFonts w:ascii="Arial" w:eastAsiaTheme="majorEastAsia" w:hAnsi="Arial" w:cs="Arial"/>
          <w:sz w:val="20"/>
          <w:szCs w:val="20"/>
        </w:rPr>
        <w:t xml:space="preserve">P. </w:t>
      </w:r>
      <w:proofErr w:type="spellStart"/>
      <w:r w:rsidRPr="004B14F3">
        <w:rPr>
          <w:rStyle w:val="Emphasis"/>
          <w:rFonts w:ascii="Arial" w:eastAsiaTheme="majorEastAsia" w:hAnsi="Arial" w:cs="Arial"/>
          <w:sz w:val="20"/>
          <w:szCs w:val="20"/>
        </w:rPr>
        <w:t>ranga</w:t>
      </w:r>
      <w:proofErr w:type="spellEnd"/>
      <w:r w:rsidRPr="004B14F3">
        <w:rPr>
          <w:rFonts w:ascii="Arial" w:hAnsi="Arial" w:cs="Arial"/>
          <w:sz w:val="20"/>
          <w:szCs w:val="20"/>
        </w:rPr>
        <w:t>. This outcome mirrors earlier studies that reported multiple cryptic lineages within the species, highlighting its complex evolutionary history.</w:t>
      </w:r>
    </w:p>
    <w:p w14:paraId="552597B1" w14:textId="77777777" w:rsidR="00104CB0" w:rsidRPr="004B14F3" w:rsidRDefault="00104CB0" w:rsidP="00075BD9">
      <w:pPr>
        <w:pStyle w:val="NormalWeb"/>
        <w:spacing w:line="480" w:lineRule="auto"/>
        <w:ind w:firstLine="720"/>
        <w:jc w:val="both"/>
        <w:rPr>
          <w:rFonts w:ascii="Arial" w:hAnsi="Arial" w:cs="Arial"/>
          <w:sz w:val="20"/>
          <w:szCs w:val="20"/>
        </w:rPr>
      </w:pPr>
      <w:r w:rsidRPr="004B14F3">
        <w:rPr>
          <w:rFonts w:ascii="Arial" w:hAnsi="Arial" w:cs="Arial"/>
          <w:sz w:val="20"/>
          <w:szCs w:val="20"/>
        </w:rPr>
        <w:t>The deep separation of northeastern and Maharashtra-associated clade suggests restricted gene flow between regions, likely driven by river basin isolation, historical hydrological shifts, and ecological barriers. The unique placement of the B2 and B3 sequences further supports the presence of region-specific evolutionary significant units (ESUs), particularly within the Western Ghats region.</w:t>
      </w:r>
    </w:p>
    <w:p w14:paraId="1E394C60" w14:textId="77777777" w:rsidR="00104CB0" w:rsidRPr="004B14F3" w:rsidRDefault="00104CB0" w:rsidP="00075BD9">
      <w:pPr>
        <w:pStyle w:val="NormalWeb"/>
        <w:spacing w:line="480" w:lineRule="auto"/>
        <w:ind w:firstLine="720"/>
        <w:jc w:val="both"/>
        <w:rPr>
          <w:rFonts w:ascii="Arial" w:hAnsi="Arial" w:cs="Arial"/>
          <w:sz w:val="20"/>
          <w:szCs w:val="20"/>
        </w:rPr>
      </w:pPr>
      <w:r w:rsidRPr="004B14F3">
        <w:rPr>
          <w:rFonts w:ascii="Arial" w:hAnsi="Arial" w:cs="Arial"/>
          <w:sz w:val="20"/>
          <w:szCs w:val="20"/>
        </w:rPr>
        <w:t xml:space="preserve">These results collectively reinforce the hypothesis that </w:t>
      </w:r>
      <w:r w:rsidRPr="004B14F3">
        <w:rPr>
          <w:rStyle w:val="Emphasis"/>
          <w:rFonts w:ascii="Arial" w:eastAsiaTheme="majorEastAsia" w:hAnsi="Arial" w:cs="Arial"/>
          <w:sz w:val="20"/>
          <w:szCs w:val="20"/>
        </w:rPr>
        <w:t xml:space="preserve">P. </w:t>
      </w:r>
      <w:proofErr w:type="spellStart"/>
      <w:r w:rsidRPr="004B14F3">
        <w:rPr>
          <w:rStyle w:val="Emphasis"/>
          <w:rFonts w:ascii="Arial" w:eastAsiaTheme="majorEastAsia" w:hAnsi="Arial" w:cs="Arial"/>
          <w:sz w:val="20"/>
          <w:szCs w:val="20"/>
        </w:rPr>
        <w:t>ranga</w:t>
      </w:r>
      <w:proofErr w:type="spellEnd"/>
      <w:r w:rsidRPr="004B14F3">
        <w:rPr>
          <w:rFonts w:ascii="Arial" w:hAnsi="Arial" w:cs="Arial"/>
          <w:sz w:val="20"/>
          <w:szCs w:val="20"/>
        </w:rPr>
        <w:t xml:space="preserve"> is not a single panmictic species but represents a complex of genetically distinct lineages. Such patterns of divergence underscore the necessity of revisiting taxonomic boundaries and integrating molecular data in species assessments.</w:t>
      </w:r>
    </w:p>
    <w:p w14:paraId="1733C802" w14:textId="77777777" w:rsidR="00E33BF7" w:rsidRPr="004B14F3" w:rsidRDefault="00000000">
      <w:pPr>
        <w:pStyle w:val="NormalWeb"/>
      </w:pPr>
      <w:r w:rsidRPr="004B14F3">
        <w:t xml:space="preserve">This interpretation is compatible with earlier barcode-based assessments from India that reported hidden or deeply divergent lineages in freshwater fishes, including P. </w:t>
      </w:r>
      <w:proofErr w:type="spellStart"/>
      <w:r w:rsidRPr="004B14F3">
        <w:t>ranga</w:t>
      </w:r>
      <w:proofErr w:type="spellEnd"/>
      <w:r w:rsidRPr="004B14F3">
        <w:t xml:space="preserve"> from the northern Western Ghats (Patil et al., 2018). However, the present evidence should be treated cautiously because a limited number of local sequences cannot alone establish revised species boundaries; instead, it identifies lineages that merit broader sampling, diagnostic morphological comparison, and </w:t>
      </w:r>
      <w:proofErr w:type="spellStart"/>
      <w:r w:rsidRPr="004B14F3">
        <w:t>multilocus</w:t>
      </w:r>
      <w:proofErr w:type="spellEnd"/>
      <w:r w:rsidRPr="004B14F3">
        <w:t xml:space="preserve"> testing. Studies from the Indo-Myanmar and Indo-Bhutan regions also demonstrate that freshwater fish barcodes frequently contain multiple clades and unique haplotypes across drainage systems, supporting the need to interpret P. </w:t>
      </w:r>
      <w:proofErr w:type="spellStart"/>
      <w:r w:rsidRPr="004B14F3">
        <w:t>ranga</w:t>
      </w:r>
      <w:proofErr w:type="spellEnd"/>
      <w:r w:rsidRPr="004B14F3">
        <w:t xml:space="preserve"> diversity within a wider biogeographic framework (Barman et al., 2018; Kundu et al., 2019).</w:t>
      </w:r>
    </w:p>
    <w:p w14:paraId="388CB2FE" w14:textId="77777777" w:rsidR="00104CB0" w:rsidRPr="004B14F3" w:rsidRDefault="00104CB0" w:rsidP="00075BD9">
      <w:pPr>
        <w:pStyle w:val="NormalWeb"/>
        <w:keepNext/>
        <w:spacing w:line="480" w:lineRule="auto"/>
        <w:ind w:firstLine="720"/>
        <w:jc w:val="center"/>
        <w:rPr>
          <w:rFonts w:ascii="Arial" w:hAnsi="Arial" w:cs="Arial"/>
          <w:sz w:val="20"/>
          <w:szCs w:val="20"/>
        </w:rPr>
      </w:pPr>
      <w:r w:rsidRPr="004B14F3">
        <w:rPr>
          <w:rFonts w:ascii="Arial" w:hAnsi="Arial" w:cs="Arial"/>
          <w:noProof/>
          <w:sz w:val="20"/>
          <w:szCs w:val="20"/>
        </w:rPr>
        <w:lastRenderedPageBreak/>
        <w:drawing>
          <wp:inline distT="0" distB="0" distL="0" distR="0" wp14:anchorId="183FFF66" wp14:editId="6A359929">
            <wp:extent cx="3175972" cy="7196866"/>
            <wp:effectExtent l="19050" t="0" r="5378" b="0"/>
            <wp:docPr id="25" name="Picture 1" descr="C:\Users\user\Desktop\Newest\Phylogeny results\Update_Ranga\Final\100Bootsrap_final 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Newest\Phylogeny results\Update_Ranga\Final\100Bootsrap_final tree.png"/>
                    <pic:cNvPicPr>
                      <a:picLocks noChangeAspect="1" noChangeArrowheads="1"/>
                    </pic:cNvPicPr>
                  </pic:nvPicPr>
                  <pic:blipFill>
                    <a:blip r:embed="rId8"/>
                    <a:srcRect t="626" r="4867"/>
                    <a:stretch>
                      <a:fillRect/>
                    </a:stretch>
                  </pic:blipFill>
                  <pic:spPr bwMode="auto">
                    <a:xfrm>
                      <a:off x="0" y="0"/>
                      <a:ext cx="3191552" cy="7232171"/>
                    </a:xfrm>
                    <a:prstGeom prst="rect">
                      <a:avLst/>
                    </a:prstGeom>
                    <a:noFill/>
                    <a:ln w="9525">
                      <a:noFill/>
                      <a:miter lim="800000"/>
                      <a:headEnd/>
                      <a:tailEnd/>
                    </a:ln>
                  </pic:spPr>
                </pic:pic>
              </a:graphicData>
            </a:graphic>
          </wp:inline>
        </w:drawing>
      </w:r>
    </w:p>
    <w:p w14:paraId="08BB91F1" w14:textId="77777777" w:rsidR="003C6B42" w:rsidRPr="004B14F3" w:rsidRDefault="00104CB0" w:rsidP="00075BD9">
      <w:pPr>
        <w:pStyle w:val="Caption"/>
        <w:spacing w:line="480" w:lineRule="auto"/>
        <w:jc w:val="center"/>
        <w:rPr>
          <w:rStyle w:val="Strong"/>
          <w:rFonts w:ascii="Arial" w:hAnsi="Arial" w:cs="Arial"/>
          <w:b/>
          <w:bCs/>
          <w:sz w:val="20"/>
          <w:szCs w:val="20"/>
        </w:rPr>
      </w:pPr>
      <w:bookmarkStart w:id="3" w:name="_Toc215494626"/>
      <w:bookmarkStart w:id="4" w:name="_Toc215495945"/>
      <w:bookmarkStart w:id="5" w:name="_Toc217034580"/>
      <w:r w:rsidRPr="004B14F3">
        <w:rPr>
          <w:rFonts w:ascii="Arial" w:hAnsi="Arial" w:cs="Arial"/>
          <w:color w:val="auto"/>
          <w:sz w:val="20"/>
          <w:szCs w:val="20"/>
        </w:rPr>
        <w:t xml:space="preserve">Figure </w:t>
      </w:r>
      <w:r w:rsidR="00330EDC" w:rsidRPr="004B14F3">
        <w:rPr>
          <w:rFonts w:ascii="Arial" w:hAnsi="Arial" w:cs="Arial"/>
          <w:color w:val="auto"/>
          <w:sz w:val="20"/>
          <w:szCs w:val="20"/>
        </w:rPr>
        <w:t>2</w:t>
      </w:r>
      <w:r w:rsidR="00D24CAE" w:rsidRPr="004B14F3">
        <w:rPr>
          <w:rFonts w:ascii="Arial" w:hAnsi="Arial" w:cs="Arial"/>
          <w:color w:val="auto"/>
          <w:sz w:val="20"/>
          <w:szCs w:val="20"/>
        </w:rPr>
        <w:t>:</w:t>
      </w:r>
      <w:r w:rsidRPr="004B14F3">
        <w:rPr>
          <w:rFonts w:ascii="Arial" w:hAnsi="Arial" w:cs="Arial"/>
          <w:color w:val="auto"/>
          <w:sz w:val="20"/>
          <w:szCs w:val="20"/>
        </w:rPr>
        <w:t xml:space="preserve"> Evolutionary Analysis by Maximum likelihood method with 100 Bootstrap using Tamura 3 parameter model of </w:t>
      </w:r>
      <w:proofErr w:type="spellStart"/>
      <w:r w:rsidRPr="004B14F3">
        <w:rPr>
          <w:rFonts w:ascii="Arial" w:eastAsia="Times New Roman" w:hAnsi="Arial" w:cs="Arial"/>
          <w:color w:val="auto"/>
          <w:sz w:val="20"/>
          <w:szCs w:val="20"/>
        </w:rPr>
        <w:t>Ambassidae</w:t>
      </w:r>
      <w:proofErr w:type="spellEnd"/>
      <w:r w:rsidRPr="004B14F3">
        <w:rPr>
          <w:rFonts w:ascii="Arial" w:hAnsi="Arial" w:cs="Arial"/>
          <w:color w:val="auto"/>
          <w:sz w:val="20"/>
          <w:szCs w:val="20"/>
        </w:rPr>
        <w:t xml:space="preserve"> family</w:t>
      </w:r>
      <w:r w:rsidRPr="004B14F3">
        <w:rPr>
          <w:rFonts w:ascii="Arial" w:hAnsi="Arial" w:cs="Arial"/>
          <w:sz w:val="20"/>
          <w:szCs w:val="20"/>
        </w:rPr>
        <w:t>.</w:t>
      </w:r>
      <w:bookmarkEnd w:id="3"/>
      <w:bookmarkEnd w:id="4"/>
      <w:bookmarkEnd w:id="5"/>
    </w:p>
    <w:p w14:paraId="1EDA91F6" w14:textId="77777777" w:rsidR="00104CB0" w:rsidRPr="004B14F3" w:rsidRDefault="00104CB0" w:rsidP="00075BD9">
      <w:pPr>
        <w:pStyle w:val="NormalWeb"/>
        <w:spacing w:line="480" w:lineRule="auto"/>
        <w:jc w:val="both"/>
        <w:rPr>
          <w:rFonts w:ascii="Arial" w:hAnsi="Arial" w:cs="Arial"/>
          <w:sz w:val="22"/>
          <w:szCs w:val="22"/>
        </w:rPr>
      </w:pPr>
      <w:r w:rsidRPr="004B14F3">
        <w:rPr>
          <w:rStyle w:val="Strong"/>
          <w:rFonts w:ascii="Arial" w:hAnsi="Arial" w:cs="Arial"/>
          <w:sz w:val="22"/>
          <w:szCs w:val="22"/>
        </w:rPr>
        <w:lastRenderedPageBreak/>
        <w:t>Conclusion</w:t>
      </w:r>
      <w:r w:rsidR="005610B3" w:rsidRPr="004B14F3">
        <w:rPr>
          <w:rStyle w:val="Strong"/>
          <w:rFonts w:ascii="Arial" w:hAnsi="Arial" w:cs="Arial"/>
          <w:sz w:val="22"/>
          <w:szCs w:val="22"/>
        </w:rPr>
        <w:t>:</w:t>
      </w:r>
    </w:p>
    <w:p w14:paraId="421E41D0" w14:textId="77777777" w:rsidR="00104CB0" w:rsidRPr="004B14F3" w:rsidRDefault="00104CB0" w:rsidP="00075BD9">
      <w:pPr>
        <w:pStyle w:val="NormalWeb"/>
        <w:spacing w:line="480" w:lineRule="auto"/>
        <w:ind w:firstLine="720"/>
        <w:jc w:val="both"/>
        <w:rPr>
          <w:rFonts w:ascii="Arial" w:hAnsi="Arial" w:cs="Arial"/>
          <w:sz w:val="20"/>
          <w:szCs w:val="20"/>
        </w:rPr>
      </w:pPr>
      <w:r w:rsidRPr="004B14F3">
        <w:rPr>
          <w:rFonts w:ascii="Arial" w:hAnsi="Arial" w:cs="Arial"/>
          <w:sz w:val="20"/>
          <w:szCs w:val="20"/>
        </w:rPr>
        <w:t xml:space="preserve">The phylogenetic analyses of </w:t>
      </w:r>
      <w:proofErr w:type="spellStart"/>
      <w:r w:rsidRPr="004B14F3">
        <w:rPr>
          <w:rStyle w:val="Emphasis"/>
          <w:rFonts w:ascii="Arial" w:eastAsiaTheme="majorEastAsia" w:hAnsi="Arial" w:cs="Arial"/>
          <w:sz w:val="20"/>
          <w:szCs w:val="20"/>
        </w:rPr>
        <w:t>Garra</w:t>
      </w:r>
      <w:proofErr w:type="spellEnd"/>
      <w:r w:rsidRPr="004B14F3">
        <w:rPr>
          <w:rStyle w:val="Emphasis"/>
          <w:rFonts w:ascii="Arial" w:eastAsiaTheme="majorEastAsia" w:hAnsi="Arial" w:cs="Arial"/>
          <w:sz w:val="20"/>
          <w:szCs w:val="20"/>
        </w:rPr>
        <w:t xml:space="preserve"> </w:t>
      </w:r>
      <w:proofErr w:type="spellStart"/>
      <w:r w:rsidRPr="004B14F3">
        <w:rPr>
          <w:rStyle w:val="Emphasis"/>
          <w:rFonts w:ascii="Arial" w:eastAsiaTheme="majorEastAsia" w:hAnsi="Arial" w:cs="Arial"/>
          <w:sz w:val="20"/>
          <w:szCs w:val="20"/>
        </w:rPr>
        <w:t>mullya</w:t>
      </w:r>
      <w:proofErr w:type="spellEnd"/>
      <w:r w:rsidRPr="004B14F3">
        <w:rPr>
          <w:rFonts w:ascii="Arial" w:hAnsi="Arial" w:cs="Arial"/>
          <w:sz w:val="20"/>
          <w:szCs w:val="20"/>
        </w:rPr>
        <w:t xml:space="preserve"> and </w:t>
      </w:r>
      <w:proofErr w:type="spellStart"/>
      <w:r w:rsidRPr="004B14F3">
        <w:rPr>
          <w:rStyle w:val="Emphasis"/>
          <w:rFonts w:ascii="Arial" w:eastAsiaTheme="majorEastAsia" w:hAnsi="Arial" w:cs="Arial"/>
          <w:sz w:val="20"/>
          <w:szCs w:val="20"/>
        </w:rPr>
        <w:t>Parambassis</w:t>
      </w:r>
      <w:proofErr w:type="spellEnd"/>
      <w:r w:rsidRPr="004B14F3">
        <w:rPr>
          <w:rStyle w:val="Emphasis"/>
          <w:rFonts w:ascii="Arial" w:eastAsiaTheme="majorEastAsia" w:hAnsi="Arial" w:cs="Arial"/>
          <w:sz w:val="20"/>
          <w:szCs w:val="20"/>
        </w:rPr>
        <w:t xml:space="preserve"> </w:t>
      </w:r>
      <w:proofErr w:type="spellStart"/>
      <w:r w:rsidRPr="004B14F3">
        <w:rPr>
          <w:rStyle w:val="Emphasis"/>
          <w:rFonts w:ascii="Arial" w:eastAsiaTheme="majorEastAsia" w:hAnsi="Arial" w:cs="Arial"/>
          <w:sz w:val="20"/>
          <w:szCs w:val="20"/>
        </w:rPr>
        <w:t>ranga</w:t>
      </w:r>
      <w:proofErr w:type="spellEnd"/>
      <w:r w:rsidRPr="004B14F3">
        <w:rPr>
          <w:rFonts w:ascii="Arial" w:hAnsi="Arial" w:cs="Arial"/>
          <w:sz w:val="20"/>
          <w:szCs w:val="20"/>
        </w:rPr>
        <w:t xml:space="preserve"> reveal pronounced genetic structuring across their Indian distribution ranges. The </w:t>
      </w:r>
      <w:r w:rsidRPr="004B14F3">
        <w:rPr>
          <w:rStyle w:val="Emphasis"/>
          <w:rFonts w:ascii="Arial" w:eastAsiaTheme="majorEastAsia" w:hAnsi="Arial" w:cs="Arial"/>
          <w:sz w:val="20"/>
          <w:szCs w:val="20"/>
        </w:rPr>
        <w:t xml:space="preserve">G. </w:t>
      </w:r>
      <w:proofErr w:type="spellStart"/>
      <w:r w:rsidRPr="004B14F3">
        <w:rPr>
          <w:rStyle w:val="Emphasis"/>
          <w:rFonts w:ascii="Arial" w:eastAsiaTheme="majorEastAsia" w:hAnsi="Arial" w:cs="Arial"/>
          <w:sz w:val="20"/>
          <w:szCs w:val="20"/>
        </w:rPr>
        <w:t>mullya</w:t>
      </w:r>
      <w:proofErr w:type="spellEnd"/>
      <w:r w:rsidRPr="004B14F3">
        <w:rPr>
          <w:rFonts w:ascii="Arial" w:hAnsi="Arial" w:cs="Arial"/>
          <w:sz w:val="20"/>
          <w:szCs w:val="20"/>
        </w:rPr>
        <w:t xml:space="preserve"> sequences generated in this study show strong affinity to Maharashtra populations, indicating limited divergence and a cohesive regional lineage. In contrast, </w:t>
      </w:r>
      <w:r w:rsidRPr="004B14F3">
        <w:rPr>
          <w:rStyle w:val="Emphasis"/>
          <w:rFonts w:ascii="Arial" w:eastAsiaTheme="majorEastAsia" w:hAnsi="Arial" w:cs="Arial"/>
          <w:sz w:val="20"/>
          <w:szCs w:val="20"/>
        </w:rPr>
        <w:t xml:space="preserve">P. </w:t>
      </w:r>
      <w:proofErr w:type="spellStart"/>
      <w:r w:rsidRPr="004B14F3">
        <w:rPr>
          <w:rStyle w:val="Emphasis"/>
          <w:rFonts w:ascii="Arial" w:eastAsiaTheme="majorEastAsia" w:hAnsi="Arial" w:cs="Arial"/>
          <w:sz w:val="20"/>
          <w:szCs w:val="20"/>
        </w:rPr>
        <w:t>ranga</w:t>
      </w:r>
      <w:proofErr w:type="spellEnd"/>
      <w:r w:rsidRPr="004B14F3">
        <w:rPr>
          <w:rFonts w:ascii="Arial" w:hAnsi="Arial" w:cs="Arial"/>
          <w:sz w:val="20"/>
          <w:szCs w:val="20"/>
        </w:rPr>
        <w:t xml:space="preserve"> demonstrates considerable phylogenetic fragmentation, with the study uncovering distinct lineages associated with northeastern India and Maharashtra, supporting previous assertions of </w:t>
      </w:r>
      <w:proofErr w:type="spellStart"/>
      <w:r w:rsidRPr="004B14F3">
        <w:rPr>
          <w:rFonts w:ascii="Arial" w:hAnsi="Arial" w:cs="Arial"/>
          <w:sz w:val="20"/>
          <w:szCs w:val="20"/>
        </w:rPr>
        <w:t>crypticism</w:t>
      </w:r>
      <w:proofErr w:type="spellEnd"/>
      <w:r w:rsidRPr="004B14F3">
        <w:rPr>
          <w:rFonts w:ascii="Arial" w:hAnsi="Arial" w:cs="Arial"/>
          <w:sz w:val="20"/>
          <w:szCs w:val="20"/>
        </w:rPr>
        <w:t xml:space="preserve"> within the species complex.</w:t>
      </w:r>
    </w:p>
    <w:p w14:paraId="1DCFB24A" w14:textId="77777777" w:rsidR="00104CB0" w:rsidRPr="004B14F3" w:rsidRDefault="00104CB0" w:rsidP="00075BD9">
      <w:pPr>
        <w:pStyle w:val="NormalWeb"/>
        <w:spacing w:line="480" w:lineRule="auto"/>
        <w:ind w:firstLine="720"/>
        <w:jc w:val="both"/>
        <w:rPr>
          <w:rFonts w:ascii="Arial" w:hAnsi="Arial" w:cs="Arial"/>
          <w:sz w:val="20"/>
          <w:szCs w:val="20"/>
        </w:rPr>
      </w:pPr>
      <w:r w:rsidRPr="004B14F3">
        <w:rPr>
          <w:rFonts w:ascii="Arial" w:hAnsi="Arial" w:cs="Arial"/>
          <w:sz w:val="20"/>
          <w:szCs w:val="20"/>
        </w:rPr>
        <w:t xml:space="preserve">These findings highlight the importance of molecular tools in resolving species identities, understanding </w:t>
      </w:r>
      <w:proofErr w:type="spellStart"/>
      <w:r w:rsidRPr="004B14F3">
        <w:rPr>
          <w:rFonts w:ascii="Arial" w:hAnsi="Arial" w:cs="Arial"/>
          <w:sz w:val="20"/>
          <w:szCs w:val="20"/>
        </w:rPr>
        <w:t>phylo</w:t>
      </w:r>
      <w:proofErr w:type="spellEnd"/>
      <w:r w:rsidRPr="004B14F3">
        <w:rPr>
          <w:rFonts w:ascii="Arial" w:hAnsi="Arial" w:cs="Arial"/>
          <w:sz w:val="20"/>
          <w:szCs w:val="20"/>
        </w:rPr>
        <w:t>-geographic patterns, and identifying evolutionarily significant units. The generated sequence data contribute valuable reference material to national genetic repositories and provide a foundation for targeted conservation strategies, particularly in ecologically sensitive and understudied regions of India.</w:t>
      </w:r>
    </w:p>
    <w:p w14:paraId="6F8A5A86" w14:textId="77777777" w:rsidR="00075BD9" w:rsidRPr="004B14F3" w:rsidRDefault="00075BD9" w:rsidP="00075BD9">
      <w:pPr>
        <w:spacing w:line="480" w:lineRule="auto"/>
        <w:rPr>
          <w:rFonts w:ascii="Arial" w:eastAsia="Times New Roman" w:hAnsi="Arial" w:cs="Arial"/>
        </w:rPr>
      </w:pPr>
      <w:r w:rsidRPr="004B14F3">
        <w:rPr>
          <w:rFonts w:ascii="Arial" w:eastAsia="Times New Roman" w:hAnsi="Arial" w:cs="Arial"/>
          <w:b/>
          <w:bCs/>
          <w:color w:val="000000"/>
        </w:rPr>
        <w:t>Ethics Approval:</w:t>
      </w:r>
    </w:p>
    <w:p w14:paraId="29BFB50D" w14:textId="77777777" w:rsidR="00075BD9" w:rsidRPr="004B14F3" w:rsidRDefault="00075BD9" w:rsidP="00075BD9">
      <w:pPr>
        <w:spacing w:line="480" w:lineRule="auto"/>
        <w:rPr>
          <w:rFonts w:ascii="Arial" w:eastAsia="Times New Roman" w:hAnsi="Arial" w:cs="Arial"/>
          <w:sz w:val="20"/>
          <w:szCs w:val="20"/>
        </w:rPr>
      </w:pPr>
      <w:r w:rsidRPr="004B14F3">
        <w:rPr>
          <w:rFonts w:ascii="Arial" w:eastAsia="Times New Roman" w:hAnsi="Arial" w:cs="Arial"/>
          <w:color w:val="000000"/>
          <w:sz w:val="20"/>
          <w:szCs w:val="20"/>
        </w:rPr>
        <w:t>Not Applicable</w:t>
      </w:r>
    </w:p>
    <w:p w14:paraId="5BE687A5" w14:textId="77777777" w:rsidR="00075BD9" w:rsidRPr="004B14F3" w:rsidRDefault="00075BD9" w:rsidP="00075BD9">
      <w:pPr>
        <w:spacing w:line="480" w:lineRule="auto"/>
        <w:rPr>
          <w:rFonts w:ascii="Arial" w:eastAsia="Times New Roman" w:hAnsi="Arial" w:cs="Arial"/>
        </w:rPr>
      </w:pPr>
      <w:r w:rsidRPr="004B14F3">
        <w:rPr>
          <w:rFonts w:ascii="Arial" w:eastAsia="Times New Roman" w:hAnsi="Arial" w:cs="Arial"/>
          <w:b/>
          <w:bCs/>
          <w:color w:val="000000"/>
        </w:rPr>
        <w:t>Data availability:</w:t>
      </w:r>
    </w:p>
    <w:p w14:paraId="35EEB1AA" w14:textId="77777777" w:rsidR="00075BD9" w:rsidRDefault="00075BD9" w:rsidP="0007107F">
      <w:pPr>
        <w:spacing w:line="480" w:lineRule="auto"/>
        <w:rPr>
          <w:rFonts w:ascii="Arial" w:eastAsia="Times New Roman" w:hAnsi="Arial" w:cs="Arial"/>
          <w:color w:val="000000"/>
          <w:sz w:val="20"/>
          <w:szCs w:val="20"/>
        </w:rPr>
      </w:pPr>
      <w:r w:rsidRPr="004B14F3">
        <w:rPr>
          <w:rFonts w:ascii="Arial" w:eastAsia="Times New Roman" w:hAnsi="Arial" w:cs="Arial"/>
          <w:color w:val="000000"/>
          <w:sz w:val="20"/>
          <w:szCs w:val="20"/>
        </w:rPr>
        <w:t>Data will be available on request.</w:t>
      </w:r>
    </w:p>
    <w:p w14:paraId="1204E7F7" w14:textId="77777777" w:rsidR="004B14F3" w:rsidRDefault="004B14F3" w:rsidP="0007107F">
      <w:pPr>
        <w:spacing w:line="480" w:lineRule="auto"/>
        <w:rPr>
          <w:rFonts w:ascii="Arial" w:eastAsia="Times New Roman" w:hAnsi="Arial" w:cs="Arial"/>
          <w:color w:val="000000"/>
          <w:sz w:val="20"/>
          <w:szCs w:val="20"/>
        </w:rPr>
      </w:pPr>
    </w:p>
    <w:p w14:paraId="2E317DAF" w14:textId="77777777" w:rsidR="004B14F3" w:rsidRPr="00C04DA0" w:rsidRDefault="004B14F3" w:rsidP="004B14F3">
      <w:pPr>
        <w:spacing w:after="0" w:line="240" w:lineRule="auto"/>
        <w:rPr>
          <w:rFonts w:ascii="Times New Roman" w:eastAsia="Calibri" w:hAnsi="Times New Roman" w:cs="Times New Roman"/>
          <w:b/>
        </w:rPr>
      </w:pPr>
      <w:r w:rsidRPr="00C04DA0">
        <w:rPr>
          <w:rFonts w:ascii="Times New Roman" w:eastAsia="Calibri" w:hAnsi="Times New Roman" w:cs="Times New Roman"/>
          <w:b/>
        </w:rPr>
        <w:t>Declaration of AI Use</w:t>
      </w:r>
    </w:p>
    <w:p w14:paraId="3BAF70A6" w14:textId="77777777" w:rsidR="004B14F3" w:rsidRPr="00C04DA0" w:rsidRDefault="004B14F3" w:rsidP="004B14F3">
      <w:pPr>
        <w:spacing w:after="0" w:line="240" w:lineRule="auto"/>
        <w:rPr>
          <w:rFonts w:ascii="Times New Roman" w:eastAsia="Calibri" w:hAnsi="Times New Roman" w:cs="Times New Roman"/>
        </w:rPr>
      </w:pPr>
    </w:p>
    <w:p w14:paraId="5481747C" w14:textId="77777777" w:rsidR="004B14F3" w:rsidRDefault="004B14F3" w:rsidP="004B14F3">
      <w:pPr>
        <w:spacing w:after="0" w:line="240" w:lineRule="auto"/>
        <w:jc w:val="both"/>
        <w:rPr>
          <w:rFonts w:ascii="Times New Roman" w:eastAsia="Calibri" w:hAnsi="Times New Roman" w:cs="Times New Roman"/>
        </w:rPr>
      </w:pPr>
      <w:r w:rsidRPr="00C04DA0">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55E8D45" w14:textId="77777777" w:rsidR="004B14F3" w:rsidRDefault="004B14F3" w:rsidP="004B14F3">
      <w:pPr>
        <w:spacing w:after="0" w:line="240" w:lineRule="auto"/>
        <w:jc w:val="both"/>
        <w:rPr>
          <w:rFonts w:ascii="Times New Roman" w:eastAsia="Calibri" w:hAnsi="Times New Roman" w:cs="Times New Roman"/>
        </w:rPr>
      </w:pPr>
    </w:p>
    <w:p w14:paraId="175E49D7" w14:textId="77777777" w:rsidR="004B14F3" w:rsidRDefault="004B14F3" w:rsidP="004B14F3">
      <w:pPr>
        <w:spacing w:after="0" w:line="240" w:lineRule="auto"/>
        <w:jc w:val="both"/>
        <w:rPr>
          <w:rFonts w:ascii="Times New Roman" w:eastAsia="Calibri" w:hAnsi="Times New Roman" w:cs="Times New Roman"/>
        </w:rPr>
      </w:pPr>
    </w:p>
    <w:p w14:paraId="1743724F" w14:textId="77777777" w:rsidR="004B14F3" w:rsidRPr="00DA60C2" w:rsidRDefault="004B14F3" w:rsidP="004B14F3">
      <w:pPr>
        <w:rPr>
          <w:rFonts w:ascii="Cambria" w:eastAsia="Times New Roman" w:hAnsi="Cambria" w:cs="Arial"/>
          <w:b/>
          <w:bCs/>
          <w:lang w:val="en-GB" w:eastAsia="en-GB"/>
        </w:rPr>
      </w:pPr>
      <w:r w:rsidRPr="00DA60C2">
        <w:rPr>
          <w:rFonts w:ascii="Cambria" w:eastAsia="Times New Roman" w:hAnsi="Cambria" w:cs="Arial"/>
          <w:b/>
          <w:bCs/>
          <w:lang w:val="en-GB" w:eastAsia="en-GB"/>
        </w:rPr>
        <w:lastRenderedPageBreak/>
        <w:t>COMPETING INTERESTS DISCLAIMER:</w:t>
      </w:r>
    </w:p>
    <w:p w14:paraId="1184F2D4" w14:textId="77777777" w:rsidR="004B14F3" w:rsidRPr="00DA60C2" w:rsidRDefault="004B14F3" w:rsidP="004B14F3">
      <w:pPr>
        <w:rPr>
          <w:rFonts w:ascii="Cambria" w:eastAsia="Times New Roman" w:hAnsi="Cambria" w:cs="Times New Roman"/>
          <w:lang w:val="en-GB" w:eastAsia="en-GB"/>
        </w:rPr>
      </w:pPr>
      <w:r w:rsidRPr="00DA60C2">
        <w:rPr>
          <w:rFonts w:ascii="Cambria" w:eastAsia="Times New Roman" w:hAnsi="Cambria" w:cs="Arial"/>
          <w:lang w:val="en-GB" w:eastAsia="en-GB"/>
        </w:rPr>
        <w:t>Authors have declared that they have no known competing financial interests OR non-financial interests OR personal relationships that could have appeared to influence the work reported in this paper.</w:t>
      </w:r>
    </w:p>
    <w:p w14:paraId="7A3142BE" w14:textId="77777777" w:rsidR="004B14F3" w:rsidRPr="004B14F3" w:rsidRDefault="004B14F3" w:rsidP="0007107F">
      <w:pPr>
        <w:spacing w:line="480" w:lineRule="auto"/>
        <w:rPr>
          <w:rFonts w:ascii="Arial" w:eastAsia="Times New Roman" w:hAnsi="Arial" w:cs="Arial"/>
          <w:sz w:val="20"/>
          <w:szCs w:val="20"/>
        </w:rPr>
      </w:pPr>
    </w:p>
    <w:p w14:paraId="21228FBD" w14:textId="77777777" w:rsidR="00104CB0" w:rsidRPr="004B14F3" w:rsidRDefault="00BE056C" w:rsidP="00075BD9">
      <w:pPr>
        <w:spacing w:line="480" w:lineRule="auto"/>
        <w:jc w:val="both"/>
        <w:rPr>
          <w:rFonts w:ascii="Arial" w:hAnsi="Arial" w:cs="Arial"/>
          <w:b/>
          <w:bCs/>
        </w:rPr>
      </w:pPr>
      <w:r w:rsidRPr="004B14F3">
        <w:rPr>
          <w:rFonts w:ascii="Arial" w:hAnsi="Arial" w:cs="Arial"/>
          <w:b/>
          <w:bCs/>
        </w:rPr>
        <w:t>References:</w:t>
      </w:r>
    </w:p>
    <w:p w14:paraId="45F11C5A" w14:textId="77777777" w:rsidR="00716572" w:rsidRPr="004B14F3" w:rsidRDefault="00163CDE" w:rsidP="00075BD9">
      <w:pPr>
        <w:pStyle w:val="Bibliography"/>
        <w:jc w:val="both"/>
        <w:rPr>
          <w:rFonts w:ascii="Arial" w:hAnsi="Arial" w:cs="Arial"/>
          <w:sz w:val="20"/>
          <w:szCs w:val="20"/>
        </w:rPr>
      </w:pPr>
      <w:r w:rsidRPr="004B14F3">
        <w:rPr>
          <w:rFonts w:ascii="Arial" w:eastAsiaTheme="minorEastAsia" w:hAnsi="Arial" w:cs="Arial"/>
          <w:sz w:val="20"/>
          <w:szCs w:val="20"/>
        </w:rPr>
        <w:fldChar w:fldCharType="begin"/>
      </w:r>
      <w:r w:rsidR="00716572" w:rsidRPr="004B14F3">
        <w:rPr>
          <w:rFonts w:ascii="Arial" w:hAnsi="Arial" w:cs="Arial"/>
          <w:sz w:val="20"/>
          <w:szCs w:val="20"/>
        </w:rPr>
        <w:instrText xml:space="preserve"> ADDIN ZOTERO_BIBL {"uncited":[],"omitted":[],"custom":[]} CSL_BIBLIOGRAPHY </w:instrText>
      </w:r>
      <w:r w:rsidRPr="004B14F3">
        <w:rPr>
          <w:rFonts w:ascii="Arial" w:eastAsiaTheme="minorEastAsia" w:hAnsi="Arial" w:cs="Arial"/>
          <w:sz w:val="20"/>
          <w:szCs w:val="20"/>
        </w:rPr>
        <w:fldChar w:fldCharType="separate"/>
      </w:r>
      <w:r w:rsidR="00716572" w:rsidRPr="004B14F3">
        <w:rPr>
          <w:rFonts w:ascii="Arial" w:hAnsi="Arial" w:cs="Arial"/>
          <w:sz w:val="20"/>
          <w:szCs w:val="20"/>
        </w:rPr>
        <w:t xml:space="preserve">Altschul, S.F., W. Gish, W. Miller, E.W. Myers, &amp; D.J. Lipman (1990). Basic local alignment search tool. </w:t>
      </w:r>
      <w:r w:rsidR="00716572" w:rsidRPr="004B14F3">
        <w:rPr>
          <w:rFonts w:ascii="Arial" w:hAnsi="Arial" w:cs="Arial"/>
          <w:i/>
          <w:iCs/>
          <w:sz w:val="20"/>
          <w:szCs w:val="20"/>
        </w:rPr>
        <w:t>Journal of Molecular Biology</w:t>
      </w:r>
      <w:r w:rsidR="00716572" w:rsidRPr="004B14F3">
        <w:rPr>
          <w:rFonts w:ascii="Arial" w:hAnsi="Arial" w:cs="Arial"/>
          <w:sz w:val="20"/>
          <w:szCs w:val="20"/>
        </w:rPr>
        <w:t xml:space="preserve"> 215(3): 403–410.; https://doi.org/10.1016/S0022-2836(05)80360-2</w:t>
      </w:r>
    </w:p>
    <w:p w14:paraId="4DD9889A" w14:textId="77777777" w:rsidR="00716572" w:rsidRPr="004B14F3" w:rsidRDefault="00716572" w:rsidP="00075BD9">
      <w:pPr>
        <w:pStyle w:val="Bibliography"/>
        <w:jc w:val="both"/>
        <w:rPr>
          <w:rFonts w:ascii="Arial" w:hAnsi="Arial" w:cs="Arial"/>
          <w:sz w:val="20"/>
          <w:szCs w:val="20"/>
        </w:rPr>
      </w:pPr>
      <w:r w:rsidRPr="004B14F3">
        <w:rPr>
          <w:rFonts w:ascii="Arial" w:hAnsi="Arial" w:cs="Arial"/>
          <w:sz w:val="20"/>
          <w:szCs w:val="20"/>
        </w:rPr>
        <w:t xml:space="preserve">Bingpeng, X., L. Heshan, Z. Zhilan, W. Chunguang, W. Yanguo, &amp; W. Jianjun (2018). DNA barcoding for identification of fish species in the Taiwan Strait. </w:t>
      </w:r>
      <w:r w:rsidRPr="004B14F3">
        <w:rPr>
          <w:rFonts w:ascii="Arial" w:hAnsi="Arial" w:cs="Arial"/>
          <w:i/>
          <w:iCs/>
          <w:sz w:val="20"/>
          <w:szCs w:val="20"/>
        </w:rPr>
        <w:t>PloS One</w:t>
      </w:r>
      <w:r w:rsidRPr="004B14F3">
        <w:rPr>
          <w:rFonts w:ascii="Arial" w:hAnsi="Arial" w:cs="Arial"/>
          <w:sz w:val="20"/>
          <w:szCs w:val="20"/>
        </w:rPr>
        <w:t xml:space="preserve"> 13(6): e0198109.</w:t>
      </w:r>
    </w:p>
    <w:p w14:paraId="2D5A68F8" w14:textId="77777777" w:rsidR="00CC4806" w:rsidRPr="004B14F3" w:rsidRDefault="00716572" w:rsidP="00075BD9">
      <w:pPr>
        <w:pStyle w:val="Bibliography"/>
        <w:jc w:val="both"/>
        <w:rPr>
          <w:rFonts w:ascii="Arial" w:hAnsi="Arial" w:cs="Arial"/>
          <w:sz w:val="20"/>
          <w:szCs w:val="20"/>
        </w:rPr>
      </w:pPr>
      <w:r w:rsidRPr="004B14F3">
        <w:rPr>
          <w:rFonts w:ascii="Arial" w:hAnsi="Arial" w:cs="Arial"/>
          <w:sz w:val="20"/>
          <w:szCs w:val="20"/>
        </w:rPr>
        <w:t xml:space="preserve">Chakraborty, C., A.R. Sharma, G. Sharma, &amp; S.-S. Lee (2016). Zebrafish: A complete animal model to enumerate the nanoparticle toxicity. </w:t>
      </w:r>
      <w:r w:rsidRPr="004B14F3">
        <w:rPr>
          <w:rFonts w:ascii="Arial" w:hAnsi="Arial" w:cs="Arial"/>
          <w:i/>
          <w:iCs/>
          <w:sz w:val="20"/>
          <w:szCs w:val="20"/>
        </w:rPr>
        <w:t>Journal of Nanobiotechnology</w:t>
      </w:r>
      <w:r w:rsidRPr="004B14F3">
        <w:rPr>
          <w:rFonts w:ascii="Arial" w:hAnsi="Arial" w:cs="Arial"/>
          <w:sz w:val="20"/>
          <w:szCs w:val="20"/>
        </w:rPr>
        <w:t xml:space="preserve"> 14(1): 65.; https://doi.org/10.1186/s12951-016-0217-6</w:t>
      </w:r>
    </w:p>
    <w:p w14:paraId="0079B097" w14:textId="77777777" w:rsidR="00716572" w:rsidRPr="004B14F3" w:rsidRDefault="00716572" w:rsidP="00075BD9">
      <w:pPr>
        <w:pStyle w:val="Bibliography"/>
        <w:jc w:val="both"/>
        <w:rPr>
          <w:rFonts w:ascii="Arial" w:hAnsi="Arial" w:cs="Arial"/>
          <w:sz w:val="20"/>
          <w:szCs w:val="20"/>
        </w:rPr>
      </w:pPr>
      <w:r w:rsidRPr="004B14F3">
        <w:rPr>
          <w:rFonts w:ascii="Arial" w:hAnsi="Arial" w:cs="Arial"/>
          <w:sz w:val="20"/>
          <w:szCs w:val="20"/>
        </w:rPr>
        <w:t xml:space="preserve">Gruenthal, K.M. &amp; R.S. Burton (2006). Genetic diversity and species identification in the endangered white abalone (Haliotissorenseni). </w:t>
      </w:r>
      <w:r w:rsidRPr="004B14F3">
        <w:rPr>
          <w:rFonts w:ascii="Arial" w:hAnsi="Arial" w:cs="Arial"/>
          <w:i/>
          <w:iCs/>
          <w:sz w:val="20"/>
          <w:szCs w:val="20"/>
        </w:rPr>
        <w:t>Conservation Genetics</w:t>
      </w:r>
      <w:r w:rsidRPr="004B14F3">
        <w:rPr>
          <w:rFonts w:ascii="Arial" w:hAnsi="Arial" w:cs="Arial"/>
          <w:sz w:val="20"/>
          <w:szCs w:val="20"/>
        </w:rPr>
        <w:t xml:space="preserve"> 6(6): 929–939.; https://doi.org/10.1007/s10592-005-9079-4</w:t>
      </w:r>
    </w:p>
    <w:p w14:paraId="577830B3" w14:textId="77777777" w:rsidR="00716572" w:rsidRPr="004B14F3" w:rsidRDefault="00716572" w:rsidP="00075BD9">
      <w:pPr>
        <w:pStyle w:val="Bibliography"/>
        <w:jc w:val="both"/>
        <w:rPr>
          <w:rFonts w:ascii="Arial" w:hAnsi="Arial" w:cs="Arial"/>
          <w:sz w:val="20"/>
          <w:szCs w:val="20"/>
        </w:rPr>
      </w:pPr>
      <w:r w:rsidRPr="004B14F3">
        <w:rPr>
          <w:rFonts w:ascii="Arial" w:hAnsi="Arial" w:cs="Arial"/>
          <w:sz w:val="20"/>
          <w:szCs w:val="20"/>
        </w:rPr>
        <w:t xml:space="preserve">Hajibabaei, M., G.A. Singer, P.D. Hebert, &amp; D.A. Hickey (2007). DNA barcoding: how it complements taxonomy, molecular phylogenetics and population genetics. </w:t>
      </w:r>
      <w:r w:rsidRPr="004B14F3">
        <w:rPr>
          <w:rFonts w:ascii="Arial" w:hAnsi="Arial" w:cs="Arial"/>
          <w:i/>
          <w:iCs/>
          <w:sz w:val="20"/>
          <w:szCs w:val="20"/>
        </w:rPr>
        <w:t>TRENDS in Genetics</w:t>
      </w:r>
      <w:r w:rsidRPr="004B14F3">
        <w:rPr>
          <w:rFonts w:ascii="Arial" w:hAnsi="Arial" w:cs="Arial"/>
          <w:sz w:val="20"/>
          <w:szCs w:val="20"/>
        </w:rPr>
        <w:t xml:space="preserve"> 23(4): 167–172.</w:t>
      </w:r>
    </w:p>
    <w:p w14:paraId="38F12470" w14:textId="77777777" w:rsidR="00716572" w:rsidRPr="004B14F3" w:rsidRDefault="00716572" w:rsidP="00075BD9">
      <w:pPr>
        <w:pStyle w:val="Bibliography"/>
        <w:jc w:val="both"/>
        <w:rPr>
          <w:rFonts w:ascii="Arial" w:hAnsi="Arial" w:cs="Arial"/>
          <w:sz w:val="20"/>
          <w:szCs w:val="20"/>
        </w:rPr>
      </w:pPr>
      <w:r w:rsidRPr="004B14F3">
        <w:rPr>
          <w:rFonts w:ascii="Arial" w:hAnsi="Arial" w:cs="Arial"/>
          <w:sz w:val="20"/>
          <w:szCs w:val="20"/>
        </w:rPr>
        <w:t xml:space="preserve">Hebert, P.D.N., M.Y. Stoeckle, T.S. Zemlak, &amp; C.M. Francis (2004). Identification of birds through DNA barcodes. </w:t>
      </w:r>
      <w:r w:rsidRPr="004B14F3">
        <w:rPr>
          <w:rFonts w:ascii="Arial" w:hAnsi="Arial" w:cs="Arial"/>
          <w:i/>
          <w:iCs/>
          <w:sz w:val="20"/>
          <w:szCs w:val="20"/>
        </w:rPr>
        <w:t>PLoS Biology</w:t>
      </w:r>
      <w:r w:rsidRPr="004B14F3">
        <w:rPr>
          <w:rFonts w:ascii="Arial" w:hAnsi="Arial" w:cs="Arial"/>
          <w:sz w:val="20"/>
          <w:szCs w:val="20"/>
        </w:rPr>
        <w:t xml:space="preserve"> 2(10): e312.</w:t>
      </w:r>
    </w:p>
    <w:p w14:paraId="160FA0BA" w14:textId="77777777" w:rsidR="00716572" w:rsidRPr="004B14F3" w:rsidRDefault="00716572" w:rsidP="00075BD9">
      <w:pPr>
        <w:pStyle w:val="Bibliography"/>
        <w:jc w:val="both"/>
        <w:rPr>
          <w:rFonts w:ascii="Arial" w:hAnsi="Arial" w:cs="Arial"/>
          <w:sz w:val="20"/>
          <w:szCs w:val="20"/>
        </w:rPr>
      </w:pPr>
      <w:r w:rsidRPr="004B14F3">
        <w:rPr>
          <w:rFonts w:ascii="Arial" w:hAnsi="Arial" w:cs="Arial"/>
          <w:sz w:val="20"/>
          <w:szCs w:val="20"/>
        </w:rPr>
        <w:t xml:space="preserve">Huemer, P., M. Mutanen, K.M. Sefc, &amp; P.D. Hebert (2014). Testing DNA barcode performance in 1000 species of European Lepidoptera: large geographic distances have small genetic impacts. </w:t>
      </w:r>
      <w:r w:rsidRPr="004B14F3">
        <w:rPr>
          <w:rFonts w:ascii="Arial" w:hAnsi="Arial" w:cs="Arial"/>
          <w:i/>
          <w:iCs/>
          <w:sz w:val="20"/>
          <w:szCs w:val="20"/>
        </w:rPr>
        <w:t>Plos One</w:t>
      </w:r>
      <w:r w:rsidRPr="004B14F3">
        <w:rPr>
          <w:rFonts w:ascii="Arial" w:hAnsi="Arial" w:cs="Arial"/>
          <w:sz w:val="20"/>
          <w:szCs w:val="20"/>
        </w:rPr>
        <w:t xml:space="preserve"> 9(12): e115774.</w:t>
      </w:r>
    </w:p>
    <w:p w14:paraId="7095B059" w14:textId="77777777" w:rsidR="0075352D" w:rsidRPr="004B14F3" w:rsidRDefault="0075352D" w:rsidP="00075BD9">
      <w:pPr>
        <w:pStyle w:val="Bibliography"/>
        <w:jc w:val="both"/>
        <w:rPr>
          <w:rFonts w:ascii="Arial" w:hAnsi="Arial" w:cs="Arial"/>
          <w:sz w:val="20"/>
          <w:szCs w:val="20"/>
        </w:rPr>
      </w:pPr>
      <w:r w:rsidRPr="004B14F3">
        <w:rPr>
          <w:rFonts w:ascii="Arial" w:hAnsi="Arial" w:cs="Arial"/>
          <w:sz w:val="20"/>
          <w:szCs w:val="20"/>
        </w:rPr>
        <w:t xml:space="preserve">Johnson, M., I. Zaretskaya, Y. Raytselis, Y. Merezhuk, S. McGinnis, &amp; T.L. Madden (2008). NCBI BLAST: a better web interface. </w:t>
      </w:r>
      <w:r w:rsidRPr="004B14F3">
        <w:rPr>
          <w:rFonts w:ascii="Arial" w:hAnsi="Arial" w:cs="Arial"/>
          <w:i/>
          <w:iCs/>
          <w:sz w:val="20"/>
          <w:szCs w:val="20"/>
        </w:rPr>
        <w:t>Nucleic Acids Research</w:t>
      </w:r>
      <w:r w:rsidRPr="004B14F3">
        <w:rPr>
          <w:rFonts w:ascii="Arial" w:hAnsi="Arial" w:cs="Arial"/>
          <w:sz w:val="20"/>
          <w:szCs w:val="20"/>
        </w:rPr>
        <w:t xml:space="preserve"> 36(suppl_2): W5–W9.</w:t>
      </w:r>
    </w:p>
    <w:p w14:paraId="399B29B0" w14:textId="77777777" w:rsidR="0075352D" w:rsidRPr="004B14F3" w:rsidRDefault="0075352D" w:rsidP="00075BD9">
      <w:pPr>
        <w:pStyle w:val="Bibliography"/>
        <w:jc w:val="both"/>
        <w:rPr>
          <w:rFonts w:ascii="Arial" w:hAnsi="Arial" w:cs="Arial"/>
          <w:sz w:val="20"/>
          <w:szCs w:val="20"/>
        </w:rPr>
      </w:pPr>
      <w:r w:rsidRPr="004B14F3">
        <w:rPr>
          <w:rFonts w:ascii="Arial" w:hAnsi="Arial" w:cs="Arial"/>
          <w:color w:val="222222"/>
          <w:sz w:val="20"/>
          <w:szCs w:val="20"/>
          <w:shd w:val="clear" w:color="auto" w:fill="FFFFFF"/>
        </w:rPr>
        <w:lastRenderedPageBreak/>
        <w:t>Khedkar, G. D., Lutzky, S., Rathod, S., Kalyankar, A., &amp; David, L. (2014). A dual role of dams in fragmentation and support of fish diversity across the Godavari River basin in India. </w:t>
      </w:r>
      <w:r w:rsidRPr="004B14F3">
        <w:rPr>
          <w:rFonts w:ascii="Arial" w:hAnsi="Arial" w:cs="Arial"/>
          <w:i/>
          <w:iCs/>
          <w:color w:val="222222"/>
          <w:sz w:val="20"/>
          <w:szCs w:val="20"/>
          <w:shd w:val="clear" w:color="auto" w:fill="FFFFFF"/>
        </w:rPr>
        <w:t>Ecohydrology</w:t>
      </w:r>
      <w:r w:rsidRPr="004B14F3">
        <w:rPr>
          <w:rFonts w:ascii="Arial" w:hAnsi="Arial" w:cs="Arial"/>
          <w:color w:val="222222"/>
          <w:sz w:val="20"/>
          <w:szCs w:val="20"/>
          <w:shd w:val="clear" w:color="auto" w:fill="FFFFFF"/>
        </w:rPr>
        <w:t>, </w:t>
      </w:r>
      <w:r w:rsidRPr="004B14F3">
        <w:rPr>
          <w:rFonts w:ascii="Arial" w:hAnsi="Arial" w:cs="Arial"/>
          <w:i/>
          <w:iCs/>
          <w:color w:val="222222"/>
          <w:sz w:val="20"/>
          <w:szCs w:val="20"/>
          <w:shd w:val="clear" w:color="auto" w:fill="FFFFFF"/>
        </w:rPr>
        <w:t>7</w:t>
      </w:r>
      <w:r w:rsidRPr="004B14F3">
        <w:rPr>
          <w:rFonts w:ascii="Arial" w:hAnsi="Arial" w:cs="Arial"/>
          <w:color w:val="222222"/>
          <w:sz w:val="20"/>
          <w:szCs w:val="20"/>
          <w:shd w:val="clear" w:color="auto" w:fill="FFFFFF"/>
        </w:rPr>
        <w:t>(6), 1560-1573.</w:t>
      </w:r>
    </w:p>
    <w:p w14:paraId="109B1963" w14:textId="77777777" w:rsidR="00716572" w:rsidRPr="004B14F3" w:rsidRDefault="00716572" w:rsidP="00075BD9">
      <w:pPr>
        <w:pStyle w:val="Bibliography"/>
        <w:jc w:val="both"/>
        <w:rPr>
          <w:rFonts w:ascii="Arial" w:hAnsi="Arial" w:cs="Arial"/>
          <w:sz w:val="20"/>
          <w:szCs w:val="20"/>
        </w:rPr>
      </w:pPr>
      <w:r w:rsidRPr="004B14F3">
        <w:rPr>
          <w:rFonts w:ascii="Arial" w:hAnsi="Arial" w:cs="Arial"/>
          <w:sz w:val="20"/>
          <w:szCs w:val="20"/>
        </w:rPr>
        <w:t xml:space="preserve">Panprommin, D., K. Soontornprasit, S. Tuncharoen, S. Pithakpol, &amp; J. Keereelang (2019). DNA barcodes for the identification of species diversity in fish from Kwan Phayao, Thailand. </w:t>
      </w:r>
      <w:r w:rsidRPr="004B14F3">
        <w:rPr>
          <w:rFonts w:ascii="Arial" w:hAnsi="Arial" w:cs="Arial"/>
          <w:i/>
          <w:iCs/>
          <w:sz w:val="20"/>
          <w:szCs w:val="20"/>
        </w:rPr>
        <w:t>Journal of Asia-Pacific Biodiversity</w:t>
      </w:r>
      <w:r w:rsidRPr="004B14F3">
        <w:rPr>
          <w:rFonts w:ascii="Arial" w:hAnsi="Arial" w:cs="Arial"/>
          <w:sz w:val="20"/>
          <w:szCs w:val="20"/>
        </w:rPr>
        <w:t xml:space="preserve"> 12(3): 382–389.</w:t>
      </w:r>
    </w:p>
    <w:p w14:paraId="29299347" w14:textId="77777777" w:rsidR="00716572" w:rsidRPr="004B14F3" w:rsidRDefault="00716572" w:rsidP="00075BD9">
      <w:pPr>
        <w:pStyle w:val="Bibliography"/>
        <w:jc w:val="both"/>
        <w:rPr>
          <w:rFonts w:ascii="Arial" w:hAnsi="Arial" w:cs="Arial"/>
          <w:sz w:val="20"/>
          <w:szCs w:val="20"/>
        </w:rPr>
      </w:pPr>
      <w:r w:rsidRPr="004B14F3">
        <w:rPr>
          <w:rFonts w:ascii="Arial" w:hAnsi="Arial" w:cs="Arial"/>
          <w:sz w:val="20"/>
          <w:szCs w:val="20"/>
        </w:rPr>
        <w:t xml:space="preserve">Sabaridasan, A., Edwinthangam, P., &amp;Soranam, R. (2017). Morphometric divergence of </w:t>
      </w:r>
      <w:r w:rsidRPr="004B14F3">
        <w:rPr>
          <w:rFonts w:ascii="Arial" w:hAnsi="Arial" w:cs="Arial"/>
          <w:i/>
          <w:iCs/>
          <w:sz w:val="20"/>
          <w:szCs w:val="20"/>
        </w:rPr>
        <w:t>Garra mullya</w:t>
      </w:r>
      <w:r w:rsidRPr="004B14F3">
        <w:rPr>
          <w:rFonts w:ascii="Arial" w:hAnsi="Arial" w:cs="Arial"/>
          <w:sz w:val="20"/>
          <w:szCs w:val="20"/>
        </w:rPr>
        <w:t xml:space="preserve"> (Skyes, 1839) populations from the preferred river system of Southern Western Ghats region, Tamil Nadu, India. RRJoLS, 7, 7-13.</w:t>
      </w:r>
    </w:p>
    <w:p w14:paraId="3B03D9FE" w14:textId="77777777" w:rsidR="00716572" w:rsidRPr="004B14F3" w:rsidRDefault="00716572" w:rsidP="00075BD9">
      <w:pPr>
        <w:pStyle w:val="Bibliography"/>
        <w:jc w:val="both"/>
        <w:rPr>
          <w:rFonts w:ascii="Arial" w:hAnsi="Arial" w:cs="Arial"/>
          <w:sz w:val="20"/>
          <w:szCs w:val="20"/>
        </w:rPr>
      </w:pPr>
      <w:r w:rsidRPr="004B14F3">
        <w:rPr>
          <w:rFonts w:ascii="Arial" w:hAnsi="Arial" w:cs="Arial"/>
          <w:sz w:val="20"/>
          <w:szCs w:val="20"/>
        </w:rPr>
        <w:t xml:space="preserve">Samulski, R.J., X. Zhu, X. Xiao, J.D. Brook, D.E. Housman, N. Epstein, &amp; L.A. Hunter (1991). Targeted integration of adeno-associated virus (AAV) into human chromosome 19. </w:t>
      </w:r>
      <w:r w:rsidRPr="004B14F3">
        <w:rPr>
          <w:rFonts w:ascii="Arial" w:hAnsi="Arial" w:cs="Arial"/>
          <w:i/>
          <w:iCs/>
          <w:sz w:val="20"/>
          <w:szCs w:val="20"/>
        </w:rPr>
        <w:t>The EMBO Journal</w:t>
      </w:r>
      <w:r w:rsidRPr="004B14F3">
        <w:rPr>
          <w:rFonts w:ascii="Arial" w:hAnsi="Arial" w:cs="Arial"/>
          <w:sz w:val="20"/>
          <w:szCs w:val="20"/>
        </w:rPr>
        <w:t xml:space="preserve"> 10(12): 3941–3950.; https://doi.org/10.1002/j.1460-2075.1991.tb04964.x</w:t>
      </w:r>
    </w:p>
    <w:p w14:paraId="1DCEBEE4" w14:textId="77777777" w:rsidR="0075352D" w:rsidRPr="004B14F3" w:rsidRDefault="00716572" w:rsidP="00075BD9">
      <w:pPr>
        <w:pStyle w:val="Bibliography"/>
        <w:jc w:val="both"/>
        <w:rPr>
          <w:rFonts w:ascii="Arial" w:hAnsi="Arial" w:cs="Arial"/>
          <w:sz w:val="20"/>
          <w:szCs w:val="20"/>
        </w:rPr>
      </w:pPr>
      <w:r w:rsidRPr="004B14F3">
        <w:rPr>
          <w:rFonts w:ascii="Arial" w:hAnsi="Arial" w:cs="Arial"/>
          <w:sz w:val="20"/>
          <w:szCs w:val="20"/>
        </w:rPr>
        <w:t xml:space="preserve">Sanders, I.R., M. Alt, K. Groppe, T. Boller, &amp; A. Wiemken (1995). Identification of ribosomal DNA polymorphisms among and within spores of the Glomales: application to studies on the genetic diversity of arbuscularmycorrhizal fungal communities. </w:t>
      </w:r>
      <w:r w:rsidRPr="004B14F3">
        <w:rPr>
          <w:rFonts w:ascii="Arial" w:hAnsi="Arial" w:cs="Arial"/>
          <w:i/>
          <w:iCs/>
          <w:sz w:val="20"/>
          <w:szCs w:val="20"/>
        </w:rPr>
        <w:t>New Phytologist</w:t>
      </w:r>
      <w:r w:rsidRPr="004B14F3">
        <w:rPr>
          <w:rFonts w:ascii="Arial" w:hAnsi="Arial" w:cs="Arial"/>
          <w:sz w:val="20"/>
          <w:szCs w:val="20"/>
        </w:rPr>
        <w:t xml:space="preserve"> 130(3): 419–427.; https://doi.org/10.1111/j.1469-8137.1995.tb01836.x</w:t>
      </w:r>
    </w:p>
    <w:p w14:paraId="1F7DED99" w14:textId="77777777" w:rsidR="0075352D" w:rsidRPr="004B14F3" w:rsidRDefault="0075352D" w:rsidP="00075BD9">
      <w:pPr>
        <w:pStyle w:val="Bibliography"/>
        <w:jc w:val="both"/>
        <w:rPr>
          <w:rFonts w:ascii="Arial" w:hAnsi="Arial" w:cs="Arial"/>
          <w:sz w:val="20"/>
          <w:szCs w:val="20"/>
        </w:rPr>
      </w:pPr>
      <w:r w:rsidRPr="004B14F3">
        <w:rPr>
          <w:rFonts w:ascii="Arial" w:hAnsi="Arial" w:cs="Arial"/>
          <w:sz w:val="20"/>
          <w:szCs w:val="20"/>
        </w:rPr>
        <w:t xml:space="preserve">Sarwade, J. P., &amp; Khillare, Y. K. (2010). Fish diversity of Ujani wetland, Maharashtra, India. </w:t>
      </w:r>
      <w:r w:rsidRPr="004B14F3">
        <w:rPr>
          <w:rFonts w:ascii="Arial" w:hAnsi="Arial" w:cs="Arial"/>
          <w:i/>
          <w:iCs/>
          <w:sz w:val="20"/>
          <w:szCs w:val="20"/>
        </w:rPr>
        <w:t>The Bioscan</w:t>
      </w:r>
      <w:r w:rsidRPr="004B14F3">
        <w:rPr>
          <w:rFonts w:ascii="Arial" w:hAnsi="Arial" w:cs="Arial"/>
          <w:sz w:val="20"/>
          <w:szCs w:val="20"/>
        </w:rPr>
        <w:t xml:space="preserve">, </w:t>
      </w:r>
      <w:r w:rsidRPr="004B14F3">
        <w:rPr>
          <w:rFonts w:ascii="Arial" w:hAnsi="Arial" w:cs="Arial"/>
          <w:i/>
          <w:iCs/>
          <w:sz w:val="20"/>
          <w:szCs w:val="20"/>
        </w:rPr>
        <w:t>1</w:t>
      </w:r>
      <w:r w:rsidRPr="004B14F3">
        <w:rPr>
          <w:rFonts w:ascii="Arial" w:hAnsi="Arial" w:cs="Arial"/>
          <w:sz w:val="20"/>
          <w:szCs w:val="20"/>
        </w:rPr>
        <w:t>, 173–179.</w:t>
      </w:r>
    </w:p>
    <w:p w14:paraId="3D10C5F9" w14:textId="77777777" w:rsidR="0075352D" w:rsidRPr="004B14F3" w:rsidRDefault="0075352D" w:rsidP="00075BD9">
      <w:pPr>
        <w:spacing w:line="480" w:lineRule="auto"/>
        <w:ind w:left="720" w:hanging="720"/>
        <w:jc w:val="both"/>
        <w:rPr>
          <w:rFonts w:ascii="Arial" w:hAnsi="Arial" w:cs="Arial"/>
          <w:color w:val="222222"/>
          <w:sz w:val="20"/>
          <w:szCs w:val="20"/>
          <w:shd w:val="clear" w:color="auto" w:fill="FFFFFF"/>
        </w:rPr>
      </w:pPr>
      <w:r w:rsidRPr="004B14F3">
        <w:rPr>
          <w:rFonts w:ascii="Arial" w:hAnsi="Arial" w:cs="Arial"/>
          <w:color w:val="222222"/>
          <w:sz w:val="20"/>
          <w:szCs w:val="20"/>
          <w:shd w:val="clear" w:color="auto" w:fill="FFFFFF"/>
        </w:rPr>
        <w:t>Schoelinck, C., Roy, M., Godbout, V., Castelin, M., Abbott, C., &amp; Gagne, N. (2016). From the barcode to the taxonomic revision: a case-study of Canadian freshwater fish barcoding.</w:t>
      </w:r>
    </w:p>
    <w:p w14:paraId="4787AE8F" w14:textId="77777777" w:rsidR="00716572" w:rsidRPr="004B14F3" w:rsidRDefault="00716572" w:rsidP="00075BD9">
      <w:pPr>
        <w:pStyle w:val="Bibliography"/>
        <w:jc w:val="both"/>
        <w:rPr>
          <w:rFonts w:ascii="Arial" w:hAnsi="Arial" w:cs="Arial"/>
          <w:sz w:val="20"/>
          <w:szCs w:val="20"/>
        </w:rPr>
      </w:pPr>
      <w:r w:rsidRPr="004B14F3">
        <w:rPr>
          <w:rFonts w:ascii="Arial" w:hAnsi="Arial" w:cs="Arial"/>
          <w:sz w:val="20"/>
          <w:szCs w:val="20"/>
        </w:rPr>
        <w:t xml:space="preserve">Schoenemann, B., M. Poschmann, &amp; E.N. Clarkson (2019). Insights into the 400 million-year-old eyes of giant sea scorpions (Eurypterida) suggest the structure of Palaeozoic compound eyes. </w:t>
      </w:r>
      <w:r w:rsidRPr="004B14F3">
        <w:rPr>
          <w:rFonts w:ascii="Arial" w:hAnsi="Arial" w:cs="Arial"/>
          <w:i/>
          <w:iCs/>
          <w:sz w:val="20"/>
          <w:szCs w:val="20"/>
        </w:rPr>
        <w:t>Scientific Reports</w:t>
      </w:r>
      <w:r w:rsidRPr="004B14F3">
        <w:rPr>
          <w:rFonts w:ascii="Arial" w:hAnsi="Arial" w:cs="Arial"/>
          <w:sz w:val="20"/>
          <w:szCs w:val="20"/>
        </w:rPr>
        <w:t xml:space="preserve"> 9(1): 17797.</w:t>
      </w:r>
    </w:p>
    <w:p w14:paraId="3B407A44" w14:textId="77777777" w:rsidR="0075352D" w:rsidRPr="004B14F3" w:rsidRDefault="0075352D" w:rsidP="00075BD9">
      <w:pPr>
        <w:pStyle w:val="Bibliography"/>
        <w:jc w:val="both"/>
        <w:rPr>
          <w:rFonts w:ascii="Arial" w:hAnsi="Arial" w:cs="Arial"/>
          <w:sz w:val="20"/>
          <w:szCs w:val="20"/>
        </w:rPr>
      </w:pPr>
      <w:r w:rsidRPr="004B14F3">
        <w:rPr>
          <w:rFonts w:ascii="Arial" w:hAnsi="Arial" w:cs="Arial"/>
          <w:sz w:val="20"/>
          <w:szCs w:val="20"/>
        </w:rPr>
        <w:t xml:space="preserve">Stein, E.D., M.C. Martinez, S. Stiles, P.E. Miller, &amp; E.V. Zakharov (2014). Is DNA barcoding actually cheaper and faster than traditional morphological methods: results from a survey of freshwater bioassessment efforts in the United States? </w:t>
      </w:r>
      <w:r w:rsidRPr="004B14F3">
        <w:rPr>
          <w:rFonts w:ascii="Arial" w:hAnsi="Arial" w:cs="Arial"/>
          <w:i/>
          <w:iCs/>
          <w:sz w:val="20"/>
          <w:szCs w:val="20"/>
        </w:rPr>
        <w:t>PloS One</w:t>
      </w:r>
      <w:r w:rsidRPr="004B14F3">
        <w:rPr>
          <w:rFonts w:ascii="Arial" w:hAnsi="Arial" w:cs="Arial"/>
          <w:sz w:val="20"/>
          <w:szCs w:val="20"/>
        </w:rPr>
        <w:t xml:space="preserve"> 9(4): e95525.</w:t>
      </w:r>
    </w:p>
    <w:p w14:paraId="339F6622" w14:textId="77777777" w:rsidR="00F17B16" w:rsidRPr="004B14F3" w:rsidRDefault="0075352D" w:rsidP="00075BD9">
      <w:pPr>
        <w:spacing w:line="480" w:lineRule="auto"/>
        <w:ind w:left="720" w:hanging="720"/>
        <w:jc w:val="both"/>
        <w:rPr>
          <w:rFonts w:ascii="Arial" w:hAnsi="Arial" w:cs="Arial"/>
          <w:sz w:val="20"/>
          <w:szCs w:val="20"/>
        </w:rPr>
      </w:pPr>
      <w:r w:rsidRPr="004B14F3">
        <w:rPr>
          <w:rFonts w:ascii="Arial" w:hAnsi="Arial" w:cs="Arial"/>
          <w:sz w:val="20"/>
          <w:szCs w:val="20"/>
        </w:rPr>
        <w:t xml:space="preserve">Talwar, P.K. &amp; A.G. Jhingran (1991). </w:t>
      </w:r>
      <w:r w:rsidRPr="004B14F3">
        <w:rPr>
          <w:rFonts w:ascii="Arial" w:hAnsi="Arial" w:cs="Arial"/>
          <w:i/>
          <w:iCs/>
          <w:sz w:val="20"/>
          <w:szCs w:val="20"/>
        </w:rPr>
        <w:t>Inland fishes of India and adjacent countries</w:t>
      </w:r>
      <w:r w:rsidRPr="004B14F3">
        <w:rPr>
          <w:rFonts w:ascii="Arial" w:hAnsi="Arial" w:cs="Arial"/>
          <w:sz w:val="20"/>
          <w:szCs w:val="20"/>
        </w:rPr>
        <w:t xml:space="preserve">Vol. 2. CRC press. </w:t>
      </w:r>
    </w:p>
    <w:p w14:paraId="051E019E" w14:textId="77777777" w:rsidR="00716572" w:rsidRPr="004B14F3" w:rsidRDefault="00716572" w:rsidP="00075BD9">
      <w:pPr>
        <w:pStyle w:val="Bibliography"/>
        <w:jc w:val="both"/>
        <w:rPr>
          <w:rFonts w:ascii="Arial" w:hAnsi="Arial" w:cs="Arial"/>
          <w:sz w:val="20"/>
          <w:szCs w:val="20"/>
        </w:rPr>
      </w:pPr>
      <w:r w:rsidRPr="004B14F3">
        <w:rPr>
          <w:rFonts w:ascii="Arial" w:hAnsi="Arial" w:cs="Arial"/>
          <w:sz w:val="20"/>
          <w:szCs w:val="20"/>
        </w:rPr>
        <w:lastRenderedPageBreak/>
        <w:t xml:space="preserve">Vrijenhoek, R. (1994). DNA primers for amplification of mitochondrial cytochrome c oxidase subunit I from diverse metazoan invertebrates. </w:t>
      </w:r>
      <w:r w:rsidRPr="004B14F3">
        <w:rPr>
          <w:rFonts w:ascii="Arial" w:hAnsi="Arial" w:cs="Arial"/>
          <w:i/>
          <w:iCs/>
          <w:sz w:val="20"/>
          <w:szCs w:val="20"/>
        </w:rPr>
        <w:t>Mol Mar BiolBiotechnol</w:t>
      </w:r>
      <w:r w:rsidRPr="004B14F3">
        <w:rPr>
          <w:rFonts w:ascii="Arial" w:hAnsi="Arial" w:cs="Arial"/>
          <w:sz w:val="20"/>
          <w:szCs w:val="20"/>
        </w:rPr>
        <w:t xml:space="preserve"> 3(5): 294–299.</w:t>
      </w:r>
    </w:p>
    <w:p w14:paraId="6B30C703" w14:textId="77777777" w:rsidR="0075352D" w:rsidRPr="004B14F3" w:rsidRDefault="00163CDE" w:rsidP="00075BD9">
      <w:pPr>
        <w:pStyle w:val="Bibliography"/>
        <w:jc w:val="both"/>
        <w:rPr>
          <w:rFonts w:ascii="Arial" w:hAnsi="Arial" w:cs="Arial"/>
          <w:sz w:val="20"/>
          <w:szCs w:val="20"/>
        </w:rPr>
      </w:pPr>
      <w:r w:rsidRPr="004B14F3">
        <w:rPr>
          <w:rFonts w:ascii="Arial" w:hAnsi="Arial" w:cs="Arial"/>
          <w:sz w:val="20"/>
          <w:szCs w:val="20"/>
        </w:rPr>
        <w:fldChar w:fldCharType="end"/>
      </w:r>
      <w:r w:rsidR="0075352D" w:rsidRPr="004B14F3">
        <w:rPr>
          <w:rFonts w:ascii="Arial" w:hAnsi="Arial" w:cs="Arial"/>
          <w:sz w:val="20"/>
          <w:szCs w:val="20"/>
        </w:rPr>
        <w:t xml:space="preserve"> Yazdani, &amp; Singh, D. (2002). Zool. </w:t>
      </w:r>
      <w:proofErr w:type="spellStart"/>
      <w:r w:rsidR="0075352D" w:rsidRPr="004B14F3">
        <w:rPr>
          <w:rFonts w:ascii="Arial" w:hAnsi="Arial" w:cs="Arial"/>
          <w:sz w:val="20"/>
          <w:szCs w:val="20"/>
        </w:rPr>
        <w:t>Surv</w:t>
      </w:r>
      <w:proofErr w:type="spellEnd"/>
      <w:r w:rsidR="0075352D" w:rsidRPr="004B14F3">
        <w:rPr>
          <w:rFonts w:ascii="Arial" w:hAnsi="Arial" w:cs="Arial"/>
          <w:sz w:val="20"/>
          <w:szCs w:val="20"/>
        </w:rPr>
        <w:t xml:space="preserve">. India. Wetland Ecosystem Series No. 3 Fauna of Ujani" 143-156, 2002. </w:t>
      </w:r>
      <w:r w:rsidR="0075352D" w:rsidRPr="004B14F3">
        <w:rPr>
          <w:rFonts w:ascii="Arial" w:hAnsi="Arial" w:cs="Arial"/>
          <w:i/>
          <w:iCs/>
          <w:sz w:val="20"/>
          <w:szCs w:val="20"/>
        </w:rPr>
        <w:t>FAUNA OF UJANI</w:t>
      </w:r>
      <w:r w:rsidR="0075352D" w:rsidRPr="004B14F3">
        <w:rPr>
          <w:rFonts w:ascii="Arial" w:hAnsi="Arial" w:cs="Arial"/>
          <w:sz w:val="20"/>
          <w:szCs w:val="20"/>
        </w:rPr>
        <w:t>, 143.</w:t>
      </w:r>
    </w:p>
    <w:p w14:paraId="494FBC45" w14:textId="77777777" w:rsidR="00E33BF7" w:rsidRPr="004B14F3" w:rsidRDefault="00000000">
      <w:pPr>
        <w:pStyle w:val="Bibliography"/>
      </w:pPr>
      <w:r w:rsidRPr="004B14F3">
        <w:t>Barman, A. S., Singh, M., Singh, S. K., Saha, H., Singh, Y. J., Laishram, M., &amp; Pandey, P. K. (2018). DNA barcoding of freshwater fishes of Indo-Myanmar biodiversity hotspot. Scientific Reports, 8, Article 8579. https://doi.org/10.1038/s41598-018-26976-3</w:t>
      </w:r>
    </w:p>
    <w:p w14:paraId="12F6786A" w14:textId="77777777" w:rsidR="00E33BF7" w:rsidRPr="004B14F3" w:rsidRDefault="00000000">
      <w:pPr>
        <w:pStyle w:val="Bibliography"/>
      </w:pPr>
      <w:r w:rsidRPr="004B14F3">
        <w:t xml:space="preserve">Hebert, P. D. N., </w:t>
      </w:r>
      <w:proofErr w:type="spellStart"/>
      <w:r w:rsidRPr="004B14F3">
        <w:t>Cywinska</w:t>
      </w:r>
      <w:proofErr w:type="spellEnd"/>
      <w:r w:rsidRPr="004B14F3">
        <w:t xml:space="preserve">, A., Ball, S. L., &amp; </w:t>
      </w:r>
      <w:proofErr w:type="spellStart"/>
      <w:r w:rsidRPr="004B14F3">
        <w:t>deWaard</w:t>
      </w:r>
      <w:proofErr w:type="spellEnd"/>
      <w:r w:rsidRPr="004B14F3">
        <w:t>, J. R. (2003). Biological identifications through DNA barcodes. Proceedings of the Royal Society B: Biological Sciences, 270(1512), 313-321. https://doi.org/10.1098/rspb.2002.2218</w:t>
      </w:r>
    </w:p>
    <w:p w14:paraId="147629B7" w14:textId="77777777" w:rsidR="00E33BF7" w:rsidRPr="004B14F3" w:rsidRDefault="00000000">
      <w:pPr>
        <w:pStyle w:val="Bibliography"/>
      </w:pPr>
      <w:r w:rsidRPr="004B14F3">
        <w:t xml:space="preserve">Kundu, S., Tyagi, K., </w:t>
      </w:r>
      <w:proofErr w:type="spellStart"/>
      <w:r w:rsidRPr="004B14F3">
        <w:t>Pakrashi</w:t>
      </w:r>
      <w:proofErr w:type="spellEnd"/>
      <w:r w:rsidRPr="004B14F3">
        <w:t>, A., Kumar, V., Kosygin, L., Rath, S., Das, U., &amp; Chandra, K. (2019). DNA barcoding of freshwater fishes from the transboundary river of Indo-Bhutan: Multiple clades and cryptic diversity. Mitochondrial DNA Part B, 4(2), 2527-2532. https://doi.org/10.1080/23802359.2019.1640079</w:t>
      </w:r>
    </w:p>
    <w:p w14:paraId="142B1598" w14:textId="77777777" w:rsidR="00E33BF7" w:rsidRPr="004B14F3" w:rsidRDefault="00000000">
      <w:pPr>
        <w:pStyle w:val="Bibliography"/>
      </w:pPr>
      <w:r w:rsidRPr="004B14F3">
        <w:t>Lakra, W. S., Singh, M., Goswami, M., Gopalakrishnan, A., Lal, K. K., Mohindra, V., Sarkar, U. K., Punia, P. P., Singh, K. V., Bhatt, J. P., &amp; Ayyappan, S. (2016). DNA barcoding Indian freshwater fishes. Mitochondrial DNA Part A, 27(6), 4510-4517. https://doi.org/10.3109/19401736.2015.1101540</w:t>
      </w:r>
    </w:p>
    <w:p w14:paraId="53E81FF7" w14:textId="77777777" w:rsidR="00E33BF7" w:rsidRPr="004B14F3" w:rsidRDefault="00000000">
      <w:pPr>
        <w:pStyle w:val="Bibliography"/>
      </w:pPr>
      <w:proofErr w:type="spellStart"/>
      <w:r w:rsidRPr="004B14F3">
        <w:t>Modeel</w:t>
      </w:r>
      <w:proofErr w:type="spellEnd"/>
      <w:r w:rsidRPr="004B14F3">
        <w:t xml:space="preserve">, S., Negi, R. K., Sharma, M., Dolkar, P., Yadav, S., </w:t>
      </w:r>
      <w:proofErr w:type="spellStart"/>
      <w:r w:rsidRPr="004B14F3">
        <w:t>Siwach</w:t>
      </w:r>
      <w:proofErr w:type="spellEnd"/>
      <w:r w:rsidRPr="004B14F3">
        <w:t>, S., Yadav, P., &amp; Negi, T. (2024). A comprehensive DNA barcoding of Indian freshwater fishes of the Indus River system, Beas. Scientific Reports, 14, Article 2763. https://doi.org/10.1038/s41598-024-52519-0</w:t>
      </w:r>
    </w:p>
    <w:p w14:paraId="0B1F25F8" w14:textId="77777777" w:rsidR="00E33BF7" w:rsidRPr="004B14F3" w:rsidRDefault="00000000">
      <w:pPr>
        <w:pStyle w:val="Bibliography"/>
      </w:pPr>
      <w:r w:rsidRPr="004B14F3">
        <w:t xml:space="preserve">Patil, T. S., </w:t>
      </w:r>
      <w:proofErr w:type="spellStart"/>
      <w:r w:rsidRPr="004B14F3">
        <w:t>Jamdade</w:t>
      </w:r>
      <w:proofErr w:type="spellEnd"/>
      <w:r w:rsidRPr="004B14F3">
        <w:t xml:space="preserve">, R. A., Patil, S. M., </w:t>
      </w:r>
      <w:proofErr w:type="spellStart"/>
      <w:r w:rsidRPr="004B14F3">
        <w:t>Govindwar</w:t>
      </w:r>
      <w:proofErr w:type="spellEnd"/>
      <w:r w:rsidRPr="004B14F3">
        <w:t xml:space="preserve">, S. P., &amp; Muley, D. V. (2018). DNA </w:t>
      </w:r>
      <w:proofErr w:type="gramStart"/>
      <w:r w:rsidRPr="004B14F3">
        <w:t>barcode based</w:t>
      </w:r>
      <w:proofErr w:type="gramEnd"/>
      <w:r w:rsidRPr="004B14F3">
        <w:t xml:space="preserve"> delineation of freshwater fishes from northern Western Ghats of India, one of the world’s biodiversity hotspots. Biodiversity and Conservation, 27(13), 3349-3371. https://doi.org/10.1007/s10531-018-1604-0</w:t>
      </w:r>
    </w:p>
    <w:p w14:paraId="45004966" w14:textId="77777777" w:rsidR="00E33BF7" w:rsidRPr="004B14F3" w:rsidRDefault="00000000">
      <w:pPr>
        <w:pStyle w:val="Bibliography"/>
      </w:pPr>
      <w:r w:rsidRPr="004B14F3">
        <w:lastRenderedPageBreak/>
        <w:t xml:space="preserve">Sharma, M. S., &amp; Nagar, K. C. (2020). DNA barcoding and phylogenetic relationship of two fish species of genus </w:t>
      </w:r>
      <w:proofErr w:type="spellStart"/>
      <w:r w:rsidRPr="004B14F3">
        <w:t>Garra</w:t>
      </w:r>
      <w:proofErr w:type="spellEnd"/>
      <w:r w:rsidRPr="004B14F3">
        <w:t xml:space="preserve"> (Family: </w:t>
      </w:r>
      <w:proofErr w:type="spellStart"/>
      <w:r w:rsidRPr="004B14F3">
        <w:t>Cyprinidae</w:t>
      </w:r>
      <w:proofErr w:type="spellEnd"/>
      <w:r w:rsidRPr="004B14F3">
        <w:t>) from Aravalli region of Southern Rajasthan based on mtDNA COI sequences. The Indian Journal of Animal Sciences, 90(12), 1666-1669. https://doi.org/10.56093/ijans.v90i12.113208</w:t>
      </w:r>
    </w:p>
    <w:p w14:paraId="370CB1A3" w14:textId="77777777" w:rsidR="00E33BF7" w:rsidRDefault="00000000">
      <w:pPr>
        <w:pStyle w:val="Bibliography"/>
      </w:pPr>
      <w:r w:rsidRPr="004B14F3">
        <w:t xml:space="preserve">Ward, R. D., </w:t>
      </w:r>
      <w:proofErr w:type="spellStart"/>
      <w:r w:rsidRPr="004B14F3">
        <w:t>Zemlak</w:t>
      </w:r>
      <w:proofErr w:type="spellEnd"/>
      <w:r w:rsidRPr="004B14F3">
        <w:t>, T. S., Innes, B. H., Last, P. R., &amp; Hebert, P. D. N. (2005). DNA barcoding Australia’s fish species. Philosophical Transactions of the Royal Society B: Biological Sciences, 360(1462), 1847-1857. https://doi.org/10.1098/rstb.2005.1716</w:t>
      </w:r>
    </w:p>
    <w:p w14:paraId="7D077D0C" w14:textId="77777777" w:rsidR="005A01AB" w:rsidRPr="00075BD9" w:rsidRDefault="005A01AB" w:rsidP="00075BD9">
      <w:pPr>
        <w:spacing w:line="480" w:lineRule="auto"/>
        <w:jc w:val="both"/>
        <w:rPr>
          <w:rFonts w:ascii="Arial" w:hAnsi="Arial" w:cs="Arial"/>
          <w:b/>
          <w:bCs/>
          <w:sz w:val="20"/>
          <w:szCs w:val="20"/>
        </w:rPr>
      </w:pPr>
    </w:p>
    <w:sectPr w:rsidR="005A01AB" w:rsidRPr="00075BD9" w:rsidSect="009512C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6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ADD1E" w14:textId="77777777" w:rsidR="003F36FE" w:rsidRDefault="003F36FE" w:rsidP="00104CB0">
      <w:pPr>
        <w:spacing w:after="0" w:line="240" w:lineRule="auto"/>
      </w:pPr>
      <w:r>
        <w:separator/>
      </w:r>
    </w:p>
  </w:endnote>
  <w:endnote w:type="continuationSeparator" w:id="0">
    <w:p w14:paraId="76606989" w14:textId="77777777" w:rsidR="003F36FE" w:rsidRDefault="003F36FE" w:rsidP="00104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71E0" w14:textId="77777777" w:rsidR="00962791" w:rsidRDefault="009627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D52D" w14:textId="77777777" w:rsidR="00962791" w:rsidRDefault="009627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94556" w14:textId="77777777" w:rsidR="00962791" w:rsidRDefault="009627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E3910" w14:textId="77777777" w:rsidR="003F36FE" w:rsidRDefault="003F36FE" w:rsidP="00104CB0">
      <w:pPr>
        <w:spacing w:after="0" w:line="240" w:lineRule="auto"/>
      </w:pPr>
      <w:r>
        <w:separator/>
      </w:r>
    </w:p>
  </w:footnote>
  <w:footnote w:type="continuationSeparator" w:id="0">
    <w:p w14:paraId="3A7369E8" w14:textId="77777777" w:rsidR="003F36FE" w:rsidRDefault="003F36FE" w:rsidP="00104C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ABC3A" w14:textId="2E1ABA18" w:rsidR="00962791" w:rsidRDefault="00962791">
    <w:pPr>
      <w:pStyle w:val="Header"/>
    </w:pPr>
    <w:r>
      <w:rPr>
        <w:noProof/>
      </w:rPr>
      <w:pict w14:anchorId="175835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32779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7BA66" w14:textId="54B67D73" w:rsidR="00670AC4" w:rsidRPr="00104CB0" w:rsidRDefault="00962791" w:rsidP="00104CB0">
    <w:pPr>
      <w:pStyle w:val="Header"/>
      <w:jc w:val="right"/>
      <w:rPr>
        <w:rFonts w:ascii="Times New Roman" w:hAnsi="Times New Roman" w:cs="Times New Roman"/>
        <w:b/>
        <w:bCs/>
        <w:sz w:val="24"/>
        <w:szCs w:val="22"/>
      </w:rPr>
    </w:pPr>
    <w:r>
      <w:rPr>
        <w:noProof/>
      </w:rPr>
      <w:pict w14:anchorId="519B7A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327798" o:spid="_x0000_s1027" type="#_x0000_t136" style="position:absolute;left:0;text-align:left;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6050A" w14:textId="587131E0" w:rsidR="00962791" w:rsidRDefault="00962791">
    <w:pPr>
      <w:pStyle w:val="Header"/>
    </w:pPr>
    <w:r>
      <w:rPr>
        <w:noProof/>
      </w:rPr>
      <w:pict w14:anchorId="300204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32779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6D55"/>
    <w:multiLevelType w:val="hybridMultilevel"/>
    <w:tmpl w:val="5FD4DE7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16CEF"/>
    <w:multiLevelType w:val="hybridMultilevel"/>
    <w:tmpl w:val="93C0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761D0"/>
    <w:multiLevelType w:val="hybridMultilevel"/>
    <w:tmpl w:val="64CEB6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B1A75"/>
    <w:multiLevelType w:val="multilevel"/>
    <w:tmpl w:val="84F8A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007D9F"/>
    <w:multiLevelType w:val="hybridMultilevel"/>
    <w:tmpl w:val="43BE6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8C46DC"/>
    <w:multiLevelType w:val="hybridMultilevel"/>
    <w:tmpl w:val="6FB036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5C6E29"/>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6D6B45"/>
    <w:multiLevelType w:val="hybridMultilevel"/>
    <w:tmpl w:val="2364FF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23BC"/>
    <w:multiLevelType w:val="hybridMultilevel"/>
    <w:tmpl w:val="49BE8040"/>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18467745"/>
    <w:multiLevelType w:val="hybridMultilevel"/>
    <w:tmpl w:val="B03EB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B84B29"/>
    <w:multiLevelType w:val="hybridMultilevel"/>
    <w:tmpl w:val="6B5E7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5A681F"/>
    <w:multiLevelType w:val="hybridMultilevel"/>
    <w:tmpl w:val="52D4F7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62439C"/>
    <w:multiLevelType w:val="hybridMultilevel"/>
    <w:tmpl w:val="0BB0AC0C"/>
    <w:lvl w:ilvl="0" w:tplc="D458AD2A">
      <w:start w:val="1"/>
      <w:numFmt w:val="bullet"/>
      <w:lvlText w:val="•"/>
      <w:lvlJc w:val="left"/>
      <w:pPr>
        <w:tabs>
          <w:tab w:val="num" w:pos="720"/>
        </w:tabs>
        <w:ind w:left="720" w:hanging="360"/>
      </w:pPr>
      <w:rPr>
        <w:rFonts w:ascii="Arial" w:hAnsi="Arial" w:hint="default"/>
      </w:rPr>
    </w:lvl>
    <w:lvl w:ilvl="1" w:tplc="AFAA83C4" w:tentative="1">
      <w:start w:val="1"/>
      <w:numFmt w:val="bullet"/>
      <w:lvlText w:val="•"/>
      <w:lvlJc w:val="left"/>
      <w:pPr>
        <w:tabs>
          <w:tab w:val="num" w:pos="1440"/>
        </w:tabs>
        <w:ind w:left="1440" w:hanging="360"/>
      </w:pPr>
      <w:rPr>
        <w:rFonts w:ascii="Arial" w:hAnsi="Arial" w:hint="default"/>
      </w:rPr>
    </w:lvl>
    <w:lvl w:ilvl="2" w:tplc="5D028162" w:tentative="1">
      <w:start w:val="1"/>
      <w:numFmt w:val="bullet"/>
      <w:lvlText w:val="•"/>
      <w:lvlJc w:val="left"/>
      <w:pPr>
        <w:tabs>
          <w:tab w:val="num" w:pos="2160"/>
        </w:tabs>
        <w:ind w:left="2160" w:hanging="360"/>
      </w:pPr>
      <w:rPr>
        <w:rFonts w:ascii="Arial" w:hAnsi="Arial" w:hint="default"/>
      </w:rPr>
    </w:lvl>
    <w:lvl w:ilvl="3" w:tplc="09EACA7A" w:tentative="1">
      <w:start w:val="1"/>
      <w:numFmt w:val="bullet"/>
      <w:lvlText w:val="•"/>
      <w:lvlJc w:val="left"/>
      <w:pPr>
        <w:tabs>
          <w:tab w:val="num" w:pos="2880"/>
        </w:tabs>
        <w:ind w:left="2880" w:hanging="360"/>
      </w:pPr>
      <w:rPr>
        <w:rFonts w:ascii="Arial" w:hAnsi="Arial" w:hint="default"/>
      </w:rPr>
    </w:lvl>
    <w:lvl w:ilvl="4" w:tplc="2482FBD6" w:tentative="1">
      <w:start w:val="1"/>
      <w:numFmt w:val="bullet"/>
      <w:lvlText w:val="•"/>
      <w:lvlJc w:val="left"/>
      <w:pPr>
        <w:tabs>
          <w:tab w:val="num" w:pos="3600"/>
        </w:tabs>
        <w:ind w:left="3600" w:hanging="360"/>
      </w:pPr>
      <w:rPr>
        <w:rFonts w:ascii="Arial" w:hAnsi="Arial" w:hint="default"/>
      </w:rPr>
    </w:lvl>
    <w:lvl w:ilvl="5" w:tplc="D3DAE848" w:tentative="1">
      <w:start w:val="1"/>
      <w:numFmt w:val="bullet"/>
      <w:lvlText w:val="•"/>
      <w:lvlJc w:val="left"/>
      <w:pPr>
        <w:tabs>
          <w:tab w:val="num" w:pos="4320"/>
        </w:tabs>
        <w:ind w:left="4320" w:hanging="360"/>
      </w:pPr>
      <w:rPr>
        <w:rFonts w:ascii="Arial" w:hAnsi="Arial" w:hint="default"/>
      </w:rPr>
    </w:lvl>
    <w:lvl w:ilvl="6" w:tplc="9D06556C" w:tentative="1">
      <w:start w:val="1"/>
      <w:numFmt w:val="bullet"/>
      <w:lvlText w:val="•"/>
      <w:lvlJc w:val="left"/>
      <w:pPr>
        <w:tabs>
          <w:tab w:val="num" w:pos="5040"/>
        </w:tabs>
        <w:ind w:left="5040" w:hanging="360"/>
      </w:pPr>
      <w:rPr>
        <w:rFonts w:ascii="Arial" w:hAnsi="Arial" w:hint="default"/>
      </w:rPr>
    </w:lvl>
    <w:lvl w:ilvl="7" w:tplc="74D80404" w:tentative="1">
      <w:start w:val="1"/>
      <w:numFmt w:val="bullet"/>
      <w:lvlText w:val="•"/>
      <w:lvlJc w:val="left"/>
      <w:pPr>
        <w:tabs>
          <w:tab w:val="num" w:pos="5760"/>
        </w:tabs>
        <w:ind w:left="5760" w:hanging="360"/>
      </w:pPr>
      <w:rPr>
        <w:rFonts w:ascii="Arial" w:hAnsi="Arial" w:hint="default"/>
      </w:rPr>
    </w:lvl>
    <w:lvl w:ilvl="8" w:tplc="7886417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34969B8"/>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5DE2"/>
    <w:multiLevelType w:val="hybridMultilevel"/>
    <w:tmpl w:val="D21AB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081206"/>
    <w:multiLevelType w:val="hybridMultilevel"/>
    <w:tmpl w:val="5ACCB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617FDE"/>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332070"/>
    <w:multiLevelType w:val="hybridMultilevel"/>
    <w:tmpl w:val="3B22F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7A2978"/>
    <w:multiLevelType w:val="hybridMultilevel"/>
    <w:tmpl w:val="C8585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B77394"/>
    <w:multiLevelType w:val="multilevel"/>
    <w:tmpl w:val="8A9C0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2E3559"/>
    <w:multiLevelType w:val="hybridMultilevel"/>
    <w:tmpl w:val="BE94D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4124B2"/>
    <w:multiLevelType w:val="hybridMultilevel"/>
    <w:tmpl w:val="B64ACA8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45C6727E"/>
    <w:multiLevelType w:val="hybridMultilevel"/>
    <w:tmpl w:val="5080C1FE"/>
    <w:lvl w:ilvl="0" w:tplc="6060D85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0736FF"/>
    <w:multiLevelType w:val="hybridMultilevel"/>
    <w:tmpl w:val="44CC9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9C63AD"/>
    <w:multiLevelType w:val="hybridMultilevel"/>
    <w:tmpl w:val="8D6E2374"/>
    <w:lvl w:ilvl="0" w:tplc="6060D858">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38272B"/>
    <w:multiLevelType w:val="hybridMultilevel"/>
    <w:tmpl w:val="AD88DD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130B35"/>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D54D5B"/>
    <w:multiLevelType w:val="hybridMultilevel"/>
    <w:tmpl w:val="BE94D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464EC7"/>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5070D8"/>
    <w:multiLevelType w:val="hybridMultilevel"/>
    <w:tmpl w:val="B18A9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283860"/>
    <w:multiLevelType w:val="hybridMultilevel"/>
    <w:tmpl w:val="977633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6B2B49"/>
    <w:multiLevelType w:val="hybridMultilevel"/>
    <w:tmpl w:val="A5624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CF32D7"/>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494D8F"/>
    <w:multiLevelType w:val="multilevel"/>
    <w:tmpl w:val="786C4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FE00B3"/>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7B4612"/>
    <w:multiLevelType w:val="hybridMultilevel"/>
    <w:tmpl w:val="834C803C"/>
    <w:lvl w:ilvl="0" w:tplc="0346F46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AF36E3"/>
    <w:multiLevelType w:val="hybridMultilevel"/>
    <w:tmpl w:val="CF489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1218990">
    <w:abstractNumId w:val="31"/>
  </w:num>
  <w:num w:numId="2" w16cid:durableId="1320771749">
    <w:abstractNumId w:val="0"/>
  </w:num>
  <w:num w:numId="3" w16cid:durableId="6620524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5834048">
    <w:abstractNumId w:val="23"/>
  </w:num>
  <w:num w:numId="5" w16cid:durableId="250966811">
    <w:abstractNumId w:val="6"/>
  </w:num>
  <w:num w:numId="6" w16cid:durableId="450782835">
    <w:abstractNumId w:val="13"/>
  </w:num>
  <w:num w:numId="7" w16cid:durableId="790175389">
    <w:abstractNumId w:val="28"/>
  </w:num>
  <w:num w:numId="8" w16cid:durableId="2039037895">
    <w:abstractNumId w:val="32"/>
  </w:num>
  <w:num w:numId="9" w16cid:durableId="665211354">
    <w:abstractNumId w:val="16"/>
  </w:num>
  <w:num w:numId="10" w16cid:durableId="11419697">
    <w:abstractNumId w:val="12"/>
  </w:num>
  <w:num w:numId="11" w16cid:durableId="887492054">
    <w:abstractNumId w:val="10"/>
  </w:num>
  <w:num w:numId="12" w16cid:durableId="952050704">
    <w:abstractNumId w:val="35"/>
  </w:num>
  <w:num w:numId="13" w16cid:durableId="188959248">
    <w:abstractNumId w:val="26"/>
  </w:num>
  <w:num w:numId="14" w16cid:durableId="397245620">
    <w:abstractNumId w:val="34"/>
  </w:num>
  <w:num w:numId="15" w16cid:durableId="467670818">
    <w:abstractNumId w:val="36"/>
  </w:num>
  <w:num w:numId="16" w16cid:durableId="739448093">
    <w:abstractNumId w:val="25"/>
  </w:num>
  <w:num w:numId="17" w16cid:durableId="446316877">
    <w:abstractNumId w:val="5"/>
  </w:num>
  <w:num w:numId="18" w16cid:durableId="874583277">
    <w:abstractNumId w:val="7"/>
  </w:num>
  <w:num w:numId="19" w16cid:durableId="199242517">
    <w:abstractNumId w:val="30"/>
  </w:num>
  <w:num w:numId="20" w16cid:durableId="1098864475">
    <w:abstractNumId w:val="11"/>
  </w:num>
  <w:num w:numId="21" w16cid:durableId="1254237728">
    <w:abstractNumId w:val="2"/>
  </w:num>
  <w:num w:numId="22" w16cid:durableId="2113426704">
    <w:abstractNumId w:val="8"/>
  </w:num>
  <w:num w:numId="23" w16cid:durableId="1347751512">
    <w:abstractNumId w:val="24"/>
  </w:num>
  <w:num w:numId="24" w16cid:durableId="705719197">
    <w:abstractNumId w:val="22"/>
  </w:num>
  <w:num w:numId="25" w16cid:durableId="973560473">
    <w:abstractNumId w:val="17"/>
  </w:num>
  <w:num w:numId="26" w16cid:durableId="1673290787">
    <w:abstractNumId w:val="4"/>
  </w:num>
  <w:num w:numId="27" w16cid:durableId="2068216163">
    <w:abstractNumId w:val="29"/>
  </w:num>
  <w:num w:numId="28" w16cid:durableId="1486506742">
    <w:abstractNumId w:val="1"/>
  </w:num>
  <w:num w:numId="29" w16cid:durableId="447968552">
    <w:abstractNumId w:val="15"/>
  </w:num>
  <w:num w:numId="30" w16cid:durableId="318387395">
    <w:abstractNumId w:val="14"/>
  </w:num>
  <w:num w:numId="31" w16cid:durableId="588663493">
    <w:abstractNumId w:val="19"/>
  </w:num>
  <w:num w:numId="32" w16cid:durableId="746268980">
    <w:abstractNumId w:val="3"/>
  </w:num>
  <w:num w:numId="33" w16cid:durableId="866258315">
    <w:abstractNumId w:val="33"/>
  </w:num>
  <w:num w:numId="34" w16cid:durableId="1964922069">
    <w:abstractNumId w:val="20"/>
  </w:num>
  <w:num w:numId="35" w16cid:durableId="1584993267">
    <w:abstractNumId w:val="27"/>
  </w:num>
  <w:num w:numId="36" w16cid:durableId="1195846145">
    <w:abstractNumId w:val="9"/>
  </w:num>
  <w:num w:numId="37" w16cid:durableId="20617801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23A2"/>
    <w:rsid w:val="00057D31"/>
    <w:rsid w:val="0007107F"/>
    <w:rsid w:val="00075BD9"/>
    <w:rsid w:val="000A037F"/>
    <w:rsid w:val="000D03FD"/>
    <w:rsid w:val="00104CB0"/>
    <w:rsid w:val="00113805"/>
    <w:rsid w:val="001337F2"/>
    <w:rsid w:val="00136A4C"/>
    <w:rsid w:val="00163CDE"/>
    <w:rsid w:val="00167A9C"/>
    <w:rsid w:val="00172DDE"/>
    <w:rsid w:val="001B3A62"/>
    <w:rsid w:val="001E347E"/>
    <w:rsid w:val="00216047"/>
    <w:rsid w:val="0027078C"/>
    <w:rsid w:val="002862EA"/>
    <w:rsid w:val="002A569A"/>
    <w:rsid w:val="002C5770"/>
    <w:rsid w:val="002D360B"/>
    <w:rsid w:val="00330EDC"/>
    <w:rsid w:val="003648F1"/>
    <w:rsid w:val="003742F1"/>
    <w:rsid w:val="003B61EE"/>
    <w:rsid w:val="003C6B42"/>
    <w:rsid w:val="003F36FE"/>
    <w:rsid w:val="004121DB"/>
    <w:rsid w:val="004573EE"/>
    <w:rsid w:val="00460AE8"/>
    <w:rsid w:val="004779C8"/>
    <w:rsid w:val="00495A19"/>
    <w:rsid w:val="004B14F3"/>
    <w:rsid w:val="004C6026"/>
    <w:rsid w:val="004E2A27"/>
    <w:rsid w:val="004F07CC"/>
    <w:rsid w:val="00550E91"/>
    <w:rsid w:val="005610B3"/>
    <w:rsid w:val="00566F58"/>
    <w:rsid w:val="005A01AB"/>
    <w:rsid w:val="005C0596"/>
    <w:rsid w:val="005C7DBA"/>
    <w:rsid w:val="006461F2"/>
    <w:rsid w:val="00670AC4"/>
    <w:rsid w:val="00716572"/>
    <w:rsid w:val="007213CE"/>
    <w:rsid w:val="0075352D"/>
    <w:rsid w:val="00784C1F"/>
    <w:rsid w:val="007915E4"/>
    <w:rsid w:val="007F7012"/>
    <w:rsid w:val="008627CC"/>
    <w:rsid w:val="008C5639"/>
    <w:rsid w:val="008F1575"/>
    <w:rsid w:val="009138A5"/>
    <w:rsid w:val="009512C9"/>
    <w:rsid w:val="00962791"/>
    <w:rsid w:val="009E760A"/>
    <w:rsid w:val="00A20532"/>
    <w:rsid w:val="00A53555"/>
    <w:rsid w:val="00AB528A"/>
    <w:rsid w:val="00AF1279"/>
    <w:rsid w:val="00B52E2C"/>
    <w:rsid w:val="00BB012F"/>
    <w:rsid w:val="00BB2EF3"/>
    <w:rsid w:val="00BE005C"/>
    <w:rsid w:val="00BE056C"/>
    <w:rsid w:val="00BE321E"/>
    <w:rsid w:val="00BF1D81"/>
    <w:rsid w:val="00C25CBC"/>
    <w:rsid w:val="00CA16A1"/>
    <w:rsid w:val="00CC4806"/>
    <w:rsid w:val="00D24CAE"/>
    <w:rsid w:val="00DA69E4"/>
    <w:rsid w:val="00DC1E34"/>
    <w:rsid w:val="00E0128D"/>
    <w:rsid w:val="00E33BF7"/>
    <w:rsid w:val="00E5227B"/>
    <w:rsid w:val="00EF23A2"/>
    <w:rsid w:val="00F17B16"/>
    <w:rsid w:val="00F43BE6"/>
    <w:rsid w:val="00F71BF7"/>
    <w:rsid w:val="00FC7038"/>
    <w:rsid w:val="00FE0CCE"/>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F92AB"/>
  <w15:docId w15:val="{C59A1A09-B33F-46CB-887B-69FFF4859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3A2"/>
    <w:rPr>
      <w:szCs w:val="22"/>
      <w:lang w:bidi="ar-SA"/>
    </w:rPr>
  </w:style>
  <w:style w:type="paragraph" w:styleId="Heading1">
    <w:name w:val="heading 1"/>
    <w:basedOn w:val="Normal"/>
    <w:link w:val="Heading1Char"/>
    <w:uiPriority w:val="9"/>
    <w:qFormat/>
    <w:rsid w:val="00104CB0"/>
    <w:pPr>
      <w:spacing w:before="100" w:beforeAutospacing="1" w:after="100" w:afterAutospacing="1" w:line="240" w:lineRule="auto"/>
      <w:outlineLvl w:val="0"/>
    </w:pPr>
    <w:rPr>
      <w:rFonts w:ascii="Times New Roman" w:eastAsia="Times New Roman" w:hAnsi="Times New Roman" w:cs="Times New Roman"/>
      <w:b/>
      <w:bCs/>
      <w:kern w:val="36"/>
      <w:sz w:val="48"/>
      <w:szCs w:val="48"/>
      <w:lang w:bidi="mr-IN"/>
    </w:rPr>
  </w:style>
  <w:style w:type="paragraph" w:styleId="Heading2">
    <w:name w:val="heading 2"/>
    <w:basedOn w:val="Normal"/>
    <w:next w:val="Normal"/>
    <w:link w:val="Heading2Char"/>
    <w:uiPriority w:val="9"/>
    <w:semiHidden/>
    <w:unhideWhenUsed/>
    <w:qFormat/>
    <w:rsid w:val="00EF23A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EF23A2"/>
    <w:pPr>
      <w:spacing w:before="100" w:beforeAutospacing="1" w:after="100" w:afterAutospacing="1" w:line="240" w:lineRule="auto"/>
      <w:outlineLvl w:val="2"/>
    </w:pPr>
    <w:rPr>
      <w:rFonts w:ascii="Times New Roman" w:eastAsia="Times New Roman" w:hAnsi="Times New Roman" w:cs="Times New Roman"/>
      <w:b/>
      <w:bCs/>
      <w:sz w:val="27"/>
      <w:szCs w:val="27"/>
      <w:lang w:bidi="mr-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F23A2"/>
    <w:rPr>
      <w:rFonts w:asciiTheme="majorHAnsi" w:eastAsiaTheme="majorEastAsia" w:hAnsiTheme="majorHAnsi" w:cstheme="majorBidi"/>
      <w:color w:val="365F91" w:themeColor="accent1" w:themeShade="BF"/>
      <w:sz w:val="26"/>
      <w:szCs w:val="26"/>
      <w:lang w:bidi="ar-SA"/>
    </w:rPr>
  </w:style>
  <w:style w:type="character" w:customStyle="1" w:styleId="Heading3Char">
    <w:name w:val="Heading 3 Char"/>
    <w:basedOn w:val="DefaultParagraphFont"/>
    <w:link w:val="Heading3"/>
    <w:uiPriority w:val="9"/>
    <w:rsid w:val="00EF23A2"/>
    <w:rPr>
      <w:rFonts w:ascii="Times New Roman" w:eastAsia="Times New Roman" w:hAnsi="Times New Roman" w:cs="Times New Roman"/>
      <w:b/>
      <w:bCs/>
      <w:sz w:val="27"/>
      <w:szCs w:val="27"/>
    </w:rPr>
  </w:style>
  <w:style w:type="paragraph" w:styleId="NormalWeb">
    <w:name w:val="Normal (Web)"/>
    <w:basedOn w:val="Normal"/>
    <w:uiPriority w:val="99"/>
    <w:unhideWhenUsed/>
    <w:rsid w:val="00EF23A2"/>
    <w:pPr>
      <w:spacing w:before="100" w:beforeAutospacing="1" w:after="100" w:afterAutospacing="1" w:line="240" w:lineRule="auto"/>
    </w:pPr>
    <w:rPr>
      <w:rFonts w:ascii="Times New Roman" w:eastAsia="Times New Roman" w:hAnsi="Times New Roman" w:cs="Times New Roman"/>
      <w:sz w:val="24"/>
      <w:szCs w:val="24"/>
      <w:lang w:bidi="mr-IN"/>
    </w:rPr>
  </w:style>
  <w:style w:type="character" w:styleId="Strong">
    <w:name w:val="Strong"/>
    <w:basedOn w:val="DefaultParagraphFont"/>
    <w:uiPriority w:val="22"/>
    <w:qFormat/>
    <w:rsid w:val="00EF23A2"/>
    <w:rPr>
      <w:b/>
      <w:bCs/>
    </w:rPr>
  </w:style>
  <w:style w:type="character" w:styleId="Emphasis">
    <w:name w:val="Emphasis"/>
    <w:basedOn w:val="DefaultParagraphFont"/>
    <w:uiPriority w:val="20"/>
    <w:qFormat/>
    <w:rsid w:val="00EF23A2"/>
    <w:rPr>
      <w:i/>
      <w:iCs/>
    </w:rPr>
  </w:style>
  <w:style w:type="paragraph" w:styleId="ListParagraph">
    <w:name w:val="List Paragraph"/>
    <w:basedOn w:val="Normal"/>
    <w:uiPriority w:val="34"/>
    <w:qFormat/>
    <w:rsid w:val="00EF23A2"/>
    <w:pPr>
      <w:spacing w:after="160" w:line="259" w:lineRule="auto"/>
      <w:ind w:left="720"/>
      <w:contextualSpacing/>
    </w:pPr>
    <w:rPr>
      <w:szCs w:val="20"/>
      <w:lang w:bidi="mr-IN"/>
    </w:rPr>
  </w:style>
  <w:style w:type="paragraph" w:styleId="Bibliography">
    <w:name w:val="Bibliography"/>
    <w:basedOn w:val="Normal"/>
    <w:next w:val="Normal"/>
    <w:uiPriority w:val="37"/>
    <w:unhideWhenUsed/>
    <w:rsid w:val="00EF23A2"/>
    <w:pPr>
      <w:spacing w:after="0" w:line="480" w:lineRule="auto"/>
      <w:ind w:left="720" w:hanging="720"/>
    </w:pPr>
  </w:style>
  <w:style w:type="paragraph" w:styleId="BalloonText">
    <w:name w:val="Balloon Text"/>
    <w:basedOn w:val="Normal"/>
    <w:link w:val="BalloonTextChar"/>
    <w:uiPriority w:val="99"/>
    <w:semiHidden/>
    <w:unhideWhenUsed/>
    <w:rsid w:val="00EF23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3A2"/>
    <w:rPr>
      <w:rFonts w:ascii="Tahoma" w:hAnsi="Tahoma" w:cs="Tahoma"/>
      <w:sz w:val="16"/>
      <w:szCs w:val="16"/>
      <w:lang w:bidi="ar-SA"/>
    </w:rPr>
  </w:style>
  <w:style w:type="paragraph" w:styleId="HTMLPreformatted">
    <w:name w:val="HTML Preformatted"/>
    <w:basedOn w:val="Normal"/>
    <w:link w:val="HTMLPreformattedChar"/>
    <w:uiPriority w:val="99"/>
    <w:unhideWhenUsed/>
    <w:rsid w:val="00EF2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mr-IN"/>
    </w:rPr>
  </w:style>
  <w:style w:type="character" w:customStyle="1" w:styleId="HTMLPreformattedChar">
    <w:name w:val="HTML Preformatted Char"/>
    <w:basedOn w:val="DefaultParagraphFont"/>
    <w:link w:val="HTMLPreformatted"/>
    <w:uiPriority w:val="99"/>
    <w:rsid w:val="00EF23A2"/>
    <w:rPr>
      <w:rFonts w:ascii="Courier New" w:eastAsia="Times New Roman" w:hAnsi="Courier New" w:cs="Courier New"/>
      <w:sz w:val="20"/>
    </w:rPr>
  </w:style>
  <w:style w:type="character" w:customStyle="1" w:styleId="feature">
    <w:name w:val="feature"/>
    <w:basedOn w:val="DefaultParagraphFont"/>
    <w:rsid w:val="00EF23A2"/>
  </w:style>
  <w:style w:type="table" w:styleId="TableGrid">
    <w:name w:val="Table Grid"/>
    <w:basedOn w:val="TableNormal"/>
    <w:uiPriority w:val="59"/>
    <w:rsid w:val="00EF23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104CB0"/>
    <w:rPr>
      <w:rFonts w:ascii="Times New Roman" w:eastAsia="Times New Roman" w:hAnsi="Times New Roman" w:cs="Times New Roman"/>
      <w:b/>
      <w:bCs/>
      <w:kern w:val="36"/>
      <w:sz w:val="48"/>
      <w:szCs w:val="48"/>
    </w:rPr>
  </w:style>
  <w:style w:type="table" w:styleId="LightShading-Accent5">
    <w:name w:val="Light Shading Accent 5"/>
    <w:basedOn w:val="TableNormal"/>
    <w:uiPriority w:val="60"/>
    <w:rsid w:val="00104CB0"/>
    <w:pPr>
      <w:spacing w:after="0" w:line="240" w:lineRule="auto"/>
    </w:pPr>
    <w:rPr>
      <w:rFonts w:eastAsiaTheme="minorEastAsia"/>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shd w:val="clear" w:color="auto" w:fill="FFFFFF" w:themeFill="background1"/>
    </w:tc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Hyperlink">
    <w:name w:val="Hyperlink"/>
    <w:basedOn w:val="DefaultParagraphFont"/>
    <w:uiPriority w:val="99"/>
    <w:unhideWhenUsed/>
    <w:rsid w:val="00104CB0"/>
    <w:rPr>
      <w:color w:val="0000FF" w:themeColor="hyperlink"/>
      <w:u w:val="single"/>
    </w:rPr>
  </w:style>
  <w:style w:type="character" w:customStyle="1" w:styleId="sheader6">
    <w:name w:val="sheader6"/>
    <w:basedOn w:val="DefaultParagraphFont"/>
    <w:rsid w:val="00104CB0"/>
  </w:style>
  <w:style w:type="paragraph" w:styleId="Header">
    <w:name w:val="header"/>
    <w:basedOn w:val="Normal"/>
    <w:link w:val="HeaderChar"/>
    <w:uiPriority w:val="99"/>
    <w:unhideWhenUsed/>
    <w:rsid w:val="00104CB0"/>
    <w:pPr>
      <w:tabs>
        <w:tab w:val="center" w:pos="4680"/>
        <w:tab w:val="right" w:pos="9360"/>
      </w:tabs>
      <w:spacing w:after="0" w:line="240" w:lineRule="auto"/>
    </w:pPr>
    <w:rPr>
      <w:rFonts w:eastAsiaTheme="minorEastAsia"/>
      <w:szCs w:val="20"/>
      <w:lang w:bidi="mr-IN"/>
    </w:rPr>
  </w:style>
  <w:style w:type="character" w:customStyle="1" w:styleId="HeaderChar">
    <w:name w:val="Header Char"/>
    <w:basedOn w:val="DefaultParagraphFont"/>
    <w:link w:val="Header"/>
    <w:uiPriority w:val="99"/>
    <w:rsid w:val="00104CB0"/>
    <w:rPr>
      <w:rFonts w:eastAsiaTheme="minorEastAsia"/>
    </w:rPr>
  </w:style>
  <w:style w:type="paragraph" w:styleId="Footer">
    <w:name w:val="footer"/>
    <w:basedOn w:val="Normal"/>
    <w:link w:val="FooterChar"/>
    <w:uiPriority w:val="99"/>
    <w:unhideWhenUsed/>
    <w:rsid w:val="00104CB0"/>
    <w:pPr>
      <w:tabs>
        <w:tab w:val="center" w:pos="4680"/>
        <w:tab w:val="right" w:pos="9360"/>
      </w:tabs>
      <w:spacing w:after="0" w:line="240" w:lineRule="auto"/>
    </w:pPr>
    <w:rPr>
      <w:rFonts w:eastAsiaTheme="minorEastAsia"/>
      <w:szCs w:val="20"/>
      <w:lang w:bidi="mr-IN"/>
    </w:rPr>
  </w:style>
  <w:style w:type="character" w:customStyle="1" w:styleId="FooterChar">
    <w:name w:val="Footer Char"/>
    <w:basedOn w:val="DefaultParagraphFont"/>
    <w:link w:val="Footer"/>
    <w:uiPriority w:val="99"/>
    <w:rsid w:val="00104CB0"/>
    <w:rPr>
      <w:rFonts w:eastAsiaTheme="minorEastAsia"/>
    </w:rPr>
  </w:style>
  <w:style w:type="character" w:customStyle="1" w:styleId="black">
    <w:name w:val="&quot;black&quot;"/>
    <w:basedOn w:val="DefaultParagraphFont"/>
    <w:rsid w:val="00104CB0"/>
  </w:style>
  <w:style w:type="paragraph" w:styleId="Caption">
    <w:name w:val="caption"/>
    <w:basedOn w:val="Normal"/>
    <w:next w:val="Normal"/>
    <w:uiPriority w:val="35"/>
    <w:unhideWhenUsed/>
    <w:qFormat/>
    <w:rsid w:val="00104CB0"/>
    <w:pPr>
      <w:spacing w:line="240" w:lineRule="auto"/>
    </w:pPr>
    <w:rPr>
      <w:rFonts w:eastAsiaTheme="minorEastAsia"/>
      <w:b/>
      <w:bCs/>
      <w:color w:val="4F81BD" w:themeColor="accent1"/>
      <w:sz w:val="18"/>
      <w:szCs w:val="16"/>
      <w:lang w:bidi="mr-IN"/>
    </w:rPr>
  </w:style>
  <w:style w:type="table" w:styleId="LightShading-Accent3">
    <w:name w:val="Light Shading Accent 3"/>
    <w:basedOn w:val="TableNormal"/>
    <w:uiPriority w:val="60"/>
    <w:rsid w:val="00104CB0"/>
    <w:pPr>
      <w:spacing w:after="0" w:line="240" w:lineRule="auto"/>
    </w:pPr>
    <w:rPr>
      <w:rFonts w:eastAsiaTheme="minorEastAsia"/>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List1">
    <w:name w:val="Light List1"/>
    <w:basedOn w:val="TableNormal"/>
    <w:uiPriority w:val="61"/>
    <w:rsid w:val="00104CB0"/>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shd w:val="clear" w:color="auto" w:fill="auto"/>
    </w:tcPr>
    <w:tblStylePr w:type="firstRow">
      <w:pPr>
        <w:spacing w:before="0" w:after="0" w:line="240" w:lineRule="auto"/>
      </w:pPr>
      <w:rPr>
        <w:b/>
        <w:bCs/>
        <w:color w:val="FFFFFF" w:themeColor="background1"/>
      </w:rPr>
      <w:tblPr/>
      <w:tcPr>
        <w:shd w:val="clear" w:color="auto" w:fill="C4BC96" w:themeFill="background2" w:themeFillShade="BF"/>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changed">
    <w:name w:val="changed"/>
    <w:basedOn w:val="DefaultParagraphFont"/>
    <w:rsid w:val="00104CB0"/>
  </w:style>
  <w:style w:type="table" w:customStyle="1" w:styleId="LightShading-Accent11">
    <w:name w:val="Light Shading - Accent 11"/>
    <w:basedOn w:val="TableNormal"/>
    <w:uiPriority w:val="60"/>
    <w:rsid w:val="00104CB0"/>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laceholderText">
    <w:name w:val="Placeholder Text"/>
    <w:basedOn w:val="DefaultParagraphFont"/>
    <w:uiPriority w:val="99"/>
    <w:semiHidden/>
    <w:rsid w:val="00104CB0"/>
    <w:rPr>
      <w:color w:val="808080"/>
    </w:rPr>
  </w:style>
  <w:style w:type="character" w:customStyle="1" w:styleId="ng-binding">
    <w:name w:val="ng-binding"/>
    <w:basedOn w:val="DefaultParagraphFont"/>
    <w:rsid w:val="00104CB0"/>
  </w:style>
  <w:style w:type="paragraph" w:customStyle="1" w:styleId="source">
    <w:name w:val="source"/>
    <w:basedOn w:val="Normal"/>
    <w:rsid w:val="00104CB0"/>
    <w:pPr>
      <w:spacing w:before="100" w:beforeAutospacing="1" w:after="100" w:afterAutospacing="1" w:line="240" w:lineRule="auto"/>
    </w:pPr>
    <w:rPr>
      <w:rFonts w:ascii="Times New Roman" w:eastAsia="Times New Roman" w:hAnsi="Times New Roman" w:cs="Times New Roman"/>
      <w:sz w:val="24"/>
      <w:szCs w:val="24"/>
      <w:lang w:bidi="mr-IN"/>
    </w:rPr>
  </w:style>
  <w:style w:type="character" w:customStyle="1" w:styleId="ng-scope">
    <w:name w:val="ng-scope"/>
    <w:basedOn w:val="DefaultParagraphFont"/>
    <w:rsid w:val="00104CB0"/>
  </w:style>
  <w:style w:type="character" w:customStyle="1" w:styleId="gb-button--brandlabel">
    <w:name w:val="gb-button--brand__label"/>
    <w:basedOn w:val="DefaultParagraphFont"/>
    <w:rsid w:val="00104CB0"/>
  </w:style>
  <w:style w:type="character" w:customStyle="1" w:styleId="ng-isolate-scope">
    <w:name w:val="ng-isolate-scope"/>
    <w:basedOn w:val="DefaultParagraphFont"/>
    <w:rsid w:val="00104CB0"/>
  </w:style>
  <w:style w:type="table" w:customStyle="1" w:styleId="LightShading1">
    <w:name w:val="Light Shading1"/>
    <w:basedOn w:val="TableNormal"/>
    <w:uiPriority w:val="60"/>
    <w:rsid w:val="00104CB0"/>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unhideWhenUsed/>
    <w:rsid w:val="00104CB0"/>
    <w:pPr>
      <w:spacing w:after="0"/>
    </w:pPr>
    <w:rPr>
      <w:rFonts w:eastAsiaTheme="minorEastAsia"/>
      <w:szCs w:val="20"/>
      <w:lang w:bidi="mr-IN"/>
    </w:rPr>
  </w:style>
  <w:style w:type="paragraph" w:styleId="TOCHeading">
    <w:name w:val="TOC Heading"/>
    <w:basedOn w:val="Heading1"/>
    <w:next w:val="Normal"/>
    <w:uiPriority w:val="39"/>
    <w:semiHidden/>
    <w:unhideWhenUsed/>
    <w:qFormat/>
    <w:rsid w:val="00104CB0"/>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bidi="ar-SA"/>
    </w:rPr>
  </w:style>
  <w:style w:type="paragraph" w:styleId="TOC3">
    <w:name w:val="toc 3"/>
    <w:basedOn w:val="Normal"/>
    <w:next w:val="Normal"/>
    <w:autoRedefine/>
    <w:uiPriority w:val="39"/>
    <w:unhideWhenUsed/>
    <w:rsid w:val="00104CB0"/>
    <w:pPr>
      <w:spacing w:after="100"/>
      <w:ind w:left="440"/>
    </w:pPr>
    <w:rPr>
      <w:rFonts w:eastAsiaTheme="minorEastAsia"/>
      <w:szCs w:val="20"/>
      <w:lang w:bidi="mr-IN"/>
    </w:rPr>
  </w:style>
  <w:style w:type="character" w:styleId="UnresolvedMention">
    <w:name w:val="Unresolved Mention"/>
    <w:basedOn w:val="DefaultParagraphFont"/>
    <w:uiPriority w:val="99"/>
    <w:semiHidden/>
    <w:unhideWhenUsed/>
    <w:rsid w:val="00057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13</Pages>
  <Words>6461</Words>
  <Characters>36833</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SDI 1166</cp:lastModifiedBy>
  <cp:revision>43</cp:revision>
  <cp:lastPrinted>2026-05-14T11:08:00Z</cp:lastPrinted>
  <dcterms:created xsi:type="dcterms:W3CDTF">2025-11-17T09:42:00Z</dcterms:created>
  <dcterms:modified xsi:type="dcterms:W3CDTF">2026-07-24T13:37:00Z</dcterms:modified>
</cp:coreProperties>
</file>