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097BD" w14:textId="77777777" w:rsidR="006F56A3" w:rsidRDefault="006F56A3" w:rsidP="00046F22">
      <w:pPr>
        <w:pStyle w:val="NormalWeb"/>
        <w:spacing w:line="360" w:lineRule="auto"/>
        <w:rPr>
          <w:rFonts w:ascii="Times New Roman" w:hAnsi="Times New Roman" w:cs="Times New Roman"/>
          <w:b/>
          <w:bCs/>
          <w:sz w:val="22"/>
          <w:szCs w:val="22"/>
        </w:rPr>
      </w:pPr>
      <w:r w:rsidRPr="006F56A3">
        <w:rPr>
          <w:rFonts w:ascii="Times New Roman" w:hAnsi="Times New Roman" w:cs="Times New Roman"/>
          <w:b/>
          <w:bCs/>
          <w:sz w:val="22"/>
          <w:szCs w:val="22"/>
        </w:rPr>
        <w:t xml:space="preserve">Comparative Evaluation of Performance and Mortality Rates in CARI Debendra and CARI Nirbheek from Hatching to Maturity in Eastern Plain Zone of Uttar Pradesh </w:t>
      </w:r>
    </w:p>
    <w:p w14:paraId="151BCC69" w14:textId="77777777" w:rsidR="006F56A3" w:rsidRDefault="006F56A3" w:rsidP="00046F22">
      <w:pPr>
        <w:pStyle w:val="NormalWeb"/>
        <w:spacing w:line="360" w:lineRule="auto"/>
        <w:rPr>
          <w:rFonts w:ascii="Times New Roman" w:hAnsi="Times New Roman" w:cs="Times New Roman"/>
          <w:b/>
          <w:bCs/>
          <w:sz w:val="22"/>
          <w:szCs w:val="22"/>
        </w:rPr>
      </w:pPr>
    </w:p>
    <w:p w14:paraId="77B901B6" w14:textId="77777777" w:rsidR="00AF7721" w:rsidRDefault="00AF7721" w:rsidP="00C527D1">
      <w:pPr>
        <w:rPr>
          <w:rFonts w:ascii="Times New Roman" w:hAnsi="Times New Roman" w:cs="Times New Roman"/>
        </w:rPr>
      </w:pPr>
    </w:p>
    <w:p w14:paraId="4CA7CAA2" w14:textId="77777777" w:rsidR="002E36E5" w:rsidRDefault="002E36E5" w:rsidP="00C527D1">
      <w:pPr>
        <w:rPr>
          <w:rFonts w:ascii="Times New Roman" w:hAnsi="Times New Roman" w:cs="Times New Roman"/>
        </w:rPr>
      </w:pPr>
    </w:p>
    <w:p w14:paraId="0F839922" w14:textId="77777777" w:rsidR="00AF7721" w:rsidRDefault="00046F22">
      <w:pPr>
        <w:rPr>
          <w:rFonts w:ascii="Times New Roman Bold" w:hAnsi="Times New Roman Bold" w:cs="Times New Roman Bold"/>
          <w:b/>
          <w:sz w:val="24"/>
          <w:szCs w:val="24"/>
        </w:rPr>
      </w:pPr>
      <w:r>
        <w:rPr>
          <w:rFonts w:ascii="Times New Roman Bold" w:hAnsi="Times New Roman Bold" w:cs="Times New Roman Bold"/>
          <w:b/>
          <w:sz w:val="24"/>
          <w:szCs w:val="24"/>
        </w:rPr>
        <w:t>Abstract</w:t>
      </w:r>
    </w:p>
    <w:p w14:paraId="46966420" w14:textId="77777777" w:rsidR="00AF7721" w:rsidRDefault="00AF7721">
      <w:pPr>
        <w:rPr>
          <w:b/>
          <w:bCs/>
        </w:rPr>
      </w:pPr>
    </w:p>
    <w:p w14:paraId="128BF100" w14:textId="77777777" w:rsidR="00AF7721" w:rsidRPr="00D37776" w:rsidRDefault="00046F22">
      <w:pPr>
        <w:spacing w:line="360" w:lineRule="auto"/>
        <w:jc w:val="both"/>
        <w:rPr>
          <w:rFonts w:ascii="Times New Roman Regular" w:hAnsi="Times New Roman Regular" w:cs="Times New Roman Regular"/>
          <w:sz w:val="22"/>
          <w:szCs w:val="22"/>
        </w:rPr>
      </w:pPr>
      <w:r w:rsidRPr="00D37776">
        <w:rPr>
          <w:rFonts w:ascii="Times New Roman Regular" w:hAnsi="Times New Roman Regular" w:cs="Times New Roman Regular"/>
          <w:sz w:val="22"/>
          <w:szCs w:val="22"/>
        </w:rPr>
        <w:t>The e</w:t>
      </w:r>
      <w:r w:rsidR="00B3675B" w:rsidRPr="00D37776">
        <w:rPr>
          <w:rFonts w:ascii="Times New Roman Regular" w:hAnsi="Times New Roman Regular" w:cs="Times New Roman Regular"/>
          <w:sz w:val="22"/>
          <w:szCs w:val="22"/>
        </w:rPr>
        <w:t>xperimental work is to evaluate</w:t>
      </w:r>
      <w:r w:rsidRPr="00D37776">
        <w:rPr>
          <w:rFonts w:ascii="Times New Roman Regular" w:hAnsi="Times New Roman Regular" w:cs="Times New Roman Regular"/>
          <w:sz w:val="22"/>
          <w:szCs w:val="22"/>
        </w:rPr>
        <w:t xml:space="preserve"> the comparative body weight, feed intake, feed conversion ratio and mortality rate between CARI Debendra and CARI Nirbheek popular crossbred poultry varieties, from hatch up to 20 weeks of age.</w:t>
      </w:r>
      <w:r w:rsidR="00B3675B" w:rsidRPr="00D37776">
        <w:rPr>
          <w:rFonts w:ascii="Times New Roman Regular" w:hAnsi="Times New Roman Regular" w:cs="Times New Roman Regular"/>
          <w:sz w:val="22"/>
          <w:szCs w:val="22"/>
        </w:rPr>
        <w:t xml:space="preserve"> </w:t>
      </w:r>
      <w:r w:rsidRPr="00D37776">
        <w:rPr>
          <w:rFonts w:ascii="Times New Roman Regular" w:hAnsi="Times New Roman Regular" w:cs="Times New Roman Regular"/>
          <w:sz w:val="22"/>
          <w:szCs w:val="22"/>
        </w:rPr>
        <w:t>A total of 300 healthy, day old-chicks (150 from each variety) were monitored from day-old to 20 weeks of age. Statistical analysis revealed significant variations (p&lt;0.001) in performance across production cycle. While CARI Nirbheek exhibited a higher day-old hatch weight (38.76</w:t>
      </w:r>
      <w:r w:rsidRPr="00D37776">
        <w:rPr>
          <w:rFonts w:ascii="Times New Roman Regular" w:hAnsi="Times New Roman Regular" w:cs="Times New Roman Regular"/>
          <w:color w:val="000000"/>
          <w:sz w:val="22"/>
          <w:szCs w:val="22"/>
        </w:rPr>
        <w:t xml:space="preserve">±0.04 g) and a superior FCR at week 1 (1.34±0.01 against CARI Debendra 1.39±0.00), a </w:t>
      </w:r>
      <w:r w:rsidR="00D37776" w:rsidRPr="00D37776">
        <w:rPr>
          <w:rFonts w:ascii="Times New Roman Regular" w:hAnsi="Times New Roman Regular" w:cs="Times New Roman Regular"/>
          <w:color w:val="000000"/>
          <w:sz w:val="22"/>
          <w:szCs w:val="22"/>
        </w:rPr>
        <w:t>critical genetic</w:t>
      </w:r>
      <w:r w:rsidRPr="00D37776">
        <w:rPr>
          <w:rFonts w:ascii="Times New Roman Regular" w:hAnsi="Times New Roman Regular" w:cs="Times New Roman Regular"/>
          <w:color w:val="000000"/>
          <w:sz w:val="22"/>
          <w:szCs w:val="22"/>
        </w:rPr>
        <w:t xml:space="preserve"> shift occurred from week 2 onward. Driven by its broiler-hybrid lineage, CD established highly efficient, lower FCR values reaching a peak efficiency of 1.04 at week 16 and significantly outpaced CN in body weight. By week 20, CD achieved a superior final body weight (2221.57±10.75 g) c</w:t>
      </w:r>
      <w:r w:rsidR="00743006" w:rsidRPr="00D37776">
        <w:rPr>
          <w:rFonts w:ascii="Times New Roman Regular" w:hAnsi="Times New Roman Regular" w:cs="Times New Roman Regular"/>
          <w:color w:val="000000"/>
          <w:sz w:val="22"/>
          <w:szCs w:val="22"/>
        </w:rPr>
        <w:t>ompared to CN (1923.18±3.96 g),</w:t>
      </w:r>
      <w:r w:rsidRPr="00D37776">
        <w:rPr>
          <w:rFonts w:ascii="Times New Roman Regular" w:hAnsi="Times New Roman Regular" w:cs="Times New Roman Regular"/>
          <w:color w:val="000000"/>
          <w:sz w:val="22"/>
          <w:szCs w:val="22"/>
        </w:rPr>
        <w:t xml:space="preserve"> despite consuming less </w:t>
      </w:r>
      <w:r w:rsidR="00743006" w:rsidRPr="00D37776">
        <w:rPr>
          <w:rFonts w:ascii="Times New Roman Regular" w:hAnsi="Times New Roman Regular" w:cs="Times New Roman Regular"/>
          <w:color w:val="000000"/>
          <w:sz w:val="22"/>
          <w:szCs w:val="22"/>
        </w:rPr>
        <w:t>cumulative total feed (76</w:t>
      </w:r>
      <w:r w:rsidR="00B3675B" w:rsidRPr="00D37776">
        <w:rPr>
          <w:rFonts w:ascii="Times New Roman Regular" w:hAnsi="Times New Roman Regular" w:cs="Times New Roman Regular"/>
          <w:color w:val="000000"/>
          <w:sz w:val="22"/>
          <w:szCs w:val="22"/>
        </w:rPr>
        <w:t>±0.11</w:t>
      </w:r>
      <w:r w:rsidR="00743006" w:rsidRPr="00D37776">
        <w:rPr>
          <w:rFonts w:ascii="Times New Roman Regular" w:hAnsi="Times New Roman Regular" w:cs="Times New Roman Regular"/>
          <w:color w:val="000000"/>
          <w:sz w:val="22"/>
          <w:szCs w:val="22"/>
        </w:rPr>
        <w:t>kg against CN 85.</w:t>
      </w:r>
      <w:r w:rsidR="00B3675B" w:rsidRPr="00D37776">
        <w:rPr>
          <w:rFonts w:ascii="Times New Roman Regular" w:hAnsi="Times New Roman Regular" w:cs="Times New Roman Regular"/>
          <w:color w:val="000000"/>
          <w:sz w:val="22"/>
          <w:szCs w:val="22"/>
        </w:rPr>
        <w:t>8±0.07k</w:t>
      </w:r>
      <w:r w:rsidRPr="00D37776">
        <w:rPr>
          <w:rFonts w:ascii="Times New Roman Regular" w:hAnsi="Times New Roman Regular" w:cs="Times New Roman Regular"/>
          <w:color w:val="000000"/>
          <w:sz w:val="22"/>
          <w:szCs w:val="22"/>
        </w:rPr>
        <w:t>g). These findings confirm that CD optimizes muscle mass deposition under feed-secure, semi-intensive management, whereas CN maintains a steady growth.</w:t>
      </w:r>
      <w:r w:rsidRPr="00D37776">
        <w:rPr>
          <w:rFonts w:ascii="Times New Roman Regular" w:hAnsi="Times New Roman Regular" w:cs="Times New Roman Regular"/>
          <w:sz w:val="22"/>
          <w:szCs w:val="22"/>
        </w:rPr>
        <w:t xml:space="preserve"> Statistical analysis also reveal</w:t>
      </w:r>
      <w:r w:rsidR="00B3675B" w:rsidRPr="00D37776">
        <w:rPr>
          <w:rFonts w:ascii="Times New Roman Regular" w:hAnsi="Times New Roman Regular" w:cs="Times New Roman Regular"/>
          <w:sz w:val="22"/>
          <w:szCs w:val="22"/>
        </w:rPr>
        <w:t>ed no significant difference in</w:t>
      </w:r>
      <w:r w:rsidRPr="00D37776">
        <w:rPr>
          <w:rFonts w:ascii="Times New Roman Regular" w:hAnsi="Times New Roman Regular" w:cs="Times New Roman Regular"/>
          <w:sz w:val="22"/>
          <w:szCs w:val="22"/>
        </w:rPr>
        <w:t xml:space="preserve"> mortality between both the breeds. Both breeds experienced their hig</w:t>
      </w:r>
      <w:r w:rsidR="00B3675B" w:rsidRPr="00D37776">
        <w:rPr>
          <w:rFonts w:ascii="Times New Roman Regular" w:hAnsi="Times New Roman Regular" w:cs="Times New Roman Regular"/>
          <w:sz w:val="22"/>
          <w:szCs w:val="22"/>
        </w:rPr>
        <w:t>hest loss during the early broo</w:t>
      </w:r>
      <w:r w:rsidRPr="00D37776">
        <w:rPr>
          <w:rFonts w:ascii="Times New Roman Regular" w:hAnsi="Times New Roman Regular" w:cs="Times New Roman Regular"/>
          <w:sz w:val="22"/>
          <w:szCs w:val="22"/>
        </w:rPr>
        <w:t>ding phase (0-5 weeks) at an identical rate of 21.33% due to neonatal vulnerability. Beyond 5 weeks, both va</w:t>
      </w:r>
      <w:r w:rsidR="00B3675B" w:rsidRPr="00D37776">
        <w:rPr>
          <w:rFonts w:ascii="Times New Roman Regular" w:hAnsi="Times New Roman Regular" w:cs="Times New Roman Regular"/>
          <w:sz w:val="22"/>
          <w:szCs w:val="22"/>
        </w:rPr>
        <w:t xml:space="preserve">rieties demonstrated excellent, </w:t>
      </w:r>
      <w:r w:rsidRPr="00D37776">
        <w:rPr>
          <w:rFonts w:ascii="Times New Roman Regular" w:hAnsi="Times New Roman Regular" w:cs="Times New Roman Regular"/>
          <w:sz w:val="22"/>
          <w:szCs w:val="22"/>
        </w:rPr>
        <w:t>comparable hardiness, showing sharply reduced losses through growing periods. Ultimately, because adult su</w:t>
      </w:r>
      <w:r w:rsidR="00743006" w:rsidRPr="00D37776">
        <w:rPr>
          <w:rFonts w:ascii="Times New Roman Regular" w:hAnsi="Times New Roman Regular" w:cs="Times New Roman Regular"/>
          <w:sz w:val="22"/>
          <w:szCs w:val="22"/>
        </w:rPr>
        <w:t>r</w:t>
      </w:r>
      <w:r w:rsidRPr="00D37776">
        <w:rPr>
          <w:rFonts w:ascii="Times New Roman Regular" w:hAnsi="Times New Roman Regular" w:cs="Times New Roman Regular"/>
          <w:sz w:val="22"/>
          <w:szCs w:val="22"/>
        </w:rPr>
        <w:t>vivability is equally robust in both strains, maximizing the economic viability of rearing either breed relies heavily on optimizing management during the first five weeks to curb early chick mortality.</w:t>
      </w:r>
    </w:p>
    <w:p w14:paraId="1DA94A85" w14:textId="77777777" w:rsidR="00AF7721" w:rsidRDefault="00AF7721">
      <w:pPr>
        <w:rPr>
          <w:rFonts w:ascii="Times New Roman Regular" w:hAnsi="Times New Roman Regular" w:cs="Times New Roman Regular"/>
          <w:bCs/>
        </w:rPr>
      </w:pPr>
    </w:p>
    <w:p w14:paraId="029C88AB" w14:textId="77777777" w:rsidR="00D37776" w:rsidRPr="00D37776" w:rsidRDefault="00046F22" w:rsidP="00D37776">
      <w:pPr>
        <w:ind w:left="110" w:hangingChars="50" w:hanging="110"/>
        <w:rPr>
          <w:rFonts w:ascii="Times New Roman" w:hAnsi="Times New Roman" w:cs="Times New Roman"/>
          <w:sz w:val="22"/>
          <w:szCs w:val="22"/>
        </w:rPr>
      </w:pPr>
      <w:r w:rsidRPr="00D37776">
        <w:rPr>
          <w:rFonts w:ascii="Times New Roman" w:hAnsi="Times New Roman" w:cs="Times New Roman"/>
          <w:b/>
          <w:sz w:val="22"/>
          <w:szCs w:val="22"/>
        </w:rPr>
        <w:t>Keywords:</w:t>
      </w:r>
      <w:r w:rsidRPr="00D37776">
        <w:rPr>
          <w:rFonts w:ascii="Times New Roman" w:hAnsi="Times New Roman" w:cs="Times New Roman"/>
          <w:bCs/>
          <w:sz w:val="22"/>
          <w:szCs w:val="22"/>
        </w:rPr>
        <w:t xml:space="preserve"> </w:t>
      </w:r>
      <w:r w:rsidRPr="00D37776">
        <w:rPr>
          <w:rFonts w:ascii="Times New Roman" w:hAnsi="Times New Roman" w:cs="Times New Roman"/>
          <w:sz w:val="22"/>
          <w:szCs w:val="22"/>
        </w:rPr>
        <w:t>CARI Debendra, CARI Nirbheek, body weight, feed intake, feed conversion ratio, mortality rate.</w:t>
      </w:r>
    </w:p>
    <w:p w14:paraId="4A33AC03" w14:textId="77777777" w:rsidR="00AF7721" w:rsidRPr="00494C7A" w:rsidRDefault="00046F22">
      <w:pPr>
        <w:rPr>
          <w:rFonts w:ascii="Times New Roman" w:hAnsi="Times New Roman" w:cs="Times New Roman"/>
          <w:b/>
          <w:bCs/>
          <w:sz w:val="22"/>
          <w:szCs w:val="22"/>
        </w:rPr>
      </w:pPr>
      <w:r w:rsidRPr="00494C7A">
        <w:rPr>
          <w:rFonts w:ascii="Times New Roman" w:hAnsi="Times New Roman" w:cs="Times New Roman"/>
          <w:b/>
          <w:bCs/>
          <w:sz w:val="22"/>
          <w:szCs w:val="22"/>
        </w:rPr>
        <w:t>I</w:t>
      </w:r>
      <w:r w:rsidR="00D37776" w:rsidRPr="00494C7A">
        <w:rPr>
          <w:rFonts w:ascii="Times New Roman" w:hAnsi="Times New Roman" w:cs="Times New Roman"/>
          <w:b/>
          <w:bCs/>
          <w:sz w:val="22"/>
          <w:szCs w:val="22"/>
        </w:rPr>
        <w:t>ntroduction</w:t>
      </w:r>
    </w:p>
    <w:p w14:paraId="3B5AC928" w14:textId="77777777" w:rsidR="00AF7721" w:rsidRPr="00494C7A" w:rsidRDefault="00046F22" w:rsidP="00494C7A">
      <w:pPr>
        <w:spacing w:line="360" w:lineRule="auto"/>
        <w:ind w:firstLineChars="150" w:firstLine="330"/>
        <w:jc w:val="both"/>
        <w:rPr>
          <w:rFonts w:ascii="Times New Roman" w:hAnsi="Times New Roman" w:cs="Times New Roman"/>
          <w:color w:val="000000"/>
          <w:sz w:val="22"/>
          <w:szCs w:val="22"/>
        </w:rPr>
      </w:pPr>
      <w:r w:rsidRPr="00494C7A">
        <w:rPr>
          <w:rFonts w:ascii="Times New Roman" w:eastAsia="serif" w:hAnsi="Times New Roman" w:cs="Times New Roman"/>
          <w:sz w:val="22"/>
          <w:szCs w:val="22"/>
        </w:rPr>
        <w:t xml:space="preserve">Poultry is one of the fast growing industries and the demand for good quality meat and egg is in the upward trend. Poultry meat is a well-balanced source of animal protein and is free from religious taboos associated </w:t>
      </w:r>
      <w:r w:rsidR="00C12AF3" w:rsidRPr="00494C7A">
        <w:rPr>
          <w:rFonts w:ascii="Times New Roman" w:eastAsia="serif" w:hAnsi="Times New Roman" w:cs="Times New Roman"/>
          <w:sz w:val="22"/>
          <w:szCs w:val="22"/>
        </w:rPr>
        <w:t>with its</w:t>
      </w:r>
      <w:r w:rsidRPr="00494C7A">
        <w:rPr>
          <w:rFonts w:ascii="Times New Roman" w:eastAsia="serif" w:hAnsi="Times New Roman" w:cs="Times New Roman"/>
          <w:sz w:val="22"/>
          <w:szCs w:val="22"/>
        </w:rPr>
        <w:t xml:space="preserve"> consumption unlike meat of other livestock and hence it is gaining importance in the human diet. </w:t>
      </w:r>
      <w:r w:rsidRPr="00494C7A">
        <w:rPr>
          <w:rFonts w:ascii="Times New Roman" w:hAnsi="Times New Roman" w:cs="Times New Roman"/>
          <w:color w:val="000000"/>
          <w:sz w:val="22"/>
          <w:szCs w:val="22"/>
        </w:rPr>
        <w:t xml:space="preserve">Prices of chicken meat are less than mutton or goat meat. Many Indian families, particularly educated individuals in metropolitan areas, have embraced eggs as a regular dietary supplement in their vegetarian diet. The forecast poll results indicate that the acceptability and demand for eggs and chicken meat in the next 2–3 decades is projected to expand many fold very rapidly as the present younger population </w:t>
      </w:r>
      <w:r w:rsidRPr="00494C7A">
        <w:rPr>
          <w:rFonts w:ascii="Times New Roman" w:hAnsi="Times New Roman" w:cs="Times New Roman"/>
          <w:color w:val="000000"/>
          <w:sz w:val="22"/>
          <w:szCs w:val="22"/>
        </w:rPr>
        <w:lastRenderedPageBreak/>
        <w:t>moves to maturity.</w:t>
      </w:r>
      <w:r w:rsidR="00B3675B" w:rsidRPr="00494C7A">
        <w:rPr>
          <w:rFonts w:ascii="Times New Roman" w:hAnsi="Times New Roman" w:cs="Times New Roman"/>
          <w:color w:val="000000"/>
          <w:sz w:val="22"/>
          <w:szCs w:val="22"/>
        </w:rPr>
        <w:t xml:space="preserve"> </w:t>
      </w:r>
      <w:r w:rsidRPr="00494C7A">
        <w:rPr>
          <w:rFonts w:ascii="Times New Roman" w:hAnsi="Times New Roman" w:cs="Times New Roman"/>
          <w:color w:val="000000"/>
          <w:sz w:val="22"/>
          <w:szCs w:val="22"/>
        </w:rPr>
        <w:t xml:space="preserve">The constantly rising population of India is a direct driver of demand for poultry products. The gap between the demand and supply can be minimized by increasing the production potential by adopting appropriate breeding </w:t>
      </w:r>
      <w:r w:rsidR="00C12AF3" w:rsidRPr="00494C7A">
        <w:rPr>
          <w:rFonts w:ascii="Times New Roman" w:hAnsi="Times New Roman" w:cs="Times New Roman"/>
          <w:color w:val="000000"/>
          <w:sz w:val="22"/>
          <w:szCs w:val="22"/>
        </w:rPr>
        <w:t>techniques. To</w:t>
      </w:r>
      <w:r w:rsidRPr="00494C7A">
        <w:rPr>
          <w:rFonts w:ascii="Times New Roman" w:hAnsi="Times New Roman" w:cs="Times New Roman"/>
          <w:color w:val="000000"/>
          <w:sz w:val="22"/>
          <w:szCs w:val="22"/>
        </w:rPr>
        <w:t xml:space="preserve"> achieve this, crossbreeding operations that involve upgrading native chickens with suitable exotic stocks would be more beneficial in utilizing the good adaptive properties of indigenous chickens and potentially exploiting the phenomena of heterosis. </w:t>
      </w:r>
    </w:p>
    <w:p w14:paraId="24E3DAC0" w14:textId="77777777" w:rsidR="00AF7721" w:rsidRPr="00494C7A" w:rsidRDefault="00C12AF3" w:rsidP="00C12AF3">
      <w:pPr>
        <w:spacing w:line="360" w:lineRule="auto"/>
        <w:jc w:val="both"/>
        <w:rPr>
          <w:rFonts w:ascii="Times New Roman" w:hAnsi="Times New Roman" w:cs="Times New Roman"/>
          <w:sz w:val="22"/>
          <w:szCs w:val="22"/>
        </w:rPr>
      </w:pPr>
      <w:r w:rsidRPr="00494C7A">
        <w:rPr>
          <w:rFonts w:ascii="Times New Roman" w:hAnsi="Times New Roman" w:cs="Times New Roman"/>
          <w:sz w:val="22"/>
          <w:szCs w:val="22"/>
        </w:rPr>
        <w:t>Among these improved varieties CARI-Nir</w:t>
      </w:r>
      <w:r w:rsidR="00B3675B" w:rsidRPr="00494C7A">
        <w:rPr>
          <w:rFonts w:ascii="Times New Roman" w:hAnsi="Times New Roman" w:cs="Times New Roman"/>
          <w:sz w:val="22"/>
          <w:szCs w:val="22"/>
        </w:rPr>
        <w:t xml:space="preserve">bheek, </w:t>
      </w:r>
      <w:r w:rsidRPr="00494C7A">
        <w:rPr>
          <w:rFonts w:ascii="Times New Roman" w:hAnsi="Times New Roman" w:cs="Times New Roman"/>
          <w:sz w:val="22"/>
          <w:szCs w:val="22"/>
        </w:rPr>
        <w:t>CARI-</w:t>
      </w:r>
      <w:proofErr w:type="spellStart"/>
      <w:proofErr w:type="gramStart"/>
      <w:r w:rsidRPr="00494C7A">
        <w:rPr>
          <w:rFonts w:ascii="Times New Roman" w:hAnsi="Times New Roman" w:cs="Times New Roman"/>
          <w:sz w:val="22"/>
          <w:szCs w:val="22"/>
        </w:rPr>
        <w:t>Debendra,Vanaraja</w:t>
      </w:r>
      <w:proofErr w:type="spellEnd"/>
      <w:proofErr w:type="gramEnd"/>
      <w:r w:rsidRPr="00494C7A">
        <w:rPr>
          <w:rFonts w:ascii="Times New Roman" w:hAnsi="Times New Roman" w:cs="Times New Roman"/>
          <w:sz w:val="22"/>
          <w:szCs w:val="22"/>
        </w:rPr>
        <w:t xml:space="preserve">, </w:t>
      </w:r>
      <w:proofErr w:type="spellStart"/>
      <w:r w:rsidRPr="00494C7A">
        <w:rPr>
          <w:rFonts w:ascii="Times New Roman" w:hAnsi="Times New Roman" w:cs="Times New Roman"/>
          <w:sz w:val="22"/>
          <w:szCs w:val="22"/>
        </w:rPr>
        <w:t>Grampriya</w:t>
      </w:r>
      <w:proofErr w:type="spellEnd"/>
      <w:r w:rsidRPr="00494C7A">
        <w:rPr>
          <w:rFonts w:ascii="Times New Roman" w:hAnsi="Times New Roman" w:cs="Times New Roman"/>
          <w:sz w:val="22"/>
          <w:szCs w:val="22"/>
        </w:rPr>
        <w:t>, CARI-</w:t>
      </w:r>
      <w:proofErr w:type="spellStart"/>
      <w:r w:rsidRPr="00494C7A">
        <w:rPr>
          <w:rFonts w:ascii="Times New Roman" w:hAnsi="Times New Roman" w:cs="Times New Roman"/>
          <w:sz w:val="22"/>
          <w:szCs w:val="22"/>
        </w:rPr>
        <w:t>Dhanaraja</w:t>
      </w:r>
      <w:proofErr w:type="spellEnd"/>
      <w:r w:rsidRPr="00494C7A">
        <w:rPr>
          <w:rFonts w:ascii="Times New Roman" w:hAnsi="Times New Roman" w:cs="Times New Roman"/>
          <w:sz w:val="22"/>
          <w:szCs w:val="22"/>
        </w:rPr>
        <w:t xml:space="preserve"> are household names for backyard rearing. One of the major breeding strategies in India is based on crossing Aseel breed males with CARI Red hens to produce crossbred CARI Nirbheek variety and CARI Debendra is produced by crossing colored synthetic broiler line as male line and Rhode Island Red as female line.</w:t>
      </w:r>
    </w:p>
    <w:p w14:paraId="544BBBB6" w14:textId="77777777" w:rsidR="00D37776" w:rsidRPr="00494C7A" w:rsidRDefault="00D37776" w:rsidP="00C12AF3">
      <w:pPr>
        <w:spacing w:line="360" w:lineRule="auto"/>
        <w:jc w:val="both"/>
        <w:rPr>
          <w:rFonts w:ascii="Times New Roman" w:hAnsi="Times New Roman" w:cs="Times New Roman"/>
          <w:sz w:val="22"/>
          <w:szCs w:val="22"/>
        </w:rPr>
      </w:pPr>
    </w:p>
    <w:p w14:paraId="786D054A" w14:textId="77777777" w:rsidR="00AF7721" w:rsidRPr="00494C7A" w:rsidRDefault="00046F22" w:rsidP="00494C7A">
      <w:pPr>
        <w:rPr>
          <w:rFonts w:ascii="Times New Roman" w:hAnsi="Times New Roman" w:cs="Times New Roman"/>
          <w:sz w:val="22"/>
          <w:szCs w:val="22"/>
        </w:rPr>
      </w:pPr>
      <w:r w:rsidRPr="00494C7A">
        <w:rPr>
          <w:rFonts w:ascii="Times New Roman" w:eastAsia="TimesNewRomanPS-BoldMT" w:hAnsi="Times New Roman" w:cs="Times New Roman"/>
          <w:b/>
          <w:bCs/>
          <w:color w:val="231F20"/>
          <w:sz w:val="22"/>
          <w:szCs w:val="22"/>
        </w:rPr>
        <w:t>M</w:t>
      </w:r>
      <w:r w:rsidR="00D37776" w:rsidRPr="00494C7A">
        <w:rPr>
          <w:rFonts w:ascii="Times New Roman" w:eastAsia="TimesNewRomanPS-BoldMT" w:hAnsi="Times New Roman" w:cs="Times New Roman"/>
          <w:b/>
          <w:bCs/>
          <w:color w:val="231F20"/>
          <w:sz w:val="22"/>
          <w:szCs w:val="22"/>
        </w:rPr>
        <w:t>aterials and methods</w:t>
      </w:r>
    </w:p>
    <w:p w14:paraId="0970CF5D" w14:textId="77777777" w:rsidR="00AF7721" w:rsidRPr="00494C7A" w:rsidRDefault="00046F22" w:rsidP="00494C7A">
      <w:pPr>
        <w:spacing w:line="360" w:lineRule="auto"/>
        <w:ind w:firstLineChars="100" w:firstLine="220"/>
        <w:jc w:val="both"/>
        <w:rPr>
          <w:rFonts w:ascii="Times New Roman" w:hAnsi="Times New Roman" w:cs="Times New Roman"/>
          <w:sz w:val="22"/>
          <w:szCs w:val="22"/>
        </w:rPr>
      </w:pPr>
      <w:r w:rsidRPr="00494C7A">
        <w:rPr>
          <w:rFonts w:ascii="Times New Roman" w:hAnsi="Times New Roman" w:cs="Times New Roman"/>
          <w:sz w:val="22"/>
          <w:szCs w:val="22"/>
        </w:rPr>
        <w:t xml:space="preserve">The present study was planned for the study of comparison of production performance and mortality rate between two breeds from 0 to 20 weeks of </w:t>
      </w:r>
      <w:r w:rsidR="00C12AF3" w:rsidRPr="00494C7A">
        <w:rPr>
          <w:rFonts w:ascii="Times New Roman" w:hAnsi="Times New Roman" w:cs="Times New Roman"/>
          <w:sz w:val="22"/>
          <w:szCs w:val="22"/>
        </w:rPr>
        <w:t>age.</w:t>
      </w:r>
      <w:r w:rsidR="00C12AF3" w:rsidRPr="00494C7A">
        <w:rPr>
          <w:rFonts w:ascii="Times New Roman" w:eastAsia="SimSun" w:hAnsi="Times New Roman" w:cs="Times New Roman"/>
          <w:color w:val="000000"/>
          <w:sz w:val="22"/>
          <w:szCs w:val="22"/>
        </w:rPr>
        <w:t xml:space="preserve"> This</w:t>
      </w:r>
      <w:r w:rsidRPr="00494C7A">
        <w:rPr>
          <w:rFonts w:ascii="Times New Roman" w:eastAsia="SimSun" w:hAnsi="Times New Roman" w:cs="Times New Roman"/>
          <w:color w:val="000000"/>
          <w:sz w:val="22"/>
          <w:szCs w:val="22"/>
        </w:rPr>
        <w:t xml:space="preserve"> experiment was carried out at Hatchery Unit of the Livestock Farm Complex of the College of Veterinary Science and Animal Husbandry, A.N.D.U.A.T., </w:t>
      </w:r>
      <w:proofErr w:type="spellStart"/>
      <w:r w:rsidRPr="00494C7A">
        <w:rPr>
          <w:rFonts w:ascii="Times New Roman" w:eastAsia="SimSun" w:hAnsi="Times New Roman" w:cs="Times New Roman"/>
          <w:color w:val="000000"/>
          <w:sz w:val="22"/>
          <w:szCs w:val="22"/>
        </w:rPr>
        <w:t>Kumarganj</w:t>
      </w:r>
      <w:proofErr w:type="spellEnd"/>
      <w:r w:rsidRPr="00494C7A">
        <w:rPr>
          <w:rFonts w:ascii="Times New Roman" w:eastAsia="SimSun" w:hAnsi="Times New Roman" w:cs="Times New Roman"/>
          <w:color w:val="000000"/>
          <w:sz w:val="22"/>
          <w:szCs w:val="22"/>
        </w:rPr>
        <w:t>, Ayodhya Uttar Pradesh, India from April 2025 to April 2026.</w:t>
      </w:r>
      <w:r w:rsidRPr="00494C7A">
        <w:rPr>
          <w:rFonts w:ascii="Times New Roman" w:hAnsi="Times New Roman" w:cs="Times New Roman"/>
          <w:sz w:val="22"/>
          <w:szCs w:val="22"/>
        </w:rPr>
        <w:t xml:space="preserve">150 healthy chicks were selected from each variety’s hatch. Observations were recorded for one hundred fifty chicks of each CARI Debendra and CARI </w:t>
      </w:r>
      <w:proofErr w:type="gramStart"/>
      <w:r w:rsidRPr="00494C7A">
        <w:rPr>
          <w:rFonts w:ascii="Times New Roman" w:hAnsi="Times New Roman" w:cs="Times New Roman"/>
          <w:sz w:val="22"/>
          <w:szCs w:val="22"/>
        </w:rPr>
        <w:t>Nirbheek .</w:t>
      </w:r>
      <w:proofErr w:type="gramEnd"/>
    </w:p>
    <w:p w14:paraId="47CFD06B" w14:textId="77777777" w:rsidR="00AF7721" w:rsidRPr="00494C7A" w:rsidRDefault="00046F22" w:rsidP="00494C7A">
      <w:pPr>
        <w:spacing w:line="360" w:lineRule="auto"/>
        <w:ind w:firstLineChars="100" w:firstLine="221"/>
        <w:jc w:val="both"/>
        <w:rPr>
          <w:rFonts w:ascii="Times New Roman" w:hAnsi="Times New Roman" w:cs="Times New Roman"/>
          <w:color w:val="000000"/>
          <w:sz w:val="22"/>
          <w:szCs w:val="22"/>
        </w:rPr>
      </w:pPr>
      <w:r w:rsidRPr="00494C7A">
        <w:rPr>
          <w:rFonts w:ascii="Times New Roman" w:hAnsi="Times New Roman" w:cs="Times New Roman"/>
          <w:b/>
          <w:bCs/>
          <w:sz w:val="22"/>
          <w:szCs w:val="22"/>
        </w:rPr>
        <w:t>Experimental design:</w:t>
      </w:r>
      <w:r w:rsidRPr="00494C7A">
        <w:rPr>
          <w:rFonts w:ascii="Times New Roman" w:hAnsi="Times New Roman" w:cs="Times New Roman"/>
          <w:sz w:val="22"/>
          <w:szCs w:val="22"/>
        </w:rPr>
        <w:t xml:space="preserve"> </w:t>
      </w:r>
      <w:r w:rsidRPr="00494C7A">
        <w:rPr>
          <w:rFonts w:ascii="Times New Roman" w:hAnsi="Times New Roman" w:cs="Times New Roman"/>
          <w:color w:val="000000"/>
          <w:sz w:val="22"/>
          <w:szCs w:val="22"/>
        </w:rPr>
        <w:t>One hundred fifty day-old chicks of each variety of CARI Nirbheek and CARI Debendra were divided on the basis of average uniform body weight in a completely randomized experimental design with three repetitions in each experimental group with 50 chicks in each replication. Birds from both the groups CARI Debendra and CARI Nirbheek chicks were weighed at hatch (day old), weekly up to week 6, and biennially thereafter (weeks 8, 10, 12, 14, 16, 18 and 20).  Feed intake was observed from week 1 up to week 20. Feed Conversion ratio (FCR) was calculated across identical development period.</w:t>
      </w:r>
    </w:p>
    <w:p w14:paraId="0A7B641A" w14:textId="77777777" w:rsidR="00AF7721" w:rsidRPr="00494C7A" w:rsidRDefault="00046F22">
      <w:pPr>
        <w:spacing w:line="360" w:lineRule="auto"/>
        <w:jc w:val="both"/>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 xml:space="preserve">FCR= Feed Consumed (g)/ Weight gain (g) </w:t>
      </w:r>
    </w:p>
    <w:p w14:paraId="3ABBFB02" w14:textId="77777777" w:rsidR="00AF7721" w:rsidRPr="00494C7A" w:rsidRDefault="00046F22" w:rsidP="00494C7A">
      <w:pPr>
        <w:spacing w:line="360" w:lineRule="auto"/>
        <w:ind w:firstLineChars="150" w:firstLine="330"/>
        <w:jc w:val="both"/>
        <w:rPr>
          <w:rFonts w:ascii="Times New Roman" w:hAnsi="Times New Roman" w:cs="Times New Roman"/>
          <w:sz w:val="22"/>
          <w:szCs w:val="22"/>
        </w:rPr>
      </w:pPr>
      <w:r w:rsidRPr="00494C7A">
        <w:rPr>
          <w:rFonts w:ascii="Times New Roman" w:hAnsi="Times New Roman" w:cs="Times New Roman"/>
          <w:color w:val="000000"/>
          <w:sz w:val="22"/>
          <w:szCs w:val="22"/>
        </w:rPr>
        <w:t xml:space="preserve">Mortality of </w:t>
      </w:r>
      <w:r w:rsidR="00353555" w:rsidRPr="00494C7A">
        <w:rPr>
          <w:rFonts w:ascii="Times New Roman" w:hAnsi="Times New Roman" w:cs="Times New Roman"/>
          <w:color w:val="000000"/>
          <w:sz w:val="22"/>
          <w:szCs w:val="22"/>
        </w:rPr>
        <w:t>two groups was</w:t>
      </w:r>
      <w:r w:rsidR="00C12AF3" w:rsidRPr="00494C7A">
        <w:rPr>
          <w:rFonts w:ascii="Times New Roman" w:hAnsi="Times New Roman" w:cs="Times New Roman"/>
          <w:color w:val="000000"/>
          <w:sz w:val="22"/>
          <w:szCs w:val="22"/>
        </w:rPr>
        <w:t xml:space="preserve"> also observed du</w:t>
      </w:r>
      <w:r w:rsidRPr="00494C7A">
        <w:rPr>
          <w:rFonts w:ascii="Times New Roman" w:hAnsi="Times New Roman" w:cs="Times New Roman"/>
          <w:color w:val="000000"/>
          <w:sz w:val="22"/>
          <w:szCs w:val="22"/>
        </w:rPr>
        <w:t>ring this period. Statistical processing computed the descrip</w:t>
      </w:r>
      <w:r w:rsidR="00C12AF3" w:rsidRPr="00494C7A">
        <w:rPr>
          <w:rFonts w:ascii="Times New Roman" w:hAnsi="Times New Roman" w:cs="Times New Roman"/>
          <w:color w:val="000000"/>
          <w:sz w:val="22"/>
          <w:szCs w:val="22"/>
        </w:rPr>
        <w:t xml:space="preserve">tive means and standard errors </w:t>
      </w:r>
      <w:r w:rsidRPr="00494C7A">
        <w:rPr>
          <w:rFonts w:ascii="Times New Roman" w:hAnsi="Times New Roman" w:cs="Times New Roman"/>
          <w:color w:val="000000"/>
          <w:sz w:val="22"/>
          <w:szCs w:val="22"/>
        </w:rPr>
        <w:t>(Mean</w:t>
      </w:r>
      <w:r w:rsidRPr="00494C7A">
        <w:rPr>
          <w:rFonts w:ascii="Times New Roman" w:hAnsi="Times New Roman" w:cs="Times New Roman"/>
          <w:sz w:val="22"/>
          <w:szCs w:val="22"/>
        </w:rPr>
        <w:t>± SE) for both datasets.</w:t>
      </w:r>
    </w:p>
    <w:p w14:paraId="58995317" w14:textId="77777777" w:rsidR="00AF7721" w:rsidRPr="00494C7A" w:rsidRDefault="00046F22">
      <w:pPr>
        <w:spacing w:line="360" w:lineRule="auto"/>
        <w:rPr>
          <w:rFonts w:ascii="Times New Roman" w:hAnsi="Times New Roman" w:cs="Times New Roman"/>
          <w:b/>
          <w:bCs/>
          <w:sz w:val="22"/>
          <w:szCs w:val="22"/>
        </w:rPr>
      </w:pPr>
      <w:r w:rsidRPr="00494C7A">
        <w:rPr>
          <w:rFonts w:ascii="Times New Roman" w:hAnsi="Times New Roman" w:cs="Times New Roman"/>
          <w:b/>
          <w:bCs/>
          <w:sz w:val="22"/>
          <w:szCs w:val="22"/>
        </w:rPr>
        <w:t>Management Practices:</w:t>
      </w:r>
    </w:p>
    <w:p w14:paraId="0D15919E" w14:textId="77777777" w:rsidR="00AF7721" w:rsidRPr="00494C7A" w:rsidRDefault="00046F22" w:rsidP="00494C7A">
      <w:pPr>
        <w:spacing w:line="360" w:lineRule="auto"/>
        <w:ind w:firstLineChars="200" w:firstLine="440"/>
        <w:jc w:val="both"/>
        <w:rPr>
          <w:rFonts w:ascii="Times New Roman" w:hAnsi="Times New Roman" w:cs="Times New Roman"/>
          <w:sz w:val="22"/>
          <w:szCs w:val="22"/>
        </w:rPr>
      </w:pPr>
      <w:r w:rsidRPr="00494C7A">
        <w:rPr>
          <w:rFonts w:ascii="Times New Roman" w:hAnsi="Times New Roman" w:cs="Times New Roman"/>
          <w:color w:val="000000"/>
          <w:sz w:val="22"/>
          <w:szCs w:val="22"/>
        </w:rPr>
        <w:t>All experimental birds were housed under similar circumstances and raised under similar management and dietary standards. The day old chicks were vaccinated with Marek’s disease vaccine, before moving of chicks to the livestock farm complex and kept on litter brooder.</w:t>
      </w:r>
      <w:r w:rsidR="00C12AF3" w:rsidRPr="00494C7A">
        <w:rPr>
          <w:rFonts w:ascii="Times New Roman" w:hAnsi="Times New Roman" w:cs="Times New Roman"/>
          <w:color w:val="000000"/>
          <w:sz w:val="22"/>
          <w:szCs w:val="22"/>
        </w:rPr>
        <w:t xml:space="preserve"> </w:t>
      </w:r>
      <w:r w:rsidRPr="00494C7A">
        <w:rPr>
          <w:rFonts w:ascii="Times New Roman" w:hAnsi="Times New Roman" w:cs="Times New Roman"/>
          <w:color w:val="000000"/>
          <w:sz w:val="22"/>
          <w:szCs w:val="22"/>
        </w:rPr>
        <w:t xml:space="preserve">Birds were offered weighed portions of feed during the experiment from the day-old till the completion of the experiment. Fresh </w:t>
      </w:r>
      <w:r w:rsidR="00B3675B" w:rsidRPr="00494C7A">
        <w:rPr>
          <w:rFonts w:ascii="Times New Roman" w:hAnsi="Times New Roman" w:cs="Times New Roman"/>
          <w:i/>
          <w:iCs/>
          <w:color w:val="000000"/>
          <w:sz w:val="22"/>
          <w:szCs w:val="22"/>
        </w:rPr>
        <w:t>ad</w:t>
      </w:r>
      <w:r w:rsidRPr="00494C7A">
        <w:rPr>
          <w:rFonts w:ascii="Times New Roman" w:hAnsi="Times New Roman" w:cs="Times New Roman"/>
          <w:i/>
          <w:iCs/>
          <w:color w:val="000000"/>
          <w:sz w:val="22"/>
          <w:szCs w:val="22"/>
        </w:rPr>
        <w:t xml:space="preserve"> lib.</w:t>
      </w:r>
      <w:r w:rsidRPr="00494C7A">
        <w:rPr>
          <w:rFonts w:ascii="Times New Roman" w:hAnsi="Times New Roman" w:cs="Times New Roman"/>
          <w:color w:val="000000"/>
          <w:sz w:val="22"/>
          <w:szCs w:val="22"/>
        </w:rPr>
        <w:t xml:space="preserve"> </w:t>
      </w:r>
      <w:r w:rsidR="00C12AF3" w:rsidRPr="00494C7A">
        <w:rPr>
          <w:rFonts w:ascii="Times New Roman" w:hAnsi="Times New Roman" w:cs="Times New Roman"/>
          <w:color w:val="000000"/>
          <w:sz w:val="22"/>
          <w:szCs w:val="22"/>
        </w:rPr>
        <w:t>Drinking</w:t>
      </w:r>
      <w:r w:rsidRPr="00494C7A">
        <w:rPr>
          <w:rFonts w:ascii="Times New Roman" w:hAnsi="Times New Roman" w:cs="Times New Roman"/>
          <w:color w:val="000000"/>
          <w:sz w:val="22"/>
          <w:szCs w:val="22"/>
        </w:rPr>
        <w:t xml:space="preserve"> water was provided to them. A balanced starter ration for chicken was supplied </w:t>
      </w:r>
      <w:r w:rsidR="00C12AF3" w:rsidRPr="00494C7A">
        <w:rPr>
          <w:rFonts w:ascii="Times New Roman" w:hAnsi="Times New Roman" w:cs="Times New Roman"/>
          <w:color w:val="000000"/>
          <w:sz w:val="22"/>
          <w:szCs w:val="22"/>
        </w:rPr>
        <w:t>up to</w:t>
      </w:r>
      <w:r w:rsidRPr="00494C7A">
        <w:rPr>
          <w:rFonts w:ascii="Times New Roman" w:hAnsi="Times New Roman" w:cs="Times New Roman"/>
          <w:color w:val="000000"/>
          <w:sz w:val="22"/>
          <w:szCs w:val="22"/>
        </w:rPr>
        <w:t xml:space="preserve"> 8</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week and from the 9</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week </w:t>
      </w:r>
      <w:r w:rsidR="00C12AF3" w:rsidRPr="00494C7A">
        <w:rPr>
          <w:rFonts w:ascii="Times New Roman" w:hAnsi="Times New Roman" w:cs="Times New Roman"/>
          <w:color w:val="000000"/>
          <w:sz w:val="22"/>
          <w:szCs w:val="22"/>
        </w:rPr>
        <w:t xml:space="preserve">onwards </w:t>
      </w:r>
      <w:r w:rsidRPr="00494C7A">
        <w:rPr>
          <w:rFonts w:ascii="Times New Roman" w:hAnsi="Times New Roman" w:cs="Times New Roman"/>
          <w:color w:val="000000"/>
          <w:sz w:val="22"/>
          <w:szCs w:val="22"/>
        </w:rPr>
        <w:t xml:space="preserve">a grower </w:t>
      </w:r>
      <w:r w:rsidRPr="00494C7A">
        <w:rPr>
          <w:rFonts w:ascii="Times New Roman" w:hAnsi="Times New Roman" w:cs="Times New Roman"/>
          <w:color w:val="000000"/>
          <w:sz w:val="22"/>
          <w:szCs w:val="22"/>
        </w:rPr>
        <w:lastRenderedPageBreak/>
        <w:t xml:space="preserve">ration for chicken was fed. The chicks were raised on a straight-run basis </w:t>
      </w:r>
      <w:r w:rsidR="00C12AF3" w:rsidRPr="00494C7A">
        <w:rPr>
          <w:rFonts w:ascii="Times New Roman" w:hAnsi="Times New Roman" w:cs="Times New Roman"/>
          <w:color w:val="000000"/>
          <w:sz w:val="22"/>
          <w:szCs w:val="22"/>
        </w:rPr>
        <w:t>up to</w:t>
      </w:r>
      <w:r w:rsidRPr="00494C7A">
        <w:rPr>
          <w:rFonts w:ascii="Times New Roman" w:hAnsi="Times New Roman" w:cs="Times New Roman"/>
          <w:color w:val="000000"/>
          <w:sz w:val="22"/>
          <w:szCs w:val="22"/>
        </w:rPr>
        <w:t xml:space="preserve"> 20 weeks of age. </w:t>
      </w:r>
    </w:p>
    <w:p w14:paraId="0F802255" w14:textId="77777777" w:rsidR="00C12AF3" w:rsidRPr="00494C7A" w:rsidRDefault="00046F22">
      <w:pPr>
        <w:spacing w:line="360" w:lineRule="auto"/>
        <w:jc w:val="both"/>
        <w:rPr>
          <w:rFonts w:ascii="Times New Roman" w:eastAsia="SimSun" w:hAnsi="Times New Roman" w:cs="Times New Roman"/>
          <w:color w:val="000000"/>
          <w:sz w:val="22"/>
          <w:szCs w:val="22"/>
        </w:rPr>
      </w:pPr>
      <w:r w:rsidRPr="00494C7A">
        <w:rPr>
          <w:rFonts w:ascii="Times New Roman" w:eastAsia="TimesNewRomanPS-BoldMT" w:hAnsi="Times New Roman" w:cs="Times New Roman"/>
          <w:b/>
          <w:bCs/>
          <w:color w:val="000000"/>
          <w:sz w:val="22"/>
          <w:szCs w:val="22"/>
        </w:rPr>
        <w:t>Record keeping:</w:t>
      </w:r>
      <w:r w:rsidRPr="00494C7A">
        <w:rPr>
          <w:rFonts w:ascii="Times New Roman" w:eastAsia="SimSun" w:hAnsi="Times New Roman" w:cs="Times New Roman"/>
          <w:color w:val="000000"/>
          <w:sz w:val="22"/>
          <w:szCs w:val="22"/>
        </w:rPr>
        <w:t xml:space="preserve"> </w:t>
      </w:r>
    </w:p>
    <w:p w14:paraId="41B1D8BE" w14:textId="77777777" w:rsidR="00AF7721" w:rsidRPr="00494C7A" w:rsidRDefault="00046F22" w:rsidP="00C12AF3">
      <w:pPr>
        <w:spacing w:line="360" w:lineRule="auto"/>
        <w:ind w:firstLine="600"/>
        <w:jc w:val="both"/>
        <w:rPr>
          <w:rFonts w:ascii="Times New Roman" w:eastAsia="SimSun" w:hAnsi="Times New Roman" w:cs="Times New Roman"/>
          <w:color w:val="000000"/>
          <w:sz w:val="22"/>
          <w:szCs w:val="22"/>
        </w:rPr>
      </w:pPr>
      <w:r w:rsidRPr="00494C7A">
        <w:rPr>
          <w:rFonts w:ascii="Times New Roman" w:eastAsia="-webkit-standard" w:hAnsi="Times New Roman" w:cs="Times New Roman"/>
          <w:color w:val="000000"/>
          <w:sz w:val="22"/>
          <w:szCs w:val="22"/>
        </w:rPr>
        <w:t>Proper records of all the necessary and important records were maintained from the first day to the last day of rearing These records include the number of birds in the two groups, the breeds of the birds, the date of arrival, the age of the birds, the rate of feed consumption, the mortality rate, the medication used and all other records that could help in determining the effect of the mortality rate on the two different breeds of poultry birds from the brooding stage until the end of the experiment.</w:t>
      </w:r>
      <w:r w:rsidR="00B3675B" w:rsidRPr="00494C7A">
        <w:rPr>
          <w:rFonts w:ascii="Times New Roman" w:eastAsia="-webkit-standard" w:hAnsi="Times New Roman" w:cs="Times New Roman"/>
          <w:color w:val="000000"/>
          <w:sz w:val="22"/>
          <w:szCs w:val="22"/>
        </w:rPr>
        <w:t xml:space="preserve"> </w:t>
      </w:r>
      <w:r w:rsidRPr="00494C7A">
        <w:rPr>
          <w:rFonts w:ascii="Times New Roman" w:eastAsia="SimSun" w:hAnsi="Times New Roman" w:cs="Times New Roman"/>
          <w:color w:val="000000"/>
          <w:sz w:val="22"/>
          <w:szCs w:val="22"/>
        </w:rPr>
        <w:t>The feed that were given to the birds did not change in quality throughout the duration of experiment except that of broiler’s starter and growers mash.</w:t>
      </w:r>
    </w:p>
    <w:p w14:paraId="5ED4BDE6" w14:textId="77777777" w:rsidR="00AF7721" w:rsidRPr="00494C7A" w:rsidRDefault="00046F22" w:rsidP="00494C7A">
      <w:pPr>
        <w:spacing w:line="360" w:lineRule="auto"/>
        <w:ind w:firstLineChars="250" w:firstLine="550"/>
        <w:jc w:val="both"/>
        <w:rPr>
          <w:rFonts w:ascii="Times New Roman" w:hAnsi="Times New Roman" w:cs="Times New Roman"/>
          <w:sz w:val="22"/>
          <w:szCs w:val="22"/>
        </w:rPr>
      </w:pPr>
      <w:r w:rsidRPr="00494C7A">
        <w:rPr>
          <w:rFonts w:ascii="Times New Roman" w:eastAsia="TimesNewRomanPS-BoldMT" w:hAnsi="Times New Roman" w:cs="Times New Roman"/>
          <w:color w:val="000000"/>
          <w:sz w:val="22"/>
          <w:szCs w:val="22"/>
        </w:rPr>
        <w:t xml:space="preserve">Mortality rate </w:t>
      </w:r>
      <w:r w:rsidRPr="00494C7A">
        <w:rPr>
          <w:rFonts w:ascii="Times New Roman" w:eastAsia="-webkit-standard" w:hAnsi="Times New Roman" w:cs="Times New Roman"/>
          <w:color w:val="000000"/>
          <w:sz w:val="22"/>
          <w:szCs w:val="22"/>
        </w:rPr>
        <w:t>was simply identified by counting the dead birds from day -old to 20 weeks of age. Also, if there is any sick one, such would be segregated and attended to individually, in order not to pass the illness or sickness to others which may raise the death rate.</w:t>
      </w:r>
    </w:p>
    <w:p w14:paraId="22860855" w14:textId="77777777" w:rsidR="00AF7721" w:rsidRPr="00494C7A"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Analysis of data:</w:t>
      </w:r>
    </w:p>
    <w:p w14:paraId="0AFA6E50" w14:textId="77777777" w:rsidR="00AF7721" w:rsidRPr="00494C7A" w:rsidRDefault="00046F22" w:rsidP="00494C7A">
      <w:pPr>
        <w:spacing w:line="360" w:lineRule="auto"/>
        <w:ind w:firstLineChars="100" w:firstLine="220"/>
        <w:jc w:val="both"/>
        <w:rPr>
          <w:rFonts w:ascii="Times New Roman" w:eastAsia="SimSun" w:hAnsi="Times New Roman" w:cs="Times New Roman"/>
          <w:color w:val="000000"/>
          <w:sz w:val="22"/>
          <w:szCs w:val="22"/>
        </w:rPr>
      </w:pPr>
      <w:r w:rsidRPr="00494C7A">
        <w:rPr>
          <w:rFonts w:ascii="Times New Roman" w:eastAsia="SimSun" w:hAnsi="Times New Roman" w:cs="Times New Roman"/>
          <w:color w:val="000000"/>
          <w:sz w:val="22"/>
          <w:szCs w:val="22"/>
        </w:rPr>
        <w:t xml:space="preserve">Data were </w:t>
      </w:r>
      <w:r w:rsidR="00C12AF3" w:rsidRPr="00494C7A">
        <w:rPr>
          <w:rFonts w:ascii="Times New Roman" w:eastAsia="SimSun" w:hAnsi="Times New Roman" w:cs="Times New Roman"/>
          <w:color w:val="000000"/>
          <w:sz w:val="22"/>
          <w:szCs w:val="22"/>
        </w:rPr>
        <w:t>analyzed</w:t>
      </w:r>
      <w:r w:rsidRPr="00494C7A">
        <w:rPr>
          <w:rFonts w:ascii="Times New Roman" w:eastAsia="SimSun" w:hAnsi="Times New Roman" w:cs="Times New Roman"/>
          <w:color w:val="000000"/>
          <w:sz w:val="22"/>
          <w:szCs w:val="22"/>
        </w:rPr>
        <w:t xml:space="preserve"> with SPSS version 21.0 (IBM Corporation, Armonk, NY, USA). The independent sample t-test was used to determine the mortality rate of birds in the experimental period.</w:t>
      </w:r>
    </w:p>
    <w:p w14:paraId="4466A6D7" w14:textId="77777777" w:rsidR="00AF7721" w:rsidRPr="00494C7A"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Results and Discussions</w:t>
      </w:r>
    </w:p>
    <w:p w14:paraId="311B4D4A" w14:textId="77777777" w:rsidR="00AF7721" w:rsidRPr="00494C7A" w:rsidRDefault="00046F22" w:rsidP="00494C7A">
      <w:pPr>
        <w:pStyle w:val="NormalWeb"/>
        <w:spacing w:line="360" w:lineRule="auto"/>
        <w:ind w:firstLineChars="200" w:firstLine="440"/>
        <w:jc w:val="both"/>
        <w:rPr>
          <w:rFonts w:ascii="Times New Roman" w:hAnsi="Times New Roman" w:cs="Times New Roman"/>
          <w:color w:val="000000"/>
          <w:sz w:val="22"/>
          <w:szCs w:val="22"/>
        </w:rPr>
      </w:pPr>
      <w:r w:rsidRPr="00494C7A">
        <w:rPr>
          <w:rFonts w:ascii="Times New Roman" w:hAnsi="Times New Roman" w:cs="Times New Roman"/>
          <w:color w:val="000000"/>
          <w:sz w:val="22"/>
          <w:szCs w:val="22"/>
        </w:rPr>
        <w:t>The table no. 1 represents the mean live body weight of CARI Debendra and CARI Nirbheek chickens over a twenty-week trial pe</w:t>
      </w:r>
      <w:r w:rsidR="00D7573A" w:rsidRPr="00494C7A">
        <w:rPr>
          <w:rFonts w:ascii="Times New Roman" w:hAnsi="Times New Roman" w:cs="Times New Roman"/>
          <w:color w:val="000000"/>
          <w:sz w:val="22"/>
          <w:szCs w:val="22"/>
        </w:rPr>
        <w:t>riod, starting from the day old</w:t>
      </w:r>
      <w:r w:rsidRPr="00494C7A">
        <w:rPr>
          <w:rFonts w:ascii="Times New Roman" w:hAnsi="Times New Roman" w:cs="Times New Roman"/>
          <w:color w:val="000000"/>
          <w:sz w:val="22"/>
          <w:szCs w:val="22"/>
        </w:rPr>
        <w:t xml:space="preserve"> to the </w:t>
      </w:r>
      <w:r w:rsidR="00C12AF3" w:rsidRPr="00494C7A">
        <w:rPr>
          <w:rFonts w:ascii="Times New Roman" w:hAnsi="Times New Roman" w:cs="Times New Roman"/>
          <w:color w:val="000000"/>
          <w:sz w:val="22"/>
          <w:szCs w:val="22"/>
        </w:rPr>
        <w:t>twenty</w:t>
      </w:r>
      <w:r w:rsidRPr="00494C7A">
        <w:rPr>
          <w:rFonts w:ascii="Times New Roman" w:hAnsi="Times New Roman" w:cs="Times New Roman"/>
          <w:color w:val="000000"/>
          <w:sz w:val="22"/>
          <w:szCs w:val="22"/>
        </w:rPr>
        <w:t xml:space="preserve"> weeks old. During the post initial post-hatch phase, covering first two weeks of life, CARI Nirbheek chickens displayed a statistically superior body weight profile compared to CARI Debendra. At day-old (Week 0), the mean body weight of CARI Nirbheek chicks was sign</w:t>
      </w:r>
      <w:r w:rsidR="00D7573A" w:rsidRPr="00494C7A">
        <w:rPr>
          <w:rFonts w:ascii="Times New Roman" w:hAnsi="Times New Roman" w:cs="Times New Roman"/>
          <w:color w:val="000000"/>
          <w:sz w:val="22"/>
          <w:szCs w:val="22"/>
        </w:rPr>
        <w:t xml:space="preserve">ificantly higher (38.76±0.05 g) </w:t>
      </w:r>
      <w:r w:rsidRPr="00494C7A">
        <w:rPr>
          <w:rFonts w:ascii="Times New Roman" w:hAnsi="Times New Roman" w:cs="Times New Roman"/>
          <w:color w:val="000000"/>
          <w:sz w:val="22"/>
          <w:szCs w:val="22"/>
        </w:rPr>
        <w:t>compared to 33.38±0.04 g for CARI Debendra chicks, p&lt;0.001). This initial advantage for CN persisted through Week 1 recorded mean body weight of CN 89.35±0.06 g</w:t>
      </w:r>
      <w:r w:rsidR="00D7573A" w:rsidRPr="00494C7A">
        <w:rPr>
          <w:rFonts w:ascii="Times New Roman" w:hAnsi="Times New Roman" w:cs="Times New Roman"/>
          <w:color w:val="000000"/>
          <w:sz w:val="22"/>
          <w:szCs w:val="22"/>
        </w:rPr>
        <w:t xml:space="preserve"> and CD recorded 76.03±0.04 g (</w:t>
      </w:r>
      <w:r w:rsidRPr="00494C7A">
        <w:rPr>
          <w:rFonts w:ascii="Times New Roman" w:hAnsi="Times New Roman" w:cs="Times New Roman"/>
          <w:color w:val="000000"/>
          <w:sz w:val="22"/>
          <w:szCs w:val="22"/>
        </w:rPr>
        <w:t>p</w:t>
      </w:r>
      <w:r w:rsidR="00D7573A" w:rsidRPr="00494C7A">
        <w:rPr>
          <w:rFonts w:ascii="Times New Roman" w:hAnsi="Times New Roman" w:cs="Times New Roman"/>
          <w:color w:val="000000"/>
          <w:sz w:val="22"/>
          <w:szCs w:val="22"/>
        </w:rPr>
        <w:t>&lt;0.001) and Week 2 (145.63±0.07</w:t>
      </w:r>
      <w:r w:rsidRPr="00494C7A">
        <w:rPr>
          <w:rFonts w:ascii="Times New Roman" w:hAnsi="Times New Roman" w:cs="Times New Roman"/>
          <w:color w:val="000000"/>
          <w:sz w:val="22"/>
          <w:szCs w:val="22"/>
        </w:rPr>
        <w:t>g in CN and 126.76±0.07g in CD; p &lt;0.001). At Week 3, a shift occur in growth were CD birds briefly overtook, CN chicken with a significantly higher mean body weight to 201.34±0</w:t>
      </w:r>
      <w:r w:rsidR="00D7573A" w:rsidRPr="00494C7A">
        <w:rPr>
          <w:rFonts w:ascii="Times New Roman" w:hAnsi="Times New Roman" w:cs="Times New Roman"/>
          <w:color w:val="000000"/>
          <w:sz w:val="22"/>
          <w:szCs w:val="22"/>
        </w:rPr>
        <w:t>.15 g against CN 198.35±0.07g (</w:t>
      </w:r>
      <w:r w:rsidRPr="00494C7A">
        <w:rPr>
          <w:rFonts w:ascii="Times New Roman" w:hAnsi="Times New Roman" w:cs="Times New Roman"/>
          <w:color w:val="000000"/>
          <w:sz w:val="22"/>
          <w:szCs w:val="22"/>
        </w:rPr>
        <w:t xml:space="preserve">p&lt;0.001). At Week 4, again CN showed a marginal lead (292.79 ±0.08g) over CD (271.76±0.11g), which remained </w:t>
      </w:r>
      <w:r w:rsidR="00C12AF3" w:rsidRPr="00494C7A">
        <w:rPr>
          <w:rFonts w:ascii="Times New Roman" w:hAnsi="Times New Roman" w:cs="Times New Roman"/>
          <w:color w:val="000000"/>
          <w:sz w:val="22"/>
          <w:szCs w:val="22"/>
        </w:rPr>
        <w:t>statistically</w:t>
      </w:r>
      <w:r w:rsidR="00D7573A" w:rsidRPr="00494C7A">
        <w:rPr>
          <w:rFonts w:ascii="Times New Roman" w:hAnsi="Times New Roman" w:cs="Times New Roman"/>
          <w:color w:val="000000"/>
          <w:sz w:val="22"/>
          <w:szCs w:val="22"/>
        </w:rPr>
        <w:t xml:space="preserve"> significant. </w:t>
      </w:r>
      <w:r w:rsidRPr="00494C7A">
        <w:rPr>
          <w:rFonts w:ascii="Times New Roman" w:hAnsi="Times New Roman" w:cs="Times New Roman"/>
          <w:color w:val="000000"/>
          <w:sz w:val="22"/>
          <w:szCs w:val="22"/>
        </w:rPr>
        <w:t>By Week 8 Cari Debendra reached a mean body weight of 870±1.20 g, outperforming Cari Nirbheek 696.56±2.36 g by over 170 g. This divergence widened steadily through the last week. At the conclusion of the 20-week monitoring period, Cari Debendra achieved a</w:t>
      </w:r>
      <w:r w:rsidR="00D7573A" w:rsidRPr="00494C7A">
        <w:rPr>
          <w:rFonts w:ascii="Times New Roman" w:hAnsi="Times New Roman" w:cs="Times New Roman"/>
          <w:color w:val="000000"/>
          <w:sz w:val="22"/>
          <w:szCs w:val="22"/>
        </w:rPr>
        <w:t xml:space="preserve"> </w:t>
      </w:r>
      <w:r w:rsidRPr="00494C7A">
        <w:rPr>
          <w:rFonts w:ascii="Times New Roman" w:hAnsi="Times New Roman" w:cs="Times New Roman"/>
          <w:color w:val="000000"/>
          <w:sz w:val="22"/>
          <w:szCs w:val="22"/>
        </w:rPr>
        <w:t xml:space="preserve">highly superior mature body weight of 2221.57±10.75 g, compared to 1923.18±3.96g for Cari Nirbheek (p&lt;0.001). </w:t>
      </w:r>
    </w:p>
    <w:p w14:paraId="7F70D8C9" w14:textId="77777777" w:rsidR="00AF7721" w:rsidRPr="00494C7A" w:rsidRDefault="00046F22" w:rsidP="00494C7A">
      <w:pPr>
        <w:pStyle w:val="NormalWeb"/>
        <w:spacing w:line="360" w:lineRule="auto"/>
        <w:jc w:val="both"/>
        <w:rPr>
          <w:rFonts w:ascii="Times New Roman" w:hAnsi="Times New Roman" w:cs="Times New Roman"/>
          <w:color w:val="000000"/>
          <w:sz w:val="22"/>
          <w:szCs w:val="22"/>
        </w:rPr>
      </w:pPr>
      <w:r w:rsidRPr="00494C7A">
        <w:rPr>
          <w:rFonts w:ascii="Times New Roman" w:hAnsi="Times New Roman" w:cs="Times New Roman"/>
          <w:color w:val="000000"/>
          <w:sz w:val="22"/>
          <w:szCs w:val="22"/>
        </w:rPr>
        <w:lastRenderedPageBreak/>
        <w:t xml:space="preserve">CARI Nirbheek exhibits higher initial day-old weights, a trend widely linked to native improved lines where maternal inheritance and favorable egg-size-to-chick-weight correlations yield robust chicks at hatch (Niranjan </w:t>
      </w:r>
      <w:r w:rsidRPr="00494C7A">
        <w:rPr>
          <w:rFonts w:ascii="Times New Roman" w:hAnsi="Times New Roman" w:cs="Times New Roman"/>
          <w:i/>
          <w:iCs/>
          <w:color w:val="000000"/>
          <w:sz w:val="22"/>
          <w:szCs w:val="22"/>
        </w:rPr>
        <w:t xml:space="preserve">et al., </w:t>
      </w:r>
      <w:r w:rsidRPr="00494C7A">
        <w:rPr>
          <w:rFonts w:ascii="Times New Roman" w:hAnsi="Times New Roman" w:cs="Times New Roman"/>
          <w:color w:val="000000"/>
          <w:sz w:val="22"/>
          <w:szCs w:val="22"/>
        </w:rPr>
        <w:t xml:space="preserve">2008; </w:t>
      </w:r>
      <w:proofErr w:type="spellStart"/>
      <w:r w:rsidRPr="00494C7A">
        <w:rPr>
          <w:rFonts w:ascii="Times New Roman" w:hAnsi="Times New Roman" w:cs="Times New Roman"/>
          <w:color w:val="000000"/>
          <w:sz w:val="22"/>
          <w:szCs w:val="22"/>
        </w:rPr>
        <w:t>Hunshi</w:t>
      </w:r>
      <w:proofErr w:type="spellEnd"/>
      <w:r w:rsidRPr="00494C7A">
        <w:rPr>
          <w:rFonts w:ascii="Times New Roman" w:hAnsi="Times New Roman" w:cs="Times New Roman"/>
          <w:color w:val="000000"/>
          <w:sz w:val="22"/>
          <w:szCs w:val="22"/>
        </w:rPr>
        <w:t xml:space="preserve"> </w:t>
      </w:r>
      <w:r w:rsidRPr="00494C7A">
        <w:rPr>
          <w:rFonts w:ascii="Times New Roman" w:hAnsi="Times New Roman" w:cs="Times New Roman"/>
          <w:i/>
          <w:iCs/>
          <w:color w:val="000000"/>
          <w:sz w:val="22"/>
          <w:szCs w:val="22"/>
        </w:rPr>
        <w:t>et al.</w:t>
      </w:r>
      <w:r w:rsidRPr="00494C7A">
        <w:rPr>
          <w:rFonts w:ascii="Times New Roman" w:hAnsi="Times New Roman" w:cs="Times New Roman"/>
          <w:color w:val="000000"/>
          <w:sz w:val="22"/>
          <w:szCs w:val="22"/>
        </w:rPr>
        <w:t xml:space="preserve"> (2011). This contrasts with arguments that modern synthetic dual-purpose terminal crosses typically hold higher hatch weights due to parental heterosis </w:t>
      </w:r>
      <w:proofErr w:type="spellStart"/>
      <w:r w:rsidRPr="00494C7A">
        <w:rPr>
          <w:rFonts w:ascii="Times New Roman" w:hAnsi="Times New Roman" w:cs="Times New Roman"/>
          <w:color w:val="000000"/>
          <w:sz w:val="22"/>
          <w:szCs w:val="22"/>
        </w:rPr>
        <w:t>Sankhyan</w:t>
      </w:r>
      <w:proofErr w:type="spellEnd"/>
      <w:r w:rsidRPr="00494C7A">
        <w:rPr>
          <w:rFonts w:ascii="Times New Roman" w:hAnsi="Times New Roman" w:cs="Times New Roman"/>
          <w:i/>
          <w:iCs/>
          <w:color w:val="000000"/>
          <w:sz w:val="22"/>
          <w:szCs w:val="22"/>
        </w:rPr>
        <w:t xml:space="preserve"> et al. </w:t>
      </w:r>
      <w:r w:rsidRPr="00494C7A">
        <w:rPr>
          <w:rFonts w:ascii="Times New Roman" w:hAnsi="Times New Roman" w:cs="Times New Roman"/>
          <w:color w:val="000000"/>
          <w:sz w:val="22"/>
          <w:szCs w:val="22"/>
        </w:rPr>
        <w:t xml:space="preserve">(2023) and Das </w:t>
      </w:r>
      <w:r w:rsidRPr="00494C7A">
        <w:rPr>
          <w:rFonts w:ascii="Times New Roman" w:hAnsi="Times New Roman" w:cs="Times New Roman"/>
          <w:i/>
          <w:iCs/>
          <w:color w:val="000000"/>
          <w:sz w:val="22"/>
          <w:szCs w:val="22"/>
        </w:rPr>
        <w:t>et al.</w:t>
      </w:r>
      <w:r w:rsidRPr="00494C7A">
        <w:rPr>
          <w:rFonts w:ascii="Times New Roman" w:hAnsi="Times New Roman" w:cs="Times New Roman"/>
          <w:color w:val="000000"/>
          <w:sz w:val="22"/>
          <w:szCs w:val="22"/>
        </w:rPr>
        <w:t xml:space="preserve"> (2019). CN maintains its lead through week 2 alongside a strong FCR (1.34±0.01). Week 3 marks the turning point </w:t>
      </w:r>
      <w:r w:rsidR="00C12AF3" w:rsidRPr="00494C7A">
        <w:rPr>
          <w:rFonts w:ascii="Times New Roman" w:hAnsi="Times New Roman" w:cs="Times New Roman"/>
          <w:color w:val="000000"/>
          <w:sz w:val="22"/>
          <w:szCs w:val="22"/>
        </w:rPr>
        <w:t>when</w:t>
      </w:r>
      <w:r w:rsidRPr="00494C7A">
        <w:rPr>
          <w:rFonts w:ascii="Times New Roman" w:hAnsi="Times New Roman" w:cs="Times New Roman"/>
          <w:color w:val="000000"/>
          <w:sz w:val="22"/>
          <w:szCs w:val="22"/>
        </w:rPr>
        <w:t xml:space="preserve"> CD’s chicks lineage takes over, yielding an FCR efficiency of 1.12±0.02. From week 5 to week 20, </w:t>
      </w:r>
      <w:r w:rsidR="00C12AF3" w:rsidRPr="00494C7A">
        <w:rPr>
          <w:rFonts w:ascii="Times New Roman" w:hAnsi="Times New Roman" w:cs="Times New Roman"/>
          <w:color w:val="000000"/>
          <w:sz w:val="22"/>
          <w:szCs w:val="22"/>
        </w:rPr>
        <w:t>striking</w:t>
      </w:r>
      <w:r w:rsidRPr="00494C7A">
        <w:rPr>
          <w:rFonts w:ascii="Times New Roman" w:hAnsi="Times New Roman" w:cs="Times New Roman"/>
          <w:color w:val="000000"/>
          <w:sz w:val="22"/>
          <w:szCs w:val="22"/>
        </w:rPr>
        <w:t xml:space="preserve"> growth acceleration is observed in CD.  (Das </w:t>
      </w:r>
      <w:r w:rsidRPr="00494C7A">
        <w:rPr>
          <w:rFonts w:ascii="Times New Roman" w:hAnsi="Times New Roman" w:cs="Times New Roman"/>
          <w:i/>
          <w:iCs/>
          <w:color w:val="000000"/>
          <w:sz w:val="22"/>
          <w:szCs w:val="22"/>
        </w:rPr>
        <w:t>et al.,</w:t>
      </w:r>
      <w:r w:rsidRPr="00494C7A">
        <w:rPr>
          <w:rFonts w:ascii="Times New Roman" w:hAnsi="Times New Roman" w:cs="Times New Roman"/>
          <w:color w:val="000000"/>
          <w:sz w:val="22"/>
          <w:szCs w:val="22"/>
        </w:rPr>
        <w:t xml:space="preserve">2016). </w:t>
      </w:r>
      <w:r w:rsidR="00C12AF3" w:rsidRPr="00494C7A">
        <w:rPr>
          <w:rFonts w:ascii="Times New Roman" w:hAnsi="Times New Roman" w:cs="Times New Roman"/>
          <w:color w:val="000000"/>
          <w:sz w:val="22"/>
          <w:szCs w:val="22"/>
        </w:rPr>
        <w:t>Conversely</w:t>
      </w:r>
      <w:r w:rsidRPr="00494C7A">
        <w:rPr>
          <w:rFonts w:ascii="Times New Roman" w:hAnsi="Times New Roman" w:cs="Times New Roman"/>
          <w:color w:val="000000"/>
          <w:sz w:val="22"/>
          <w:szCs w:val="22"/>
        </w:rPr>
        <w:t>, Cari Nirbheek is an indigenous-derived crossbred chicken resulting from mating of the native Aseel breed with th</w:t>
      </w:r>
      <w:r w:rsidR="00D7573A" w:rsidRPr="00494C7A">
        <w:rPr>
          <w:rFonts w:ascii="Times New Roman" w:hAnsi="Times New Roman" w:cs="Times New Roman"/>
          <w:color w:val="000000"/>
          <w:sz w:val="22"/>
          <w:szCs w:val="22"/>
        </w:rPr>
        <w:t xml:space="preserve">e Cari Red line. </w:t>
      </w:r>
      <w:r w:rsidRPr="00494C7A">
        <w:rPr>
          <w:rFonts w:ascii="Times New Roman" w:hAnsi="Times New Roman" w:cs="Times New Roman"/>
          <w:color w:val="000000"/>
          <w:sz w:val="22"/>
          <w:szCs w:val="22"/>
        </w:rPr>
        <w:t>Because it comes from Aseel, it is bred to be quick, tough against predators, and hardy in harsh weather, rather than to pack on heavy weight quickly (Pym, 2013).</w:t>
      </w:r>
    </w:p>
    <w:p w14:paraId="27398D1C" w14:textId="77777777" w:rsidR="00AF7721"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Table No.1 Body weights (g) of CARI Debendra and CARI Nirbheek birds from day old to 20 weeks of age.</w:t>
      </w:r>
    </w:p>
    <w:tbl>
      <w:tblPr>
        <w:tblStyle w:val="TableGrid"/>
        <w:tblW w:w="0" w:type="auto"/>
        <w:tblLook w:val="04A0" w:firstRow="1" w:lastRow="0" w:firstColumn="1" w:lastColumn="0" w:noHBand="0" w:noVBand="1"/>
      </w:tblPr>
      <w:tblGrid>
        <w:gridCol w:w="1627"/>
        <w:gridCol w:w="1847"/>
        <w:gridCol w:w="1789"/>
        <w:gridCol w:w="1627"/>
        <w:gridCol w:w="1632"/>
      </w:tblGrid>
      <w:tr w:rsidR="001707F9" w14:paraId="584F9FEF" w14:textId="77777777" w:rsidTr="008339D7">
        <w:tc>
          <w:tcPr>
            <w:tcW w:w="1915" w:type="dxa"/>
          </w:tcPr>
          <w:p w14:paraId="65E728D6"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Weeks</w:t>
            </w:r>
          </w:p>
        </w:tc>
        <w:tc>
          <w:tcPr>
            <w:tcW w:w="1915" w:type="dxa"/>
          </w:tcPr>
          <w:p w14:paraId="70168663" w14:textId="77777777" w:rsidR="001707F9" w:rsidRPr="00494C7A" w:rsidRDefault="001707F9" w:rsidP="008339D7">
            <w:pPr>
              <w:widowControl/>
              <w:spacing w:line="276" w:lineRule="auto"/>
              <w:ind w:firstLineChars="50" w:firstLine="110"/>
              <w:jc w:val="left"/>
              <w:rPr>
                <w:rFonts w:ascii="Times New Roman" w:eastAsia="SimSun" w:hAnsi="Times New Roman" w:cs="Times New Roman"/>
                <w:color w:val="000000"/>
                <w:sz w:val="22"/>
                <w:szCs w:val="22"/>
              </w:rPr>
            </w:pPr>
            <w:r w:rsidRPr="00494C7A">
              <w:rPr>
                <w:rFonts w:ascii="Times New Roman" w:eastAsia="SimSun" w:hAnsi="Times New Roman" w:cs="Times New Roman"/>
                <w:color w:val="000000"/>
                <w:sz w:val="22"/>
                <w:szCs w:val="22"/>
              </w:rPr>
              <w:t>CD</w:t>
            </w:r>
          </w:p>
          <w:p w14:paraId="2B2E6C57"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eastAsia="SimSun" w:hAnsi="Times New Roman" w:cs="Times New Roman"/>
                <w:color w:val="000000"/>
                <w:sz w:val="22"/>
                <w:szCs w:val="22"/>
              </w:rPr>
              <w:t>Mean</w:t>
            </w:r>
            <w:r w:rsidRPr="00494C7A">
              <w:rPr>
                <w:rFonts w:ascii="Times New Roman" w:hAnsi="Times New Roman" w:cs="Times New Roman"/>
                <w:color w:val="000000"/>
                <w:sz w:val="22"/>
                <w:szCs w:val="22"/>
              </w:rPr>
              <w:t>±</w:t>
            </w:r>
            <w:r w:rsidRPr="00494C7A">
              <w:rPr>
                <w:rFonts w:ascii="Times New Roman" w:eastAsia="SimSun" w:hAnsi="Times New Roman" w:cs="Times New Roman"/>
                <w:color w:val="000000"/>
                <w:sz w:val="22"/>
                <w:szCs w:val="22"/>
              </w:rPr>
              <w:t xml:space="preserve"> SE</w:t>
            </w:r>
          </w:p>
        </w:tc>
        <w:tc>
          <w:tcPr>
            <w:tcW w:w="1915" w:type="dxa"/>
          </w:tcPr>
          <w:p w14:paraId="2EFF207F" w14:textId="77777777" w:rsidR="001707F9" w:rsidRPr="00494C7A" w:rsidRDefault="001707F9" w:rsidP="008339D7">
            <w:pPr>
              <w:widowControl/>
              <w:spacing w:line="276" w:lineRule="auto"/>
              <w:jc w:val="left"/>
              <w:rPr>
                <w:rFonts w:ascii="Times New Roman" w:eastAsia="SimSun" w:hAnsi="Times New Roman" w:cs="Times New Roman"/>
                <w:color w:val="000000"/>
                <w:sz w:val="22"/>
                <w:szCs w:val="22"/>
              </w:rPr>
            </w:pPr>
            <w:r w:rsidRPr="00494C7A">
              <w:rPr>
                <w:rFonts w:ascii="Times New Roman" w:eastAsia="SimSun" w:hAnsi="Times New Roman" w:cs="Times New Roman"/>
                <w:color w:val="000000"/>
                <w:sz w:val="22"/>
                <w:szCs w:val="22"/>
              </w:rPr>
              <w:t>CN</w:t>
            </w:r>
          </w:p>
          <w:p w14:paraId="0C8E6847"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eastAsia="SimSun" w:hAnsi="Times New Roman" w:cs="Times New Roman"/>
                <w:color w:val="000000"/>
                <w:sz w:val="22"/>
                <w:szCs w:val="22"/>
              </w:rPr>
              <w:t>Mean</w:t>
            </w:r>
            <w:r w:rsidRPr="00494C7A">
              <w:rPr>
                <w:rFonts w:ascii="Times New Roman" w:hAnsi="Times New Roman" w:cs="Times New Roman"/>
                <w:color w:val="000000"/>
                <w:sz w:val="22"/>
                <w:szCs w:val="22"/>
              </w:rPr>
              <w:t>±</w:t>
            </w:r>
            <w:r w:rsidRPr="00494C7A">
              <w:rPr>
                <w:rFonts w:ascii="Times New Roman" w:eastAsia="SimSun" w:hAnsi="Times New Roman" w:cs="Times New Roman"/>
                <w:color w:val="000000"/>
                <w:sz w:val="22"/>
                <w:szCs w:val="22"/>
              </w:rPr>
              <w:t xml:space="preserve"> SE</w:t>
            </w:r>
          </w:p>
        </w:tc>
        <w:tc>
          <w:tcPr>
            <w:tcW w:w="1915" w:type="dxa"/>
          </w:tcPr>
          <w:p w14:paraId="4E4331DA" w14:textId="77777777" w:rsidR="001707F9" w:rsidRPr="00494C7A" w:rsidRDefault="001707F9" w:rsidP="008339D7">
            <w:pPr>
              <w:pStyle w:val="NormalWeb"/>
              <w:widowControl/>
              <w:spacing w:line="276" w:lineRule="auto"/>
              <w:ind w:firstLineChars="100" w:firstLine="220"/>
              <w:rPr>
                <w:rFonts w:ascii="Times New Roman" w:hAnsi="Times New Roman" w:cs="Times New Roman"/>
                <w:color w:val="000000"/>
                <w:sz w:val="22"/>
                <w:szCs w:val="22"/>
              </w:rPr>
            </w:pPr>
            <w:r w:rsidRPr="00494C7A">
              <w:rPr>
                <w:rFonts w:ascii="Times New Roman" w:hAnsi="Times New Roman" w:cs="Times New Roman"/>
                <w:color w:val="000000"/>
                <w:sz w:val="22"/>
                <w:szCs w:val="22"/>
              </w:rPr>
              <w:t>T</w:t>
            </w:r>
            <w:r w:rsidRPr="00494C7A">
              <w:rPr>
                <w:rFonts w:ascii="Times New Roman" w:eastAsia="SimSun" w:hAnsi="Times New Roman" w:cs="Times New Roman"/>
                <w:color w:val="000000"/>
                <w:sz w:val="22"/>
                <w:szCs w:val="22"/>
              </w:rPr>
              <w:t>-value</w:t>
            </w:r>
          </w:p>
        </w:tc>
        <w:tc>
          <w:tcPr>
            <w:tcW w:w="1916" w:type="dxa"/>
          </w:tcPr>
          <w:p w14:paraId="02DC4BAB"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eastAsia="SimSun" w:hAnsi="Times New Roman" w:cs="Times New Roman"/>
                <w:color w:val="000000"/>
                <w:sz w:val="22"/>
                <w:szCs w:val="22"/>
              </w:rPr>
              <w:t>p-value</w:t>
            </w:r>
          </w:p>
        </w:tc>
      </w:tr>
      <w:tr w:rsidR="001707F9" w14:paraId="4DF28765" w14:textId="77777777" w:rsidTr="008339D7">
        <w:tc>
          <w:tcPr>
            <w:tcW w:w="1915" w:type="dxa"/>
          </w:tcPr>
          <w:p w14:paraId="01B7723E"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Day old</w:t>
            </w:r>
          </w:p>
        </w:tc>
        <w:tc>
          <w:tcPr>
            <w:tcW w:w="1915" w:type="dxa"/>
          </w:tcPr>
          <w:p w14:paraId="75A6538A"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33.38±0.04</w:t>
            </w:r>
          </w:p>
        </w:tc>
        <w:tc>
          <w:tcPr>
            <w:tcW w:w="1915" w:type="dxa"/>
          </w:tcPr>
          <w:p w14:paraId="08DFDCFC"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38.76±0.05*</w:t>
            </w:r>
          </w:p>
        </w:tc>
        <w:tc>
          <w:tcPr>
            <w:tcW w:w="1915" w:type="dxa"/>
          </w:tcPr>
          <w:p w14:paraId="0F2D5FBB" w14:textId="77777777" w:rsidR="001707F9" w:rsidRDefault="001707F9" w:rsidP="008339D7">
            <w:r w:rsidRPr="00494C7A">
              <w:rPr>
                <w:rFonts w:ascii="Times New Roman" w:hAnsi="Times New Roman" w:cs="Times New Roman"/>
                <w:sz w:val="22"/>
                <w:szCs w:val="22"/>
              </w:rPr>
              <w:t>-81.9</w:t>
            </w:r>
          </w:p>
        </w:tc>
        <w:tc>
          <w:tcPr>
            <w:tcW w:w="1916" w:type="dxa"/>
          </w:tcPr>
          <w:p w14:paraId="5ABE348A" w14:textId="77777777" w:rsidR="001707F9" w:rsidRDefault="001707F9" w:rsidP="008339D7">
            <w:r w:rsidRPr="00494C7A">
              <w:rPr>
                <w:rFonts w:ascii="Times New Roman" w:hAnsi="Times New Roman" w:cs="Times New Roman"/>
                <w:sz w:val="22"/>
                <w:szCs w:val="22"/>
              </w:rPr>
              <w:t>&lt;0.001</w:t>
            </w:r>
          </w:p>
        </w:tc>
      </w:tr>
      <w:tr w:rsidR="001707F9" w14:paraId="3F8DEC4C" w14:textId="77777777" w:rsidTr="008339D7">
        <w:tc>
          <w:tcPr>
            <w:tcW w:w="1915" w:type="dxa"/>
          </w:tcPr>
          <w:p w14:paraId="6C4111CB"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w:t>
            </w:r>
            <w:r w:rsidRPr="00494C7A">
              <w:rPr>
                <w:rFonts w:ascii="Times New Roman" w:hAnsi="Times New Roman" w:cs="Times New Roman"/>
                <w:color w:val="000000"/>
                <w:sz w:val="22"/>
                <w:szCs w:val="22"/>
                <w:vertAlign w:val="superscript"/>
              </w:rPr>
              <w:t>st</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915" w:type="dxa"/>
          </w:tcPr>
          <w:p w14:paraId="17548C5D"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76.03±0.04</w:t>
            </w:r>
          </w:p>
        </w:tc>
        <w:tc>
          <w:tcPr>
            <w:tcW w:w="1915" w:type="dxa"/>
          </w:tcPr>
          <w:p w14:paraId="219989C1"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89.35±0.06*</w:t>
            </w:r>
          </w:p>
        </w:tc>
        <w:tc>
          <w:tcPr>
            <w:tcW w:w="1915" w:type="dxa"/>
          </w:tcPr>
          <w:p w14:paraId="1A466CE9"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-181.0</w:t>
            </w:r>
          </w:p>
        </w:tc>
        <w:tc>
          <w:tcPr>
            <w:tcW w:w="1916" w:type="dxa"/>
          </w:tcPr>
          <w:p w14:paraId="1ACCD82D"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&lt;0.001</w:t>
            </w:r>
          </w:p>
        </w:tc>
      </w:tr>
      <w:tr w:rsidR="001707F9" w14:paraId="2AF612F3" w14:textId="77777777" w:rsidTr="008339D7">
        <w:tc>
          <w:tcPr>
            <w:tcW w:w="1915" w:type="dxa"/>
          </w:tcPr>
          <w:p w14:paraId="42AEF10E"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w:t>
            </w:r>
            <w:r w:rsidRPr="00494C7A">
              <w:rPr>
                <w:rFonts w:ascii="Times New Roman" w:hAnsi="Times New Roman" w:cs="Times New Roman"/>
                <w:color w:val="000000"/>
                <w:sz w:val="22"/>
                <w:szCs w:val="22"/>
                <w:vertAlign w:val="superscript"/>
              </w:rPr>
              <w:t>nd</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915" w:type="dxa"/>
          </w:tcPr>
          <w:p w14:paraId="4C6290EF"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126.76±0.07</w:t>
            </w:r>
          </w:p>
        </w:tc>
        <w:tc>
          <w:tcPr>
            <w:tcW w:w="1915" w:type="dxa"/>
          </w:tcPr>
          <w:p w14:paraId="7C5EFB69"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145.63±0.07*</w:t>
            </w:r>
          </w:p>
        </w:tc>
        <w:tc>
          <w:tcPr>
            <w:tcW w:w="1915" w:type="dxa"/>
          </w:tcPr>
          <w:p w14:paraId="62DFDC22"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-199.5</w:t>
            </w:r>
          </w:p>
        </w:tc>
        <w:tc>
          <w:tcPr>
            <w:tcW w:w="1916" w:type="dxa"/>
          </w:tcPr>
          <w:p w14:paraId="410D0142"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&lt;0.001</w:t>
            </w:r>
          </w:p>
        </w:tc>
      </w:tr>
      <w:tr w:rsidR="001707F9" w14:paraId="52BD662E" w14:textId="77777777" w:rsidTr="008339D7">
        <w:tc>
          <w:tcPr>
            <w:tcW w:w="1915" w:type="dxa"/>
          </w:tcPr>
          <w:p w14:paraId="3D41C32D"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3</w:t>
            </w:r>
            <w:r w:rsidRPr="00494C7A">
              <w:rPr>
                <w:rFonts w:ascii="Times New Roman" w:hAnsi="Times New Roman" w:cs="Times New Roman"/>
                <w:color w:val="000000"/>
                <w:sz w:val="22"/>
                <w:szCs w:val="22"/>
                <w:vertAlign w:val="superscript"/>
              </w:rPr>
              <w:t>rd</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915" w:type="dxa"/>
          </w:tcPr>
          <w:p w14:paraId="1EE97974"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201.35±0.15*</w:t>
            </w:r>
          </w:p>
        </w:tc>
        <w:tc>
          <w:tcPr>
            <w:tcW w:w="1915" w:type="dxa"/>
          </w:tcPr>
          <w:p w14:paraId="7DE52463"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198.35±0.07</w:t>
            </w:r>
          </w:p>
        </w:tc>
        <w:tc>
          <w:tcPr>
            <w:tcW w:w="1915" w:type="dxa"/>
          </w:tcPr>
          <w:p w14:paraId="5AB1F495"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18.30</w:t>
            </w:r>
          </w:p>
        </w:tc>
        <w:tc>
          <w:tcPr>
            <w:tcW w:w="1916" w:type="dxa"/>
          </w:tcPr>
          <w:p w14:paraId="7800D377"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&lt;0.001</w:t>
            </w:r>
          </w:p>
        </w:tc>
      </w:tr>
      <w:tr w:rsidR="001707F9" w14:paraId="14D2F71A" w14:textId="77777777" w:rsidTr="008339D7">
        <w:tc>
          <w:tcPr>
            <w:tcW w:w="1915" w:type="dxa"/>
          </w:tcPr>
          <w:p w14:paraId="4705C68E"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4</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915" w:type="dxa"/>
          </w:tcPr>
          <w:p w14:paraId="439F193E"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291.76±0.08</w:t>
            </w:r>
          </w:p>
        </w:tc>
        <w:tc>
          <w:tcPr>
            <w:tcW w:w="1915" w:type="dxa"/>
          </w:tcPr>
          <w:p w14:paraId="49982954"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292.79±0.11*</w:t>
            </w:r>
          </w:p>
        </w:tc>
        <w:tc>
          <w:tcPr>
            <w:tcW w:w="1915" w:type="dxa"/>
          </w:tcPr>
          <w:p w14:paraId="6D765221" w14:textId="77777777" w:rsidR="001707F9" w:rsidRDefault="001707F9" w:rsidP="008339D7">
            <w:r w:rsidRPr="00494C7A">
              <w:rPr>
                <w:rFonts w:ascii="Times New Roman" w:hAnsi="Times New Roman" w:cs="Times New Roman"/>
                <w:sz w:val="22"/>
                <w:szCs w:val="22"/>
              </w:rPr>
              <w:t>-7.73</w:t>
            </w:r>
          </w:p>
        </w:tc>
        <w:tc>
          <w:tcPr>
            <w:tcW w:w="1916" w:type="dxa"/>
          </w:tcPr>
          <w:p w14:paraId="6F39BB4A" w14:textId="77777777" w:rsidR="001707F9" w:rsidRDefault="001707F9" w:rsidP="008339D7">
            <w:r w:rsidRPr="00494C7A">
              <w:rPr>
                <w:rFonts w:ascii="Times New Roman" w:hAnsi="Times New Roman" w:cs="Times New Roman"/>
                <w:sz w:val="22"/>
                <w:szCs w:val="22"/>
              </w:rPr>
              <w:t>&lt;0.001</w:t>
            </w:r>
          </w:p>
        </w:tc>
      </w:tr>
      <w:tr w:rsidR="001707F9" w14:paraId="01975BD2" w14:textId="77777777" w:rsidTr="008339D7">
        <w:tc>
          <w:tcPr>
            <w:tcW w:w="1915" w:type="dxa"/>
          </w:tcPr>
          <w:p w14:paraId="7C5E659A"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5</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915" w:type="dxa"/>
          </w:tcPr>
          <w:p w14:paraId="4C6CB7E3"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444.91±0.07*</w:t>
            </w:r>
          </w:p>
        </w:tc>
        <w:tc>
          <w:tcPr>
            <w:tcW w:w="1915" w:type="dxa"/>
          </w:tcPr>
          <w:p w14:paraId="01D74B85"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370.95±2.85</w:t>
            </w:r>
          </w:p>
        </w:tc>
        <w:tc>
          <w:tcPr>
            <w:tcW w:w="1915" w:type="dxa"/>
          </w:tcPr>
          <w:p w14:paraId="3B78EECE"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25.83</w:t>
            </w:r>
          </w:p>
        </w:tc>
        <w:tc>
          <w:tcPr>
            <w:tcW w:w="1916" w:type="dxa"/>
          </w:tcPr>
          <w:p w14:paraId="296E253D"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&lt;0.001</w:t>
            </w:r>
          </w:p>
        </w:tc>
      </w:tr>
      <w:tr w:rsidR="001707F9" w14:paraId="657203C6" w14:textId="77777777" w:rsidTr="008339D7">
        <w:tc>
          <w:tcPr>
            <w:tcW w:w="1915" w:type="dxa"/>
          </w:tcPr>
          <w:p w14:paraId="26AA45C8"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6</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915" w:type="dxa"/>
          </w:tcPr>
          <w:p w14:paraId="6D43CFDD"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629.07±0.06</w:t>
            </w:r>
          </w:p>
        </w:tc>
        <w:tc>
          <w:tcPr>
            <w:tcW w:w="1915" w:type="dxa"/>
          </w:tcPr>
          <w:p w14:paraId="5D8A3E31"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464.78±1.47*</w:t>
            </w:r>
          </w:p>
        </w:tc>
        <w:tc>
          <w:tcPr>
            <w:tcW w:w="1915" w:type="dxa"/>
          </w:tcPr>
          <w:p w14:paraId="1B80CB6C"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110.53</w:t>
            </w:r>
          </w:p>
        </w:tc>
        <w:tc>
          <w:tcPr>
            <w:tcW w:w="1916" w:type="dxa"/>
          </w:tcPr>
          <w:p w14:paraId="3708BE1C"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&lt;0.001</w:t>
            </w:r>
          </w:p>
        </w:tc>
      </w:tr>
      <w:tr w:rsidR="001707F9" w14:paraId="28C47D24" w14:textId="77777777" w:rsidTr="008339D7">
        <w:tc>
          <w:tcPr>
            <w:tcW w:w="1915" w:type="dxa"/>
          </w:tcPr>
          <w:p w14:paraId="6207A755"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8</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915" w:type="dxa"/>
          </w:tcPr>
          <w:p w14:paraId="5AAB5101"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870.49±1.20*</w:t>
            </w:r>
          </w:p>
        </w:tc>
        <w:tc>
          <w:tcPr>
            <w:tcW w:w="1915" w:type="dxa"/>
          </w:tcPr>
          <w:p w14:paraId="794F6721"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696.56±2.36</w:t>
            </w:r>
          </w:p>
        </w:tc>
        <w:tc>
          <w:tcPr>
            <w:tcW w:w="1915" w:type="dxa"/>
          </w:tcPr>
          <w:p w14:paraId="76346009" w14:textId="77777777" w:rsidR="001707F9" w:rsidRDefault="001707F9" w:rsidP="008339D7">
            <w:r w:rsidRPr="00494C7A">
              <w:rPr>
                <w:rFonts w:ascii="Times New Roman" w:hAnsi="Times New Roman" w:cs="Times New Roman"/>
                <w:color w:val="000000"/>
                <w:sz w:val="22"/>
                <w:szCs w:val="22"/>
              </w:rPr>
              <w:t>65.53</w:t>
            </w:r>
          </w:p>
        </w:tc>
        <w:tc>
          <w:tcPr>
            <w:tcW w:w="1916" w:type="dxa"/>
          </w:tcPr>
          <w:p w14:paraId="52552DA2" w14:textId="77777777" w:rsidR="001707F9" w:rsidRDefault="001707F9" w:rsidP="008339D7">
            <w:r w:rsidRPr="00494C7A">
              <w:rPr>
                <w:rFonts w:ascii="Times New Roman" w:hAnsi="Times New Roman" w:cs="Times New Roman"/>
                <w:sz w:val="22"/>
                <w:szCs w:val="22"/>
              </w:rPr>
              <w:t>&lt;0.001</w:t>
            </w:r>
          </w:p>
        </w:tc>
      </w:tr>
      <w:tr w:rsidR="001707F9" w14:paraId="091F156C" w14:textId="77777777" w:rsidTr="008339D7">
        <w:tc>
          <w:tcPr>
            <w:tcW w:w="1915" w:type="dxa"/>
          </w:tcPr>
          <w:p w14:paraId="15018707"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10</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915" w:type="dxa"/>
          </w:tcPr>
          <w:p w14:paraId="76A5CCD0"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1100.69±3.36*</w:t>
            </w:r>
          </w:p>
        </w:tc>
        <w:tc>
          <w:tcPr>
            <w:tcW w:w="1915" w:type="dxa"/>
          </w:tcPr>
          <w:p w14:paraId="51AF4D62"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902.10±8.57</w:t>
            </w:r>
          </w:p>
        </w:tc>
        <w:tc>
          <w:tcPr>
            <w:tcW w:w="1915" w:type="dxa"/>
          </w:tcPr>
          <w:p w14:paraId="4D389253" w14:textId="77777777" w:rsidR="001707F9" w:rsidRDefault="001707F9" w:rsidP="008339D7">
            <w:r w:rsidRPr="00494C7A">
              <w:rPr>
                <w:rFonts w:ascii="Times New Roman" w:hAnsi="Times New Roman" w:cs="Times New Roman"/>
                <w:color w:val="000000"/>
                <w:sz w:val="22"/>
                <w:szCs w:val="22"/>
              </w:rPr>
              <w:t>21.82</w:t>
            </w:r>
          </w:p>
        </w:tc>
        <w:tc>
          <w:tcPr>
            <w:tcW w:w="1916" w:type="dxa"/>
          </w:tcPr>
          <w:p w14:paraId="0E525F4F" w14:textId="77777777" w:rsidR="001707F9" w:rsidRDefault="001707F9" w:rsidP="008339D7">
            <w:r w:rsidRPr="00494C7A">
              <w:rPr>
                <w:rFonts w:ascii="Times New Roman" w:hAnsi="Times New Roman" w:cs="Times New Roman"/>
                <w:sz w:val="22"/>
                <w:szCs w:val="22"/>
              </w:rPr>
              <w:t>&lt;0.001</w:t>
            </w:r>
          </w:p>
        </w:tc>
      </w:tr>
      <w:tr w:rsidR="001707F9" w14:paraId="61DB72A1" w14:textId="77777777" w:rsidTr="008339D7">
        <w:tc>
          <w:tcPr>
            <w:tcW w:w="1915" w:type="dxa"/>
          </w:tcPr>
          <w:p w14:paraId="08857ACC"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12</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915" w:type="dxa"/>
          </w:tcPr>
          <w:p w14:paraId="03C49E2F"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1202.22±2.57*</w:t>
            </w:r>
          </w:p>
        </w:tc>
        <w:tc>
          <w:tcPr>
            <w:tcW w:w="1915" w:type="dxa"/>
          </w:tcPr>
          <w:p w14:paraId="28F51BC9"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1081.63±7.02</w:t>
            </w:r>
          </w:p>
        </w:tc>
        <w:tc>
          <w:tcPr>
            <w:tcW w:w="1915" w:type="dxa"/>
          </w:tcPr>
          <w:p w14:paraId="5E37B606"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16.20</w:t>
            </w:r>
          </w:p>
        </w:tc>
        <w:tc>
          <w:tcPr>
            <w:tcW w:w="1916" w:type="dxa"/>
          </w:tcPr>
          <w:p w14:paraId="1A4EF360"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sz w:val="22"/>
                <w:szCs w:val="22"/>
              </w:rPr>
              <w:t>&lt;0.001</w:t>
            </w:r>
          </w:p>
        </w:tc>
      </w:tr>
      <w:tr w:rsidR="001707F9" w14:paraId="38E251C6" w14:textId="77777777" w:rsidTr="008339D7">
        <w:tc>
          <w:tcPr>
            <w:tcW w:w="1915" w:type="dxa"/>
          </w:tcPr>
          <w:p w14:paraId="3AC972A4"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14</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915" w:type="dxa"/>
          </w:tcPr>
          <w:p w14:paraId="5D3FC37C"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1348.55±3.38*</w:t>
            </w:r>
          </w:p>
        </w:tc>
        <w:tc>
          <w:tcPr>
            <w:tcW w:w="1915" w:type="dxa"/>
          </w:tcPr>
          <w:p w14:paraId="723B57F1"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1312.96±6.52</w:t>
            </w:r>
          </w:p>
        </w:tc>
        <w:tc>
          <w:tcPr>
            <w:tcW w:w="1915" w:type="dxa"/>
          </w:tcPr>
          <w:p w14:paraId="69A9A7F8" w14:textId="77777777" w:rsidR="001707F9" w:rsidRDefault="001707F9" w:rsidP="008339D7">
            <w:r w:rsidRPr="00494C7A">
              <w:rPr>
                <w:rFonts w:ascii="Times New Roman" w:hAnsi="Times New Roman" w:cs="Times New Roman"/>
                <w:color w:val="000000"/>
                <w:sz w:val="22"/>
                <w:szCs w:val="22"/>
              </w:rPr>
              <w:t>4.84</w:t>
            </w:r>
            <w:r>
              <w:rPr>
                <w:rFonts w:ascii="Times New Roman" w:hAnsi="Times New Roman" w:cs="Times New Roman"/>
                <w:color w:val="000000"/>
                <w:sz w:val="22"/>
                <w:szCs w:val="22"/>
              </w:rPr>
              <w:tab/>
            </w:r>
          </w:p>
        </w:tc>
        <w:tc>
          <w:tcPr>
            <w:tcW w:w="1916" w:type="dxa"/>
          </w:tcPr>
          <w:p w14:paraId="2C9DB2D5" w14:textId="77777777" w:rsidR="001707F9" w:rsidRDefault="001707F9" w:rsidP="008339D7">
            <w:r w:rsidRPr="00494C7A">
              <w:rPr>
                <w:rFonts w:ascii="Times New Roman" w:hAnsi="Times New Roman" w:cs="Times New Roman"/>
                <w:sz w:val="22"/>
                <w:szCs w:val="22"/>
              </w:rPr>
              <w:t>&lt;0.001</w:t>
            </w:r>
          </w:p>
        </w:tc>
      </w:tr>
      <w:tr w:rsidR="001707F9" w14:paraId="17D0D1E8" w14:textId="77777777" w:rsidTr="008339D7">
        <w:tc>
          <w:tcPr>
            <w:tcW w:w="1915" w:type="dxa"/>
          </w:tcPr>
          <w:p w14:paraId="5D67DBD7"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16</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915" w:type="dxa"/>
          </w:tcPr>
          <w:p w14:paraId="7469A8CF"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1611.95±4.21*</w:t>
            </w:r>
          </w:p>
        </w:tc>
        <w:tc>
          <w:tcPr>
            <w:tcW w:w="1915" w:type="dxa"/>
          </w:tcPr>
          <w:p w14:paraId="147E0802"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1463.66±9.66</w:t>
            </w:r>
          </w:p>
        </w:tc>
        <w:tc>
          <w:tcPr>
            <w:tcW w:w="1915" w:type="dxa"/>
          </w:tcPr>
          <w:p w14:paraId="4206037A" w14:textId="77777777" w:rsidR="001707F9" w:rsidRDefault="001707F9" w:rsidP="008339D7">
            <w:r w:rsidRPr="00494C7A">
              <w:rPr>
                <w:rFonts w:ascii="Times New Roman" w:hAnsi="Times New Roman" w:cs="Times New Roman"/>
                <w:sz w:val="22"/>
                <w:szCs w:val="22"/>
              </w:rPr>
              <w:t>14.07</w:t>
            </w:r>
          </w:p>
        </w:tc>
        <w:tc>
          <w:tcPr>
            <w:tcW w:w="1916" w:type="dxa"/>
          </w:tcPr>
          <w:p w14:paraId="7BC0357C" w14:textId="77777777" w:rsidR="001707F9" w:rsidRDefault="001707F9" w:rsidP="008339D7">
            <w:r w:rsidRPr="00494C7A">
              <w:rPr>
                <w:rFonts w:ascii="Times New Roman" w:hAnsi="Times New Roman" w:cs="Times New Roman"/>
                <w:sz w:val="22"/>
                <w:szCs w:val="22"/>
              </w:rPr>
              <w:t>&lt;0.001</w:t>
            </w:r>
          </w:p>
        </w:tc>
      </w:tr>
      <w:tr w:rsidR="001707F9" w14:paraId="623EAE72" w14:textId="77777777" w:rsidTr="008339D7">
        <w:tc>
          <w:tcPr>
            <w:tcW w:w="1915" w:type="dxa"/>
          </w:tcPr>
          <w:p w14:paraId="41116E7F"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18</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915" w:type="dxa"/>
          </w:tcPr>
          <w:p w14:paraId="54C8E756"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1976.01±14.83*</w:t>
            </w:r>
          </w:p>
        </w:tc>
        <w:tc>
          <w:tcPr>
            <w:tcW w:w="1915" w:type="dxa"/>
          </w:tcPr>
          <w:p w14:paraId="3A5FA8FB"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1640.72±9.47</w:t>
            </w:r>
          </w:p>
        </w:tc>
        <w:tc>
          <w:tcPr>
            <w:tcW w:w="1915" w:type="dxa"/>
          </w:tcPr>
          <w:p w14:paraId="02E27DC1" w14:textId="77777777" w:rsidR="001707F9" w:rsidRDefault="001707F9" w:rsidP="008339D7">
            <w:r w:rsidRPr="00494C7A">
              <w:rPr>
                <w:rFonts w:ascii="Times New Roman" w:hAnsi="Times New Roman" w:cs="Times New Roman"/>
                <w:color w:val="000000"/>
                <w:sz w:val="22"/>
                <w:szCs w:val="22"/>
              </w:rPr>
              <w:t>19.06</w:t>
            </w:r>
          </w:p>
        </w:tc>
        <w:tc>
          <w:tcPr>
            <w:tcW w:w="1916" w:type="dxa"/>
          </w:tcPr>
          <w:p w14:paraId="45FEFD0D" w14:textId="77777777" w:rsidR="001707F9" w:rsidRDefault="001707F9" w:rsidP="008339D7">
            <w:r w:rsidRPr="00494C7A">
              <w:rPr>
                <w:rFonts w:ascii="Times New Roman" w:hAnsi="Times New Roman" w:cs="Times New Roman"/>
                <w:sz w:val="22"/>
                <w:szCs w:val="22"/>
              </w:rPr>
              <w:t>&lt;0.001</w:t>
            </w:r>
          </w:p>
        </w:tc>
      </w:tr>
      <w:tr w:rsidR="001707F9" w14:paraId="7136B0E9" w14:textId="77777777" w:rsidTr="008339D7">
        <w:tc>
          <w:tcPr>
            <w:tcW w:w="1915" w:type="dxa"/>
          </w:tcPr>
          <w:p w14:paraId="19B72A47"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20</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915" w:type="dxa"/>
          </w:tcPr>
          <w:p w14:paraId="22DD979F"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2221.57±10.75*</w:t>
            </w:r>
          </w:p>
        </w:tc>
        <w:tc>
          <w:tcPr>
            <w:tcW w:w="1915" w:type="dxa"/>
          </w:tcPr>
          <w:p w14:paraId="2A0E8096" w14:textId="77777777" w:rsidR="001707F9" w:rsidRPr="00494C7A" w:rsidRDefault="001707F9" w:rsidP="008339D7">
            <w:pPr>
              <w:pStyle w:val="NormalWeb"/>
              <w:widowControl/>
              <w:spacing w:line="276"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1923.18±3.96</w:t>
            </w:r>
          </w:p>
        </w:tc>
        <w:tc>
          <w:tcPr>
            <w:tcW w:w="1915" w:type="dxa"/>
          </w:tcPr>
          <w:p w14:paraId="0967BB75" w14:textId="77777777" w:rsidR="001707F9" w:rsidRDefault="001707F9" w:rsidP="008339D7">
            <w:r w:rsidRPr="00494C7A">
              <w:rPr>
                <w:rFonts w:ascii="Times New Roman" w:hAnsi="Times New Roman" w:cs="Times New Roman"/>
                <w:color w:val="000000"/>
                <w:sz w:val="22"/>
                <w:szCs w:val="22"/>
              </w:rPr>
              <w:t>26.05</w:t>
            </w:r>
          </w:p>
        </w:tc>
        <w:tc>
          <w:tcPr>
            <w:tcW w:w="1916" w:type="dxa"/>
          </w:tcPr>
          <w:p w14:paraId="6B8F3D7C" w14:textId="77777777" w:rsidR="001707F9" w:rsidRDefault="001707F9" w:rsidP="008339D7">
            <w:r w:rsidRPr="00494C7A">
              <w:rPr>
                <w:rFonts w:ascii="Times New Roman" w:hAnsi="Times New Roman" w:cs="Times New Roman"/>
                <w:sz w:val="22"/>
                <w:szCs w:val="22"/>
              </w:rPr>
              <w:t>&lt;0.001</w:t>
            </w:r>
          </w:p>
        </w:tc>
      </w:tr>
    </w:tbl>
    <w:p w14:paraId="5A2DC604" w14:textId="77777777" w:rsidR="00494C7A" w:rsidRPr="00494C7A" w:rsidRDefault="00D43CBD" w:rsidP="00494C7A">
      <w:pPr>
        <w:pStyle w:val="Normal1"/>
        <w:spacing w:after="0" w:line="276" w:lineRule="auto"/>
        <w:jc w:val="both"/>
        <w:rPr>
          <w:rFonts w:ascii="Times New Roman" w:eastAsia="Times New Roman" w:hAnsi="Times New Roman" w:cs="Times New Roman"/>
          <w:b/>
          <w:bCs/>
        </w:rPr>
      </w:pPr>
      <w:r w:rsidRPr="00494C7A">
        <w:rPr>
          <w:rFonts w:ascii="Times New Roman" w:eastAsia="Times New Roman" w:hAnsi="Times New Roman" w:cs="Times New Roman"/>
          <w:b/>
          <w:bCs/>
        </w:rPr>
        <w:t>*Indicates significant difference (p&lt;0.001).</w:t>
      </w:r>
    </w:p>
    <w:p w14:paraId="29126C88" w14:textId="77777777" w:rsidR="00AF7721" w:rsidRPr="00494C7A" w:rsidRDefault="00046F22">
      <w:pPr>
        <w:pStyle w:val="NormalWeb"/>
        <w:spacing w:line="360" w:lineRule="auto"/>
        <w:rPr>
          <w:rFonts w:ascii="Times New Roman" w:hAnsi="Times New Roman" w:cs="Times New Roman"/>
          <w:color w:val="000000"/>
          <w:sz w:val="22"/>
          <w:szCs w:val="22"/>
        </w:rPr>
      </w:pPr>
      <w:r w:rsidRPr="00494C7A">
        <w:rPr>
          <w:rFonts w:ascii="Times New Roman" w:hAnsi="Times New Roman" w:cs="Times New Roman"/>
          <w:b/>
          <w:bCs/>
          <w:color w:val="000000"/>
          <w:sz w:val="22"/>
          <w:szCs w:val="22"/>
        </w:rPr>
        <w:t xml:space="preserve">Fig. </w:t>
      </w:r>
      <w:proofErr w:type="gramStart"/>
      <w:r w:rsidRPr="00494C7A">
        <w:rPr>
          <w:rFonts w:ascii="Times New Roman" w:hAnsi="Times New Roman" w:cs="Times New Roman"/>
          <w:b/>
          <w:bCs/>
          <w:color w:val="000000"/>
          <w:sz w:val="22"/>
          <w:szCs w:val="22"/>
        </w:rPr>
        <w:t>1</w:t>
      </w:r>
      <w:r w:rsidR="00353555" w:rsidRPr="00494C7A">
        <w:rPr>
          <w:rFonts w:ascii="Times New Roman" w:hAnsi="Times New Roman" w:cs="Times New Roman"/>
          <w:b/>
          <w:bCs/>
          <w:color w:val="000000"/>
          <w:sz w:val="22"/>
          <w:szCs w:val="22"/>
        </w:rPr>
        <w:t xml:space="preserve"> </w:t>
      </w:r>
      <w:r w:rsidRPr="00494C7A">
        <w:rPr>
          <w:rFonts w:ascii="Times New Roman" w:hAnsi="Times New Roman" w:cs="Times New Roman"/>
          <w:b/>
          <w:bCs/>
          <w:color w:val="000000"/>
          <w:sz w:val="22"/>
          <w:szCs w:val="22"/>
        </w:rPr>
        <w:t xml:space="preserve"> Body</w:t>
      </w:r>
      <w:proofErr w:type="gramEnd"/>
      <w:r w:rsidRPr="00494C7A">
        <w:rPr>
          <w:rFonts w:ascii="Times New Roman" w:hAnsi="Times New Roman" w:cs="Times New Roman"/>
          <w:b/>
          <w:bCs/>
          <w:color w:val="000000"/>
          <w:sz w:val="22"/>
          <w:szCs w:val="22"/>
        </w:rPr>
        <w:t xml:space="preserve"> weights (g) of CARI Debendra and CARI Nirbheek birds from day old to 20 weeks of age.</w:t>
      </w:r>
    </w:p>
    <w:p w14:paraId="42DA7885" w14:textId="77777777" w:rsidR="00AF7721" w:rsidRPr="00494C7A" w:rsidRDefault="00046F22">
      <w:pPr>
        <w:pStyle w:val="NormalWeb"/>
        <w:spacing w:line="360" w:lineRule="auto"/>
        <w:rPr>
          <w:rFonts w:ascii="Times New Roman" w:hAnsi="Times New Roman" w:cs="Times New Roman"/>
          <w:color w:val="000000"/>
          <w:sz w:val="22"/>
          <w:szCs w:val="22"/>
        </w:rPr>
      </w:pPr>
      <w:r w:rsidRPr="00494C7A">
        <w:rPr>
          <w:rFonts w:ascii="Times New Roman" w:hAnsi="Times New Roman" w:cs="Times New Roman"/>
          <w:noProof/>
          <w:sz w:val="22"/>
          <w:szCs w:val="22"/>
          <w:lang w:eastAsia="en-US" w:bidi="hi-IN"/>
        </w:rPr>
        <w:lastRenderedPageBreak/>
        <w:drawing>
          <wp:inline distT="0" distB="0" distL="114300" distR="114300" wp14:anchorId="56CF0346" wp14:editId="5EBD8A71">
            <wp:extent cx="4787265" cy="3325495"/>
            <wp:effectExtent l="6350" t="6350" r="6985" b="2095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24E5B5C" w14:textId="77777777" w:rsidR="00AF7721" w:rsidRPr="00494C7A" w:rsidRDefault="00AF7721">
      <w:pPr>
        <w:pStyle w:val="NormalWeb"/>
        <w:spacing w:line="360" w:lineRule="auto"/>
        <w:rPr>
          <w:rFonts w:ascii="Times New Roman" w:hAnsi="Times New Roman" w:cs="Times New Roman"/>
          <w:color w:val="000000"/>
          <w:sz w:val="22"/>
          <w:szCs w:val="22"/>
        </w:rPr>
      </w:pPr>
    </w:p>
    <w:p w14:paraId="2313B87B" w14:textId="77777777" w:rsidR="00AF7721" w:rsidRPr="00494C7A" w:rsidRDefault="00046F22" w:rsidP="00494C7A">
      <w:pPr>
        <w:pStyle w:val="NormalWeb"/>
        <w:spacing w:line="360" w:lineRule="auto"/>
        <w:ind w:firstLineChars="100" w:firstLine="220"/>
        <w:jc w:val="both"/>
        <w:rPr>
          <w:rFonts w:ascii="Times New Roman" w:hAnsi="Times New Roman" w:cs="Times New Roman"/>
          <w:color w:val="000000"/>
          <w:sz w:val="22"/>
          <w:szCs w:val="22"/>
        </w:rPr>
      </w:pPr>
      <w:r w:rsidRPr="00494C7A">
        <w:rPr>
          <w:rFonts w:ascii="Times New Roman" w:hAnsi="Times New Roman" w:cs="Times New Roman"/>
          <w:color w:val="000000"/>
          <w:sz w:val="22"/>
          <w:szCs w:val="22"/>
        </w:rPr>
        <w:t xml:space="preserve">Past research shows that adding broiler genetics to a crossbred significantly boosts its weight gain during the growing and adult stages (Das </w:t>
      </w:r>
      <w:r w:rsidRPr="00494C7A">
        <w:rPr>
          <w:rFonts w:ascii="Times New Roman" w:hAnsi="Times New Roman" w:cs="Times New Roman"/>
          <w:i/>
          <w:iCs/>
          <w:color w:val="000000"/>
          <w:sz w:val="22"/>
          <w:szCs w:val="22"/>
        </w:rPr>
        <w:t>et al.,</w:t>
      </w:r>
      <w:r w:rsidRPr="00494C7A">
        <w:rPr>
          <w:rFonts w:ascii="Times New Roman" w:hAnsi="Times New Roman" w:cs="Times New Roman"/>
          <w:color w:val="000000"/>
          <w:sz w:val="22"/>
          <w:szCs w:val="22"/>
        </w:rPr>
        <w:t xml:space="preserve"> 2016). This makes CARI Debendra a highly effective choice for farmers who want to improve meat production in rural areas (Singh, 2006). Similarly, the final 20-week weight of CARI Nirbheek aligns well with CARI </w:t>
      </w:r>
      <w:proofErr w:type="spellStart"/>
      <w:r w:rsidRPr="00494C7A">
        <w:rPr>
          <w:rFonts w:ascii="Times New Roman" w:hAnsi="Times New Roman" w:cs="Times New Roman"/>
          <w:color w:val="000000"/>
          <w:sz w:val="22"/>
          <w:szCs w:val="22"/>
        </w:rPr>
        <w:t>Izatnagar</w:t>
      </w:r>
      <w:proofErr w:type="spellEnd"/>
      <w:r w:rsidRPr="00494C7A">
        <w:rPr>
          <w:rFonts w:ascii="Times New Roman" w:hAnsi="Times New Roman" w:cs="Times New Roman"/>
          <w:color w:val="000000"/>
          <w:sz w:val="22"/>
          <w:szCs w:val="22"/>
        </w:rPr>
        <w:t xml:space="preserve"> reports. Research by </w:t>
      </w:r>
      <w:proofErr w:type="spellStart"/>
      <w:r w:rsidRPr="00494C7A">
        <w:rPr>
          <w:rFonts w:ascii="Times New Roman" w:hAnsi="Times New Roman" w:cs="Times New Roman"/>
          <w:color w:val="000000"/>
          <w:sz w:val="22"/>
          <w:szCs w:val="22"/>
        </w:rPr>
        <w:t>Khadda</w:t>
      </w:r>
      <w:proofErr w:type="spellEnd"/>
      <w:r w:rsidRPr="00494C7A">
        <w:rPr>
          <w:rFonts w:ascii="Times New Roman" w:hAnsi="Times New Roman" w:cs="Times New Roman"/>
          <w:color w:val="000000"/>
          <w:sz w:val="22"/>
          <w:szCs w:val="22"/>
        </w:rPr>
        <w:t xml:space="preserve"> </w:t>
      </w:r>
      <w:r w:rsidRPr="00494C7A">
        <w:rPr>
          <w:rFonts w:ascii="Times New Roman" w:hAnsi="Times New Roman" w:cs="Times New Roman"/>
          <w:i/>
          <w:iCs/>
          <w:color w:val="000000"/>
          <w:sz w:val="22"/>
          <w:szCs w:val="22"/>
        </w:rPr>
        <w:t>et al.</w:t>
      </w:r>
      <w:r w:rsidRPr="00494C7A">
        <w:rPr>
          <w:rFonts w:ascii="Times New Roman" w:hAnsi="Times New Roman" w:cs="Times New Roman"/>
          <w:color w:val="000000"/>
          <w:sz w:val="22"/>
          <w:szCs w:val="22"/>
        </w:rPr>
        <w:t xml:space="preserve"> (2016) showed that while CARI Nirbheek grows more slowly than commercial meat birds, it adapts beautifully to tough climate and had steady weight milestones.</w:t>
      </w:r>
    </w:p>
    <w:p w14:paraId="46991B47" w14:textId="77777777" w:rsidR="00AF7721" w:rsidRPr="00494C7A" w:rsidRDefault="00046F22" w:rsidP="001707F9">
      <w:pPr>
        <w:pStyle w:val="NormalWeb"/>
        <w:spacing w:line="360" w:lineRule="auto"/>
        <w:ind w:firstLineChars="150" w:firstLine="330"/>
        <w:jc w:val="both"/>
        <w:rPr>
          <w:rFonts w:ascii="Times New Roman" w:hAnsi="Times New Roman" w:cs="Times New Roman"/>
          <w:color w:val="000000"/>
          <w:sz w:val="22"/>
          <w:szCs w:val="22"/>
        </w:rPr>
      </w:pPr>
      <w:r w:rsidRPr="00494C7A">
        <w:rPr>
          <w:rFonts w:ascii="Times New Roman" w:hAnsi="Times New Roman" w:cs="Times New Roman"/>
          <w:color w:val="000000"/>
          <w:sz w:val="22"/>
          <w:szCs w:val="22"/>
        </w:rPr>
        <w:t xml:space="preserve">However, a few results in this study </w:t>
      </w:r>
      <w:r w:rsidR="00D43CBD" w:rsidRPr="00494C7A">
        <w:rPr>
          <w:rFonts w:ascii="Times New Roman" w:hAnsi="Times New Roman" w:cs="Times New Roman"/>
          <w:color w:val="000000"/>
          <w:sz w:val="22"/>
          <w:szCs w:val="22"/>
        </w:rPr>
        <w:t>differed</w:t>
      </w:r>
      <w:r w:rsidRPr="00494C7A">
        <w:rPr>
          <w:rFonts w:ascii="Times New Roman" w:hAnsi="Times New Roman" w:cs="Times New Roman"/>
          <w:color w:val="000000"/>
          <w:sz w:val="22"/>
          <w:szCs w:val="22"/>
        </w:rPr>
        <w:t xml:space="preserve"> from typical breed expectations. According to CARI report CARI Debendra can cross 1100 g by Week 8 under perfect conditions, it only reached 870.49 g. According to Das </w:t>
      </w:r>
      <w:r w:rsidRPr="00494C7A">
        <w:rPr>
          <w:rFonts w:ascii="Times New Roman" w:hAnsi="Times New Roman" w:cs="Times New Roman"/>
          <w:i/>
          <w:iCs/>
          <w:color w:val="000000"/>
          <w:sz w:val="22"/>
          <w:szCs w:val="22"/>
        </w:rPr>
        <w:t>et al.,</w:t>
      </w:r>
      <w:r w:rsidRPr="00494C7A">
        <w:rPr>
          <w:rFonts w:ascii="Times New Roman" w:hAnsi="Times New Roman" w:cs="Times New Roman"/>
          <w:color w:val="000000"/>
          <w:sz w:val="22"/>
          <w:szCs w:val="22"/>
        </w:rPr>
        <w:t xml:space="preserve"> 2019 and Zeeshan Riaz </w:t>
      </w:r>
      <w:r w:rsidRPr="00494C7A">
        <w:rPr>
          <w:rFonts w:ascii="Times New Roman" w:hAnsi="Times New Roman" w:cs="Times New Roman"/>
          <w:i/>
          <w:iCs/>
          <w:color w:val="000000"/>
          <w:sz w:val="22"/>
          <w:szCs w:val="22"/>
        </w:rPr>
        <w:t>et al.</w:t>
      </w:r>
      <w:r w:rsidRPr="00494C7A">
        <w:rPr>
          <w:rFonts w:ascii="Times New Roman" w:hAnsi="Times New Roman" w:cs="Times New Roman"/>
          <w:color w:val="000000"/>
          <w:sz w:val="22"/>
          <w:szCs w:val="22"/>
        </w:rPr>
        <w:t xml:space="preserve"> (2024) who noted that and  CARI Nirbheek grow steadily even under stressful conditions but broiler-hybrid lines like CARI Debendra need very precise, high quality feeding to show their true growth potential. The cumulati</w:t>
      </w:r>
      <w:r w:rsidR="00BA425B" w:rsidRPr="00494C7A">
        <w:rPr>
          <w:rFonts w:ascii="Times New Roman" w:hAnsi="Times New Roman" w:cs="Times New Roman"/>
          <w:color w:val="000000"/>
          <w:sz w:val="22"/>
          <w:szCs w:val="22"/>
        </w:rPr>
        <w:t>ve feed intake is presented on T</w:t>
      </w:r>
      <w:r w:rsidR="00A3313C" w:rsidRPr="00494C7A">
        <w:rPr>
          <w:rFonts w:ascii="Times New Roman" w:hAnsi="Times New Roman" w:cs="Times New Roman"/>
          <w:color w:val="000000"/>
          <w:sz w:val="22"/>
          <w:szCs w:val="22"/>
        </w:rPr>
        <w:t>able N</w:t>
      </w:r>
      <w:r w:rsidRPr="00494C7A">
        <w:rPr>
          <w:rFonts w:ascii="Times New Roman" w:hAnsi="Times New Roman" w:cs="Times New Roman"/>
          <w:color w:val="000000"/>
          <w:sz w:val="22"/>
          <w:szCs w:val="22"/>
        </w:rPr>
        <w:t xml:space="preserve">o. 2 </w:t>
      </w:r>
      <w:r w:rsidR="00D43CBD" w:rsidRPr="00494C7A">
        <w:rPr>
          <w:rFonts w:ascii="Times New Roman" w:hAnsi="Times New Roman" w:cs="Times New Roman"/>
          <w:color w:val="000000"/>
          <w:sz w:val="22"/>
          <w:szCs w:val="22"/>
        </w:rPr>
        <w:t>during</w:t>
      </w:r>
      <w:r w:rsidRPr="00494C7A">
        <w:rPr>
          <w:rFonts w:ascii="Times New Roman" w:hAnsi="Times New Roman" w:cs="Times New Roman"/>
          <w:color w:val="000000"/>
          <w:sz w:val="22"/>
          <w:szCs w:val="22"/>
        </w:rPr>
        <w:t xml:space="preserve"> the early developmental phase </w:t>
      </w:r>
      <w:r w:rsidR="00BA425B" w:rsidRPr="00494C7A">
        <w:rPr>
          <w:rFonts w:ascii="Times New Roman" w:hAnsi="Times New Roman" w:cs="Times New Roman"/>
          <w:color w:val="000000"/>
          <w:sz w:val="22"/>
          <w:szCs w:val="22"/>
        </w:rPr>
        <w:t>initial</w:t>
      </w:r>
      <w:r w:rsidRPr="00494C7A">
        <w:rPr>
          <w:rFonts w:ascii="Times New Roman" w:hAnsi="Times New Roman" w:cs="Times New Roman"/>
          <w:color w:val="000000"/>
          <w:sz w:val="22"/>
          <w:szCs w:val="22"/>
        </w:rPr>
        <w:t xml:space="preserve"> weeks 1 to 5, CARI Debendra at nearly all intervals. Specially, at Week 1, CN consumed 5</w:t>
      </w:r>
      <w:r w:rsidR="00BA425B" w:rsidRPr="00494C7A">
        <w:rPr>
          <w:rFonts w:ascii="Times New Roman" w:hAnsi="Times New Roman" w:cs="Times New Roman"/>
          <w:color w:val="000000"/>
          <w:sz w:val="22"/>
          <w:szCs w:val="22"/>
        </w:rPr>
        <w:t>.39±0.13 kg of feed, while CD ate 4.32±0.01k</w:t>
      </w:r>
      <w:r w:rsidR="00D43CBD" w:rsidRPr="00494C7A">
        <w:rPr>
          <w:rFonts w:ascii="Times New Roman" w:hAnsi="Times New Roman" w:cs="Times New Roman"/>
          <w:color w:val="000000"/>
          <w:sz w:val="22"/>
          <w:szCs w:val="22"/>
        </w:rPr>
        <w:t>g (p&lt;</w:t>
      </w:r>
      <w:r w:rsidR="00A3313C" w:rsidRPr="00494C7A">
        <w:rPr>
          <w:rFonts w:ascii="Times New Roman" w:hAnsi="Times New Roman" w:cs="Times New Roman"/>
          <w:color w:val="000000"/>
          <w:sz w:val="22"/>
          <w:szCs w:val="22"/>
        </w:rPr>
        <w:t>0.05</w:t>
      </w:r>
      <w:r w:rsidRPr="00494C7A">
        <w:rPr>
          <w:rFonts w:ascii="Times New Roman" w:hAnsi="Times New Roman" w:cs="Times New Roman"/>
          <w:color w:val="000000"/>
          <w:sz w:val="22"/>
          <w:szCs w:val="22"/>
        </w:rPr>
        <w:t>), establishing a steady p</w:t>
      </w:r>
      <w:r w:rsidR="00BA425B" w:rsidRPr="00494C7A">
        <w:rPr>
          <w:rFonts w:ascii="Times New Roman" w:hAnsi="Times New Roman" w:cs="Times New Roman"/>
          <w:color w:val="000000"/>
          <w:sz w:val="22"/>
          <w:szCs w:val="22"/>
        </w:rPr>
        <w:t>attern of higher in CN (15.4±0.18</w:t>
      </w:r>
      <w:r w:rsidR="00A3313C" w:rsidRPr="00494C7A">
        <w:rPr>
          <w:rFonts w:ascii="Times New Roman" w:hAnsi="Times New Roman" w:cs="Times New Roman"/>
          <w:color w:val="000000"/>
          <w:sz w:val="22"/>
          <w:szCs w:val="22"/>
        </w:rPr>
        <w:t>k</w:t>
      </w:r>
      <w:r w:rsidR="00BA425B" w:rsidRPr="00494C7A">
        <w:rPr>
          <w:rFonts w:ascii="Times New Roman" w:hAnsi="Times New Roman" w:cs="Times New Roman"/>
          <w:color w:val="000000"/>
          <w:sz w:val="22"/>
          <w:szCs w:val="22"/>
        </w:rPr>
        <w:t>g) than in CD (12.6±0.01</w:t>
      </w:r>
      <w:r w:rsidR="00A3313C" w:rsidRPr="00494C7A">
        <w:rPr>
          <w:rFonts w:ascii="Times New Roman" w:hAnsi="Times New Roman" w:cs="Times New Roman"/>
          <w:color w:val="000000"/>
          <w:sz w:val="22"/>
          <w:szCs w:val="22"/>
        </w:rPr>
        <w:t>k</w:t>
      </w:r>
      <w:r w:rsidRPr="00494C7A">
        <w:rPr>
          <w:rFonts w:ascii="Times New Roman" w:hAnsi="Times New Roman" w:cs="Times New Roman"/>
          <w:color w:val="000000"/>
          <w:sz w:val="22"/>
          <w:szCs w:val="22"/>
        </w:rPr>
        <w:t>g), though the difference was not st</w:t>
      </w:r>
      <w:r w:rsidR="00BA425B" w:rsidRPr="00494C7A">
        <w:rPr>
          <w:rFonts w:ascii="Times New Roman" w:hAnsi="Times New Roman" w:cs="Times New Roman"/>
          <w:color w:val="000000"/>
          <w:sz w:val="22"/>
          <w:szCs w:val="22"/>
        </w:rPr>
        <w:t>atist</w:t>
      </w:r>
      <w:r w:rsidR="00A3313C" w:rsidRPr="00494C7A">
        <w:rPr>
          <w:rFonts w:ascii="Times New Roman" w:hAnsi="Times New Roman" w:cs="Times New Roman"/>
          <w:color w:val="000000"/>
          <w:sz w:val="22"/>
          <w:szCs w:val="22"/>
        </w:rPr>
        <w:t>ically significant (p&lt;0.05</w:t>
      </w:r>
      <w:r w:rsidRPr="00494C7A">
        <w:rPr>
          <w:rFonts w:ascii="Times New Roman" w:hAnsi="Times New Roman" w:cs="Times New Roman"/>
          <w:color w:val="000000"/>
          <w:sz w:val="22"/>
          <w:szCs w:val="22"/>
        </w:rPr>
        <w:t>). A unique, brief shift occurred at week 8 when CD ate significa</w:t>
      </w:r>
      <w:r w:rsidR="00BA425B" w:rsidRPr="00494C7A">
        <w:rPr>
          <w:rFonts w:ascii="Times New Roman" w:hAnsi="Times New Roman" w:cs="Times New Roman"/>
          <w:color w:val="000000"/>
          <w:sz w:val="22"/>
          <w:szCs w:val="22"/>
        </w:rPr>
        <w:t>ntly more feed than CN (52.41±0.05</w:t>
      </w:r>
      <w:r w:rsidR="00D7573A" w:rsidRPr="00494C7A">
        <w:rPr>
          <w:rFonts w:ascii="Times New Roman" w:hAnsi="Times New Roman" w:cs="Times New Roman"/>
          <w:color w:val="000000"/>
          <w:sz w:val="22"/>
          <w:szCs w:val="22"/>
        </w:rPr>
        <w:t xml:space="preserve">kg </w:t>
      </w:r>
      <w:r w:rsidR="00BA425B" w:rsidRPr="00494C7A">
        <w:rPr>
          <w:rFonts w:ascii="Times New Roman" w:hAnsi="Times New Roman" w:cs="Times New Roman"/>
          <w:color w:val="000000"/>
          <w:sz w:val="22"/>
          <w:szCs w:val="22"/>
        </w:rPr>
        <w:t>and 44.70±0.18</w:t>
      </w:r>
      <w:r w:rsidR="00D7573A" w:rsidRPr="00494C7A">
        <w:rPr>
          <w:rFonts w:ascii="Times New Roman" w:hAnsi="Times New Roman" w:cs="Times New Roman"/>
          <w:color w:val="000000"/>
          <w:sz w:val="22"/>
          <w:szCs w:val="22"/>
        </w:rPr>
        <w:t>kg</w:t>
      </w:r>
      <w:r w:rsidRPr="00494C7A">
        <w:rPr>
          <w:rFonts w:ascii="Times New Roman" w:hAnsi="Times New Roman" w:cs="Times New Roman"/>
          <w:color w:val="000000"/>
          <w:sz w:val="22"/>
          <w:szCs w:val="22"/>
        </w:rPr>
        <w:t>;</w:t>
      </w:r>
      <w:r w:rsidR="00D7573A" w:rsidRPr="00494C7A">
        <w:rPr>
          <w:rFonts w:ascii="Times New Roman" w:hAnsi="Times New Roman" w:cs="Times New Roman"/>
          <w:color w:val="000000"/>
          <w:sz w:val="22"/>
          <w:szCs w:val="22"/>
        </w:rPr>
        <w:t xml:space="preserve"> (p&lt;0.05), </w:t>
      </w:r>
      <w:r w:rsidRPr="00494C7A">
        <w:rPr>
          <w:rFonts w:ascii="Times New Roman" w:hAnsi="Times New Roman" w:cs="Times New Roman"/>
          <w:color w:val="000000"/>
          <w:sz w:val="22"/>
          <w:szCs w:val="22"/>
        </w:rPr>
        <w:t>after which consumption leveled out with no statistically significant differences at week 20, CN once again became the heavier consumer, recording a significantly higher fi</w:t>
      </w:r>
      <w:r w:rsidR="00BA425B" w:rsidRPr="00494C7A">
        <w:rPr>
          <w:rFonts w:ascii="Times New Roman" w:hAnsi="Times New Roman" w:cs="Times New Roman"/>
          <w:color w:val="000000"/>
          <w:sz w:val="22"/>
          <w:szCs w:val="22"/>
        </w:rPr>
        <w:t>nal mean feed int</w:t>
      </w:r>
      <w:r w:rsidR="00D7573A" w:rsidRPr="00494C7A">
        <w:rPr>
          <w:rFonts w:ascii="Times New Roman" w:hAnsi="Times New Roman" w:cs="Times New Roman"/>
          <w:color w:val="000000"/>
          <w:sz w:val="22"/>
          <w:szCs w:val="22"/>
        </w:rPr>
        <w:t xml:space="preserve">ake </w:t>
      </w:r>
      <w:r w:rsidR="00BA425B" w:rsidRPr="00494C7A">
        <w:rPr>
          <w:rFonts w:ascii="Times New Roman" w:hAnsi="Times New Roman" w:cs="Times New Roman"/>
          <w:color w:val="000000"/>
          <w:sz w:val="22"/>
          <w:szCs w:val="22"/>
        </w:rPr>
        <w:t>of 85.8±0.07</w:t>
      </w:r>
      <w:r w:rsidR="00D7573A" w:rsidRPr="00494C7A">
        <w:rPr>
          <w:rFonts w:ascii="Times New Roman" w:hAnsi="Times New Roman" w:cs="Times New Roman"/>
          <w:color w:val="000000"/>
          <w:sz w:val="22"/>
          <w:szCs w:val="22"/>
        </w:rPr>
        <w:t>k</w:t>
      </w:r>
      <w:r w:rsidRPr="00494C7A">
        <w:rPr>
          <w:rFonts w:ascii="Times New Roman" w:hAnsi="Times New Roman" w:cs="Times New Roman"/>
          <w:color w:val="000000"/>
          <w:sz w:val="22"/>
          <w:szCs w:val="22"/>
        </w:rPr>
        <w:t>g</w:t>
      </w:r>
      <w:r w:rsidR="00BA425B" w:rsidRPr="00494C7A">
        <w:rPr>
          <w:rFonts w:ascii="Times New Roman" w:hAnsi="Times New Roman" w:cs="Times New Roman"/>
          <w:color w:val="000000"/>
          <w:sz w:val="22"/>
          <w:szCs w:val="22"/>
        </w:rPr>
        <w:t xml:space="preserve"> compared to the 76.00±011</w:t>
      </w:r>
      <w:r w:rsidR="00D7573A" w:rsidRPr="00494C7A">
        <w:rPr>
          <w:rFonts w:ascii="Times New Roman" w:hAnsi="Times New Roman" w:cs="Times New Roman"/>
          <w:color w:val="000000"/>
          <w:sz w:val="22"/>
          <w:szCs w:val="22"/>
        </w:rPr>
        <w:t xml:space="preserve">kg </w:t>
      </w:r>
      <w:r w:rsidRPr="00494C7A">
        <w:rPr>
          <w:rFonts w:ascii="Times New Roman" w:hAnsi="Times New Roman" w:cs="Times New Roman"/>
          <w:color w:val="000000"/>
          <w:sz w:val="22"/>
          <w:szCs w:val="22"/>
        </w:rPr>
        <w:t>consumed by CD</w:t>
      </w:r>
      <w:r w:rsidR="00D7573A" w:rsidRPr="00494C7A">
        <w:rPr>
          <w:rFonts w:ascii="Times New Roman" w:hAnsi="Times New Roman" w:cs="Times New Roman"/>
          <w:color w:val="000000"/>
          <w:sz w:val="22"/>
          <w:szCs w:val="22"/>
        </w:rPr>
        <w:t xml:space="preserve"> (p&lt;0.05).</w:t>
      </w:r>
      <w:r w:rsidRPr="00494C7A">
        <w:rPr>
          <w:rFonts w:ascii="Times New Roman" w:hAnsi="Times New Roman" w:cs="Times New Roman"/>
          <w:color w:val="000000"/>
          <w:sz w:val="22"/>
          <w:szCs w:val="22"/>
        </w:rPr>
        <w:t xml:space="preserve"> </w:t>
      </w:r>
    </w:p>
    <w:p w14:paraId="7AB84F67" w14:textId="77777777" w:rsidR="00AF7721" w:rsidRPr="001707F9"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lastRenderedPageBreak/>
        <w:t>Table No.2 Feed intake (</w:t>
      </w:r>
      <w:r w:rsidR="00D7573A" w:rsidRPr="00494C7A">
        <w:rPr>
          <w:rFonts w:ascii="Times New Roman" w:hAnsi="Times New Roman" w:cs="Times New Roman"/>
          <w:b/>
          <w:bCs/>
          <w:color w:val="000000"/>
          <w:sz w:val="22"/>
          <w:szCs w:val="22"/>
        </w:rPr>
        <w:t>k</w:t>
      </w:r>
      <w:r w:rsidRPr="00494C7A">
        <w:rPr>
          <w:rFonts w:ascii="Times New Roman" w:hAnsi="Times New Roman" w:cs="Times New Roman"/>
          <w:b/>
          <w:bCs/>
          <w:color w:val="000000"/>
          <w:sz w:val="22"/>
          <w:szCs w:val="22"/>
        </w:rPr>
        <w:t>g) of CARI Debendra and CARI Nirbheek birds from week 1 to 20 weeks of age.</w:t>
      </w:r>
    </w:p>
    <w:tbl>
      <w:tblPr>
        <w:tblStyle w:val="TableGrid"/>
        <w:tblW w:w="0" w:type="auto"/>
        <w:tblLook w:val="04A0" w:firstRow="1" w:lastRow="0" w:firstColumn="1" w:lastColumn="0" w:noHBand="0" w:noVBand="1"/>
      </w:tblPr>
      <w:tblGrid>
        <w:gridCol w:w="1570"/>
        <w:gridCol w:w="2169"/>
        <w:gridCol w:w="2028"/>
        <w:gridCol w:w="1207"/>
        <w:gridCol w:w="1548"/>
      </w:tblGrid>
      <w:tr w:rsidR="00AF7721" w:rsidRPr="00494C7A" w14:paraId="51025713" w14:textId="77777777">
        <w:trPr>
          <w:trHeight w:val="557"/>
        </w:trPr>
        <w:tc>
          <w:tcPr>
            <w:tcW w:w="1570" w:type="dxa"/>
          </w:tcPr>
          <w:p w14:paraId="0BCB0FBE"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Weeks</w:t>
            </w:r>
          </w:p>
        </w:tc>
        <w:tc>
          <w:tcPr>
            <w:tcW w:w="2169" w:type="dxa"/>
          </w:tcPr>
          <w:p w14:paraId="0827A01A" w14:textId="77777777" w:rsidR="00AF7721" w:rsidRPr="00494C7A" w:rsidRDefault="00046F22">
            <w:pPr>
              <w:widowControl/>
              <w:ind w:firstLineChars="50" w:firstLine="110"/>
              <w:jc w:val="left"/>
              <w:rPr>
                <w:rFonts w:ascii="Times New Roman" w:eastAsia="SimSun" w:hAnsi="Times New Roman" w:cs="Times New Roman"/>
                <w:color w:val="000000"/>
                <w:sz w:val="22"/>
                <w:szCs w:val="22"/>
              </w:rPr>
            </w:pPr>
            <w:r w:rsidRPr="00494C7A">
              <w:rPr>
                <w:rFonts w:ascii="Times New Roman" w:eastAsia="SimSun" w:hAnsi="Times New Roman" w:cs="Times New Roman"/>
                <w:color w:val="000000"/>
                <w:sz w:val="22"/>
                <w:szCs w:val="22"/>
              </w:rPr>
              <w:t>CD</w:t>
            </w:r>
          </w:p>
          <w:p w14:paraId="7335C222"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eastAsia="SimSun" w:hAnsi="Times New Roman" w:cs="Times New Roman"/>
                <w:color w:val="000000"/>
                <w:sz w:val="22"/>
                <w:szCs w:val="22"/>
              </w:rPr>
              <w:t>Mean</w:t>
            </w:r>
            <w:r w:rsidRPr="00494C7A">
              <w:rPr>
                <w:rFonts w:ascii="Times New Roman" w:hAnsi="Times New Roman" w:cs="Times New Roman"/>
                <w:color w:val="000000"/>
                <w:sz w:val="22"/>
                <w:szCs w:val="22"/>
              </w:rPr>
              <w:t>±</w:t>
            </w:r>
            <w:r w:rsidRPr="00494C7A">
              <w:rPr>
                <w:rFonts w:ascii="Times New Roman" w:eastAsia="SimSun" w:hAnsi="Times New Roman" w:cs="Times New Roman"/>
                <w:color w:val="000000"/>
                <w:sz w:val="22"/>
                <w:szCs w:val="22"/>
              </w:rPr>
              <w:t xml:space="preserve"> SE</w:t>
            </w:r>
          </w:p>
        </w:tc>
        <w:tc>
          <w:tcPr>
            <w:tcW w:w="2028" w:type="dxa"/>
          </w:tcPr>
          <w:p w14:paraId="7065977F" w14:textId="77777777" w:rsidR="00AF7721" w:rsidRPr="00494C7A" w:rsidRDefault="00046F22">
            <w:pPr>
              <w:widowControl/>
              <w:ind w:firstLineChars="50" w:firstLine="110"/>
              <w:jc w:val="left"/>
              <w:rPr>
                <w:rFonts w:ascii="Times New Roman" w:eastAsia="SimSun" w:hAnsi="Times New Roman" w:cs="Times New Roman"/>
                <w:color w:val="000000"/>
                <w:sz w:val="22"/>
                <w:szCs w:val="22"/>
              </w:rPr>
            </w:pPr>
            <w:r w:rsidRPr="00494C7A">
              <w:rPr>
                <w:rFonts w:ascii="Times New Roman" w:eastAsia="SimSun" w:hAnsi="Times New Roman" w:cs="Times New Roman"/>
                <w:color w:val="000000"/>
                <w:sz w:val="22"/>
                <w:szCs w:val="22"/>
              </w:rPr>
              <w:t>CN</w:t>
            </w:r>
          </w:p>
          <w:p w14:paraId="0471DACD"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eastAsia="SimSun" w:hAnsi="Times New Roman" w:cs="Times New Roman"/>
                <w:color w:val="000000"/>
                <w:sz w:val="22"/>
                <w:szCs w:val="22"/>
              </w:rPr>
              <w:t>Mean</w:t>
            </w:r>
            <w:r w:rsidRPr="00494C7A">
              <w:rPr>
                <w:rFonts w:ascii="Times New Roman" w:hAnsi="Times New Roman" w:cs="Times New Roman"/>
                <w:color w:val="000000"/>
                <w:sz w:val="22"/>
                <w:szCs w:val="22"/>
              </w:rPr>
              <w:t>±</w:t>
            </w:r>
            <w:r w:rsidRPr="00494C7A">
              <w:rPr>
                <w:rFonts w:ascii="Times New Roman" w:eastAsia="SimSun" w:hAnsi="Times New Roman" w:cs="Times New Roman"/>
                <w:color w:val="000000"/>
                <w:sz w:val="22"/>
                <w:szCs w:val="22"/>
              </w:rPr>
              <w:t xml:space="preserve"> SE</w:t>
            </w:r>
          </w:p>
        </w:tc>
        <w:tc>
          <w:tcPr>
            <w:tcW w:w="1207" w:type="dxa"/>
          </w:tcPr>
          <w:p w14:paraId="1EE3A119"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t</w:t>
            </w:r>
            <w:r w:rsidR="0036170A" w:rsidRPr="00494C7A">
              <w:rPr>
                <w:rFonts w:ascii="Times New Roman" w:hAnsi="Times New Roman" w:cs="Times New Roman"/>
                <w:sz w:val="22"/>
                <w:szCs w:val="22"/>
              </w:rPr>
              <w:t>-value</w:t>
            </w:r>
          </w:p>
        </w:tc>
        <w:tc>
          <w:tcPr>
            <w:tcW w:w="1548" w:type="dxa"/>
          </w:tcPr>
          <w:p w14:paraId="1DA7FF85"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p-value</w:t>
            </w:r>
          </w:p>
        </w:tc>
      </w:tr>
      <w:tr w:rsidR="002C6A20" w:rsidRPr="00494C7A" w14:paraId="41A0F212" w14:textId="77777777">
        <w:tc>
          <w:tcPr>
            <w:tcW w:w="1570" w:type="dxa"/>
          </w:tcPr>
          <w:p w14:paraId="61D351DC"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w:t>
            </w:r>
            <w:r w:rsidRPr="00494C7A">
              <w:rPr>
                <w:rFonts w:ascii="Times New Roman" w:hAnsi="Times New Roman" w:cs="Times New Roman"/>
                <w:color w:val="000000"/>
                <w:sz w:val="22"/>
                <w:szCs w:val="22"/>
                <w:vertAlign w:val="superscript"/>
              </w:rPr>
              <w:t>st</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2169" w:type="dxa"/>
          </w:tcPr>
          <w:p w14:paraId="02F85C96" w14:textId="77777777" w:rsidR="002C6A20" w:rsidRPr="00494C7A" w:rsidRDefault="00170D43">
            <w:pPr>
              <w:rPr>
                <w:rFonts w:ascii="Times New Roman" w:hAnsi="Times New Roman" w:cs="Times New Roman"/>
                <w:sz w:val="22"/>
                <w:szCs w:val="22"/>
              </w:rPr>
            </w:pPr>
            <w:r w:rsidRPr="00494C7A">
              <w:rPr>
                <w:rFonts w:ascii="Times New Roman" w:hAnsi="Times New Roman" w:cs="Times New Roman"/>
                <w:color w:val="000000"/>
                <w:sz w:val="22"/>
                <w:szCs w:val="22"/>
              </w:rPr>
              <w:t>4.32</w:t>
            </w:r>
            <w:r w:rsidR="002C6A20" w:rsidRPr="00494C7A">
              <w:rPr>
                <w:rFonts w:ascii="Times New Roman" w:hAnsi="Times New Roman" w:cs="Times New Roman"/>
                <w:color w:val="000000"/>
                <w:sz w:val="22"/>
                <w:szCs w:val="22"/>
              </w:rPr>
              <w:t>±</w:t>
            </w:r>
            <w:r w:rsidRPr="00494C7A">
              <w:rPr>
                <w:rFonts w:ascii="Times New Roman" w:hAnsi="Times New Roman" w:cs="Times New Roman"/>
                <w:color w:val="000000"/>
                <w:sz w:val="22"/>
                <w:szCs w:val="22"/>
              </w:rPr>
              <w:t>0.01</w:t>
            </w:r>
          </w:p>
        </w:tc>
        <w:tc>
          <w:tcPr>
            <w:tcW w:w="2028" w:type="dxa"/>
          </w:tcPr>
          <w:p w14:paraId="0D049D0B" w14:textId="77777777" w:rsidR="002C6A20" w:rsidRPr="00494C7A" w:rsidRDefault="00170D43">
            <w:pPr>
              <w:rPr>
                <w:rFonts w:ascii="Times New Roman" w:hAnsi="Times New Roman" w:cs="Times New Roman"/>
                <w:sz w:val="22"/>
                <w:szCs w:val="22"/>
              </w:rPr>
            </w:pPr>
            <w:r w:rsidRPr="00494C7A">
              <w:rPr>
                <w:rFonts w:ascii="Times New Roman" w:hAnsi="Times New Roman" w:cs="Times New Roman"/>
                <w:sz w:val="22"/>
                <w:szCs w:val="22"/>
              </w:rPr>
              <w:t>5.39</w:t>
            </w:r>
            <w:r w:rsidR="002C6A20" w:rsidRPr="00494C7A">
              <w:rPr>
                <w:rFonts w:ascii="Times New Roman" w:hAnsi="Times New Roman" w:cs="Times New Roman"/>
                <w:color w:val="000000"/>
                <w:sz w:val="22"/>
                <w:szCs w:val="22"/>
              </w:rPr>
              <w:t>±</w:t>
            </w:r>
            <w:r w:rsidRPr="00494C7A">
              <w:rPr>
                <w:rFonts w:ascii="Times New Roman" w:hAnsi="Times New Roman" w:cs="Times New Roman"/>
                <w:color w:val="000000"/>
                <w:sz w:val="22"/>
                <w:szCs w:val="22"/>
              </w:rPr>
              <w:t>0.13</w:t>
            </w:r>
            <w:r w:rsidR="00D7573A" w:rsidRPr="00494C7A">
              <w:rPr>
                <w:rFonts w:ascii="Times New Roman" w:hAnsi="Times New Roman" w:cs="Times New Roman"/>
                <w:color w:val="000000"/>
                <w:sz w:val="22"/>
                <w:szCs w:val="22"/>
              </w:rPr>
              <w:t>*</w:t>
            </w:r>
          </w:p>
        </w:tc>
        <w:tc>
          <w:tcPr>
            <w:tcW w:w="1207" w:type="dxa"/>
          </w:tcPr>
          <w:p w14:paraId="05096B78"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-8.</w:t>
            </w:r>
            <w:r w:rsidR="00377CFB" w:rsidRPr="00494C7A">
              <w:rPr>
                <w:rFonts w:ascii="Times New Roman" w:hAnsi="Times New Roman" w:cs="Times New Roman"/>
                <w:sz w:val="22"/>
                <w:szCs w:val="22"/>
              </w:rPr>
              <w:t>21</w:t>
            </w:r>
          </w:p>
        </w:tc>
        <w:tc>
          <w:tcPr>
            <w:tcW w:w="1548" w:type="dxa"/>
          </w:tcPr>
          <w:p w14:paraId="556C951A"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0.001</w:t>
            </w:r>
          </w:p>
        </w:tc>
      </w:tr>
      <w:tr w:rsidR="002C6A20" w:rsidRPr="00494C7A" w14:paraId="061BB468" w14:textId="77777777">
        <w:trPr>
          <w:trHeight w:val="442"/>
        </w:trPr>
        <w:tc>
          <w:tcPr>
            <w:tcW w:w="1570" w:type="dxa"/>
          </w:tcPr>
          <w:p w14:paraId="56737780"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w:t>
            </w:r>
            <w:r w:rsidRPr="00494C7A">
              <w:rPr>
                <w:rFonts w:ascii="Times New Roman" w:hAnsi="Times New Roman" w:cs="Times New Roman"/>
                <w:color w:val="000000"/>
                <w:sz w:val="22"/>
                <w:szCs w:val="22"/>
                <w:vertAlign w:val="superscript"/>
              </w:rPr>
              <w:t>nd</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2169" w:type="dxa"/>
          </w:tcPr>
          <w:p w14:paraId="26BC56F9" w14:textId="77777777" w:rsidR="002C6A20" w:rsidRPr="00494C7A" w:rsidRDefault="00170D43" w:rsidP="00170D43">
            <w:pPr>
              <w:rPr>
                <w:rFonts w:ascii="Times New Roman" w:hAnsi="Times New Roman" w:cs="Times New Roman"/>
                <w:sz w:val="22"/>
                <w:szCs w:val="22"/>
              </w:rPr>
            </w:pPr>
            <w:r w:rsidRPr="00494C7A">
              <w:rPr>
                <w:rFonts w:ascii="Times New Roman" w:hAnsi="Times New Roman" w:cs="Times New Roman"/>
                <w:color w:val="000000"/>
                <w:sz w:val="22"/>
                <w:szCs w:val="22"/>
              </w:rPr>
              <w:t>6.85</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0.03</w:t>
            </w:r>
          </w:p>
        </w:tc>
        <w:tc>
          <w:tcPr>
            <w:tcW w:w="2028" w:type="dxa"/>
          </w:tcPr>
          <w:p w14:paraId="22615065"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8</w:t>
            </w:r>
            <w:r w:rsidR="00170D43" w:rsidRPr="00494C7A">
              <w:rPr>
                <w:rFonts w:ascii="Times New Roman" w:hAnsi="Times New Roman" w:cs="Times New Roman"/>
                <w:sz w:val="22"/>
                <w:szCs w:val="22"/>
              </w:rPr>
              <w:t>.</w:t>
            </w:r>
            <w:r w:rsidRPr="00494C7A">
              <w:rPr>
                <w:rFonts w:ascii="Times New Roman" w:hAnsi="Times New Roman" w:cs="Times New Roman"/>
                <w:sz w:val="22"/>
                <w:szCs w:val="22"/>
              </w:rPr>
              <w:t>8</w:t>
            </w:r>
            <w:r w:rsidR="00170D43" w:rsidRPr="00494C7A">
              <w:rPr>
                <w:rFonts w:ascii="Times New Roman" w:hAnsi="Times New Roman" w:cs="Times New Roman"/>
                <w:sz w:val="22"/>
                <w:szCs w:val="22"/>
              </w:rPr>
              <w:t>4</w:t>
            </w:r>
            <w:r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0.30</w:t>
            </w:r>
            <w:r w:rsidR="00D7573A" w:rsidRPr="00494C7A">
              <w:rPr>
                <w:rFonts w:ascii="Times New Roman" w:hAnsi="Times New Roman" w:cs="Times New Roman"/>
                <w:color w:val="000000"/>
                <w:sz w:val="22"/>
                <w:szCs w:val="22"/>
              </w:rPr>
              <w:t>*</w:t>
            </w:r>
          </w:p>
        </w:tc>
        <w:tc>
          <w:tcPr>
            <w:tcW w:w="1207" w:type="dxa"/>
          </w:tcPr>
          <w:p w14:paraId="0A56068A"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-6.6</w:t>
            </w:r>
            <w:r w:rsidR="00377CFB" w:rsidRPr="00494C7A">
              <w:rPr>
                <w:rFonts w:ascii="Times New Roman" w:hAnsi="Times New Roman" w:cs="Times New Roman"/>
                <w:sz w:val="22"/>
                <w:szCs w:val="22"/>
              </w:rPr>
              <w:t>0</w:t>
            </w:r>
          </w:p>
        </w:tc>
        <w:tc>
          <w:tcPr>
            <w:tcW w:w="1548" w:type="dxa"/>
          </w:tcPr>
          <w:p w14:paraId="2145996D"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0.003</w:t>
            </w:r>
          </w:p>
        </w:tc>
      </w:tr>
      <w:tr w:rsidR="002C6A20" w:rsidRPr="00494C7A" w14:paraId="4247E655" w14:textId="77777777">
        <w:tc>
          <w:tcPr>
            <w:tcW w:w="1570" w:type="dxa"/>
          </w:tcPr>
          <w:p w14:paraId="6FE4AA08"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3</w:t>
            </w:r>
            <w:r w:rsidRPr="00494C7A">
              <w:rPr>
                <w:rFonts w:ascii="Times New Roman" w:hAnsi="Times New Roman" w:cs="Times New Roman"/>
                <w:color w:val="000000"/>
                <w:sz w:val="22"/>
                <w:szCs w:val="22"/>
                <w:vertAlign w:val="superscript"/>
              </w:rPr>
              <w:t>rd</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2169" w:type="dxa"/>
          </w:tcPr>
          <w:p w14:paraId="325BF436" w14:textId="77777777" w:rsidR="002C6A20" w:rsidRPr="00494C7A" w:rsidRDefault="00170D43">
            <w:pPr>
              <w:rPr>
                <w:rFonts w:ascii="Times New Roman" w:hAnsi="Times New Roman" w:cs="Times New Roman"/>
                <w:sz w:val="22"/>
                <w:szCs w:val="22"/>
              </w:rPr>
            </w:pPr>
            <w:r w:rsidRPr="00494C7A">
              <w:rPr>
                <w:rFonts w:ascii="Times New Roman" w:hAnsi="Times New Roman" w:cs="Times New Roman"/>
                <w:color w:val="000000"/>
                <w:sz w:val="22"/>
                <w:szCs w:val="22"/>
              </w:rPr>
              <w:t>9.11</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0.06</w:t>
            </w:r>
          </w:p>
        </w:tc>
        <w:tc>
          <w:tcPr>
            <w:tcW w:w="2028" w:type="dxa"/>
          </w:tcPr>
          <w:p w14:paraId="0CB48679"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w:t>
            </w:r>
            <w:r w:rsidR="00377CFB" w:rsidRPr="00494C7A">
              <w:rPr>
                <w:rFonts w:ascii="Times New Roman" w:hAnsi="Times New Roman" w:cs="Times New Roman"/>
                <w:sz w:val="22"/>
                <w:szCs w:val="22"/>
              </w:rPr>
              <w:t>2.</w:t>
            </w:r>
            <w:r w:rsidR="00170D43" w:rsidRPr="00494C7A">
              <w:rPr>
                <w:rFonts w:ascii="Times New Roman" w:hAnsi="Times New Roman" w:cs="Times New Roman"/>
                <w:sz w:val="22"/>
                <w:szCs w:val="22"/>
              </w:rPr>
              <w:t>3</w:t>
            </w:r>
            <w:r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0.02</w:t>
            </w:r>
            <w:r w:rsidR="00D7573A" w:rsidRPr="00494C7A">
              <w:rPr>
                <w:rFonts w:ascii="Times New Roman" w:hAnsi="Times New Roman" w:cs="Times New Roman"/>
                <w:color w:val="000000"/>
                <w:sz w:val="22"/>
                <w:szCs w:val="22"/>
              </w:rPr>
              <w:t>*</w:t>
            </w:r>
          </w:p>
        </w:tc>
        <w:tc>
          <w:tcPr>
            <w:tcW w:w="1207" w:type="dxa"/>
          </w:tcPr>
          <w:p w14:paraId="0497950B"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w:t>
            </w:r>
            <w:r w:rsidR="00377CFB" w:rsidRPr="00494C7A">
              <w:rPr>
                <w:rFonts w:ascii="Times New Roman" w:hAnsi="Times New Roman" w:cs="Times New Roman"/>
                <w:sz w:val="22"/>
                <w:szCs w:val="22"/>
              </w:rPr>
              <w:t>50.44</w:t>
            </w:r>
          </w:p>
        </w:tc>
        <w:tc>
          <w:tcPr>
            <w:tcW w:w="1548" w:type="dxa"/>
          </w:tcPr>
          <w:p w14:paraId="463D8C9B"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&lt;0.001</w:t>
            </w:r>
          </w:p>
        </w:tc>
      </w:tr>
      <w:tr w:rsidR="002C6A20" w:rsidRPr="00494C7A" w14:paraId="165E719E" w14:textId="77777777">
        <w:tc>
          <w:tcPr>
            <w:tcW w:w="1570" w:type="dxa"/>
          </w:tcPr>
          <w:p w14:paraId="5B5C246B"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4</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2169" w:type="dxa"/>
          </w:tcPr>
          <w:p w14:paraId="78EDF908"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w:t>
            </w:r>
            <w:r w:rsidR="00377CFB" w:rsidRPr="00494C7A">
              <w:rPr>
                <w:rFonts w:ascii="Times New Roman" w:hAnsi="Times New Roman" w:cs="Times New Roman"/>
                <w:sz w:val="22"/>
                <w:szCs w:val="22"/>
              </w:rPr>
              <w:t>2.6</w:t>
            </w:r>
            <w:r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0.01</w:t>
            </w:r>
          </w:p>
        </w:tc>
        <w:tc>
          <w:tcPr>
            <w:tcW w:w="2028" w:type="dxa"/>
          </w:tcPr>
          <w:p w14:paraId="5C7791C7" w14:textId="77777777" w:rsidR="002C6A20" w:rsidRPr="00494C7A" w:rsidRDefault="002C6A20" w:rsidP="004D4145">
            <w:pPr>
              <w:rPr>
                <w:rFonts w:ascii="Times New Roman" w:hAnsi="Times New Roman" w:cs="Times New Roman"/>
                <w:sz w:val="22"/>
                <w:szCs w:val="22"/>
              </w:rPr>
            </w:pPr>
            <w:r w:rsidRPr="00494C7A">
              <w:rPr>
                <w:rFonts w:ascii="Times New Roman" w:hAnsi="Times New Roman" w:cs="Times New Roman"/>
                <w:sz w:val="22"/>
                <w:szCs w:val="22"/>
              </w:rPr>
              <w:t>1</w:t>
            </w:r>
            <w:r w:rsidR="00377CFB" w:rsidRPr="00494C7A">
              <w:rPr>
                <w:rFonts w:ascii="Times New Roman" w:hAnsi="Times New Roman" w:cs="Times New Roman"/>
                <w:sz w:val="22"/>
                <w:szCs w:val="22"/>
              </w:rPr>
              <w:t>5.4</w:t>
            </w:r>
            <w:r w:rsidR="004D4145" w:rsidRPr="00494C7A">
              <w:rPr>
                <w:rFonts w:ascii="Times New Roman" w:hAnsi="Times New Roman" w:cs="Times New Roman"/>
                <w:color w:val="000000"/>
                <w:sz w:val="22"/>
                <w:szCs w:val="22"/>
              </w:rPr>
              <w:t>±0.18</w:t>
            </w:r>
            <w:r w:rsidR="00D7573A" w:rsidRPr="00494C7A">
              <w:rPr>
                <w:rFonts w:ascii="Times New Roman" w:hAnsi="Times New Roman" w:cs="Times New Roman"/>
                <w:color w:val="000000"/>
                <w:sz w:val="22"/>
                <w:szCs w:val="22"/>
              </w:rPr>
              <w:t>*</w:t>
            </w:r>
          </w:p>
        </w:tc>
        <w:tc>
          <w:tcPr>
            <w:tcW w:w="1207" w:type="dxa"/>
          </w:tcPr>
          <w:p w14:paraId="72207274"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w:t>
            </w:r>
            <w:r w:rsidR="00377CFB" w:rsidRPr="00494C7A">
              <w:rPr>
                <w:rFonts w:ascii="Times New Roman" w:hAnsi="Times New Roman" w:cs="Times New Roman"/>
                <w:sz w:val="22"/>
                <w:szCs w:val="22"/>
              </w:rPr>
              <w:t>5.53</w:t>
            </w:r>
          </w:p>
        </w:tc>
        <w:tc>
          <w:tcPr>
            <w:tcW w:w="1548" w:type="dxa"/>
          </w:tcPr>
          <w:p w14:paraId="61D3D34F" w14:textId="77777777" w:rsidR="002C6A20" w:rsidRPr="00494C7A" w:rsidRDefault="00D37776">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 xml:space="preserve"> </w:t>
            </w:r>
            <w:r w:rsidR="00BA425B" w:rsidRPr="00494C7A">
              <w:rPr>
                <w:rFonts w:ascii="Times New Roman" w:hAnsi="Times New Roman" w:cs="Times New Roman"/>
                <w:sz w:val="22"/>
                <w:szCs w:val="22"/>
              </w:rPr>
              <w:t>&lt;</w:t>
            </w:r>
            <w:r w:rsidR="002C6A20" w:rsidRPr="00494C7A">
              <w:rPr>
                <w:rFonts w:ascii="Times New Roman" w:hAnsi="Times New Roman" w:cs="Times New Roman"/>
                <w:sz w:val="22"/>
                <w:szCs w:val="22"/>
              </w:rPr>
              <w:t>0.</w:t>
            </w:r>
            <w:r w:rsidR="00BA425B" w:rsidRPr="00494C7A">
              <w:rPr>
                <w:rFonts w:ascii="Times New Roman" w:hAnsi="Times New Roman" w:cs="Times New Roman"/>
                <w:sz w:val="22"/>
                <w:szCs w:val="22"/>
              </w:rPr>
              <w:t>001</w:t>
            </w:r>
          </w:p>
        </w:tc>
      </w:tr>
      <w:tr w:rsidR="002C6A20" w:rsidRPr="00494C7A" w14:paraId="4510EA79" w14:textId="77777777">
        <w:tc>
          <w:tcPr>
            <w:tcW w:w="1570" w:type="dxa"/>
          </w:tcPr>
          <w:p w14:paraId="40396DCD"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5</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2169" w:type="dxa"/>
          </w:tcPr>
          <w:p w14:paraId="76361C2C"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17.71</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0.01</w:t>
            </w:r>
          </w:p>
        </w:tc>
        <w:tc>
          <w:tcPr>
            <w:tcW w:w="2028" w:type="dxa"/>
          </w:tcPr>
          <w:p w14:paraId="14E3C7DC"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2</w:t>
            </w:r>
            <w:r w:rsidR="00377CFB" w:rsidRPr="00494C7A">
              <w:rPr>
                <w:rFonts w:ascii="Times New Roman" w:hAnsi="Times New Roman" w:cs="Times New Roman"/>
                <w:sz w:val="22"/>
                <w:szCs w:val="22"/>
              </w:rPr>
              <w:t>2.52</w:t>
            </w:r>
            <w:r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0.10</w:t>
            </w:r>
            <w:r w:rsidR="00D7573A" w:rsidRPr="00494C7A">
              <w:rPr>
                <w:rFonts w:ascii="Times New Roman" w:hAnsi="Times New Roman" w:cs="Times New Roman"/>
                <w:color w:val="000000"/>
                <w:sz w:val="22"/>
                <w:szCs w:val="22"/>
              </w:rPr>
              <w:t>*</w:t>
            </w:r>
          </w:p>
        </w:tc>
        <w:tc>
          <w:tcPr>
            <w:tcW w:w="1207" w:type="dxa"/>
          </w:tcPr>
          <w:p w14:paraId="017710C7"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-4</w:t>
            </w:r>
            <w:r w:rsidR="00377CFB" w:rsidRPr="00494C7A">
              <w:rPr>
                <w:rFonts w:ascii="Times New Roman" w:hAnsi="Times New Roman" w:cs="Times New Roman"/>
                <w:sz w:val="22"/>
                <w:szCs w:val="22"/>
              </w:rPr>
              <w:t>7.86</w:t>
            </w:r>
          </w:p>
        </w:tc>
        <w:tc>
          <w:tcPr>
            <w:tcW w:w="1548" w:type="dxa"/>
          </w:tcPr>
          <w:p w14:paraId="4FCB4B34" w14:textId="77777777" w:rsidR="002C6A20" w:rsidRPr="00494C7A" w:rsidRDefault="00D37776">
            <w:pPr>
              <w:rPr>
                <w:rFonts w:ascii="Times New Roman" w:hAnsi="Times New Roman" w:cs="Times New Roman"/>
                <w:sz w:val="22"/>
                <w:szCs w:val="22"/>
              </w:rPr>
            </w:pPr>
            <w:r w:rsidRPr="00494C7A">
              <w:rPr>
                <w:rFonts w:ascii="Times New Roman" w:hAnsi="Times New Roman" w:cs="Times New Roman"/>
                <w:sz w:val="22"/>
                <w:szCs w:val="22"/>
              </w:rPr>
              <w:t xml:space="preserve"> </w:t>
            </w:r>
            <w:r w:rsidR="00353555" w:rsidRPr="00494C7A">
              <w:rPr>
                <w:rFonts w:ascii="Times New Roman" w:hAnsi="Times New Roman" w:cs="Times New Roman"/>
                <w:sz w:val="22"/>
                <w:szCs w:val="22"/>
              </w:rPr>
              <w:t>&lt;0.001</w:t>
            </w:r>
          </w:p>
        </w:tc>
      </w:tr>
      <w:tr w:rsidR="002C6A20" w:rsidRPr="00494C7A" w14:paraId="0211C02C" w14:textId="77777777">
        <w:tc>
          <w:tcPr>
            <w:tcW w:w="1570" w:type="dxa"/>
          </w:tcPr>
          <w:p w14:paraId="35000E6E"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6</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2169" w:type="dxa"/>
          </w:tcPr>
          <w:p w14:paraId="5E367012" w14:textId="77777777" w:rsidR="002C6A20" w:rsidRPr="00494C7A" w:rsidRDefault="00377CFB">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color w:val="000000"/>
                <w:sz w:val="22"/>
                <w:szCs w:val="22"/>
              </w:rPr>
              <w:t>23.3</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0.03</w:t>
            </w:r>
          </w:p>
        </w:tc>
        <w:tc>
          <w:tcPr>
            <w:tcW w:w="2028" w:type="dxa"/>
          </w:tcPr>
          <w:p w14:paraId="697641C5"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27.9</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0.10</w:t>
            </w:r>
            <w:r w:rsidR="00D7573A" w:rsidRPr="00494C7A">
              <w:rPr>
                <w:rFonts w:ascii="Times New Roman" w:hAnsi="Times New Roman" w:cs="Times New Roman"/>
                <w:color w:val="000000"/>
                <w:sz w:val="22"/>
                <w:szCs w:val="22"/>
              </w:rPr>
              <w:t>*</w:t>
            </w:r>
          </w:p>
        </w:tc>
        <w:tc>
          <w:tcPr>
            <w:tcW w:w="1207" w:type="dxa"/>
          </w:tcPr>
          <w:p w14:paraId="78C61D98"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-4</w:t>
            </w:r>
            <w:r w:rsidR="00377CFB" w:rsidRPr="00494C7A">
              <w:rPr>
                <w:rFonts w:ascii="Times New Roman" w:hAnsi="Times New Roman" w:cs="Times New Roman"/>
                <w:sz w:val="22"/>
                <w:szCs w:val="22"/>
              </w:rPr>
              <w:t>4.06</w:t>
            </w:r>
          </w:p>
        </w:tc>
        <w:tc>
          <w:tcPr>
            <w:tcW w:w="1548" w:type="dxa"/>
          </w:tcPr>
          <w:p w14:paraId="636A5A29" w14:textId="77777777" w:rsidR="002C6A20" w:rsidRPr="00494C7A" w:rsidRDefault="00D37776">
            <w:pPr>
              <w:rPr>
                <w:rFonts w:ascii="Times New Roman" w:hAnsi="Times New Roman" w:cs="Times New Roman"/>
                <w:sz w:val="22"/>
                <w:szCs w:val="22"/>
              </w:rPr>
            </w:pPr>
            <w:r w:rsidRPr="00494C7A">
              <w:rPr>
                <w:rFonts w:ascii="Times New Roman" w:hAnsi="Times New Roman" w:cs="Times New Roman"/>
                <w:sz w:val="22"/>
                <w:szCs w:val="22"/>
              </w:rPr>
              <w:t xml:space="preserve"> </w:t>
            </w:r>
            <w:r w:rsidR="00353555" w:rsidRPr="00494C7A">
              <w:rPr>
                <w:rFonts w:ascii="Times New Roman" w:hAnsi="Times New Roman" w:cs="Times New Roman"/>
                <w:sz w:val="22"/>
                <w:szCs w:val="22"/>
              </w:rPr>
              <w:t>&lt;0.001</w:t>
            </w:r>
          </w:p>
        </w:tc>
      </w:tr>
      <w:tr w:rsidR="002C6A20" w:rsidRPr="00494C7A" w14:paraId="6008D8AC" w14:textId="77777777">
        <w:tc>
          <w:tcPr>
            <w:tcW w:w="1570" w:type="dxa"/>
          </w:tcPr>
          <w:p w14:paraId="7E061353"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8</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2169" w:type="dxa"/>
          </w:tcPr>
          <w:p w14:paraId="4A2051F6" w14:textId="77777777" w:rsidR="002C6A20" w:rsidRPr="00494C7A" w:rsidRDefault="00377CFB">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color w:val="000000"/>
                <w:sz w:val="22"/>
                <w:szCs w:val="22"/>
              </w:rPr>
              <w:t>52.41</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0.05</w:t>
            </w:r>
            <w:r w:rsidR="00D7573A" w:rsidRPr="00494C7A">
              <w:rPr>
                <w:rFonts w:ascii="Times New Roman" w:hAnsi="Times New Roman" w:cs="Times New Roman"/>
                <w:color w:val="000000"/>
                <w:sz w:val="22"/>
                <w:szCs w:val="22"/>
              </w:rPr>
              <w:t>*</w:t>
            </w:r>
          </w:p>
        </w:tc>
        <w:tc>
          <w:tcPr>
            <w:tcW w:w="2028" w:type="dxa"/>
          </w:tcPr>
          <w:p w14:paraId="54F5300B"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44.70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0.18</w:t>
            </w:r>
          </w:p>
        </w:tc>
        <w:tc>
          <w:tcPr>
            <w:tcW w:w="1207" w:type="dxa"/>
          </w:tcPr>
          <w:p w14:paraId="5D41027E"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4</w:t>
            </w:r>
            <w:r w:rsidR="0036170A" w:rsidRPr="00494C7A">
              <w:rPr>
                <w:rFonts w:ascii="Times New Roman" w:hAnsi="Times New Roman" w:cs="Times New Roman"/>
                <w:sz w:val="22"/>
                <w:szCs w:val="22"/>
              </w:rPr>
              <w:t>1.27</w:t>
            </w:r>
          </w:p>
        </w:tc>
        <w:tc>
          <w:tcPr>
            <w:tcW w:w="1548" w:type="dxa"/>
          </w:tcPr>
          <w:p w14:paraId="22097637" w14:textId="77777777" w:rsidR="002C6A20" w:rsidRPr="00494C7A" w:rsidRDefault="00D37776">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 xml:space="preserve"> </w:t>
            </w:r>
            <w:r w:rsidR="00353555" w:rsidRPr="00494C7A">
              <w:rPr>
                <w:rFonts w:ascii="Times New Roman" w:hAnsi="Times New Roman" w:cs="Times New Roman"/>
                <w:sz w:val="22"/>
                <w:szCs w:val="22"/>
              </w:rPr>
              <w:t>&lt;0.001</w:t>
            </w:r>
          </w:p>
        </w:tc>
      </w:tr>
      <w:tr w:rsidR="002C6A20" w:rsidRPr="00494C7A" w14:paraId="5BFFADAB" w14:textId="77777777">
        <w:tc>
          <w:tcPr>
            <w:tcW w:w="1570" w:type="dxa"/>
          </w:tcPr>
          <w:p w14:paraId="4E6D1D45"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10</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2169" w:type="dxa"/>
          </w:tcPr>
          <w:p w14:paraId="4B08B14A" w14:textId="77777777" w:rsidR="002C6A20" w:rsidRPr="00494C7A" w:rsidRDefault="0036170A">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color w:val="000000"/>
                <w:sz w:val="22"/>
                <w:szCs w:val="22"/>
              </w:rPr>
              <w:t>52.30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0.05</w:t>
            </w:r>
            <w:r w:rsidR="00D7573A" w:rsidRPr="00494C7A">
              <w:rPr>
                <w:rFonts w:ascii="Times New Roman" w:hAnsi="Times New Roman" w:cs="Times New Roman"/>
                <w:color w:val="000000"/>
                <w:sz w:val="22"/>
                <w:szCs w:val="22"/>
              </w:rPr>
              <w:t>*</w:t>
            </w:r>
          </w:p>
        </w:tc>
        <w:tc>
          <w:tcPr>
            <w:tcW w:w="2028" w:type="dxa"/>
          </w:tcPr>
          <w:p w14:paraId="278639D4" w14:textId="77777777" w:rsidR="002C6A20" w:rsidRPr="00494C7A" w:rsidRDefault="00170D43">
            <w:pPr>
              <w:rPr>
                <w:rFonts w:ascii="Times New Roman" w:hAnsi="Times New Roman" w:cs="Times New Roman"/>
                <w:sz w:val="22"/>
                <w:szCs w:val="22"/>
              </w:rPr>
            </w:pPr>
            <w:r w:rsidRPr="00494C7A">
              <w:rPr>
                <w:rFonts w:ascii="Times New Roman" w:hAnsi="Times New Roman" w:cs="Times New Roman"/>
                <w:color w:val="000000"/>
                <w:sz w:val="22"/>
                <w:szCs w:val="22"/>
              </w:rPr>
              <w:t>5</w:t>
            </w:r>
            <w:r w:rsidR="00377CFB" w:rsidRPr="00494C7A">
              <w:rPr>
                <w:rFonts w:ascii="Times New Roman" w:hAnsi="Times New Roman" w:cs="Times New Roman"/>
                <w:color w:val="000000"/>
                <w:sz w:val="22"/>
                <w:szCs w:val="22"/>
              </w:rPr>
              <w:t>1.00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0.17</w:t>
            </w:r>
          </w:p>
        </w:tc>
        <w:tc>
          <w:tcPr>
            <w:tcW w:w="1207" w:type="dxa"/>
          </w:tcPr>
          <w:p w14:paraId="63653A9A" w14:textId="77777777" w:rsidR="002C6A20" w:rsidRPr="00494C7A" w:rsidRDefault="0036170A">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7.34</w:t>
            </w:r>
          </w:p>
        </w:tc>
        <w:tc>
          <w:tcPr>
            <w:tcW w:w="1548" w:type="dxa"/>
          </w:tcPr>
          <w:p w14:paraId="3D8615D0" w14:textId="77777777" w:rsidR="002C6A20" w:rsidRPr="00494C7A" w:rsidRDefault="00D37776">
            <w:pPr>
              <w:rPr>
                <w:rFonts w:ascii="Times New Roman" w:hAnsi="Times New Roman" w:cs="Times New Roman"/>
                <w:sz w:val="22"/>
                <w:szCs w:val="22"/>
              </w:rPr>
            </w:pPr>
            <w:r w:rsidRPr="00494C7A">
              <w:rPr>
                <w:rFonts w:ascii="Times New Roman" w:hAnsi="Times New Roman" w:cs="Times New Roman"/>
                <w:sz w:val="22"/>
                <w:szCs w:val="22"/>
              </w:rPr>
              <w:t xml:space="preserve"> </w:t>
            </w:r>
            <w:r w:rsidR="00BA425B" w:rsidRPr="00494C7A">
              <w:rPr>
                <w:rFonts w:ascii="Times New Roman" w:hAnsi="Times New Roman" w:cs="Times New Roman"/>
                <w:sz w:val="22"/>
                <w:szCs w:val="22"/>
              </w:rPr>
              <w:t>&lt;</w:t>
            </w:r>
            <w:r w:rsidR="002C6A20" w:rsidRPr="00494C7A">
              <w:rPr>
                <w:rFonts w:ascii="Times New Roman" w:hAnsi="Times New Roman" w:cs="Times New Roman"/>
                <w:sz w:val="22"/>
                <w:szCs w:val="22"/>
              </w:rPr>
              <w:t>0.</w:t>
            </w:r>
            <w:r w:rsidR="0036170A" w:rsidRPr="00494C7A">
              <w:rPr>
                <w:rFonts w:ascii="Times New Roman" w:hAnsi="Times New Roman" w:cs="Times New Roman"/>
                <w:sz w:val="22"/>
                <w:szCs w:val="22"/>
              </w:rPr>
              <w:t>00</w:t>
            </w:r>
            <w:r w:rsidR="00BA425B" w:rsidRPr="00494C7A">
              <w:rPr>
                <w:rFonts w:ascii="Times New Roman" w:hAnsi="Times New Roman" w:cs="Times New Roman"/>
                <w:sz w:val="22"/>
                <w:szCs w:val="22"/>
              </w:rPr>
              <w:t>1</w:t>
            </w:r>
          </w:p>
        </w:tc>
      </w:tr>
      <w:tr w:rsidR="002C6A20" w:rsidRPr="00494C7A" w14:paraId="0FF667B2" w14:textId="77777777">
        <w:tc>
          <w:tcPr>
            <w:tcW w:w="1570" w:type="dxa"/>
          </w:tcPr>
          <w:p w14:paraId="7AB6628B"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12</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2169" w:type="dxa"/>
          </w:tcPr>
          <w:p w14:paraId="41EF5E24"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52.10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0.11</w:t>
            </w:r>
          </w:p>
        </w:tc>
        <w:tc>
          <w:tcPr>
            <w:tcW w:w="2028" w:type="dxa"/>
          </w:tcPr>
          <w:p w14:paraId="16FB576F"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53.53</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0.05</w:t>
            </w:r>
            <w:r w:rsidR="00D7573A" w:rsidRPr="00494C7A">
              <w:rPr>
                <w:rFonts w:ascii="Times New Roman" w:hAnsi="Times New Roman" w:cs="Times New Roman"/>
                <w:color w:val="000000"/>
                <w:sz w:val="22"/>
                <w:szCs w:val="22"/>
              </w:rPr>
              <w:t>*</w:t>
            </w:r>
          </w:p>
        </w:tc>
        <w:tc>
          <w:tcPr>
            <w:tcW w:w="1207" w:type="dxa"/>
          </w:tcPr>
          <w:p w14:paraId="4355F452"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w:t>
            </w:r>
            <w:r w:rsidR="0036170A" w:rsidRPr="00494C7A">
              <w:rPr>
                <w:rFonts w:ascii="Times New Roman" w:hAnsi="Times New Roman" w:cs="Times New Roman"/>
                <w:sz w:val="22"/>
                <w:szCs w:val="22"/>
              </w:rPr>
              <w:t>1.84</w:t>
            </w:r>
          </w:p>
        </w:tc>
        <w:tc>
          <w:tcPr>
            <w:tcW w:w="1548" w:type="dxa"/>
          </w:tcPr>
          <w:p w14:paraId="538AD411" w14:textId="77777777" w:rsidR="002C6A20" w:rsidRPr="00494C7A" w:rsidRDefault="00D37776">
            <w:pPr>
              <w:rPr>
                <w:rFonts w:ascii="Times New Roman" w:hAnsi="Times New Roman" w:cs="Times New Roman"/>
                <w:sz w:val="22"/>
                <w:szCs w:val="22"/>
              </w:rPr>
            </w:pPr>
            <w:r w:rsidRPr="00494C7A">
              <w:rPr>
                <w:rFonts w:ascii="Times New Roman" w:hAnsi="Times New Roman" w:cs="Times New Roman"/>
                <w:sz w:val="22"/>
                <w:szCs w:val="22"/>
              </w:rPr>
              <w:t xml:space="preserve"> </w:t>
            </w:r>
            <w:r w:rsidR="00BA425B" w:rsidRPr="00494C7A">
              <w:rPr>
                <w:rFonts w:ascii="Times New Roman" w:hAnsi="Times New Roman" w:cs="Times New Roman"/>
                <w:sz w:val="22"/>
                <w:szCs w:val="22"/>
              </w:rPr>
              <w:t>&lt;</w:t>
            </w:r>
            <w:r w:rsidR="002C6A20" w:rsidRPr="00494C7A">
              <w:rPr>
                <w:rFonts w:ascii="Times New Roman" w:hAnsi="Times New Roman" w:cs="Times New Roman"/>
                <w:sz w:val="22"/>
                <w:szCs w:val="22"/>
              </w:rPr>
              <w:t>0.</w:t>
            </w:r>
            <w:r w:rsidR="00BA425B" w:rsidRPr="00494C7A">
              <w:rPr>
                <w:rFonts w:ascii="Times New Roman" w:hAnsi="Times New Roman" w:cs="Times New Roman"/>
                <w:sz w:val="22"/>
                <w:szCs w:val="22"/>
              </w:rPr>
              <w:t>001</w:t>
            </w:r>
          </w:p>
        </w:tc>
      </w:tr>
      <w:tr w:rsidR="002C6A20" w:rsidRPr="00494C7A" w14:paraId="542FFE41" w14:textId="77777777">
        <w:tc>
          <w:tcPr>
            <w:tcW w:w="1570" w:type="dxa"/>
          </w:tcPr>
          <w:p w14:paraId="7AF4D121"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14</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2169" w:type="dxa"/>
          </w:tcPr>
          <w:p w14:paraId="1D07EB68"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57.70</w:t>
            </w:r>
            <w:r w:rsidR="004D4145" w:rsidRPr="00494C7A">
              <w:rPr>
                <w:rFonts w:ascii="Times New Roman" w:hAnsi="Times New Roman" w:cs="Times New Roman"/>
                <w:color w:val="000000"/>
                <w:sz w:val="22"/>
                <w:szCs w:val="22"/>
              </w:rPr>
              <w:t>±0.06</w:t>
            </w:r>
          </w:p>
        </w:tc>
        <w:tc>
          <w:tcPr>
            <w:tcW w:w="2028" w:type="dxa"/>
          </w:tcPr>
          <w:p w14:paraId="53DEB78B"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69.10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0.36</w:t>
            </w:r>
            <w:r w:rsidR="00D7573A" w:rsidRPr="00494C7A">
              <w:rPr>
                <w:rFonts w:ascii="Times New Roman" w:hAnsi="Times New Roman" w:cs="Times New Roman"/>
                <w:color w:val="000000"/>
                <w:sz w:val="22"/>
                <w:szCs w:val="22"/>
              </w:rPr>
              <w:t>*</w:t>
            </w:r>
          </w:p>
        </w:tc>
        <w:tc>
          <w:tcPr>
            <w:tcW w:w="1207" w:type="dxa"/>
          </w:tcPr>
          <w:p w14:paraId="22342345"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w:t>
            </w:r>
            <w:r w:rsidR="0036170A" w:rsidRPr="00494C7A">
              <w:rPr>
                <w:rFonts w:ascii="Times New Roman" w:hAnsi="Times New Roman" w:cs="Times New Roman"/>
                <w:sz w:val="22"/>
                <w:szCs w:val="22"/>
              </w:rPr>
              <w:t>31.24</w:t>
            </w:r>
          </w:p>
        </w:tc>
        <w:tc>
          <w:tcPr>
            <w:tcW w:w="1548" w:type="dxa"/>
          </w:tcPr>
          <w:p w14:paraId="4539C464" w14:textId="77777777" w:rsidR="002C6A20" w:rsidRPr="00494C7A" w:rsidRDefault="00D37776">
            <w:pPr>
              <w:rPr>
                <w:rFonts w:ascii="Times New Roman" w:hAnsi="Times New Roman" w:cs="Times New Roman"/>
                <w:sz w:val="22"/>
                <w:szCs w:val="22"/>
              </w:rPr>
            </w:pPr>
            <w:r w:rsidRPr="00494C7A">
              <w:rPr>
                <w:rFonts w:ascii="Times New Roman" w:hAnsi="Times New Roman" w:cs="Times New Roman"/>
                <w:sz w:val="22"/>
                <w:szCs w:val="22"/>
              </w:rPr>
              <w:t xml:space="preserve"> </w:t>
            </w:r>
            <w:r w:rsidR="00353555" w:rsidRPr="00494C7A">
              <w:rPr>
                <w:rFonts w:ascii="Times New Roman" w:hAnsi="Times New Roman" w:cs="Times New Roman"/>
                <w:sz w:val="22"/>
                <w:szCs w:val="22"/>
              </w:rPr>
              <w:t>&lt;0.001</w:t>
            </w:r>
          </w:p>
        </w:tc>
      </w:tr>
      <w:tr w:rsidR="002C6A20" w:rsidRPr="00494C7A" w14:paraId="073A9DF7" w14:textId="77777777">
        <w:tc>
          <w:tcPr>
            <w:tcW w:w="1570" w:type="dxa"/>
          </w:tcPr>
          <w:p w14:paraId="5039D9DB"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16</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2169" w:type="dxa"/>
          </w:tcPr>
          <w:p w14:paraId="56678305" w14:textId="77777777" w:rsidR="002C6A20" w:rsidRPr="00494C7A" w:rsidRDefault="00377CFB">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color w:val="000000"/>
                <w:sz w:val="22"/>
                <w:szCs w:val="22"/>
              </w:rPr>
              <w:t>61.10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0.49</w:t>
            </w:r>
          </w:p>
        </w:tc>
        <w:tc>
          <w:tcPr>
            <w:tcW w:w="2028" w:type="dxa"/>
          </w:tcPr>
          <w:p w14:paraId="5C1A3633"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7</w:t>
            </w:r>
            <w:r w:rsidR="00377CFB" w:rsidRPr="00494C7A">
              <w:rPr>
                <w:rFonts w:ascii="Times New Roman" w:hAnsi="Times New Roman" w:cs="Times New Roman"/>
                <w:sz w:val="22"/>
                <w:szCs w:val="22"/>
              </w:rPr>
              <w:t>5.00</w:t>
            </w:r>
            <w:r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0.33</w:t>
            </w:r>
            <w:r w:rsidR="00D7573A" w:rsidRPr="00494C7A">
              <w:rPr>
                <w:rFonts w:ascii="Times New Roman" w:hAnsi="Times New Roman" w:cs="Times New Roman"/>
                <w:color w:val="000000"/>
                <w:sz w:val="22"/>
                <w:szCs w:val="22"/>
              </w:rPr>
              <w:t>*</w:t>
            </w:r>
          </w:p>
        </w:tc>
        <w:tc>
          <w:tcPr>
            <w:tcW w:w="1207" w:type="dxa"/>
          </w:tcPr>
          <w:p w14:paraId="749E2521"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w:t>
            </w:r>
            <w:r w:rsidR="0036170A" w:rsidRPr="00494C7A">
              <w:rPr>
                <w:rFonts w:ascii="Times New Roman" w:hAnsi="Times New Roman" w:cs="Times New Roman"/>
                <w:sz w:val="22"/>
                <w:szCs w:val="22"/>
              </w:rPr>
              <w:t>23.53</w:t>
            </w:r>
          </w:p>
        </w:tc>
        <w:tc>
          <w:tcPr>
            <w:tcW w:w="1548" w:type="dxa"/>
          </w:tcPr>
          <w:p w14:paraId="720364B0" w14:textId="77777777" w:rsidR="002C6A20" w:rsidRPr="00494C7A" w:rsidRDefault="00D37776">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 xml:space="preserve"> </w:t>
            </w:r>
            <w:r w:rsidR="00353555" w:rsidRPr="00494C7A">
              <w:rPr>
                <w:rFonts w:ascii="Times New Roman" w:hAnsi="Times New Roman" w:cs="Times New Roman"/>
                <w:sz w:val="22"/>
                <w:szCs w:val="22"/>
              </w:rPr>
              <w:t>&lt;0.001</w:t>
            </w:r>
          </w:p>
        </w:tc>
      </w:tr>
      <w:tr w:rsidR="002C6A20" w:rsidRPr="00494C7A" w14:paraId="46E6FF65" w14:textId="77777777">
        <w:tc>
          <w:tcPr>
            <w:tcW w:w="1570" w:type="dxa"/>
          </w:tcPr>
          <w:p w14:paraId="6ECAC11A"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18</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2169" w:type="dxa"/>
          </w:tcPr>
          <w:p w14:paraId="735F015F" w14:textId="77777777" w:rsidR="002C6A20" w:rsidRPr="00494C7A" w:rsidRDefault="00377CFB">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color w:val="000000"/>
                <w:sz w:val="22"/>
                <w:szCs w:val="22"/>
              </w:rPr>
              <w:t>73.50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0.09</w:t>
            </w:r>
          </w:p>
        </w:tc>
        <w:tc>
          <w:tcPr>
            <w:tcW w:w="2028" w:type="dxa"/>
          </w:tcPr>
          <w:p w14:paraId="1EC48E54" w14:textId="77777777" w:rsidR="002C6A20" w:rsidRPr="00494C7A" w:rsidRDefault="00377CFB">
            <w:pPr>
              <w:rPr>
                <w:rFonts w:ascii="Times New Roman" w:hAnsi="Times New Roman" w:cs="Times New Roman"/>
                <w:sz w:val="22"/>
                <w:szCs w:val="22"/>
              </w:rPr>
            </w:pPr>
            <w:r w:rsidRPr="00494C7A">
              <w:rPr>
                <w:rFonts w:ascii="Times New Roman" w:hAnsi="Times New Roman" w:cs="Times New Roman"/>
                <w:color w:val="000000"/>
                <w:sz w:val="22"/>
                <w:szCs w:val="22"/>
              </w:rPr>
              <w:t>83.00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0.16</w:t>
            </w:r>
            <w:r w:rsidR="00D7573A" w:rsidRPr="00494C7A">
              <w:rPr>
                <w:rFonts w:ascii="Times New Roman" w:hAnsi="Times New Roman" w:cs="Times New Roman"/>
                <w:color w:val="000000"/>
                <w:sz w:val="22"/>
                <w:szCs w:val="22"/>
              </w:rPr>
              <w:t>*</w:t>
            </w:r>
          </w:p>
        </w:tc>
        <w:tc>
          <w:tcPr>
            <w:tcW w:w="1207" w:type="dxa"/>
          </w:tcPr>
          <w:p w14:paraId="7594E6E2"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w:t>
            </w:r>
            <w:r w:rsidR="0036170A" w:rsidRPr="00494C7A">
              <w:rPr>
                <w:rFonts w:ascii="Times New Roman" w:hAnsi="Times New Roman" w:cs="Times New Roman"/>
                <w:sz w:val="22"/>
                <w:szCs w:val="22"/>
              </w:rPr>
              <w:t>51.75</w:t>
            </w:r>
          </w:p>
        </w:tc>
        <w:tc>
          <w:tcPr>
            <w:tcW w:w="1548" w:type="dxa"/>
          </w:tcPr>
          <w:p w14:paraId="6C6A590C" w14:textId="77777777" w:rsidR="002C6A20" w:rsidRPr="00494C7A" w:rsidRDefault="00D37776">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 xml:space="preserve">  &lt;0.001</w:t>
            </w:r>
          </w:p>
        </w:tc>
      </w:tr>
      <w:tr w:rsidR="002C6A20" w:rsidRPr="00494C7A" w14:paraId="1EEA4BC9" w14:textId="77777777">
        <w:tc>
          <w:tcPr>
            <w:tcW w:w="1570" w:type="dxa"/>
          </w:tcPr>
          <w:p w14:paraId="26E09E09"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20</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2169" w:type="dxa"/>
          </w:tcPr>
          <w:p w14:paraId="121B78AB" w14:textId="77777777" w:rsidR="002C6A20" w:rsidRPr="00494C7A" w:rsidRDefault="00377CFB">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color w:val="000000"/>
                <w:sz w:val="22"/>
                <w:szCs w:val="22"/>
              </w:rPr>
              <w:t>76.00</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0.11</w:t>
            </w:r>
          </w:p>
        </w:tc>
        <w:tc>
          <w:tcPr>
            <w:tcW w:w="2028" w:type="dxa"/>
          </w:tcPr>
          <w:p w14:paraId="42F0F0D8" w14:textId="77777777" w:rsidR="002C6A20" w:rsidRPr="00494C7A" w:rsidRDefault="00170D43" w:rsidP="00A3313C">
            <w:pPr>
              <w:rPr>
                <w:rFonts w:ascii="Times New Roman" w:hAnsi="Times New Roman" w:cs="Times New Roman"/>
                <w:sz w:val="22"/>
                <w:szCs w:val="22"/>
              </w:rPr>
            </w:pPr>
            <w:r w:rsidRPr="00494C7A">
              <w:rPr>
                <w:rFonts w:ascii="Times New Roman" w:hAnsi="Times New Roman" w:cs="Times New Roman"/>
                <w:color w:val="000000"/>
                <w:sz w:val="22"/>
                <w:szCs w:val="22"/>
              </w:rPr>
              <w:t>8</w:t>
            </w:r>
            <w:r w:rsidR="00377CFB" w:rsidRPr="00494C7A">
              <w:rPr>
                <w:rFonts w:ascii="Times New Roman" w:hAnsi="Times New Roman" w:cs="Times New Roman"/>
                <w:color w:val="000000"/>
                <w:sz w:val="22"/>
                <w:szCs w:val="22"/>
              </w:rPr>
              <w:t>5.8</w:t>
            </w:r>
            <w:r w:rsidR="002C6A20" w:rsidRPr="00494C7A">
              <w:rPr>
                <w:rFonts w:ascii="Times New Roman" w:hAnsi="Times New Roman" w:cs="Times New Roman"/>
                <w:color w:val="000000"/>
                <w:sz w:val="22"/>
                <w:szCs w:val="22"/>
              </w:rPr>
              <w:t>±</w:t>
            </w:r>
            <w:r w:rsidR="004D4145" w:rsidRPr="00494C7A">
              <w:rPr>
                <w:rFonts w:ascii="Times New Roman" w:hAnsi="Times New Roman" w:cs="Times New Roman"/>
                <w:color w:val="000000"/>
                <w:sz w:val="22"/>
                <w:szCs w:val="22"/>
              </w:rPr>
              <w:t>0.07</w:t>
            </w:r>
            <w:r w:rsidR="00D7573A" w:rsidRPr="00494C7A">
              <w:rPr>
                <w:rFonts w:ascii="Times New Roman" w:hAnsi="Times New Roman" w:cs="Times New Roman"/>
                <w:color w:val="000000"/>
                <w:sz w:val="22"/>
                <w:szCs w:val="22"/>
              </w:rPr>
              <w:t>*</w:t>
            </w:r>
          </w:p>
        </w:tc>
        <w:tc>
          <w:tcPr>
            <w:tcW w:w="1207" w:type="dxa"/>
          </w:tcPr>
          <w:p w14:paraId="30545534"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w:t>
            </w:r>
            <w:r w:rsidR="0036170A" w:rsidRPr="00494C7A">
              <w:rPr>
                <w:rFonts w:ascii="Times New Roman" w:hAnsi="Times New Roman" w:cs="Times New Roman"/>
                <w:sz w:val="22"/>
                <w:szCs w:val="22"/>
              </w:rPr>
              <w:t>75.16</w:t>
            </w:r>
          </w:p>
        </w:tc>
        <w:tc>
          <w:tcPr>
            <w:tcW w:w="1548" w:type="dxa"/>
          </w:tcPr>
          <w:p w14:paraId="2E55715A" w14:textId="77777777" w:rsidR="002C6A20" w:rsidRPr="00494C7A" w:rsidRDefault="00D37776">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 xml:space="preserve">  &lt;0.001</w:t>
            </w:r>
          </w:p>
        </w:tc>
      </w:tr>
    </w:tbl>
    <w:p w14:paraId="1D6A1971" w14:textId="77777777" w:rsidR="00AF7721" w:rsidRPr="001707F9" w:rsidRDefault="00D7573A" w:rsidP="001707F9">
      <w:pPr>
        <w:pStyle w:val="Normal1"/>
        <w:spacing w:after="0" w:line="276" w:lineRule="auto"/>
        <w:jc w:val="both"/>
        <w:rPr>
          <w:rFonts w:ascii="Times New Roman" w:eastAsia="Times New Roman" w:hAnsi="Times New Roman" w:cs="Times New Roman"/>
          <w:b/>
          <w:bCs/>
        </w:rPr>
      </w:pPr>
      <w:r w:rsidRPr="00494C7A">
        <w:rPr>
          <w:rFonts w:ascii="Times New Roman" w:eastAsia="Times New Roman" w:hAnsi="Times New Roman" w:cs="Times New Roman"/>
          <w:b/>
          <w:bCs/>
        </w:rPr>
        <w:t>*Indicates</w:t>
      </w:r>
      <w:r w:rsidR="001707F9">
        <w:rPr>
          <w:rFonts w:ascii="Times New Roman" w:eastAsia="Times New Roman" w:hAnsi="Times New Roman" w:cs="Times New Roman"/>
          <w:b/>
          <w:bCs/>
        </w:rPr>
        <w:t xml:space="preserve"> significant difference (p&lt;0.05</w:t>
      </w:r>
      <w:r w:rsidRPr="00494C7A">
        <w:rPr>
          <w:rFonts w:ascii="Times New Roman" w:eastAsia="Times New Roman" w:hAnsi="Times New Roman" w:cs="Times New Roman"/>
          <w:b/>
          <w:bCs/>
        </w:rPr>
        <w:t>).</w:t>
      </w:r>
    </w:p>
    <w:p w14:paraId="0A5EB91B" w14:textId="4EA19525" w:rsidR="00AF7721" w:rsidRPr="00494C7A"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 xml:space="preserve">Fig. </w:t>
      </w:r>
      <w:r w:rsidR="00373CDE">
        <w:rPr>
          <w:rFonts w:ascii="Times New Roman" w:hAnsi="Times New Roman" w:cs="Times New Roman"/>
          <w:b/>
          <w:bCs/>
          <w:color w:val="000000"/>
          <w:sz w:val="22"/>
          <w:szCs w:val="22"/>
        </w:rPr>
        <w:t>2</w:t>
      </w:r>
      <w:r w:rsidRPr="00494C7A">
        <w:rPr>
          <w:rFonts w:ascii="Times New Roman" w:hAnsi="Times New Roman" w:cs="Times New Roman"/>
          <w:b/>
          <w:bCs/>
          <w:color w:val="000000"/>
          <w:sz w:val="22"/>
          <w:szCs w:val="22"/>
        </w:rPr>
        <w:t xml:space="preserve"> Feed intake (</w:t>
      </w:r>
      <w:r w:rsidR="00A3313C" w:rsidRPr="00494C7A">
        <w:rPr>
          <w:rFonts w:ascii="Times New Roman" w:hAnsi="Times New Roman" w:cs="Times New Roman"/>
          <w:b/>
          <w:bCs/>
          <w:color w:val="000000"/>
          <w:sz w:val="22"/>
          <w:szCs w:val="22"/>
        </w:rPr>
        <w:t>k</w:t>
      </w:r>
      <w:r w:rsidRPr="00494C7A">
        <w:rPr>
          <w:rFonts w:ascii="Times New Roman" w:hAnsi="Times New Roman" w:cs="Times New Roman"/>
          <w:b/>
          <w:bCs/>
          <w:color w:val="000000"/>
          <w:sz w:val="22"/>
          <w:szCs w:val="22"/>
        </w:rPr>
        <w:t>g) of CARI Debendra and CARI Nirbheek birds from week 1 to 20 weeks of age.</w:t>
      </w:r>
    </w:p>
    <w:p w14:paraId="6EEFE4FF" w14:textId="77777777" w:rsidR="00AF7721" w:rsidRPr="00494C7A" w:rsidRDefault="00AF7721">
      <w:pPr>
        <w:pStyle w:val="NormalWeb"/>
        <w:spacing w:line="360" w:lineRule="auto"/>
        <w:rPr>
          <w:rFonts w:ascii="Times New Roman" w:hAnsi="Times New Roman" w:cs="Times New Roman"/>
          <w:b/>
          <w:bCs/>
          <w:color w:val="000000"/>
          <w:sz w:val="22"/>
          <w:szCs w:val="22"/>
        </w:rPr>
      </w:pPr>
    </w:p>
    <w:p w14:paraId="04310094" w14:textId="77777777" w:rsidR="00AF7721" w:rsidRPr="00494C7A" w:rsidRDefault="00A3313C" w:rsidP="00494C7A">
      <w:pPr>
        <w:pStyle w:val="NormalWeb"/>
        <w:spacing w:line="360" w:lineRule="auto"/>
        <w:ind w:firstLineChars="150" w:firstLine="330"/>
        <w:rPr>
          <w:rFonts w:ascii="Times New Roman" w:hAnsi="Times New Roman" w:cs="Times New Roman"/>
          <w:color w:val="000000"/>
          <w:sz w:val="22"/>
          <w:szCs w:val="22"/>
        </w:rPr>
      </w:pPr>
      <w:r w:rsidRPr="00494C7A">
        <w:rPr>
          <w:rFonts w:ascii="Times New Roman" w:hAnsi="Times New Roman" w:cs="Times New Roman"/>
          <w:noProof/>
          <w:color w:val="000000"/>
          <w:sz w:val="22"/>
          <w:szCs w:val="22"/>
        </w:rPr>
        <w:drawing>
          <wp:inline distT="0" distB="0" distL="0" distR="0" wp14:anchorId="2874EE1D" wp14:editId="28DF98F1">
            <wp:extent cx="4572000" cy="27432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6EFDDA5" w14:textId="77777777" w:rsidR="00AF7721" w:rsidRPr="00494C7A" w:rsidRDefault="00AF7721" w:rsidP="00494C7A">
      <w:pPr>
        <w:pStyle w:val="NormalWeb"/>
        <w:spacing w:line="360" w:lineRule="auto"/>
        <w:ind w:firstLineChars="150" w:firstLine="330"/>
        <w:rPr>
          <w:rFonts w:ascii="Times New Roman" w:hAnsi="Times New Roman" w:cs="Times New Roman"/>
          <w:color w:val="000000"/>
          <w:sz w:val="22"/>
          <w:szCs w:val="22"/>
        </w:rPr>
      </w:pPr>
    </w:p>
    <w:p w14:paraId="1B16DF68" w14:textId="77777777" w:rsidR="00AF7721" w:rsidRPr="00494C7A" w:rsidRDefault="00D43CBD" w:rsidP="00494C7A">
      <w:pPr>
        <w:pStyle w:val="NormalWeb"/>
        <w:spacing w:line="360" w:lineRule="auto"/>
        <w:ind w:firstLineChars="200" w:firstLine="440"/>
        <w:jc w:val="both"/>
        <w:rPr>
          <w:rFonts w:ascii="Times New Roman" w:hAnsi="Times New Roman" w:cs="Times New Roman"/>
          <w:color w:val="000000"/>
          <w:sz w:val="22"/>
          <w:szCs w:val="22"/>
        </w:rPr>
      </w:pPr>
      <w:r w:rsidRPr="00494C7A">
        <w:rPr>
          <w:rFonts w:ascii="Times New Roman" w:hAnsi="Times New Roman" w:cs="Times New Roman"/>
          <w:color w:val="000000"/>
          <w:sz w:val="22"/>
          <w:szCs w:val="22"/>
        </w:rPr>
        <w:t>This means</w:t>
      </w:r>
      <w:r w:rsidR="00046F22" w:rsidRPr="00494C7A">
        <w:rPr>
          <w:rFonts w:ascii="Times New Roman" w:hAnsi="Times New Roman" w:cs="Times New Roman"/>
          <w:color w:val="000000"/>
          <w:sz w:val="22"/>
          <w:szCs w:val="22"/>
        </w:rPr>
        <w:t xml:space="preserve"> feed intake data presents an interesting biological contrast when compared to the bird’s final body weights. Even though CARI Debendra grew significantly heavier by week 20, it actually ate less overall total feed than CARI Nirbheek. This finding is in </w:t>
      </w:r>
      <w:r w:rsidR="00046F22" w:rsidRPr="00494C7A">
        <w:rPr>
          <w:rFonts w:ascii="Times New Roman" w:hAnsi="Times New Roman" w:cs="Times New Roman"/>
          <w:color w:val="000000"/>
          <w:sz w:val="22"/>
          <w:szCs w:val="22"/>
        </w:rPr>
        <w:lastRenderedPageBreak/>
        <w:t xml:space="preserve">accordance with observations by Das </w:t>
      </w:r>
      <w:r w:rsidR="00046F22" w:rsidRPr="00494C7A">
        <w:rPr>
          <w:rFonts w:ascii="Times New Roman" w:hAnsi="Times New Roman" w:cs="Times New Roman"/>
          <w:i/>
          <w:iCs/>
          <w:color w:val="000000"/>
          <w:sz w:val="22"/>
          <w:szCs w:val="22"/>
        </w:rPr>
        <w:t>et al.</w:t>
      </w:r>
      <w:r w:rsidR="00046F22" w:rsidRPr="00494C7A">
        <w:rPr>
          <w:rFonts w:ascii="Times New Roman" w:hAnsi="Times New Roman" w:cs="Times New Roman"/>
          <w:color w:val="000000"/>
          <w:sz w:val="22"/>
          <w:szCs w:val="22"/>
        </w:rPr>
        <w:t xml:space="preserve"> (2016), who stated that CARI Debendra converts a smaller amount of food into muscle mass effectively. Conversely, the high feed consumption of CARI Nirbheek matches the findings of Malik and Singh (2010), who observed that CARI Nirbheek consumed higher feed when raised in farm environments to balance out its active nature. Furthermore, </w:t>
      </w:r>
      <w:proofErr w:type="spellStart"/>
      <w:r w:rsidR="00046F22" w:rsidRPr="00494C7A">
        <w:rPr>
          <w:rFonts w:ascii="Times New Roman" w:hAnsi="Times New Roman" w:cs="Times New Roman"/>
          <w:color w:val="000000"/>
          <w:sz w:val="22"/>
          <w:szCs w:val="22"/>
        </w:rPr>
        <w:t>Khadda</w:t>
      </w:r>
      <w:proofErr w:type="spellEnd"/>
      <w:r w:rsidR="00046F22" w:rsidRPr="00494C7A">
        <w:rPr>
          <w:rFonts w:ascii="Times New Roman" w:hAnsi="Times New Roman" w:cs="Times New Roman"/>
          <w:color w:val="000000"/>
          <w:sz w:val="22"/>
          <w:szCs w:val="22"/>
        </w:rPr>
        <w:t xml:space="preserve"> </w:t>
      </w:r>
      <w:r w:rsidR="00046F22" w:rsidRPr="00494C7A">
        <w:rPr>
          <w:rFonts w:ascii="Times New Roman" w:hAnsi="Times New Roman" w:cs="Times New Roman"/>
          <w:i/>
          <w:iCs/>
          <w:color w:val="000000"/>
          <w:sz w:val="22"/>
          <w:szCs w:val="22"/>
        </w:rPr>
        <w:t>et al.</w:t>
      </w:r>
      <w:r w:rsidR="00046F22" w:rsidRPr="00494C7A">
        <w:rPr>
          <w:rFonts w:ascii="Times New Roman" w:hAnsi="Times New Roman" w:cs="Times New Roman"/>
          <w:color w:val="000000"/>
          <w:sz w:val="22"/>
          <w:szCs w:val="22"/>
        </w:rPr>
        <w:t xml:space="preserve"> (2016) noted that upgraded indigenous lines like CARI Nirbheek maintain a high, steady feed appetite to support their physical stamina. However, this specific pattern of feed intake contrast runs counter to the findings of Niranjan </w:t>
      </w:r>
      <w:proofErr w:type="gramStart"/>
      <w:r w:rsidR="00046F22" w:rsidRPr="00494C7A">
        <w:rPr>
          <w:rFonts w:ascii="Times New Roman" w:hAnsi="Times New Roman" w:cs="Times New Roman"/>
          <w:i/>
          <w:iCs/>
          <w:color w:val="000000"/>
          <w:sz w:val="22"/>
          <w:szCs w:val="22"/>
        </w:rPr>
        <w:t>et al.</w:t>
      </w:r>
      <w:r w:rsidR="00046F22" w:rsidRPr="00494C7A">
        <w:rPr>
          <w:rFonts w:ascii="Times New Roman" w:hAnsi="Times New Roman" w:cs="Times New Roman"/>
          <w:color w:val="000000"/>
          <w:sz w:val="22"/>
          <w:szCs w:val="22"/>
        </w:rPr>
        <w:t>(</w:t>
      </w:r>
      <w:proofErr w:type="gramEnd"/>
      <w:r w:rsidR="00046F22" w:rsidRPr="00494C7A">
        <w:rPr>
          <w:rFonts w:ascii="Times New Roman" w:hAnsi="Times New Roman" w:cs="Times New Roman"/>
          <w:color w:val="000000"/>
          <w:sz w:val="22"/>
          <w:szCs w:val="22"/>
        </w:rPr>
        <w:t>2008), who evaluated dual-purpose chicken varieties and found that synthetic lines containing broiler blood consistently show significantly higher initial feed intake under standard intensive farm conditions. Similarly, Padhi (2016) also concluded that broiler-infused lines typically demand a much higher dai</w:t>
      </w:r>
      <w:r w:rsidR="00D7573A" w:rsidRPr="00494C7A">
        <w:rPr>
          <w:rFonts w:ascii="Times New Roman" w:hAnsi="Times New Roman" w:cs="Times New Roman"/>
          <w:color w:val="000000"/>
          <w:sz w:val="22"/>
          <w:szCs w:val="22"/>
        </w:rPr>
        <w:t>ly maintenance food intake than</w:t>
      </w:r>
      <w:r w:rsidR="00046F22" w:rsidRPr="00494C7A">
        <w:rPr>
          <w:rFonts w:ascii="Times New Roman" w:hAnsi="Times New Roman" w:cs="Times New Roman"/>
          <w:color w:val="000000"/>
          <w:sz w:val="22"/>
          <w:szCs w:val="22"/>
        </w:rPr>
        <w:t xml:space="preserve"> smaller, leaner native varieties.</w:t>
      </w:r>
    </w:p>
    <w:p w14:paraId="578551CD" w14:textId="77777777" w:rsidR="00AF7721" w:rsidRPr="00494C7A" w:rsidRDefault="00046F22" w:rsidP="00D43CBD">
      <w:pPr>
        <w:pStyle w:val="NormalWeb"/>
        <w:spacing w:line="360" w:lineRule="auto"/>
        <w:jc w:val="both"/>
        <w:rPr>
          <w:rFonts w:ascii="Times New Roman" w:hAnsi="Times New Roman" w:cs="Times New Roman"/>
          <w:color w:val="000000"/>
          <w:sz w:val="22"/>
          <w:szCs w:val="22"/>
        </w:rPr>
      </w:pPr>
      <w:r w:rsidRPr="00494C7A">
        <w:rPr>
          <w:rFonts w:ascii="Times New Roman" w:hAnsi="Times New Roman" w:cs="Times New Roman"/>
          <w:color w:val="000000"/>
          <w:sz w:val="22"/>
          <w:szCs w:val="22"/>
        </w:rPr>
        <w:t xml:space="preserve">        </w:t>
      </w:r>
      <w:r w:rsidRPr="00494C7A">
        <w:rPr>
          <w:rFonts w:ascii="Times New Roman" w:hAnsi="Times New Roman" w:cs="Times New Roman"/>
          <w:sz w:val="22"/>
          <w:szCs w:val="22"/>
        </w:rPr>
        <w:t>Table No</w:t>
      </w:r>
      <w:r w:rsidR="002C6A20" w:rsidRPr="00494C7A">
        <w:rPr>
          <w:rFonts w:ascii="Times New Roman" w:hAnsi="Times New Roman" w:cs="Times New Roman"/>
          <w:sz w:val="22"/>
          <w:szCs w:val="22"/>
        </w:rPr>
        <w:t xml:space="preserve">.3 shows the </w:t>
      </w:r>
      <w:r w:rsidRPr="00494C7A">
        <w:rPr>
          <w:rFonts w:ascii="Times New Roman" w:hAnsi="Times New Roman" w:cs="Times New Roman"/>
          <w:sz w:val="22"/>
          <w:szCs w:val="22"/>
        </w:rPr>
        <w:t>weekly feed conversion ratio of Cari Debendra (CD) and Cari Nirbheek (CN) chickens was calculated and evaluated from Week 1 to Week 20. A lower FCR number represents superior feed efficiency. The statistical analysis showed that Cari Debendra</w:t>
      </w:r>
      <w:r w:rsidR="002C6A20" w:rsidRPr="00494C7A">
        <w:rPr>
          <w:rFonts w:ascii="Times New Roman" w:hAnsi="Times New Roman" w:cs="Times New Roman"/>
          <w:sz w:val="22"/>
          <w:szCs w:val="22"/>
        </w:rPr>
        <w:t xml:space="preserve"> </w:t>
      </w:r>
      <w:r w:rsidRPr="00494C7A">
        <w:rPr>
          <w:rFonts w:ascii="Times New Roman" w:hAnsi="Times New Roman" w:cs="Times New Roman"/>
          <w:sz w:val="22"/>
          <w:szCs w:val="22"/>
        </w:rPr>
        <w:t>maintained a significantly lower FCR than Cari Nirbheek across the majo</w:t>
      </w:r>
      <w:r w:rsidR="00D7573A" w:rsidRPr="00494C7A">
        <w:rPr>
          <w:rFonts w:ascii="Times New Roman" w:hAnsi="Times New Roman" w:cs="Times New Roman"/>
          <w:sz w:val="22"/>
          <w:szCs w:val="22"/>
        </w:rPr>
        <w:t>rity of the developmental week</w:t>
      </w:r>
      <w:r w:rsidR="002C6A20" w:rsidRPr="00494C7A">
        <w:rPr>
          <w:rFonts w:ascii="Times New Roman" w:hAnsi="Times New Roman" w:cs="Times New Roman"/>
          <w:sz w:val="22"/>
          <w:szCs w:val="22"/>
        </w:rPr>
        <w:t xml:space="preserve"> </w:t>
      </w:r>
      <w:r w:rsidR="002C6A20" w:rsidRPr="00494C7A">
        <w:rPr>
          <w:rFonts w:ascii="Times New Roman" w:hAnsi="Times New Roman" w:cs="Times New Roman"/>
          <w:color w:val="000000"/>
          <w:sz w:val="22"/>
          <w:szCs w:val="22"/>
        </w:rPr>
        <w:t>c</w:t>
      </w:r>
      <w:r w:rsidRPr="00494C7A">
        <w:rPr>
          <w:rFonts w:ascii="Times New Roman" w:hAnsi="Times New Roman" w:cs="Times New Roman"/>
          <w:color w:val="000000"/>
          <w:sz w:val="22"/>
          <w:szCs w:val="22"/>
        </w:rPr>
        <w:t xml:space="preserve">hanges from week 2 onward. By week 2, </w:t>
      </w:r>
      <w:r w:rsidR="002C6A20" w:rsidRPr="00494C7A">
        <w:rPr>
          <w:rFonts w:ascii="Times New Roman" w:hAnsi="Times New Roman" w:cs="Times New Roman"/>
          <w:sz w:val="22"/>
          <w:szCs w:val="22"/>
        </w:rPr>
        <w:t xml:space="preserve">Cari Debendra </w:t>
      </w:r>
      <w:r w:rsidRPr="00494C7A">
        <w:rPr>
          <w:rFonts w:ascii="Times New Roman" w:hAnsi="Times New Roman" w:cs="Times New Roman"/>
          <w:sz w:val="22"/>
          <w:szCs w:val="22"/>
        </w:rPr>
        <w:t>showed a significantly superior FCR of 1.32</w:t>
      </w:r>
      <w:r w:rsidRPr="00494C7A">
        <w:rPr>
          <w:rFonts w:ascii="Times New Roman" w:hAnsi="Times New Roman" w:cs="Times New Roman"/>
          <w:color w:val="000000"/>
          <w:sz w:val="22"/>
          <w:szCs w:val="22"/>
        </w:rPr>
        <w:t>±0.00</w:t>
      </w:r>
      <w:r w:rsidR="002C6A20" w:rsidRPr="00494C7A">
        <w:rPr>
          <w:rFonts w:ascii="Times New Roman" w:hAnsi="Times New Roman" w:cs="Times New Roman"/>
          <w:sz w:val="22"/>
          <w:szCs w:val="22"/>
        </w:rPr>
        <w:t xml:space="preserve"> </w:t>
      </w:r>
      <w:r w:rsidRPr="00494C7A">
        <w:rPr>
          <w:rFonts w:ascii="Times New Roman" w:hAnsi="Times New Roman" w:cs="Times New Roman"/>
          <w:sz w:val="22"/>
          <w:szCs w:val="22"/>
        </w:rPr>
        <w:t>compared to CN 1.43</w:t>
      </w:r>
      <w:r w:rsidR="001707F9">
        <w:rPr>
          <w:rFonts w:ascii="Times New Roman" w:hAnsi="Times New Roman" w:cs="Times New Roman"/>
          <w:color w:val="000000"/>
          <w:sz w:val="22"/>
          <w:szCs w:val="22"/>
        </w:rPr>
        <w:t>±0.01 (p&lt;0.05</w:t>
      </w:r>
      <w:r w:rsidRPr="00494C7A">
        <w:rPr>
          <w:rFonts w:ascii="Times New Roman" w:hAnsi="Times New Roman" w:cs="Times New Roman"/>
          <w:color w:val="000000"/>
          <w:sz w:val="22"/>
          <w:szCs w:val="22"/>
        </w:rPr>
        <w:t>). This superior feed efficiency for CD continued through week 3 (</w:t>
      </w:r>
      <w:r w:rsidR="002C6A20" w:rsidRPr="00494C7A">
        <w:rPr>
          <w:rFonts w:ascii="Times New Roman" w:hAnsi="Times New Roman" w:cs="Times New Roman"/>
          <w:color w:val="000000"/>
          <w:sz w:val="22"/>
          <w:szCs w:val="22"/>
        </w:rPr>
        <w:t>1.21±0.01) and CN (1.49±0.05; p&lt;</w:t>
      </w:r>
      <w:r w:rsidR="001707F9">
        <w:rPr>
          <w:rFonts w:ascii="Times New Roman" w:hAnsi="Times New Roman" w:cs="Times New Roman"/>
          <w:color w:val="000000"/>
          <w:sz w:val="22"/>
          <w:szCs w:val="22"/>
        </w:rPr>
        <w:t>0.05</w:t>
      </w:r>
      <w:r w:rsidRPr="00494C7A">
        <w:rPr>
          <w:rFonts w:ascii="Times New Roman" w:hAnsi="Times New Roman" w:cs="Times New Roman"/>
          <w:color w:val="000000"/>
          <w:sz w:val="22"/>
          <w:szCs w:val="22"/>
        </w:rPr>
        <w:t>). At week 4, CD maintained a numerically better FCR 1.80±0.01 over CN 1.33±0.12, though the difference was n</w:t>
      </w:r>
      <w:r w:rsidR="002C6A20" w:rsidRPr="00494C7A">
        <w:rPr>
          <w:rFonts w:ascii="Times New Roman" w:hAnsi="Times New Roman" w:cs="Times New Roman"/>
          <w:color w:val="000000"/>
          <w:sz w:val="22"/>
          <w:szCs w:val="22"/>
        </w:rPr>
        <w:t>ot statistically significant (p&lt;</w:t>
      </w:r>
      <w:r w:rsidR="001707F9">
        <w:rPr>
          <w:rFonts w:ascii="Times New Roman" w:hAnsi="Times New Roman" w:cs="Times New Roman"/>
          <w:color w:val="000000"/>
          <w:sz w:val="22"/>
          <w:szCs w:val="22"/>
        </w:rPr>
        <w:t>0.05</w:t>
      </w:r>
      <w:r w:rsidRPr="00494C7A">
        <w:rPr>
          <w:rFonts w:ascii="Times New Roman" w:hAnsi="Times New Roman" w:cs="Times New Roman"/>
          <w:color w:val="000000"/>
          <w:sz w:val="22"/>
          <w:szCs w:val="22"/>
        </w:rPr>
        <w:t>). At week 6 and week 8 the variations in FCR values were not significantly significant. However, a highly significant gap re-emerged at week 10, where CD achieved a much more efficient FCR of 1.25±0.02 compa</w:t>
      </w:r>
      <w:r w:rsidR="001707F9">
        <w:rPr>
          <w:rFonts w:ascii="Times New Roman" w:hAnsi="Times New Roman" w:cs="Times New Roman"/>
          <w:color w:val="000000"/>
          <w:sz w:val="22"/>
          <w:szCs w:val="22"/>
        </w:rPr>
        <w:t>red to 1.46±0.01 for CN (p&lt;0.05</w:t>
      </w:r>
      <w:r w:rsidRPr="00494C7A">
        <w:rPr>
          <w:rFonts w:ascii="Times New Roman" w:hAnsi="Times New Roman" w:cs="Times New Roman"/>
          <w:color w:val="000000"/>
          <w:sz w:val="22"/>
          <w:szCs w:val="22"/>
        </w:rPr>
        <w:t xml:space="preserve">). By week 12, CD maintained superior FCR 1.14±0.02 over CN </w:t>
      </w:r>
      <w:r w:rsidRPr="00494C7A">
        <w:rPr>
          <w:rFonts w:ascii="Times New Roman" w:hAnsi="Times New Roman" w:cs="Times New Roman"/>
          <w:sz w:val="22"/>
          <w:szCs w:val="22"/>
        </w:rPr>
        <w:t>1.29</w:t>
      </w:r>
      <w:r w:rsidR="002C6A20" w:rsidRPr="00494C7A">
        <w:rPr>
          <w:rFonts w:ascii="Times New Roman" w:hAnsi="Times New Roman" w:cs="Times New Roman"/>
          <w:color w:val="000000"/>
          <w:sz w:val="22"/>
          <w:szCs w:val="22"/>
        </w:rPr>
        <w:t>±0.06 (p&lt;</w:t>
      </w:r>
      <w:r w:rsidR="001707F9">
        <w:rPr>
          <w:rFonts w:ascii="Times New Roman" w:hAnsi="Times New Roman" w:cs="Times New Roman"/>
          <w:color w:val="000000"/>
          <w:sz w:val="22"/>
          <w:szCs w:val="22"/>
        </w:rPr>
        <w:t>0.05</w:t>
      </w:r>
      <w:r w:rsidRPr="00494C7A">
        <w:rPr>
          <w:rFonts w:ascii="Times New Roman" w:hAnsi="Times New Roman" w:cs="Times New Roman"/>
          <w:color w:val="000000"/>
          <w:sz w:val="22"/>
          <w:szCs w:val="22"/>
        </w:rPr>
        <w:t>).</w:t>
      </w:r>
    </w:p>
    <w:p w14:paraId="30A00814" w14:textId="77777777" w:rsidR="00AF7721" w:rsidRPr="00494C7A" w:rsidRDefault="00AF7721">
      <w:pPr>
        <w:pStyle w:val="NormalWeb"/>
        <w:spacing w:line="360" w:lineRule="auto"/>
        <w:rPr>
          <w:rFonts w:ascii="Times New Roman" w:hAnsi="Times New Roman" w:cs="Times New Roman"/>
          <w:color w:val="000000"/>
          <w:sz w:val="22"/>
          <w:szCs w:val="22"/>
        </w:rPr>
      </w:pPr>
    </w:p>
    <w:p w14:paraId="0662C29B" w14:textId="77777777" w:rsidR="00AF7721" w:rsidRPr="00494C7A"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Table No.</w:t>
      </w:r>
      <w:r w:rsidR="002C6A20" w:rsidRPr="00494C7A">
        <w:rPr>
          <w:rFonts w:ascii="Times New Roman" w:hAnsi="Times New Roman" w:cs="Times New Roman"/>
          <w:b/>
          <w:bCs/>
          <w:color w:val="000000"/>
          <w:sz w:val="22"/>
          <w:szCs w:val="22"/>
        </w:rPr>
        <w:t xml:space="preserve"> 3 Feed conversion ratio (FCR) </w:t>
      </w:r>
      <w:r w:rsidRPr="00494C7A">
        <w:rPr>
          <w:rFonts w:ascii="Times New Roman" w:hAnsi="Times New Roman" w:cs="Times New Roman"/>
          <w:b/>
          <w:bCs/>
          <w:color w:val="000000"/>
          <w:sz w:val="22"/>
          <w:szCs w:val="22"/>
        </w:rPr>
        <w:t>of CARI Debendra and CARI Nirbheek birds from week 1 to 20 weeks of age.</w:t>
      </w:r>
    </w:p>
    <w:p w14:paraId="15D077E6" w14:textId="77777777" w:rsidR="00AF7721" w:rsidRPr="00494C7A" w:rsidRDefault="00AF7721">
      <w:pPr>
        <w:pStyle w:val="NormalWeb"/>
        <w:spacing w:line="360" w:lineRule="auto"/>
        <w:rPr>
          <w:rFonts w:ascii="Times New Roman" w:hAnsi="Times New Roman" w:cs="Times New Roman"/>
          <w:color w:val="000000"/>
          <w:sz w:val="22"/>
          <w:szCs w:val="22"/>
        </w:rPr>
      </w:pPr>
    </w:p>
    <w:tbl>
      <w:tblPr>
        <w:tblStyle w:val="TableGrid"/>
        <w:tblW w:w="0" w:type="auto"/>
        <w:tblLook w:val="04A0" w:firstRow="1" w:lastRow="0" w:firstColumn="1" w:lastColumn="0" w:noHBand="0" w:noVBand="1"/>
      </w:tblPr>
      <w:tblGrid>
        <w:gridCol w:w="1704"/>
        <w:gridCol w:w="1704"/>
        <w:gridCol w:w="1704"/>
        <w:gridCol w:w="1705"/>
        <w:gridCol w:w="1705"/>
      </w:tblGrid>
      <w:tr w:rsidR="00AF7721" w:rsidRPr="00494C7A" w14:paraId="5F93A05E" w14:textId="77777777">
        <w:tc>
          <w:tcPr>
            <w:tcW w:w="1704" w:type="dxa"/>
          </w:tcPr>
          <w:p w14:paraId="79945FE2"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Weeks</w:t>
            </w:r>
          </w:p>
        </w:tc>
        <w:tc>
          <w:tcPr>
            <w:tcW w:w="1704" w:type="dxa"/>
          </w:tcPr>
          <w:p w14:paraId="4C2F5D2F" w14:textId="77777777" w:rsidR="00AF7721" w:rsidRPr="00494C7A" w:rsidRDefault="00046F22">
            <w:pPr>
              <w:widowControl/>
              <w:ind w:firstLineChars="50" w:firstLine="110"/>
              <w:jc w:val="left"/>
              <w:rPr>
                <w:rFonts w:ascii="Times New Roman" w:eastAsia="SimSun" w:hAnsi="Times New Roman" w:cs="Times New Roman"/>
                <w:color w:val="000000"/>
                <w:sz w:val="22"/>
                <w:szCs w:val="22"/>
              </w:rPr>
            </w:pPr>
            <w:r w:rsidRPr="00494C7A">
              <w:rPr>
                <w:rFonts w:ascii="Times New Roman" w:eastAsia="SimSun" w:hAnsi="Times New Roman" w:cs="Times New Roman"/>
                <w:color w:val="000000"/>
                <w:sz w:val="22"/>
                <w:szCs w:val="22"/>
              </w:rPr>
              <w:t>CD</w:t>
            </w:r>
          </w:p>
          <w:p w14:paraId="5016A61F"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eastAsia="SimSun" w:hAnsi="Times New Roman" w:cs="Times New Roman"/>
                <w:color w:val="000000"/>
                <w:sz w:val="22"/>
                <w:szCs w:val="22"/>
              </w:rPr>
              <w:t>Mean</w:t>
            </w:r>
            <w:r w:rsidRPr="00494C7A">
              <w:rPr>
                <w:rFonts w:ascii="Times New Roman" w:hAnsi="Times New Roman" w:cs="Times New Roman"/>
                <w:color w:val="000000"/>
                <w:sz w:val="22"/>
                <w:szCs w:val="22"/>
              </w:rPr>
              <w:t>±</w:t>
            </w:r>
            <w:r w:rsidRPr="00494C7A">
              <w:rPr>
                <w:rFonts w:ascii="Times New Roman" w:eastAsia="SimSun" w:hAnsi="Times New Roman" w:cs="Times New Roman"/>
                <w:color w:val="000000"/>
                <w:sz w:val="22"/>
                <w:szCs w:val="22"/>
              </w:rPr>
              <w:t xml:space="preserve"> SE</w:t>
            </w:r>
          </w:p>
        </w:tc>
        <w:tc>
          <w:tcPr>
            <w:tcW w:w="1704" w:type="dxa"/>
          </w:tcPr>
          <w:p w14:paraId="0FEFC922" w14:textId="77777777" w:rsidR="00AF7721" w:rsidRPr="00494C7A" w:rsidRDefault="00046F22">
            <w:pPr>
              <w:widowControl/>
              <w:ind w:firstLineChars="50" w:firstLine="110"/>
              <w:jc w:val="left"/>
              <w:rPr>
                <w:rFonts w:ascii="Times New Roman" w:eastAsia="SimSun" w:hAnsi="Times New Roman" w:cs="Times New Roman"/>
                <w:color w:val="000000"/>
                <w:sz w:val="22"/>
                <w:szCs w:val="22"/>
              </w:rPr>
            </w:pPr>
            <w:r w:rsidRPr="00494C7A">
              <w:rPr>
                <w:rFonts w:ascii="Times New Roman" w:eastAsia="SimSun" w:hAnsi="Times New Roman" w:cs="Times New Roman"/>
                <w:color w:val="000000"/>
                <w:sz w:val="22"/>
                <w:szCs w:val="22"/>
              </w:rPr>
              <w:t>CN</w:t>
            </w:r>
          </w:p>
          <w:p w14:paraId="7D03D6F8"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eastAsia="SimSun" w:hAnsi="Times New Roman" w:cs="Times New Roman"/>
                <w:color w:val="000000"/>
                <w:sz w:val="22"/>
                <w:szCs w:val="22"/>
              </w:rPr>
              <w:t>Mean</w:t>
            </w:r>
            <w:r w:rsidRPr="00494C7A">
              <w:rPr>
                <w:rFonts w:ascii="Times New Roman" w:hAnsi="Times New Roman" w:cs="Times New Roman"/>
                <w:color w:val="000000"/>
                <w:sz w:val="22"/>
                <w:szCs w:val="22"/>
              </w:rPr>
              <w:t>±</w:t>
            </w:r>
            <w:r w:rsidRPr="00494C7A">
              <w:rPr>
                <w:rFonts w:ascii="Times New Roman" w:eastAsia="SimSun" w:hAnsi="Times New Roman" w:cs="Times New Roman"/>
                <w:color w:val="000000"/>
                <w:sz w:val="22"/>
                <w:szCs w:val="22"/>
              </w:rPr>
              <w:t xml:space="preserve"> SE</w:t>
            </w:r>
          </w:p>
        </w:tc>
        <w:tc>
          <w:tcPr>
            <w:tcW w:w="1705" w:type="dxa"/>
          </w:tcPr>
          <w:p w14:paraId="175ADC16"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t</w:t>
            </w:r>
            <w:r w:rsidR="00D7573A" w:rsidRPr="00494C7A">
              <w:rPr>
                <w:rFonts w:ascii="Times New Roman" w:hAnsi="Times New Roman" w:cs="Times New Roman"/>
                <w:sz w:val="22"/>
                <w:szCs w:val="22"/>
              </w:rPr>
              <w:t>-value</w:t>
            </w:r>
          </w:p>
        </w:tc>
        <w:tc>
          <w:tcPr>
            <w:tcW w:w="1705" w:type="dxa"/>
          </w:tcPr>
          <w:p w14:paraId="13B9F25D"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p-value</w:t>
            </w:r>
          </w:p>
        </w:tc>
      </w:tr>
      <w:tr w:rsidR="002C6A20" w:rsidRPr="00494C7A" w14:paraId="457CAB2D" w14:textId="77777777">
        <w:tc>
          <w:tcPr>
            <w:tcW w:w="1704" w:type="dxa"/>
          </w:tcPr>
          <w:p w14:paraId="3D7C1409"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w:t>
            </w:r>
            <w:r w:rsidRPr="00494C7A">
              <w:rPr>
                <w:rFonts w:ascii="Times New Roman" w:hAnsi="Times New Roman" w:cs="Times New Roman"/>
                <w:color w:val="000000"/>
                <w:sz w:val="22"/>
                <w:szCs w:val="22"/>
                <w:vertAlign w:val="superscript"/>
              </w:rPr>
              <w:t>st</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704" w:type="dxa"/>
          </w:tcPr>
          <w:p w14:paraId="5C196799"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1.39</w:t>
            </w:r>
            <w:r w:rsidRPr="00494C7A">
              <w:rPr>
                <w:rFonts w:ascii="Times New Roman" w:hAnsi="Times New Roman" w:cs="Times New Roman"/>
                <w:color w:val="000000"/>
                <w:sz w:val="22"/>
                <w:szCs w:val="22"/>
              </w:rPr>
              <w:t>±0.00</w:t>
            </w:r>
            <w:r w:rsidR="00743006" w:rsidRPr="00494C7A">
              <w:rPr>
                <w:rFonts w:ascii="Times New Roman" w:hAnsi="Times New Roman" w:cs="Times New Roman"/>
                <w:color w:val="000000"/>
                <w:sz w:val="22"/>
                <w:szCs w:val="22"/>
              </w:rPr>
              <w:t>*</w:t>
            </w:r>
          </w:p>
        </w:tc>
        <w:tc>
          <w:tcPr>
            <w:tcW w:w="1704" w:type="dxa"/>
          </w:tcPr>
          <w:p w14:paraId="55A8399D"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1.34</w:t>
            </w:r>
            <w:r w:rsidRPr="00494C7A">
              <w:rPr>
                <w:rFonts w:ascii="Times New Roman" w:hAnsi="Times New Roman" w:cs="Times New Roman"/>
                <w:color w:val="000000"/>
                <w:sz w:val="22"/>
                <w:szCs w:val="22"/>
              </w:rPr>
              <w:t>±0.01</w:t>
            </w:r>
          </w:p>
        </w:tc>
        <w:tc>
          <w:tcPr>
            <w:tcW w:w="1705" w:type="dxa"/>
          </w:tcPr>
          <w:p w14:paraId="31B71E7E"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7.00</w:t>
            </w:r>
          </w:p>
        </w:tc>
        <w:tc>
          <w:tcPr>
            <w:tcW w:w="1705" w:type="dxa"/>
          </w:tcPr>
          <w:p w14:paraId="5919952C"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0.002</w:t>
            </w:r>
          </w:p>
        </w:tc>
      </w:tr>
      <w:tr w:rsidR="002C6A20" w:rsidRPr="00494C7A" w14:paraId="593FC120" w14:textId="77777777" w:rsidTr="002C6A20">
        <w:trPr>
          <w:trHeight w:val="305"/>
        </w:trPr>
        <w:tc>
          <w:tcPr>
            <w:tcW w:w="1704" w:type="dxa"/>
          </w:tcPr>
          <w:p w14:paraId="5ABFB04B"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w:t>
            </w:r>
            <w:r w:rsidRPr="00494C7A">
              <w:rPr>
                <w:rFonts w:ascii="Times New Roman" w:hAnsi="Times New Roman" w:cs="Times New Roman"/>
                <w:color w:val="000000"/>
                <w:sz w:val="22"/>
                <w:szCs w:val="22"/>
                <w:vertAlign w:val="superscript"/>
              </w:rPr>
              <w:t>nd</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704" w:type="dxa"/>
          </w:tcPr>
          <w:p w14:paraId="06DB0A03"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1.32</w:t>
            </w:r>
            <w:r w:rsidRPr="00494C7A">
              <w:rPr>
                <w:rFonts w:ascii="Times New Roman" w:hAnsi="Times New Roman" w:cs="Times New Roman"/>
                <w:color w:val="000000"/>
                <w:sz w:val="22"/>
                <w:szCs w:val="22"/>
              </w:rPr>
              <w:t>±0.00</w:t>
            </w:r>
          </w:p>
        </w:tc>
        <w:tc>
          <w:tcPr>
            <w:tcW w:w="1704" w:type="dxa"/>
          </w:tcPr>
          <w:p w14:paraId="1C1BC39F"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1.43</w:t>
            </w:r>
            <w:r w:rsidRPr="00494C7A">
              <w:rPr>
                <w:rFonts w:ascii="Times New Roman" w:hAnsi="Times New Roman" w:cs="Times New Roman"/>
                <w:color w:val="000000"/>
                <w:sz w:val="22"/>
                <w:szCs w:val="22"/>
              </w:rPr>
              <w:t>±0.01</w:t>
            </w:r>
            <w:r w:rsidR="00743006" w:rsidRPr="00494C7A">
              <w:rPr>
                <w:rFonts w:ascii="Times New Roman" w:hAnsi="Times New Roman" w:cs="Times New Roman"/>
                <w:color w:val="000000"/>
                <w:sz w:val="22"/>
                <w:szCs w:val="22"/>
              </w:rPr>
              <w:t>*</w:t>
            </w:r>
          </w:p>
        </w:tc>
        <w:tc>
          <w:tcPr>
            <w:tcW w:w="1705" w:type="dxa"/>
          </w:tcPr>
          <w:p w14:paraId="702C7CE1"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-12.37</w:t>
            </w:r>
          </w:p>
        </w:tc>
        <w:tc>
          <w:tcPr>
            <w:tcW w:w="1705" w:type="dxa"/>
          </w:tcPr>
          <w:p w14:paraId="75BFC6EF"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&lt;0.001</w:t>
            </w:r>
          </w:p>
        </w:tc>
      </w:tr>
      <w:tr w:rsidR="002C6A20" w:rsidRPr="00494C7A" w14:paraId="462F0762" w14:textId="77777777">
        <w:tc>
          <w:tcPr>
            <w:tcW w:w="1704" w:type="dxa"/>
          </w:tcPr>
          <w:p w14:paraId="7DE0BDAA"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3</w:t>
            </w:r>
            <w:r w:rsidRPr="00494C7A">
              <w:rPr>
                <w:rFonts w:ascii="Times New Roman" w:hAnsi="Times New Roman" w:cs="Times New Roman"/>
                <w:color w:val="000000"/>
                <w:sz w:val="22"/>
                <w:szCs w:val="22"/>
                <w:vertAlign w:val="superscript"/>
              </w:rPr>
              <w:t>rd</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704" w:type="dxa"/>
          </w:tcPr>
          <w:p w14:paraId="31D9292E"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1.12</w:t>
            </w:r>
            <w:r w:rsidRPr="00494C7A">
              <w:rPr>
                <w:rFonts w:ascii="Times New Roman" w:hAnsi="Times New Roman" w:cs="Times New Roman"/>
                <w:color w:val="000000"/>
                <w:sz w:val="22"/>
                <w:szCs w:val="22"/>
              </w:rPr>
              <w:t>±0.02</w:t>
            </w:r>
          </w:p>
        </w:tc>
        <w:tc>
          <w:tcPr>
            <w:tcW w:w="1704" w:type="dxa"/>
          </w:tcPr>
          <w:p w14:paraId="730D9E74"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1.49</w:t>
            </w:r>
            <w:r w:rsidRPr="00494C7A">
              <w:rPr>
                <w:rFonts w:ascii="Times New Roman" w:hAnsi="Times New Roman" w:cs="Times New Roman"/>
                <w:color w:val="000000"/>
                <w:sz w:val="22"/>
                <w:szCs w:val="22"/>
              </w:rPr>
              <w:t>±0.05</w:t>
            </w:r>
            <w:r w:rsidR="00743006" w:rsidRPr="00494C7A">
              <w:rPr>
                <w:rFonts w:ascii="Times New Roman" w:hAnsi="Times New Roman" w:cs="Times New Roman"/>
                <w:color w:val="000000"/>
                <w:sz w:val="22"/>
                <w:szCs w:val="22"/>
              </w:rPr>
              <w:t>*</w:t>
            </w:r>
          </w:p>
        </w:tc>
        <w:tc>
          <w:tcPr>
            <w:tcW w:w="1705" w:type="dxa"/>
          </w:tcPr>
          <w:p w14:paraId="6C84B2B0"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-6.84</w:t>
            </w:r>
          </w:p>
        </w:tc>
        <w:tc>
          <w:tcPr>
            <w:tcW w:w="1705" w:type="dxa"/>
          </w:tcPr>
          <w:p w14:paraId="39C7EF2B"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0.002</w:t>
            </w:r>
          </w:p>
        </w:tc>
      </w:tr>
      <w:tr w:rsidR="002C6A20" w:rsidRPr="00494C7A" w14:paraId="1583B234" w14:textId="77777777">
        <w:tc>
          <w:tcPr>
            <w:tcW w:w="1704" w:type="dxa"/>
          </w:tcPr>
          <w:p w14:paraId="153B0E60"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4</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704" w:type="dxa"/>
          </w:tcPr>
          <w:p w14:paraId="15A32F33"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1.08</w:t>
            </w:r>
            <w:r w:rsidRPr="00494C7A">
              <w:rPr>
                <w:rFonts w:ascii="Times New Roman" w:hAnsi="Times New Roman" w:cs="Times New Roman"/>
                <w:color w:val="000000"/>
                <w:sz w:val="22"/>
                <w:szCs w:val="22"/>
              </w:rPr>
              <w:t>±0.01</w:t>
            </w:r>
          </w:p>
        </w:tc>
        <w:tc>
          <w:tcPr>
            <w:tcW w:w="1704" w:type="dxa"/>
          </w:tcPr>
          <w:p w14:paraId="30568574"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1.33</w:t>
            </w:r>
            <w:r w:rsidRPr="00494C7A">
              <w:rPr>
                <w:rFonts w:ascii="Times New Roman" w:hAnsi="Times New Roman" w:cs="Times New Roman"/>
                <w:color w:val="000000"/>
                <w:sz w:val="22"/>
                <w:szCs w:val="22"/>
              </w:rPr>
              <w:t>±0.12</w:t>
            </w:r>
            <w:r w:rsidR="00743006" w:rsidRPr="00494C7A">
              <w:rPr>
                <w:rFonts w:ascii="Times New Roman" w:hAnsi="Times New Roman" w:cs="Times New Roman"/>
                <w:color w:val="000000"/>
                <w:sz w:val="22"/>
                <w:szCs w:val="22"/>
              </w:rPr>
              <w:t>*</w:t>
            </w:r>
          </w:p>
        </w:tc>
        <w:tc>
          <w:tcPr>
            <w:tcW w:w="1705" w:type="dxa"/>
          </w:tcPr>
          <w:p w14:paraId="024A8963"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-2.06</w:t>
            </w:r>
          </w:p>
        </w:tc>
        <w:tc>
          <w:tcPr>
            <w:tcW w:w="1705" w:type="dxa"/>
          </w:tcPr>
          <w:p w14:paraId="00855111"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0.11</w:t>
            </w:r>
          </w:p>
        </w:tc>
      </w:tr>
      <w:tr w:rsidR="002C6A20" w:rsidRPr="00494C7A" w14:paraId="72A6B630" w14:textId="77777777">
        <w:tc>
          <w:tcPr>
            <w:tcW w:w="1704" w:type="dxa"/>
          </w:tcPr>
          <w:p w14:paraId="785821C4"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5</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704" w:type="dxa"/>
          </w:tcPr>
          <w:p w14:paraId="681441B6"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1.21</w:t>
            </w:r>
            <w:r w:rsidRPr="00494C7A">
              <w:rPr>
                <w:rFonts w:ascii="Times New Roman" w:hAnsi="Times New Roman" w:cs="Times New Roman"/>
                <w:color w:val="000000"/>
                <w:sz w:val="22"/>
                <w:szCs w:val="22"/>
              </w:rPr>
              <w:t>±0.01</w:t>
            </w:r>
          </w:p>
        </w:tc>
        <w:tc>
          <w:tcPr>
            <w:tcW w:w="1704" w:type="dxa"/>
          </w:tcPr>
          <w:p w14:paraId="6C29C98B"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1.32</w:t>
            </w:r>
            <w:r w:rsidRPr="00494C7A">
              <w:rPr>
                <w:rFonts w:ascii="Times New Roman" w:hAnsi="Times New Roman" w:cs="Times New Roman"/>
                <w:color w:val="000000"/>
                <w:sz w:val="22"/>
                <w:szCs w:val="22"/>
              </w:rPr>
              <w:t>±0.12</w:t>
            </w:r>
            <w:r w:rsidR="00743006" w:rsidRPr="00494C7A">
              <w:rPr>
                <w:rFonts w:ascii="Times New Roman" w:hAnsi="Times New Roman" w:cs="Times New Roman"/>
                <w:color w:val="000000"/>
                <w:sz w:val="22"/>
                <w:szCs w:val="22"/>
              </w:rPr>
              <w:t>*</w:t>
            </w:r>
          </w:p>
        </w:tc>
        <w:tc>
          <w:tcPr>
            <w:tcW w:w="1705" w:type="dxa"/>
          </w:tcPr>
          <w:p w14:paraId="1A25BEF4"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-6.74</w:t>
            </w:r>
          </w:p>
        </w:tc>
        <w:tc>
          <w:tcPr>
            <w:tcW w:w="1705" w:type="dxa"/>
          </w:tcPr>
          <w:p w14:paraId="351B4805"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0.003</w:t>
            </w:r>
          </w:p>
        </w:tc>
      </w:tr>
      <w:tr w:rsidR="002C6A20" w:rsidRPr="00494C7A" w14:paraId="370BBAA9" w14:textId="77777777" w:rsidTr="002C6A20">
        <w:trPr>
          <w:trHeight w:val="368"/>
        </w:trPr>
        <w:tc>
          <w:tcPr>
            <w:tcW w:w="1704" w:type="dxa"/>
          </w:tcPr>
          <w:p w14:paraId="00A84F7F"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lastRenderedPageBreak/>
              <w:t>6</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704" w:type="dxa"/>
          </w:tcPr>
          <w:p w14:paraId="53FE5895"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1.33</w:t>
            </w:r>
            <w:r w:rsidRPr="00494C7A">
              <w:rPr>
                <w:rFonts w:ascii="Times New Roman" w:hAnsi="Times New Roman" w:cs="Times New Roman"/>
                <w:color w:val="000000"/>
                <w:sz w:val="22"/>
                <w:szCs w:val="22"/>
              </w:rPr>
              <w:t>±0.01</w:t>
            </w:r>
          </w:p>
        </w:tc>
        <w:tc>
          <w:tcPr>
            <w:tcW w:w="1704" w:type="dxa"/>
          </w:tcPr>
          <w:p w14:paraId="5F9934BA"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1.34</w:t>
            </w:r>
            <w:r w:rsidRPr="00494C7A">
              <w:rPr>
                <w:rFonts w:ascii="Times New Roman" w:hAnsi="Times New Roman" w:cs="Times New Roman"/>
                <w:color w:val="000000"/>
                <w:sz w:val="22"/>
                <w:szCs w:val="22"/>
              </w:rPr>
              <w:t>±0.03</w:t>
            </w:r>
          </w:p>
        </w:tc>
        <w:tc>
          <w:tcPr>
            <w:tcW w:w="1705" w:type="dxa"/>
          </w:tcPr>
          <w:p w14:paraId="1388BEC1"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-0.203</w:t>
            </w:r>
          </w:p>
        </w:tc>
        <w:tc>
          <w:tcPr>
            <w:tcW w:w="1705" w:type="dxa"/>
          </w:tcPr>
          <w:p w14:paraId="000ABD45"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0.849</w:t>
            </w:r>
          </w:p>
        </w:tc>
      </w:tr>
      <w:tr w:rsidR="002C6A20" w:rsidRPr="00494C7A" w14:paraId="7C1BECA6" w14:textId="77777777" w:rsidTr="002C6A20">
        <w:trPr>
          <w:trHeight w:val="332"/>
        </w:trPr>
        <w:tc>
          <w:tcPr>
            <w:tcW w:w="1704" w:type="dxa"/>
          </w:tcPr>
          <w:p w14:paraId="5804C0E2"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8</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704" w:type="dxa"/>
          </w:tcPr>
          <w:p w14:paraId="49687D43"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color w:val="000000"/>
                <w:sz w:val="22"/>
                <w:szCs w:val="22"/>
              </w:rPr>
              <w:t>1.59±0.02</w:t>
            </w:r>
          </w:p>
        </w:tc>
        <w:tc>
          <w:tcPr>
            <w:tcW w:w="1704" w:type="dxa"/>
          </w:tcPr>
          <w:p w14:paraId="489A410A"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color w:val="000000"/>
                <w:sz w:val="22"/>
                <w:szCs w:val="22"/>
              </w:rPr>
              <w:t>1.66±0.11</w:t>
            </w:r>
          </w:p>
        </w:tc>
        <w:tc>
          <w:tcPr>
            <w:tcW w:w="1705" w:type="dxa"/>
          </w:tcPr>
          <w:p w14:paraId="60BE0455"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-2.35</w:t>
            </w:r>
          </w:p>
        </w:tc>
        <w:tc>
          <w:tcPr>
            <w:tcW w:w="1705" w:type="dxa"/>
          </w:tcPr>
          <w:p w14:paraId="74B919B3"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0.079</w:t>
            </w:r>
          </w:p>
        </w:tc>
      </w:tr>
      <w:tr w:rsidR="002C6A20" w:rsidRPr="00494C7A" w14:paraId="17194C4E" w14:textId="77777777">
        <w:tc>
          <w:tcPr>
            <w:tcW w:w="1704" w:type="dxa"/>
          </w:tcPr>
          <w:p w14:paraId="565289A0"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10</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704" w:type="dxa"/>
          </w:tcPr>
          <w:p w14:paraId="37769990"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color w:val="000000"/>
                <w:sz w:val="22"/>
                <w:szCs w:val="22"/>
              </w:rPr>
              <w:t>1.25±0.02</w:t>
            </w:r>
          </w:p>
        </w:tc>
        <w:tc>
          <w:tcPr>
            <w:tcW w:w="1704" w:type="dxa"/>
          </w:tcPr>
          <w:p w14:paraId="5BEE0C5E"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color w:val="000000"/>
                <w:sz w:val="22"/>
                <w:szCs w:val="22"/>
              </w:rPr>
              <w:t>1.46±0.01</w:t>
            </w:r>
            <w:r w:rsidR="00743006" w:rsidRPr="00494C7A">
              <w:rPr>
                <w:rFonts w:ascii="Times New Roman" w:hAnsi="Times New Roman" w:cs="Times New Roman"/>
                <w:color w:val="000000"/>
                <w:sz w:val="22"/>
                <w:szCs w:val="22"/>
              </w:rPr>
              <w:t>*</w:t>
            </w:r>
          </w:p>
        </w:tc>
        <w:tc>
          <w:tcPr>
            <w:tcW w:w="1705" w:type="dxa"/>
          </w:tcPr>
          <w:p w14:paraId="565D50EF"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-9.80</w:t>
            </w:r>
          </w:p>
        </w:tc>
        <w:tc>
          <w:tcPr>
            <w:tcW w:w="1705" w:type="dxa"/>
          </w:tcPr>
          <w:p w14:paraId="54F6B20C"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&lt;0.001</w:t>
            </w:r>
          </w:p>
        </w:tc>
      </w:tr>
      <w:tr w:rsidR="002C6A20" w:rsidRPr="00494C7A" w14:paraId="4CBD4532" w14:textId="77777777">
        <w:tc>
          <w:tcPr>
            <w:tcW w:w="1704" w:type="dxa"/>
          </w:tcPr>
          <w:p w14:paraId="40910CED"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12</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704" w:type="dxa"/>
          </w:tcPr>
          <w:p w14:paraId="17A9A99B"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color w:val="000000"/>
                <w:sz w:val="22"/>
                <w:szCs w:val="22"/>
              </w:rPr>
              <w:t>1.14±0.02</w:t>
            </w:r>
          </w:p>
        </w:tc>
        <w:tc>
          <w:tcPr>
            <w:tcW w:w="1704" w:type="dxa"/>
          </w:tcPr>
          <w:p w14:paraId="62DC5A0D"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1.29</w:t>
            </w:r>
            <w:r w:rsidRPr="00494C7A">
              <w:rPr>
                <w:rFonts w:ascii="Times New Roman" w:hAnsi="Times New Roman" w:cs="Times New Roman"/>
                <w:color w:val="000000"/>
                <w:sz w:val="22"/>
                <w:szCs w:val="22"/>
              </w:rPr>
              <w:t>±0.06</w:t>
            </w:r>
          </w:p>
        </w:tc>
        <w:tc>
          <w:tcPr>
            <w:tcW w:w="1705" w:type="dxa"/>
          </w:tcPr>
          <w:p w14:paraId="3A778E26"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-2.59</w:t>
            </w:r>
          </w:p>
        </w:tc>
        <w:tc>
          <w:tcPr>
            <w:tcW w:w="1705" w:type="dxa"/>
          </w:tcPr>
          <w:p w14:paraId="17951116"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0.061</w:t>
            </w:r>
          </w:p>
        </w:tc>
      </w:tr>
      <w:tr w:rsidR="002C6A20" w:rsidRPr="00494C7A" w14:paraId="1E1266DE" w14:textId="77777777">
        <w:tc>
          <w:tcPr>
            <w:tcW w:w="1704" w:type="dxa"/>
          </w:tcPr>
          <w:p w14:paraId="14145E97"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14</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704" w:type="dxa"/>
          </w:tcPr>
          <w:p w14:paraId="6C7D8F02"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1.13</w:t>
            </w:r>
            <w:r w:rsidRPr="00494C7A">
              <w:rPr>
                <w:rFonts w:ascii="Times New Roman" w:hAnsi="Times New Roman" w:cs="Times New Roman"/>
                <w:color w:val="000000"/>
                <w:sz w:val="22"/>
                <w:szCs w:val="22"/>
              </w:rPr>
              <w:t>±0.03</w:t>
            </w:r>
          </w:p>
        </w:tc>
        <w:tc>
          <w:tcPr>
            <w:tcW w:w="1704" w:type="dxa"/>
          </w:tcPr>
          <w:p w14:paraId="27E43CDC"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1.34</w:t>
            </w:r>
            <w:r w:rsidRPr="00494C7A">
              <w:rPr>
                <w:rFonts w:ascii="Times New Roman" w:hAnsi="Times New Roman" w:cs="Times New Roman"/>
                <w:color w:val="000000"/>
                <w:sz w:val="22"/>
                <w:szCs w:val="22"/>
              </w:rPr>
              <w:t>±0.02</w:t>
            </w:r>
            <w:r w:rsidR="00743006" w:rsidRPr="00494C7A">
              <w:rPr>
                <w:rFonts w:ascii="Times New Roman" w:hAnsi="Times New Roman" w:cs="Times New Roman"/>
                <w:color w:val="000000"/>
                <w:sz w:val="22"/>
                <w:szCs w:val="22"/>
              </w:rPr>
              <w:t>*</w:t>
            </w:r>
          </w:p>
        </w:tc>
        <w:tc>
          <w:tcPr>
            <w:tcW w:w="1705" w:type="dxa"/>
          </w:tcPr>
          <w:p w14:paraId="79FF8495"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-6.67</w:t>
            </w:r>
          </w:p>
        </w:tc>
        <w:tc>
          <w:tcPr>
            <w:tcW w:w="1705" w:type="dxa"/>
          </w:tcPr>
          <w:p w14:paraId="5A8E3EF7"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0.003</w:t>
            </w:r>
          </w:p>
        </w:tc>
      </w:tr>
      <w:tr w:rsidR="002C6A20" w:rsidRPr="00494C7A" w14:paraId="46F0684D" w14:textId="77777777">
        <w:tc>
          <w:tcPr>
            <w:tcW w:w="1704" w:type="dxa"/>
          </w:tcPr>
          <w:p w14:paraId="43012405"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16</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704" w:type="dxa"/>
          </w:tcPr>
          <w:p w14:paraId="1DCFB7B3"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1.04</w:t>
            </w:r>
            <w:r w:rsidRPr="00494C7A">
              <w:rPr>
                <w:rFonts w:ascii="Times New Roman" w:hAnsi="Times New Roman" w:cs="Times New Roman"/>
                <w:color w:val="000000"/>
                <w:sz w:val="22"/>
                <w:szCs w:val="22"/>
              </w:rPr>
              <w:t>±0.01</w:t>
            </w:r>
          </w:p>
        </w:tc>
        <w:tc>
          <w:tcPr>
            <w:tcW w:w="1704" w:type="dxa"/>
          </w:tcPr>
          <w:p w14:paraId="44C70660"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1.33</w:t>
            </w:r>
            <w:r w:rsidRPr="00494C7A">
              <w:rPr>
                <w:rFonts w:ascii="Times New Roman" w:hAnsi="Times New Roman" w:cs="Times New Roman"/>
                <w:color w:val="000000"/>
                <w:sz w:val="22"/>
                <w:szCs w:val="22"/>
              </w:rPr>
              <w:t>±0.05</w:t>
            </w:r>
            <w:r w:rsidR="00743006" w:rsidRPr="00494C7A">
              <w:rPr>
                <w:rFonts w:ascii="Times New Roman" w:hAnsi="Times New Roman" w:cs="Times New Roman"/>
                <w:color w:val="000000"/>
                <w:sz w:val="22"/>
                <w:szCs w:val="22"/>
              </w:rPr>
              <w:t>*</w:t>
            </w:r>
          </w:p>
        </w:tc>
        <w:tc>
          <w:tcPr>
            <w:tcW w:w="1705" w:type="dxa"/>
          </w:tcPr>
          <w:p w14:paraId="224C5B22"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-5.65</w:t>
            </w:r>
          </w:p>
        </w:tc>
        <w:tc>
          <w:tcPr>
            <w:tcW w:w="1705" w:type="dxa"/>
          </w:tcPr>
          <w:p w14:paraId="6650DB0D"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&lt;0.001</w:t>
            </w:r>
          </w:p>
        </w:tc>
      </w:tr>
      <w:tr w:rsidR="002C6A20" w:rsidRPr="00494C7A" w14:paraId="71489390" w14:textId="77777777">
        <w:tc>
          <w:tcPr>
            <w:tcW w:w="1704" w:type="dxa"/>
          </w:tcPr>
          <w:p w14:paraId="0FDE1F01"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18</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704" w:type="dxa"/>
          </w:tcPr>
          <w:p w14:paraId="57581259"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1.09</w:t>
            </w:r>
            <w:r w:rsidRPr="00494C7A">
              <w:rPr>
                <w:rFonts w:ascii="Times New Roman" w:hAnsi="Times New Roman" w:cs="Times New Roman"/>
                <w:color w:val="000000"/>
                <w:sz w:val="22"/>
                <w:szCs w:val="22"/>
              </w:rPr>
              <w:t>±0.01</w:t>
            </w:r>
          </w:p>
        </w:tc>
        <w:tc>
          <w:tcPr>
            <w:tcW w:w="1704" w:type="dxa"/>
          </w:tcPr>
          <w:p w14:paraId="68C4C7E1"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1.31</w:t>
            </w:r>
            <w:r w:rsidRPr="00494C7A">
              <w:rPr>
                <w:rFonts w:ascii="Times New Roman" w:hAnsi="Times New Roman" w:cs="Times New Roman"/>
                <w:color w:val="000000"/>
                <w:sz w:val="22"/>
                <w:szCs w:val="22"/>
              </w:rPr>
              <w:t>±0.04</w:t>
            </w:r>
            <w:r w:rsidR="00743006" w:rsidRPr="00494C7A">
              <w:rPr>
                <w:rFonts w:ascii="Times New Roman" w:hAnsi="Times New Roman" w:cs="Times New Roman"/>
                <w:color w:val="000000"/>
                <w:sz w:val="22"/>
                <w:szCs w:val="22"/>
              </w:rPr>
              <w:t>*</w:t>
            </w:r>
          </w:p>
        </w:tc>
        <w:tc>
          <w:tcPr>
            <w:tcW w:w="1705" w:type="dxa"/>
          </w:tcPr>
          <w:p w14:paraId="603503FD"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-5.14</w:t>
            </w:r>
          </w:p>
        </w:tc>
        <w:tc>
          <w:tcPr>
            <w:tcW w:w="1705" w:type="dxa"/>
          </w:tcPr>
          <w:p w14:paraId="6CE6E769"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0.007</w:t>
            </w:r>
          </w:p>
        </w:tc>
      </w:tr>
      <w:tr w:rsidR="002C6A20" w:rsidRPr="00494C7A" w14:paraId="02C4814F" w14:textId="77777777">
        <w:tc>
          <w:tcPr>
            <w:tcW w:w="1704" w:type="dxa"/>
          </w:tcPr>
          <w:p w14:paraId="0851F539" w14:textId="77777777" w:rsidR="002C6A20" w:rsidRPr="00494C7A" w:rsidRDefault="002C6A20" w:rsidP="00B3675B">
            <w:pPr>
              <w:pStyle w:val="NormalWeb"/>
              <w:widowControl/>
              <w:spacing w:line="360" w:lineRule="auto"/>
              <w:rPr>
                <w:rFonts w:ascii="Times New Roman" w:hAnsi="Times New Roman" w:cs="Times New Roman"/>
                <w:color w:val="000000"/>
                <w:sz w:val="22"/>
                <w:szCs w:val="22"/>
              </w:rPr>
            </w:pPr>
            <w:r w:rsidRPr="00494C7A">
              <w:rPr>
                <w:rFonts w:ascii="Times New Roman" w:hAnsi="Times New Roman" w:cs="Times New Roman"/>
                <w:color w:val="000000"/>
                <w:sz w:val="22"/>
                <w:szCs w:val="22"/>
              </w:rPr>
              <w:t>20</w:t>
            </w:r>
            <w:r w:rsidRPr="00494C7A">
              <w:rPr>
                <w:rFonts w:ascii="Times New Roman" w:hAnsi="Times New Roman" w:cs="Times New Roman"/>
                <w:color w:val="000000"/>
                <w:sz w:val="22"/>
                <w:szCs w:val="22"/>
                <w:vertAlign w:val="superscript"/>
              </w:rPr>
              <w:t>th</w:t>
            </w:r>
            <w:r w:rsidRPr="00494C7A">
              <w:rPr>
                <w:rFonts w:ascii="Times New Roman" w:hAnsi="Times New Roman" w:cs="Times New Roman"/>
                <w:color w:val="000000"/>
                <w:sz w:val="22"/>
                <w:szCs w:val="22"/>
              </w:rPr>
              <w:t xml:space="preserve"> </w:t>
            </w:r>
            <w:proofErr w:type="spellStart"/>
            <w:r w:rsidRPr="00494C7A">
              <w:rPr>
                <w:rFonts w:ascii="Times New Roman" w:hAnsi="Times New Roman" w:cs="Times New Roman"/>
                <w:color w:val="000000"/>
                <w:sz w:val="22"/>
                <w:szCs w:val="22"/>
              </w:rPr>
              <w:t>wk</w:t>
            </w:r>
            <w:proofErr w:type="spellEnd"/>
          </w:p>
        </w:tc>
        <w:tc>
          <w:tcPr>
            <w:tcW w:w="1704" w:type="dxa"/>
          </w:tcPr>
          <w:p w14:paraId="4B395390"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1.09</w:t>
            </w:r>
            <w:r w:rsidRPr="00494C7A">
              <w:rPr>
                <w:rFonts w:ascii="Times New Roman" w:hAnsi="Times New Roman" w:cs="Times New Roman"/>
                <w:color w:val="000000"/>
                <w:sz w:val="22"/>
                <w:szCs w:val="22"/>
              </w:rPr>
              <w:t>±0.02</w:t>
            </w:r>
          </w:p>
        </w:tc>
        <w:tc>
          <w:tcPr>
            <w:tcW w:w="1704" w:type="dxa"/>
          </w:tcPr>
          <w:p w14:paraId="71479C91"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1.16</w:t>
            </w:r>
            <w:r w:rsidRPr="00494C7A">
              <w:rPr>
                <w:rFonts w:ascii="Times New Roman" w:hAnsi="Times New Roman" w:cs="Times New Roman"/>
                <w:color w:val="000000"/>
                <w:sz w:val="22"/>
                <w:szCs w:val="22"/>
              </w:rPr>
              <w:t>±0.04</w:t>
            </w:r>
          </w:p>
        </w:tc>
        <w:tc>
          <w:tcPr>
            <w:tcW w:w="1705" w:type="dxa"/>
          </w:tcPr>
          <w:p w14:paraId="634E5E09" w14:textId="77777777" w:rsidR="002C6A20" w:rsidRPr="00494C7A" w:rsidRDefault="002C6A20">
            <w:pPr>
              <w:rPr>
                <w:rFonts w:ascii="Times New Roman" w:hAnsi="Times New Roman" w:cs="Times New Roman"/>
                <w:sz w:val="22"/>
                <w:szCs w:val="22"/>
              </w:rPr>
            </w:pPr>
            <w:r w:rsidRPr="00494C7A">
              <w:rPr>
                <w:rFonts w:ascii="Times New Roman" w:hAnsi="Times New Roman" w:cs="Times New Roman"/>
                <w:sz w:val="22"/>
                <w:szCs w:val="22"/>
              </w:rPr>
              <w:t>-1.72</w:t>
            </w:r>
          </w:p>
        </w:tc>
        <w:tc>
          <w:tcPr>
            <w:tcW w:w="1705" w:type="dxa"/>
          </w:tcPr>
          <w:p w14:paraId="507A66BF" w14:textId="77777777" w:rsidR="002C6A20" w:rsidRPr="00494C7A" w:rsidRDefault="002C6A20">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0.161</w:t>
            </w:r>
          </w:p>
        </w:tc>
      </w:tr>
    </w:tbl>
    <w:p w14:paraId="47A177F5" w14:textId="77777777" w:rsidR="00B3675B" w:rsidRPr="00494C7A" w:rsidRDefault="00D37776">
      <w:pPr>
        <w:pStyle w:val="NormalWeb"/>
        <w:spacing w:line="360" w:lineRule="auto"/>
        <w:rPr>
          <w:rFonts w:ascii="Times New Roman" w:hAnsi="Times New Roman" w:cs="Times New Roman"/>
          <w:b/>
          <w:bCs/>
          <w:color w:val="000000"/>
          <w:sz w:val="22"/>
          <w:szCs w:val="22"/>
        </w:rPr>
      </w:pPr>
      <w:r w:rsidRPr="00494C7A">
        <w:rPr>
          <w:rFonts w:ascii="Times New Roman" w:eastAsia="Times New Roman" w:hAnsi="Times New Roman" w:cs="Times New Roman"/>
          <w:b/>
          <w:bCs/>
          <w:sz w:val="22"/>
          <w:szCs w:val="22"/>
        </w:rPr>
        <w:t>*Indicates significant difference (p&lt;0.05)</w:t>
      </w:r>
    </w:p>
    <w:p w14:paraId="1883DE0E" w14:textId="77777777" w:rsidR="00B3675B" w:rsidRPr="00494C7A"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 xml:space="preserve">Fig. 3 Feed conversion ratio (FCR) of CARI Debendra and CARI Nirbheek birds from </w:t>
      </w:r>
    </w:p>
    <w:p w14:paraId="15EA86B8" w14:textId="77777777" w:rsidR="00AF7721" w:rsidRPr="00494C7A" w:rsidRDefault="00046F22">
      <w:pPr>
        <w:pStyle w:val="NormalWeb"/>
        <w:spacing w:line="360" w:lineRule="auto"/>
        <w:rPr>
          <w:rFonts w:ascii="Times New Roman" w:hAnsi="Times New Roman" w:cs="Times New Roman"/>
          <w:b/>
          <w:bCs/>
          <w:color w:val="000000"/>
          <w:sz w:val="22"/>
          <w:szCs w:val="22"/>
        </w:rPr>
      </w:pPr>
      <w:r w:rsidRPr="00494C7A">
        <w:rPr>
          <w:rFonts w:ascii="Times New Roman" w:hAnsi="Times New Roman" w:cs="Times New Roman"/>
          <w:b/>
          <w:bCs/>
          <w:color w:val="000000"/>
          <w:sz w:val="22"/>
          <w:szCs w:val="22"/>
        </w:rPr>
        <w:t>week 1 to 20 weeks of age.</w:t>
      </w:r>
    </w:p>
    <w:p w14:paraId="613F0D32" w14:textId="77777777" w:rsidR="00AF7721" w:rsidRPr="00494C7A" w:rsidRDefault="00AF7721">
      <w:pPr>
        <w:pStyle w:val="NormalWeb"/>
        <w:spacing w:line="360" w:lineRule="auto"/>
        <w:rPr>
          <w:rFonts w:ascii="Times New Roman" w:hAnsi="Times New Roman" w:cs="Times New Roman"/>
          <w:color w:val="000000"/>
          <w:sz w:val="22"/>
          <w:szCs w:val="22"/>
        </w:rPr>
      </w:pPr>
    </w:p>
    <w:p w14:paraId="4AEA1486" w14:textId="77777777" w:rsidR="00AF7721" w:rsidRPr="00494C7A" w:rsidRDefault="00046F22">
      <w:pPr>
        <w:pStyle w:val="NormalWeb"/>
        <w:spacing w:line="360" w:lineRule="auto"/>
        <w:rPr>
          <w:rFonts w:ascii="Times New Roman" w:hAnsi="Times New Roman" w:cs="Times New Roman"/>
          <w:color w:val="000000"/>
          <w:sz w:val="22"/>
          <w:szCs w:val="22"/>
        </w:rPr>
      </w:pPr>
      <w:r w:rsidRPr="00494C7A">
        <w:rPr>
          <w:rFonts w:ascii="Times New Roman" w:hAnsi="Times New Roman" w:cs="Times New Roman"/>
          <w:noProof/>
          <w:sz w:val="22"/>
          <w:szCs w:val="22"/>
          <w:lang w:eastAsia="en-US" w:bidi="hi-IN"/>
        </w:rPr>
        <w:drawing>
          <wp:inline distT="0" distB="0" distL="114300" distR="114300" wp14:anchorId="24FB1731" wp14:editId="4FB56AC6">
            <wp:extent cx="4800600" cy="2851150"/>
            <wp:effectExtent l="6350" t="6350" r="19050" b="1270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1223EF6" w14:textId="77777777" w:rsidR="00AF7721" w:rsidRPr="00494C7A" w:rsidRDefault="00AF7721">
      <w:pPr>
        <w:pStyle w:val="NormalWeb"/>
        <w:spacing w:line="360" w:lineRule="auto"/>
        <w:rPr>
          <w:rFonts w:ascii="Times New Roman" w:hAnsi="Times New Roman" w:cs="Times New Roman"/>
          <w:color w:val="000000"/>
          <w:sz w:val="22"/>
          <w:szCs w:val="22"/>
        </w:rPr>
      </w:pPr>
    </w:p>
    <w:p w14:paraId="69D61485" w14:textId="77777777" w:rsidR="00AF7721" w:rsidRPr="00494C7A" w:rsidRDefault="00046F22" w:rsidP="00494C7A">
      <w:pPr>
        <w:pStyle w:val="NormalWeb"/>
        <w:spacing w:line="360" w:lineRule="auto"/>
        <w:ind w:firstLineChars="200" w:firstLine="440"/>
        <w:jc w:val="both"/>
        <w:rPr>
          <w:rFonts w:ascii="Times New Roman" w:hAnsi="Times New Roman" w:cs="Times New Roman"/>
          <w:color w:val="000000"/>
          <w:sz w:val="22"/>
          <w:szCs w:val="22"/>
        </w:rPr>
      </w:pPr>
      <w:r w:rsidRPr="00494C7A">
        <w:rPr>
          <w:rFonts w:ascii="Times New Roman" w:hAnsi="Times New Roman" w:cs="Times New Roman"/>
          <w:color w:val="000000"/>
          <w:sz w:val="22"/>
          <w:szCs w:val="22"/>
        </w:rPr>
        <w:t xml:space="preserve">In the final stages of the study, Cari </w:t>
      </w:r>
      <w:r w:rsidR="00B3675B" w:rsidRPr="00494C7A">
        <w:rPr>
          <w:rFonts w:ascii="Times New Roman" w:hAnsi="Times New Roman" w:cs="Times New Roman"/>
          <w:color w:val="000000"/>
          <w:sz w:val="22"/>
          <w:szCs w:val="22"/>
        </w:rPr>
        <w:t>Debendra demonstrated clear domi</w:t>
      </w:r>
      <w:r w:rsidRPr="00494C7A">
        <w:rPr>
          <w:rFonts w:ascii="Times New Roman" w:hAnsi="Times New Roman" w:cs="Times New Roman"/>
          <w:color w:val="000000"/>
          <w:sz w:val="22"/>
          <w:szCs w:val="22"/>
        </w:rPr>
        <w:t xml:space="preserve">nance in feed efficiency. CD showed significantly lower and highly efficient FCR profiles at week 14 (1.13±0.03 against CN </w:t>
      </w:r>
      <w:r w:rsidRPr="00494C7A">
        <w:rPr>
          <w:rFonts w:ascii="Times New Roman" w:hAnsi="Times New Roman" w:cs="Times New Roman"/>
          <w:sz w:val="22"/>
          <w:szCs w:val="22"/>
        </w:rPr>
        <w:t>1.34</w:t>
      </w:r>
      <w:r w:rsidR="00B3675B" w:rsidRPr="00494C7A">
        <w:rPr>
          <w:rFonts w:ascii="Times New Roman" w:hAnsi="Times New Roman" w:cs="Times New Roman"/>
          <w:color w:val="000000"/>
          <w:sz w:val="22"/>
          <w:szCs w:val="22"/>
        </w:rPr>
        <w:t>±0.02; p&lt;0.05</w:t>
      </w:r>
      <w:r w:rsidR="00D37776" w:rsidRPr="00494C7A">
        <w:rPr>
          <w:rFonts w:ascii="Times New Roman" w:hAnsi="Times New Roman" w:cs="Times New Roman"/>
          <w:color w:val="000000"/>
          <w:sz w:val="22"/>
          <w:szCs w:val="22"/>
        </w:rPr>
        <w:t xml:space="preserve">).Week </w:t>
      </w:r>
      <w:r w:rsidRPr="00494C7A">
        <w:rPr>
          <w:rFonts w:ascii="Times New Roman" w:hAnsi="Times New Roman" w:cs="Times New Roman"/>
          <w:color w:val="000000"/>
          <w:sz w:val="22"/>
          <w:szCs w:val="22"/>
        </w:rPr>
        <w:t>16 (</w:t>
      </w:r>
      <w:r w:rsidR="00B3675B" w:rsidRPr="00494C7A">
        <w:rPr>
          <w:rFonts w:ascii="Times New Roman" w:hAnsi="Times New Roman" w:cs="Times New Roman"/>
          <w:color w:val="000000"/>
          <w:sz w:val="22"/>
          <w:szCs w:val="22"/>
        </w:rPr>
        <w:t>1.04 and 1.33 respectively; p&lt;0.05</w:t>
      </w:r>
      <w:r w:rsidRPr="00494C7A">
        <w:rPr>
          <w:rFonts w:ascii="Times New Roman" w:hAnsi="Times New Roman" w:cs="Times New Roman"/>
          <w:color w:val="000000"/>
          <w:sz w:val="22"/>
          <w:szCs w:val="22"/>
        </w:rPr>
        <w:t xml:space="preserve">). At the conclusion of monitoring trial at week 20, CD showed more efficient FCR value of 1.09±0.02 compared to 1.16±0.04 for Cari Nirbheek, though the final gap was not statistically significant (p=0.161). </w:t>
      </w:r>
      <w:r w:rsidRPr="00494C7A">
        <w:rPr>
          <w:rFonts w:ascii="Times New Roman" w:hAnsi="Times New Roman" w:cs="Times New Roman"/>
          <w:sz w:val="22"/>
          <w:szCs w:val="22"/>
        </w:rPr>
        <w:t xml:space="preserve">The highly efficient FCR values recorded for </w:t>
      </w:r>
      <w:r w:rsidRPr="00494C7A">
        <w:rPr>
          <w:rFonts w:ascii="Times New Roman" w:hAnsi="Times New Roman" w:cs="Times New Roman"/>
          <w:color w:val="000000"/>
          <w:sz w:val="22"/>
          <w:szCs w:val="22"/>
        </w:rPr>
        <w:t>Cari Debendra</w:t>
      </w:r>
      <w:r w:rsidR="00D7573A" w:rsidRPr="00494C7A">
        <w:rPr>
          <w:rFonts w:ascii="Times New Roman" w:hAnsi="Times New Roman" w:cs="Times New Roman"/>
          <w:color w:val="000000"/>
          <w:sz w:val="22"/>
          <w:szCs w:val="22"/>
        </w:rPr>
        <w:t xml:space="preserve"> are strongly backed by CARI </w:t>
      </w:r>
      <w:proofErr w:type="spellStart"/>
      <w:r w:rsidR="00D7573A" w:rsidRPr="00494C7A">
        <w:rPr>
          <w:rFonts w:ascii="Times New Roman" w:hAnsi="Times New Roman" w:cs="Times New Roman"/>
          <w:color w:val="000000"/>
          <w:sz w:val="22"/>
          <w:szCs w:val="22"/>
        </w:rPr>
        <w:t>Iz</w:t>
      </w:r>
      <w:r w:rsidRPr="00494C7A">
        <w:rPr>
          <w:rFonts w:ascii="Times New Roman" w:hAnsi="Times New Roman" w:cs="Times New Roman"/>
          <w:color w:val="000000"/>
          <w:sz w:val="22"/>
          <w:szCs w:val="22"/>
        </w:rPr>
        <w:t>atnagar</w:t>
      </w:r>
      <w:proofErr w:type="spellEnd"/>
      <w:r w:rsidRPr="00494C7A">
        <w:rPr>
          <w:rFonts w:ascii="Times New Roman" w:hAnsi="Times New Roman" w:cs="Times New Roman"/>
          <w:color w:val="000000"/>
          <w:sz w:val="22"/>
          <w:szCs w:val="22"/>
        </w:rPr>
        <w:t xml:space="preserve"> poultry studies. Das</w:t>
      </w:r>
      <w:r w:rsidRPr="00494C7A">
        <w:rPr>
          <w:rFonts w:ascii="Times New Roman" w:hAnsi="Times New Roman" w:cs="Times New Roman"/>
          <w:i/>
          <w:iCs/>
          <w:color w:val="000000"/>
          <w:sz w:val="22"/>
          <w:szCs w:val="22"/>
        </w:rPr>
        <w:t xml:space="preserve"> et al. </w:t>
      </w:r>
      <w:r w:rsidRPr="00494C7A">
        <w:rPr>
          <w:rFonts w:ascii="Times New Roman" w:hAnsi="Times New Roman" w:cs="Times New Roman"/>
          <w:color w:val="000000"/>
          <w:sz w:val="22"/>
          <w:szCs w:val="22"/>
        </w:rPr>
        <w:t xml:space="preserve">(2017) evaluated Cari Debendra crossbred grower chickens and confirmed that the introduction of broiler parental genetics considerably optimizes feed efficiency. This trend is further supported by Padhi (2016), whose macro-evaluations of Indian dual-purpose genotypes show that broiler crosses outperform native lines in feed conversion. Similarly, the higher FCR profile seen in </w:t>
      </w:r>
      <w:r w:rsidRPr="00494C7A">
        <w:rPr>
          <w:rFonts w:ascii="Times New Roman" w:hAnsi="Times New Roman" w:cs="Times New Roman"/>
          <w:sz w:val="22"/>
          <w:szCs w:val="22"/>
        </w:rPr>
        <w:t xml:space="preserve">Cari </w:t>
      </w:r>
      <w:r w:rsidRPr="00494C7A">
        <w:rPr>
          <w:rFonts w:ascii="Times New Roman" w:hAnsi="Times New Roman" w:cs="Times New Roman"/>
          <w:sz w:val="22"/>
          <w:szCs w:val="22"/>
        </w:rPr>
        <w:lastRenderedPageBreak/>
        <w:t xml:space="preserve">Nirbheek aligns perfectly with its indigenous Aseel ancestry. According to Pym (2013), native infused lines have been evolutionary </w:t>
      </w:r>
      <w:proofErr w:type="spellStart"/>
      <w:r w:rsidRPr="00494C7A">
        <w:rPr>
          <w:rFonts w:ascii="Times New Roman" w:hAnsi="Times New Roman" w:cs="Times New Roman"/>
          <w:sz w:val="22"/>
          <w:szCs w:val="22"/>
        </w:rPr>
        <w:t>optmized</w:t>
      </w:r>
      <w:proofErr w:type="spellEnd"/>
      <w:r w:rsidRPr="00494C7A">
        <w:rPr>
          <w:rFonts w:ascii="Times New Roman" w:hAnsi="Times New Roman" w:cs="Times New Roman"/>
          <w:sz w:val="22"/>
          <w:szCs w:val="22"/>
        </w:rPr>
        <w:t xml:space="preserve"> for active survival, hyper-alertness, and predator evasion. Malik and Singh (2010) observed that because Cari Nirbheek chickens had higher FCR. Despite </w:t>
      </w:r>
      <w:r w:rsidRPr="00494C7A">
        <w:rPr>
          <w:rFonts w:ascii="Times New Roman" w:hAnsi="Times New Roman" w:cs="Times New Roman"/>
          <w:color w:val="000000"/>
          <w:sz w:val="22"/>
          <w:szCs w:val="22"/>
        </w:rPr>
        <w:t>Cari Debendra’s general efficiency few researchers observation were counter to the above findings for example Das</w:t>
      </w:r>
      <w:r w:rsidRPr="00494C7A">
        <w:rPr>
          <w:rFonts w:ascii="Times New Roman" w:hAnsi="Times New Roman" w:cs="Times New Roman"/>
          <w:i/>
          <w:iCs/>
          <w:color w:val="000000"/>
          <w:sz w:val="22"/>
          <w:szCs w:val="22"/>
        </w:rPr>
        <w:t xml:space="preserve"> et al. </w:t>
      </w:r>
      <w:r w:rsidRPr="00494C7A">
        <w:rPr>
          <w:rFonts w:ascii="Times New Roman" w:hAnsi="Times New Roman" w:cs="Times New Roman"/>
          <w:color w:val="000000"/>
          <w:sz w:val="22"/>
          <w:szCs w:val="22"/>
        </w:rPr>
        <w:t>(2019) and (Zeeshan Riaz et al., 2024) who observed that apart from breed type surrounding environment and stress also play an important role in FCR.</w:t>
      </w:r>
    </w:p>
    <w:p w14:paraId="54DE1226" w14:textId="77777777" w:rsidR="00AF7721" w:rsidRPr="00494C7A" w:rsidRDefault="00046F22" w:rsidP="00494C7A">
      <w:pPr>
        <w:pStyle w:val="NormalWeb"/>
        <w:spacing w:line="360" w:lineRule="auto"/>
        <w:ind w:firstLineChars="200" w:firstLine="440"/>
        <w:jc w:val="both"/>
        <w:rPr>
          <w:rFonts w:ascii="Times New Roman" w:hAnsi="Times New Roman" w:cs="Times New Roman"/>
          <w:sz w:val="22"/>
          <w:szCs w:val="22"/>
        </w:rPr>
      </w:pPr>
      <w:r w:rsidRPr="00494C7A">
        <w:rPr>
          <w:rFonts w:ascii="Times New Roman" w:hAnsi="Times New Roman" w:cs="Times New Roman"/>
          <w:sz w:val="22"/>
          <w:szCs w:val="22"/>
        </w:rPr>
        <w:t>The percentage mortality rates recorded across different growth and production phases for dual-purpose crossbred Cari Debendra (CD) and the native-infused crossbred CARI Nirbhee</w:t>
      </w:r>
      <w:r w:rsidR="00D7573A" w:rsidRPr="00494C7A">
        <w:rPr>
          <w:rFonts w:ascii="Times New Roman" w:hAnsi="Times New Roman" w:cs="Times New Roman"/>
          <w:sz w:val="22"/>
          <w:szCs w:val="22"/>
        </w:rPr>
        <w:t xml:space="preserve">k (CN) are summarized in Table No. </w:t>
      </w:r>
      <w:proofErr w:type="gramStart"/>
      <w:r w:rsidR="00D7573A" w:rsidRPr="00494C7A">
        <w:rPr>
          <w:rFonts w:ascii="Times New Roman" w:hAnsi="Times New Roman" w:cs="Times New Roman"/>
          <w:sz w:val="22"/>
          <w:szCs w:val="22"/>
        </w:rPr>
        <w:t>4.</w:t>
      </w:r>
      <w:r w:rsidRPr="00494C7A">
        <w:rPr>
          <w:rFonts w:ascii="Times New Roman" w:hAnsi="Times New Roman" w:cs="Times New Roman"/>
          <w:sz w:val="22"/>
          <w:szCs w:val="22"/>
        </w:rPr>
        <w:t>The</w:t>
      </w:r>
      <w:proofErr w:type="gramEnd"/>
      <w:r w:rsidRPr="00494C7A">
        <w:rPr>
          <w:rFonts w:ascii="Times New Roman" w:hAnsi="Times New Roman" w:cs="Times New Roman"/>
          <w:sz w:val="22"/>
          <w:szCs w:val="22"/>
        </w:rPr>
        <w:t xml:space="preserve"> evaluation period tracks the biological timeline of the birds from day-old hatchlings through the completion of the peak laying phase (0 to 50 weeks of age). During the early brooding phase (0-5 weeks), both CD and CN exhibited identical mean mortality rates of 21.33±0.67%, 21.33±3.71%</w:t>
      </w:r>
      <w:r w:rsidR="00D7573A" w:rsidRPr="00494C7A">
        <w:rPr>
          <w:rFonts w:ascii="Times New Roman" w:hAnsi="Times New Roman" w:cs="Times New Roman"/>
          <w:sz w:val="22"/>
          <w:szCs w:val="22"/>
        </w:rPr>
        <w:t xml:space="preserve">, respectively, </w:t>
      </w:r>
      <w:r w:rsidR="00B3675B" w:rsidRPr="00494C7A">
        <w:rPr>
          <w:rFonts w:ascii="Times New Roman" w:hAnsi="Times New Roman" w:cs="Times New Roman"/>
          <w:sz w:val="22"/>
          <w:szCs w:val="22"/>
        </w:rPr>
        <w:t>(p&gt;0.05</w:t>
      </w:r>
      <w:r w:rsidRPr="00494C7A">
        <w:rPr>
          <w:rFonts w:ascii="Times New Roman" w:hAnsi="Times New Roman" w:cs="Times New Roman"/>
          <w:sz w:val="22"/>
          <w:szCs w:val="22"/>
        </w:rPr>
        <w:t>). However, CN showed higher variation in mortality, represented by larger standard error compared to CD. In growing phase (6-20 weeks), mortality decreased sharply for both the breed. CARI Debendra recorded a mortality of 3.40±0.87%, 1.65±0.83% i</w:t>
      </w:r>
      <w:r w:rsidR="00D7573A" w:rsidRPr="00494C7A">
        <w:rPr>
          <w:rFonts w:ascii="Times New Roman" w:hAnsi="Times New Roman" w:cs="Times New Roman"/>
          <w:sz w:val="22"/>
          <w:szCs w:val="22"/>
        </w:rPr>
        <w:t>n CARI Nirbheek, showing no sta</w:t>
      </w:r>
      <w:r w:rsidRPr="00494C7A">
        <w:rPr>
          <w:rFonts w:ascii="Times New Roman" w:hAnsi="Times New Roman" w:cs="Times New Roman"/>
          <w:sz w:val="22"/>
          <w:szCs w:val="22"/>
        </w:rPr>
        <w:t>tistically</w:t>
      </w:r>
      <w:r w:rsidR="00B3675B" w:rsidRPr="00494C7A">
        <w:rPr>
          <w:rFonts w:ascii="Times New Roman" w:hAnsi="Times New Roman" w:cs="Times New Roman"/>
          <w:sz w:val="22"/>
          <w:szCs w:val="22"/>
        </w:rPr>
        <w:t xml:space="preserve"> significant difference (p&gt;0.05</w:t>
      </w:r>
      <w:r w:rsidRPr="00494C7A">
        <w:rPr>
          <w:rFonts w:ascii="Times New Roman" w:hAnsi="Times New Roman" w:cs="Times New Roman"/>
          <w:sz w:val="22"/>
          <w:szCs w:val="22"/>
        </w:rPr>
        <w:t xml:space="preserve">). </w:t>
      </w:r>
    </w:p>
    <w:p w14:paraId="666B21DB" w14:textId="77777777" w:rsidR="00AF7721" w:rsidRPr="00494C7A" w:rsidRDefault="00AF7721" w:rsidP="00494C7A">
      <w:pPr>
        <w:pStyle w:val="NormalWeb"/>
        <w:spacing w:line="360" w:lineRule="auto"/>
        <w:ind w:firstLineChars="200" w:firstLine="440"/>
        <w:rPr>
          <w:rFonts w:ascii="Times New Roman" w:hAnsi="Times New Roman" w:cs="Times New Roman"/>
          <w:sz w:val="22"/>
          <w:szCs w:val="22"/>
        </w:rPr>
      </w:pPr>
    </w:p>
    <w:p w14:paraId="36FEB789" w14:textId="77777777" w:rsidR="00AF7721" w:rsidRPr="00494C7A" w:rsidRDefault="00046F22">
      <w:pPr>
        <w:pStyle w:val="NormalWeb"/>
        <w:spacing w:line="360" w:lineRule="auto"/>
        <w:rPr>
          <w:rFonts w:ascii="Times New Roman" w:hAnsi="Times New Roman" w:cs="Times New Roman"/>
          <w:b/>
          <w:bCs/>
          <w:sz w:val="22"/>
          <w:szCs w:val="22"/>
        </w:rPr>
      </w:pPr>
      <w:r w:rsidRPr="00494C7A">
        <w:rPr>
          <w:rFonts w:ascii="Times New Roman" w:hAnsi="Times New Roman" w:cs="Times New Roman"/>
          <w:b/>
          <w:bCs/>
          <w:sz w:val="22"/>
          <w:szCs w:val="22"/>
        </w:rPr>
        <w:t>Table No. 4. Mortality rates of CARI Debendra (CD) and CARI Nirbheek (CN) from 0-20 weeks of age.</w:t>
      </w:r>
    </w:p>
    <w:p w14:paraId="64D3C89A" w14:textId="77777777" w:rsidR="00AF7721" w:rsidRPr="00494C7A" w:rsidRDefault="00AF7721">
      <w:pPr>
        <w:pStyle w:val="NormalWeb"/>
        <w:spacing w:line="360" w:lineRule="auto"/>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1704"/>
        <w:gridCol w:w="1704"/>
        <w:gridCol w:w="1704"/>
        <w:gridCol w:w="1705"/>
        <w:gridCol w:w="1705"/>
      </w:tblGrid>
      <w:tr w:rsidR="00AF7721" w:rsidRPr="00494C7A" w14:paraId="46C47683" w14:textId="77777777">
        <w:tc>
          <w:tcPr>
            <w:tcW w:w="1704" w:type="dxa"/>
          </w:tcPr>
          <w:p w14:paraId="2BC3A0E0"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Weeks</w:t>
            </w:r>
          </w:p>
        </w:tc>
        <w:tc>
          <w:tcPr>
            <w:tcW w:w="1704" w:type="dxa"/>
          </w:tcPr>
          <w:p w14:paraId="0AFF7E8E" w14:textId="77777777" w:rsidR="00AF7721" w:rsidRPr="00494C7A" w:rsidRDefault="00046F22">
            <w:pPr>
              <w:widowControl/>
              <w:jc w:val="left"/>
              <w:rPr>
                <w:rFonts w:ascii="Times New Roman" w:eastAsia="SimSun" w:hAnsi="Times New Roman" w:cs="Times New Roman"/>
                <w:sz w:val="22"/>
                <w:szCs w:val="22"/>
              </w:rPr>
            </w:pPr>
            <w:r w:rsidRPr="00494C7A">
              <w:rPr>
                <w:rFonts w:ascii="Times New Roman" w:eastAsia="SimSun" w:hAnsi="Times New Roman" w:cs="Times New Roman"/>
                <w:sz w:val="22"/>
                <w:szCs w:val="22"/>
              </w:rPr>
              <w:t>CD</w:t>
            </w:r>
          </w:p>
          <w:p w14:paraId="06A6C483" w14:textId="77777777" w:rsidR="00AF7721" w:rsidRPr="00494C7A" w:rsidRDefault="00046F22">
            <w:pPr>
              <w:widowControl/>
              <w:jc w:val="left"/>
              <w:rPr>
                <w:rFonts w:ascii="Times New Roman" w:eastAsia="SimSun" w:hAnsi="Times New Roman" w:cs="Times New Roman"/>
                <w:sz w:val="22"/>
                <w:szCs w:val="22"/>
              </w:rPr>
            </w:pPr>
            <w:r w:rsidRPr="00494C7A">
              <w:rPr>
                <w:rFonts w:ascii="Times New Roman" w:eastAsia="SimSun" w:hAnsi="Times New Roman" w:cs="Times New Roman"/>
                <w:sz w:val="22"/>
                <w:szCs w:val="22"/>
              </w:rPr>
              <w:t>Mean</w:t>
            </w:r>
            <w:r w:rsidRPr="00494C7A">
              <w:rPr>
                <w:rFonts w:ascii="Times New Roman" w:hAnsi="Times New Roman" w:cs="Times New Roman"/>
                <w:sz w:val="22"/>
                <w:szCs w:val="22"/>
              </w:rPr>
              <w:t>±</w:t>
            </w:r>
            <w:r w:rsidRPr="00494C7A">
              <w:rPr>
                <w:rFonts w:ascii="Times New Roman" w:eastAsia="SimSun" w:hAnsi="Times New Roman" w:cs="Times New Roman"/>
                <w:sz w:val="22"/>
                <w:szCs w:val="22"/>
              </w:rPr>
              <w:t xml:space="preserve"> SE</w:t>
            </w:r>
          </w:p>
        </w:tc>
        <w:tc>
          <w:tcPr>
            <w:tcW w:w="1704" w:type="dxa"/>
          </w:tcPr>
          <w:p w14:paraId="46CD8E89" w14:textId="77777777" w:rsidR="00AF7721" w:rsidRPr="00494C7A" w:rsidRDefault="00046F22">
            <w:pPr>
              <w:widowControl/>
              <w:jc w:val="left"/>
              <w:rPr>
                <w:rFonts w:ascii="Times New Roman" w:eastAsia="SimSun" w:hAnsi="Times New Roman" w:cs="Times New Roman"/>
                <w:sz w:val="22"/>
                <w:szCs w:val="22"/>
              </w:rPr>
            </w:pPr>
            <w:r w:rsidRPr="00494C7A">
              <w:rPr>
                <w:rFonts w:ascii="Times New Roman" w:eastAsia="SimSun" w:hAnsi="Times New Roman" w:cs="Times New Roman"/>
                <w:sz w:val="22"/>
                <w:szCs w:val="22"/>
              </w:rPr>
              <w:t>CN</w:t>
            </w:r>
          </w:p>
          <w:p w14:paraId="56E1F968" w14:textId="77777777" w:rsidR="00AF7721" w:rsidRPr="00494C7A" w:rsidRDefault="00046F22">
            <w:pPr>
              <w:widowControl/>
              <w:jc w:val="left"/>
              <w:rPr>
                <w:rFonts w:ascii="Times New Roman" w:eastAsia="SimSun" w:hAnsi="Times New Roman" w:cs="Times New Roman"/>
                <w:sz w:val="22"/>
                <w:szCs w:val="22"/>
              </w:rPr>
            </w:pPr>
            <w:r w:rsidRPr="00494C7A">
              <w:rPr>
                <w:rFonts w:ascii="Times New Roman" w:eastAsia="SimSun" w:hAnsi="Times New Roman" w:cs="Times New Roman"/>
                <w:sz w:val="22"/>
                <w:szCs w:val="22"/>
              </w:rPr>
              <w:t>Mean</w:t>
            </w:r>
            <w:r w:rsidRPr="00494C7A">
              <w:rPr>
                <w:rFonts w:ascii="Times New Roman" w:hAnsi="Times New Roman" w:cs="Times New Roman"/>
                <w:sz w:val="22"/>
                <w:szCs w:val="22"/>
              </w:rPr>
              <w:t>±</w:t>
            </w:r>
            <w:r w:rsidRPr="00494C7A">
              <w:rPr>
                <w:rFonts w:ascii="Times New Roman" w:eastAsia="SimSun" w:hAnsi="Times New Roman" w:cs="Times New Roman"/>
                <w:sz w:val="22"/>
                <w:szCs w:val="22"/>
              </w:rPr>
              <w:t xml:space="preserve"> SE</w:t>
            </w:r>
          </w:p>
        </w:tc>
        <w:tc>
          <w:tcPr>
            <w:tcW w:w="1705" w:type="dxa"/>
          </w:tcPr>
          <w:p w14:paraId="3629EA3E" w14:textId="77777777" w:rsidR="00AF7721" w:rsidRPr="00494C7A" w:rsidRDefault="00D7573A">
            <w:pPr>
              <w:widowControl/>
              <w:jc w:val="left"/>
              <w:rPr>
                <w:rFonts w:ascii="Times New Roman" w:eastAsia="SimSun" w:hAnsi="Times New Roman" w:cs="Times New Roman"/>
                <w:sz w:val="22"/>
                <w:szCs w:val="22"/>
              </w:rPr>
            </w:pPr>
            <w:r w:rsidRPr="00494C7A">
              <w:rPr>
                <w:rFonts w:ascii="Times New Roman" w:eastAsia="SimSun" w:hAnsi="Times New Roman" w:cs="Times New Roman"/>
                <w:sz w:val="22"/>
                <w:szCs w:val="22"/>
              </w:rPr>
              <w:t>t-value</w:t>
            </w:r>
          </w:p>
        </w:tc>
        <w:tc>
          <w:tcPr>
            <w:tcW w:w="1705" w:type="dxa"/>
          </w:tcPr>
          <w:p w14:paraId="010C0FBD" w14:textId="77777777" w:rsidR="00AF7721" w:rsidRPr="00494C7A" w:rsidRDefault="00046F22">
            <w:pPr>
              <w:widowControl/>
              <w:jc w:val="left"/>
              <w:rPr>
                <w:rFonts w:ascii="Times New Roman" w:eastAsia="SimSun" w:hAnsi="Times New Roman" w:cs="Times New Roman"/>
                <w:sz w:val="22"/>
                <w:szCs w:val="22"/>
              </w:rPr>
            </w:pPr>
            <w:r w:rsidRPr="00494C7A">
              <w:rPr>
                <w:rFonts w:ascii="Times New Roman" w:eastAsia="SimSun" w:hAnsi="Times New Roman" w:cs="Times New Roman"/>
                <w:sz w:val="22"/>
                <w:szCs w:val="22"/>
              </w:rPr>
              <w:t>p-value</w:t>
            </w:r>
          </w:p>
        </w:tc>
      </w:tr>
      <w:tr w:rsidR="00AF7721" w:rsidRPr="00494C7A" w14:paraId="1E7B78F6" w14:textId="77777777">
        <w:tc>
          <w:tcPr>
            <w:tcW w:w="1704" w:type="dxa"/>
          </w:tcPr>
          <w:p w14:paraId="7A0369E9"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0-5</w:t>
            </w:r>
          </w:p>
        </w:tc>
        <w:tc>
          <w:tcPr>
            <w:tcW w:w="1704" w:type="dxa"/>
          </w:tcPr>
          <w:p w14:paraId="700311A4" w14:textId="77777777" w:rsidR="00AF7721" w:rsidRPr="00494C7A" w:rsidRDefault="00046F22">
            <w:pPr>
              <w:pStyle w:val="NormalWeb"/>
              <w:widowControl/>
              <w:spacing w:line="360" w:lineRule="auto"/>
              <w:rPr>
                <w:rFonts w:ascii="Times New Roman" w:eastAsia="SimSun" w:hAnsi="Times New Roman" w:cs="Times New Roman"/>
                <w:sz w:val="22"/>
                <w:szCs w:val="22"/>
              </w:rPr>
            </w:pPr>
            <w:r w:rsidRPr="00494C7A">
              <w:rPr>
                <w:rFonts w:ascii="Times New Roman" w:hAnsi="Times New Roman" w:cs="Times New Roman"/>
                <w:sz w:val="22"/>
                <w:szCs w:val="22"/>
              </w:rPr>
              <w:t>21.33±0.67</w:t>
            </w:r>
            <w:r w:rsidRPr="00494C7A">
              <w:rPr>
                <w:rFonts w:ascii="Times New Roman" w:eastAsia="SimSun" w:hAnsi="Times New Roman" w:cs="Times New Roman"/>
                <w:sz w:val="22"/>
                <w:szCs w:val="22"/>
              </w:rPr>
              <w:t xml:space="preserve"> </w:t>
            </w:r>
            <w:r w:rsidRPr="00494C7A">
              <w:rPr>
                <w:rFonts w:ascii="Times New Roman" w:hAnsi="Times New Roman" w:cs="Times New Roman"/>
                <w:sz w:val="22"/>
                <w:szCs w:val="22"/>
              </w:rPr>
              <w:t>%</w:t>
            </w:r>
          </w:p>
        </w:tc>
        <w:tc>
          <w:tcPr>
            <w:tcW w:w="1704" w:type="dxa"/>
          </w:tcPr>
          <w:p w14:paraId="40C8C67A"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21.33±3.71%</w:t>
            </w:r>
          </w:p>
        </w:tc>
        <w:tc>
          <w:tcPr>
            <w:tcW w:w="1705" w:type="dxa"/>
          </w:tcPr>
          <w:p w14:paraId="71730092"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0.00</w:t>
            </w:r>
          </w:p>
        </w:tc>
        <w:tc>
          <w:tcPr>
            <w:tcW w:w="1705" w:type="dxa"/>
          </w:tcPr>
          <w:p w14:paraId="63E9E177"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1.00</w:t>
            </w:r>
          </w:p>
        </w:tc>
      </w:tr>
      <w:tr w:rsidR="00AF7721" w:rsidRPr="00494C7A" w14:paraId="49B496C4" w14:textId="77777777">
        <w:tc>
          <w:tcPr>
            <w:tcW w:w="1704" w:type="dxa"/>
          </w:tcPr>
          <w:p w14:paraId="01DC29F9"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6-20</w:t>
            </w:r>
          </w:p>
        </w:tc>
        <w:tc>
          <w:tcPr>
            <w:tcW w:w="1704" w:type="dxa"/>
          </w:tcPr>
          <w:p w14:paraId="7642D633"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3.40±0.87%</w:t>
            </w:r>
          </w:p>
        </w:tc>
        <w:tc>
          <w:tcPr>
            <w:tcW w:w="1704" w:type="dxa"/>
          </w:tcPr>
          <w:p w14:paraId="7D204AD4"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1.65±0.83%</w:t>
            </w:r>
          </w:p>
        </w:tc>
        <w:tc>
          <w:tcPr>
            <w:tcW w:w="1705" w:type="dxa"/>
          </w:tcPr>
          <w:p w14:paraId="5AE391F0"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1.45</w:t>
            </w:r>
          </w:p>
        </w:tc>
        <w:tc>
          <w:tcPr>
            <w:tcW w:w="1705" w:type="dxa"/>
          </w:tcPr>
          <w:p w14:paraId="676285D1" w14:textId="77777777" w:rsidR="00AF7721" w:rsidRPr="00494C7A" w:rsidRDefault="00046F22">
            <w:pPr>
              <w:pStyle w:val="NormalWeb"/>
              <w:widowControl/>
              <w:spacing w:line="360" w:lineRule="auto"/>
              <w:rPr>
                <w:rFonts w:ascii="Times New Roman" w:hAnsi="Times New Roman" w:cs="Times New Roman"/>
                <w:sz w:val="22"/>
                <w:szCs w:val="22"/>
              </w:rPr>
            </w:pPr>
            <w:r w:rsidRPr="00494C7A">
              <w:rPr>
                <w:rFonts w:ascii="Times New Roman" w:hAnsi="Times New Roman" w:cs="Times New Roman"/>
                <w:sz w:val="22"/>
                <w:szCs w:val="22"/>
              </w:rPr>
              <w:t>0.22</w:t>
            </w:r>
          </w:p>
        </w:tc>
      </w:tr>
    </w:tbl>
    <w:p w14:paraId="3008B000" w14:textId="77777777" w:rsidR="00AF7721" w:rsidRPr="00494C7A" w:rsidRDefault="00AF7721">
      <w:pPr>
        <w:pStyle w:val="NormalWeb"/>
        <w:spacing w:line="360" w:lineRule="auto"/>
        <w:rPr>
          <w:rFonts w:ascii="Times New Roman" w:hAnsi="Times New Roman" w:cs="Times New Roman"/>
          <w:sz w:val="22"/>
          <w:szCs w:val="22"/>
        </w:rPr>
      </w:pPr>
    </w:p>
    <w:p w14:paraId="5854BED3" w14:textId="77777777" w:rsidR="00AF7721" w:rsidRPr="00494C7A" w:rsidRDefault="00046F22">
      <w:pPr>
        <w:pStyle w:val="NormalWeb"/>
        <w:spacing w:line="360" w:lineRule="auto"/>
        <w:rPr>
          <w:rFonts w:ascii="Times New Roman" w:hAnsi="Times New Roman" w:cs="Times New Roman"/>
          <w:b/>
          <w:bCs/>
          <w:sz w:val="22"/>
          <w:szCs w:val="22"/>
        </w:rPr>
      </w:pPr>
      <w:r w:rsidRPr="00494C7A">
        <w:rPr>
          <w:rFonts w:ascii="Times New Roman" w:hAnsi="Times New Roman" w:cs="Times New Roman"/>
          <w:b/>
          <w:bCs/>
          <w:sz w:val="22"/>
          <w:szCs w:val="22"/>
        </w:rPr>
        <w:t>Fig.4 Mortality rates of CARI Debendra (CD) and CARI Nirbheek (CN) from 0-20 weeks of age.</w:t>
      </w:r>
    </w:p>
    <w:p w14:paraId="462981CA" w14:textId="77777777" w:rsidR="00AF7721" w:rsidRPr="00494C7A" w:rsidRDefault="00AF7721">
      <w:pPr>
        <w:pStyle w:val="NormalWeb"/>
        <w:spacing w:line="360" w:lineRule="auto"/>
        <w:rPr>
          <w:rFonts w:ascii="Times New Roman" w:hAnsi="Times New Roman" w:cs="Times New Roman"/>
          <w:sz w:val="22"/>
          <w:szCs w:val="22"/>
        </w:rPr>
      </w:pPr>
    </w:p>
    <w:p w14:paraId="4164F3C1" w14:textId="77777777" w:rsidR="00AF7721" w:rsidRPr="00494C7A" w:rsidRDefault="00046F22">
      <w:pPr>
        <w:pStyle w:val="NormalWeb"/>
        <w:spacing w:line="360" w:lineRule="auto"/>
        <w:rPr>
          <w:rFonts w:ascii="Times New Roman" w:hAnsi="Times New Roman" w:cs="Times New Roman"/>
          <w:sz w:val="22"/>
          <w:szCs w:val="22"/>
        </w:rPr>
      </w:pPr>
      <w:r w:rsidRPr="00494C7A">
        <w:rPr>
          <w:rFonts w:ascii="Times New Roman" w:hAnsi="Times New Roman" w:cs="Times New Roman"/>
          <w:noProof/>
          <w:sz w:val="22"/>
          <w:szCs w:val="22"/>
          <w:lang w:eastAsia="en-US" w:bidi="hi-IN"/>
        </w:rPr>
        <w:lastRenderedPageBreak/>
        <w:drawing>
          <wp:inline distT="0" distB="0" distL="114300" distR="114300" wp14:anchorId="7DCDFBB4" wp14:editId="623E170F">
            <wp:extent cx="4241800" cy="2096135"/>
            <wp:effectExtent l="6350" t="6350" r="19050" b="31115"/>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8E816FE" w14:textId="77777777" w:rsidR="00AF7721" w:rsidRPr="00494C7A" w:rsidRDefault="00AF7721">
      <w:pPr>
        <w:pStyle w:val="NormalWeb"/>
        <w:spacing w:line="360" w:lineRule="auto"/>
        <w:rPr>
          <w:rFonts w:ascii="Times New Roman" w:hAnsi="Times New Roman" w:cs="Times New Roman"/>
          <w:sz w:val="22"/>
          <w:szCs w:val="22"/>
        </w:rPr>
      </w:pPr>
    </w:p>
    <w:p w14:paraId="5AC6ECFB" w14:textId="77777777" w:rsidR="00AF7721" w:rsidRPr="00494C7A" w:rsidRDefault="00AF7721">
      <w:pPr>
        <w:pStyle w:val="NormalWeb"/>
        <w:spacing w:line="360" w:lineRule="auto"/>
        <w:rPr>
          <w:rFonts w:ascii="Times New Roman" w:hAnsi="Times New Roman" w:cs="Times New Roman"/>
          <w:sz w:val="22"/>
          <w:szCs w:val="22"/>
        </w:rPr>
      </w:pPr>
    </w:p>
    <w:p w14:paraId="1C7E49CE" w14:textId="77777777" w:rsidR="00AF7721" w:rsidRPr="00494C7A" w:rsidRDefault="00046F22" w:rsidP="00494C7A">
      <w:pPr>
        <w:pStyle w:val="NormalWeb"/>
        <w:spacing w:line="360" w:lineRule="auto"/>
        <w:ind w:firstLineChars="200" w:firstLine="440"/>
        <w:jc w:val="both"/>
        <w:rPr>
          <w:rFonts w:ascii="Times New Roman" w:hAnsi="Times New Roman" w:cs="Times New Roman"/>
          <w:sz w:val="22"/>
          <w:szCs w:val="22"/>
        </w:rPr>
      </w:pPr>
      <w:r w:rsidRPr="00494C7A">
        <w:rPr>
          <w:rFonts w:ascii="Times New Roman" w:hAnsi="Times New Roman" w:cs="Times New Roman"/>
          <w:sz w:val="22"/>
          <w:szCs w:val="22"/>
        </w:rPr>
        <w:t xml:space="preserve">During the early to peak laying phase (21-40 weeks), mortality rates slightly increased to 5.00±1.67% in CD and 8.33±3.19% in CN, showing no </w:t>
      </w:r>
      <w:r w:rsidR="0072247E" w:rsidRPr="00494C7A">
        <w:rPr>
          <w:rFonts w:ascii="Times New Roman" w:hAnsi="Times New Roman" w:cs="Times New Roman"/>
          <w:sz w:val="22"/>
          <w:szCs w:val="22"/>
        </w:rPr>
        <w:t>statistically</w:t>
      </w:r>
      <w:r w:rsidR="002C6A20" w:rsidRPr="00494C7A">
        <w:rPr>
          <w:rFonts w:ascii="Times New Roman" w:hAnsi="Times New Roman" w:cs="Times New Roman"/>
          <w:sz w:val="22"/>
          <w:szCs w:val="22"/>
        </w:rPr>
        <w:t xml:space="preserve"> significant difference (p&lt;0.05</w:t>
      </w:r>
      <w:r w:rsidRPr="00494C7A">
        <w:rPr>
          <w:rFonts w:ascii="Times New Roman" w:hAnsi="Times New Roman" w:cs="Times New Roman"/>
          <w:sz w:val="22"/>
          <w:szCs w:val="22"/>
        </w:rPr>
        <w:t>). From week 41-50 weeks, CARI Debendra recorded a low mortality rate of 1.67±1.67%, while CN suffered no mortality (0.00%), which remained statistically non-signif</w:t>
      </w:r>
      <w:r w:rsidR="00D7573A" w:rsidRPr="00494C7A">
        <w:rPr>
          <w:rFonts w:ascii="Times New Roman" w:hAnsi="Times New Roman" w:cs="Times New Roman"/>
          <w:sz w:val="22"/>
          <w:szCs w:val="22"/>
        </w:rPr>
        <w:t>icant (p&lt;0.05</w:t>
      </w:r>
      <w:r w:rsidRPr="00494C7A">
        <w:rPr>
          <w:rFonts w:ascii="Times New Roman" w:hAnsi="Times New Roman" w:cs="Times New Roman"/>
          <w:sz w:val="22"/>
          <w:szCs w:val="22"/>
        </w:rPr>
        <w:t>).</w:t>
      </w:r>
    </w:p>
    <w:p w14:paraId="33E2178A" w14:textId="77777777" w:rsidR="00D37776" w:rsidRPr="001707F9" w:rsidRDefault="00046F22" w:rsidP="001707F9">
      <w:pPr>
        <w:pStyle w:val="NormalWeb"/>
        <w:spacing w:line="360" w:lineRule="auto"/>
        <w:ind w:firstLineChars="250" w:firstLine="550"/>
        <w:jc w:val="both"/>
        <w:rPr>
          <w:rFonts w:ascii="Times New Roman" w:hAnsi="Times New Roman" w:cs="Times New Roman"/>
          <w:sz w:val="22"/>
          <w:szCs w:val="22"/>
        </w:rPr>
      </w:pPr>
      <w:r w:rsidRPr="00494C7A">
        <w:rPr>
          <w:rFonts w:ascii="Times New Roman" w:hAnsi="Times New Roman" w:cs="Times New Roman"/>
          <w:sz w:val="22"/>
          <w:szCs w:val="22"/>
        </w:rPr>
        <w:t xml:space="preserve">The brooding phase (0-5 weeks) recorded the highest mortality for both chicken breeds are often attributed to, under- developed thermoregulatory systems in neonatal chicks, high </w:t>
      </w:r>
      <w:r w:rsidR="0072247E" w:rsidRPr="00494C7A">
        <w:rPr>
          <w:rFonts w:ascii="Times New Roman" w:hAnsi="Times New Roman" w:cs="Times New Roman"/>
          <w:sz w:val="22"/>
          <w:szCs w:val="22"/>
        </w:rPr>
        <w:t>s</w:t>
      </w:r>
      <w:r w:rsidRPr="00494C7A">
        <w:rPr>
          <w:rFonts w:ascii="Times New Roman" w:hAnsi="Times New Roman" w:cs="Times New Roman"/>
          <w:sz w:val="22"/>
          <w:szCs w:val="22"/>
        </w:rPr>
        <w:t>u</w:t>
      </w:r>
      <w:r w:rsidR="0072247E" w:rsidRPr="00494C7A">
        <w:rPr>
          <w:rFonts w:ascii="Times New Roman" w:hAnsi="Times New Roman" w:cs="Times New Roman"/>
          <w:sz w:val="22"/>
          <w:szCs w:val="22"/>
        </w:rPr>
        <w:t>s</w:t>
      </w:r>
      <w:r w:rsidRPr="00494C7A">
        <w:rPr>
          <w:rFonts w:ascii="Times New Roman" w:hAnsi="Times New Roman" w:cs="Times New Roman"/>
          <w:sz w:val="22"/>
          <w:szCs w:val="22"/>
        </w:rPr>
        <w:t xml:space="preserve">ceptibility to environmental </w:t>
      </w:r>
      <w:r w:rsidR="0072247E" w:rsidRPr="00494C7A">
        <w:rPr>
          <w:rFonts w:ascii="Times New Roman" w:hAnsi="Times New Roman" w:cs="Times New Roman"/>
          <w:sz w:val="22"/>
          <w:szCs w:val="22"/>
        </w:rPr>
        <w:t>stressors</w:t>
      </w:r>
      <w:r w:rsidRPr="00494C7A">
        <w:rPr>
          <w:rFonts w:ascii="Times New Roman" w:hAnsi="Times New Roman" w:cs="Times New Roman"/>
          <w:sz w:val="22"/>
          <w:szCs w:val="22"/>
        </w:rPr>
        <w:t xml:space="preserve"> (such as temperature fluctuations). The identical mortality rate in both the groups during this phase suggests that both the breeds share similar physiological vulnerability during early period. As the birds matured into growing phase (6-20 weeks), mortality dropped drastically in both breeds. This drop indicates that once immunologic maturity and thermoregulatory independence are established, both genotypes show robust livability.</w:t>
      </w:r>
      <w:r w:rsidR="0072247E" w:rsidRPr="00494C7A">
        <w:rPr>
          <w:rFonts w:ascii="Times New Roman" w:hAnsi="Times New Roman" w:cs="Times New Roman"/>
          <w:sz w:val="22"/>
          <w:szCs w:val="22"/>
        </w:rPr>
        <w:t xml:space="preserve"> </w:t>
      </w:r>
      <w:r w:rsidRPr="00494C7A">
        <w:rPr>
          <w:rFonts w:ascii="Times New Roman" w:hAnsi="Times New Roman" w:cs="Times New Roman"/>
          <w:sz w:val="22"/>
          <w:szCs w:val="22"/>
        </w:rPr>
        <w:t xml:space="preserve">The elevated initial loss rate is strongly supported by the historical field evaluations of Padhi </w:t>
      </w:r>
      <w:r w:rsidRPr="00494C7A">
        <w:rPr>
          <w:rFonts w:ascii="Times New Roman" w:hAnsi="Times New Roman" w:cs="Times New Roman"/>
          <w:i/>
          <w:iCs/>
          <w:sz w:val="22"/>
          <w:szCs w:val="22"/>
        </w:rPr>
        <w:t xml:space="preserve">et al. </w:t>
      </w:r>
      <w:r w:rsidRPr="00494C7A">
        <w:rPr>
          <w:rFonts w:ascii="Times New Roman" w:hAnsi="Times New Roman" w:cs="Times New Roman"/>
          <w:sz w:val="22"/>
          <w:szCs w:val="22"/>
        </w:rPr>
        <w:t xml:space="preserve">(2003) and Padhi </w:t>
      </w:r>
      <w:r w:rsidRPr="00494C7A">
        <w:rPr>
          <w:rFonts w:ascii="Times New Roman" w:hAnsi="Times New Roman" w:cs="Times New Roman"/>
          <w:i/>
          <w:iCs/>
          <w:sz w:val="22"/>
          <w:szCs w:val="22"/>
        </w:rPr>
        <w:t>et al.</w:t>
      </w:r>
      <w:r w:rsidRPr="00494C7A">
        <w:rPr>
          <w:rFonts w:ascii="Times New Roman" w:hAnsi="Times New Roman" w:cs="Times New Roman"/>
          <w:sz w:val="22"/>
          <w:szCs w:val="22"/>
        </w:rPr>
        <w:t xml:space="preserve"> (2022), who noted that under rural or multi-breed system testing, early brooding mortality frequently ranges from 17% to 30% due to acute environmental </w:t>
      </w:r>
      <w:r w:rsidR="0072247E" w:rsidRPr="00494C7A">
        <w:rPr>
          <w:rFonts w:ascii="Times New Roman" w:hAnsi="Times New Roman" w:cs="Times New Roman"/>
          <w:sz w:val="22"/>
          <w:szCs w:val="22"/>
        </w:rPr>
        <w:t>fluctuations</w:t>
      </w:r>
      <w:r w:rsidRPr="00494C7A">
        <w:rPr>
          <w:rFonts w:ascii="Times New Roman" w:hAnsi="Times New Roman" w:cs="Times New Roman"/>
          <w:sz w:val="22"/>
          <w:szCs w:val="22"/>
        </w:rPr>
        <w:t xml:space="preserve"> or high stress during early adaptation phases. Contrary to it</w:t>
      </w:r>
      <w:r w:rsidR="0072247E" w:rsidRPr="00494C7A">
        <w:rPr>
          <w:rFonts w:ascii="Times New Roman" w:hAnsi="Times New Roman" w:cs="Times New Roman"/>
          <w:sz w:val="22"/>
          <w:szCs w:val="22"/>
        </w:rPr>
        <w:t>,</w:t>
      </w:r>
      <w:r w:rsidRPr="00494C7A">
        <w:rPr>
          <w:rFonts w:ascii="Times New Roman" w:hAnsi="Times New Roman" w:cs="Times New Roman"/>
          <w:sz w:val="22"/>
          <w:szCs w:val="22"/>
        </w:rPr>
        <w:t xml:space="preserve"> according to Central Avian Research Institute (CARI), CARI Debendra exhibits a standard growing</w:t>
      </w:r>
      <w:r w:rsidR="0072247E" w:rsidRPr="00494C7A">
        <w:rPr>
          <w:rFonts w:ascii="Times New Roman" w:hAnsi="Times New Roman" w:cs="Times New Roman"/>
          <w:sz w:val="22"/>
          <w:szCs w:val="22"/>
        </w:rPr>
        <w:t xml:space="preserve"> livability of approximately 94</w:t>
      </w:r>
      <w:r w:rsidR="001707F9">
        <w:rPr>
          <w:rFonts w:ascii="Times New Roman" w:hAnsi="Times New Roman" w:cs="Times New Roman"/>
          <w:sz w:val="22"/>
          <w:szCs w:val="22"/>
        </w:rPr>
        <w:t>%</w:t>
      </w:r>
      <w:r w:rsidR="00D7573A" w:rsidRPr="00494C7A">
        <w:rPr>
          <w:rFonts w:ascii="Times New Roman" w:hAnsi="Times New Roman" w:cs="Times New Roman"/>
          <w:sz w:val="22"/>
          <w:szCs w:val="22"/>
        </w:rPr>
        <w:t>.</w:t>
      </w:r>
    </w:p>
    <w:p w14:paraId="03ADC95A" w14:textId="77777777" w:rsidR="00AF7721" w:rsidRPr="00494C7A" w:rsidRDefault="00046F22">
      <w:pPr>
        <w:rPr>
          <w:rFonts w:ascii="Times New Roman" w:eastAsia="TimesNewRomanPS-BoldMT" w:hAnsi="Times New Roman" w:cs="Times New Roman"/>
          <w:b/>
          <w:bCs/>
          <w:color w:val="000000"/>
          <w:sz w:val="22"/>
          <w:szCs w:val="22"/>
        </w:rPr>
      </w:pPr>
      <w:r w:rsidRPr="00494C7A">
        <w:rPr>
          <w:rFonts w:ascii="Times New Roman" w:eastAsia="TimesNewRomanPS-BoldMT" w:hAnsi="Times New Roman" w:cs="Times New Roman"/>
          <w:b/>
          <w:bCs/>
          <w:color w:val="000000"/>
          <w:sz w:val="22"/>
          <w:szCs w:val="22"/>
        </w:rPr>
        <w:t>C</w:t>
      </w:r>
      <w:r w:rsidR="00D37776" w:rsidRPr="00494C7A">
        <w:rPr>
          <w:rFonts w:ascii="Times New Roman" w:eastAsia="TimesNewRomanPS-BoldMT" w:hAnsi="Times New Roman" w:cs="Times New Roman"/>
          <w:b/>
          <w:bCs/>
          <w:color w:val="000000"/>
          <w:sz w:val="22"/>
          <w:szCs w:val="22"/>
        </w:rPr>
        <w:t>onclusion</w:t>
      </w:r>
      <w:r w:rsidRPr="00494C7A">
        <w:rPr>
          <w:rFonts w:ascii="Times New Roman" w:eastAsia="TimesNewRomanPS-BoldMT" w:hAnsi="Times New Roman" w:cs="Times New Roman"/>
          <w:b/>
          <w:bCs/>
          <w:color w:val="000000"/>
          <w:sz w:val="22"/>
          <w:szCs w:val="22"/>
        </w:rPr>
        <w:t>:</w:t>
      </w:r>
    </w:p>
    <w:p w14:paraId="3D12285C" w14:textId="77777777" w:rsidR="00AF7721" w:rsidRPr="00494C7A" w:rsidRDefault="00AF7721">
      <w:pPr>
        <w:rPr>
          <w:rFonts w:ascii="Times New Roman" w:eastAsia="TimesNewRomanPS-BoldMT" w:hAnsi="Times New Roman" w:cs="Times New Roman"/>
          <w:b/>
          <w:bCs/>
          <w:color w:val="000000"/>
          <w:sz w:val="22"/>
          <w:szCs w:val="22"/>
        </w:rPr>
      </w:pPr>
    </w:p>
    <w:p w14:paraId="78AEAA48" w14:textId="77777777" w:rsidR="006362C0" w:rsidRPr="006362C0" w:rsidRDefault="006362C0" w:rsidP="006362C0">
      <w:pPr>
        <w:spacing w:before="100" w:beforeAutospacing="1" w:after="100" w:afterAutospacing="1"/>
        <w:rPr>
          <w:rFonts w:ascii="Times New Roman" w:eastAsia="Times New Roman" w:hAnsi="Times New Roman" w:cs="Times New Roman"/>
          <w:sz w:val="24"/>
          <w:szCs w:val="24"/>
          <w:lang w:eastAsia="en-US"/>
        </w:rPr>
      </w:pPr>
      <w:r w:rsidRPr="006362C0">
        <w:rPr>
          <w:rFonts w:ascii="Times New Roman" w:eastAsia="Times New Roman" w:hAnsi="Times New Roman" w:cs="Times New Roman"/>
          <w:sz w:val="24"/>
          <w:szCs w:val="24"/>
          <w:lang w:eastAsia="en-US"/>
        </w:rPr>
        <w:t xml:space="preserve">The study showed clear differences in growth performance and feed efficiency between CARI Debendra and CARI Nirbheek under the management conditions followed in the Eastern Plain Zone of Uttar Pradesh. CARI Nirbheek recorded a higher body weight at hatch and during the initial weeks, whereas CARI Debendra showed greater growth during later stages and achieved a higher final body weight at 20 weeks. CARI Debendra also showed comparatively better feed conversion efficiency during several growth intervals. Mortality was highest during the first five </w:t>
      </w:r>
      <w:r w:rsidRPr="006362C0">
        <w:rPr>
          <w:rFonts w:ascii="Times New Roman" w:eastAsia="Times New Roman" w:hAnsi="Times New Roman" w:cs="Times New Roman"/>
          <w:sz w:val="24"/>
          <w:szCs w:val="24"/>
          <w:lang w:eastAsia="en-US"/>
        </w:rPr>
        <w:lastRenderedPageBreak/>
        <w:t>weeks in both varieties and declined markedly during the grower phase. These results suggest that improved early brooding management is important for both varieties, while CARI Debendra may be more suitable where higher body weight and feed efficiency are the main production objectives.</w:t>
      </w:r>
    </w:p>
    <w:p w14:paraId="5FC796EC" w14:textId="77777777" w:rsidR="006362C0" w:rsidRPr="006362C0" w:rsidRDefault="006362C0" w:rsidP="006362C0">
      <w:pPr>
        <w:spacing w:before="100" w:beforeAutospacing="1" w:after="100" w:afterAutospacing="1"/>
        <w:outlineLvl w:val="1"/>
        <w:rPr>
          <w:rFonts w:ascii="Times New Roman" w:eastAsia="Times New Roman" w:hAnsi="Times New Roman" w:cs="Times New Roman"/>
          <w:b/>
          <w:bCs/>
          <w:sz w:val="36"/>
          <w:szCs w:val="36"/>
          <w:lang w:eastAsia="en-US"/>
        </w:rPr>
      </w:pPr>
      <w:r w:rsidRPr="006362C0">
        <w:rPr>
          <w:rFonts w:ascii="Times New Roman" w:eastAsia="Times New Roman" w:hAnsi="Times New Roman" w:cs="Times New Roman"/>
          <w:b/>
          <w:bCs/>
          <w:sz w:val="36"/>
          <w:szCs w:val="36"/>
          <w:lang w:eastAsia="en-US"/>
        </w:rPr>
        <w:t>Limitations</w:t>
      </w:r>
    </w:p>
    <w:p w14:paraId="06F5C4DD" w14:textId="77777777" w:rsidR="006362C0" w:rsidRPr="006362C0" w:rsidRDefault="006362C0" w:rsidP="006362C0">
      <w:pPr>
        <w:spacing w:before="100" w:beforeAutospacing="1" w:after="100" w:afterAutospacing="1"/>
        <w:rPr>
          <w:rFonts w:ascii="Times New Roman" w:eastAsia="Times New Roman" w:hAnsi="Times New Roman" w:cs="Times New Roman"/>
          <w:sz w:val="24"/>
          <w:szCs w:val="24"/>
          <w:lang w:eastAsia="en-US"/>
        </w:rPr>
      </w:pPr>
      <w:r w:rsidRPr="006362C0">
        <w:rPr>
          <w:rFonts w:ascii="Times New Roman" w:eastAsia="Times New Roman" w:hAnsi="Times New Roman" w:cs="Times New Roman"/>
          <w:sz w:val="24"/>
          <w:szCs w:val="24"/>
          <w:lang w:eastAsia="en-US"/>
        </w:rPr>
        <w:t>The study was conducted at a single location with two chicken varieties and a limited sample size. Feed composition, sex-wise performance, environmental parameters, disease incidence, and detailed economic analysis were not fully reported. Mortality beyond 20 weeks was discussed but not clearly supported by tabulated data. Further multi-location studies with stronger statistical analysis are required.</w:t>
      </w:r>
    </w:p>
    <w:p w14:paraId="1D8DFFB2" w14:textId="77777777" w:rsidR="006362C0" w:rsidRPr="006362C0" w:rsidRDefault="006362C0" w:rsidP="006362C0">
      <w:pPr>
        <w:rPr>
          <w:rFonts w:ascii="Times New Roman" w:eastAsia="Times New Roman" w:hAnsi="Times New Roman" w:cs="Times New Roman"/>
          <w:sz w:val="14"/>
          <w:szCs w:val="16"/>
          <w:lang w:val="en-GB" w:eastAsia="en-GB"/>
        </w:rPr>
      </w:pPr>
    </w:p>
    <w:p w14:paraId="18E294D3" w14:textId="77777777" w:rsidR="006362C0" w:rsidRPr="006362C0" w:rsidRDefault="006362C0" w:rsidP="006362C0">
      <w:pPr>
        <w:rPr>
          <w:rFonts w:ascii="Times New Roman" w:eastAsia="Calibri" w:hAnsi="Times New Roman" w:cs="Times New Roman"/>
          <w:b/>
          <w:sz w:val="22"/>
          <w:szCs w:val="22"/>
          <w:lang w:eastAsia="en-US"/>
        </w:rPr>
      </w:pPr>
      <w:r w:rsidRPr="006362C0">
        <w:rPr>
          <w:rFonts w:ascii="Times New Roman" w:eastAsia="Calibri" w:hAnsi="Times New Roman" w:cs="Times New Roman"/>
          <w:b/>
          <w:sz w:val="22"/>
          <w:szCs w:val="22"/>
          <w:lang w:eastAsia="en-US"/>
        </w:rPr>
        <w:t>Declaration of AI Use</w:t>
      </w:r>
    </w:p>
    <w:p w14:paraId="47741288" w14:textId="77777777" w:rsidR="006362C0" w:rsidRPr="006362C0" w:rsidRDefault="006362C0" w:rsidP="006362C0">
      <w:pPr>
        <w:rPr>
          <w:rFonts w:ascii="Times New Roman" w:eastAsia="Calibri" w:hAnsi="Times New Roman" w:cs="Times New Roman"/>
          <w:sz w:val="22"/>
          <w:szCs w:val="22"/>
          <w:lang w:eastAsia="en-US"/>
        </w:rPr>
      </w:pPr>
    </w:p>
    <w:p w14:paraId="4AF7C7DE" w14:textId="77777777" w:rsidR="006362C0" w:rsidRPr="006362C0" w:rsidRDefault="006362C0" w:rsidP="006362C0">
      <w:pPr>
        <w:jc w:val="both"/>
        <w:rPr>
          <w:rFonts w:ascii="Times New Roman" w:eastAsia="Calibri" w:hAnsi="Times New Roman" w:cs="Times New Roman"/>
          <w:sz w:val="22"/>
          <w:szCs w:val="22"/>
          <w:lang w:eastAsia="en-US"/>
        </w:rPr>
      </w:pPr>
      <w:r w:rsidRPr="006362C0">
        <w:rPr>
          <w:rFonts w:ascii="Times New Roman" w:eastAsia="Calibri" w:hAnsi="Times New Roman" w:cs="Times New Roman"/>
          <w:sz w:val="22"/>
          <w:szCs w:val="22"/>
          <w:lang w:eastAsia="en-US"/>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EBB6F09" w14:textId="77777777" w:rsidR="006362C0" w:rsidRPr="006362C0" w:rsidRDefault="006362C0" w:rsidP="006362C0">
      <w:pPr>
        <w:jc w:val="both"/>
        <w:rPr>
          <w:rFonts w:ascii="Times New Roman" w:eastAsia="Calibri" w:hAnsi="Times New Roman" w:cs="Times New Roman"/>
          <w:sz w:val="22"/>
          <w:szCs w:val="22"/>
          <w:lang w:eastAsia="en-US"/>
        </w:rPr>
      </w:pPr>
    </w:p>
    <w:p w14:paraId="179F6884" w14:textId="77777777" w:rsidR="006362C0" w:rsidRPr="006362C0" w:rsidRDefault="006362C0" w:rsidP="006362C0">
      <w:pPr>
        <w:jc w:val="both"/>
        <w:rPr>
          <w:rFonts w:ascii="Times New Roman" w:eastAsia="Calibri" w:hAnsi="Times New Roman" w:cs="Times New Roman"/>
          <w:sz w:val="22"/>
          <w:szCs w:val="22"/>
          <w:lang w:eastAsia="en-US"/>
        </w:rPr>
      </w:pPr>
    </w:p>
    <w:p w14:paraId="597944ED" w14:textId="77777777" w:rsidR="006362C0" w:rsidRPr="006362C0" w:rsidRDefault="006362C0" w:rsidP="006362C0">
      <w:pPr>
        <w:spacing w:after="200" w:line="276" w:lineRule="auto"/>
        <w:rPr>
          <w:rFonts w:ascii="Cambria" w:eastAsia="Times New Roman" w:hAnsi="Cambria" w:cs="Arial"/>
          <w:b/>
          <w:bCs/>
          <w:sz w:val="22"/>
          <w:szCs w:val="22"/>
          <w:lang w:val="en-GB" w:eastAsia="en-GB"/>
        </w:rPr>
      </w:pPr>
      <w:r w:rsidRPr="006362C0">
        <w:rPr>
          <w:rFonts w:ascii="Cambria" w:eastAsia="Times New Roman" w:hAnsi="Cambria" w:cs="Arial"/>
          <w:b/>
          <w:bCs/>
          <w:sz w:val="22"/>
          <w:szCs w:val="22"/>
          <w:lang w:val="en-GB" w:eastAsia="en-GB"/>
        </w:rPr>
        <w:t>COMPETING INTERESTS DISCLAIMER:</w:t>
      </w:r>
    </w:p>
    <w:p w14:paraId="1C56220C" w14:textId="77777777" w:rsidR="006362C0" w:rsidRPr="006362C0" w:rsidRDefault="006362C0" w:rsidP="006362C0">
      <w:pPr>
        <w:spacing w:after="200" w:line="276" w:lineRule="auto"/>
        <w:rPr>
          <w:rFonts w:ascii="Cambria" w:eastAsia="Times New Roman" w:hAnsi="Cambria" w:cs="Times New Roman"/>
          <w:sz w:val="22"/>
          <w:szCs w:val="22"/>
          <w:lang w:val="en-GB" w:eastAsia="en-GB"/>
        </w:rPr>
      </w:pPr>
      <w:r w:rsidRPr="006362C0">
        <w:rPr>
          <w:rFonts w:ascii="Cambria" w:eastAsia="Times New Roman"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192D0D1F" w14:textId="77777777" w:rsidR="00AF7721" w:rsidRPr="00494C7A" w:rsidRDefault="00AF7721">
      <w:pPr>
        <w:rPr>
          <w:rFonts w:ascii="Times New Roman" w:hAnsi="Times New Roman" w:cs="Times New Roman"/>
          <w:sz w:val="22"/>
          <w:szCs w:val="22"/>
        </w:rPr>
      </w:pPr>
    </w:p>
    <w:p w14:paraId="705D12EF" w14:textId="77777777" w:rsidR="00AF7721" w:rsidRPr="00494C7A" w:rsidRDefault="00046F22">
      <w:pPr>
        <w:rPr>
          <w:rFonts w:ascii="Times New Roman" w:eastAsia="CIDFont" w:hAnsi="Times New Roman" w:cs="Times New Roman"/>
          <w:bCs/>
          <w:sz w:val="22"/>
          <w:szCs w:val="22"/>
        </w:rPr>
      </w:pPr>
      <w:r w:rsidRPr="00494C7A">
        <w:rPr>
          <w:rFonts w:ascii="Times New Roman" w:eastAsia="TimesNewRomanPS-BoldMT" w:hAnsi="Times New Roman" w:cs="Times New Roman"/>
          <w:b/>
          <w:bCs/>
          <w:color w:val="000000"/>
          <w:sz w:val="22"/>
          <w:szCs w:val="22"/>
        </w:rPr>
        <w:t>R</w:t>
      </w:r>
      <w:r w:rsidR="00D37776" w:rsidRPr="00494C7A">
        <w:rPr>
          <w:rFonts w:ascii="Times New Roman" w:eastAsia="TimesNewRomanPS-BoldMT" w:hAnsi="Times New Roman" w:cs="Times New Roman"/>
          <w:b/>
          <w:bCs/>
          <w:color w:val="000000"/>
          <w:sz w:val="22"/>
          <w:szCs w:val="22"/>
        </w:rPr>
        <w:t>eferences</w:t>
      </w:r>
    </w:p>
    <w:p w14:paraId="3DAC4F43" w14:textId="77777777" w:rsidR="00AF7721" w:rsidRPr="00494C7A" w:rsidRDefault="00AF7721">
      <w:pPr>
        <w:spacing w:line="360" w:lineRule="auto"/>
        <w:ind w:left="440" w:hangingChars="200" w:hanging="440"/>
        <w:jc w:val="both"/>
        <w:rPr>
          <w:rFonts w:ascii="Times New Roman" w:eastAsia="CIDFont" w:hAnsi="Times New Roman" w:cs="Times New Roman"/>
          <w:bCs/>
          <w:sz w:val="22"/>
          <w:szCs w:val="22"/>
        </w:rPr>
      </w:pPr>
    </w:p>
    <w:p w14:paraId="1669A1AC" w14:textId="77777777" w:rsidR="00AF7721" w:rsidRPr="00494C7A" w:rsidRDefault="00046F22">
      <w:pPr>
        <w:spacing w:line="360" w:lineRule="auto"/>
        <w:ind w:left="440" w:hangingChars="200" w:hanging="440"/>
        <w:rPr>
          <w:rFonts w:ascii="Times New Roman" w:eastAsia="Helvetica Neue" w:hAnsi="Times New Roman" w:cs="Times New Roman"/>
          <w:sz w:val="22"/>
          <w:szCs w:val="22"/>
        </w:rPr>
      </w:pPr>
      <w:r w:rsidRPr="00494C7A">
        <w:rPr>
          <w:rFonts w:ascii="Times New Roman" w:eastAsia="Helvetica Neue" w:hAnsi="Times New Roman" w:cs="Times New Roman"/>
          <w:sz w:val="22"/>
          <w:szCs w:val="22"/>
        </w:rPr>
        <w:t xml:space="preserve">Central Avian Research Institute (CARI) (2024). Avian genetics and breeding: Performance profiling of improved </w:t>
      </w:r>
      <w:proofErr w:type="gramStart"/>
      <w:r w:rsidRPr="00494C7A">
        <w:rPr>
          <w:rFonts w:ascii="Times New Roman" w:eastAsia="Helvetica Neue" w:hAnsi="Times New Roman" w:cs="Times New Roman"/>
          <w:sz w:val="22"/>
          <w:szCs w:val="22"/>
        </w:rPr>
        <w:t>germplasms(</w:t>
      </w:r>
      <w:proofErr w:type="gramEnd"/>
      <w:r w:rsidRPr="00494C7A">
        <w:rPr>
          <w:rFonts w:ascii="Times New Roman" w:eastAsia="Helvetica Neue" w:hAnsi="Times New Roman" w:cs="Times New Roman"/>
          <w:sz w:val="22"/>
          <w:szCs w:val="22"/>
        </w:rPr>
        <w:t xml:space="preserve">CARI-Nirbheek and CARI-Debendra). ICAR-CARI Core Research Information, </w:t>
      </w:r>
      <w:proofErr w:type="spellStart"/>
      <w:r w:rsidRPr="00494C7A">
        <w:rPr>
          <w:rFonts w:ascii="Times New Roman" w:eastAsia="Helvetica Neue" w:hAnsi="Times New Roman" w:cs="Times New Roman"/>
          <w:sz w:val="22"/>
          <w:szCs w:val="22"/>
        </w:rPr>
        <w:t>Izatnagar</w:t>
      </w:r>
      <w:proofErr w:type="spellEnd"/>
      <w:r w:rsidRPr="00494C7A">
        <w:rPr>
          <w:rFonts w:ascii="Times New Roman" w:eastAsia="Helvetica Neue" w:hAnsi="Times New Roman" w:cs="Times New Roman"/>
          <w:sz w:val="22"/>
          <w:szCs w:val="22"/>
        </w:rPr>
        <w:t>, India.</w:t>
      </w:r>
    </w:p>
    <w:p w14:paraId="6D6BFF46" w14:textId="77777777" w:rsidR="00AF7721" w:rsidRPr="00494C7A" w:rsidRDefault="00046F22">
      <w:pPr>
        <w:spacing w:line="360" w:lineRule="auto"/>
        <w:ind w:left="440" w:hangingChars="200" w:hanging="440"/>
        <w:rPr>
          <w:rFonts w:ascii="Times New Roman" w:eastAsia="Helvetica Neue" w:hAnsi="Times New Roman" w:cs="Times New Roman"/>
          <w:sz w:val="22"/>
          <w:szCs w:val="22"/>
        </w:rPr>
      </w:pPr>
      <w:r w:rsidRPr="00494C7A">
        <w:rPr>
          <w:rFonts w:ascii="Times New Roman" w:eastAsia="SimSun" w:hAnsi="Times New Roman" w:cs="Times New Roman"/>
          <w:sz w:val="22"/>
          <w:szCs w:val="22"/>
        </w:rPr>
        <w:t xml:space="preserve">Das, A. K., Kumar, S., Rahim, A., </w:t>
      </w:r>
      <w:proofErr w:type="spellStart"/>
      <w:r w:rsidRPr="00494C7A">
        <w:rPr>
          <w:rFonts w:ascii="Times New Roman" w:eastAsia="SimSun" w:hAnsi="Times New Roman" w:cs="Times New Roman"/>
          <w:sz w:val="22"/>
          <w:szCs w:val="22"/>
        </w:rPr>
        <w:t>Kokate</w:t>
      </w:r>
      <w:proofErr w:type="spellEnd"/>
      <w:r w:rsidRPr="00494C7A">
        <w:rPr>
          <w:rFonts w:ascii="Times New Roman" w:eastAsia="SimSun" w:hAnsi="Times New Roman" w:cs="Times New Roman"/>
          <w:sz w:val="22"/>
          <w:szCs w:val="22"/>
        </w:rPr>
        <w:t xml:space="preserve">, L. S. and Mishra, A.K. (2016). Evaluating body conformation and feed efficiency characteristics in CARI-Sonali grower chicken. The </w:t>
      </w:r>
      <w:r w:rsidRPr="00494C7A">
        <w:rPr>
          <w:rFonts w:ascii="Times New Roman" w:eastAsia="SimSun" w:hAnsi="Times New Roman" w:cs="Times New Roman"/>
          <w:i/>
          <w:iCs/>
          <w:sz w:val="22"/>
          <w:szCs w:val="22"/>
        </w:rPr>
        <w:t>Indian Journal of Animal Sciences</w:t>
      </w:r>
      <w:r w:rsidRPr="00494C7A">
        <w:rPr>
          <w:rFonts w:ascii="Times New Roman" w:eastAsia="SimSun" w:hAnsi="Times New Roman" w:cs="Times New Roman"/>
          <w:sz w:val="22"/>
          <w:szCs w:val="22"/>
        </w:rPr>
        <w:t xml:space="preserve">, 86(2), 193-196. </w:t>
      </w:r>
      <w:hyperlink r:id="rId10" w:history="1">
        <w:r w:rsidRPr="00494C7A">
          <w:rPr>
            <w:rStyle w:val="Hyperlink"/>
            <w:rFonts w:ascii="Times New Roman" w:eastAsia="Helvetica Neue" w:hAnsi="Times New Roman" w:cs="Times New Roman"/>
            <w:color w:val="auto"/>
            <w:sz w:val="22"/>
            <w:szCs w:val="22"/>
          </w:rPr>
          <w:t>https://doi.org/10.56093/ijans.v86i2.55807</w:t>
        </w:r>
      </w:hyperlink>
    </w:p>
    <w:p w14:paraId="632D1EAF" w14:textId="77777777" w:rsidR="00AF7721" w:rsidRPr="00494C7A" w:rsidRDefault="00046F22">
      <w:pPr>
        <w:spacing w:line="360" w:lineRule="auto"/>
        <w:ind w:left="440" w:hangingChars="200" w:hanging="440"/>
        <w:jc w:val="both"/>
        <w:rPr>
          <w:rFonts w:ascii="Times New Roman" w:eastAsia="SimSun" w:hAnsi="Times New Roman" w:cs="Times New Roman"/>
          <w:sz w:val="22"/>
          <w:szCs w:val="22"/>
        </w:rPr>
      </w:pPr>
      <w:r w:rsidRPr="00494C7A">
        <w:rPr>
          <w:rFonts w:ascii="Times New Roman" w:eastAsia="SimSun" w:hAnsi="Times New Roman" w:cs="Times New Roman"/>
          <w:sz w:val="22"/>
          <w:szCs w:val="22"/>
        </w:rPr>
        <w:t xml:space="preserve">Das, A. K., Kumar, S., Rahim, A. and Mishra, A. K. (2019). Characterization of production and reproduction performances in Rhode Island Red-White strain chicken. </w:t>
      </w:r>
      <w:r w:rsidRPr="00494C7A">
        <w:rPr>
          <w:rFonts w:ascii="Times New Roman" w:eastAsia="SimSun" w:hAnsi="Times New Roman" w:cs="Times New Roman"/>
          <w:i/>
          <w:iCs/>
          <w:sz w:val="22"/>
          <w:szCs w:val="22"/>
        </w:rPr>
        <w:t xml:space="preserve">Journal of Livestock Science, </w:t>
      </w:r>
      <w:r w:rsidRPr="00494C7A">
        <w:rPr>
          <w:rFonts w:ascii="Times New Roman" w:eastAsia="SimSun" w:hAnsi="Times New Roman" w:cs="Times New Roman"/>
          <w:sz w:val="22"/>
          <w:szCs w:val="22"/>
        </w:rPr>
        <w:t xml:space="preserve">10, 45-52. </w:t>
      </w:r>
    </w:p>
    <w:p w14:paraId="54FEFBF6" w14:textId="77777777" w:rsidR="00AF7721" w:rsidRPr="00494C7A" w:rsidRDefault="00046F22">
      <w:pPr>
        <w:pStyle w:val="NormalWeb"/>
        <w:spacing w:line="360" w:lineRule="auto"/>
        <w:ind w:left="440" w:hangingChars="200" w:hanging="440"/>
        <w:rPr>
          <w:rFonts w:ascii="Times New Roman" w:hAnsi="Times New Roman" w:cs="Times New Roman"/>
          <w:color w:val="000000"/>
          <w:sz w:val="22"/>
          <w:szCs w:val="22"/>
        </w:rPr>
      </w:pPr>
      <w:proofErr w:type="spellStart"/>
      <w:r w:rsidRPr="00494C7A">
        <w:rPr>
          <w:rFonts w:ascii="Times New Roman" w:hAnsi="Times New Roman" w:cs="Times New Roman"/>
          <w:color w:val="000000"/>
          <w:sz w:val="22"/>
          <w:szCs w:val="22"/>
        </w:rPr>
        <w:lastRenderedPageBreak/>
        <w:t>Haunshi</w:t>
      </w:r>
      <w:proofErr w:type="spellEnd"/>
      <w:r w:rsidRPr="00494C7A">
        <w:rPr>
          <w:rFonts w:ascii="Times New Roman" w:hAnsi="Times New Roman" w:cs="Times New Roman"/>
          <w:color w:val="000000"/>
          <w:sz w:val="22"/>
          <w:szCs w:val="22"/>
        </w:rPr>
        <w:t>, S., Rajkumar, U., Padhi, M. K., Chatterjee, R. N., &amp; Reddy, M. R. (2011). Genetic resources of indigenous chickens in India. </w:t>
      </w:r>
      <w:r w:rsidRPr="00494C7A">
        <w:rPr>
          <w:rStyle w:val="Emphasis"/>
          <w:rFonts w:ascii="Times New Roman" w:hAnsi="Times New Roman" w:cs="Times New Roman"/>
          <w:i w:val="0"/>
          <w:iCs w:val="0"/>
          <w:color w:val="000000"/>
          <w:sz w:val="22"/>
          <w:szCs w:val="22"/>
        </w:rPr>
        <w:t>World’s Poultry Science Journal, 67</w:t>
      </w:r>
      <w:r w:rsidRPr="00494C7A">
        <w:rPr>
          <w:rFonts w:ascii="Times New Roman" w:hAnsi="Times New Roman" w:cs="Times New Roman"/>
          <w:color w:val="000000"/>
          <w:sz w:val="22"/>
          <w:szCs w:val="22"/>
        </w:rPr>
        <w:t>(1), 109–124. https://doi.org/10.1017/S0043933911000108</w:t>
      </w:r>
    </w:p>
    <w:p w14:paraId="5514E4C8" w14:textId="77777777" w:rsidR="00AF7721" w:rsidRPr="00494C7A" w:rsidRDefault="00046F22">
      <w:pPr>
        <w:spacing w:line="360" w:lineRule="auto"/>
        <w:ind w:left="440" w:hangingChars="200" w:hanging="440"/>
        <w:jc w:val="both"/>
        <w:rPr>
          <w:rFonts w:ascii="Times New Roman" w:eastAsia="CIDFont" w:hAnsi="Times New Roman" w:cs="Times New Roman"/>
          <w:sz w:val="22"/>
          <w:szCs w:val="22"/>
        </w:rPr>
      </w:pPr>
      <w:proofErr w:type="spellStart"/>
      <w:r w:rsidRPr="00494C7A">
        <w:rPr>
          <w:rFonts w:ascii="Times New Roman" w:eastAsia="CIDFont" w:hAnsi="Times New Roman" w:cs="Times New Roman"/>
          <w:sz w:val="22"/>
          <w:szCs w:val="22"/>
        </w:rPr>
        <w:t>Khadda</w:t>
      </w:r>
      <w:proofErr w:type="spellEnd"/>
      <w:r w:rsidRPr="00494C7A">
        <w:rPr>
          <w:rFonts w:ascii="Times New Roman" w:eastAsia="CIDFont" w:hAnsi="Times New Roman" w:cs="Times New Roman"/>
          <w:sz w:val="22"/>
          <w:szCs w:val="22"/>
        </w:rPr>
        <w:t xml:space="preserve">, B.S., Lata, K., </w:t>
      </w:r>
      <w:proofErr w:type="spellStart"/>
      <w:proofErr w:type="gramStart"/>
      <w:r w:rsidRPr="00494C7A">
        <w:rPr>
          <w:rFonts w:ascii="Times New Roman" w:eastAsia="CIDFont" w:hAnsi="Times New Roman" w:cs="Times New Roman"/>
          <w:sz w:val="22"/>
          <w:szCs w:val="22"/>
        </w:rPr>
        <w:t>Kumar,R</w:t>
      </w:r>
      <w:proofErr w:type="spellEnd"/>
      <w:r w:rsidRPr="00494C7A">
        <w:rPr>
          <w:rFonts w:ascii="Times New Roman" w:eastAsia="CIDFont" w:hAnsi="Times New Roman" w:cs="Times New Roman"/>
          <w:sz w:val="22"/>
          <w:szCs w:val="22"/>
        </w:rPr>
        <w:t>.</w:t>
      </w:r>
      <w:proofErr w:type="gramEnd"/>
      <w:r w:rsidRPr="00494C7A">
        <w:rPr>
          <w:rFonts w:ascii="Times New Roman" w:eastAsia="CIDFont" w:hAnsi="Times New Roman" w:cs="Times New Roman"/>
          <w:sz w:val="22"/>
          <w:szCs w:val="22"/>
        </w:rPr>
        <w:t>, Jadav, J.K., Singh B., and Palod, J. (2016). Production performance and economics of CARI Nirbheek chicken for backyard farming under semi-arid ecosystem in central Gujarat, India.</w:t>
      </w:r>
      <w:r w:rsidRPr="00494C7A">
        <w:rPr>
          <w:rFonts w:ascii="Times New Roman" w:eastAsia="CIDFont" w:hAnsi="Times New Roman" w:cs="Times New Roman"/>
          <w:i/>
          <w:iCs/>
          <w:sz w:val="22"/>
          <w:szCs w:val="22"/>
        </w:rPr>
        <w:t xml:space="preserve"> Indian Journal </w:t>
      </w:r>
      <w:proofErr w:type="gramStart"/>
      <w:r w:rsidRPr="00494C7A">
        <w:rPr>
          <w:rFonts w:ascii="Times New Roman" w:eastAsia="CIDFont" w:hAnsi="Times New Roman" w:cs="Times New Roman"/>
          <w:i/>
          <w:iCs/>
          <w:sz w:val="22"/>
          <w:szCs w:val="22"/>
        </w:rPr>
        <w:t>of  Animal</w:t>
      </w:r>
      <w:proofErr w:type="gramEnd"/>
      <w:r w:rsidRPr="00494C7A">
        <w:rPr>
          <w:rFonts w:ascii="Times New Roman" w:eastAsia="CIDFont" w:hAnsi="Times New Roman" w:cs="Times New Roman"/>
          <w:i/>
          <w:iCs/>
          <w:sz w:val="22"/>
          <w:szCs w:val="22"/>
        </w:rPr>
        <w:t xml:space="preserve"> Research, </w:t>
      </w:r>
      <w:r w:rsidRPr="00494C7A">
        <w:rPr>
          <w:rFonts w:ascii="Times New Roman" w:eastAsia="CIDFont" w:hAnsi="Times New Roman" w:cs="Times New Roman"/>
          <w:sz w:val="22"/>
          <w:szCs w:val="22"/>
        </w:rPr>
        <w:t>50(4), 595-600.</w:t>
      </w:r>
    </w:p>
    <w:p w14:paraId="1D99B363" w14:textId="77777777" w:rsidR="00AF7721" w:rsidRPr="00494C7A" w:rsidRDefault="00046F22">
      <w:pPr>
        <w:spacing w:line="360" w:lineRule="auto"/>
        <w:ind w:left="440" w:hangingChars="200" w:hanging="440"/>
        <w:jc w:val="both"/>
        <w:rPr>
          <w:rFonts w:ascii="Times New Roman" w:eastAsia="SimSun" w:hAnsi="Times New Roman" w:cs="Times New Roman"/>
          <w:sz w:val="22"/>
          <w:szCs w:val="22"/>
        </w:rPr>
      </w:pPr>
      <w:r w:rsidRPr="00494C7A">
        <w:rPr>
          <w:rFonts w:ascii="Times New Roman" w:eastAsia="SimSun" w:hAnsi="Times New Roman" w:cs="Times New Roman"/>
          <w:sz w:val="22"/>
          <w:szCs w:val="22"/>
        </w:rPr>
        <w:t xml:space="preserve">Malik, S. and Singh, J. (2010). </w:t>
      </w:r>
      <w:proofErr w:type="spellStart"/>
      <w:r w:rsidRPr="00494C7A">
        <w:rPr>
          <w:rFonts w:ascii="Times New Roman" w:eastAsia="SimSun" w:hAnsi="Times New Roman" w:cs="Times New Roman"/>
          <w:sz w:val="22"/>
          <w:szCs w:val="22"/>
        </w:rPr>
        <w:t>Evakuation</w:t>
      </w:r>
      <w:proofErr w:type="spellEnd"/>
      <w:r w:rsidRPr="00494C7A">
        <w:rPr>
          <w:rFonts w:ascii="Times New Roman" w:eastAsia="SimSun" w:hAnsi="Times New Roman" w:cs="Times New Roman"/>
          <w:sz w:val="22"/>
          <w:szCs w:val="22"/>
        </w:rPr>
        <w:t xml:space="preserve"> of CARI Nirbheek in different production systems. Indian Journal of Poultry Science, 45(2), 210-214.</w:t>
      </w:r>
    </w:p>
    <w:p w14:paraId="2C839191" w14:textId="77777777" w:rsidR="00AF7721" w:rsidRPr="00494C7A" w:rsidRDefault="00046F22">
      <w:pPr>
        <w:spacing w:line="360" w:lineRule="auto"/>
        <w:ind w:left="440" w:hangingChars="200" w:hanging="440"/>
        <w:jc w:val="both"/>
        <w:rPr>
          <w:rFonts w:ascii="Times New Roman" w:eastAsia="sans-serif" w:hAnsi="Times New Roman" w:cs="Times New Roman"/>
          <w:sz w:val="22"/>
          <w:szCs w:val="22"/>
        </w:rPr>
      </w:pPr>
      <w:r w:rsidRPr="00494C7A">
        <w:rPr>
          <w:rFonts w:ascii="Times New Roman" w:eastAsia="sans-serif" w:hAnsi="Times New Roman" w:cs="Times New Roman"/>
          <w:sz w:val="22"/>
          <w:szCs w:val="22"/>
        </w:rPr>
        <w:t>Niranjan, M., Sharma, R. P., Rajkumar, U., Reddy, B. L. N., Chatterjee, R. N. and Bhattacharya, J. K. 2008. Comparative evaluation of production performance in improved chicken varieties for backyard farming. International Journal of Poultry Science, 43(1), 23-26.</w:t>
      </w:r>
    </w:p>
    <w:p w14:paraId="4E742EC8" w14:textId="77777777" w:rsidR="00AF7721" w:rsidRPr="00494C7A" w:rsidRDefault="00046F22">
      <w:pPr>
        <w:spacing w:line="360" w:lineRule="auto"/>
        <w:ind w:left="440" w:hangingChars="200" w:hanging="440"/>
        <w:jc w:val="both"/>
        <w:rPr>
          <w:rFonts w:ascii="Times New Roman" w:eastAsia="sans-serif" w:hAnsi="Times New Roman" w:cs="Times New Roman"/>
          <w:sz w:val="22"/>
          <w:szCs w:val="22"/>
        </w:rPr>
      </w:pPr>
      <w:r w:rsidRPr="00494C7A">
        <w:rPr>
          <w:rFonts w:ascii="Times New Roman" w:eastAsia="sans-serif" w:hAnsi="Times New Roman" w:cs="Times New Roman"/>
          <w:sz w:val="22"/>
          <w:szCs w:val="22"/>
        </w:rPr>
        <w:t xml:space="preserve">Padhi, M. K. Chatterjee, R.N., and Rajkumar, U. (2003). Evaluation of different hybrids under free range system of poultry keeping in costal Orissa. </w:t>
      </w:r>
      <w:r w:rsidRPr="00494C7A">
        <w:rPr>
          <w:rFonts w:ascii="Times New Roman" w:eastAsia="sans-serif" w:hAnsi="Times New Roman" w:cs="Times New Roman"/>
          <w:i/>
          <w:iCs/>
          <w:sz w:val="22"/>
          <w:szCs w:val="22"/>
        </w:rPr>
        <w:t xml:space="preserve">Indian Journal </w:t>
      </w:r>
      <w:proofErr w:type="gramStart"/>
      <w:r w:rsidRPr="00494C7A">
        <w:rPr>
          <w:rFonts w:ascii="Times New Roman" w:eastAsia="sans-serif" w:hAnsi="Times New Roman" w:cs="Times New Roman"/>
          <w:i/>
          <w:iCs/>
          <w:sz w:val="22"/>
          <w:szCs w:val="22"/>
        </w:rPr>
        <w:t>of  Poultry</w:t>
      </w:r>
      <w:proofErr w:type="gramEnd"/>
      <w:r w:rsidRPr="00494C7A">
        <w:rPr>
          <w:rFonts w:ascii="Times New Roman" w:eastAsia="sans-serif" w:hAnsi="Times New Roman" w:cs="Times New Roman"/>
          <w:i/>
          <w:iCs/>
          <w:sz w:val="22"/>
          <w:szCs w:val="22"/>
        </w:rPr>
        <w:t xml:space="preserve"> </w:t>
      </w:r>
      <w:proofErr w:type="gramStart"/>
      <w:r w:rsidRPr="00494C7A">
        <w:rPr>
          <w:rFonts w:ascii="Times New Roman" w:eastAsia="sans-serif" w:hAnsi="Times New Roman" w:cs="Times New Roman"/>
          <w:i/>
          <w:iCs/>
          <w:sz w:val="22"/>
          <w:szCs w:val="22"/>
        </w:rPr>
        <w:t xml:space="preserve">Science,  </w:t>
      </w:r>
      <w:r w:rsidRPr="00494C7A">
        <w:rPr>
          <w:rFonts w:ascii="Times New Roman" w:eastAsia="sans-serif" w:hAnsi="Times New Roman" w:cs="Times New Roman"/>
          <w:sz w:val="22"/>
          <w:szCs w:val="22"/>
        </w:rPr>
        <w:t>38</w:t>
      </w:r>
      <w:proofErr w:type="gramEnd"/>
      <w:r w:rsidRPr="00494C7A">
        <w:rPr>
          <w:rFonts w:ascii="Times New Roman" w:eastAsia="sans-serif" w:hAnsi="Times New Roman" w:cs="Times New Roman"/>
          <w:sz w:val="22"/>
          <w:szCs w:val="22"/>
        </w:rPr>
        <w:t xml:space="preserve">(2): 121-125 </w:t>
      </w:r>
    </w:p>
    <w:p w14:paraId="5A3396F5" w14:textId="77777777" w:rsidR="00AF7721" w:rsidRPr="00494C7A" w:rsidRDefault="00046F22">
      <w:pPr>
        <w:pStyle w:val="NormalWeb"/>
        <w:spacing w:line="360" w:lineRule="auto"/>
        <w:ind w:left="440" w:hangingChars="200" w:hanging="440"/>
        <w:rPr>
          <w:rFonts w:ascii="Times New Roman" w:eastAsia="sans-serif" w:hAnsi="Times New Roman" w:cs="Times New Roman"/>
          <w:sz w:val="22"/>
          <w:szCs w:val="22"/>
        </w:rPr>
      </w:pPr>
      <w:r w:rsidRPr="00494C7A">
        <w:rPr>
          <w:rFonts w:ascii="Times New Roman" w:hAnsi="Times New Roman" w:cs="Times New Roman"/>
          <w:sz w:val="22"/>
          <w:szCs w:val="22"/>
        </w:rPr>
        <w:t>Padhi, M. K. (2016). Evaluation of indigenous breeds of chicken and their crosses for triple-purpose/dual-purpose traits. World’s Poultry Science Journal, 72(1),117-132.</w:t>
      </w:r>
    </w:p>
    <w:p w14:paraId="083308DA" w14:textId="77777777" w:rsidR="00AF7721" w:rsidRPr="00494C7A" w:rsidRDefault="00046F22">
      <w:pPr>
        <w:spacing w:line="360" w:lineRule="auto"/>
        <w:ind w:left="440" w:hangingChars="200" w:hanging="440"/>
        <w:jc w:val="both"/>
        <w:rPr>
          <w:rFonts w:ascii="Times New Roman" w:eastAsia="sans-serif" w:hAnsi="Times New Roman" w:cs="Times New Roman"/>
          <w:sz w:val="22"/>
          <w:szCs w:val="22"/>
        </w:rPr>
      </w:pPr>
      <w:r w:rsidRPr="00494C7A">
        <w:rPr>
          <w:rFonts w:ascii="Times New Roman" w:eastAsia="sans-serif" w:hAnsi="Times New Roman" w:cs="Times New Roman"/>
          <w:sz w:val="22"/>
          <w:szCs w:val="22"/>
        </w:rPr>
        <w:t xml:space="preserve">Padhi, M. K. Chatterjee, R.N., and Rajkumar, U. (2022). Evaluation of different chicken varieties and their crosses under backyard system of </w:t>
      </w:r>
      <w:proofErr w:type="spellStart"/>
      <w:r w:rsidRPr="00494C7A">
        <w:rPr>
          <w:rFonts w:ascii="Times New Roman" w:eastAsia="sans-serif" w:hAnsi="Times New Roman" w:cs="Times New Roman"/>
          <w:sz w:val="22"/>
          <w:szCs w:val="22"/>
        </w:rPr>
        <w:t>mangement</w:t>
      </w:r>
      <w:proofErr w:type="spellEnd"/>
      <w:r w:rsidRPr="00494C7A">
        <w:rPr>
          <w:rFonts w:ascii="Times New Roman" w:eastAsia="sans-serif" w:hAnsi="Times New Roman" w:cs="Times New Roman"/>
          <w:sz w:val="22"/>
          <w:szCs w:val="22"/>
        </w:rPr>
        <w:t xml:space="preserve">. </w:t>
      </w:r>
      <w:r w:rsidRPr="00494C7A">
        <w:rPr>
          <w:rFonts w:ascii="Times New Roman" w:eastAsia="sans-serif" w:hAnsi="Times New Roman" w:cs="Times New Roman"/>
          <w:i/>
          <w:iCs/>
          <w:sz w:val="22"/>
          <w:szCs w:val="22"/>
        </w:rPr>
        <w:t xml:space="preserve">Indian Journal </w:t>
      </w:r>
      <w:proofErr w:type="gramStart"/>
      <w:r w:rsidRPr="00494C7A">
        <w:rPr>
          <w:rFonts w:ascii="Times New Roman" w:eastAsia="sans-serif" w:hAnsi="Times New Roman" w:cs="Times New Roman"/>
          <w:i/>
          <w:iCs/>
          <w:sz w:val="22"/>
          <w:szCs w:val="22"/>
        </w:rPr>
        <w:t>of  Poultry</w:t>
      </w:r>
      <w:proofErr w:type="gramEnd"/>
      <w:r w:rsidRPr="00494C7A">
        <w:rPr>
          <w:rFonts w:ascii="Times New Roman" w:eastAsia="sans-serif" w:hAnsi="Times New Roman" w:cs="Times New Roman"/>
          <w:i/>
          <w:iCs/>
          <w:sz w:val="22"/>
          <w:szCs w:val="22"/>
        </w:rPr>
        <w:t xml:space="preserve"> </w:t>
      </w:r>
      <w:proofErr w:type="gramStart"/>
      <w:r w:rsidRPr="00494C7A">
        <w:rPr>
          <w:rFonts w:ascii="Times New Roman" w:eastAsia="sans-serif" w:hAnsi="Times New Roman" w:cs="Times New Roman"/>
          <w:i/>
          <w:iCs/>
          <w:sz w:val="22"/>
          <w:szCs w:val="22"/>
        </w:rPr>
        <w:t xml:space="preserve">Science,  </w:t>
      </w:r>
      <w:r w:rsidRPr="00494C7A">
        <w:rPr>
          <w:rFonts w:ascii="Times New Roman" w:eastAsia="sans-serif" w:hAnsi="Times New Roman" w:cs="Times New Roman"/>
          <w:sz w:val="22"/>
          <w:szCs w:val="22"/>
        </w:rPr>
        <w:t>38</w:t>
      </w:r>
      <w:proofErr w:type="gramEnd"/>
      <w:r w:rsidRPr="00494C7A">
        <w:rPr>
          <w:rFonts w:ascii="Times New Roman" w:eastAsia="sans-serif" w:hAnsi="Times New Roman" w:cs="Times New Roman"/>
          <w:sz w:val="22"/>
          <w:szCs w:val="22"/>
        </w:rPr>
        <w:t>(2): 212-217.</w:t>
      </w:r>
    </w:p>
    <w:p w14:paraId="28E7507D" w14:textId="77777777" w:rsidR="00AF7721" w:rsidRPr="00494C7A" w:rsidRDefault="00046F22">
      <w:pPr>
        <w:spacing w:line="360" w:lineRule="auto"/>
        <w:ind w:left="440" w:hangingChars="200" w:hanging="440"/>
        <w:jc w:val="both"/>
        <w:rPr>
          <w:rFonts w:ascii="Times New Roman" w:eastAsia="sans-serif" w:hAnsi="Times New Roman" w:cs="Times New Roman"/>
          <w:sz w:val="22"/>
          <w:szCs w:val="22"/>
        </w:rPr>
      </w:pPr>
      <w:proofErr w:type="spellStart"/>
      <w:proofErr w:type="gramStart"/>
      <w:r w:rsidRPr="00494C7A">
        <w:rPr>
          <w:rFonts w:ascii="Times New Roman" w:eastAsia="CIDFont" w:hAnsi="Times New Roman" w:cs="Times New Roman"/>
          <w:bCs/>
          <w:sz w:val="22"/>
          <w:szCs w:val="22"/>
        </w:rPr>
        <w:t>Prasad,S</w:t>
      </w:r>
      <w:proofErr w:type="spellEnd"/>
      <w:r w:rsidRPr="00494C7A">
        <w:rPr>
          <w:rFonts w:ascii="Times New Roman" w:eastAsia="CIDFont" w:hAnsi="Times New Roman" w:cs="Times New Roman"/>
          <w:bCs/>
          <w:sz w:val="22"/>
          <w:szCs w:val="22"/>
        </w:rPr>
        <w:t>.</w:t>
      </w:r>
      <w:proofErr w:type="gramEnd"/>
      <w:r w:rsidRPr="00494C7A">
        <w:rPr>
          <w:rFonts w:ascii="Times New Roman" w:eastAsia="CIDFont" w:hAnsi="Times New Roman" w:cs="Times New Roman"/>
          <w:bCs/>
          <w:sz w:val="22"/>
          <w:szCs w:val="22"/>
        </w:rPr>
        <w:t>, and Singh, D.P. (2006). Growth trajectory modeling and diallel cross evaluations of growth and immunocompetence traits in Aseel, CARI-Red, and Rhode Island Red chicken crosses. International Journal of bio-resource and Stress Management, 5(2), 246-254.</w:t>
      </w:r>
    </w:p>
    <w:p w14:paraId="4D079537" w14:textId="77777777" w:rsidR="00AF7721" w:rsidRPr="00494C7A" w:rsidRDefault="00046F22">
      <w:pPr>
        <w:spacing w:line="360" w:lineRule="auto"/>
        <w:ind w:left="440" w:hangingChars="200" w:hanging="440"/>
        <w:rPr>
          <w:rFonts w:ascii="Times New Roman" w:eastAsia="sans-serif" w:hAnsi="Times New Roman" w:cs="Times New Roman"/>
          <w:color w:val="C00000"/>
          <w:sz w:val="22"/>
          <w:szCs w:val="22"/>
        </w:rPr>
      </w:pPr>
      <w:r w:rsidRPr="00494C7A">
        <w:rPr>
          <w:rFonts w:ascii="Times New Roman" w:eastAsia="sans-serif" w:hAnsi="Times New Roman" w:cs="Times New Roman"/>
          <w:sz w:val="22"/>
          <w:szCs w:val="22"/>
        </w:rPr>
        <w:t xml:space="preserve">Pym, R. (2013). Poultry genetics and breeding in developing countries. Food and </w:t>
      </w:r>
      <w:proofErr w:type="spellStart"/>
      <w:r w:rsidRPr="00494C7A">
        <w:rPr>
          <w:rFonts w:ascii="Times New Roman" w:eastAsia="sans-serif" w:hAnsi="Times New Roman" w:cs="Times New Roman"/>
          <w:sz w:val="22"/>
          <w:szCs w:val="22"/>
        </w:rPr>
        <w:t>Agricuture</w:t>
      </w:r>
      <w:proofErr w:type="spellEnd"/>
      <w:r w:rsidRPr="00494C7A">
        <w:rPr>
          <w:rFonts w:ascii="Times New Roman" w:eastAsia="sans-serif" w:hAnsi="Times New Roman" w:cs="Times New Roman"/>
          <w:sz w:val="22"/>
          <w:szCs w:val="22"/>
        </w:rPr>
        <w:t xml:space="preserve"> Organization (FAO) Information Resources, 12-17.</w:t>
      </w:r>
    </w:p>
    <w:p w14:paraId="36F43599" w14:textId="77777777" w:rsidR="00AF7721" w:rsidRPr="00494C7A" w:rsidRDefault="00046F22">
      <w:pPr>
        <w:spacing w:line="360" w:lineRule="auto"/>
        <w:ind w:left="440" w:hangingChars="200" w:hanging="440"/>
        <w:rPr>
          <w:rFonts w:ascii="Times New Roman" w:eastAsia="sans-serif" w:hAnsi="Times New Roman" w:cs="Times New Roman"/>
          <w:sz w:val="22"/>
          <w:szCs w:val="22"/>
        </w:rPr>
      </w:pPr>
      <w:r w:rsidRPr="00494C7A">
        <w:rPr>
          <w:rFonts w:ascii="Times New Roman" w:eastAsia="sans-serif" w:hAnsi="Times New Roman" w:cs="Times New Roman"/>
          <w:sz w:val="22"/>
          <w:szCs w:val="22"/>
        </w:rPr>
        <w:t xml:space="preserve">Rajkumar, U., </w:t>
      </w:r>
      <w:proofErr w:type="spellStart"/>
      <w:r w:rsidRPr="00494C7A">
        <w:rPr>
          <w:rFonts w:ascii="Times New Roman" w:eastAsia="sans-serif" w:hAnsi="Times New Roman" w:cs="Times New Roman"/>
          <w:sz w:val="22"/>
          <w:szCs w:val="22"/>
        </w:rPr>
        <w:t>Haunshi</w:t>
      </w:r>
      <w:proofErr w:type="spellEnd"/>
      <w:r w:rsidRPr="00494C7A">
        <w:rPr>
          <w:rFonts w:ascii="Times New Roman" w:eastAsia="sans-serif" w:hAnsi="Times New Roman" w:cs="Times New Roman"/>
          <w:sz w:val="22"/>
          <w:szCs w:val="22"/>
        </w:rPr>
        <w:t xml:space="preserve">, S., Paswan, C., Raju, M.V.L.N. and </w:t>
      </w:r>
      <w:proofErr w:type="spellStart"/>
      <w:r w:rsidRPr="00494C7A">
        <w:rPr>
          <w:rFonts w:ascii="Times New Roman" w:eastAsia="sans-serif" w:hAnsi="Times New Roman" w:cs="Times New Roman"/>
          <w:sz w:val="22"/>
          <w:szCs w:val="22"/>
        </w:rPr>
        <w:t>RamaRao</w:t>
      </w:r>
      <w:proofErr w:type="spellEnd"/>
      <w:r w:rsidRPr="00494C7A">
        <w:rPr>
          <w:rFonts w:ascii="Times New Roman" w:eastAsia="sans-serif" w:hAnsi="Times New Roman" w:cs="Times New Roman"/>
          <w:sz w:val="22"/>
          <w:szCs w:val="22"/>
        </w:rPr>
        <w:t xml:space="preserve">, S.V. (2014). </w:t>
      </w:r>
      <w:proofErr w:type="spellStart"/>
      <w:r w:rsidRPr="00494C7A">
        <w:rPr>
          <w:rFonts w:ascii="Times New Roman" w:eastAsia="sans-serif" w:hAnsi="Times New Roman" w:cs="Times New Roman"/>
          <w:sz w:val="22"/>
          <w:szCs w:val="22"/>
        </w:rPr>
        <w:t>Characterisation</w:t>
      </w:r>
      <w:proofErr w:type="spellEnd"/>
      <w:r w:rsidRPr="00494C7A">
        <w:rPr>
          <w:rFonts w:ascii="Times New Roman" w:eastAsia="sans-serif" w:hAnsi="Times New Roman" w:cs="Times New Roman"/>
          <w:sz w:val="22"/>
          <w:szCs w:val="22"/>
        </w:rPr>
        <w:t xml:space="preserve"> of production, egg quality, and persistence laying profiles in native chicken crosses. </w:t>
      </w:r>
      <w:r w:rsidRPr="00494C7A">
        <w:rPr>
          <w:rFonts w:ascii="Times New Roman" w:eastAsia="sans-serif" w:hAnsi="Times New Roman" w:cs="Times New Roman"/>
          <w:i/>
          <w:iCs/>
          <w:sz w:val="22"/>
          <w:szCs w:val="22"/>
        </w:rPr>
        <w:t>Tropical Animal Health and Production</w:t>
      </w:r>
      <w:r w:rsidRPr="00494C7A">
        <w:rPr>
          <w:rFonts w:ascii="Times New Roman" w:eastAsia="sans-serif" w:hAnsi="Times New Roman" w:cs="Times New Roman"/>
          <w:sz w:val="22"/>
          <w:szCs w:val="22"/>
        </w:rPr>
        <w:t>, 46(7), 1211-1217.</w:t>
      </w:r>
    </w:p>
    <w:p w14:paraId="51B90785" w14:textId="77777777" w:rsidR="00AF7721" w:rsidRPr="00494C7A" w:rsidRDefault="00046F22">
      <w:pPr>
        <w:pStyle w:val="NormalWeb"/>
        <w:spacing w:line="360" w:lineRule="auto"/>
        <w:ind w:left="440" w:hangingChars="200" w:hanging="440"/>
        <w:rPr>
          <w:rFonts w:ascii="Times New Roman" w:hAnsi="Times New Roman" w:cs="Times New Roman"/>
          <w:sz w:val="22"/>
          <w:szCs w:val="22"/>
        </w:rPr>
      </w:pPr>
      <w:proofErr w:type="spellStart"/>
      <w:r w:rsidRPr="00494C7A">
        <w:rPr>
          <w:rFonts w:ascii="Times New Roman" w:hAnsi="Times New Roman" w:cs="Times New Roman"/>
          <w:sz w:val="22"/>
          <w:szCs w:val="22"/>
        </w:rPr>
        <w:t>Sankhyan</w:t>
      </w:r>
      <w:proofErr w:type="spellEnd"/>
      <w:r w:rsidRPr="00494C7A">
        <w:rPr>
          <w:rFonts w:ascii="Times New Roman" w:hAnsi="Times New Roman" w:cs="Times New Roman"/>
          <w:sz w:val="22"/>
          <w:szCs w:val="22"/>
        </w:rPr>
        <w:t xml:space="preserve">, S., Thakur, Y.P., and Katoch, S. (2020). Study of egg traits among improved varieties of chicken reared under backyard poultry production system. </w:t>
      </w:r>
      <w:r w:rsidRPr="00494C7A">
        <w:rPr>
          <w:rFonts w:ascii="Times New Roman" w:hAnsi="Times New Roman" w:cs="Times New Roman"/>
          <w:i/>
          <w:iCs/>
          <w:sz w:val="22"/>
          <w:szCs w:val="22"/>
        </w:rPr>
        <w:t>The Indian Journal of Animal Sciences,</w:t>
      </w:r>
      <w:r w:rsidRPr="00494C7A">
        <w:rPr>
          <w:rFonts w:ascii="Times New Roman" w:hAnsi="Times New Roman" w:cs="Times New Roman"/>
          <w:sz w:val="22"/>
          <w:szCs w:val="22"/>
        </w:rPr>
        <w:t xml:space="preserve"> 90(6), 898-902.</w:t>
      </w:r>
    </w:p>
    <w:p w14:paraId="42626A75" w14:textId="77777777" w:rsidR="00AF7721" w:rsidRPr="00494C7A" w:rsidRDefault="00046F22">
      <w:pPr>
        <w:spacing w:line="360" w:lineRule="auto"/>
        <w:ind w:left="440" w:hangingChars="200" w:hanging="440"/>
        <w:jc w:val="both"/>
        <w:rPr>
          <w:rFonts w:ascii="Times New Roman" w:eastAsia="CIDFont" w:hAnsi="Times New Roman" w:cs="Times New Roman"/>
          <w:bCs/>
          <w:sz w:val="22"/>
          <w:szCs w:val="22"/>
        </w:rPr>
      </w:pPr>
      <w:r w:rsidRPr="00494C7A">
        <w:rPr>
          <w:rFonts w:ascii="Times New Roman" w:eastAsia="CIDFont" w:hAnsi="Times New Roman" w:cs="Times New Roman"/>
          <w:sz w:val="22"/>
          <w:szCs w:val="22"/>
        </w:rPr>
        <w:t xml:space="preserve">Singh, D.K., Singh M.K., Singh P. K., Kumar, A., and Fahim. (2018). </w:t>
      </w:r>
      <w:r w:rsidRPr="00494C7A">
        <w:rPr>
          <w:rFonts w:ascii="Times New Roman" w:eastAsia="CIDFont" w:hAnsi="Times New Roman" w:cs="Times New Roman"/>
          <w:bCs/>
          <w:sz w:val="22"/>
          <w:szCs w:val="22"/>
        </w:rPr>
        <w:t xml:space="preserve">Comparative Performance of Cari Nirbheek, </w:t>
      </w:r>
      <w:proofErr w:type="spellStart"/>
      <w:r w:rsidRPr="00494C7A">
        <w:rPr>
          <w:rFonts w:ascii="Times New Roman" w:eastAsia="CIDFont" w:hAnsi="Times New Roman" w:cs="Times New Roman"/>
          <w:bCs/>
          <w:sz w:val="22"/>
          <w:szCs w:val="22"/>
        </w:rPr>
        <w:t>Hitcari</w:t>
      </w:r>
      <w:proofErr w:type="spellEnd"/>
      <w:r w:rsidRPr="00494C7A">
        <w:rPr>
          <w:rFonts w:ascii="Times New Roman" w:eastAsia="CIDFont" w:hAnsi="Times New Roman" w:cs="Times New Roman"/>
          <w:bCs/>
          <w:sz w:val="22"/>
          <w:szCs w:val="22"/>
        </w:rPr>
        <w:t xml:space="preserve"> and Cari Shyama Bird under Backyard System of Rearing in Western Uttar Pradesh, </w:t>
      </w:r>
      <w:proofErr w:type="spellStart"/>
      <w:r w:rsidRPr="00494C7A">
        <w:rPr>
          <w:rFonts w:ascii="Times New Roman" w:eastAsia="CIDFont" w:hAnsi="Times New Roman" w:cs="Times New Roman"/>
          <w:bCs/>
          <w:sz w:val="22"/>
          <w:szCs w:val="22"/>
        </w:rPr>
        <w:t>India.</w:t>
      </w:r>
      <w:r w:rsidRPr="00494C7A">
        <w:rPr>
          <w:rFonts w:ascii="Times New Roman" w:eastAsia="CIDFont" w:hAnsi="Times New Roman" w:cs="Times New Roman"/>
          <w:bCs/>
          <w:i/>
          <w:iCs/>
          <w:sz w:val="22"/>
          <w:szCs w:val="22"/>
        </w:rPr>
        <w:t>The</w:t>
      </w:r>
      <w:proofErr w:type="spellEnd"/>
      <w:r w:rsidRPr="00494C7A">
        <w:rPr>
          <w:rFonts w:ascii="Times New Roman" w:eastAsia="CIDFont" w:hAnsi="Times New Roman" w:cs="Times New Roman"/>
          <w:bCs/>
          <w:i/>
          <w:iCs/>
          <w:sz w:val="22"/>
          <w:szCs w:val="22"/>
        </w:rPr>
        <w:t xml:space="preserve"> Journal of Rural and Agricultural Research </w:t>
      </w:r>
      <w:r w:rsidRPr="00494C7A">
        <w:rPr>
          <w:rFonts w:ascii="Times New Roman" w:eastAsia="CIDFont" w:hAnsi="Times New Roman" w:cs="Times New Roman"/>
          <w:bCs/>
          <w:sz w:val="22"/>
          <w:szCs w:val="22"/>
        </w:rPr>
        <w:t>Vol. 18 No. 2, 39-41 (2018).</w:t>
      </w:r>
    </w:p>
    <w:p w14:paraId="549AEEFB" w14:textId="77777777" w:rsidR="00AF7721" w:rsidRPr="00494C7A" w:rsidRDefault="00046F22">
      <w:pPr>
        <w:spacing w:line="360" w:lineRule="auto"/>
        <w:ind w:left="440" w:hangingChars="200" w:hanging="440"/>
        <w:rPr>
          <w:rFonts w:ascii="Times New Roman" w:eastAsia="sans-serif" w:hAnsi="Times New Roman" w:cs="Times New Roman"/>
          <w:sz w:val="22"/>
          <w:szCs w:val="22"/>
        </w:rPr>
      </w:pPr>
      <w:r w:rsidRPr="00494C7A">
        <w:rPr>
          <w:rFonts w:ascii="Times New Roman" w:eastAsia="sans-serif" w:hAnsi="Times New Roman" w:cs="Times New Roman"/>
          <w:sz w:val="22"/>
          <w:szCs w:val="22"/>
        </w:rPr>
        <w:lastRenderedPageBreak/>
        <w:t xml:space="preserve">Zeeshan, R., Hussain, J., Usman, M., Hafiz, R. and Rehman. (2024). Meat quality traits and blood biochemistry of three chicken genotypes reared under different production systems. </w:t>
      </w:r>
      <w:r w:rsidRPr="00494C7A">
        <w:rPr>
          <w:rFonts w:ascii="Times New Roman" w:eastAsia="sans-serif" w:hAnsi="Times New Roman" w:cs="Times New Roman"/>
          <w:i/>
          <w:iCs/>
          <w:sz w:val="22"/>
          <w:szCs w:val="22"/>
        </w:rPr>
        <w:t>Insights in Animal Science</w:t>
      </w:r>
      <w:r w:rsidRPr="00494C7A">
        <w:rPr>
          <w:rFonts w:ascii="Times New Roman" w:eastAsia="sans-serif" w:hAnsi="Times New Roman" w:cs="Times New Roman"/>
          <w:sz w:val="22"/>
          <w:szCs w:val="22"/>
        </w:rPr>
        <w:t>, 1(1), 14-29.</w:t>
      </w:r>
    </w:p>
    <w:sectPr w:rsidR="00AF7721" w:rsidRPr="00494C7A" w:rsidSect="00AF7721">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92304" w14:textId="77777777" w:rsidR="003F4DF8" w:rsidRDefault="003F4DF8" w:rsidP="002E36E5">
      <w:r>
        <w:separator/>
      </w:r>
    </w:p>
  </w:endnote>
  <w:endnote w:type="continuationSeparator" w:id="0">
    <w:p w14:paraId="029E5F68" w14:textId="77777777" w:rsidR="003F4DF8" w:rsidRDefault="003F4DF8" w:rsidP="002E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default"/>
    <w:sig w:usb0="E0000AFF" w:usb1="00007843" w:usb2="00000001" w:usb3="00000000" w:csb0="400001BF" w:csb1="DFF70000"/>
  </w:font>
  <w:font w:name="Times New Roman Regular">
    <w:altName w:val="Times New Roman"/>
    <w:charset w:val="00"/>
    <w:family w:val="auto"/>
    <w:pitch w:val="default"/>
    <w:sig w:usb0="00000000" w:usb1="00007843" w:usb2="00000001" w:usb3="00000000" w:csb0="400001BF" w:csb1="DFF70000"/>
  </w:font>
  <w:font w:name="serif">
    <w:altName w:val="Times New Roman"/>
    <w:charset w:val="00"/>
    <w:family w:val="auto"/>
    <w:pitch w:val="default"/>
  </w:font>
  <w:font w:name="TimesNewRomanPS-BoldMT">
    <w:altName w:val="Times New Roman"/>
    <w:charset w:val="00"/>
    <w:family w:val="auto"/>
    <w:pitch w:val="default"/>
    <w:sig w:usb0="00000000" w:usb1="00007843" w:usb2="00000001" w:usb3="00000000" w:csb0="400001BF" w:csb1="DFF70000"/>
  </w:font>
  <w:font w:name="-webkit-standard">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IDFont">
    <w:altName w:val="Times New Roman"/>
    <w:charset w:val="00"/>
    <w:family w:val="auto"/>
    <w:pitch w:val="default"/>
  </w:font>
  <w:font w:name="Helvetica Neue">
    <w:altName w:val="SimSun"/>
    <w:charset w:val="00"/>
    <w:family w:val="auto"/>
    <w:pitch w:val="default"/>
    <w:sig w:usb0="E50002FF" w:usb1="500079DB" w:usb2="00000010" w:usb3="00000000" w:csb0="00000000" w:csb1="00000000"/>
  </w:font>
  <w:font w:name="sans-serif">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6D948" w14:textId="77777777" w:rsidR="002E36E5" w:rsidRDefault="002E36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20C6" w14:textId="77777777" w:rsidR="002E36E5" w:rsidRDefault="002E36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A391" w14:textId="77777777" w:rsidR="002E36E5" w:rsidRDefault="002E3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4BF2E" w14:textId="77777777" w:rsidR="003F4DF8" w:rsidRDefault="003F4DF8" w:rsidP="002E36E5">
      <w:r>
        <w:separator/>
      </w:r>
    </w:p>
  </w:footnote>
  <w:footnote w:type="continuationSeparator" w:id="0">
    <w:p w14:paraId="4B74E9E0" w14:textId="77777777" w:rsidR="003F4DF8" w:rsidRDefault="003F4DF8" w:rsidP="002E3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33E0E" w14:textId="35C162E2" w:rsidR="002E36E5" w:rsidRDefault="002E36E5">
    <w:pPr>
      <w:pStyle w:val="Header"/>
    </w:pPr>
    <w:r>
      <w:rPr>
        <w:noProof/>
      </w:rPr>
      <w:pict w14:anchorId="673D4D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43907" o:spid="_x0000_s1026" type="#_x0000_t136" style="position:absolute;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0F0D2" w14:textId="5EFE8C20" w:rsidR="002E36E5" w:rsidRDefault="002E36E5">
    <w:pPr>
      <w:pStyle w:val="Header"/>
    </w:pPr>
    <w:r>
      <w:rPr>
        <w:noProof/>
      </w:rPr>
      <w:pict w14:anchorId="55DB74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43908" o:spid="_x0000_s1027" type="#_x0000_t136" style="position:absolute;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2DB1" w14:textId="24AD4CE7" w:rsidR="002E36E5" w:rsidRDefault="002E36E5">
    <w:pPr>
      <w:pStyle w:val="Header"/>
    </w:pPr>
    <w:r>
      <w:rPr>
        <w:noProof/>
      </w:rPr>
      <w:pict w14:anchorId="3C1FA2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43906" o:spid="_x0000_s1025" type="#_x0000_t136" style="position:absolute;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720"/>
  <w:drawingGridVerticalSpacing w:val="15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2"/>
    <w:compatSetting w:name="useWord2013TrackBottomHyphenation" w:uri="http://schemas.microsoft.com/office/word" w:val="1"/>
  </w:compat>
  <w:rsids>
    <w:rsidRoot w:val="5D733791"/>
    <w:rsid w:val="00046F22"/>
    <w:rsid w:val="001707F9"/>
    <w:rsid w:val="00170D43"/>
    <w:rsid w:val="002259BD"/>
    <w:rsid w:val="002C6A20"/>
    <w:rsid w:val="002E36E5"/>
    <w:rsid w:val="00353555"/>
    <w:rsid w:val="0036170A"/>
    <w:rsid w:val="00373CDE"/>
    <w:rsid w:val="00377CFB"/>
    <w:rsid w:val="003F4DF8"/>
    <w:rsid w:val="00494C7A"/>
    <w:rsid w:val="004D4145"/>
    <w:rsid w:val="006362C0"/>
    <w:rsid w:val="006F56A3"/>
    <w:rsid w:val="0072247E"/>
    <w:rsid w:val="00743006"/>
    <w:rsid w:val="00762413"/>
    <w:rsid w:val="00A3313C"/>
    <w:rsid w:val="00AB1D86"/>
    <w:rsid w:val="00AF7721"/>
    <w:rsid w:val="00B3675B"/>
    <w:rsid w:val="00BA425B"/>
    <w:rsid w:val="00C12AF3"/>
    <w:rsid w:val="00C527D1"/>
    <w:rsid w:val="00CA1C5C"/>
    <w:rsid w:val="00CB7D38"/>
    <w:rsid w:val="00D37776"/>
    <w:rsid w:val="00D43CBD"/>
    <w:rsid w:val="00D7573A"/>
    <w:rsid w:val="00F56262"/>
    <w:rsid w:val="1CFDFEA5"/>
    <w:rsid w:val="36FF8567"/>
    <w:rsid w:val="3B551C2A"/>
    <w:rsid w:val="59FAF9B1"/>
    <w:rsid w:val="5D733791"/>
    <w:rsid w:val="5DAC88D1"/>
    <w:rsid w:val="6EABF7E2"/>
    <w:rsid w:val="76F9372D"/>
    <w:rsid w:val="799F21E4"/>
    <w:rsid w:val="7DFF25DB"/>
    <w:rsid w:val="A3F7F8C6"/>
    <w:rsid w:val="BE1BCE1C"/>
    <w:rsid w:val="DEF77C26"/>
    <w:rsid w:val="EBCF3566"/>
    <w:rsid w:val="EFEF69EF"/>
    <w:rsid w:val="F35D2161"/>
    <w:rsid w:val="FDFDCC86"/>
    <w:rsid w:val="FEBE3015"/>
    <w:rsid w:val="FFB94896"/>
    <w:rsid w:val="FFCB7D4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7EC5D6"/>
  <w15:docId w15:val="{D715CF00-6520-4445-B438-81E1F0F79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hi-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7721"/>
    <w:rPr>
      <w:rFonts w:asciiTheme="minorHAnsi" w:eastAsiaTheme="minorEastAsia" w:hAnsiTheme="minorHAnsi" w:cstheme="minorBidi"/>
      <w:lang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AF7721"/>
    <w:rPr>
      <w:i/>
      <w:iCs/>
    </w:rPr>
  </w:style>
  <w:style w:type="character" w:styleId="Hyperlink">
    <w:name w:val="Hyperlink"/>
    <w:basedOn w:val="DefaultParagraphFont"/>
    <w:rsid w:val="00AF7721"/>
    <w:rPr>
      <w:color w:val="0000FF"/>
      <w:u w:val="single"/>
    </w:rPr>
  </w:style>
  <w:style w:type="paragraph" w:styleId="NormalWeb">
    <w:name w:val="Normal (Web)"/>
    <w:basedOn w:val="Normal"/>
    <w:rsid w:val="00AF7721"/>
    <w:rPr>
      <w:sz w:val="24"/>
      <w:szCs w:val="24"/>
    </w:rPr>
  </w:style>
  <w:style w:type="table" w:styleId="TableGrid">
    <w:name w:val="Table Grid"/>
    <w:basedOn w:val="TableNormal"/>
    <w:uiPriority w:val="59"/>
    <w:rsid w:val="00AF77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rsid w:val="00AF7721"/>
    <w:rPr>
      <w:rFonts w:cs="Mangal"/>
      <w:color w:val="000000"/>
      <w:sz w:val="18"/>
      <w:szCs w:val="18"/>
      <w:lang w:eastAsia="zh-CN"/>
    </w:rPr>
  </w:style>
  <w:style w:type="paragraph" w:customStyle="1" w:styleId="Normal1">
    <w:name w:val="Normal1"/>
    <w:rsid w:val="00D43CBD"/>
    <w:pPr>
      <w:spacing w:after="160" w:line="259" w:lineRule="auto"/>
    </w:pPr>
    <w:rPr>
      <w:rFonts w:ascii="Calibri" w:eastAsia="Calibri" w:hAnsi="Calibri" w:cs="Calibri"/>
      <w:sz w:val="22"/>
      <w:szCs w:val="22"/>
      <w:lang w:val="en-IN"/>
    </w:rPr>
  </w:style>
  <w:style w:type="paragraph" w:styleId="BalloonText">
    <w:name w:val="Balloon Text"/>
    <w:basedOn w:val="Normal"/>
    <w:link w:val="BalloonTextChar"/>
    <w:rsid w:val="00D43CBD"/>
    <w:rPr>
      <w:rFonts w:ascii="Tahoma" w:hAnsi="Tahoma" w:cs="Tahoma"/>
      <w:sz w:val="16"/>
      <w:szCs w:val="16"/>
    </w:rPr>
  </w:style>
  <w:style w:type="character" w:customStyle="1" w:styleId="BalloonTextChar">
    <w:name w:val="Balloon Text Char"/>
    <w:basedOn w:val="DefaultParagraphFont"/>
    <w:link w:val="BalloonText"/>
    <w:rsid w:val="00D43CBD"/>
    <w:rPr>
      <w:rFonts w:ascii="Tahoma" w:eastAsiaTheme="minorEastAsia" w:hAnsi="Tahoma" w:cs="Tahoma"/>
      <w:sz w:val="16"/>
      <w:szCs w:val="16"/>
      <w:lang w:eastAsia="zh-CN" w:bidi="ar-SA"/>
    </w:rPr>
  </w:style>
  <w:style w:type="character" w:styleId="UnresolvedMention">
    <w:name w:val="Unresolved Mention"/>
    <w:basedOn w:val="DefaultParagraphFont"/>
    <w:uiPriority w:val="99"/>
    <w:semiHidden/>
    <w:unhideWhenUsed/>
    <w:rsid w:val="006362C0"/>
    <w:rPr>
      <w:color w:val="605E5C"/>
      <w:shd w:val="clear" w:color="auto" w:fill="E1DFDD"/>
    </w:rPr>
  </w:style>
  <w:style w:type="paragraph" w:styleId="Header">
    <w:name w:val="header"/>
    <w:basedOn w:val="Normal"/>
    <w:link w:val="HeaderChar"/>
    <w:rsid w:val="002E36E5"/>
    <w:pPr>
      <w:tabs>
        <w:tab w:val="center" w:pos="4680"/>
        <w:tab w:val="right" w:pos="9360"/>
      </w:tabs>
    </w:pPr>
  </w:style>
  <w:style w:type="character" w:customStyle="1" w:styleId="HeaderChar">
    <w:name w:val="Header Char"/>
    <w:basedOn w:val="DefaultParagraphFont"/>
    <w:link w:val="Header"/>
    <w:rsid w:val="002E36E5"/>
    <w:rPr>
      <w:rFonts w:asciiTheme="minorHAnsi" w:eastAsiaTheme="minorEastAsia" w:hAnsiTheme="minorHAnsi" w:cstheme="minorBidi"/>
      <w:lang w:eastAsia="zh-CN" w:bidi="ar-SA"/>
    </w:rPr>
  </w:style>
  <w:style w:type="paragraph" w:styleId="Footer">
    <w:name w:val="footer"/>
    <w:basedOn w:val="Normal"/>
    <w:link w:val="FooterChar"/>
    <w:rsid w:val="002E36E5"/>
    <w:pPr>
      <w:tabs>
        <w:tab w:val="center" w:pos="4680"/>
        <w:tab w:val="right" w:pos="9360"/>
      </w:tabs>
    </w:pPr>
  </w:style>
  <w:style w:type="character" w:customStyle="1" w:styleId="FooterChar">
    <w:name w:val="Footer Char"/>
    <w:basedOn w:val="DefaultParagraphFont"/>
    <w:link w:val="Footer"/>
    <w:rsid w:val="002E36E5"/>
    <w:rPr>
      <w:rFonts w:asciiTheme="minorHAnsi" w:eastAsiaTheme="minorEastAsia" w:hAnsiTheme="minorHAnsi" w:cstheme="minorBidi"/>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001648">
      <w:bodyDiv w:val="1"/>
      <w:marLeft w:val="0"/>
      <w:marRight w:val="0"/>
      <w:marTop w:val="0"/>
      <w:marBottom w:val="0"/>
      <w:divBdr>
        <w:top w:val="none" w:sz="0" w:space="0" w:color="auto"/>
        <w:left w:val="none" w:sz="0" w:space="0" w:color="auto"/>
        <w:bottom w:val="none" w:sz="0" w:space="0" w:color="auto"/>
        <w:right w:val="none" w:sz="0" w:space="0" w:color="auto"/>
      </w:divBdr>
    </w:div>
    <w:div w:id="1559315745">
      <w:bodyDiv w:val="1"/>
      <w:marLeft w:val="0"/>
      <w:marRight w:val="0"/>
      <w:marTop w:val="0"/>
      <w:marBottom w:val="0"/>
      <w:divBdr>
        <w:top w:val="none" w:sz="0" w:space="0" w:color="auto"/>
        <w:left w:val="none" w:sz="0" w:space="0" w:color="auto"/>
        <w:bottom w:val="none" w:sz="0" w:space="0" w:color="auto"/>
        <w:right w:val="none" w:sz="0" w:space="0" w:color="auto"/>
      </w:divBdr>
    </w:div>
    <w:div w:id="1870297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doi.org/10.56093/ijans.v86i2.55807" TargetMode="External"/><Relationship Id="rId4" Type="http://schemas.openxmlformats.org/officeDocument/2006/relationships/footnotes" Target="footnotes.xml"/><Relationship Id="rId9" Type="http://schemas.openxmlformats.org/officeDocument/2006/relationships/chart" Target="charts/chart4.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400" b="1" i="0" u="none" strike="noStrike" kern="1200" baseline="0">
                <a:solidFill>
                  <a:schemeClr val="tx1">
                    <a:lumMod val="75000"/>
                    <a:lumOff val="25000"/>
                  </a:schemeClr>
                </a:solidFill>
                <a:latin typeface="+mn-lt"/>
                <a:ea typeface="+mn-ea"/>
                <a:cs typeface="+mn-cs"/>
              </a:defRPr>
            </a:pPr>
            <a:r>
              <a:rPr lang="en-US" sz="1000">
                <a:latin typeface="Times New Roman Bold" panose="02020503050405090304" charset="0"/>
                <a:cs typeface="Times New Roman Bold" panose="02020503050405090304" charset="0"/>
              </a:rPr>
              <a:t>BODY WEIGHT (gm)</a:t>
            </a:r>
          </a:p>
        </c:rich>
      </c:tx>
      <c:layout>
        <c:manualLayout>
          <c:xMode val="edge"/>
          <c:yMode val="edge"/>
          <c:x val="0.31516116195781951"/>
          <c:y val="1.5275921329005206E-2"/>
        </c:manualLayout>
      </c:layout>
      <c:overlay val="0"/>
      <c:spPr>
        <a:noFill/>
        <a:ln>
          <a:noFill/>
        </a:ln>
        <a:effectLst/>
      </c:spPr>
    </c:title>
    <c:autoTitleDeleted val="0"/>
    <c:plotArea>
      <c:layout/>
      <c:barChart>
        <c:barDir val="col"/>
        <c:grouping val="clustered"/>
        <c:varyColors val="0"/>
        <c:ser>
          <c:idx val="0"/>
          <c:order val="0"/>
          <c:tx>
            <c:strRef>
              <c:f>[Workbook1]Sheet1!$I$1</c:f>
              <c:strCache>
                <c:ptCount val="1"/>
                <c:pt idx="0">
                  <c:v>CD</c:v>
                </c:pt>
              </c:strCache>
            </c:strRef>
          </c:tx>
          <c:spPr>
            <a:solidFill>
              <a:schemeClr val="accent1"/>
            </a:solidFill>
            <a:ln>
              <a:noFill/>
            </a:ln>
            <a:effectLst/>
          </c:spPr>
          <c:invertIfNegative val="0"/>
          <c:cat>
            <c:strRef>
              <c:f>[Workbook1]Sheet1!$H$2:$H$15</c:f>
              <c:strCache>
                <c:ptCount val="14"/>
                <c:pt idx="0">
                  <c:v>day-old</c:v>
                </c:pt>
                <c:pt idx="1">
                  <c:v>1 week</c:v>
                </c:pt>
                <c:pt idx="2">
                  <c:v>2 week</c:v>
                </c:pt>
                <c:pt idx="3">
                  <c:v>3 week</c:v>
                </c:pt>
                <c:pt idx="4">
                  <c:v>4 week</c:v>
                </c:pt>
                <c:pt idx="5">
                  <c:v>5 week</c:v>
                </c:pt>
                <c:pt idx="6">
                  <c:v>6 week</c:v>
                </c:pt>
                <c:pt idx="7">
                  <c:v>8 week</c:v>
                </c:pt>
                <c:pt idx="8">
                  <c:v>10 week</c:v>
                </c:pt>
                <c:pt idx="9">
                  <c:v>12 week</c:v>
                </c:pt>
                <c:pt idx="10">
                  <c:v>14 week</c:v>
                </c:pt>
                <c:pt idx="11">
                  <c:v>16 week</c:v>
                </c:pt>
                <c:pt idx="12">
                  <c:v>18 week</c:v>
                </c:pt>
                <c:pt idx="13">
                  <c:v>20 week</c:v>
                </c:pt>
              </c:strCache>
            </c:strRef>
          </c:cat>
          <c:val>
            <c:numRef>
              <c:f>[Workbook1]Sheet1!$I$2:$I$15</c:f>
              <c:numCache>
                <c:formatCode>General</c:formatCode>
                <c:ptCount val="14"/>
                <c:pt idx="0">
                  <c:v>33.380000000000003</c:v>
                </c:pt>
                <c:pt idx="1">
                  <c:v>76.03</c:v>
                </c:pt>
                <c:pt idx="2">
                  <c:v>126.76</c:v>
                </c:pt>
                <c:pt idx="3">
                  <c:v>201.35000000000011</c:v>
                </c:pt>
                <c:pt idx="4">
                  <c:v>291.76</c:v>
                </c:pt>
                <c:pt idx="5">
                  <c:v>444.9099999999998</c:v>
                </c:pt>
                <c:pt idx="6">
                  <c:v>629.07000000000005</c:v>
                </c:pt>
                <c:pt idx="7">
                  <c:v>870.49</c:v>
                </c:pt>
                <c:pt idx="8">
                  <c:v>1100.6899999999998</c:v>
                </c:pt>
                <c:pt idx="9">
                  <c:v>1202.22</c:v>
                </c:pt>
                <c:pt idx="10">
                  <c:v>1348.55</c:v>
                </c:pt>
                <c:pt idx="11">
                  <c:v>1611.95</c:v>
                </c:pt>
                <c:pt idx="12">
                  <c:v>1976.01</c:v>
                </c:pt>
                <c:pt idx="13">
                  <c:v>2221.5700000000002</c:v>
                </c:pt>
              </c:numCache>
            </c:numRef>
          </c:val>
          <c:extLst>
            <c:ext xmlns:c16="http://schemas.microsoft.com/office/drawing/2014/chart" uri="{C3380CC4-5D6E-409C-BE32-E72D297353CC}">
              <c16:uniqueId val="{00000000-887D-487E-A841-6A755393A02A}"/>
            </c:ext>
          </c:extLst>
        </c:ser>
        <c:ser>
          <c:idx val="1"/>
          <c:order val="1"/>
          <c:tx>
            <c:strRef>
              <c:f>[Workbook1]Sheet1!$J$1</c:f>
              <c:strCache>
                <c:ptCount val="1"/>
                <c:pt idx="0">
                  <c:v>CN</c:v>
                </c:pt>
              </c:strCache>
            </c:strRef>
          </c:tx>
          <c:spPr>
            <a:solidFill>
              <a:schemeClr val="accent2"/>
            </a:solidFill>
            <a:ln>
              <a:noFill/>
            </a:ln>
            <a:effectLst/>
          </c:spPr>
          <c:invertIfNegative val="0"/>
          <c:cat>
            <c:strRef>
              <c:f>[Workbook1]Sheet1!$H$2:$H$15</c:f>
              <c:strCache>
                <c:ptCount val="14"/>
                <c:pt idx="0">
                  <c:v>day-old</c:v>
                </c:pt>
                <c:pt idx="1">
                  <c:v>1 week</c:v>
                </c:pt>
                <c:pt idx="2">
                  <c:v>2 week</c:v>
                </c:pt>
                <c:pt idx="3">
                  <c:v>3 week</c:v>
                </c:pt>
                <c:pt idx="4">
                  <c:v>4 week</c:v>
                </c:pt>
                <c:pt idx="5">
                  <c:v>5 week</c:v>
                </c:pt>
                <c:pt idx="6">
                  <c:v>6 week</c:v>
                </c:pt>
                <c:pt idx="7">
                  <c:v>8 week</c:v>
                </c:pt>
                <c:pt idx="8">
                  <c:v>10 week</c:v>
                </c:pt>
                <c:pt idx="9">
                  <c:v>12 week</c:v>
                </c:pt>
                <c:pt idx="10">
                  <c:v>14 week</c:v>
                </c:pt>
                <c:pt idx="11">
                  <c:v>16 week</c:v>
                </c:pt>
                <c:pt idx="12">
                  <c:v>18 week</c:v>
                </c:pt>
                <c:pt idx="13">
                  <c:v>20 week</c:v>
                </c:pt>
              </c:strCache>
            </c:strRef>
          </c:cat>
          <c:val>
            <c:numRef>
              <c:f>[Workbook1]Sheet1!$J$2:$J$15</c:f>
              <c:numCache>
                <c:formatCode>General</c:formatCode>
                <c:ptCount val="14"/>
                <c:pt idx="0">
                  <c:v>38.760000000000012</c:v>
                </c:pt>
                <c:pt idx="1">
                  <c:v>89.35</c:v>
                </c:pt>
                <c:pt idx="2">
                  <c:v>145.63</c:v>
                </c:pt>
                <c:pt idx="3">
                  <c:v>198.35000000000011</c:v>
                </c:pt>
                <c:pt idx="4">
                  <c:v>292.78999999999979</c:v>
                </c:pt>
                <c:pt idx="5">
                  <c:v>370.95</c:v>
                </c:pt>
                <c:pt idx="6">
                  <c:v>464.78</c:v>
                </c:pt>
                <c:pt idx="7">
                  <c:v>696.56</c:v>
                </c:pt>
                <c:pt idx="8">
                  <c:v>902.1</c:v>
                </c:pt>
                <c:pt idx="9">
                  <c:v>1081.6299999999999</c:v>
                </c:pt>
                <c:pt idx="10">
                  <c:v>1312.96</c:v>
                </c:pt>
                <c:pt idx="11">
                  <c:v>1463.6599999999999</c:v>
                </c:pt>
                <c:pt idx="12">
                  <c:v>1640.72</c:v>
                </c:pt>
                <c:pt idx="13">
                  <c:v>1923.1799999999998</c:v>
                </c:pt>
              </c:numCache>
            </c:numRef>
          </c:val>
          <c:extLst>
            <c:ext xmlns:c16="http://schemas.microsoft.com/office/drawing/2014/chart" uri="{C3380CC4-5D6E-409C-BE32-E72D297353CC}">
              <c16:uniqueId val="{00000001-887D-487E-A841-6A755393A02A}"/>
            </c:ext>
          </c:extLst>
        </c:ser>
        <c:dLbls>
          <c:showLegendKey val="0"/>
          <c:showVal val="0"/>
          <c:showCatName val="0"/>
          <c:showSerName val="0"/>
          <c:showPercent val="0"/>
          <c:showBubbleSize val="0"/>
        </c:dLbls>
        <c:gapWidth val="246"/>
        <c:overlap val="-28"/>
        <c:axId val="54818304"/>
        <c:axId val="54820224"/>
      </c:barChart>
      <c:catAx>
        <c:axId val="54818304"/>
        <c:scaling>
          <c:orientation val="minMax"/>
        </c:scaling>
        <c:delete val="0"/>
        <c:axPos val="b"/>
        <c:title>
          <c:overlay val="0"/>
          <c:spPr>
            <a:noFill/>
            <a:ln>
              <a:noFill/>
            </a:ln>
            <a:effectLst/>
          </c:spPr>
          <c:txPr>
            <a:bodyPr rot="0" spcFirstLastPara="0"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4820224"/>
        <c:crosses val="autoZero"/>
        <c:auto val="1"/>
        <c:lblAlgn val="ctr"/>
        <c:lblOffset val="100"/>
        <c:noMultiLvlLbl val="0"/>
      </c:catAx>
      <c:valAx>
        <c:axId val="54820224"/>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t>Body wt. (gm)</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4818304"/>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347d68b2-c7b3-4058-ad13-39c93bf392b8}"/>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Feed</a:t>
            </a:r>
            <a:r>
              <a:rPr lang="en-US" baseline="0"/>
              <a:t> Intake</a:t>
            </a:r>
            <a:endParaRPr lang="en-US"/>
          </a:p>
        </c:rich>
      </c:tx>
      <c:overlay val="0"/>
    </c:title>
    <c:autoTitleDeleted val="0"/>
    <c:plotArea>
      <c:layout/>
      <c:barChart>
        <c:barDir val="col"/>
        <c:grouping val="clustered"/>
        <c:varyColors val="0"/>
        <c:ser>
          <c:idx val="0"/>
          <c:order val="0"/>
          <c:tx>
            <c:strRef>
              <c:f>Sheet1!$B$2</c:f>
              <c:strCache>
                <c:ptCount val="1"/>
                <c:pt idx="0">
                  <c:v>Mean± SE</c:v>
                </c:pt>
              </c:strCache>
            </c:strRef>
          </c:tx>
          <c:invertIfNegative val="0"/>
          <c:cat>
            <c:strRef>
              <c:f>Sheet1!$A$3:$A$15</c:f>
              <c:strCache>
                <c:ptCount val="13"/>
                <c:pt idx="0">
                  <c:v>1st wk</c:v>
                </c:pt>
                <c:pt idx="1">
                  <c:v>2nd wk</c:v>
                </c:pt>
                <c:pt idx="2">
                  <c:v>3rd wk</c:v>
                </c:pt>
                <c:pt idx="3">
                  <c:v>4th wk</c:v>
                </c:pt>
                <c:pt idx="4">
                  <c:v>5th wk</c:v>
                </c:pt>
                <c:pt idx="5">
                  <c:v>6th wk</c:v>
                </c:pt>
                <c:pt idx="6">
                  <c:v>8th wk</c:v>
                </c:pt>
                <c:pt idx="7">
                  <c:v>10th wk</c:v>
                </c:pt>
                <c:pt idx="8">
                  <c:v>12th wk</c:v>
                </c:pt>
                <c:pt idx="9">
                  <c:v>14th wk</c:v>
                </c:pt>
                <c:pt idx="10">
                  <c:v>16th wk</c:v>
                </c:pt>
                <c:pt idx="11">
                  <c:v>18th wk</c:v>
                </c:pt>
                <c:pt idx="12">
                  <c:v>20th wk</c:v>
                </c:pt>
              </c:strCache>
            </c:strRef>
          </c:cat>
          <c:val>
            <c:numRef>
              <c:f>Sheet1!$B$3:$B$15</c:f>
              <c:numCache>
                <c:formatCode>General</c:formatCode>
                <c:ptCount val="13"/>
                <c:pt idx="0">
                  <c:v>4.3199999999999994</c:v>
                </c:pt>
                <c:pt idx="1">
                  <c:v>6.85</c:v>
                </c:pt>
                <c:pt idx="2">
                  <c:v>9.11</c:v>
                </c:pt>
                <c:pt idx="3">
                  <c:v>12.6</c:v>
                </c:pt>
                <c:pt idx="4">
                  <c:v>17.71</c:v>
                </c:pt>
                <c:pt idx="5">
                  <c:v>23.3</c:v>
                </c:pt>
                <c:pt idx="6">
                  <c:v>52.41</c:v>
                </c:pt>
                <c:pt idx="7">
                  <c:v>52.3</c:v>
                </c:pt>
                <c:pt idx="8">
                  <c:v>52.1</c:v>
                </c:pt>
                <c:pt idx="9">
                  <c:v>57.7</c:v>
                </c:pt>
                <c:pt idx="10">
                  <c:v>61.1</c:v>
                </c:pt>
                <c:pt idx="11">
                  <c:v>73.5</c:v>
                </c:pt>
                <c:pt idx="12">
                  <c:v>76</c:v>
                </c:pt>
              </c:numCache>
            </c:numRef>
          </c:val>
          <c:extLst>
            <c:ext xmlns:c16="http://schemas.microsoft.com/office/drawing/2014/chart" uri="{C3380CC4-5D6E-409C-BE32-E72D297353CC}">
              <c16:uniqueId val="{00000000-5423-477E-9E99-89D41B96C803}"/>
            </c:ext>
          </c:extLst>
        </c:ser>
        <c:ser>
          <c:idx val="1"/>
          <c:order val="1"/>
          <c:tx>
            <c:strRef>
              <c:f>Sheet1!$C$2</c:f>
              <c:strCache>
                <c:ptCount val="1"/>
                <c:pt idx="0">
                  <c:v>Mean± SE</c:v>
                </c:pt>
              </c:strCache>
            </c:strRef>
          </c:tx>
          <c:invertIfNegative val="0"/>
          <c:cat>
            <c:strRef>
              <c:f>Sheet1!$A$3:$A$15</c:f>
              <c:strCache>
                <c:ptCount val="13"/>
                <c:pt idx="0">
                  <c:v>1st wk</c:v>
                </c:pt>
                <c:pt idx="1">
                  <c:v>2nd wk</c:v>
                </c:pt>
                <c:pt idx="2">
                  <c:v>3rd wk</c:v>
                </c:pt>
                <c:pt idx="3">
                  <c:v>4th wk</c:v>
                </c:pt>
                <c:pt idx="4">
                  <c:v>5th wk</c:v>
                </c:pt>
                <c:pt idx="5">
                  <c:v>6th wk</c:v>
                </c:pt>
                <c:pt idx="6">
                  <c:v>8th wk</c:v>
                </c:pt>
                <c:pt idx="7">
                  <c:v>10th wk</c:v>
                </c:pt>
                <c:pt idx="8">
                  <c:v>12th wk</c:v>
                </c:pt>
                <c:pt idx="9">
                  <c:v>14th wk</c:v>
                </c:pt>
                <c:pt idx="10">
                  <c:v>16th wk</c:v>
                </c:pt>
                <c:pt idx="11">
                  <c:v>18th wk</c:v>
                </c:pt>
                <c:pt idx="12">
                  <c:v>20th wk</c:v>
                </c:pt>
              </c:strCache>
            </c:strRef>
          </c:cat>
          <c:val>
            <c:numRef>
              <c:f>Sheet1!$C$3:$C$15</c:f>
              <c:numCache>
                <c:formatCode>General</c:formatCode>
                <c:ptCount val="13"/>
                <c:pt idx="0">
                  <c:v>5.39</c:v>
                </c:pt>
                <c:pt idx="1">
                  <c:v>8.84</c:v>
                </c:pt>
                <c:pt idx="2">
                  <c:v>12.3</c:v>
                </c:pt>
                <c:pt idx="3">
                  <c:v>15.4</c:v>
                </c:pt>
                <c:pt idx="4">
                  <c:v>22.52</c:v>
                </c:pt>
                <c:pt idx="5">
                  <c:v>27.9</c:v>
                </c:pt>
                <c:pt idx="6">
                  <c:v>44.7</c:v>
                </c:pt>
                <c:pt idx="7">
                  <c:v>51</c:v>
                </c:pt>
                <c:pt idx="8">
                  <c:v>53.53</c:v>
                </c:pt>
                <c:pt idx="9">
                  <c:v>69.099999999999994</c:v>
                </c:pt>
                <c:pt idx="10">
                  <c:v>75</c:v>
                </c:pt>
                <c:pt idx="11">
                  <c:v>83</c:v>
                </c:pt>
                <c:pt idx="12">
                  <c:v>85.8</c:v>
                </c:pt>
              </c:numCache>
            </c:numRef>
          </c:val>
          <c:extLst>
            <c:ext xmlns:c16="http://schemas.microsoft.com/office/drawing/2014/chart" uri="{C3380CC4-5D6E-409C-BE32-E72D297353CC}">
              <c16:uniqueId val="{00000001-5423-477E-9E99-89D41B96C803}"/>
            </c:ext>
          </c:extLst>
        </c:ser>
        <c:dLbls>
          <c:showLegendKey val="0"/>
          <c:showVal val="0"/>
          <c:showCatName val="0"/>
          <c:showSerName val="0"/>
          <c:showPercent val="0"/>
          <c:showBubbleSize val="0"/>
        </c:dLbls>
        <c:gapWidth val="150"/>
        <c:axId val="68702976"/>
        <c:axId val="68704896"/>
      </c:barChart>
      <c:catAx>
        <c:axId val="68702976"/>
        <c:scaling>
          <c:orientation val="minMax"/>
        </c:scaling>
        <c:delete val="0"/>
        <c:axPos val="b"/>
        <c:numFmt formatCode="General" sourceLinked="0"/>
        <c:majorTickMark val="out"/>
        <c:minorTickMark val="none"/>
        <c:tickLblPos val="nextTo"/>
        <c:crossAx val="68704896"/>
        <c:crosses val="autoZero"/>
        <c:auto val="1"/>
        <c:lblAlgn val="ctr"/>
        <c:lblOffset val="100"/>
        <c:noMultiLvlLbl val="0"/>
      </c:catAx>
      <c:valAx>
        <c:axId val="68704896"/>
        <c:scaling>
          <c:orientation val="minMax"/>
        </c:scaling>
        <c:delete val="0"/>
        <c:axPos val="l"/>
        <c:majorGridlines/>
        <c:numFmt formatCode="General" sourceLinked="1"/>
        <c:majorTickMark val="out"/>
        <c:minorTickMark val="none"/>
        <c:tickLblPos val="nextTo"/>
        <c:crossAx val="6870297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400" b="1" i="0" u="none" strike="noStrike" kern="1200" baseline="0">
                <a:solidFill>
                  <a:schemeClr val="tx1">
                    <a:lumMod val="75000"/>
                    <a:lumOff val="25000"/>
                  </a:schemeClr>
                </a:solidFill>
                <a:latin typeface="+mn-lt"/>
                <a:ea typeface="+mn-ea"/>
                <a:cs typeface="+mn-cs"/>
              </a:defRPr>
            </a:pPr>
            <a:r>
              <a:rPr lang="en-US"/>
              <a:t>Feed conversion ratio</a:t>
            </a:r>
          </a:p>
        </c:rich>
      </c:tx>
      <c:overlay val="0"/>
      <c:spPr>
        <a:noFill/>
        <a:ln>
          <a:noFill/>
        </a:ln>
        <a:effectLst/>
      </c:spPr>
    </c:title>
    <c:autoTitleDeleted val="0"/>
    <c:plotArea>
      <c:layout/>
      <c:barChart>
        <c:barDir val="col"/>
        <c:grouping val="clustered"/>
        <c:varyColors val="0"/>
        <c:ser>
          <c:idx val="0"/>
          <c:order val="0"/>
          <c:tx>
            <c:strRef>
              <c:f>[Workbook1]Sheet1!$I$1</c:f>
              <c:strCache>
                <c:ptCount val="1"/>
                <c:pt idx="0">
                  <c:v>CD</c:v>
                </c:pt>
              </c:strCache>
            </c:strRef>
          </c:tx>
          <c:spPr>
            <a:solidFill>
              <a:schemeClr val="accent1"/>
            </a:solidFill>
            <a:ln>
              <a:noFill/>
            </a:ln>
            <a:effectLst/>
          </c:spPr>
          <c:invertIfNegative val="0"/>
          <c:cat>
            <c:strRef>
              <c:f>[Workbook1]Sheet1!$H$2:$H$14</c:f>
              <c:strCache>
                <c:ptCount val="13"/>
                <c:pt idx="0">
                  <c:v>1 week</c:v>
                </c:pt>
                <c:pt idx="1">
                  <c:v>2 week</c:v>
                </c:pt>
                <c:pt idx="2">
                  <c:v>3 week</c:v>
                </c:pt>
                <c:pt idx="3">
                  <c:v>4 week</c:v>
                </c:pt>
                <c:pt idx="4">
                  <c:v>5 week</c:v>
                </c:pt>
                <c:pt idx="5">
                  <c:v>6 week</c:v>
                </c:pt>
                <c:pt idx="6">
                  <c:v>8 week</c:v>
                </c:pt>
                <c:pt idx="7">
                  <c:v>10 week</c:v>
                </c:pt>
                <c:pt idx="8">
                  <c:v>12 week</c:v>
                </c:pt>
                <c:pt idx="9">
                  <c:v>14 week</c:v>
                </c:pt>
                <c:pt idx="10">
                  <c:v>16 week</c:v>
                </c:pt>
                <c:pt idx="11">
                  <c:v>18 week</c:v>
                </c:pt>
                <c:pt idx="12">
                  <c:v>20 week</c:v>
                </c:pt>
              </c:strCache>
            </c:strRef>
          </c:cat>
          <c:val>
            <c:numRef>
              <c:f>[Workbook1]Sheet1!$I$2:$I$14</c:f>
              <c:numCache>
                <c:formatCode>General</c:formatCode>
                <c:ptCount val="13"/>
                <c:pt idx="0">
                  <c:v>1.3900000000000001</c:v>
                </c:pt>
                <c:pt idx="1">
                  <c:v>1.32</c:v>
                </c:pt>
                <c:pt idx="2">
                  <c:v>1.1200000000000001</c:v>
                </c:pt>
                <c:pt idx="3">
                  <c:v>1.08</c:v>
                </c:pt>
                <c:pt idx="4">
                  <c:v>1.21</c:v>
                </c:pt>
                <c:pt idx="5">
                  <c:v>1.33</c:v>
                </c:pt>
                <c:pt idx="6">
                  <c:v>1.59</c:v>
                </c:pt>
                <c:pt idx="7">
                  <c:v>1.25</c:v>
                </c:pt>
                <c:pt idx="8">
                  <c:v>1.1400000000000001</c:v>
                </c:pt>
                <c:pt idx="9">
                  <c:v>1.1300000000000001</c:v>
                </c:pt>
                <c:pt idx="10">
                  <c:v>1.04</c:v>
                </c:pt>
                <c:pt idx="11">
                  <c:v>1.0900000000000001</c:v>
                </c:pt>
                <c:pt idx="12">
                  <c:v>1.0900000000000001</c:v>
                </c:pt>
              </c:numCache>
            </c:numRef>
          </c:val>
          <c:extLst>
            <c:ext xmlns:c16="http://schemas.microsoft.com/office/drawing/2014/chart" uri="{C3380CC4-5D6E-409C-BE32-E72D297353CC}">
              <c16:uniqueId val="{00000000-A3FE-4941-B4D6-FBC4C2A98A12}"/>
            </c:ext>
          </c:extLst>
        </c:ser>
        <c:ser>
          <c:idx val="1"/>
          <c:order val="1"/>
          <c:tx>
            <c:strRef>
              <c:f>[Workbook1]Sheet1!$J$1</c:f>
              <c:strCache>
                <c:ptCount val="1"/>
                <c:pt idx="0">
                  <c:v>CN</c:v>
                </c:pt>
              </c:strCache>
            </c:strRef>
          </c:tx>
          <c:spPr>
            <a:solidFill>
              <a:schemeClr val="accent2"/>
            </a:solidFill>
            <a:ln>
              <a:noFill/>
            </a:ln>
            <a:effectLst/>
          </c:spPr>
          <c:invertIfNegative val="0"/>
          <c:cat>
            <c:strRef>
              <c:f>[Workbook1]Sheet1!$H$2:$H$14</c:f>
              <c:strCache>
                <c:ptCount val="13"/>
                <c:pt idx="0">
                  <c:v>1 week</c:v>
                </c:pt>
                <c:pt idx="1">
                  <c:v>2 week</c:v>
                </c:pt>
                <c:pt idx="2">
                  <c:v>3 week</c:v>
                </c:pt>
                <c:pt idx="3">
                  <c:v>4 week</c:v>
                </c:pt>
                <c:pt idx="4">
                  <c:v>5 week</c:v>
                </c:pt>
                <c:pt idx="5">
                  <c:v>6 week</c:v>
                </c:pt>
                <c:pt idx="6">
                  <c:v>8 week</c:v>
                </c:pt>
                <c:pt idx="7">
                  <c:v>10 week</c:v>
                </c:pt>
                <c:pt idx="8">
                  <c:v>12 week</c:v>
                </c:pt>
                <c:pt idx="9">
                  <c:v>14 week</c:v>
                </c:pt>
                <c:pt idx="10">
                  <c:v>16 week</c:v>
                </c:pt>
                <c:pt idx="11">
                  <c:v>18 week</c:v>
                </c:pt>
                <c:pt idx="12">
                  <c:v>20 week</c:v>
                </c:pt>
              </c:strCache>
            </c:strRef>
          </c:cat>
          <c:val>
            <c:numRef>
              <c:f>[Workbook1]Sheet1!$J$2:$J$14</c:f>
              <c:numCache>
                <c:formatCode>General</c:formatCode>
                <c:ptCount val="13"/>
                <c:pt idx="0">
                  <c:v>1.34</c:v>
                </c:pt>
                <c:pt idx="1">
                  <c:v>1.43</c:v>
                </c:pt>
                <c:pt idx="2">
                  <c:v>1.49</c:v>
                </c:pt>
                <c:pt idx="3">
                  <c:v>1.33</c:v>
                </c:pt>
                <c:pt idx="4">
                  <c:v>1.32</c:v>
                </c:pt>
                <c:pt idx="5">
                  <c:v>1.34</c:v>
                </c:pt>
                <c:pt idx="6">
                  <c:v>1.6600000000000001</c:v>
                </c:pt>
                <c:pt idx="7">
                  <c:v>1.46</c:v>
                </c:pt>
                <c:pt idx="8">
                  <c:v>1.29</c:v>
                </c:pt>
                <c:pt idx="9">
                  <c:v>1.34</c:v>
                </c:pt>
                <c:pt idx="10">
                  <c:v>1.33</c:v>
                </c:pt>
                <c:pt idx="11">
                  <c:v>1.31</c:v>
                </c:pt>
                <c:pt idx="12">
                  <c:v>1.61</c:v>
                </c:pt>
              </c:numCache>
            </c:numRef>
          </c:val>
          <c:extLst>
            <c:ext xmlns:c16="http://schemas.microsoft.com/office/drawing/2014/chart" uri="{C3380CC4-5D6E-409C-BE32-E72D297353CC}">
              <c16:uniqueId val="{00000001-A3FE-4941-B4D6-FBC4C2A98A12}"/>
            </c:ext>
          </c:extLst>
        </c:ser>
        <c:dLbls>
          <c:showLegendKey val="0"/>
          <c:showVal val="0"/>
          <c:showCatName val="0"/>
          <c:showSerName val="0"/>
          <c:showPercent val="0"/>
          <c:showBubbleSize val="0"/>
        </c:dLbls>
        <c:gapWidth val="246"/>
        <c:overlap val="-28"/>
        <c:axId val="90196608"/>
        <c:axId val="90242048"/>
      </c:barChart>
      <c:catAx>
        <c:axId val="901966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0242048"/>
        <c:crosses val="autoZero"/>
        <c:auto val="1"/>
        <c:lblAlgn val="ctr"/>
        <c:lblOffset val="100"/>
        <c:noMultiLvlLbl val="0"/>
      </c:catAx>
      <c:valAx>
        <c:axId val="90242048"/>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t>FCR</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0196608"/>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c807a8c2-67b6-44a1-b266-16090abd4a60}"/>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en-US" sz="1400" b="1" i="0" u="none" strike="noStrike" kern="1200" baseline="0">
                <a:solidFill>
                  <a:schemeClr val="tx1">
                    <a:lumMod val="75000"/>
                    <a:lumOff val="25000"/>
                  </a:schemeClr>
                </a:solidFill>
                <a:latin typeface="+mn-lt"/>
                <a:ea typeface="+mn-ea"/>
                <a:cs typeface="+mn-cs"/>
              </a:defRPr>
            </a:pPr>
            <a:r>
              <a:rPr lang="en-US"/>
              <a:t>Mortality rate%</a:t>
            </a:r>
          </a:p>
        </c:rich>
      </c:tx>
      <c:overlay val="0"/>
      <c:spPr>
        <a:noFill/>
        <a:ln>
          <a:noFill/>
        </a:ln>
        <a:effectLst/>
      </c:spPr>
    </c:title>
    <c:autoTitleDeleted val="0"/>
    <c:plotArea>
      <c:layout/>
      <c:barChart>
        <c:barDir val="col"/>
        <c:grouping val="clustered"/>
        <c:varyColors val="0"/>
        <c:ser>
          <c:idx val="0"/>
          <c:order val="0"/>
          <c:tx>
            <c:strRef>
              <c:f>[Workbook1]Sheet1!$N$2</c:f>
              <c:strCache>
                <c:ptCount val="1"/>
                <c:pt idx="0">
                  <c:v>0-5 weeks</c:v>
                </c:pt>
              </c:strCache>
            </c:strRef>
          </c:tx>
          <c:spPr>
            <a:solidFill>
              <a:schemeClr val="accent1"/>
            </a:solidFill>
            <a:ln>
              <a:noFill/>
            </a:ln>
            <a:effectLst/>
          </c:spPr>
          <c:invertIfNegative val="0"/>
          <c:cat>
            <c:strRef>
              <c:f>[Workbook1]Sheet1!$O$1:$P$1</c:f>
              <c:strCache>
                <c:ptCount val="2"/>
                <c:pt idx="0">
                  <c:v>CD</c:v>
                </c:pt>
                <c:pt idx="1">
                  <c:v>CN</c:v>
                </c:pt>
              </c:strCache>
            </c:strRef>
          </c:cat>
          <c:val>
            <c:numRef>
              <c:f>[Workbook1]Sheet1!$O$2:$P$2</c:f>
              <c:numCache>
                <c:formatCode>0.00%</c:formatCode>
                <c:ptCount val="2"/>
                <c:pt idx="0">
                  <c:v>0.2133000000000001</c:v>
                </c:pt>
                <c:pt idx="1">
                  <c:v>0.2133000000000001</c:v>
                </c:pt>
              </c:numCache>
            </c:numRef>
          </c:val>
          <c:extLst>
            <c:ext xmlns:c16="http://schemas.microsoft.com/office/drawing/2014/chart" uri="{C3380CC4-5D6E-409C-BE32-E72D297353CC}">
              <c16:uniqueId val="{00000000-4DD9-45EF-8B84-874018CB4703}"/>
            </c:ext>
          </c:extLst>
        </c:ser>
        <c:ser>
          <c:idx val="1"/>
          <c:order val="1"/>
          <c:tx>
            <c:strRef>
              <c:f>[Workbook1]Sheet1!$N$3</c:f>
              <c:strCache>
                <c:ptCount val="1"/>
                <c:pt idx="0">
                  <c:v>6-20 weeks</c:v>
                </c:pt>
              </c:strCache>
            </c:strRef>
          </c:tx>
          <c:spPr>
            <a:solidFill>
              <a:schemeClr val="accent2"/>
            </a:solidFill>
            <a:ln>
              <a:noFill/>
            </a:ln>
            <a:effectLst/>
          </c:spPr>
          <c:invertIfNegative val="0"/>
          <c:cat>
            <c:strRef>
              <c:f>[Workbook1]Sheet1!$O$1:$P$1</c:f>
              <c:strCache>
                <c:ptCount val="2"/>
                <c:pt idx="0">
                  <c:v>CD</c:v>
                </c:pt>
                <c:pt idx="1">
                  <c:v>CN</c:v>
                </c:pt>
              </c:strCache>
            </c:strRef>
          </c:cat>
          <c:val>
            <c:numRef>
              <c:f>[Workbook1]Sheet1!$O$3:$P$3</c:f>
              <c:numCache>
                <c:formatCode>0.00%</c:formatCode>
                <c:ptCount val="2"/>
                <c:pt idx="0">
                  <c:v>3.4000000000000002E-2</c:v>
                </c:pt>
                <c:pt idx="1">
                  <c:v>1.6500000000000015E-2</c:v>
                </c:pt>
              </c:numCache>
            </c:numRef>
          </c:val>
          <c:extLst>
            <c:ext xmlns:c16="http://schemas.microsoft.com/office/drawing/2014/chart" uri="{C3380CC4-5D6E-409C-BE32-E72D297353CC}">
              <c16:uniqueId val="{00000001-4DD9-45EF-8B84-874018CB4703}"/>
            </c:ext>
          </c:extLst>
        </c:ser>
        <c:dLbls>
          <c:showLegendKey val="0"/>
          <c:showVal val="0"/>
          <c:showCatName val="0"/>
          <c:showSerName val="0"/>
          <c:showPercent val="0"/>
          <c:showBubbleSize val="0"/>
        </c:dLbls>
        <c:gapWidth val="246"/>
        <c:overlap val="-28"/>
        <c:axId val="109895680"/>
        <c:axId val="109897984"/>
      </c:barChart>
      <c:catAx>
        <c:axId val="109895680"/>
        <c:scaling>
          <c:orientation val="minMax"/>
        </c:scaling>
        <c:delete val="0"/>
        <c:axPos val="b"/>
        <c:title>
          <c:overlay val="0"/>
          <c:spPr>
            <a:noFill/>
            <a:ln>
              <a:noFill/>
            </a:ln>
            <a:effectLst/>
          </c:spPr>
          <c:txPr>
            <a:bodyPr rot="0" spcFirstLastPara="0"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09897984"/>
        <c:crosses val="autoZero"/>
        <c:auto val="1"/>
        <c:lblAlgn val="ctr"/>
        <c:lblOffset val="100"/>
        <c:noMultiLvlLbl val="0"/>
      </c:catAx>
      <c:valAx>
        <c:axId val="109897984"/>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t>Mortality rate%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09895680"/>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a966f44b-29aa-4172-9e26-16bdcc2aa175}"/>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1">
    <c:autoUpdate val="0"/>
  </c:externalData>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13</Pages>
  <Words>3922</Words>
  <Characters>22356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Khushboo Yadav</dc:creator>
  <cp:lastModifiedBy>SDI 1084</cp:lastModifiedBy>
  <cp:revision>12</cp:revision>
  <dcterms:created xsi:type="dcterms:W3CDTF">2026-07-16T10:31:00Z</dcterms:created>
  <dcterms:modified xsi:type="dcterms:W3CDTF">2026-07-21T13:16:00Z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13D6BBBA16C15A514D30576A42EFEADF_41</vt:lpwstr>
  </property>
</Properties>
</file>