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E9065" w14:textId="4A6663B9" w:rsidR="00061B90" w:rsidRPr="005A51EC" w:rsidRDefault="005A51EC">
      <w:pPr>
        <w:pStyle w:val="Title"/>
        <w:spacing w:after="0"/>
        <w:jc w:val="both"/>
        <w:rPr>
          <w:rFonts w:ascii="Arial" w:eastAsia="Arial" w:hAnsi="Arial" w:cs="Arial"/>
          <w:u w:val="single"/>
        </w:rPr>
      </w:pPr>
      <w:r w:rsidRPr="005A51EC">
        <w:rPr>
          <w:rFonts w:ascii="Arial" w:eastAsia="Arial" w:hAnsi="Arial" w:cs="Arial"/>
          <w:u w:val="single"/>
        </w:rPr>
        <w:t>Original Research Article</w:t>
      </w:r>
    </w:p>
    <w:p w14:paraId="3B764FFA" w14:textId="77777777" w:rsidR="00061B90" w:rsidRDefault="002D1E17">
      <w:pPr>
        <w:pBdr>
          <w:top w:val="nil"/>
          <w:left w:val="nil"/>
          <w:bottom w:val="nil"/>
          <w:right w:val="nil"/>
          <w:between w:val="nil"/>
        </w:pBdr>
        <w:jc w:val="right"/>
        <w:rPr>
          <w:rFonts w:ascii="Arial" w:eastAsia="Arial" w:hAnsi="Arial" w:cs="Arial"/>
          <w:b/>
          <w:bCs/>
          <w:color w:val="000000"/>
          <w:sz w:val="36"/>
          <w:szCs w:val="36"/>
        </w:rPr>
      </w:pPr>
      <w:r>
        <w:rPr>
          <w:rFonts w:ascii="Arial" w:eastAsia="Arial" w:hAnsi="Arial" w:cs="Arial"/>
          <w:b/>
          <w:bCs/>
          <w:color w:val="000000"/>
          <w:sz w:val="36"/>
          <w:szCs w:val="36"/>
        </w:rPr>
        <w:t xml:space="preserve">Cultivable Cellulolytic Bacteria Associated with </w:t>
      </w:r>
      <w:proofErr w:type="spellStart"/>
      <w:r>
        <w:rPr>
          <w:rFonts w:ascii="Arial" w:eastAsia="Arial" w:hAnsi="Arial" w:cs="Arial"/>
          <w:b/>
          <w:bCs/>
          <w:i/>
          <w:iCs/>
          <w:color w:val="000000"/>
          <w:sz w:val="36"/>
          <w:szCs w:val="36"/>
        </w:rPr>
        <w:t>Allonothrus</w:t>
      </w:r>
      <w:proofErr w:type="spellEnd"/>
      <w:r>
        <w:rPr>
          <w:rFonts w:ascii="Arial" w:eastAsia="Arial" w:hAnsi="Arial" w:cs="Arial"/>
          <w:b/>
          <w:bCs/>
          <w:color w:val="000000"/>
          <w:sz w:val="36"/>
          <w:szCs w:val="36"/>
        </w:rPr>
        <w:t xml:space="preserve"> </w:t>
      </w:r>
      <w:proofErr w:type="spellStart"/>
      <w:r>
        <w:rPr>
          <w:rFonts w:ascii="Arial" w:eastAsia="Arial" w:hAnsi="Arial" w:cs="Arial"/>
          <w:b/>
          <w:bCs/>
          <w:i/>
          <w:iCs/>
          <w:color w:val="000000"/>
          <w:sz w:val="36"/>
          <w:szCs w:val="36"/>
        </w:rPr>
        <w:t>russeolus</w:t>
      </w:r>
      <w:proofErr w:type="spellEnd"/>
      <w:r>
        <w:rPr>
          <w:rFonts w:ascii="Arial" w:eastAsia="Arial" w:hAnsi="Arial" w:cs="Arial"/>
          <w:b/>
          <w:bCs/>
          <w:i/>
          <w:iCs/>
          <w:color w:val="000000"/>
          <w:sz w:val="36"/>
          <w:szCs w:val="36"/>
        </w:rPr>
        <w:t xml:space="preserve"> </w:t>
      </w:r>
      <w:proofErr w:type="spellStart"/>
      <w:r>
        <w:rPr>
          <w:rFonts w:ascii="Arial" w:eastAsia="Arial" w:hAnsi="Arial" w:cs="Arial"/>
          <w:b/>
          <w:bCs/>
          <w:i/>
          <w:iCs/>
          <w:color w:val="000000"/>
          <w:sz w:val="36"/>
          <w:szCs w:val="36"/>
        </w:rPr>
        <w:t>russeolus</w:t>
      </w:r>
      <w:proofErr w:type="spellEnd"/>
      <w:r>
        <w:rPr>
          <w:rFonts w:ascii="Arial" w:eastAsia="Arial" w:hAnsi="Arial" w:cs="Arial"/>
          <w:b/>
          <w:bCs/>
          <w:i/>
          <w:iCs/>
          <w:color w:val="000000"/>
          <w:sz w:val="36"/>
          <w:szCs w:val="36"/>
        </w:rPr>
        <w:t xml:space="preserve"> </w:t>
      </w:r>
      <w:r>
        <w:rPr>
          <w:rFonts w:ascii="Arial" w:eastAsia="Arial" w:hAnsi="Arial" w:cs="Arial"/>
          <w:b/>
          <w:bCs/>
          <w:color w:val="000000"/>
          <w:sz w:val="36"/>
          <w:szCs w:val="36"/>
        </w:rPr>
        <w:t>Wallwork,1960</w:t>
      </w:r>
      <w:r>
        <w:rPr>
          <w:rFonts w:ascii="Arial" w:eastAsia="Arial" w:hAnsi="Arial" w:cs="Arial"/>
          <w:b/>
          <w:bCs/>
          <w:i/>
          <w:iCs/>
          <w:color w:val="000000"/>
          <w:sz w:val="36"/>
          <w:szCs w:val="36"/>
        </w:rPr>
        <w:t xml:space="preserve"> </w:t>
      </w:r>
      <w:r>
        <w:rPr>
          <w:rFonts w:ascii="Arial" w:eastAsia="Arial" w:hAnsi="Arial" w:cs="Arial"/>
          <w:b/>
          <w:bCs/>
          <w:color w:val="000000"/>
          <w:sz w:val="36"/>
          <w:szCs w:val="36"/>
        </w:rPr>
        <w:t xml:space="preserve">(Acari: </w:t>
      </w:r>
      <w:proofErr w:type="spellStart"/>
      <w:r>
        <w:rPr>
          <w:rFonts w:ascii="Arial" w:eastAsia="Arial" w:hAnsi="Arial" w:cs="Arial"/>
          <w:b/>
          <w:bCs/>
          <w:color w:val="000000"/>
          <w:sz w:val="36"/>
          <w:szCs w:val="36"/>
        </w:rPr>
        <w:t>Oribatida</w:t>
      </w:r>
      <w:proofErr w:type="spellEnd"/>
      <w:r>
        <w:rPr>
          <w:rFonts w:ascii="Arial" w:eastAsia="Arial" w:hAnsi="Arial" w:cs="Arial"/>
          <w:b/>
          <w:bCs/>
          <w:color w:val="000000"/>
          <w:sz w:val="36"/>
          <w:szCs w:val="36"/>
        </w:rPr>
        <w:t>) from Kerala, India: Isolation, Characterization, and Potential Role in Organic Matter Decomposition</w:t>
      </w:r>
    </w:p>
    <w:p w14:paraId="44E70921" w14:textId="77777777" w:rsidR="00061B90" w:rsidRDefault="00061B90">
      <w:pPr>
        <w:widowControl w:val="0"/>
        <w:spacing w:before="120" w:after="240"/>
        <w:jc w:val="center"/>
        <w:rPr>
          <w:rFonts w:ascii="Arial" w:eastAsia="Arial" w:hAnsi="Arial" w:cs="Arial"/>
          <w:b/>
          <w:bCs/>
          <w:sz w:val="24"/>
          <w:szCs w:val="24"/>
        </w:rPr>
      </w:pPr>
    </w:p>
    <w:p w14:paraId="517468A1" w14:textId="77777777" w:rsidR="00061B90" w:rsidRDefault="00061B90">
      <w:pPr>
        <w:pBdr>
          <w:top w:val="nil"/>
          <w:left w:val="nil"/>
          <w:bottom w:val="nil"/>
          <w:right w:val="nil"/>
          <w:between w:val="nil"/>
        </w:pBdr>
        <w:rPr>
          <w:rFonts w:ascii="Arial" w:eastAsia="Arial" w:hAnsi="Arial" w:cs="Arial"/>
          <w:color w:val="000000"/>
          <w:sz w:val="20"/>
        </w:rPr>
      </w:pPr>
    </w:p>
    <w:p w14:paraId="79DED967" w14:textId="77777777" w:rsidR="00061B90" w:rsidRDefault="002D1E17">
      <w:pPr>
        <w:pBdr>
          <w:top w:val="nil"/>
          <w:left w:val="nil"/>
          <w:bottom w:val="nil"/>
          <w:right w:val="nil"/>
          <w:between w:val="nil"/>
        </w:pBdr>
        <w:rPr>
          <w:rFonts w:ascii="Arial" w:eastAsia="Arial" w:hAnsi="Arial" w:cs="Arial"/>
          <w:color w:val="000000"/>
          <w:sz w:val="16"/>
          <w:szCs w:val="16"/>
        </w:rPr>
        <w:sectPr w:rsidR="00061B90" w:rsidSect="00244F0B">
          <w:headerReference w:type="even" r:id="rId7"/>
          <w:headerReference w:type="default" r:id="rId8"/>
          <w:footerReference w:type="even" r:id="rId9"/>
          <w:footerReference w:type="default" r:id="rId10"/>
          <w:headerReference w:type="first" r:id="rId11"/>
          <w:footerReference w:type="first" r:id="rId12"/>
          <w:pgSz w:w="12240" w:h="15840"/>
          <w:pgMar w:top="1440" w:right="2016" w:bottom="2016" w:left="2016" w:header="720" w:footer="1296" w:gutter="0"/>
          <w:pgNumType w:start="1"/>
          <w:cols w:space="720"/>
          <w:docGrid w:linePitch="286"/>
        </w:sectPr>
      </w:pPr>
      <w:r>
        <w:rPr>
          <w:rFonts w:ascii="Arial" w:eastAsia="Arial" w:hAnsi="Arial" w:cs="Arial"/>
          <w:noProof/>
          <w:color w:val="000000"/>
          <w:sz w:val="16"/>
          <w:szCs w:val="16"/>
        </w:rPr>
        <mc:AlternateContent>
          <mc:Choice Requires="wps">
            <w:drawing>
              <wp:inline distT="0" distB="0" distL="0" distR="0" wp14:anchorId="4FCF0EC7" wp14:editId="5576C01C">
                <wp:extent cx="5303520" cy="19050"/>
                <wp:effectExtent l="0" t="0" r="0" b="0"/>
                <wp:docPr id="1026" name="Straight Arrow Connector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03520" cy="19050"/>
                        </a:xfrm>
                        <a:prstGeom prst="straightConnector1">
                          <a:avLst/>
                        </a:prstGeom>
                        <a:ln w="19050" cap="flat" cmpd="sng">
                          <a:solidFill>
                            <a:srgbClr val="000000"/>
                          </a:solidFill>
                          <a:prstDash val="solid"/>
                          <a:round/>
                          <a:headEnd type="none" w="med" len="med"/>
                          <a:tailEnd type="none" w="med" len="med"/>
                        </a:ln>
                      </wps:spPr>
                      <wps:bodyPr/>
                    </wps:wsp>
                  </a:graphicData>
                </a:graphic>
              </wp:inline>
            </w:drawing>
          </mc:Choice>
          <mc:Fallback xmlns:wpsCustomData="http://www.wps.cn/officeDocument/2013/wpsCustomData">
            <w:pict>
              <v:shapetype id="_x0000_t32" coordsize="21600,21600" o:spt="32" o:oned="t" path="m,l21600,21600e">
                <v:path arrowok="t" fillok="f" o:connecttype="none"/>
                <o:lock v:ext="edit" shapetype="t"/>
              </v:shapetype>
              <v:shape id="1026" type="#_x0000_t32" filled="f" style="margin-left:0.0pt;margin-top:0.0pt;width:417.6pt;height:1.5pt;mso-wrap-distance-left:0.0pt;mso-wrap-distance-right:0.0pt;visibility:visible;">
                <w10:anchorlock/>
                <v:stroke weight="1.5pt"/>
                <v:fill rotate="true"/>
              </v:shape>
            </w:pict>
          </mc:Fallback>
        </mc:AlternateContent>
      </w:r>
      <w:r>
        <w:rPr>
          <w:rFonts w:ascii="Arial" w:eastAsia="Arial" w:hAnsi="Arial" w:cs="Arial"/>
          <w:color w:val="000000"/>
          <w:sz w:val="16"/>
          <w:szCs w:val="16"/>
        </w:rPr>
        <w:t>.</w:t>
      </w:r>
    </w:p>
    <w:p w14:paraId="75473A5A" w14:textId="77777777" w:rsidR="00061B90" w:rsidRDefault="002D1E17">
      <w:pPr>
        <w:keepNext/>
        <w:pBdr>
          <w:top w:val="nil"/>
          <w:left w:val="nil"/>
          <w:bottom w:val="nil"/>
          <w:right w:val="nil"/>
          <w:between w:val="nil"/>
        </w:pBdr>
        <w:rPr>
          <w:rFonts w:ascii="Arial" w:eastAsia="Arial" w:hAnsi="Arial" w:cs="Arial"/>
          <w:b/>
          <w:bCs/>
          <w:smallCaps/>
          <w:color w:val="000000"/>
          <w:sz w:val="22"/>
          <w:szCs w:val="22"/>
        </w:rPr>
      </w:pPr>
      <w:r>
        <w:rPr>
          <w:rFonts w:ascii="Arial" w:eastAsia="Arial" w:hAnsi="Arial" w:cs="Arial"/>
          <w:b/>
          <w:bCs/>
          <w:smallCaps/>
          <w:color w:val="000000"/>
          <w:sz w:val="22"/>
          <w:szCs w:val="22"/>
        </w:rPr>
        <w:t xml:space="preserve">ABSTRACT </w:t>
      </w:r>
    </w:p>
    <w:p w14:paraId="48968B4D" w14:textId="77777777" w:rsidR="00061B90" w:rsidRDefault="00061B90">
      <w:pPr>
        <w:keepNext/>
        <w:pBdr>
          <w:top w:val="nil"/>
          <w:left w:val="nil"/>
          <w:bottom w:val="nil"/>
          <w:right w:val="nil"/>
          <w:between w:val="nil"/>
        </w:pBdr>
        <w:rPr>
          <w:rFonts w:ascii="Arial" w:eastAsia="Arial" w:hAnsi="Arial" w:cs="Arial"/>
          <w:b/>
          <w:bCs/>
          <w:smallCaps/>
          <w:color w:val="000000"/>
          <w:sz w:val="22"/>
          <w:szCs w:val="22"/>
        </w:rPr>
      </w:pPr>
    </w:p>
    <w:tbl>
      <w:tblPr>
        <w:tblStyle w:val="a"/>
        <w:tblW w:w="81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98"/>
      </w:tblGrid>
      <w:tr w:rsidR="00061B90" w14:paraId="6A0339F5" w14:textId="77777777">
        <w:tc>
          <w:tcPr>
            <w:tcW w:w="8198" w:type="dxa"/>
            <w:shd w:val="clear" w:color="auto" w:fill="F2F2F2"/>
          </w:tcPr>
          <w:p w14:paraId="526AE582" w14:textId="77777777" w:rsidR="00061B90" w:rsidRDefault="00061B90">
            <w:pPr>
              <w:pBdr>
                <w:top w:val="nil"/>
                <w:left w:val="nil"/>
                <w:bottom w:val="nil"/>
                <w:right w:val="nil"/>
                <w:between w:val="nil"/>
              </w:pBdr>
              <w:rPr>
                <w:rFonts w:ascii="Arial" w:eastAsia="Arial" w:hAnsi="Arial" w:cs="Arial"/>
                <w:b/>
                <w:bCs/>
                <w:color w:val="000000"/>
                <w:sz w:val="20"/>
              </w:rPr>
            </w:pPr>
          </w:p>
          <w:p w14:paraId="69F39294" w14:textId="77777777" w:rsidR="00061B90" w:rsidRDefault="002D1E17">
            <w:pPr>
              <w:pBdr>
                <w:top w:val="nil"/>
                <w:left w:val="nil"/>
                <w:bottom w:val="nil"/>
                <w:right w:val="nil"/>
                <w:between w:val="nil"/>
              </w:pBdr>
              <w:rPr>
                <w:rFonts w:ascii="Arial" w:eastAsia="Arial" w:hAnsi="Arial" w:cs="Arial"/>
                <w:color w:val="000000"/>
                <w:sz w:val="20"/>
              </w:rPr>
            </w:pPr>
            <w:r>
              <w:rPr>
                <w:rFonts w:ascii="Arial" w:eastAsia="Arial" w:hAnsi="Arial" w:cs="Arial"/>
                <w:b/>
                <w:bCs/>
                <w:color w:val="000000"/>
                <w:sz w:val="20"/>
              </w:rPr>
              <w:t xml:space="preserve">Aims: </w:t>
            </w:r>
            <w:r>
              <w:rPr>
                <w:rFonts w:ascii="Arial" w:eastAsia="Arial" w:hAnsi="Arial" w:cs="Arial"/>
                <w:color w:val="000000"/>
                <w:sz w:val="20"/>
              </w:rPr>
              <w:t xml:space="preserve">This study aims to isolate and characterize cultivable gut bacteria of </w:t>
            </w:r>
            <w:proofErr w:type="spellStart"/>
            <w:r>
              <w:rPr>
                <w:rFonts w:ascii="Arial" w:eastAsia="Arial" w:hAnsi="Arial" w:cs="Arial"/>
                <w:i/>
                <w:iCs/>
                <w:color w:val="000000"/>
                <w:sz w:val="20"/>
              </w:rPr>
              <w:t>Allonothrus</w:t>
            </w:r>
            <w:proofErr w:type="spellEnd"/>
            <w:r>
              <w:rPr>
                <w:rFonts w:ascii="Arial" w:eastAsia="Arial" w:hAnsi="Arial" w:cs="Arial"/>
                <w:i/>
                <w:iCs/>
                <w:color w:val="000000"/>
                <w:sz w:val="20"/>
              </w:rPr>
              <w:t xml:space="preserve"> </w:t>
            </w:r>
            <w:proofErr w:type="spellStart"/>
            <w:r>
              <w:rPr>
                <w:rFonts w:ascii="Arial" w:eastAsia="Arial" w:hAnsi="Arial" w:cs="Arial"/>
                <w:i/>
                <w:iCs/>
                <w:color w:val="000000"/>
                <w:sz w:val="20"/>
              </w:rPr>
              <w:t>russeolus</w:t>
            </w:r>
            <w:proofErr w:type="spellEnd"/>
            <w:r>
              <w:rPr>
                <w:rFonts w:ascii="Arial" w:eastAsia="Arial" w:hAnsi="Arial" w:cs="Arial"/>
                <w:i/>
                <w:iCs/>
                <w:color w:val="000000"/>
                <w:sz w:val="20"/>
              </w:rPr>
              <w:t xml:space="preserve"> </w:t>
            </w:r>
            <w:proofErr w:type="spellStart"/>
            <w:r>
              <w:rPr>
                <w:rFonts w:ascii="Arial" w:eastAsia="Arial" w:hAnsi="Arial" w:cs="Arial"/>
                <w:i/>
                <w:iCs/>
                <w:color w:val="000000"/>
                <w:sz w:val="20"/>
              </w:rPr>
              <w:t>russeolus</w:t>
            </w:r>
            <w:proofErr w:type="spellEnd"/>
            <w:r>
              <w:rPr>
                <w:rFonts w:ascii="Arial" w:eastAsia="Arial" w:hAnsi="Arial" w:cs="Arial"/>
                <w:i/>
                <w:iCs/>
                <w:color w:val="000000"/>
                <w:sz w:val="20"/>
              </w:rPr>
              <w:t xml:space="preserve"> </w:t>
            </w:r>
            <w:r>
              <w:rPr>
                <w:rFonts w:ascii="Arial" w:eastAsia="Arial" w:hAnsi="Arial" w:cs="Arial"/>
                <w:color w:val="000000"/>
                <w:sz w:val="20"/>
              </w:rPr>
              <w:t>Wallwork, 1960 by standard biochemical tests and to evaluate their cellulolytic potential</w:t>
            </w:r>
            <w:r>
              <w:rPr>
                <w:rFonts w:ascii="Arial" w:eastAsia="Arial" w:hAnsi="Arial" w:cs="Arial"/>
              </w:rPr>
              <w:t>,</w:t>
            </w:r>
            <w:r>
              <w:rPr>
                <w:rFonts w:ascii="Arial" w:eastAsia="Arial" w:hAnsi="Arial" w:cs="Arial"/>
                <w:color w:val="000000"/>
                <w:sz w:val="20"/>
              </w:rPr>
              <w:t xml:space="preserve"> followed by 16S rRNA sequencing on representative isolates. </w:t>
            </w:r>
          </w:p>
          <w:p w14:paraId="404B1640" w14:textId="77777777" w:rsidR="00061B90" w:rsidRDefault="002D1E17">
            <w:pPr>
              <w:pBdr>
                <w:top w:val="nil"/>
                <w:left w:val="nil"/>
                <w:bottom w:val="nil"/>
                <w:right w:val="nil"/>
                <w:between w:val="nil"/>
              </w:pBdr>
              <w:rPr>
                <w:rFonts w:ascii="Arial" w:eastAsia="Arial" w:hAnsi="Arial" w:cs="Arial"/>
                <w:color w:val="000000"/>
                <w:sz w:val="20"/>
              </w:rPr>
            </w:pPr>
            <w:r>
              <w:rPr>
                <w:rFonts w:ascii="Arial" w:eastAsia="Arial" w:hAnsi="Arial" w:cs="Arial"/>
                <w:b/>
                <w:bCs/>
                <w:color w:val="000000"/>
                <w:sz w:val="20"/>
              </w:rPr>
              <w:t>Study design:</w:t>
            </w:r>
            <w:r>
              <w:rPr>
                <w:rFonts w:ascii="Arial" w:eastAsia="Arial" w:hAnsi="Arial" w:cs="Arial"/>
                <w:color w:val="000000"/>
                <w:sz w:val="20"/>
              </w:rPr>
              <w:t xml:space="preserve">  Experimental, laboratory-based study.</w:t>
            </w:r>
          </w:p>
          <w:p w14:paraId="1BA170F7" w14:textId="77777777" w:rsidR="00061B90" w:rsidRDefault="002D1E17">
            <w:pPr>
              <w:pBdr>
                <w:top w:val="nil"/>
                <w:left w:val="nil"/>
                <w:bottom w:val="nil"/>
                <w:right w:val="nil"/>
                <w:between w:val="nil"/>
              </w:pBdr>
              <w:rPr>
                <w:rFonts w:ascii="Arial" w:eastAsia="Arial" w:hAnsi="Arial" w:cs="Arial"/>
                <w:color w:val="000000"/>
                <w:sz w:val="20"/>
              </w:rPr>
            </w:pPr>
            <w:r>
              <w:rPr>
                <w:rFonts w:ascii="Arial" w:eastAsia="Arial" w:hAnsi="Arial" w:cs="Arial"/>
                <w:b/>
                <w:bCs/>
                <w:color w:val="000000"/>
                <w:sz w:val="20"/>
              </w:rPr>
              <w:t>Place and Duration of Study:</w:t>
            </w:r>
            <w:r>
              <w:rPr>
                <w:rFonts w:ascii="Arial" w:eastAsia="Arial" w:hAnsi="Arial" w:cs="Arial"/>
                <w:color w:val="000000"/>
                <w:sz w:val="20"/>
              </w:rPr>
              <w:t xml:space="preserve"> The sample collection of oribatid mites and </w:t>
            </w:r>
            <w:r>
              <w:rPr>
                <w:rFonts w:ascii="Arial" w:eastAsia="Arial" w:hAnsi="Arial" w:cs="Arial"/>
              </w:rPr>
              <w:t>their</w:t>
            </w:r>
            <w:r>
              <w:rPr>
                <w:rFonts w:ascii="Arial" w:eastAsia="Arial" w:hAnsi="Arial" w:cs="Arial"/>
                <w:color w:val="000000"/>
                <w:sz w:val="20"/>
              </w:rPr>
              <w:t xml:space="preserve"> identification was carried out at </w:t>
            </w:r>
            <w:r>
              <w:rPr>
                <w:rFonts w:ascii="Arial" w:eastAsia="Arial" w:hAnsi="Arial" w:cs="Arial"/>
              </w:rPr>
              <w:t xml:space="preserve">the </w:t>
            </w:r>
            <w:proofErr w:type="gramStart"/>
            <w:r>
              <w:rPr>
                <w:rFonts w:ascii="Arial" w:eastAsia="Arial" w:hAnsi="Arial" w:cs="Arial"/>
                <w:color w:val="000000"/>
                <w:sz w:val="20"/>
              </w:rPr>
              <w:t>Gov</w:t>
            </w:r>
            <w:r>
              <w:rPr>
                <w:rFonts w:ascii="Arial" w:eastAsia="Arial" w:hAnsi="Arial" w:cs="Arial"/>
              </w:rPr>
              <w:t xml:space="preserve">ernment </w:t>
            </w:r>
            <w:r>
              <w:rPr>
                <w:rFonts w:ascii="Arial" w:eastAsia="Arial" w:hAnsi="Arial" w:cs="Arial"/>
                <w:color w:val="000000"/>
                <w:sz w:val="20"/>
              </w:rPr>
              <w:t xml:space="preserve"> College</w:t>
            </w:r>
            <w:proofErr w:type="gramEnd"/>
            <w:r>
              <w:rPr>
                <w:rFonts w:ascii="Arial" w:eastAsia="Arial" w:hAnsi="Arial" w:cs="Arial"/>
                <w:color w:val="000000"/>
                <w:sz w:val="20"/>
              </w:rPr>
              <w:t xml:space="preserve"> </w:t>
            </w:r>
            <w:proofErr w:type="spellStart"/>
            <w:r>
              <w:rPr>
                <w:rFonts w:ascii="Arial" w:eastAsia="Arial" w:hAnsi="Arial" w:cs="Arial"/>
                <w:color w:val="000000"/>
                <w:sz w:val="20"/>
              </w:rPr>
              <w:t>Madappally</w:t>
            </w:r>
            <w:proofErr w:type="spellEnd"/>
            <w:r>
              <w:rPr>
                <w:rFonts w:ascii="Arial" w:eastAsia="Arial" w:hAnsi="Arial" w:cs="Arial"/>
                <w:color w:val="000000"/>
                <w:sz w:val="20"/>
              </w:rPr>
              <w:t>, Vadakara, Calicut, Kerala, India</w:t>
            </w:r>
            <w:r>
              <w:rPr>
                <w:rFonts w:ascii="Arial" w:eastAsia="Arial" w:hAnsi="Arial" w:cs="Arial"/>
              </w:rPr>
              <w:t>, in</w:t>
            </w:r>
            <w:r>
              <w:rPr>
                <w:rFonts w:ascii="Arial" w:eastAsia="Arial" w:hAnsi="Arial" w:cs="Arial"/>
                <w:color w:val="000000"/>
                <w:sz w:val="20"/>
              </w:rPr>
              <w:t xml:space="preserve"> July 2025. The bacterial isolation, cellulolytic screening</w:t>
            </w:r>
            <w:r>
              <w:rPr>
                <w:rFonts w:ascii="Arial" w:eastAsia="Arial" w:hAnsi="Arial" w:cs="Arial"/>
              </w:rPr>
              <w:t>,</w:t>
            </w:r>
            <w:r>
              <w:rPr>
                <w:rFonts w:ascii="Arial" w:eastAsia="Arial" w:hAnsi="Arial" w:cs="Arial"/>
                <w:color w:val="000000"/>
                <w:sz w:val="20"/>
              </w:rPr>
              <w:t xml:space="preserve"> and 16S sequencing of selected isolates </w:t>
            </w:r>
            <w:r>
              <w:rPr>
                <w:rFonts w:ascii="Arial" w:eastAsia="Arial" w:hAnsi="Arial" w:cs="Arial"/>
              </w:rPr>
              <w:t xml:space="preserve">were </w:t>
            </w:r>
            <w:r>
              <w:rPr>
                <w:rFonts w:ascii="Arial" w:eastAsia="Arial" w:hAnsi="Arial" w:cs="Arial"/>
                <w:color w:val="000000"/>
                <w:sz w:val="20"/>
              </w:rPr>
              <w:t xml:space="preserve">performed at Biomes-care </w:t>
            </w:r>
            <w:r>
              <w:rPr>
                <w:rFonts w:ascii="Arial" w:eastAsia="Arial" w:hAnsi="Arial" w:cs="Arial"/>
              </w:rPr>
              <w:t>Laboratory,</w:t>
            </w:r>
            <w:r>
              <w:rPr>
                <w:rFonts w:ascii="Arial" w:eastAsia="Arial" w:hAnsi="Arial" w:cs="Arial"/>
                <w:color w:val="000000"/>
                <w:sz w:val="20"/>
              </w:rPr>
              <w:t xml:space="preserve"> Malappuram, Kerala, India</w:t>
            </w:r>
            <w:r>
              <w:rPr>
                <w:rFonts w:ascii="Arial" w:eastAsia="Arial" w:hAnsi="Arial" w:cs="Arial"/>
              </w:rPr>
              <w:t>, from</w:t>
            </w:r>
            <w:r>
              <w:rPr>
                <w:rFonts w:ascii="Arial" w:eastAsia="Arial" w:hAnsi="Arial" w:cs="Arial"/>
                <w:color w:val="000000"/>
                <w:sz w:val="20"/>
              </w:rPr>
              <w:t xml:space="preserve"> July 2025 to September 2025.</w:t>
            </w:r>
          </w:p>
          <w:p w14:paraId="1B7773CC" w14:textId="77777777" w:rsidR="00061B90" w:rsidRDefault="002D1E17">
            <w:pPr>
              <w:pBdr>
                <w:top w:val="nil"/>
                <w:left w:val="nil"/>
                <w:bottom w:val="nil"/>
                <w:right w:val="nil"/>
                <w:between w:val="nil"/>
              </w:pBdr>
              <w:rPr>
                <w:rFonts w:ascii="Arial" w:eastAsia="Arial" w:hAnsi="Arial" w:cs="Arial"/>
                <w:color w:val="000000"/>
                <w:sz w:val="20"/>
              </w:rPr>
            </w:pPr>
            <w:r>
              <w:rPr>
                <w:rFonts w:ascii="Arial" w:eastAsia="Arial" w:hAnsi="Arial" w:cs="Arial"/>
                <w:b/>
                <w:bCs/>
                <w:color w:val="000000"/>
                <w:sz w:val="20"/>
              </w:rPr>
              <w:t>Methodology:</w:t>
            </w:r>
            <w:r>
              <w:rPr>
                <w:rFonts w:ascii="Arial" w:eastAsia="Arial" w:hAnsi="Arial" w:cs="Arial"/>
                <w:color w:val="000000"/>
                <w:sz w:val="20"/>
              </w:rPr>
              <w:t xml:space="preserve"> Adult </w:t>
            </w:r>
            <w:r>
              <w:rPr>
                <w:rFonts w:ascii="Arial" w:eastAsia="Arial" w:hAnsi="Arial" w:cs="Arial"/>
                <w:i/>
                <w:iCs/>
                <w:color w:val="000000"/>
                <w:sz w:val="20"/>
              </w:rPr>
              <w:t xml:space="preserve">A. </w:t>
            </w:r>
            <w:proofErr w:type="spellStart"/>
            <w:r>
              <w:rPr>
                <w:rFonts w:ascii="Arial" w:eastAsia="Arial" w:hAnsi="Arial" w:cs="Arial"/>
                <w:i/>
                <w:iCs/>
                <w:color w:val="000000"/>
                <w:sz w:val="20"/>
              </w:rPr>
              <w:t>russeolus</w:t>
            </w:r>
            <w:proofErr w:type="spellEnd"/>
            <w:r>
              <w:rPr>
                <w:rFonts w:ascii="Arial" w:eastAsia="Arial" w:hAnsi="Arial" w:cs="Arial"/>
                <w:i/>
                <w:iCs/>
                <w:color w:val="000000"/>
                <w:sz w:val="20"/>
              </w:rPr>
              <w:t xml:space="preserve"> </w:t>
            </w:r>
            <w:proofErr w:type="spellStart"/>
            <w:r>
              <w:rPr>
                <w:rFonts w:ascii="Arial" w:eastAsia="Arial" w:hAnsi="Arial" w:cs="Arial"/>
                <w:i/>
                <w:iCs/>
                <w:color w:val="000000"/>
                <w:sz w:val="20"/>
              </w:rPr>
              <w:t>russeolus</w:t>
            </w:r>
            <w:proofErr w:type="spellEnd"/>
            <w:r>
              <w:rPr>
                <w:rFonts w:ascii="Arial" w:eastAsia="Arial" w:hAnsi="Arial" w:cs="Arial"/>
                <w:color w:val="000000"/>
                <w:sz w:val="20"/>
              </w:rPr>
              <w:t xml:space="preserve"> was surface sterilized before homogenization and plated on nutrient agar. Distinct bacterial colonies obtained were purified and subjected to standard biochemical assays and Gram staining. The cellulolytic activity of the purified colonies was evaluated using carboxymethyl cellulose (CMC) agar plates. Isolates with successful DNA isolation and PCR amplification </w:t>
            </w:r>
            <w:r>
              <w:rPr>
                <w:rFonts w:ascii="Arial" w:eastAsia="Arial" w:hAnsi="Arial" w:cs="Arial"/>
              </w:rPr>
              <w:t xml:space="preserve">were </w:t>
            </w:r>
            <w:r>
              <w:rPr>
                <w:rFonts w:ascii="Arial" w:eastAsia="Arial" w:hAnsi="Arial" w:cs="Arial"/>
                <w:color w:val="000000"/>
                <w:sz w:val="20"/>
              </w:rPr>
              <w:t>further identified by 16S rRNA sequencing.</w:t>
            </w:r>
          </w:p>
          <w:p w14:paraId="50A21833" w14:textId="77777777" w:rsidR="00061B90" w:rsidRDefault="002D1E17">
            <w:pPr>
              <w:pBdr>
                <w:top w:val="nil"/>
                <w:left w:val="nil"/>
                <w:bottom w:val="nil"/>
                <w:right w:val="nil"/>
                <w:between w:val="nil"/>
              </w:pBdr>
              <w:rPr>
                <w:rFonts w:ascii="Arial" w:eastAsia="Arial" w:hAnsi="Arial" w:cs="Arial"/>
                <w:b/>
                <w:bCs/>
                <w:color w:val="000000"/>
                <w:sz w:val="20"/>
              </w:rPr>
            </w:pPr>
            <w:r>
              <w:rPr>
                <w:rFonts w:ascii="Arial" w:eastAsia="Arial" w:hAnsi="Arial" w:cs="Arial"/>
                <w:b/>
                <w:bCs/>
                <w:color w:val="000000"/>
                <w:sz w:val="20"/>
              </w:rPr>
              <w:t>Results:</w:t>
            </w:r>
            <w:r>
              <w:rPr>
                <w:rFonts w:ascii="Arial" w:eastAsia="Arial" w:hAnsi="Arial" w:cs="Arial"/>
                <w:color w:val="000000"/>
                <w:sz w:val="20"/>
              </w:rPr>
              <w:t xml:space="preserve"> The purification and biochemical tests revealed the presence of six distinct bacterial isolates. Gram staining characterized the four bacterial isolates as Gram-positive rod-shaped morphology and two as Gram-negative rod-shaped morphology. Five of the six bacterial isolates showed cellulolytic activity on CMC agar plates. Successful 16S sequencing characterized three of the isolates as </w:t>
            </w:r>
            <w:proofErr w:type="spellStart"/>
            <w:r>
              <w:rPr>
                <w:rFonts w:ascii="Arial" w:eastAsia="Arial" w:hAnsi="Arial" w:cs="Arial"/>
                <w:i/>
                <w:iCs/>
                <w:color w:val="000000"/>
                <w:sz w:val="20"/>
              </w:rPr>
              <w:t>Priestia</w:t>
            </w:r>
            <w:proofErr w:type="spellEnd"/>
            <w:r>
              <w:rPr>
                <w:rFonts w:ascii="Arial" w:eastAsia="Arial" w:hAnsi="Arial" w:cs="Arial"/>
                <w:i/>
                <w:iCs/>
                <w:color w:val="000000"/>
                <w:sz w:val="20"/>
              </w:rPr>
              <w:t xml:space="preserve"> megaterium</w:t>
            </w:r>
            <w:r>
              <w:rPr>
                <w:rFonts w:ascii="Arial" w:eastAsia="Arial" w:hAnsi="Arial" w:cs="Arial"/>
                <w:color w:val="000000"/>
                <w:sz w:val="20"/>
              </w:rPr>
              <w:t xml:space="preserve">, members of the </w:t>
            </w:r>
            <w:r>
              <w:rPr>
                <w:rFonts w:ascii="Arial" w:eastAsia="Arial" w:hAnsi="Arial" w:cs="Arial"/>
                <w:i/>
                <w:iCs/>
                <w:color w:val="000000"/>
                <w:sz w:val="20"/>
              </w:rPr>
              <w:t>Bacillus cereus</w:t>
            </w:r>
            <w:r>
              <w:rPr>
                <w:rFonts w:ascii="Arial" w:eastAsia="Arial" w:hAnsi="Arial" w:cs="Arial"/>
                <w:color w:val="000000"/>
                <w:sz w:val="20"/>
              </w:rPr>
              <w:t xml:space="preserve"> group, and </w:t>
            </w:r>
            <w:proofErr w:type="spellStart"/>
            <w:r>
              <w:rPr>
                <w:rFonts w:ascii="Arial" w:eastAsia="Arial" w:hAnsi="Arial" w:cs="Arial"/>
                <w:i/>
                <w:iCs/>
                <w:color w:val="000000"/>
                <w:sz w:val="20"/>
              </w:rPr>
              <w:t>Pantoea</w:t>
            </w:r>
            <w:proofErr w:type="spellEnd"/>
            <w:r>
              <w:rPr>
                <w:rFonts w:ascii="Arial" w:eastAsia="Arial" w:hAnsi="Arial" w:cs="Arial"/>
                <w:i/>
                <w:iCs/>
                <w:color w:val="000000"/>
                <w:sz w:val="20"/>
              </w:rPr>
              <w:t xml:space="preserve"> </w:t>
            </w:r>
            <w:proofErr w:type="spellStart"/>
            <w:r>
              <w:rPr>
                <w:rFonts w:ascii="Arial" w:eastAsia="Arial" w:hAnsi="Arial" w:cs="Arial"/>
                <w:i/>
                <w:iCs/>
                <w:color w:val="000000"/>
                <w:sz w:val="20"/>
              </w:rPr>
              <w:t>dispersa</w:t>
            </w:r>
            <w:proofErr w:type="spellEnd"/>
            <w:r>
              <w:rPr>
                <w:rFonts w:ascii="Arial" w:eastAsia="Arial" w:hAnsi="Arial" w:cs="Arial"/>
                <w:color w:val="000000"/>
                <w:sz w:val="20"/>
              </w:rPr>
              <w:t>.</w:t>
            </w:r>
          </w:p>
          <w:p w14:paraId="7587341E" w14:textId="77777777" w:rsidR="00061B90" w:rsidRDefault="002D1E17">
            <w:pPr>
              <w:pBdr>
                <w:top w:val="nil"/>
                <w:left w:val="nil"/>
                <w:bottom w:val="nil"/>
                <w:right w:val="nil"/>
                <w:between w:val="nil"/>
              </w:pBdr>
              <w:rPr>
                <w:rFonts w:ascii="Arial" w:eastAsia="Arial" w:hAnsi="Arial" w:cs="Arial"/>
                <w:color w:val="000000"/>
                <w:sz w:val="20"/>
              </w:rPr>
            </w:pPr>
            <w:r>
              <w:rPr>
                <w:rFonts w:ascii="Arial" w:eastAsia="Arial" w:hAnsi="Arial" w:cs="Arial"/>
                <w:b/>
                <w:bCs/>
                <w:color w:val="000000"/>
                <w:sz w:val="20"/>
              </w:rPr>
              <w:t>Conclusion:</w:t>
            </w:r>
            <w:r>
              <w:rPr>
                <w:rFonts w:ascii="Arial" w:eastAsia="Arial" w:hAnsi="Arial" w:cs="Arial"/>
                <w:color w:val="000000"/>
                <w:sz w:val="20"/>
              </w:rPr>
              <w:t xml:space="preserve"> The study provides baseline information on the cultivable cellulolytic gut bacterial community associated with </w:t>
            </w:r>
            <w:r>
              <w:rPr>
                <w:rFonts w:ascii="Arial" w:eastAsia="Arial" w:hAnsi="Arial" w:cs="Arial"/>
                <w:i/>
                <w:iCs/>
                <w:color w:val="000000"/>
                <w:sz w:val="20"/>
              </w:rPr>
              <w:t xml:space="preserve">A. </w:t>
            </w:r>
            <w:proofErr w:type="spellStart"/>
            <w:r>
              <w:rPr>
                <w:rFonts w:ascii="Arial" w:eastAsia="Arial" w:hAnsi="Arial" w:cs="Arial"/>
                <w:i/>
                <w:iCs/>
                <w:color w:val="000000"/>
                <w:sz w:val="20"/>
              </w:rPr>
              <w:t>russeolus</w:t>
            </w:r>
            <w:proofErr w:type="spellEnd"/>
            <w:r>
              <w:rPr>
                <w:rFonts w:ascii="Arial" w:eastAsia="Arial" w:hAnsi="Arial" w:cs="Arial"/>
                <w:i/>
                <w:iCs/>
                <w:color w:val="000000"/>
                <w:sz w:val="20"/>
              </w:rPr>
              <w:t xml:space="preserve"> </w:t>
            </w:r>
            <w:proofErr w:type="spellStart"/>
            <w:r>
              <w:rPr>
                <w:rFonts w:ascii="Arial" w:eastAsia="Arial" w:hAnsi="Arial" w:cs="Arial"/>
                <w:i/>
                <w:iCs/>
                <w:color w:val="000000"/>
                <w:sz w:val="20"/>
              </w:rPr>
              <w:t>russeolus</w:t>
            </w:r>
            <w:proofErr w:type="spellEnd"/>
            <w:r>
              <w:rPr>
                <w:rFonts w:ascii="Arial" w:eastAsia="Arial" w:hAnsi="Arial" w:cs="Arial"/>
                <w:i/>
                <w:iCs/>
                <w:color w:val="000000"/>
                <w:sz w:val="20"/>
              </w:rPr>
              <w:t xml:space="preserve">. </w:t>
            </w:r>
            <w:r>
              <w:rPr>
                <w:rFonts w:ascii="Arial" w:eastAsia="Arial" w:hAnsi="Arial" w:cs="Arial"/>
                <w:color w:val="000000"/>
                <w:sz w:val="20"/>
              </w:rPr>
              <w:t>The occurrence of cellulolytic bacteria suggests a possible role of gut microorganisms in cellulose degradation</w:t>
            </w:r>
            <w:r>
              <w:rPr>
                <w:rFonts w:ascii="Arial" w:eastAsia="Arial" w:hAnsi="Arial" w:cs="Arial"/>
              </w:rPr>
              <w:t>,</w:t>
            </w:r>
            <w:r>
              <w:rPr>
                <w:rFonts w:ascii="Arial" w:eastAsia="Arial" w:hAnsi="Arial" w:cs="Arial"/>
                <w:color w:val="000000"/>
                <w:sz w:val="20"/>
              </w:rPr>
              <w:t xml:space="preserve"> complementing the digestive and ecological activities of their mite hosts</w:t>
            </w:r>
            <w:r>
              <w:rPr>
                <w:rFonts w:ascii="Arial" w:eastAsia="Arial" w:hAnsi="Arial" w:cs="Arial"/>
              </w:rPr>
              <w:t>,</w:t>
            </w:r>
            <w:r>
              <w:rPr>
                <w:rFonts w:ascii="Arial" w:eastAsia="Arial" w:hAnsi="Arial" w:cs="Arial"/>
                <w:color w:val="000000"/>
                <w:sz w:val="20"/>
              </w:rPr>
              <w:t xml:space="preserve"> and highlights the need for further studies on the functional significance of gut microbial associations in oribatid mites.</w:t>
            </w:r>
          </w:p>
          <w:p w14:paraId="5EE749B3" w14:textId="77777777" w:rsidR="00061B90" w:rsidRDefault="00061B90">
            <w:pPr>
              <w:pBdr>
                <w:top w:val="nil"/>
                <w:left w:val="nil"/>
                <w:bottom w:val="nil"/>
                <w:right w:val="nil"/>
                <w:between w:val="nil"/>
              </w:pBdr>
              <w:rPr>
                <w:rFonts w:ascii="Arial" w:eastAsia="Arial" w:hAnsi="Arial" w:cs="Arial"/>
                <w:color w:val="000000"/>
                <w:sz w:val="20"/>
              </w:rPr>
            </w:pPr>
          </w:p>
        </w:tc>
      </w:tr>
    </w:tbl>
    <w:p w14:paraId="18D3555B" w14:textId="77777777" w:rsidR="00061B90" w:rsidRDefault="00061B90">
      <w:pPr>
        <w:pBdr>
          <w:top w:val="nil"/>
          <w:left w:val="nil"/>
          <w:bottom w:val="nil"/>
          <w:right w:val="nil"/>
          <w:between w:val="nil"/>
        </w:pBdr>
        <w:rPr>
          <w:rFonts w:ascii="Arial" w:eastAsia="Arial" w:hAnsi="Arial" w:cs="Arial"/>
          <w:i/>
          <w:iCs/>
          <w:color w:val="000000"/>
          <w:sz w:val="20"/>
        </w:rPr>
      </w:pPr>
    </w:p>
    <w:p w14:paraId="7E7E465E" w14:textId="77777777" w:rsidR="00061B90" w:rsidRDefault="002D1E17">
      <w:pPr>
        <w:widowControl w:val="0"/>
        <w:spacing w:before="80" w:after="80"/>
        <w:ind w:right="111"/>
        <w:rPr>
          <w:rFonts w:ascii="Arial" w:eastAsia="Arial" w:hAnsi="Arial" w:cs="Arial"/>
          <w:i/>
          <w:iCs/>
        </w:rPr>
      </w:pPr>
      <w:r>
        <w:rPr>
          <w:rFonts w:ascii="Arial" w:eastAsia="Arial" w:hAnsi="Arial" w:cs="Arial"/>
          <w:i/>
          <w:iCs/>
        </w:rPr>
        <w:t xml:space="preserve">Keywords: </w:t>
      </w:r>
      <w:proofErr w:type="spellStart"/>
      <w:r>
        <w:rPr>
          <w:rFonts w:ascii="Arial" w:eastAsia="Arial" w:hAnsi="Arial" w:cs="Arial"/>
          <w:i/>
          <w:iCs/>
          <w:color w:val="000000"/>
        </w:rPr>
        <w:t>Allonothrus</w:t>
      </w:r>
      <w:proofErr w:type="spellEnd"/>
      <w:r>
        <w:rPr>
          <w:rFonts w:ascii="Arial" w:eastAsia="Arial" w:hAnsi="Arial" w:cs="Arial"/>
          <w:i/>
          <w:iCs/>
          <w:color w:val="000000"/>
        </w:rPr>
        <w:t xml:space="preserve"> </w:t>
      </w:r>
      <w:proofErr w:type="spellStart"/>
      <w:r>
        <w:rPr>
          <w:rFonts w:ascii="Arial" w:eastAsia="Arial" w:hAnsi="Arial" w:cs="Arial"/>
          <w:i/>
          <w:iCs/>
          <w:color w:val="000000"/>
        </w:rPr>
        <w:t>russeolus</w:t>
      </w:r>
      <w:proofErr w:type="spellEnd"/>
      <w:r>
        <w:rPr>
          <w:rFonts w:ascii="Arial" w:eastAsia="Arial" w:hAnsi="Arial" w:cs="Arial"/>
          <w:i/>
          <w:iCs/>
          <w:color w:val="000000"/>
        </w:rPr>
        <w:t xml:space="preserve"> </w:t>
      </w:r>
      <w:proofErr w:type="spellStart"/>
      <w:r>
        <w:rPr>
          <w:rFonts w:ascii="Arial" w:eastAsia="Arial" w:hAnsi="Arial" w:cs="Arial"/>
          <w:i/>
          <w:iCs/>
          <w:color w:val="000000"/>
        </w:rPr>
        <w:t>russeolus</w:t>
      </w:r>
      <w:proofErr w:type="spellEnd"/>
      <w:r>
        <w:rPr>
          <w:rFonts w:ascii="Arial" w:eastAsia="Arial" w:hAnsi="Arial" w:cs="Arial"/>
          <w:i/>
          <w:iCs/>
          <w:color w:val="000000"/>
        </w:rPr>
        <w:t xml:space="preserve">, gut microbiota, cultivable bacteria, 16S rRNA sequencing, </w:t>
      </w:r>
      <w:proofErr w:type="spellStart"/>
      <w:r>
        <w:rPr>
          <w:rFonts w:ascii="Arial" w:eastAsia="Arial" w:hAnsi="Arial" w:cs="Arial"/>
          <w:i/>
          <w:iCs/>
          <w:color w:val="000000"/>
        </w:rPr>
        <w:t>Priestia</w:t>
      </w:r>
      <w:proofErr w:type="spellEnd"/>
      <w:r>
        <w:rPr>
          <w:rFonts w:ascii="Arial" w:eastAsia="Arial" w:hAnsi="Arial" w:cs="Arial"/>
          <w:i/>
          <w:iCs/>
          <w:color w:val="000000"/>
        </w:rPr>
        <w:t xml:space="preserve"> megaterium, </w:t>
      </w:r>
      <w:proofErr w:type="spellStart"/>
      <w:r>
        <w:rPr>
          <w:rFonts w:ascii="Arial" w:eastAsia="Arial" w:hAnsi="Arial" w:cs="Arial"/>
          <w:i/>
          <w:iCs/>
          <w:color w:val="000000"/>
        </w:rPr>
        <w:t>Pantoea</w:t>
      </w:r>
      <w:proofErr w:type="spellEnd"/>
      <w:r>
        <w:rPr>
          <w:rFonts w:ascii="Arial" w:eastAsia="Arial" w:hAnsi="Arial" w:cs="Arial"/>
          <w:i/>
          <w:iCs/>
          <w:color w:val="000000"/>
        </w:rPr>
        <w:t xml:space="preserve"> </w:t>
      </w:r>
      <w:proofErr w:type="spellStart"/>
      <w:r>
        <w:rPr>
          <w:rFonts w:ascii="Arial" w:eastAsia="Arial" w:hAnsi="Arial" w:cs="Arial"/>
          <w:i/>
          <w:iCs/>
          <w:color w:val="000000"/>
        </w:rPr>
        <w:t>dispersa</w:t>
      </w:r>
      <w:proofErr w:type="spellEnd"/>
    </w:p>
    <w:p w14:paraId="4D5E7AD6" w14:textId="77777777" w:rsidR="00061B90" w:rsidRDefault="00061B90">
      <w:pPr>
        <w:pBdr>
          <w:top w:val="nil"/>
          <w:left w:val="nil"/>
          <w:bottom w:val="nil"/>
          <w:right w:val="nil"/>
          <w:between w:val="nil"/>
        </w:pBdr>
        <w:rPr>
          <w:rFonts w:ascii="Arial" w:eastAsia="Arial" w:hAnsi="Arial" w:cs="Arial"/>
          <w:i/>
          <w:iCs/>
          <w:color w:val="000000"/>
          <w:sz w:val="18"/>
          <w:szCs w:val="18"/>
        </w:rPr>
      </w:pPr>
    </w:p>
    <w:p w14:paraId="3C9B32CB" w14:textId="77777777" w:rsidR="00061B90" w:rsidRDefault="00061B90">
      <w:pPr>
        <w:pBdr>
          <w:top w:val="nil"/>
          <w:left w:val="nil"/>
          <w:bottom w:val="nil"/>
          <w:right w:val="nil"/>
          <w:between w:val="nil"/>
        </w:pBdr>
        <w:rPr>
          <w:rFonts w:ascii="Arial" w:eastAsia="Arial" w:hAnsi="Arial" w:cs="Arial"/>
          <w:i/>
          <w:iCs/>
          <w:color w:val="000000"/>
          <w:sz w:val="20"/>
        </w:rPr>
      </w:pPr>
    </w:p>
    <w:p w14:paraId="28F8616D" w14:textId="77777777" w:rsidR="00061B90" w:rsidRDefault="002D1E17">
      <w:pPr>
        <w:keepNext/>
        <w:pBdr>
          <w:top w:val="nil"/>
          <w:left w:val="nil"/>
          <w:bottom w:val="nil"/>
          <w:right w:val="nil"/>
          <w:between w:val="nil"/>
        </w:pBdr>
        <w:rPr>
          <w:rFonts w:ascii="Arial" w:eastAsia="Arial" w:hAnsi="Arial" w:cs="Arial"/>
          <w:b/>
          <w:bCs/>
          <w:smallCaps/>
          <w:color w:val="000000"/>
          <w:sz w:val="22"/>
          <w:szCs w:val="22"/>
        </w:rPr>
      </w:pPr>
      <w:r>
        <w:rPr>
          <w:rFonts w:ascii="Arial" w:eastAsia="Arial" w:hAnsi="Arial" w:cs="Arial"/>
          <w:b/>
          <w:bCs/>
          <w:smallCaps/>
          <w:color w:val="000000"/>
          <w:sz w:val="22"/>
          <w:szCs w:val="22"/>
        </w:rPr>
        <w:lastRenderedPageBreak/>
        <w:t xml:space="preserve">1. INTRODUCTION </w:t>
      </w:r>
    </w:p>
    <w:p w14:paraId="5BBE579B" w14:textId="77777777" w:rsidR="00061B90" w:rsidRDefault="00061B90">
      <w:pPr>
        <w:keepNext/>
        <w:pBdr>
          <w:top w:val="nil"/>
          <w:left w:val="nil"/>
          <w:bottom w:val="nil"/>
          <w:right w:val="nil"/>
          <w:between w:val="nil"/>
        </w:pBdr>
        <w:rPr>
          <w:rFonts w:ascii="Arial" w:eastAsia="Arial" w:hAnsi="Arial" w:cs="Arial"/>
          <w:b/>
          <w:bCs/>
          <w:smallCaps/>
          <w:color w:val="000000"/>
          <w:sz w:val="22"/>
          <w:szCs w:val="22"/>
        </w:rPr>
      </w:pPr>
    </w:p>
    <w:p w14:paraId="3033BA50" w14:textId="77777777" w:rsidR="00061B90" w:rsidRDefault="002D1E17">
      <w:pPr>
        <w:rPr>
          <w:rFonts w:ascii="Arial" w:eastAsia="Arial" w:hAnsi="Arial" w:cs="Arial"/>
        </w:rPr>
      </w:pPr>
      <w:r>
        <w:rPr>
          <w:rFonts w:ascii="Arial" w:eastAsia="Arial" w:hAnsi="Arial" w:cs="Arial"/>
        </w:rPr>
        <w:t xml:space="preserve">Oribatid mites are known to be the numerically dominant and morphologically diverse microarthropod fauna in soil (Norton, 1990; </w:t>
      </w:r>
      <w:proofErr w:type="spellStart"/>
      <w:r>
        <w:rPr>
          <w:rFonts w:ascii="Arial" w:eastAsia="Arial" w:hAnsi="Arial" w:cs="Arial"/>
        </w:rPr>
        <w:t>Maraun</w:t>
      </w:r>
      <w:proofErr w:type="spellEnd"/>
      <w:r>
        <w:rPr>
          <w:rFonts w:ascii="Arial" w:eastAsia="Arial" w:hAnsi="Arial" w:cs="Arial"/>
        </w:rPr>
        <w:t xml:space="preserve"> and Scheu, 2000; Behan-Pelletier and Hill, 1978).  These organisms inhabit a variety of terrestrial habitats, and a few of them are also found associated with moist, riparian, and semi-aquatic habitats (</w:t>
      </w:r>
      <w:proofErr w:type="spellStart"/>
      <w:r>
        <w:rPr>
          <w:rFonts w:ascii="Arial" w:eastAsia="Arial" w:hAnsi="Arial" w:cs="Arial"/>
        </w:rPr>
        <w:t>Weigmann</w:t>
      </w:r>
      <w:proofErr w:type="spellEnd"/>
      <w:r>
        <w:rPr>
          <w:rFonts w:ascii="Arial" w:eastAsia="Arial" w:hAnsi="Arial" w:cs="Arial"/>
        </w:rPr>
        <w:t xml:space="preserve">, 2006; Schatz, 2005; Behan-Pelletier and Walter, 2007; Julie </w:t>
      </w:r>
      <w:r>
        <w:rPr>
          <w:rFonts w:ascii="Arial" w:eastAsia="Arial" w:hAnsi="Arial" w:cs="Arial"/>
          <w:i/>
          <w:iCs/>
        </w:rPr>
        <w:t>et al.,</w:t>
      </w:r>
      <w:r>
        <w:rPr>
          <w:rFonts w:ascii="Arial" w:eastAsia="Arial" w:hAnsi="Arial" w:cs="Arial"/>
        </w:rPr>
        <w:t xml:space="preserve"> 2013; Julie and Ramani, 2008). Oribatid mites known to facilitate decomposition and nutrient cycling (Lindo and Winchester, 2006; </w:t>
      </w:r>
      <w:proofErr w:type="spellStart"/>
      <w:r>
        <w:rPr>
          <w:rFonts w:ascii="Arial" w:eastAsia="Arial" w:hAnsi="Arial" w:cs="Arial"/>
        </w:rPr>
        <w:t>Siepel</w:t>
      </w:r>
      <w:proofErr w:type="spellEnd"/>
      <w:r>
        <w:rPr>
          <w:rFonts w:ascii="Arial" w:eastAsia="Arial" w:hAnsi="Arial" w:cs="Arial"/>
        </w:rPr>
        <w:t xml:space="preserve"> and de Ruiter-</w:t>
      </w:r>
      <w:proofErr w:type="spellStart"/>
      <w:r>
        <w:rPr>
          <w:rFonts w:ascii="Arial" w:eastAsia="Arial" w:hAnsi="Arial" w:cs="Arial"/>
        </w:rPr>
        <w:t>Dijkman</w:t>
      </w:r>
      <w:proofErr w:type="spellEnd"/>
      <w:r>
        <w:rPr>
          <w:rFonts w:ascii="Arial" w:eastAsia="Arial" w:hAnsi="Arial" w:cs="Arial"/>
        </w:rPr>
        <w:t xml:space="preserve">, 1993). They are involved in soil formation as well (Coleman </w:t>
      </w:r>
      <w:r>
        <w:rPr>
          <w:rFonts w:ascii="Arial" w:eastAsia="Arial" w:hAnsi="Arial" w:cs="Arial"/>
          <w:i/>
          <w:iCs/>
        </w:rPr>
        <w:t>et al.,</w:t>
      </w:r>
      <w:r>
        <w:rPr>
          <w:rFonts w:ascii="Arial" w:eastAsia="Arial" w:hAnsi="Arial" w:cs="Arial"/>
        </w:rPr>
        <w:t xml:space="preserve"> 2004; Wall </w:t>
      </w:r>
      <w:r>
        <w:rPr>
          <w:rFonts w:ascii="Arial" w:eastAsia="Arial" w:hAnsi="Arial" w:cs="Arial"/>
          <w:i/>
          <w:iCs/>
        </w:rPr>
        <w:t>et al.,</w:t>
      </w:r>
      <w:r>
        <w:rPr>
          <w:rFonts w:ascii="Arial" w:eastAsia="Arial" w:hAnsi="Arial" w:cs="Arial"/>
        </w:rPr>
        <w:t xml:space="preserve"> 2008). They have been used for soil quality assessments due to sensitivity to environmental changes (</w:t>
      </w:r>
      <w:proofErr w:type="spellStart"/>
      <w:r>
        <w:rPr>
          <w:rFonts w:ascii="Arial" w:eastAsia="Arial" w:hAnsi="Arial" w:cs="Arial"/>
        </w:rPr>
        <w:t>Gergócs</w:t>
      </w:r>
      <w:proofErr w:type="spellEnd"/>
      <w:r>
        <w:rPr>
          <w:rFonts w:ascii="Arial" w:eastAsia="Arial" w:hAnsi="Arial" w:cs="Arial"/>
        </w:rPr>
        <w:t xml:space="preserve"> and Hufnagel 2009; </w:t>
      </w:r>
      <w:proofErr w:type="spellStart"/>
      <w:r>
        <w:rPr>
          <w:rFonts w:ascii="Arial" w:eastAsia="Arial" w:hAnsi="Arial" w:cs="Arial"/>
        </w:rPr>
        <w:t>Maraun</w:t>
      </w:r>
      <w:proofErr w:type="spellEnd"/>
      <w:r>
        <w:rPr>
          <w:rFonts w:ascii="Arial" w:eastAsia="Arial" w:hAnsi="Arial" w:cs="Arial"/>
        </w:rPr>
        <w:t xml:space="preserve"> and Scheu, 2000).</w:t>
      </w:r>
    </w:p>
    <w:p w14:paraId="4B7F6335" w14:textId="77777777" w:rsidR="00061B90" w:rsidRDefault="002D1E17">
      <w:pPr>
        <w:rPr>
          <w:rFonts w:ascii="Arial" w:eastAsia="Arial" w:hAnsi="Arial" w:cs="Arial"/>
        </w:rPr>
      </w:pPr>
      <w:r>
        <w:rPr>
          <w:rFonts w:ascii="Arial" w:eastAsia="Arial" w:hAnsi="Arial" w:cs="Arial"/>
        </w:rPr>
        <w:t xml:space="preserve">Previous studies on the feeding biology of oribatid mites reveals a variety of feed as their diet including dead organic matter, leaf litter, fungal hyphae and spores, fungal materials, mosses, lichen, algae, pollen but varying in preference (Luxton, 1972; </w:t>
      </w:r>
      <w:proofErr w:type="spellStart"/>
      <w:r>
        <w:rPr>
          <w:rFonts w:ascii="Arial" w:eastAsia="Arial" w:hAnsi="Arial" w:cs="Arial"/>
        </w:rPr>
        <w:t>Maraun</w:t>
      </w:r>
      <w:proofErr w:type="spellEnd"/>
      <w:r>
        <w:rPr>
          <w:rFonts w:ascii="Arial" w:eastAsia="Arial" w:hAnsi="Arial" w:cs="Arial"/>
        </w:rPr>
        <w:t xml:space="preserve"> and Scheu, 2000; Schneider </w:t>
      </w:r>
      <w:r>
        <w:rPr>
          <w:rFonts w:ascii="Arial" w:eastAsia="Arial" w:hAnsi="Arial" w:cs="Arial"/>
          <w:i/>
          <w:iCs/>
        </w:rPr>
        <w:t>et al.</w:t>
      </w:r>
      <w:r>
        <w:rPr>
          <w:rFonts w:ascii="Arial" w:eastAsia="Arial" w:hAnsi="Arial" w:cs="Arial"/>
        </w:rPr>
        <w:t xml:space="preserve">, 2004, Hartenstein 1962; Julie and Ramani 2013; Julie </w:t>
      </w:r>
      <w:r>
        <w:rPr>
          <w:rFonts w:ascii="Arial" w:eastAsia="Arial" w:hAnsi="Arial" w:cs="Arial"/>
          <w:i/>
          <w:iCs/>
        </w:rPr>
        <w:t xml:space="preserve">et al., </w:t>
      </w:r>
      <w:r>
        <w:rPr>
          <w:rFonts w:ascii="Arial" w:eastAsia="Arial" w:hAnsi="Arial" w:cs="Arial"/>
        </w:rPr>
        <w:t>2013; Koukol</w:t>
      </w:r>
      <w:r>
        <w:rPr>
          <w:rFonts w:ascii="Arial" w:eastAsia="Arial" w:hAnsi="Arial" w:cs="Arial"/>
          <w:i/>
          <w:iCs/>
        </w:rPr>
        <w:t xml:space="preserve"> et al.,</w:t>
      </w:r>
      <w:r>
        <w:rPr>
          <w:rFonts w:ascii="Arial" w:eastAsia="Arial" w:hAnsi="Arial" w:cs="Arial"/>
        </w:rPr>
        <w:t xml:space="preserve"> 2009; Ramani and Haq 1991; Ramani and Haq1999; </w:t>
      </w:r>
      <w:proofErr w:type="spellStart"/>
      <w:r>
        <w:rPr>
          <w:rFonts w:ascii="Arial" w:eastAsia="Arial" w:hAnsi="Arial" w:cs="Arial"/>
        </w:rPr>
        <w:t>Syamjith</w:t>
      </w:r>
      <w:proofErr w:type="spellEnd"/>
      <w:r>
        <w:rPr>
          <w:rFonts w:ascii="Arial" w:eastAsia="Arial" w:hAnsi="Arial" w:cs="Arial"/>
        </w:rPr>
        <w:t xml:space="preserve"> and Ramani 2020). Oribatids have also been found to feed on dead animals (Wallwork, 1958; </w:t>
      </w:r>
      <w:proofErr w:type="spellStart"/>
      <w:r>
        <w:rPr>
          <w:rFonts w:ascii="Arial" w:eastAsia="Arial" w:hAnsi="Arial" w:cs="Arial"/>
        </w:rPr>
        <w:t>Smrž</w:t>
      </w:r>
      <w:proofErr w:type="spellEnd"/>
      <w:r>
        <w:rPr>
          <w:rFonts w:ascii="Arial" w:eastAsia="Arial" w:hAnsi="Arial" w:cs="Arial"/>
        </w:rPr>
        <w:t xml:space="preserve"> and Norton, 2004). Modern molecular gut content analysis even confirmed nematode consumption in this soil decomposer organism (</w:t>
      </w:r>
      <w:r>
        <w:t>Heidemann et al., 2011</w:t>
      </w:r>
      <w:r>
        <w:rPr>
          <w:rFonts w:ascii="Arial" w:eastAsia="Arial" w:hAnsi="Arial" w:cs="Arial"/>
        </w:rPr>
        <w:t>). Based on these observations, researchers attempted to categorize oribatid mites in different feeding guilds, such as macro phytophagous (feeding on dead wood, roots, and litter material), micro phytophagous (feeding on fungi, lichen, algae, and pollen), and pan phytophagous (non-specialized feeders) (</w:t>
      </w:r>
      <w:proofErr w:type="spellStart"/>
      <w:r>
        <w:rPr>
          <w:rFonts w:ascii="Arial" w:eastAsia="Arial" w:hAnsi="Arial" w:cs="Arial"/>
        </w:rPr>
        <w:t>Siepel</w:t>
      </w:r>
      <w:proofErr w:type="spellEnd"/>
      <w:r>
        <w:rPr>
          <w:rFonts w:ascii="Arial" w:eastAsia="Arial" w:hAnsi="Arial" w:cs="Arial"/>
        </w:rPr>
        <w:t xml:space="preserve"> and de Ruiter-</w:t>
      </w:r>
      <w:proofErr w:type="spellStart"/>
      <w:r>
        <w:rPr>
          <w:rFonts w:ascii="Arial" w:eastAsia="Arial" w:hAnsi="Arial" w:cs="Arial"/>
        </w:rPr>
        <w:t>Dijkman</w:t>
      </w:r>
      <w:proofErr w:type="spellEnd"/>
      <w:r>
        <w:rPr>
          <w:rFonts w:ascii="Arial" w:eastAsia="Arial" w:hAnsi="Arial" w:cs="Arial"/>
        </w:rPr>
        <w:t xml:space="preserve">, 1993). </w:t>
      </w:r>
    </w:p>
    <w:p w14:paraId="710DC16A" w14:textId="77777777" w:rsidR="00061B90" w:rsidRDefault="002D1E17">
      <w:pPr>
        <w:rPr>
          <w:rFonts w:ascii="Arial" w:eastAsia="Arial" w:hAnsi="Arial" w:cs="Arial"/>
        </w:rPr>
      </w:pPr>
      <w:r>
        <w:rPr>
          <w:rFonts w:ascii="Arial" w:eastAsia="Arial" w:hAnsi="Arial" w:cs="Arial"/>
        </w:rPr>
        <w:t xml:space="preserve">Beyond resource choice, feeding guilds implicitly depend on digestive capacity, drawing attention to the role of host–microbial interactions in oribatid mites (Potapov </w:t>
      </w:r>
      <w:r>
        <w:rPr>
          <w:rFonts w:ascii="Arial" w:eastAsia="Arial" w:hAnsi="Arial" w:cs="Arial"/>
          <w:i/>
          <w:iCs/>
        </w:rPr>
        <w:t>et al.</w:t>
      </w:r>
      <w:r>
        <w:rPr>
          <w:rFonts w:ascii="Arial" w:eastAsia="Arial" w:hAnsi="Arial" w:cs="Arial"/>
        </w:rPr>
        <w:t xml:space="preserve">, 2022; Gong </w:t>
      </w:r>
      <w:r>
        <w:rPr>
          <w:rFonts w:ascii="Arial" w:eastAsia="Arial" w:hAnsi="Arial" w:cs="Arial"/>
          <w:i/>
          <w:iCs/>
        </w:rPr>
        <w:t>et al</w:t>
      </w:r>
      <w:r>
        <w:rPr>
          <w:rFonts w:ascii="Arial" w:eastAsia="Arial" w:hAnsi="Arial" w:cs="Arial"/>
        </w:rPr>
        <w:t xml:space="preserve">., 2022). Host – microbial interactions play an important role in the growth and adaptations of many plants and animals (Ley </w:t>
      </w:r>
      <w:r>
        <w:rPr>
          <w:rFonts w:ascii="Arial" w:eastAsia="Arial" w:hAnsi="Arial" w:cs="Arial"/>
          <w:i/>
          <w:iCs/>
        </w:rPr>
        <w:t>et al.,</w:t>
      </w:r>
      <w:r>
        <w:rPr>
          <w:rFonts w:ascii="Arial" w:eastAsia="Arial" w:hAnsi="Arial" w:cs="Arial"/>
        </w:rPr>
        <w:t xml:space="preserve"> 2008; Shapira, 2016). Microbiomes in animals serve as the host's counterpart and have an impact on nutrition absorption and host metabolism (Lee and Hase, 2014). In turn, host-associated microbes' community assembly is influenced by the host's physiological state (Dethlefsen </w:t>
      </w:r>
      <w:r>
        <w:rPr>
          <w:rFonts w:ascii="Arial" w:eastAsia="Arial" w:hAnsi="Arial" w:cs="Arial"/>
          <w:i/>
          <w:iCs/>
        </w:rPr>
        <w:t>et al.,</w:t>
      </w:r>
      <w:r>
        <w:rPr>
          <w:rFonts w:ascii="Arial" w:eastAsia="Arial" w:hAnsi="Arial" w:cs="Arial"/>
        </w:rPr>
        <w:t xml:space="preserve"> 2007; Yun </w:t>
      </w:r>
      <w:r>
        <w:rPr>
          <w:rFonts w:ascii="Arial" w:eastAsia="Arial" w:hAnsi="Arial" w:cs="Arial"/>
          <w:i/>
          <w:iCs/>
        </w:rPr>
        <w:t>et al.,</w:t>
      </w:r>
      <w:r>
        <w:rPr>
          <w:rFonts w:ascii="Arial" w:eastAsia="Arial" w:hAnsi="Arial" w:cs="Arial"/>
        </w:rPr>
        <w:t xml:space="preserve"> 2014). Thus, the gut microbial populations of decomposers at different trophic levels may vary. Additionally, oribatid mites mostly consume fungus, but they have limited ability to digest cellulose and chitin independently (</w:t>
      </w:r>
      <w:proofErr w:type="spellStart"/>
      <w:r>
        <w:rPr>
          <w:rFonts w:ascii="Arial" w:eastAsia="Arial" w:hAnsi="Arial" w:cs="Arial"/>
        </w:rPr>
        <w:t>Siepel</w:t>
      </w:r>
      <w:proofErr w:type="spellEnd"/>
      <w:r>
        <w:rPr>
          <w:rFonts w:ascii="Arial" w:eastAsia="Arial" w:hAnsi="Arial" w:cs="Arial"/>
        </w:rPr>
        <w:t xml:space="preserve"> and de Ruiter-</w:t>
      </w:r>
      <w:proofErr w:type="spellStart"/>
      <w:r>
        <w:rPr>
          <w:rFonts w:ascii="Arial" w:eastAsia="Arial" w:hAnsi="Arial" w:cs="Arial"/>
        </w:rPr>
        <w:t>Dijkman</w:t>
      </w:r>
      <w:proofErr w:type="spellEnd"/>
      <w:r>
        <w:rPr>
          <w:rFonts w:ascii="Arial" w:eastAsia="Arial" w:hAnsi="Arial" w:cs="Arial"/>
        </w:rPr>
        <w:t xml:space="preserve">, 1993; </w:t>
      </w:r>
      <w:proofErr w:type="spellStart"/>
      <w:r>
        <w:rPr>
          <w:rFonts w:ascii="Arial" w:eastAsia="Arial" w:hAnsi="Arial" w:cs="Arial"/>
        </w:rPr>
        <w:t>Smrž</w:t>
      </w:r>
      <w:proofErr w:type="spellEnd"/>
      <w:r>
        <w:rPr>
          <w:rFonts w:ascii="Arial" w:eastAsia="Arial" w:hAnsi="Arial" w:cs="Arial"/>
        </w:rPr>
        <w:t xml:space="preserve"> and Norton, 2004; </w:t>
      </w:r>
      <w:proofErr w:type="spellStart"/>
      <w:r>
        <w:rPr>
          <w:rFonts w:ascii="Arial" w:eastAsia="Arial" w:hAnsi="Arial" w:cs="Arial"/>
        </w:rPr>
        <w:t>Smrž</w:t>
      </w:r>
      <w:proofErr w:type="spellEnd"/>
      <w:r>
        <w:rPr>
          <w:rFonts w:ascii="Arial" w:eastAsia="Arial" w:hAnsi="Arial" w:cs="Arial"/>
        </w:rPr>
        <w:t xml:space="preserve"> and </w:t>
      </w:r>
      <w:proofErr w:type="spellStart"/>
      <w:r>
        <w:rPr>
          <w:rFonts w:ascii="Arial" w:eastAsia="Arial" w:hAnsi="Arial" w:cs="Arial"/>
        </w:rPr>
        <w:t>Čatská</w:t>
      </w:r>
      <w:proofErr w:type="spellEnd"/>
      <w:r>
        <w:rPr>
          <w:rFonts w:ascii="Arial" w:eastAsia="Arial" w:hAnsi="Arial" w:cs="Arial"/>
        </w:rPr>
        <w:t xml:space="preserve">, 2010). Thus, the digestion of complex chemicals may be aided by bacteria in their stomach, which benefit from constant resource input and dissemination as a result of the animal's vertical and horizontal mobility in the soil, which makes it easier for the microbes to colonize new environments (Behan and Hill, 1978; Renker </w:t>
      </w:r>
      <w:r>
        <w:rPr>
          <w:rFonts w:ascii="Arial" w:eastAsia="Arial" w:hAnsi="Arial" w:cs="Arial"/>
          <w:i/>
          <w:iCs/>
        </w:rPr>
        <w:t>et al.,</w:t>
      </w:r>
      <w:r>
        <w:rPr>
          <w:rFonts w:ascii="Arial" w:eastAsia="Arial" w:hAnsi="Arial" w:cs="Arial"/>
        </w:rPr>
        <w:t xml:space="preserve"> 2005; Perotti and Braig, 2011).</w:t>
      </w:r>
    </w:p>
    <w:p w14:paraId="37C2058E" w14:textId="77777777" w:rsidR="00061B90" w:rsidRDefault="002D1E17">
      <w:pPr>
        <w:rPr>
          <w:rFonts w:ascii="Arial" w:eastAsia="Arial" w:hAnsi="Arial" w:cs="Arial"/>
        </w:rPr>
      </w:pPr>
      <w:r>
        <w:rPr>
          <w:rFonts w:ascii="Arial" w:eastAsia="Arial" w:hAnsi="Arial" w:cs="Arial"/>
        </w:rPr>
        <w:t xml:space="preserve">Globally, only a few studies investigated gut content using basic microscopy, fungal DNA isolation, or high-throughput sequencing of gut bacteria (Renker et al., 2005; Bluhm et al., 2019; Lindo and Winchester, 2006). India, particularly the Western Ghats of Kerala, </w:t>
      </w:r>
      <w:proofErr w:type="spellStart"/>
      <w:r>
        <w:rPr>
          <w:rFonts w:ascii="Arial" w:eastAsia="Arial" w:hAnsi="Arial" w:cs="Arial"/>
        </w:rPr>
        <w:t>harbors</w:t>
      </w:r>
      <w:proofErr w:type="spellEnd"/>
      <w:r>
        <w:rPr>
          <w:rFonts w:ascii="Arial" w:eastAsia="Arial" w:hAnsi="Arial" w:cs="Arial"/>
        </w:rPr>
        <w:t xml:space="preserve"> a rich diversity of oribatid mites, and numerous taxonomic studies have documented this fauna (Haq &amp; Ramani, 2002; Julie &amp; Ramani, 2008;</w:t>
      </w:r>
      <w:r>
        <w:t xml:space="preserve"> </w:t>
      </w:r>
      <w:r>
        <w:rPr>
          <w:rFonts w:ascii="Arial" w:eastAsia="Arial" w:hAnsi="Arial" w:cs="Arial"/>
        </w:rPr>
        <w:t xml:space="preserve">Arun &amp; Ramani, 2020). But culture-based investigations on the microbial associates of oribatids are relatively limited from Kerala (Haq &amp; </w:t>
      </w:r>
      <w:proofErr w:type="spellStart"/>
      <w:r>
        <w:rPr>
          <w:rFonts w:ascii="Arial" w:eastAsia="Arial" w:hAnsi="Arial" w:cs="Arial"/>
        </w:rPr>
        <w:t>Konikkara</w:t>
      </w:r>
      <w:proofErr w:type="spellEnd"/>
      <w:r>
        <w:rPr>
          <w:rFonts w:ascii="Arial" w:eastAsia="Arial" w:hAnsi="Arial" w:cs="Arial"/>
        </w:rPr>
        <w:t xml:space="preserve"> 1988). The culturing and identification of cultivable gut bacteria in oribatids will help to interpret digestive capacities, understand functional roles, and refine feeding guild classifications (</w:t>
      </w:r>
      <w:proofErr w:type="spellStart"/>
      <w:r>
        <w:rPr>
          <w:rFonts w:ascii="Arial" w:eastAsia="Arial" w:hAnsi="Arial" w:cs="Arial"/>
        </w:rPr>
        <w:t>Siepel</w:t>
      </w:r>
      <w:proofErr w:type="spellEnd"/>
      <w:r>
        <w:rPr>
          <w:rFonts w:ascii="Arial" w:eastAsia="Arial" w:hAnsi="Arial" w:cs="Arial"/>
        </w:rPr>
        <w:t xml:space="preserve"> and de Ruiter-</w:t>
      </w:r>
      <w:proofErr w:type="spellStart"/>
      <w:r>
        <w:rPr>
          <w:rFonts w:ascii="Arial" w:eastAsia="Arial" w:hAnsi="Arial" w:cs="Arial"/>
        </w:rPr>
        <w:t>Dijkman</w:t>
      </w:r>
      <w:proofErr w:type="spellEnd"/>
      <w:r>
        <w:rPr>
          <w:rFonts w:ascii="Arial" w:eastAsia="Arial" w:hAnsi="Arial" w:cs="Arial"/>
        </w:rPr>
        <w:t xml:space="preserve">, 1993; </w:t>
      </w:r>
      <w:proofErr w:type="spellStart"/>
      <w:r>
        <w:rPr>
          <w:rFonts w:ascii="Arial" w:eastAsia="Arial" w:hAnsi="Arial" w:cs="Arial"/>
        </w:rPr>
        <w:t>Maraun</w:t>
      </w:r>
      <w:proofErr w:type="spellEnd"/>
      <w:r>
        <w:rPr>
          <w:rFonts w:ascii="Arial" w:eastAsia="Arial" w:hAnsi="Arial" w:cs="Arial"/>
        </w:rPr>
        <w:t xml:space="preserve"> </w:t>
      </w:r>
      <w:r>
        <w:rPr>
          <w:rFonts w:ascii="Arial" w:eastAsia="Arial" w:hAnsi="Arial" w:cs="Arial"/>
          <w:i/>
          <w:iCs/>
        </w:rPr>
        <w:t>et al.,</w:t>
      </w:r>
      <w:r>
        <w:rPr>
          <w:rFonts w:ascii="Arial" w:eastAsia="Arial" w:hAnsi="Arial" w:cs="Arial"/>
        </w:rPr>
        <w:t xml:space="preserve"> 2003). The biochemical and cellulolytic characterization followed by selective molecular identification of gut bacteria linked to </w:t>
      </w:r>
      <w:proofErr w:type="spellStart"/>
      <w:r>
        <w:rPr>
          <w:rFonts w:ascii="Arial" w:eastAsia="Arial" w:hAnsi="Arial" w:cs="Arial"/>
          <w:i/>
          <w:iCs/>
        </w:rPr>
        <w:t>Allonothrus</w:t>
      </w:r>
      <w:proofErr w:type="spellEnd"/>
      <w:r>
        <w:rPr>
          <w:rFonts w:ascii="Arial" w:eastAsia="Arial" w:hAnsi="Arial" w:cs="Arial"/>
          <w:i/>
          <w:iCs/>
        </w:rPr>
        <w:t xml:space="preserve"> </w:t>
      </w:r>
      <w:proofErr w:type="spellStart"/>
      <w:r>
        <w:rPr>
          <w:rFonts w:ascii="Arial" w:eastAsia="Arial" w:hAnsi="Arial" w:cs="Arial"/>
          <w:i/>
          <w:iCs/>
        </w:rPr>
        <w:t>russeolus</w:t>
      </w:r>
      <w:proofErr w:type="spellEnd"/>
      <w:r>
        <w:rPr>
          <w:rFonts w:ascii="Arial" w:eastAsia="Arial" w:hAnsi="Arial" w:cs="Arial"/>
          <w:i/>
          <w:iCs/>
        </w:rPr>
        <w:t xml:space="preserve"> </w:t>
      </w:r>
      <w:proofErr w:type="spellStart"/>
      <w:r>
        <w:rPr>
          <w:rFonts w:ascii="Arial" w:eastAsia="Arial" w:hAnsi="Arial" w:cs="Arial"/>
          <w:i/>
          <w:iCs/>
        </w:rPr>
        <w:t>russeolus</w:t>
      </w:r>
      <w:proofErr w:type="spellEnd"/>
      <w:r>
        <w:rPr>
          <w:rFonts w:ascii="Arial" w:eastAsia="Arial" w:hAnsi="Arial" w:cs="Arial"/>
        </w:rPr>
        <w:t xml:space="preserve"> Wallwork, 1960, will provide the first such dataset from Kerala.</w:t>
      </w:r>
    </w:p>
    <w:p w14:paraId="295BF0C7" w14:textId="77777777" w:rsidR="00061B90" w:rsidRDefault="002D1E17">
      <w:pPr>
        <w:rPr>
          <w:rFonts w:ascii="Arial" w:eastAsia="Arial" w:hAnsi="Arial" w:cs="Arial"/>
        </w:rPr>
      </w:pPr>
      <w:r>
        <w:rPr>
          <w:rFonts w:ascii="Arial" w:eastAsia="Arial" w:hAnsi="Arial" w:cs="Arial"/>
        </w:rPr>
        <w:lastRenderedPageBreak/>
        <w:t xml:space="preserve">Thus, the study at hand aims to isolate and characterize cultivable gut bacteria associated with </w:t>
      </w:r>
      <w:r>
        <w:rPr>
          <w:rFonts w:ascii="Arial" w:eastAsia="Arial" w:hAnsi="Arial" w:cs="Arial"/>
          <w:i/>
          <w:iCs/>
        </w:rPr>
        <w:t xml:space="preserve">A. </w:t>
      </w:r>
      <w:proofErr w:type="spellStart"/>
      <w:r>
        <w:rPr>
          <w:rFonts w:ascii="Arial" w:eastAsia="Arial" w:hAnsi="Arial" w:cs="Arial"/>
          <w:i/>
          <w:iCs/>
        </w:rPr>
        <w:t>russeolus</w:t>
      </w:r>
      <w:proofErr w:type="spellEnd"/>
      <w:r>
        <w:rPr>
          <w:rFonts w:ascii="Arial" w:eastAsia="Arial" w:hAnsi="Arial" w:cs="Arial"/>
          <w:i/>
          <w:iCs/>
        </w:rPr>
        <w:t xml:space="preserve"> </w:t>
      </w:r>
      <w:proofErr w:type="spellStart"/>
      <w:r>
        <w:rPr>
          <w:rFonts w:ascii="Arial" w:eastAsia="Arial" w:hAnsi="Arial" w:cs="Arial"/>
          <w:i/>
          <w:iCs/>
        </w:rPr>
        <w:t>russeolus</w:t>
      </w:r>
      <w:proofErr w:type="spellEnd"/>
      <w:r>
        <w:rPr>
          <w:rFonts w:ascii="Arial" w:eastAsia="Arial" w:hAnsi="Arial" w:cs="Arial"/>
        </w:rPr>
        <w:t xml:space="preserve"> by means of culture-dependent methods, biochemical assays, Congo- red cellulase screening, and 16S rRNA sequencing. This approach helps to identify the gut bacterial taxa of oribatid mites and to deduce their potential roles in feeding and digestion. These outcomes form baseline data on gut-associated bacteria of oribatid mites from Kerala. The findings contribute to a broader understanding of oribatid -microbe interactions.</w:t>
      </w:r>
    </w:p>
    <w:p w14:paraId="4730D41D" w14:textId="77777777" w:rsidR="00061B90" w:rsidRDefault="00061B90">
      <w:pPr>
        <w:rPr>
          <w:rFonts w:ascii="Arial" w:eastAsia="Arial" w:hAnsi="Arial" w:cs="Arial"/>
        </w:rPr>
      </w:pPr>
    </w:p>
    <w:p w14:paraId="374643DD" w14:textId="77777777" w:rsidR="00061B90" w:rsidRDefault="002D1E17">
      <w:pPr>
        <w:keepNext/>
        <w:pBdr>
          <w:top w:val="nil"/>
          <w:left w:val="nil"/>
          <w:bottom w:val="nil"/>
          <w:right w:val="nil"/>
          <w:between w:val="nil"/>
        </w:pBdr>
        <w:rPr>
          <w:rFonts w:ascii="Arial" w:eastAsia="Arial" w:hAnsi="Arial" w:cs="Arial"/>
          <w:b/>
          <w:bCs/>
          <w:smallCaps/>
          <w:color w:val="000000"/>
          <w:sz w:val="22"/>
          <w:szCs w:val="22"/>
        </w:rPr>
      </w:pPr>
      <w:r>
        <w:rPr>
          <w:rFonts w:ascii="Arial" w:eastAsia="Arial" w:hAnsi="Arial" w:cs="Arial"/>
          <w:b/>
          <w:bCs/>
          <w:smallCaps/>
          <w:color w:val="000000"/>
          <w:sz w:val="22"/>
          <w:szCs w:val="22"/>
        </w:rPr>
        <w:t xml:space="preserve">2. </w:t>
      </w:r>
      <w:r>
        <w:rPr>
          <w:rFonts w:ascii="Arial" w:eastAsia="Arial" w:hAnsi="Arial" w:cs="Arial"/>
          <w:b/>
          <w:bCs/>
          <w:smallCaps/>
          <w:sz w:val="22"/>
          <w:szCs w:val="22"/>
        </w:rPr>
        <w:t>Methodology</w:t>
      </w:r>
      <w:r>
        <w:rPr>
          <w:rFonts w:ascii="Arial" w:eastAsia="Arial" w:hAnsi="Arial" w:cs="Arial"/>
          <w:b/>
          <w:bCs/>
          <w:smallCaps/>
          <w:color w:val="000000"/>
          <w:sz w:val="22"/>
          <w:szCs w:val="22"/>
        </w:rPr>
        <w:t xml:space="preserve"> </w:t>
      </w:r>
    </w:p>
    <w:p w14:paraId="1DA63B45" w14:textId="77777777" w:rsidR="00061B90" w:rsidRDefault="00061B90">
      <w:pPr>
        <w:keepNext/>
        <w:pBdr>
          <w:top w:val="nil"/>
          <w:left w:val="nil"/>
          <w:bottom w:val="nil"/>
          <w:right w:val="nil"/>
          <w:between w:val="nil"/>
        </w:pBdr>
        <w:rPr>
          <w:rFonts w:ascii="Arial" w:eastAsia="Arial" w:hAnsi="Arial" w:cs="Arial"/>
          <w:b/>
          <w:bCs/>
          <w:smallCaps/>
          <w:color w:val="000000"/>
          <w:sz w:val="22"/>
          <w:szCs w:val="22"/>
        </w:rPr>
      </w:pPr>
    </w:p>
    <w:p w14:paraId="0D3C9292" w14:textId="77777777" w:rsidR="00061B90" w:rsidRDefault="002D1E17">
      <w:pPr>
        <w:keepNext/>
        <w:pBdr>
          <w:top w:val="nil"/>
          <w:left w:val="nil"/>
          <w:bottom w:val="nil"/>
          <w:right w:val="nil"/>
          <w:between w:val="nil"/>
        </w:pBdr>
        <w:rPr>
          <w:rFonts w:ascii="Arial" w:eastAsia="Arial" w:hAnsi="Arial" w:cs="Arial"/>
          <w:b/>
          <w:bCs/>
          <w:color w:val="000000"/>
          <w:sz w:val="22"/>
          <w:szCs w:val="22"/>
        </w:rPr>
      </w:pPr>
      <w:r>
        <w:rPr>
          <w:rFonts w:ascii="Arial" w:eastAsia="Arial" w:hAnsi="Arial" w:cs="Arial"/>
          <w:b/>
          <w:bCs/>
          <w:smallCaps/>
          <w:color w:val="000000"/>
          <w:sz w:val="22"/>
          <w:szCs w:val="22"/>
        </w:rPr>
        <w:t>2.1. s</w:t>
      </w:r>
      <w:r>
        <w:rPr>
          <w:rFonts w:ascii="Arial" w:eastAsia="Arial" w:hAnsi="Arial" w:cs="Arial"/>
          <w:b/>
          <w:bCs/>
          <w:color w:val="000000"/>
          <w:sz w:val="22"/>
          <w:szCs w:val="22"/>
        </w:rPr>
        <w:t>tudy area</w:t>
      </w:r>
    </w:p>
    <w:p w14:paraId="67CFAFF9" w14:textId="77777777" w:rsidR="00061B90" w:rsidRDefault="002D1E17">
      <w:pPr>
        <w:keepNext/>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The soil sample for the extraction of oribatid mites </w:t>
      </w:r>
      <w:r>
        <w:rPr>
          <w:rFonts w:ascii="Arial" w:eastAsia="Arial" w:hAnsi="Arial" w:cs="Arial"/>
        </w:rPr>
        <w:t>was</w:t>
      </w:r>
      <w:r>
        <w:rPr>
          <w:rFonts w:ascii="Arial" w:eastAsia="Arial" w:hAnsi="Arial" w:cs="Arial"/>
          <w:color w:val="000000"/>
          <w:sz w:val="20"/>
        </w:rPr>
        <w:t xml:space="preserve"> collected from the campus of </w:t>
      </w:r>
      <w:r>
        <w:rPr>
          <w:rFonts w:ascii="Arial" w:eastAsia="Arial" w:hAnsi="Arial" w:cs="Arial"/>
        </w:rPr>
        <w:t>the Government</w:t>
      </w:r>
      <w:r>
        <w:rPr>
          <w:rFonts w:ascii="Arial" w:eastAsia="Arial" w:hAnsi="Arial" w:cs="Arial"/>
          <w:color w:val="000000"/>
          <w:sz w:val="20"/>
        </w:rPr>
        <w:t xml:space="preserve">. </w:t>
      </w:r>
      <w:r>
        <w:rPr>
          <w:rFonts w:ascii="Arial" w:eastAsia="Arial" w:hAnsi="Arial" w:cs="Arial"/>
        </w:rPr>
        <w:t>College</w:t>
      </w:r>
      <w:r>
        <w:rPr>
          <w:rFonts w:ascii="Arial" w:eastAsia="Arial" w:hAnsi="Arial" w:cs="Arial"/>
          <w:color w:val="000000"/>
          <w:sz w:val="20"/>
        </w:rPr>
        <w:t xml:space="preserve"> </w:t>
      </w:r>
      <w:proofErr w:type="spellStart"/>
      <w:r>
        <w:rPr>
          <w:rFonts w:ascii="Arial" w:eastAsia="Arial" w:hAnsi="Arial" w:cs="Arial"/>
          <w:color w:val="000000"/>
          <w:sz w:val="20"/>
        </w:rPr>
        <w:t>Madappally</w:t>
      </w:r>
      <w:proofErr w:type="spellEnd"/>
      <w:r>
        <w:rPr>
          <w:rFonts w:ascii="Arial" w:eastAsia="Arial" w:hAnsi="Arial" w:cs="Arial"/>
          <w:color w:val="000000"/>
          <w:sz w:val="20"/>
        </w:rPr>
        <w:t xml:space="preserve">, Vadakara, Kerala, India </w:t>
      </w:r>
      <w:r>
        <w:rPr>
          <w:rFonts w:ascii="Arial" w:eastAsia="Arial" w:hAnsi="Arial" w:cs="Arial"/>
          <w:smallCaps/>
          <w:color w:val="000000"/>
          <w:sz w:val="20"/>
        </w:rPr>
        <w:t>(11° 38' 53.60723’’ N &amp;75° 34' 10.72552’’ E)</w:t>
      </w:r>
      <w:r>
        <w:rPr>
          <w:rFonts w:ascii="Arial" w:eastAsia="Arial" w:hAnsi="Arial" w:cs="Arial"/>
          <w:color w:val="000000"/>
          <w:sz w:val="20"/>
        </w:rPr>
        <w:t xml:space="preserve"> </w:t>
      </w:r>
      <w:r>
        <w:rPr>
          <w:rFonts w:ascii="Arial" w:eastAsia="Arial" w:hAnsi="Arial" w:cs="Arial"/>
        </w:rPr>
        <w:t>in</w:t>
      </w:r>
      <w:r>
        <w:rPr>
          <w:rFonts w:ascii="Arial" w:eastAsia="Arial" w:hAnsi="Arial" w:cs="Arial"/>
          <w:color w:val="000000"/>
          <w:sz w:val="20"/>
        </w:rPr>
        <w:t xml:space="preserve"> July 2025.</w:t>
      </w:r>
    </w:p>
    <w:p w14:paraId="259EC17E" w14:textId="77777777" w:rsidR="00061B90" w:rsidRDefault="00061B90">
      <w:pPr>
        <w:keepNext/>
        <w:pBdr>
          <w:top w:val="nil"/>
          <w:left w:val="nil"/>
          <w:bottom w:val="nil"/>
          <w:right w:val="nil"/>
          <w:between w:val="nil"/>
        </w:pBdr>
        <w:rPr>
          <w:rFonts w:ascii="Arial" w:eastAsia="Arial" w:hAnsi="Arial" w:cs="Arial"/>
          <w:color w:val="000000"/>
          <w:sz w:val="22"/>
          <w:szCs w:val="22"/>
        </w:rPr>
      </w:pPr>
    </w:p>
    <w:p w14:paraId="5671D70A" w14:textId="77777777" w:rsidR="00061B90" w:rsidRDefault="002D1E17">
      <w:pPr>
        <w:keepNext/>
        <w:pBdr>
          <w:top w:val="nil"/>
          <w:left w:val="nil"/>
          <w:bottom w:val="nil"/>
          <w:right w:val="nil"/>
          <w:between w:val="nil"/>
        </w:pBdr>
        <w:rPr>
          <w:rFonts w:ascii="Arial" w:eastAsia="Arial" w:hAnsi="Arial" w:cs="Arial"/>
          <w:b/>
          <w:bCs/>
          <w:color w:val="000000"/>
          <w:sz w:val="22"/>
          <w:szCs w:val="22"/>
        </w:rPr>
      </w:pPr>
      <w:r>
        <w:rPr>
          <w:rFonts w:ascii="Arial" w:eastAsia="Arial" w:hAnsi="Arial" w:cs="Arial"/>
          <w:b/>
          <w:bCs/>
          <w:color w:val="000000"/>
          <w:sz w:val="22"/>
          <w:szCs w:val="22"/>
        </w:rPr>
        <w:t>2.2. Extraction and identification of Oribatid mite</w:t>
      </w:r>
    </w:p>
    <w:p w14:paraId="6853736C" w14:textId="77777777" w:rsidR="00061B90" w:rsidRDefault="002D1E17">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The upper soil layer, up to a depth of 5-10 cm, and litter samples were collected using a clean shovel and were carefully transferred to </w:t>
      </w:r>
      <w:r>
        <w:rPr>
          <w:rFonts w:ascii="Arial" w:eastAsia="Arial" w:hAnsi="Arial" w:cs="Arial"/>
        </w:rPr>
        <w:t>a zip-lock</w:t>
      </w:r>
      <w:r>
        <w:rPr>
          <w:rFonts w:ascii="Arial" w:eastAsia="Arial" w:hAnsi="Arial" w:cs="Arial"/>
          <w:color w:val="000000"/>
        </w:rPr>
        <w:t xml:space="preserve"> cover with proper labelling. The samples were then subjected to extraction with the help of </w:t>
      </w:r>
      <w:r>
        <w:rPr>
          <w:rFonts w:ascii="Arial" w:eastAsia="Arial" w:hAnsi="Arial" w:cs="Arial"/>
        </w:rPr>
        <w:t>the Berlese-Tullgren</w:t>
      </w:r>
      <w:r>
        <w:rPr>
          <w:rFonts w:ascii="Arial" w:eastAsia="Arial" w:hAnsi="Arial" w:cs="Arial"/>
          <w:color w:val="000000"/>
        </w:rPr>
        <w:t xml:space="preserve"> funnel apparatus at </w:t>
      </w:r>
      <w:r>
        <w:rPr>
          <w:rFonts w:ascii="Arial" w:eastAsia="Arial" w:hAnsi="Arial" w:cs="Arial"/>
        </w:rPr>
        <w:t xml:space="preserve">the Government </w:t>
      </w:r>
      <w:r>
        <w:rPr>
          <w:rFonts w:ascii="Arial" w:eastAsia="Arial" w:hAnsi="Arial" w:cs="Arial"/>
          <w:color w:val="000000"/>
        </w:rPr>
        <w:t xml:space="preserve">College </w:t>
      </w:r>
      <w:proofErr w:type="spellStart"/>
      <w:r>
        <w:rPr>
          <w:rFonts w:ascii="Arial" w:eastAsia="Arial" w:hAnsi="Arial" w:cs="Arial"/>
          <w:color w:val="000000"/>
        </w:rPr>
        <w:t>Madappally</w:t>
      </w:r>
      <w:proofErr w:type="spellEnd"/>
      <w:r>
        <w:rPr>
          <w:rFonts w:ascii="Arial" w:eastAsia="Arial" w:hAnsi="Arial" w:cs="Arial"/>
          <w:color w:val="000000"/>
        </w:rPr>
        <w:t>. From the extracted and sorted out oribatid mite fauna, the abundant species were aliquoted for both taxonomic identification and gut bacterial isolation. The specimen aliquoted for taxonomic identification was preserved in 70% alcohol and processed accordingly (Haq and Ramani, 2002). The taxonomic identification was followed by taxonomic keys (Balogh, 1965,1972), (Balogh and Balogh, 1992,2002), and relevant literature.</w:t>
      </w:r>
    </w:p>
    <w:p w14:paraId="647FD970" w14:textId="77777777" w:rsidR="00061B90" w:rsidRDefault="00061B90">
      <w:pPr>
        <w:pBdr>
          <w:top w:val="nil"/>
          <w:left w:val="nil"/>
          <w:bottom w:val="nil"/>
          <w:right w:val="nil"/>
          <w:between w:val="nil"/>
        </w:pBdr>
        <w:rPr>
          <w:rFonts w:ascii="Arial" w:eastAsia="Arial" w:hAnsi="Arial" w:cs="Arial"/>
          <w:color w:val="000000"/>
        </w:rPr>
      </w:pPr>
    </w:p>
    <w:p w14:paraId="17C58A69" w14:textId="77777777" w:rsidR="00061B90" w:rsidRDefault="002D1E17">
      <w:pPr>
        <w:pBdr>
          <w:top w:val="nil"/>
          <w:left w:val="nil"/>
          <w:bottom w:val="nil"/>
          <w:right w:val="nil"/>
          <w:between w:val="nil"/>
        </w:pBdr>
        <w:rPr>
          <w:rFonts w:ascii="Arial" w:eastAsia="Arial" w:hAnsi="Arial" w:cs="Arial"/>
          <w:b/>
          <w:bCs/>
          <w:color w:val="000000"/>
          <w:sz w:val="22"/>
          <w:szCs w:val="22"/>
        </w:rPr>
      </w:pPr>
      <w:r>
        <w:rPr>
          <w:rFonts w:ascii="Arial" w:eastAsia="Arial" w:hAnsi="Arial" w:cs="Arial"/>
          <w:b/>
          <w:bCs/>
          <w:color w:val="000000"/>
          <w:sz w:val="22"/>
          <w:szCs w:val="22"/>
        </w:rPr>
        <w:t>2.3. Surface sterilization</w:t>
      </w:r>
    </w:p>
    <w:p w14:paraId="105BA721" w14:textId="77777777" w:rsidR="00061B90" w:rsidRDefault="002D1E17">
      <w:pPr>
        <w:pBdr>
          <w:top w:val="nil"/>
          <w:left w:val="nil"/>
          <w:bottom w:val="nil"/>
          <w:right w:val="nil"/>
          <w:between w:val="nil"/>
        </w:pBdr>
        <w:rPr>
          <w:rFonts w:ascii="Arial" w:eastAsia="Arial" w:hAnsi="Arial" w:cs="Arial"/>
          <w:color w:val="000000"/>
        </w:rPr>
      </w:pPr>
      <w:r>
        <w:rPr>
          <w:rFonts w:ascii="Arial" w:eastAsia="Arial" w:hAnsi="Arial" w:cs="Arial"/>
          <w:color w:val="000000"/>
        </w:rPr>
        <w:t>A total of 20 adult mites were selected for bacterial isolation. To remove potential surface contaminants</w:t>
      </w:r>
      <w:r>
        <w:rPr>
          <w:rFonts w:ascii="Arial" w:eastAsia="Arial" w:hAnsi="Arial" w:cs="Arial"/>
        </w:rPr>
        <w:t>,</w:t>
      </w:r>
      <w:r>
        <w:rPr>
          <w:rFonts w:ascii="Arial" w:eastAsia="Arial" w:hAnsi="Arial" w:cs="Arial"/>
          <w:color w:val="000000"/>
        </w:rPr>
        <w:t xml:space="preserve"> the mites were first immersed in 70 percent alcohol for 1 minute, followed by </w:t>
      </w:r>
      <w:r>
        <w:rPr>
          <w:rFonts w:ascii="Arial" w:eastAsia="Arial" w:hAnsi="Arial" w:cs="Arial"/>
        </w:rPr>
        <w:t>a 1-minute</w:t>
      </w:r>
      <w:r>
        <w:rPr>
          <w:rFonts w:ascii="Arial" w:eastAsia="Arial" w:hAnsi="Arial" w:cs="Arial"/>
          <w:color w:val="000000"/>
        </w:rPr>
        <w:t xml:space="preserve"> rinse with 5% sodium hypochlorite(bleach) and three consecutive sterile water rinses (</w:t>
      </w:r>
      <w:proofErr w:type="spellStart"/>
      <w:r>
        <w:rPr>
          <w:rFonts w:ascii="Times New Roman" w:eastAsia="Times New Roman" w:hAnsi="Times New Roman" w:cs="Times New Roman"/>
          <w:sz w:val="24"/>
          <w:szCs w:val="24"/>
        </w:rPr>
        <w:t>Binetruy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2019).</w:t>
      </w:r>
      <w:r>
        <w:rPr>
          <w:rFonts w:ascii="Arial" w:eastAsia="Arial" w:hAnsi="Arial" w:cs="Arial"/>
          <w:color w:val="000000"/>
        </w:rPr>
        <w:t xml:space="preserve"> Further processing </w:t>
      </w:r>
      <w:proofErr w:type="spellStart"/>
      <w:r>
        <w:rPr>
          <w:rFonts w:ascii="Arial" w:eastAsia="Arial" w:hAnsi="Arial" w:cs="Arial"/>
          <w:color w:val="000000"/>
        </w:rPr>
        <w:t>upto</w:t>
      </w:r>
      <w:proofErr w:type="spellEnd"/>
      <w:r>
        <w:rPr>
          <w:rFonts w:ascii="Arial" w:eastAsia="Arial" w:hAnsi="Arial" w:cs="Arial"/>
          <w:color w:val="000000"/>
        </w:rPr>
        <w:t xml:space="preserve"> the PCR amplification of final bacterial isolates </w:t>
      </w:r>
      <w:r>
        <w:rPr>
          <w:rFonts w:ascii="Arial" w:eastAsia="Arial" w:hAnsi="Arial" w:cs="Arial"/>
        </w:rPr>
        <w:t>was</w:t>
      </w:r>
      <w:r>
        <w:rPr>
          <w:rFonts w:ascii="Arial" w:eastAsia="Arial" w:hAnsi="Arial" w:cs="Arial"/>
          <w:color w:val="000000"/>
        </w:rPr>
        <w:t xml:space="preserve"> carried out at </w:t>
      </w:r>
      <w:r>
        <w:rPr>
          <w:rFonts w:ascii="Arial" w:eastAsia="Arial" w:hAnsi="Arial" w:cs="Arial"/>
        </w:rPr>
        <w:t>Biomes-care laboratory, Malappuram, Kerala, India.</w:t>
      </w:r>
    </w:p>
    <w:p w14:paraId="27274D52" w14:textId="77777777" w:rsidR="00061B90" w:rsidRDefault="00061B90">
      <w:pPr>
        <w:pBdr>
          <w:top w:val="nil"/>
          <w:left w:val="nil"/>
          <w:bottom w:val="nil"/>
          <w:right w:val="nil"/>
          <w:between w:val="nil"/>
        </w:pBdr>
        <w:rPr>
          <w:rFonts w:ascii="Times New Roman" w:eastAsia="Times New Roman" w:hAnsi="Times New Roman" w:cs="Times New Roman"/>
          <w:color w:val="000000"/>
          <w:sz w:val="24"/>
          <w:szCs w:val="24"/>
        </w:rPr>
      </w:pPr>
    </w:p>
    <w:p w14:paraId="29CDFC56" w14:textId="77777777" w:rsidR="00061B90" w:rsidRDefault="002D1E17">
      <w:pPr>
        <w:pBdr>
          <w:top w:val="nil"/>
          <w:left w:val="nil"/>
          <w:bottom w:val="nil"/>
          <w:right w:val="nil"/>
          <w:between w:val="nil"/>
        </w:pBdr>
        <w:rPr>
          <w:rFonts w:ascii="Arial" w:eastAsia="Arial" w:hAnsi="Arial" w:cs="Arial"/>
          <w:b/>
          <w:bCs/>
          <w:color w:val="000000"/>
          <w:sz w:val="22"/>
          <w:szCs w:val="22"/>
        </w:rPr>
      </w:pPr>
      <w:r>
        <w:rPr>
          <w:rFonts w:ascii="Arial" w:eastAsia="Arial" w:hAnsi="Arial" w:cs="Arial"/>
          <w:b/>
          <w:bCs/>
          <w:color w:val="000000"/>
          <w:sz w:val="22"/>
          <w:szCs w:val="22"/>
        </w:rPr>
        <w:t>2.4. Homogenization and plating on nutrient agar</w:t>
      </w:r>
    </w:p>
    <w:p w14:paraId="5E5635E6" w14:textId="77777777" w:rsidR="00061B90" w:rsidRDefault="002D1E17">
      <w:pPr>
        <w:widowControl w:val="0"/>
        <w:spacing w:after="80"/>
        <w:rPr>
          <w:rFonts w:ascii="Arial" w:eastAsia="Arial" w:hAnsi="Arial" w:cs="Arial"/>
        </w:rPr>
      </w:pPr>
      <w:r>
        <w:rPr>
          <w:rFonts w:ascii="Arial" w:eastAsia="Arial" w:hAnsi="Arial" w:cs="Arial"/>
        </w:rPr>
        <w:t>Surface-sterilized mites were transferred into a microcentrifuge tube with sterile phosphate-buffered saline. Mite crushed gently, using a sterile micropipette tip, was subjected to a standard serial-dilution procedure (10</w:t>
      </w:r>
      <w:r>
        <w:rPr>
          <w:rFonts w:ascii="Cambria Math" w:eastAsia="Cambria Math" w:hAnsi="Cambria Math" w:cs="Cambria Math"/>
        </w:rPr>
        <w:t>⁻</w:t>
      </w:r>
      <w:r>
        <w:rPr>
          <w:rFonts w:ascii="Arial" w:eastAsia="Arial" w:hAnsi="Arial" w:cs="Arial"/>
        </w:rPr>
        <w:t>¹–10</w:t>
      </w:r>
      <w:r>
        <w:rPr>
          <w:rFonts w:ascii="Cambria Math" w:eastAsia="Cambria Math" w:hAnsi="Cambria Math" w:cs="Cambria Math"/>
        </w:rPr>
        <w:t>⁻</w:t>
      </w:r>
      <w:r>
        <w:rPr>
          <w:rFonts w:ascii="Arial" w:eastAsia="Arial" w:hAnsi="Arial" w:cs="Arial"/>
        </w:rPr>
        <w:t>³) to obtain suspensions suitable for bacterial isolation.</w:t>
      </w:r>
    </w:p>
    <w:p w14:paraId="2C5E9D69" w14:textId="77777777" w:rsidR="00061B90" w:rsidRDefault="002D1E17">
      <w:pPr>
        <w:pBdr>
          <w:top w:val="nil"/>
          <w:left w:val="nil"/>
          <w:bottom w:val="nil"/>
          <w:right w:val="nil"/>
          <w:between w:val="nil"/>
        </w:pBdr>
        <w:rPr>
          <w:rFonts w:ascii="Arial" w:eastAsia="Arial" w:hAnsi="Arial" w:cs="Arial"/>
        </w:rPr>
      </w:pPr>
      <w:r>
        <w:rPr>
          <w:rFonts w:ascii="Arial" w:eastAsia="Arial" w:hAnsi="Arial" w:cs="Arial"/>
        </w:rPr>
        <w:t>Aliquots of diluted homogenate were plated on the nutrient agar medium employing the spread plate method and were incubated at 28 ± 2°C for 24 hours for bacterial growth. The colonies developed were purified by quadrant streaking. The purified colonies were then transferred to nutrient agar slants for further analysis.</w:t>
      </w:r>
    </w:p>
    <w:p w14:paraId="44C98B5A" w14:textId="77777777" w:rsidR="00061B90" w:rsidRDefault="00061B90">
      <w:pPr>
        <w:pBdr>
          <w:top w:val="nil"/>
          <w:left w:val="nil"/>
          <w:bottom w:val="nil"/>
          <w:right w:val="nil"/>
          <w:between w:val="nil"/>
        </w:pBdr>
        <w:rPr>
          <w:rFonts w:ascii="Arial" w:eastAsia="Arial" w:hAnsi="Arial" w:cs="Arial"/>
        </w:rPr>
      </w:pPr>
    </w:p>
    <w:p w14:paraId="02F3DD1B" w14:textId="77777777" w:rsidR="00061B90" w:rsidRDefault="002D1E17">
      <w:pPr>
        <w:pBdr>
          <w:top w:val="nil"/>
          <w:left w:val="nil"/>
          <w:bottom w:val="nil"/>
          <w:right w:val="nil"/>
          <w:between w:val="nil"/>
        </w:pBdr>
        <w:rPr>
          <w:rFonts w:ascii="Arial" w:eastAsia="Arial" w:hAnsi="Arial" w:cs="Arial"/>
        </w:rPr>
      </w:pPr>
      <w:r>
        <w:rPr>
          <w:rFonts w:ascii="Arial" w:eastAsia="Arial" w:hAnsi="Arial" w:cs="Arial"/>
          <w:b/>
          <w:bCs/>
          <w:sz w:val="22"/>
          <w:szCs w:val="22"/>
        </w:rPr>
        <w:t>2.5. Gram’s staining and Biochemical characterization</w:t>
      </w:r>
    </w:p>
    <w:p w14:paraId="60760D61" w14:textId="77777777" w:rsidR="00061B90" w:rsidRDefault="00061B90">
      <w:pPr>
        <w:pBdr>
          <w:top w:val="nil"/>
          <w:left w:val="nil"/>
          <w:bottom w:val="nil"/>
          <w:right w:val="nil"/>
          <w:between w:val="nil"/>
        </w:pBdr>
        <w:rPr>
          <w:rFonts w:ascii="Arial" w:eastAsia="Arial" w:hAnsi="Arial" w:cs="Arial"/>
          <w:b/>
          <w:bCs/>
          <w:sz w:val="22"/>
          <w:szCs w:val="22"/>
        </w:rPr>
      </w:pPr>
    </w:p>
    <w:p w14:paraId="2BEC2167" w14:textId="77777777" w:rsidR="00061B90" w:rsidRDefault="002D1E17">
      <w:pPr>
        <w:widowControl w:val="0"/>
        <w:spacing w:after="80"/>
        <w:rPr>
          <w:rFonts w:ascii="Arial" w:eastAsia="Arial" w:hAnsi="Arial" w:cs="Arial"/>
        </w:rPr>
      </w:pPr>
      <w:r>
        <w:rPr>
          <w:rFonts w:ascii="Arial" w:eastAsia="Arial" w:hAnsi="Arial" w:cs="Arial"/>
        </w:rPr>
        <w:t xml:space="preserve">Standard Gram’s staining (Holt et al., 1994) was carried out on the purified bacterial colonies to understand the cellular morphology and reaction types. The isolated bacterial colonies were also characterized by conventional biochemical tests such as Indole production test, Methyl Red (MR) test, Voges- Proskauer (VP) test, Citrate utilisation test, </w:t>
      </w:r>
      <w:r>
        <w:rPr>
          <w:rFonts w:ascii="Arial" w:eastAsia="Arial" w:hAnsi="Arial" w:cs="Arial"/>
        </w:rPr>
        <w:lastRenderedPageBreak/>
        <w:t xml:space="preserve">Catalase production test, Oxidase test, and Triple Sugar Iron (TSI) Agar test following standard microbiological protocols (Hemraj </w:t>
      </w:r>
      <w:r>
        <w:rPr>
          <w:rFonts w:ascii="Arial" w:eastAsia="Arial" w:hAnsi="Arial" w:cs="Arial"/>
          <w:i/>
          <w:iCs/>
        </w:rPr>
        <w:t>et al.,</w:t>
      </w:r>
      <w:r>
        <w:rPr>
          <w:rFonts w:ascii="Arial" w:eastAsia="Arial" w:hAnsi="Arial" w:cs="Arial"/>
        </w:rPr>
        <w:t xml:space="preserve"> 2013).</w:t>
      </w:r>
    </w:p>
    <w:p w14:paraId="1CCA2AC3" w14:textId="77777777" w:rsidR="00061B90" w:rsidRDefault="00061B90">
      <w:pPr>
        <w:widowControl w:val="0"/>
        <w:spacing w:after="80"/>
        <w:rPr>
          <w:rFonts w:ascii="Arial" w:eastAsia="Arial" w:hAnsi="Arial" w:cs="Arial"/>
        </w:rPr>
      </w:pPr>
    </w:p>
    <w:p w14:paraId="12D7331D" w14:textId="77777777" w:rsidR="00061B90" w:rsidRDefault="002D1E17">
      <w:pPr>
        <w:widowControl w:val="0"/>
        <w:spacing w:after="80"/>
        <w:rPr>
          <w:rFonts w:ascii="Arial" w:eastAsia="Arial" w:hAnsi="Arial" w:cs="Arial"/>
          <w:b/>
          <w:bCs/>
          <w:sz w:val="22"/>
          <w:szCs w:val="22"/>
        </w:rPr>
      </w:pPr>
      <w:r>
        <w:rPr>
          <w:rFonts w:ascii="Arial" w:eastAsia="Arial" w:hAnsi="Arial" w:cs="Arial"/>
          <w:b/>
          <w:bCs/>
          <w:sz w:val="22"/>
          <w:szCs w:val="22"/>
        </w:rPr>
        <w:t>2.6. Cellulolytic activity screening</w:t>
      </w:r>
    </w:p>
    <w:p w14:paraId="64D0A2D2" w14:textId="77777777" w:rsidR="00061B90" w:rsidRDefault="002D1E17">
      <w:pPr>
        <w:widowControl w:val="0"/>
        <w:spacing w:after="80"/>
        <w:rPr>
          <w:rFonts w:ascii="Arial" w:eastAsia="Arial" w:hAnsi="Arial" w:cs="Arial"/>
        </w:rPr>
      </w:pPr>
      <w:r>
        <w:rPr>
          <w:rFonts w:ascii="Arial" w:eastAsia="Arial" w:hAnsi="Arial" w:cs="Arial"/>
        </w:rPr>
        <w:t>The bacterial isolates were screened for cellulolytic activity qualitatively using the Congo red assay. The isolates were spot inoculated onto Carboxymethyl Cellulose (CMC) agar plates. Following incubation (28 ± 2°C for 48–72 h), the plates were flooded with 0.1% Congo red solution for 15 min and destained with 1 M NaCl subsequently. The appearance of clear zones surrounding the bacterial growth denotes cellulose hydrolysis and cellulolytic potential.</w:t>
      </w:r>
    </w:p>
    <w:p w14:paraId="3303307A" w14:textId="77777777" w:rsidR="00061B90" w:rsidRDefault="00061B90">
      <w:pPr>
        <w:widowControl w:val="0"/>
        <w:spacing w:after="80"/>
        <w:rPr>
          <w:rFonts w:ascii="Arial" w:eastAsia="Arial" w:hAnsi="Arial" w:cs="Arial"/>
        </w:rPr>
      </w:pPr>
    </w:p>
    <w:p w14:paraId="1C677829" w14:textId="77777777" w:rsidR="00061B90" w:rsidRDefault="002D1E17">
      <w:pPr>
        <w:widowControl w:val="0"/>
        <w:spacing w:after="80"/>
        <w:rPr>
          <w:rFonts w:ascii="Arial" w:eastAsia="Arial" w:hAnsi="Arial" w:cs="Arial"/>
          <w:b/>
          <w:bCs/>
          <w:sz w:val="22"/>
          <w:szCs w:val="22"/>
        </w:rPr>
      </w:pPr>
      <w:r>
        <w:rPr>
          <w:rFonts w:ascii="Arial" w:eastAsia="Arial" w:hAnsi="Arial" w:cs="Arial"/>
          <w:b/>
          <w:bCs/>
          <w:sz w:val="22"/>
          <w:szCs w:val="22"/>
        </w:rPr>
        <w:t>2.7. Molecular characterization</w:t>
      </w:r>
    </w:p>
    <w:p w14:paraId="48798D71" w14:textId="77777777" w:rsidR="00061B90" w:rsidRDefault="002D1E17">
      <w:pPr>
        <w:widowControl w:val="0"/>
        <w:spacing w:after="80"/>
        <w:rPr>
          <w:rFonts w:ascii="Arial" w:eastAsia="Arial" w:hAnsi="Arial" w:cs="Arial"/>
          <w:b/>
          <w:bCs/>
          <w:sz w:val="22"/>
          <w:szCs w:val="22"/>
        </w:rPr>
      </w:pPr>
      <w:r>
        <w:rPr>
          <w:rFonts w:ascii="Arial" w:eastAsia="Arial" w:hAnsi="Arial" w:cs="Arial"/>
        </w:rPr>
        <w:t xml:space="preserve">DNA extraction of the bacterial isolates was performed using a conventional lysis-based method. The 16S rRNA gene was amplified using universal bacterial primers 27F and 1492R (Lane, 1991). The PCR products were verified by agarose gel electrophoresis, purified, and submitted for sequencing. The obtained forward and reverse sequences were trimmed and aligned by </w:t>
      </w:r>
      <w:proofErr w:type="spellStart"/>
      <w:r>
        <w:rPr>
          <w:rFonts w:ascii="Arial" w:eastAsia="Arial" w:hAnsi="Arial" w:cs="Arial"/>
        </w:rPr>
        <w:t>Clustal</w:t>
      </w:r>
      <w:proofErr w:type="spellEnd"/>
      <w:r>
        <w:rPr>
          <w:rFonts w:ascii="Arial" w:eastAsia="Arial" w:hAnsi="Arial" w:cs="Arial"/>
        </w:rPr>
        <w:t xml:space="preserve"> W. The consensus sequence obtained was compared with other sequences in the NCBI database using the BLAST tool (Altschul </w:t>
      </w:r>
      <w:r>
        <w:rPr>
          <w:rFonts w:ascii="Arial" w:eastAsia="Arial" w:hAnsi="Arial" w:cs="Arial"/>
          <w:i/>
          <w:iCs/>
        </w:rPr>
        <w:t>et al.,</w:t>
      </w:r>
      <w:r>
        <w:rPr>
          <w:rFonts w:ascii="Arial" w:eastAsia="Arial" w:hAnsi="Arial" w:cs="Arial"/>
        </w:rPr>
        <w:t xml:space="preserve"> 1990). The species assignment was based on the highest sequence similarity matches. </w:t>
      </w:r>
    </w:p>
    <w:p w14:paraId="7A340C00" w14:textId="77777777" w:rsidR="00061B90" w:rsidRDefault="00061B90">
      <w:pPr>
        <w:widowControl w:val="0"/>
        <w:spacing w:after="80"/>
        <w:rPr>
          <w:rFonts w:ascii="Arial" w:eastAsia="Arial" w:hAnsi="Arial" w:cs="Arial"/>
          <w:b/>
          <w:bCs/>
        </w:rPr>
      </w:pPr>
    </w:p>
    <w:p w14:paraId="39BD680B" w14:textId="3FCE9C3D" w:rsidR="00061B90" w:rsidRDefault="002D1E17">
      <w:pPr>
        <w:keepNext/>
        <w:pBdr>
          <w:top w:val="nil"/>
          <w:left w:val="nil"/>
          <w:bottom w:val="nil"/>
          <w:right w:val="nil"/>
          <w:between w:val="nil"/>
        </w:pBdr>
        <w:rPr>
          <w:rFonts w:ascii="Arial" w:eastAsia="Arial" w:hAnsi="Arial" w:cs="Arial"/>
          <w:b/>
          <w:bCs/>
          <w:smallCaps/>
          <w:color w:val="000000"/>
          <w:sz w:val="22"/>
          <w:szCs w:val="22"/>
        </w:rPr>
      </w:pPr>
      <w:r>
        <w:rPr>
          <w:rFonts w:ascii="Arial" w:eastAsia="Arial" w:hAnsi="Arial" w:cs="Arial"/>
          <w:b/>
          <w:bCs/>
          <w:smallCaps/>
          <w:color w:val="000000"/>
          <w:sz w:val="22"/>
          <w:szCs w:val="22"/>
        </w:rPr>
        <w:t xml:space="preserve">3. </w:t>
      </w:r>
      <w:r w:rsidR="005B54BA" w:rsidRPr="0086371D">
        <w:rPr>
          <w:rFonts w:ascii="Arial" w:eastAsia="Arial" w:hAnsi="Arial" w:cs="Arial"/>
          <w:b/>
          <w:bCs/>
          <w:smallCaps/>
          <w:sz w:val="22"/>
          <w:szCs w:val="22"/>
        </w:rPr>
        <w:t>RESULTS &amp; DISCUSSION</w:t>
      </w:r>
    </w:p>
    <w:p w14:paraId="324D3434" w14:textId="77777777" w:rsidR="00061B90" w:rsidRDefault="00061B90">
      <w:pPr>
        <w:keepNext/>
        <w:pBdr>
          <w:top w:val="nil"/>
          <w:left w:val="nil"/>
          <w:bottom w:val="nil"/>
          <w:right w:val="nil"/>
          <w:between w:val="nil"/>
        </w:pBdr>
        <w:rPr>
          <w:rFonts w:ascii="Arial" w:eastAsia="Arial" w:hAnsi="Arial" w:cs="Arial"/>
          <w:b/>
          <w:bCs/>
          <w:smallCaps/>
          <w:color w:val="000000"/>
          <w:sz w:val="22"/>
          <w:szCs w:val="22"/>
        </w:rPr>
      </w:pPr>
    </w:p>
    <w:p w14:paraId="56D8904C" w14:textId="77777777" w:rsidR="00061B90" w:rsidRDefault="002D1E17">
      <w:pPr>
        <w:keepNext/>
        <w:pBdr>
          <w:top w:val="nil"/>
          <w:left w:val="nil"/>
          <w:bottom w:val="nil"/>
          <w:right w:val="nil"/>
          <w:between w:val="nil"/>
        </w:pBdr>
        <w:rPr>
          <w:rFonts w:ascii="Arial" w:eastAsia="Arial" w:hAnsi="Arial" w:cs="Arial"/>
          <w:b/>
          <w:bCs/>
          <w:color w:val="000000"/>
          <w:sz w:val="22"/>
          <w:szCs w:val="22"/>
        </w:rPr>
      </w:pPr>
      <w:r>
        <w:rPr>
          <w:rFonts w:ascii="Arial" w:eastAsia="Arial" w:hAnsi="Arial" w:cs="Arial"/>
          <w:b/>
          <w:bCs/>
          <w:color w:val="000000"/>
          <w:sz w:val="22"/>
          <w:szCs w:val="22"/>
        </w:rPr>
        <w:t>3.1. Identification of mite</w:t>
      </w:r>
    </w:p>
    <w:p w14:paraId="4D24928B" w14:textId="77777777" w:rsidR="00061B90" w:rsidRDefault="002D1E17">
      <w:pPr>
        <w:keepNext/>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The abundant species of mite used for gut microbial isolation was identified as </w:t>
      </w:r>
      <w:proofErr w:type="spellStart"/>
      <w:r>
        <w:rPr>
          <w:rFonts w:ascii="Arial" w:eastAsia="Arial" w:hAnsi="Arial" w:cs="Arial"/>
          <w:i/>
          <w:iCs/>
          <w:color w:val="000000"/>
          <w:sz w:val="20"/>
        </w:rPr>
        <w:t>Allonothrus</w:t>
      </w:r>
      <w:proofErr w:type="spellEnd"/>
      <w:r>
        <w:rPr>
          <w:rFonts w:ascii="Arial" w:eastAsia="Arial" w:hAnsi="Arial" w:cs="Arial"/>
          <w:i/>
          <w:iCs/>
          <w:color w:val="000000"/>
          <w:sz w:val="20"/>
        </w:rPr>
        <w:t xml:space="preserve"> </w:t>
      </w:r>
      <w:proofErr w:type="spellStart"/>
      <w:r>
        <w:rPr>
          <w:rFonts w:ascii="Arial" w:eastAsia="Arial" w:hAnsi="Arial" w:cs="Arial"/>
          <w:i/>
          <w:iCs/>
          <w:color w:val="000000"/>
          <w:sz w:val="20"/>
        </w:rPr>
        <w:t>russeolus</w:t>
      </w:r>
      <w:proofErr w:type="spellEnd"/>
      <w:r>
        <w:rPr>
          <w:rFonts w:ascii="Arial" w:eastAsia="Arial" w:hAnsi="Arial" w:cs="Arial"/>
          <w:i/>
          <w:iCs/>
          <w:color w:val="000000"/>
          <w:sz w:val="20"/>
        </w:rPr>
        <w:t xml:space="preserve"> </w:t>
      </w:r>
      <w:proofErr w:type="spellStart"/>
      <w:r>
        <w:rPr>
          <w:rFonts w:ascii="Arial" w:eastAsia="Arial" w:hAnsi="Arial" w:cs="Arial"/>
          <w:i/>
          <w:iCs/>
          <w:color w:val="000000"/>
          <w:sz w:val="20"/>
        </w:rPr>
        <w:t>russeolus</w:t>
      </w:r>
      <w:proofErr w:type="spellEnd"/>
      <w:r>
        <w:rPr>
          <w:rFonts w:ascii="Arial" w:eastAsia="Arial" w:hAnsi="Arial" w:cs="Arial"/>
          <w:i/>
          <w:iCs/>
          <w:color w:val="000000"/>
          <w:sz w:val="20"/>
        </w:rPr>
        <w:t xml:space="preserve"> </w:t>
      </w:r>
      <w:r>
        <w:rPr>
          <w:rFonts w:ascii="Arial" w:eastAsia="Arial" w:hAnsi="Arial" w:cs="Arial"/>
        </w:rPr>
        <w:t>Wallwork</w:t>
      </w:r>
      <w:r>
        <w:rPr>
          <w:rFonts w:ascii="Arial" w:eastAsia="Arial" w:hAnsi="Arial" w:cs="Arial"/>
          <w:color w:val="000000"/>
          <w:sz w:val="20"/>
        </w:rPr>
        <w:t xml:space="preserve">, 1960, up to the species level. The nomenclature follows (Aoki, 2000) and (Norton and Ermilov, 2024), in which </w:t>
      </w:r>
      <w:proofErr w:type="spellStart"/>
      <w:r>
        <w:rPr>
          <w:rFonts w:ascii="Arial" w:eastAsia="Arial" w:hAnsi="Arial" w:cs="Arial"/>
          <w:i/>
          <w:iCs/>
          <w:color w:val="000000"/>
          <w:sz w:val="20"/>
        </w:rPr>
        <w:t>Allonothrus</w:t>
      </w:r>
      <w:proofErr w:type="spellEnd"/>
      <w:r>
        <w:rPr>
          <w:rFonts w:ascii="Arial" w:eastAsia="Arial" w:hAnsi="Arial" w:cs="Arial"/>
          <w:i/>
          <w:iCs/>
          <w:color w:val="000000"/>
          <w:sz w:val="20"/>
        </w:rPr>
        <w:t xml:space="preserve"> </w:t>
      </w:r>
      <w:proofErr w:type="spellStart"/>
      <w:r>
        <w:rPr>
          <w:rFonts w:ascii="Arial" w:eastAsia="Arial" w:hAnsi="Arial" w:cs="Arial"/>
          <w:i/>
          <w:iCs/>
          <w:color w:val="000000"/>
          <w:sz w:val="20"/>
        </w:rPr>
        <w:t>russeolus</w:t>
      </w:r>
      <w:proofErr w:type="spellEnd"/>
      <w:r>
        <w:rPr>
          <w:rFonts w:ascii="Arial" w:eastAsia="Arial" w:hAnsi="Arial" w:cs="Arial"/>
          <w:i/>
          <w:iCs/>
          <w:color w:val="000000"/>
          <w:sz w:val="20"/>
        </w:rPr>
        <w:t xml:space="preserve"> </w:t>
      </w:r>
      <w:proofErr w:type="spellStart"/>
      <w:r>
        <w:rPr>
          <w:rFonts w:ascii="Arial" w:eastAsia="Arial" w:hAnsi="Arial" w:cs="Arial"/>
          <w:i/>
          <w:iCs/>
          <w:color w:val="000000"/>
          <w:sz w:val="20"/>
        </w:rPr>
        <w:t>russeolus</w:t>
      </w:r>
      <w:proofErr w:type="spellEnd"/>
      <w:r>
        <w:rPr>
          <w:rFonts w:ascii="Arial" w:eastAsia="Arial" w:hAnsi="Arial" w:cs="Arial"/>
          <w:color w:val="000000"/>
          <w:sz w:val="20"/>
        </w:rPr>
        <w:t xml:space="preserve"> </w:t>
      </w:r>
      <w:r>
        <w:rPr>
          <w:rFonts w:ascii="Arial" w:eastAsia="Arial" w:hAnsi="Arial" w:cs="Arial"/>
        </w:rPr>
        <w:t>Wallwork</w:t>
      </w:r>
      <w:r>
        <w:rPr>
          <w:rFonts w:ascii="Arial" w:eastAsia="Arial" w:hAnsi="Arial" w:cs="Arial"/>
          <w:color w:val="000000"/>
          <w:sz w:val="20"/>
        </w:rPr>
        <w:t xml:space="preserve">, 1960 is considered the valid name and senior synonym to </w:t>
      </w:r>
      <w:proofErr w:type="spellStart"/>
      <w:r>
        <w:rPr>
          <w:rFonts w:ascii="Arial" w:eastAsia="Arial" w:hAnsi="Arial" w:cs="Arial"/>
          <w:i/>
          <w:iCs/>
          <w:color w:val="000000"/>
          <w:sz w:val="20"/>
        </w:rPr>
        <w:t>Allonothrus</w:t>
      </w:r>
      <w:proofErr w:type="spellEnd"/>
      <w:r>
        <w:rPr>
          <w:rFonts w:ascii="Arial" w:eastAsia="Arial" w:hAnsi="Arial" w:cs="Arial"/>
          <w:i/>
          <w:iCs/>
          <w:color w:val="000000"/>
          <w:sz w:val="20"/>
        </w:rPr>
        <w:t xml:space="preserve"> </w:t>
      </w:r>
      <w:proofErr w:type="spellStart"/>
      <w:r>
        <w:rPr>
          <w:rFonts w:ascii="Arial" w:eastAsia="Arial" w:hAnsi="Arial" w:cs="Arial"/>
          <w:i/>
          <w:iCs/>
          <w:color w:val="000000"/>
          <w:sz w:val="20"/>
        </w:rPr>
        <w:t>giganticus</w:t>
      </w:r>
      <w:proofErr w:type="spellEnd"/>
      <w:r>
        <w:rPr>
          <w:rFonts w:ascii="Arial" w:eastAsia="Arial" w:hAnsi="Arial" w:cs="Arial"/>
          <w:color w:val="000000"/>
          <w:sz w:val="20"/>
        </w:rPr>
        <w:t xml:space="preserve"> </w:t>
      </w:r>
      <w:r>
        <w:rPr>
          <w:rFonts w:ascii="Arial" w:eastAsia="Arial" w:hAnsi="Arial" w:cs="Arial"/>
        </w:rPr>
        <w:t>Haq</w:t>
      </w:r>
      <w:r>
        <w:rPr>
          <w:rFonts w:ascii="Arial" w:eastAsia="Arial" w:hAnsi="Arial" w:cs="Arial"/>
          <w:color w:val="000000"/>
          <w:sz w:val="20"/>
        </w:rPr>
        <w:t xml:space="preserve">, 1978 and </w:t>
      </w:r>
      <w:proofErr w:type="spellStart"/>
      <w:r>
        <w:rPr>
          <w:rFonts w:ascii="Arial" w:eastAsia="Arial" w:hAnsi="Arial" w:cs="Arial"/>
          <w:i/>
          <w:iCs/>
          <w:color w:val="000000"/>
          <w:sz w:val="20"/>
        </w:rPr>
        <w:t>Allonothrus</w:t>
      </w:r>
      <w:proofErr w:type="spellEnd"/>
      <w:r>
        <w:rPr>
          <w:rFonts w:ascii="Arial" w:eastAsia="Arial" w:hAnsi="Arial" w:cs="Arial"/>
          <w:i/>
          <w:iCs/>
          <w:color w:val="000000"/>
          <w:sz w:val="20"/>
        </w:rPr>
        <w:t xml:space="preserve"> </w:t>
      </w:r>
      <w:proofErr w:type="spellStart"/>
      <w:r>
        <w:rPr>
          <w:rFonts w:ascii="Arial" w:eastAsia="Arial" w:hAnsi="Arial" w:cs="Arial"/>
          <w:i/>
          <w:iCs/>
          <w:color w:val="000000"/>
          <w:sz w:val="20"/>
        </w:rPr>
        <w:t>pararusseolus</w:t>
      </w:r>
      <w:proofErr w:type="spellEnd"/>
      <w:r>
        <w:rPr>
          <w:rFonts w:ascii="Arial" w:eastAsia="Arial" w:hAnsi="Arial" w:cs="Arial"/>
          <w:color w:val="000000"/>
          <w:sz w:val="20"/>
        </w:rPr>
        <w:t xml:space="preserve"> Subias &amp; Sarkar, 1982.</w:t>
      </w:r>
    </w:p>
    <w:p w14:paraId="0F16BDA9" w14:textId="77777777" w:rsidR="00061B90" w:rsidRDefault="002D1E17">
      <w:pPr>
        <w:keepNext/>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Taxonomic </w:t>
      </w:r>
      <w:r>
        <w:rPr>
          <w:rFonts w:ascii="Arial" w:eastAsia="Arial" w:hAnsi="Arial" w:cs="Arial"/>
        </w:rPr>
        <w:t>identification</w:t>
      </w:r>
      <w:r>
        <w:rPr>
          <w:rFonts w:ascii="Arial" w:eastAsia="Arial" w:hAnsi="Arial" w:cs="Arial"/>
          <w:color w:val="000000"/>
          <w:sz w:val="20"/>
        </w:rPr>
        <w:t xml:space="preserve"> of the host species is important to discuss the host microbial interaction because the microbial community may vary </w:t>
      </w:r>
      <w:r>
        <w:rPr>
          <w:rFonts w:ascii="Arial" w:eastAsia="Arial" w:hAnsi="Arial" w:cs="Arial"/>
        </w:rPr>
        <w:t>among</w:t>
      </w:r>
      <w:r>
        <w:rPr>
          <w:rFonts w:ascii="Arial" w:eastAsia="Arial" w:hAnsi="Arial" w:cs="Arial"/>
          <w:color w:val="000000"/>
          <w:sz w:val="20"/>
        </w:rPr>
        <w:t xml:space="preserve"> closely related species. Recent taxonomic revisions have resolved the synonymy within the genus </w:t>
      </w:r>
      <w:proofErr w:type="spellStart"/>
      <w:r>
        <w:rPr>
          <w:rFonts w:ascii="Arial" w:eastAsia="Arial" w:hAnsi="Arial" w:cs="Arial"/>
          <w:i/>
          <w:iCs/>
          <w:color w:val="000000"/>
          <w:sz w:val="20"/>
        </w:rPr>
        <w:t>Allonothrus</w:t>
      </w:r>
      <w:proofErr w:type="spellEnd"/>
      <w:r>
        <w:rPr>
          <w:rFonts w:ascii="Arial" w:eastAsia="Arial" w:hAnsi="Arial" w:cs="Arial"/>
          <w:i/>
          <w:iCs/>
          <w:color w:val="000000"/>
          <w:sz w:val="20"/>
        </w:rPr>
        <w:t>,</w:t>
      </w:r>
      <w:r>
        <w:rPr>
          <w:rFonts w:ascii="Arial" w:eastAsia="Arial" w:hAnsi="Arial" w:cs="Arial"/>
          <w:color w:val="000000"/>
          <w:sz w:val="20"/>
        </w:rPr>
        <w:t xml:space="preserve"> thereby providing a stable taxonomic framework for ecological and microbiological investigations.</w:t>
      </w:r>
    </w:p>
    <w:p w14:paraId="7676A3BB" w14:textId="77777777" w:rsidR="00061B90" w:rsidRDefault="00061B90">
      <w:pPr>
        <w:keepNext/>
        <w:pBdr>
          <w:top w:val="nil"/>
          <w:left w:val="nil"/>
          <w:bottom w:val="nil"/>
          <w:right w:val="nil"/>
          <w:between w:val="nil"/>
        </w:pBdr>
        <w:rPr>
          <w:rFonts w:ascii="Arial" w:eastAsia="Arial" w:hAnsi="Arial" w:cs="Arial"/>
          <w:color w:val="000000"/>
          <w:sz w:val="20"/>
        </w:rPr>
      </w:pPr>
    </w:p>
    <w:p w14:paraId="407424A2" w14:textId="77777777" w:rsidR="00061B90" w:rsidRDefault="002D1E17">
      <w:pPr>
        <w:keepNext/>
        <w:pBdr>
          <w:top w:val="nil"/>
          <w:left w:val="nil"/>
          <w:bottom w:val="nil"/>
          <w:right w:val="nil"/>
          <w:between w:val="nil"/>
        </w:pBdr>
        <w:rPr>
          <w:rFonts w:ascii="Arial" w:eastAsia="Arial" w:hAnsi="Arial" w:cs="Arial"/>
          <w:b/>
          <w:bCs/>
          <w:color w:val="000000"/>
          <w:sz w:val="22"/>
          <w:szCs w:val="22"/>
        </w:rPr>
      </w:pPr>
      <w:r>
        <w:rPr>
          <w:rFonts w:ascii="Arial" w:eastAsia="Arial" w:hAnsi="Arial" w:cs="Arial"/>
          <w:b/>
          <w:bCs/>
          <w:color w:val="000000"/>
          <w:sz w:val="22"/>
          <w:szCs w:val="22"/>
        </w:rPr>
        <w:t>3.2. Isolation and characterization of cultivable bacteria</w:t>
      </w:r>
    </w:p>
    <w:p w14:paraId="42AE43AD" w14:textId="77777777" w:rsidR="00061B90" w:rsidRDefault="002D1E17">
      <w:pPr>
        <w:keepNext/>
        <w:pBdr>
          <w:top w:val="nil"/>
          <w:left w:val="nil"/>
          <w:bottom w:val="nil"/>
          <w:right w:val="nil"/>
          <w:between w:val="nil"/>
        </w:pBdr>
        <w:rPr>
          <w:rFonts w:ascii="Arial" w:eastAsia="Arial" w:hAnsi="Arial" w:cs="Arial"/>
          <w:color w:val="000000"/>
          <w:sz w:val="20"/>
        </w:rPr>
      </w:pPr>
      <w:r>
        <w:rPr>
          <w:rFonts w:ascii="Arial" w:eastAsia="Arial" w:hAnsi="Arial" w:cs="Arial"/>
          <w:smallCaps/>
          <w:color w:val="000000"/>
          <w:sz w:val="20"/>
        </w:rPr>
        <w:t>F</w:t>
      </w:r>
      <w:r>
        <w:rPr>
          <w:rFonts w:ascii="Arial" w:eastAsia="Arial" w:hAnsi="Arial" w:cs="Arial"/>
          <w:color w:val="000000"/>
          <w:sz w:val="20"/>
        </w:rPr>
        <w:t xml:space="preserve">rom the </w:t>
      </w:r>
      <w:r>
        <w:rPr>
          <w:rFonts w:ascii="Arial" w:eastAsia="Arial" w:hAnsi="Arial" w:cs="Arial"/>
        </w:rPr>
        <w:t>surface-sterilized</w:t>
      </w:r>
      <w:r>
        <w:rPr>
          <w:rFonts w:ascii="Arial" w:eastAsia="Arial" w:hAnsi="Arial" w:cs="Arial"/>
          <w:color w:val="000000"/>
          <w:sz w:val="20"/>
        </w:rPr>
        <w:t xml:space="preserve"> homogenate of </w:t>
      </w:r>
      <w:r>
        <w:rPr>
          <w:rFonts w:ascii="Arial" w:eastAsia="Arial" w:hAnsi="Arial" w:cs="Arial"/>
          <w:i/>
          <w:iCs/>
          <w:color w:val="000000"/>
          <w:sz w:val="20"/>
        </w:rPr>
        <w:t>A.</w:t>
      </w:r>
      <w:r>
        <w:rPr>
          <w:rFonts w:ascii="Arial" w:eastAsia="Arial" w:hAnsi="Arial" w:cs="Arial"/>
          <w:color w:val="000000"/>
          <w:sz w:val="20"/>
        </w:rPr>
        <w:t xml:space="preserve"> </w:t>
      </w:r>
      <w:proofErr w:type="spellStart"/>
      <w:r>
        <w:rPr>
          <w:rFonts w:ascii="Arial" w:eastAsia="Arial" w:hAnsi="Arial" w:cs="Arial"/>
          <w:i/>
          <w:iCs/>
          <w:color w:val="000000"/>
          <w:sz w:val="20"/>
        </w:rPr>
        <w:t>russeolus</w:t>
      </w:r>
      <w:proofErr w:type="spellEnd"/>
      <w:r>
        <w:rPr>
          <w:rFonts w:ascii="Arial" w:eastAsia="Arial" w:hAnsi="Arial" w:cs="Arial"/>
          <w:i/>
          <w:iCs/>
          <w:color w:val="000000"/>
          <w:sz w:val="20"/>
        </w:rPr>
        <w:t xml:space="preserve"> </w:t>
      </w:r>
      <w:proofErr w:type="spellStart"/>
      <w:r>
        <w:rPr>
          <w:rFonts w:ascii="Arial" w:eastAsia="Arial" w:hAnsi="Arial" w:cs="Arial"/>
          <w:i/>
          <w:iCs/>
          <w:color w:val="000000"/>
          <w:sz w:val="20"/>
        </w:rPr>
        <w:t>russeolus</w:t>
      </w:r>
      <w:proofErr w:type="spellEnd"/>
      <w:r>
        <w:rPr>
          <w:rFonts w:ascii="Arial" w:eastAsia="Arial" w:hAnsi="Arial" w:cs="Arial"/>
          <w:i/>
          <w:iCs/>
        </w:rPr>
        <w:t>,</w:t>
      </w:r>
      <w:r>
        <w:rPr>
          <w:rFonts w:ascii="Arial" w:eastAsia="Arial" w:hAnsi="Arial" w:cs="Arial"/>
          <w:i/>
          <w:iCs/>
          <w:color w:val="000000"/>
          <w:sz w:val="20"/>
        </w:rPr>
        <w:t xml:space="preserve"> </w:t>
      </w:r>
      <w:r>
        <w:rPr>
          <w:rFonts w:ascii="Arial" w:eastAsia="Arial" w:hAnsi="Arial" w:cs="Arial"/>
          <w:color w:val="000000"/>
          <w:sz w:val="20"/>
        </w:rPr>
        <w:t>different bacterial colonies were isolated (Figure1a)</w:t>
      </w:r>
      <w:r>
        <w:rPr>
          <w:rFonts w:ascii="Arial" w:eastAsia="Arial" w:hAnsi="Arial" w:cs="Arial"/>
        </w:rPr>
        <w:t>,</w:t>
      </w:r>
      <w:r>
        <w:rPr>
          <w:rFonts w:ascii="Arial" w:eastAsia="Arial" w:hAnsi="Arial" w:cs="Arial"/>
          <w:color w:val="000000"/>
          <w:sz w:val="20"/>
        </w:rPr>
        <w:t xml:space="preserve"> and six morphologically varied colonies were purified on nutrient agar plates (Figure 1b). Gram’s staining of the purified bacterial isolates revealed colonies with four Gram-positive rod-shaped morphology and two Gram-negative rod-shaped morphology (Table 1). The biochemical screening of the six bacterial colonies showed marked differences in the standard biochemical reactions such as MR, VP, Citrate, Catalase, Oxidase, Indole, and TSI reactions</w:t>
      </w:r>
      <w:r>
        <w:rPr>
          <w:rFonts w:ascii="Arial" w:eastAsia="Arial" w:hAnsi="Arial" w:cs="Arial"/>
        </w:rPr>
        <w:t>,</w:t>
      </w:r>
      <w:r>
        <w:rPr>
          <w:rFonts w:ascii="Arial" w:eastAsia="Arial" w:hAnsi="Arial" w:cs="Arial"/>
          <w:color w:val="000000"/>
          <w:sz w:val="20"/>
        </w:rPr>
        <w:t xml:space="preserve"> making them biochemically distinct groups (Table 2).</w:t>
      </w:r>
    </w:p>
    <w:p w14:paraId="3267221C" w14:textId="77777777" w:rsidR="00061B90" w:rsidRDefault="002D1E17">
      <w:pPr>
        <w:keepNext/>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Surface sterilization before gut homogenization increases the likelihood that the recovered bacteria originated from the mite gut rather than the body surface. The presence of multiple morphologically and physiologically distinct bacterial isolates suggests that </w:t>
      </w:r>
      <w:r>
        <w:rPr>
          <w:rFonts w:ascii="Arial" w:eastAsia="Arial" w:hAnsi="Arial" w:cs="Arial"/>
          <w:i/>
          <w:iCs/>
          <w:color w:val="000000"/>
          <w:sz w:val="20"/>
        </w:rPr>
        <w:t xml:space="preserve">A. </w:t>
      </w:r>
      <w:proofErr w:type="spellStart"/>
      <w:r>
        <w:rPr>
          <w:rFonts w:ascii="Arial" w:eastAsia="Arial" w:hAnsi="Arial" w:cs="Arial"/>
          <w:i/>
          <w:iCs/>
          <w:color w:val="000000"/>
          <w:sz w:val="20"/>
        </w:rPr>
        <w:t>russeolus</w:t>
      </w:r>
      <w:proofErr w:type="spellEnd"/>
      <w:r>
        <w:rPr>
          <w:rFonts w:ascii="Arial" w:eastAsia="Arial" w:hAnsi="Arial" w:cs="Arial"/>
          <w:i/>
          <w:iCs/>
          <w:color w:val="000000"/>
          <w:sz w:val="20"/>
        </w:rPr>
        <w:t xml:space="preserve"> </w:t>
      </w:r>
      <w:proofErr w:type="spellStart"/>
      <w:r>
        <w:rPr>
          <w:rFonts w:ascii="Arial" w:eastAsia="Arial" w:hAnsi="Arial" w:cs="Arial"/>
          <w:i/>
          <w:iCs/>
          <w:color w:val="000000"/>
          <w:sz w:val="20"/>
        </w:rPr>
        <w:t>russeolus</w:t>
      </w:r>
      <w:proofErr w:type="spellEnd"/>
      <w:r>
        <w:rPr>
          <w:rFonts w:ascii="Arial" w:eastAsia="Arial" w:hAnsi="Arial" w:cs="Arial"/>
          <w:color w:val="000000"/>
          <w:sz w:val="20"/>
        </w:rPr>
        <w:t xml:space="preserve"> harbours a diverse bacterial community. </w:t>
      </w:r>
      <w:r>
        <w:rPr>
          <w:rFonts w:ascii="Arial" w:eastAsia="Arial" w:hAnsi="Arial" w:cs="Arial"/>
        </w:rPr>
        <w:t>The gut</w:t>
      </w:r>
      <w:r>
        <w:rPr>
          <w:rFonts w:ascii="Arial" w:eastAsia="Arial" w:hAnsi="Arial" w:cs="Arial"/>
          <w:color w:val="000000"/>
          <w:sz w:val="20"/>
        </w:rPr>
        <w:t xml:space="preserve"> of the oribatid mites </w:t>
      </w:r>
      <w:r>
        <w:rPr>
          <w:rFonts w:ascii="Arial" w:eastAsia="Arial" w:hAnsi="Arial" w:cs="Arial"/>
        </w:rPr>
        <w:t>is a</w:t>
      </w:r>
      <w:r>
        <w:rPr>
          <w:rFonts w:ascii="Arial" w:eastAsia="Arial" w:hAnsi="Arial" w:cs="Arial"/>
          <w:color w:val="000000"/>
          <w:sz w:val="20"/>
        </w:rPr>
        <w:t xml:space="preserve"> potential reservoir of diverse bacterial taxa as they are continuously exposed to microorganisms through feeding on litter, fungi</w:t>
      </w:r>
      <w:r>
        <w:rPr>
          <w:rFonts w:ascii="Arial" w:eastAsia="Arial" w:hAnsi="Arial" w:cs="Arial"/>
        </w:rPr>
        <w:t>,</w:t>
      </w:r>
      <w:r>
        <w:rPr>
          <w:rFonts w:ascii="Arial" w:eastAsia="Arial" w:hAnsi="Arial" w:cs="Arial"/>
          <w:color w:val="000000"/>
          <w:sz w:val="20"/>
        </w:rPr>
        <w:t xml:space="preserve"> and decomposing organic matter. The presence of both Gram-positive and Gram-negative bacterial isolates may indicate the differences in the ecological </w:t>
      </w:r>
      <w:r>
        <w:rPr>
          <w:rFonts w:ascii="Arial" w:eastAsia="Arial" w:hAnsi="Arial" w:cs="Arial"/>
          <w:color w:val="000000"/>
          <w:sz w:val="20"/>
        </w:rPr>
        <w:lastRenderedPageBreak/>
        <w:t xml:space="preserve">adaptations and metabolic capabilities of gut microbiota associated with </w:t>
      </w:r>
      <w:r>
        <w:rPr>
          <w:rFonts w:ascii="Arial" w:eastAsia="Arial" w:hAnsi="Arial" w:cs="Arial"/>
          <w:i/>
          <w:iCs/>
          <w:color w:val="000000"/>
          <w:sz w:val="20"/>
        </w:rPr>
        <w:t xml:space="preserve">A. </w:t>
      </w:r>
      <w:proofErr w:type="spellStart"/>
      <w:r>
        <w:rPr>
          <w:rFonts w:ascii="Arial" w:eastAsia="Arial" w:hAnsi="Arial" w:cs="Arial"/>
          <w:i/>
          <w:iCs/>
          <w:color w:val="000000"/>
          <w:sz w:val="20"/>
        </w:rPr>
        <w:t>russeolus</w:t>
      </w:r>
      <w:proofErr w:type="spellEnd"/>
      <w:r>
        <w:rPr>
          <w:rFonts w:ascii="Arial" w:eastAsia="Arial" w:hAnsi="Arial" w:cs="Arial"/>
          <w:i/>
          <w:iCs/>
          <w:color w:val="000000"/>
          <w:sz w:val="20"/>
        </w:rPr>
        <w:t xml:space="preserve"> </w:t>
      </w:r>
      <w:proofErr w:type="spellStart"/>
      <w:r>
        <w:rPr>
          <w:rFonts w:ascii="Arial" w:eastAsia="Arial" w:hAnsi="Arial" w:cs="Arial"/>
          <w:i/>
          <w:iCs/>
          <w:color w:val="000000"/>
          <w:sz w:val="20"/>
        </w:rPr>
        <w:t>russeolus</w:t>
      </w:r>
      <w:proofErr w:type="spellEnd"/>
      <w:r>
        <w:rPr>
          <w:rFonts w:ascii="Arial" w:eastAsia="Arial" w:hAnsi="Arial" w:cs="Arial"/>
          <w:color w:val="000000"/>
          <w:sz w:val="20"/>
        </w:rPr>
        <w:t xml:space="preserve">. Like any approach that is based on culture, the bacterial diversity identified in this study probably only captures a fraction of the overall gut microbiota. Numerous bacteria linked to soil microarthropods are either difficult to cultivate or cannot be grown using standard media (Amann </w:t>
      </w:r>
      <w:r>
        <w:rPr>
          <w:rFonts w:ascii="Arial" w:eastAsia="Arial" w:hAnsi="Arial" w:cs="Arial"/>
          <w:i/>
          <w:iCs/>
          <w:color w:val="000000"/>
          <w:sz w:val="20"/>
        </w:rPr>
        <w:t>et al.,</w:t>
      </w:r>
      <w:r>
        <w:rPr>
          <w:rFonts w:ascii="Arial" w:eastAsia="Arial" w:hAnsi="Arial" w:cs="Arial"/>
          <w:color w:val="000000"/>
          <w:sz w:val="20"/>
        </w:rPr>
        <w:t xml:space="preserve"> 1995). However, culture-based investigations provide benefits by yielding isolates for various functional tests, which include enzymatic characterization, experiments on host–microbe interactions, and potential evaluations of digestive functions. This type of information cannot be solely derived from sequencing-based studies (Lagier </w:t>
      </w:r>
      <w:r>
        <w:rPr>
          <w:rFonts w:ascii="Arial" w:eastAsia="Arial" w:hAnsi="Arial" w:cs="Arial"/>
          <w:i/>
          <w:iCs/>
          <w:color w:val="000000"/>
          <w:sz w:val="20"/>
        </w:rPr>
        <w:t>et al.,</w:t>
      </w:r>
      <w:r>
        <w:rPr>
          <w:rFonts w:ascii="Arial" w:eastAsia="Arial" w:hAnsi="Arial" w:cs="Arial"/>
          <w:color w:val="000000"/>
          <w:sz w:val="20"/>
        </w:rPr>
        <w:t xml:space="preserve"> 2018).</w:t>
      </w:r>
    </w:p>
    <w:p w14:paraId="399452FB" w14:textId="77777777" w:rsidR="00061B90" w:rsidRDefault="00061B90">
      <w:pPr>
        <w:keepNext/>
        <w:pBdr>
          <w:top w:val="nil"/>
          <w:left w:val="nil"/>
          <w:bottom w:val="nil"/>
          <w:right w:val="nil"/>
          <w:between w:val="nil"/>
        </w:pBdr>
        <w:rPr>
          <w:rFonts w:ascii="Arial" w:eastAsia="Arial" w:hAnsi="Arial" w:cs="Arial"/>
          <w:color w:val="000000"/>
          <w:sz w:val="20"/>
        </w:rPr>
      </w:pPr>
    </w:p>
    <w:p w14:paraId="0A40339D" w14:textId="77777777" w:rsidR="00061B90" w:rsidRDefault="00061B90">
      <w:pPr>
        <w:rPr>
          <w:rFonts w:ascii="Arial" w:eastAsia="Arial" w:hAnsi="Arial" w:cs="Arial"/>
        </w:rPr>
      </w:pPr>
    </w:p>
    <w:p w14:paraId="5C08CC00" w14:textId="77777777" w:rsidR="00061B90" w:rsidRDefault="002D1E17">
      <w:pPr>
        <w:rPr>
          <w:rFonts w:ascii="Arial" w:eastAsia="Arial" w:hAnsi="Arial" w:cs="Arial"/>
          <w:b/>
          <w:bCs/>
          <w:sz w:val="22"/>
          <w:szCs w:val="22"/>
        </w:rPr>
      </w:pPr>
      <w:r>
        <w:rPr>
          <w:rFonts w:ascii="Arial" w:eastAsia="Arial" w:hAnsi="Arial" w:cs="Arial"/>
          <w:b/>
          <w:bCs/>
          <w:sz w:val="22"/>
          <w:szCs w:val="22"/>
        </w:rPr>
        <w:t>3.5. Cellulolytic activity</w:t>
      </w:r>
    </w:p>
    <w:p w14:paraId="5886FE28" w14:textId="77777777" w:rsidR="00061B90" w:rsidRDefault="002D1E17">
      <w:pPr>
        <w:rPr>
          <w:rFonts w:ascii="Arial" w:eastAsia="Arial" w:hAnsi="Arial" w:cs="Arial"/>
        </w:rPr>
      </w:pPr>
      <w:r>
        <w:rPr>
          <w:rFonts w:ascii="Arial" w:eastAsia="Arial" w:hAnsi="Arial" w:cs="Arial"/>
        </w:rPr>
        <w:t>Qualitative screening of cellulolytic activity on CMC agar revealed cellulose hydrolysis by five of the six bacterial isolates (</w:t>
      </w:r>
      <w:r>
        <w:rPr>
          <w:rFonts w:ascii="Arial" w:eastAsia="Arial" w:hAnsi="Arial" w:cs="Arial"/>
          <w:b/>
          <w:bCs/>
        </w:rPr>
        <w:t>1,2,8,9, &amp;11</w:t>
      </w:r>
      <w:r>
        <w:rPr>
          <w:rFonts w:ascii="Arial" w:eastAsia="Arial" w:hAnsi="Arial" w:cs="Arial"/>
        </w:rPr>
        <w:t xml:space="preserve">), as indicated by the formation of clear zones around the colonies following Congo red staining (Figure 2). </w:t>
      </w:r>
    </w:p>
    <w:p w14:paraId="4DD11C6C" w14:textId="77777777" w:rsidR="00061B90" w:rsidRDefault="002D1E17">
      <w:pPr>
        <w:rPr>
          <w:rFonts w:ascii="Arial" w:eastAsia="Arial" w:hAnsi="Arial" w:cs="Arial"/>
        </w:rPr>
      </w:pPr>
      <w:r>
        <w:rPr>
          <w:rFonts w:ascii="Arial" w:eastAsia="Arial" w:hAnsi="Arial" w:cs="Arial"/>
        </w:rPr>
        <w:t xml:space="preserve">The cellulolytic activity exhibited by the bacterial isolates suggests that the gut bacteria associated with </w:t>
      </w:r>
      <w:r>
        <w:rPr>
          <w:rFonts w:ascii="Arial" w:eastAsia="Arial" w:hAnsi="Arial" w:cs="Arial"/>
          <w:i/>
          <w:iCs/>
        </w:rPr>
        <w:t xml:space="preserve">A. </w:t>
      </w:r>
      <w:proofErr w:type="spellStart"/>
      <w:r>
        <w:rPr>
          <w:rFonts w:ascii="Arial" w:eastAsia="Arial" w:hAnsi="Arial" w:cs="Arial"/>
          <w:i/>
          <w:iCs/>
        </w:rPr>
        <w:t>russeolus</w:t>
      </w:r>
      <w:proofErr w:type="spellEnd"/>
      <w:r>
        <w:rPr>
          <w:rFonts w:ascii="Arial" w:eastAsia="Arial" w:hAnsi="Arial" w:cs="Arial"/>
          <w:i/>
          <w:iCs/>
        </w:rPr>
        <w:t xml:space="preserve"> </w:t>
      </w:r>
      <w:proofErr w:type="spellStart"/>
      <w:r>
        <w:rPr>
          <w:rFonts w:ascii="Arial" w:eastAsia="Arial" w:hAnsi="Arial" w:cs="Arial"/>
          <w:i/>
          <w:iCs/>
        </w:rPr>
        <w:t>russeolus</w:t>
      </w:r>
      <w:proofErr w:type="spellEnd"/>
      <w:r>
        <w:rPr>
          <w:rFonts w:ascii="Arial" w:eastAsia="Arial" w:hAnsi="Arial" w:cs="Arial"/>
        </w:rPr>
        <w:t xml:space="preserve"> may possess the ability to degrade cellulose or cellulose-derived substrates. The previous laboratory food choice test on this mite species revealed a generalist feeding pattern. Hence, litter and plant-derived materials can be a part of its diet. Presence of cellulolytic gut bacteria may therefore contribute to the digestion of ingested plant material and facilitate nutrient absorption by the host. Similar roles of gut-associated microorganisms in the degradation of complex plant polymers have been reported in several soil invertebrates and </w:t>
      </w:r>
      <w:proofErr w:type="spellStart"/>
      <w:r>
        <w:rPr>
          <w:rFonts w:ascii="Arial" w:eastAsia="Arial" w:hAnsi="Arial" w:cs="Arial"/>
        </w:rPr>
        <w:t>detritivorous</w:t>
      </w:r>
      <w:proofErr w:type="spellEnd"/>
      <w:r>
        <w:rPr>
          <w:rFonts w:ascii="Arial" w:eastAsia="Arial" w:hAnsi="Arial" w:cs="Arial"/>
        </w:rPr>
        <w:t xml:space="preserve"> arthropods (Brune, 2014; Bredon </w:t>
      </w:r>
      <w:r>
        <w:rPr>
          <w:rFonts w:ascii="Arial" w:eastAsia="Arial" w:hAnsi="Arial" w:cs="Arial"/>
          <w:i/>
          <w:iCs/>
        </w:rPr>
        <w:t>et al.,</w:t>
      </w:r>
      <w:r>
        <w:rPr>
          <w:rFonts w:ascii="Arial" w:eastAsia="Arial" w:hAnsi="Arial" w:cs="Arial"/>
        </w:rPr>
        <w:t xml:space="preserve"> 2018). However, the present study demonstrates only the cellulolytic potential of cultivable isolates under laboratory conditions, and further investigations are required to establish their functional role within the mite gut.</w:t>
      </w:r>
    </w:p>
    <w:p w14:paraId="6A3C378B" w14:textId="77777777" w:rsidR="00061B90" w:rsidRDefault="00061B90">
      <w:pPr>
        <w:rPr>
          <w:rFonts w:ascii="Arial" w:eastAsia="Arial" w:hAnsi="Arial" w:cs="Arial"/>
        </w:rPr>
      </w:pPr>
    </w:p>
    <w:p w14:paraId="232BC74F" w14:textId="77777777" w:rsidR="00061B90" w:rsidRDefault="00061B90">
      <w:pPr>
        <w:rPr>
          <w:rFonts w:ascii="Arial" w:eastAsia="Arial" w:hAnsi="Arial" w:cs="Arial"/>
        </w:rPr>
      </w:pPr>
    </w:p>
    <w:p w14:paraId="6189E62F" w14:textId="77777777" w:rsidR="00061B90" w:rsidRDefault="002D1E17">
      <w:pPr>
        <w:rPr>
          <w:rFonts w:ascii="Arial" w:eastAsia="Arial" w:hAnsi="Arial" w:cs="Arial"/>
          <w:b/>
          <w:bCs/>
          <w:sz w:val="22"/>
          <w:szCs w:val="22"/>
        </w:rPr>
      </w:pPr>
      <w:r>
        <w:rPr>
          <w:rFonts w:ascii="Arial" w:eastAsia="Arial" w:hAnsi="Arial" w:cs="Arial"/>
          <w:b/>
          <w:bCs/>
          <w:sz w:val="22"/>
          <w:szCs w:val="22"/>
        </w:rPr>
        <w:t>3.6. Molecular characterization</w:t>
      </w:r>
    </w:p>
    <w:p w14:paraId="025073AB" w14:textId="77777777" w:rsidR="00061B90" w:rsidRDefault="002D1E17">
      <w:pPr>
        <w:rPr>
          <w:rFonts w:ascii="Arial" w:eastAsia="Arial" w:hAnsi="Arial" w:cs="Arial"/>
        </w:rPr>
      </w:pPr>
      <w:r>
        <w:rPr>
          <w:rFonts w:ascii="Arial" w:eastAsia="Arial" w:hAnsi="Arial" w:cs="Arial"/>
        </w:rPr>
        <w:t xml:space="preserve">Among the six isolates, only three bacterial DNA was successfully isolated, and the PCR amplification produced a clear single band for each of the 3 isolates. The 16S rRNA sequencing of the three bacterial isolates successfully produced good-quality 700-900 bp sequences. The BLAST analysis showed high similarity to known bacterial species without giving any ambiguous or conflicting species. Each biochemical group matched a different taxon. Among the three bacterial isolates, isolate </w:t>
      </w:r>
      <w:r>
        <w:rPr>
          <w:rFonts w:ascii="Arial" w:eastAsia="Arial" w:hAnsi="Arial" w:cs="Arial"/>
          <w:b/>
          <w:bCs/>
        </w:rPr>
        <w:t>8</w:t>
      </w:r>
      <w:r>
        <w:rPr>
          <w:rFonts w:ascii="Arial" w:eastAsia="Arial" w:hAnsi="Arial" w:cs="Arial"/>
        </w:rPr>
        <w:t xml:space="preserve"> matched </w:t>
      </w:r>
      <w:proofErr w:type="spellStart"/>
      <w:r>
        <w:rPr>
          <w:rFonts w:ascii="Arial" w:eastAsia="Arial" w:hAnsi="Arial" w:cs="Arial"/>
          <w:b/>
          <w:bCs/>
          <w:i/>
          <w:iCs/>
        </w:rPr>
        <w:t>Priestia</w:t>
      </w:r>
      <w:proofErr w:type="spellEnd"/>
      <w:r>
        <w:rPr>
          <w:rFonts w:ascii="Arial" w:eastAsia="Arial" w:hAnsi="Arial" w:cs="Arial"/>
          <w:b/>
          <w:bCs/>
          <w:i/>
          <w:iCs/>
        </w:rPr>
        <w:t xml:space="preserve"> megaterium</w:t>
      </w:r>
      <w:r>
        <w:rPr>
          <w:rFonts w:ascii="Arial" w:eastAsia="Arial" w:hAnsi="Arial" w:cs="Arial"/>
        </w:rPr>
        <w:t xml:space="preserve"> (formerly called </w:t>
      </w:r>
      <w:r>
        <w:rPr>
          <w:rFonts w:ascii="Arial" w:eastAsia="Arial" w:hAnsi="Arial" w:cs="Arial"/>
          <w:i/>
          <w:iCs/>
        </w:rPr>
        <w:t>Bacillus megaterium</w:t>
      </w:r>
      <w:r>
        <w:rPr>
          <w:rFonts w:ascii="Arial" w:eastAsia="Arial" w:hAnsi="Arial" w:cs="Arial"/>
        </w:rPr>
        <w:t xml:space="preserve">) with approximately 99% query coverage and top alignment to the reference sequence, such as MZ424518.1. Isolate </w:t>
      </w:r>
      <w:r>
        <w:rPr>
          <w:rFonts w:ascii="Arial" w:eastAsia="Arial" w:hAnsi="Arial" w:cs="Arial"/>
          <w:b/>
          <w:bCs/>
        </w:rPr>
        <w:t>9</w:t>
      </w:r>
      <w:r>
        <w:rPr>
          <w:rFonts w:ascii="Arial" w:eastAsia="Arial" w:hAnsi="Arial" w:cs="Arial"/>
        </w:rPr>
        <w:t xml:space="preserve"> showed a top BLAST match with </w:t>
      </w:r>
      <w:proofErr w:type="spellStart"/>
      <w:r>
        <w:rPr>
          <w:rFonts w:ascii="Arial" w:eastAsia="Arial" w:hAnsi="Arial" w:cs="Arial"/>
          <w:b/>
          <w:bCs/>
          <w:i/>
          <w:iCs/>
        </w:rPr>
        <w:t>Pantoea</w:t>
      </w:r>
      <w:proofErr w:type="spellEnd"/>
      <w:r>
        <w:rPr>
          <w:rFonts w:ascii="Arial" w:eastAsia="Arial" w:hAnsi="Arial" w:cs="Arial"/>
          <w:b/>
          <w:bCs/>
          <w:i/>
          <w:iCs/>
        </w:rPr>
        <w:t xml:space="preserve"> </w:t>
      </w:r>
      <w:proofErr w:type="spellStart"/>
      <w:r>
        <w:rPr>
          <w:rFonts w:ascii="Arial" w:eastAsia="Arial" w:hAnsi="Arial" w:cs="Arial"/>
          <w:b/>
          <w:bCs/>
          <w:i/>
          <w:iCs/>
        </w:rPr>
        <w:t>dispersa</w:t>
      </w:r>
      <w:proofErr w:type="spellEnd"/>
      <w:r>
        <w:rPr>
          <w:rFonts w:ascii="Arial" w:eastAsia="Arial" w:hAnsi="Arial" w:cs="Arial"/>
          <w:b/>
          <w:bCs/>
        </w:rPr>
        <w:t xml:space="preserve"> </w:t>
      </w:r>
      <w:r>
        <w:rPr>
          <w:rFonts w:ascii="Arial" w:eastAsia="Arial" w:hAnsi="Arial" w:cs="Arial"/>
        </w:rPr>
        <w:t xml:space="preserve">with 100% query coverage and top alignment to the reference sequences MN428681.1 &amp; MZ768656.1. The isolate </w:t>
      </w:r>
      <w:r>
        <w:rPr>
          <w:rFonts w:ascii="Arial" w:eastAsia="Arial" w:hAnsi="Arial" w:cs="Arial"/>
          <w:b/>
          <w:bCs/>
        </w:rPr>
        <w:t>11</w:t>
      </w:r>
      <w:r>
        <w:rPr>
          <w:rFonts w:ascii="Arial" w:eastAsia="Arial" w:hAnsi="Arial" w:cs="Arial"/>
        </w:rPr>
        <w:t xml:space="preserve"> corresponded to the </w:t>
      </w:r>
      <w:r>
        <w:rPr>
          <w:rFonts w:ascii="Arial" w:eastAsia="Arial" w:hAnsi="Arial" w:cs="Arial"/>
          <w:b/>
          <w:bCs/>
          <w:i/>
          <w:iCs/>
        </w:rPr>
        <w:t>Bacillus cereus</w:t>
      </w:r>
      <w:r>
        <w:rPr>
          <w:rFonts w:ascii="Arial" w:eastAsia="Arial" w:hAnsi="Arial" w:cs="Arial"/>
        </w:rPr>
        <w:t xml:space="preserve"> group with 100% query coverage and top alignment to the reference sequence, such as CP044978.1 &amp; OQ40573.1. Thus, the molecular analysis of the homogenate of </w:t>
      </w:r>
      <w:r>
        <w:rPr>
          <w:rFonts w:ascii="Arial" w:eastAsia="Arial" w:hAnsi="Arial" w:cs="Arial"/>
          <w:i/>
          <w:iCs/>
        </w:rPr>
        <w:t xml:space="preserve">A. </w:t>
      </w:r>
      <w:proofErr w:type="spellStart"/>
      <w:r>
        <w:rPr>
          <w:rFonts w:ascii="Arial" w:eastAsia="Arial" w:hAnsi="Arial" w:cs="Arial"/>
          <w:i/>
          <w:iCs/>
        </w:rPr>
        <w:t>russeolus</w:t>
      </w:r>
      <w:proofErr w:type="spellEnd"/>
      <w:r>
        <w:rPr>
          <w:rFonts w:ascii="Arial" w:eastAsia="Arial" w:hAnsi="Arial" w:cs="Arial"/>
          <w:i/>
          <w:iCs/>
        </w:rPr>
        <w:t xml:space="preserve"> </w:t>
      </w:r>
      <w:proofErr w:type="spellStart"/>
      <w:r>
        <w:rPr>
          <w:rFonts w:ascii="Arial" w:eastAsia="Arial" w:hAnsi="Arial" w:cs="Arial"/>
          <w:i/>
          <w:iCs/>
        </w:rPr>
        <w:t>russeolus</w:t>
      </w:r>
      <w:proofErr w:type="spellEnd"/>
      <w:r>
        <w:rPr>
          <w:rFonts w:ascii="Arial" w:eastAsia="Arial" w:hAnsi="Arial" w:cs="Arial"/>
        </w:rPr>
        <w:t xml:space="preserve"> confirmed the presence of three distinct cultivable bacterial taxa associated with it.</w:t>
      </w:r>
    </w:p>
    <w:p w14:paraId="63720B62" w14:textId="77777777" w:rsidR="00061B90" w:rsidRDefault="002D1E17">
      <w:pPr>
        <w:keepNext/>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The bacterial taxon isolated in the present study is known to have roles in the degradation of </w:t>
      </w:r>
      <w:r>
        <w:rPr>
          <w:rFonts w:ascii="Arial" w:eastAsia="Arial" w:hAnsi="Arial" w:cs="Arial"/>
        </w:rPr>
        <w:t>plant-</w:t>
      </w:r>
      <w:r>
        <w:rPr>
          <w:rFonts w:ascii="Arial" w:eastAsia="Arial" w:hAnsi="Arial" w:cs="Arial"/>
          <w:color w:val="000000"/>
          <w:sz w:val="20"/>
        </w:rPr>
        <w:t xml:space="preserve"> and fungal-derived polymers in soil. The earlier reports suggest that </w:t>
      </w:r>
      <w:proofErr w:type="spellStart"/>
      <w:r>
        <w:rPr>
          <w:rFonts w:ascii="Arial" w:eastAsia="Arial" w:hAnsi="Arial" w:cs="Arial"/>
          <w:i/>
          <w:iCs/>
          <w:color w:val="000000"/>
          <w:sz w:val="20"/>
        </w:rPr>
        <w:t>Priestia</w:t>
      </w:r>
      <w:proofErr w:type="spellEnd"/>
      <w:r>
        <w:rPr>
          <w:rFonts w:ascii="Arial" w:eastAsia="Arial" w:hAnsi="Arial" w:cs="Arial"/>
          <w:color w:val="000000"/>
          <w:sz w:val="20"/>
        </w:rPr>
        <w:t xml:space="preserve"> megaterium is involved in the production of cellulolytic and amylolytic enzymes (Ray </w:t>
      </w:r>
      <w:r>
        <w:rPr>
          <w:rFonts w:ascii="Arial" w:eastAsia="Arial" w:hAnsi="Arial" w:cs="Arial"/>
          <w:i/>
          <w:iCs/>
          <w:color w:val="000000"/>
          <w:sz w:val="20"/>
        </w:rPr>
        <w:t>et al.,</w:t>
      </w:r>
      <w:r>
        <w:rPr>
          <w:rFonts w:ascii="Arial" w:eastAsia="Arial" w:hAnsi="Arial" w:cs="Arial"/>
          <w:color w:val="000000"/>
          <w:sz w:val="20"/>
        </w:rPr>
        <w:t xml:space="preserve"> 2012), members of the </w:t>
      </w:r>
      <w:r>
        <w:rPr>
          <w:rFonts w:ascii="Arial" w:eastAsia="Arial" w:hAnsi="Arial" w:cs="Arial"/>
          <w:i/>
          <w:iCs/>
          <w:color w:val="000000"/>
          <w:sz w:val="20"/>
        </w:rPr>
        <w:t>Bacillus cereus</w:t>
      </w:r>
      <w:r>
        <w:rPr>
          <w:rFonts w:ascii="Arial" w:eastAsia="Arial" w:hAnsi="Arial" w:cs="Arial"/>
          <w:color w:val="000000"/>
          <w:sz w:val="20"/>
        </w:rPr>
        <w:t xml:space="preserve"> group are widely known for their proteolytic and chitinolytic potential (Kaur et al., 2019), and </w:t>
      </w:r>
      <w:proofErr w:type="spellStart"/>
      <w:r>
        <w:rPr>
          <w:rFonts w:ascii="Arial" w:eastAsia="Arial" w:hAnsi="Arial" w:cs="Arial"/>
          <w:i/>
          <w:iCs/>
          <w:color w:val="000000"/>
          <w:sz w:val="20"/>
        </w:rPr>
        <w:t>Pantoea</w:t>
      </w:r>
      <w:proofErr w:type="spellEnd"/>
      <w:r>
        <w:rPr>
          <w:rFonts w:ascii="Arial" w:eastAsia="Arial" w:hAnsi="Arial" w:cs="Arial"/>
          <w:i/>
          <w:iCs/>
          <w:color w:val="000000"/>
          <w:sz w:val="20"/>
        </w:rPr>
        <w:t xml:space="preserve"> </w:t>
      </w:r>
      <w:proofErr w:type="spellStart"/>
      <w:r>
        <w:rPr>
          <w:rFonts w:ascii="Arial" w:eastAsia="Arial" w:hAnsi="Arial" w:cs="Arial"/>
          <w:i/>
          <w:iCs/>
          <w:color w:val="000000"/>
          <w:sz w:val="20"/>
        </w:rPr>
        <w:t>dispersa</w:t>
      </w:r>
      <w:proofErr w:type="spellEnd"/>
      <w:r>
        <w:rPr>
          <w:rFonts w:ascii="Arial" w:eastAsia="Arial" w:hAnsi="Arial" w:cs="Arial"/>
          <w:color w:val="000000"/>
          <w:sz w:val="20"/>
        </w:rPr>
        <w:t xml:space="preserve"> </w:t>
      </w:r>
      <w:r>
        <w:rPr>
          <w:rFonts w:ascii="Arial" w:eastAsia="Arial" w:hAnsi="Arial" w:cs="Arial"/>
        </w:rPr>
        <w:t>contributes</w:t>
      </w:r>
      <w:r>
        <w:rPr>
          <w:rFonts w:ascii="Arial" w:eastAsia="Arial" w:hAnsi="Arial" w:cs="Arial"/>
          <w:color w:val="000000"/>
          <w:sz w:val="20"/>
        </w:rPr>
        <w:t xml:space="preserve"> to lignocellulose transformation and nitrogen cycling in detrital habitats (Walterson &amp; </w:t>
      </w:r>
      <w:proofErr w:type="spellStart"/>
      <w:r>
        <w:rPr>
          <w:rFonts w:ascii="Arial" w:eastAsia="Arial" w:hAnsi="Arial" w:cs="Arial"/>
          <w:color w:val="000000"/>
          <w:sz w:val="20"/>
        </w:rPr>
        <w:t>Stavrinides</w:t>
      </w:r>
      <w:proofErr w:type="spellEnd"/>
      <w:r>
        <w:rPr>
          <w:rFonts w:ascii="Arial" w:eastAsia="Arial" w:hAnsi="Arial" w:cs="Arial"/>
          <w:color w:val="000000"/>
          <w:sz w:val="20"/>
        </w:rPr>
        <w:t>, 2015). The presence of such bacterial taxa may help oribatid mites in the digestion of complex organic polymers in their diet. This mentions a functional association between the mite and its gut microbiota.</w:t>
      </w:r>
      <w:r>
        <w:rPr>
          <w:b/>
          <w:bCs/>
          <w:smallCaps/>
          <w:color w:val="000000"/>
          <w:sz w:val="22"/>
          <w:szCs w:val="22"/>
        </w:rPr>
        <w:t xml:space="preserve"> </w:t>
      </w:r>
      <w:r>
        <w:rPr>
          <w:rFonts w:ascii="Arial" w:eastAsia="Arial" w:hAnsi="Arial" w:cs="Arial"/>
          <w:color w:val="000000"/>
          <w:sz w:val="20"/>
        </w:rPr>
        <w:t xml:space="preserve">The microbial associations within the digestive tracts of oribatids have been </w:t>
      </w:r>
      <w:r>
        <w:rPr>
          <w:rFonts w:ascii="Arial" w:eastAsia="Arial" w:hAnsi="Arial" w:cs="Arial"/>
          <w:color w:val="000000"/>
          <w:sz w:val="20"/>
        </w:rPr>
        <w:lastRenderedPageBreak/>
        <w:t xml:space="preserve">documented in previous studies (Renker </w:t>
      </w:r>
      <w:r>
        <w:rPr>
          <w:rFonts w:ascii="Arial" w:eastAsia="Arial" w:hAnsi="Arial" w:cs="Arial"/>
          <w:i/>
          <w:iCs/>
          <w:color w:val="000000"/>
          <w:sz w:val="20"/>
        </w:rPr>
        <w:t>et al.,</w:t>
      </w:r>
      <w:r>
        <w:rPr>
          <w:rFonts w:ascii="Arial" w:eastAsia="Arial" w:hAnsi="Arial" w:cs="Arial"/>
          <w:color w:val="000000"/>
          <w:sz w:val="20"/>
        </w:rPr>
        <w:t xml:space="preserve"> 2005; Eriksson &amp; </w:t>
      </w:r>
      <w:proofErr w:type="spellStart"/>
      <w:r>
        <w:rPr>
          <w:rFonts w:ascii="Arial" w:eastAsia="Arial" w:hAnsi="Arial" w:cs="Arial"/>
          <w:color w:val="000000"/>
          <w:sz w:val="20"/>
        </w:rPr>
        <w:t>Ahrén</w:t>
      </w:r>
      <w:proofErr w:type="spellEnd"/>
      <w:r>
        <w:rPr>
          <w:rFonts w:ascii="Arial" w:eastAsia="Arial" w:hAnsi="Arial" w:cs="Arial"/>
          <w:color w:val="000000"/>
          <w:sz w:val="20"/>
        </w:rPr>
        <w:t xml:space="preserve">, 2011). Wolf and Rockett (1981) also managed to isolate </w:t>
      </w:r>
      <w:r>
        <w:rPr>
          <w:rFonts w:ascii="Arial" w:eastAsia="Arial" w:hAnsi="Arial" w:cs="Arial"/>
          <w:i/>
          <w:iCs/>
          <w:color w:val="000000"/>
          <w:sz w:val="20"/>
        </w:rPr>
        <w:t>Bacillus, Pseudomonas</w:t>
      </w:r>
      <w:r>
        <w:rPr>
          <w:rFonts w:ascii="Arial" w:eastAsia="Arial" w:hAnsi="Arial" w:cs="Arial"/>
          <w:color w:val="000000"/>
          <w:sz w:val="20"/>
        </w:rPr>
        <w:t xml:space="preserve">, and coryneform bacteria from the guts of mites through culture-based methods, indicating that bacterial groups from the soil are often part of the oribatid microbiome. More recent molecular studies have further validated that the gut communities of oribatids are specific to their taxa and primarily consist of microbial groups that play a role in the breakdown of organic matter (Bluhm </w:t>
      </w:r>
      <w:r>
        <w:rPr>
          <w:rFonts w:ascii="Arial" w:eastAsia="Arial" w:hAnsi="Arial" w:cs="Arial"/>
          <w:i/>
          <w:iCs/>
          <w:color w:val="000000"/>
          <w:sz w:val="20"/>
        </w:rPr>
        <w:t>et al.,</w:t>
      </w:r>
      <w:r>
        <w:rPr>
          <w:rFonts w:ascii="Arial" w:eastAsia="Arial" w:hAnsi="Arial" w:cs="Arial"/>
          <w:color w:val="000000"/>
          <w:sz w:val="20"/>
        </w:rPr>
        <w:t xml:space="preserve"> 2019; Gong </w:t>
      </w:r>
      <w:r>
        <w:rPr>
          <w:rFonts w:ascii="Arial" w:eastAsia="Arial" w:hAnsi="Arial" w:cs="Arial"/>
          <w:i/>
          <w:iCs/>
          <w:color w:val="000000"/>
          <w:sz w:val="20"/>
        </w:rPr>
        <w:t>et al.,</w:t>
      </w:r>
      <w:r>
        <w:rPr>
          <w:rFonts w:ascii="Arial" w:eastAsia="Arial" w:hAnsi="Arial" w:cs="Arial"/>
          <w:color w:val="000000"/>
          <w:sz w:val="20"/>
        </w:rPr>
        <w:t xml:space="preserve"> 2022). The bacterial taxa found in the current study align well with these previous findings, particularly the consistent identification of </w:t>
      </w:r>
      <w:r>
        <w:rPr>
          <w:rFonts w:ascii="Arial" w:eastAsia="Arial" w:hAnsi="Arial" w:cs="Arial"/>
          <w:i/>
          <w:iCs/>
          <w:color w:val="000000"/>
          <w:sz w:val="20"/>
        </w:rPr>
        <w:t>Bacillus/</w:t>
      </w:r>
      <w:proofErr w:type="spellStart"/>
      <w:r>
        <w:rPr>
          <w:rFonts w:ascii="Arial" w:eastAsia="Arial" w:hAnsi="Arial" w:cs="Arial"/>
          <w:i/>
          <w:iCs/>
          <w:color w:val="000000"/>
          <w:sz w:val="20"/>
        </w:rPr>
        <w:t>Priestia</w:t>
      </w:r>
      <w:proofErr w:type="spellEnd"/>
      <w:r>
        <w:rPr>
          <w:rFonts w:ascii="Arial" w:eastAsia="Arial" w:hAnsi="Arial" w:cs="Arial"/>
          <w:color w:val="000000"/>
          <w:sz w:val="20"/>
        </w:rPr>
        <w:t xml:space="preserve"> in the digestive systems of oribatids.</w:t>
      </w:r>
      <w:r>
        <w:rPr>
          <w:b/>
          <w:bCs/>
          <w:smallCaps/>
          <w:color w:val="000000"/>
          <w:sz w:val="22"/>
          <w:szCs w:val="22"/>
        </w:rPr>
        <w:t xml:space="preserve"> </w:t>
      </w:r>
    </w:p>
    <w:p w14:paraId="292BAB83" w14:textId="77777777" w:rsidR="00061B90" w:rsidRDefault="00061B90">
      <w:pPr>
        <w:keepNext/>
        <w:pBdr>
          <w:top w:val="nil"/>
          <w:left w:val="nil"/>
          <w:bottom w:val="nil"/>
          <w:right w:val="nil"/>
          <w:between w:val="nil"/>
        </w:pBdr>
        <w:rPr>
          <w:rFonts w:ascii="Arial" w:eastAsia="Arial" w:hAnsi="Arial" w:cs="Arial"/>
          <w:b/>
          <w:bCs/>
          <w:color w:val="000000"/>
          <w:sz w:val="20"/>
        </w:rPr>
      </w:pPr>
    </w:p>
    <w:p w14:paraId="0B5F8334" w14:textId="77777777" w:rsidR="00061B90" w:rsidRDefault="00061B90">
      <w:pPr>
        <w:keepNext/>
        <w:pBdr>
          <w:top w:val="nil"/>
          <w:left w:val="nil"/>
          <w:bottom w:val="nil"/>
          <w:right w:val="nil"/>
          <w:between w:val="nil"/>
        </w:pBdr>
        <w:rPr>
          <w:rFonts w:ascii="Arial" w:eastAsia="Arial" w:hAnsi="Arial" w:cs="Arial"/>
          <w:i/>
          <w:iCs/>
          <w:smallCaps/>
          <w:color w:val="000000"/>
          <w:sz w:val="20"/>
        </w:rPr>
      </w:pPr>
    </w:p>
    <w:p w14:paraId="56749588" w14:textId="77777777" w:rsidR="00C54CC5" w:rsidRPr="00C54CC5" w:rsidRDefault="002D1E17" w:rsidP="00C54CC5">
      <w:pPr>
        <w:spacing w:before="100" w:beforeAutospacing="1" w:after="100" w:afterAutospacing="1"/>
        <w:outlineLvl w:val="1"/>
        <w:rPr>
          <w:rFonts w:ascii="Times New Roman" w:eastAsia="Times New Roman" w:hAnsi="Times New Roman" w:cs="Times New Roman"/>
          <w:b/>
          <w:bCs/>
          <w:sz w:val="36"/>
          <w:szCs w:val="36"/>
          <w:lang w:val="en-US" w:eastAsia="en-US"/>
        </w:rPr>
      </w:pPr>
      <w:r>
        <w:rPr>
          <w:rFonts w:ascii="Arial" w:eastAsia="Arial" w:hAnsi="Arial" w:cs="Arial"/>
          <w:b/>
          <w:bCs/>
          <w:smallCaps/>
          <w:color w:val="000000"/>
          <w:sz w:val="22"/>
          <w:szCs w:val="22"/>
        </w:rPr>
        <w:t xml:space="preserve">4. </w:t>
      </w:r>
      <w:r w:rsidR="00C54CC5" w:rsidRPr="00C54CC5">
        <w:rPr>
          <w:rFonts w:ascii="Times New Roman" w:eastAsia="Times New Roman" w:hAnsi="Times New Roman" w:cs="Times New Roman"/>
          <w:b/>
          <w:bCs/>
          <w:sz w:val="36"/>
          <w:szCs w:val="36"/>
          <w:lang w:val="en-US" w:eastAsia="en-US"/>
        </w:rPr>
        <w:t>Conclusion</w:t>
      </w:r>
    </w:p>
    <w:p w14:paraId="5199696F" w14:textId="77777777" w:rsidR="00C54CC5" w:rsidRPr="00C54CC5" w:rsidRDefault="00C54CC5" w:rsidP="00C54CC5">
      <w:pPr>
        <w:spacing w:before="100" w:beforeAutospacing="1" w:after="100" w:afterAutospacing="1"/>
        <w:jc w:val="left"/>
        <w:rPr>
          <w:rFonts w:ascii="Times New Roman" w:eastAsia="Times New Roman" w:hAnsi="Times New Roman" w:cs="Times New Roman"/>
          <w:sz w:val="24"/>
          <w:szCs w:val="24"/>
          <w:lang w:val="en-US" w:eastAsia="en-US"/>
        </w:rPr>
      </w:pPr>
      <w:r w:rsidRPr="00C54CC5">
        <w:rPr>
          <w:rFonts w:ascii="Times New Roman" w:eastAsia="Times New Roman" w:hAnsi="Times New Roman" w:cs="Times New Roman"/>
          <w:sz w:val="24"/>
          <w:szCs w:val="24"/>
          <w:lang w:val="en-US" w:eastAsia="en-US"/>
        </w:rPr>
        <w:t>Six morphologically distinct cultivable bacterial isolates were recovered from pooled, surface-</w:t>
      </w:r>
      <w:proofErr w:type="spellStart"/>
      <w:r w:rsidRPr="00C54CC5">
        <w:rPr>
          <w:rFonts w:ascii="Times New Roman" w:eastAsia="Times New Roman" w:hAnsi="Times New Roman" w:cs="Times New Roman"/>
          <w:sz w:val="24"/>
          <w:szCs w:val="24"/>
          <w:lang w:val="en-US" w:eastAsia="en-US"/>
        </w:rPr>
        <w:t>sterilised</w:t>
      </w:r>
      <w:proofErr w:type="spellEnd"/>
      <w:r w:rsidRPr="00C54CC5">
        <w:rPr>
          <w:rFonts w:ascii="Times New Roman" w:eastAsia="Times New Roman" w:hAnsi="Times New Roman" w:cs="Times New Roman"/>
          <w:sz w:val="24"/>
          <w:szCs w:val="24"/>
          <w:lang w:val="en-US" w:eastAsia="en-US"/>
        </w:rPr>
        <w:t xml:space="preserve"> adults of </w:t>
      </w:r>
      <w:proofErr w:type="spellStart"/>
      <w:r w:rsidRPr="00C54CC5">
        <w:rPr>
          <w:rFonts w:ascii="Times New Roman" w:eastAsia="Times New Roman" w:hAnsi="Times New Roman" w:cs="Times New Roman"/>
          <w:i/>
          <w:iCs/>
          <w:sz w:val="24"/>
          <w:szCs w:val="24"/>
          <w:lang w:val="en-US" w:eastAsia="en-US"/>
        </w:rPr>
        <w:t>Allonothrus</w:t>
      </w:r>
      <w:proofErr w:type="spellEnd"/>
      <w:r w:rsidRPr="00C54CC5">
        <w:rPr>
          <w:rFonts w:ascii="Times New Roman" w:eastAsia="Times New Roman" w:hAnsi="Times New Roman" w:cs="Times New Roman"/>
          <w:i/>
          <w:iCs/>
          <w:sz w:val="24"/>
          <w:szCs w:val="24"/>
          <w:lang w:val="en-US" w:eastAsia="en-US"/>
        </w:rPr>
        <w:t xml:space="preserve"> </w:t>
      </w:r>
      <w:proofErr w:type="spellStart"/>
      <w:r w:rsidRPr="00C54CC5">
        <w:rPr>
          <w:rFonts w:ascii="Times New Roman" w:eastAsia="Times New Roman" w:hAnsi="Times New Roman" w:cs="Times New Roman"/>
          <w:i/>
          <w:iCs/>
          <w:sz w:val="24"/>
          <w:szCs w:val="24"/>
          <w:lang w:val="en-US" w:eastAsia="en-US"/>
        </w:rPr>
        <w:t>russeolus</w:t>
      </w:r>
      <w:proofErr w:type="spellEnd"/>
      <w:r w:rsidRPr="00C54CC5">
        <w:rPr>
          <w:rFonts w:ascii="Times New Roman" w:eastAsia="Times New Roman" w:hAnsi="Times New Roman" w:cs="Times New Roman"/>
          <w:i/>
          <w:iCs/>
          <w:sz w:val="24"/>
          <w:szCs w:val="24"/>
          <w:lang w:val="en-US" w:eastAsia="en-US"/>
        </w:rPr>
        <w:t xml:space="preserve"> </w:t>
      </w:r>
      <w:proofErr w:type="spellStart"/>
      <w:r w:rsidRPr="00C54CC5">
        <w:rPr>
          <w:rFonts w:ascii="Times New Roman" w:eastAsia="Times New Roman" w:hAnsi="Times New Roman" w:cs="Times New Roman"/>
          <w:i/>
          <w:iCs/>
          <w:sz w:val="24"/>
          <w:szCs w:val="24"/>
          <w:lang w:val="en-US" w:eastAsia="en-US"/>
        </w:rPr>
        <w:t>russeolus</w:t>
      </w:r>
      <w:proofErr w:type="spellEnd"/>
      <w:r w:rsidRPr="00C54CC5">
        <w:rPr>
          <w:rFonts w:ascii="Times New Roman" w:eastAsia="Times New Roman" w:hAnsi="Times New Roman" w:cs="Times New Roman"/>
          <w:sz w:val="24"/>
          <w:szCs w:val="24"/>
          <w:lang w:val="en-US" w:eastAsia="en-US"/>
        </w:rPr>
        <w:t xml:space="preserve">. Five isolates showed qualitative cellulose hydrolysis on carboxymethyl cellulose agar. Partial 16S rRNA gene sequencing identified three isolates as </w:t>
      </w:r>
      <w:proofErr w:type="spellStart"/>
      <w:r w:rsidRPr="00C54CC5">
        <w:rPr>
          <w:rFonts w:ascii="Times New Roman" w:eastAsia="Times New Roman" w:hAnsi="Times New Roman" w:cs="Times New Roman"/>
          <w:i/>
          <w:iCs/>
          <w:sz w:val="24"/>
          <w:szCs w:val="24"/>
          <w:lang w:val="en-US" w:eastAsia="en-US"/>
        </w:rPr>
        <w:t>Priestia</w:t>
      </w:r>
      <w:proofErr w:type="spellEnd"/>
      <w:r w:rsidRPr="00C54CC5">
        <w:rPr>
          <w:rFonts w:ascii="Times New Roman" w:eastAsia="Times New Roman" w:hAnsi="Times New Roman" w:cs="Times New Roman"/>
          <w:i/>
          <w:iCs/>
          <w:sz w:val="24"/>
          <w:szCs w:val="24"/>
          <w:lang w:val="en-US" w:eastAsia="en-US"/>
        </w:rPr>
        <w:t xml:space="preserve"> megaterium</w:t>
      </w:r>
      <w:r w:rsidRPr="00C54CC5">
        <w:rPr>
          <w:rFonts w:ascii="Times New Roman" w:eastAsia="Times New Roman" w:hAnsi="Times New Roman" w:cs="Times New Roman"/>
          <w:sz w:val="24"/>
          <w:szCs w:val="24"/>
          <w:lang w:val="en-US" w:eastAsia="en-US"/>
        </w:rPr>
        <w:t xml:space="preserve">, </w:t>
      </w:r>
      <w:proofErr w:type="spellStart"/>
      <w:r w:rsidRPr="00C54CC5">
        <w:rPr>
          <w:rFonts w:ascii="Times New Roman" w:eastAsia="Times New Roman" w:hAnsi="Times New Roman" w:cs="Times New Roman"/>
          <w:i/>
          <w:iCs/>
          <w:sz w:val="24"/>
          <w:szCs w:val="24"/>
          <w:lang w:val="en-US" w:eastAsia="en-US"/>
        </w:rPr>
        <w:t>Pantoea</w:t>
      </w:r>
      <w:proofErr w:type="spellEnd"/>
      <w:r w:rsidRPr="00C54CC5">
        <w:rPr>
          <w:rFonts w:ascii="Times New Roman" w:eastAsia="Times New Roman" w:hAnsi="Times New Roman" w:cs="Times New Roman"/>
          <w:i/>
          <w:iCs/>
          <w:sz w:val="24"/>
          <w:szCs w:val="24"/>
          <w:lang w:val="en-US" w:eastAsia="en-US"/>
        </w:rPr>
        <w:t xml:space="preserve"> </w:t>
      </w:r>
      <w:proofErr w:type="spellStart"/>
      <w:r w:rsidRPr="00C54CC5">
        <w:rPr>
          <w:rFonts w:ascii="Times New Roman" w:eastAsia="Times New Roman" w:hAnsi="Times New Roman" w:cs="Times New Roman"/>
          <w:i/>
          <w:iCs/>
          <w:sz w:val="24"/>
          <w:szCs w:val="24"/>
          <w:lang w:val="en-US" w:eastAsia="en-US"/>
        </w:rPr>
        <w:t>dispersa</w:t>
      </w:r>
      <w:proofErr w:type="spellEnd"/>
      <w:r w:rsidRPr="00C54CC5">
        <w:rPr>
          <w:rFonts w:ascii="Times New Roman" w:eastAsia="Times New Roman" w:hAnsi="Times New Roman" w:cs="Times New Roman"/>
          <w:sz w:val="24"/>
          <w:szCs w:val="24"/>
          <w:lang w:val="en-US" w:eastAsia="en-US"/>
        </w:rPr>
        <w:t xml:space="preserve">, and a member of the </w:t>
      </w:r>
      <w:r w:rsidRPr="00C54CC5">
        <w:rPr>
          <w:rFonts w:ascii="Times New Roman" w:eastAsia="Times New Roman" w:hAnsi="Times New Roman" w:cs="Times New Roman"/>
          <w:i/>
          <w:iCs/>
          <w:sz w:val="24"/>
          <w:szCs w:val="24"/>
          <w:lang w:val="en-US" w:eastAsia="en-US"/>
        </w:rPr>
        <w:t>Bacillus cereus</w:t>
      </w:r>
      <w:r w:rsidRPr="00C54CC5">
        <w:rPr>
          <w:rFonts w:ascii="Times New Roman" w:eastAsia="Times New Roman" w:hAnsi="Times New Roman" w:cs="Times New Roman"/>
          <w:sz w:val="24"/>
          <w:szCs w:val="24"/>
          <w:lang w:val="en-US" w:eastAsia="en-US"/>
        </w:rPr>
        <w:t xml:space="preserve"> group. The results demonstrate that cellulolytic bacteria can be cultured from </w:t>
      </w:r>
      <w:proofErr w:type="spellStart"/>
      <w:r w:rsidRPr="00C54CC5">
        <w:rPr>
          <w:rFonts w:ascii="Times New Roman" w:eastAsia="Times New Roman" w:hAnsi="Times New Roman" w:cs="Times New Roman"/>
          <w:sz w:val="24"/>
          <w:szCs w:val="24"/>
          <w:lang w:val="en-US" w:eastAsia="en-US"/>
        </w:rPr>
        <w:t>homogenised</w:t>
      </w:r>
      <w:proofErr w:type="spellEnd"/>
      <w:r w:rsidRPr="00C54CC5">
        <w:rPr>
          <w:rFonts w:ascii="Times New Roman" w:eastAsia="Times New Roman" w:hAnsi="Times New Roman" w:cs="Times New Roman"/>
          <w:sz w:val="24"/>
          <w:szCs w:val="24"/>
          <w:lang w:val="en-US" w:eastAsia="en-US"/>
        </w:rPr>
        <w:t xml:space="preserve"> mites under the experimental conditions used. However, the study does not establish whether these bacteria are stable gut residents or whether they contribute to cellulose digestion or decomposition in natural soil environments. The findings should therefore be regarded as preliminary baseline observations that support further replicated investigation using gut dissection, quantitative cellulase assays, sequence deposition, and culture-independent microbial analysis.</w:t>
      </w:r>
    </w:p>
    <w:p w14:paraId="056E97CD" w14:textId="77777777" w:rsidR="00C54CC5" w:rsidRPr="00C54CC5" w:rsidRDefault="00C54CC5" w:rsidP="00C54CC5">
      <w:pPr>
        <w:spacing w:before="100" w:beforeAutospacing="1" w:after="100" w:afterAutospacing="1"/>
        <w:jc w:val="left"/>
        <w:outlineLvl w:val="1"/>
        <w:rPr>
          <w:rFonts w:ascii="Times New Roman" w:eastAsia="Times New Roman" w:hAnsi="Times New Roman" w:cs="Times New Roman"/>
          <w:b/>
          <w:bCs/>
          <w:sz w:val="36"/>
          <w:szCs w:val="36"/>
          <w:lang w:val="en-US" w:eastAsia="en-US"/>
        </w:rPr>
      </w:pPr>
      <w:r w:rsidRPr="00C54CC5">
        <w:rPr>
          <w:rFonts w:ascii="Times New Roman" w:eastAsia="Times New Roman" w:hAnsi="Times New Roman" w:cs="Times New Roman"/>
          <w:b/>
          <w:bCs/>
          <w:sz w:val="36"/>
          <w:szCs w:val="36"/>
          <w:lang w:val="en-US" w:eastAsia="en-US"/>
        </w:rPr>
        <w:t>Limitations</w:t>
      </w:r>
    </w:p>
    <w:p w14:paraId="7EC24A18" w14:textId="77777777" w:rsidR="00C54CC5" w:rsidRPr="00C54CC5" w:rsidRDefault="00C54CC5" w:rsidP="00C54CC5">
      <w:pPr>
        <w:spacing w:before="100" w:beforeAutospacing="1" w:after="100" w:afterAutospacing="1"/>
        <w:jc w:val="left"/>
        <w:rPr>
          <w:rFonts w:ascii="Times New Roman" w:eastAsia="Times New Roman" w:hAnsi="Times New Roman" w:cs="Times New Roman"/>
          <w:sz w:val="24"/>
          <w:szCs w:val="24"/>
          <w:lang w:val="en-US" w:eastAsia="en-US"/>
        </w:rPr>
      </w:pPr>
      <w:r w:rsidRPr="00C54CC5">
        <w:rPr>
          <w:rFonts w:ascii="Times New Roman" w:eastAsia="Times New Roman" w:hAnsi="Times New Roman" w:cs="Times New Roman"/>
          <w:sz w:val="24"/>
          <w:szCs w:val="24"/>
          <w:lang w:val="en-US" w:eastAsia="en-US"/>
        </w:rPr>
        <w:t xml:space="preserve">The study used a single pooled sample of 20 mites and did not include independent biological replicates. Whole mites were </w:t>
      </w:r>
      <w:proofErr w:type="spellStart"/>
      <w:r w:rsidRPr="00C54CC5">
        <w:rPr>
          <w:rFonts w:ascii="Times New Roman" w:eastAsia="Times New Roman" w:hAnsi="Times New Roman" w:cs="Times New Roman"/>
          <w:sz w:val="24"/>
          <w:szCs w:val="24"/>
          <w:lang w:val="en-US" w:eastAsia="en-US"/>
        </w:rPr>
        <w:t>homogenised</w:t>
      </w:r>
      <w:proofErr w:type="spellEnd"/>
      <w:r w:rsidRPr="00C54CC5">
        <w:rPr>
          <w:rFonts w:ascii="Times New Roman" w:eastAsia="Times New Roman" w:hAnsi="Times New Roman" w:cs="Times New Roman"/>
          <w:sz w:val="24"/>
          <w:szCs w:val="24"/>
          <w:lang w:val="en-US" w:eastAsia="en-US"/>
        </w:rPr>
        <w:t xml:space="preserve"> without gut dissection, and final-rinse or body-imprint controls were not reported. Only nutrient agar and one incubation condition were used, restricting recovery to a small cultivable fraction. Cellulolytic activity was assessed qualitatively without replicated zone measurements or enzyme quantification. Only three of six isolates were sequenced, and no newly generated sequence accession numbers were provided. These limitations prevent conclusions concerning bacterial prevalence, gut </w:t>
      </w:r>
      <w:proofErr w:type="spellStart"/>
      <w:r w:rsidRPr="00C54CC5">
        <w:rPr>
          <w:rFonts w:ascii="Times New Roman" w:eastAsia="Times New Roman" w:hAnsi="Times New Roman" w:cs="Times New Roman"/>
          <w:sz w:val="24"/>
          <w:szCs w:val="24"/>
          <w:lang w:val="en-US" w:eastAsia="en-US"/>
        </w:rPr>
        <w:t>localisation</w:t>
      </w:r>
      <w:proofErr w:type="spellEnd"/>
      <w:r w:rsidRPr="00C54CC5">
        <w:rPr>
          <w:rFonts w:ascii="Times New Roman" w:eastAsia="Times New Roman" w:hAnsi="Times New Roman" w:cs="Times New Roman"/>
          <w:sz w:val="24"/>
          <w:szCs w:val="24"/>
          <w:lang w:val="en-US" w:eastAsia="en-US"/>
        </w:rPr>
        <w:t>, host benefit, or contribution to organic-matter decomposition.</w:t>
      </w:r>
    </w:p>
    <w:p w14:paraId="6AF33CC1" w14:textId="77777777" w:rsidR="00A017BE" w:rsidRPr="00A017BE" w:rsidRDefault="00A017BE" w:rsidP="00A017BE">
      <w:pPr>
        <w:jc w:val="left"/>
        <w:rPr>
          <w:rFonts w:ascii="Times New Roman" w:eastAsia="Calibri" w:hAnsi="Times New Roman" w:cs="Times New Roman"/>
          <w:b/>
          <w:sz w:val="22"/>
          <w:szCs w:val="22"/>
          <w:lang w:val="en-US" w:eastAsia="en-US"/>
        </w:rPr>
      </w:pPr>
      <w:r w:rsidRPr="00A017BE">
        <w:rPr>
          <w:rFonts w:ascii="Times New Roman" w:eastAsia="Calibri" w:hAnsi="Times New Roman" w:cs="Times New Roman"/>
          <w:b/>
          <w:sz w:val="22"/>
          <w:szCs w:val="22"/>
          <w:lang w:val="en-US" w:eastAsia="en-US"/>
        </w:rPr>
        <w:t>Declaration of AI Use</w:t>
      </w:r>
    </w:p>
    <w:p w14:paraId="106EA86F" w14:textId="77777777" w:rsidR="00A017BE" w:rsidRPr="00A017BE" w:rsidRDefault="00A017BE" w:rsidP="00A017BE">
      <w:pPr>
        <w:jc w:val="left"/>
        <w:rPr>
          <w:rFonts w:ascii="Times New Roman" w:eastAsia="Calibri" w:hAnsi="Times New Roman" w:cs="Times New Roman"/>
          <w:sz w:val="22"/>
          <w:szCs w:val="22"/>
          <w:lang w:val="en-US" w:eastAsia="en-US"/>
        </w:rPr>
      </w:pPr>
    </w:p>
    <w:p w14:paraId="00406898" w14:textId="77777777" w:rsidR="00A017BE" w:rsidRPr="00A017BE" w:rsidRDefault="00A017BE" w:rsidP="00A017BE">
      <w:pPr>
        <w:rPr>
          <w:rFonts w:ascii="Times New Roman" w:eastAsia="Calibri" w:hAnsi="Times New Roman" w:cs="Times New Roman"/>
          <w:sz w:val="22"/>
          <w:szCs w:val="22"/>
          <w:lang w:val="en-US" w:eastAsia="en-US"/>
        </w:rPr>
      </w:pPr>
      <w:r w:rsidRPr="00A017BE">
        <w:rPr>
          <w:rFonts w:ascii="Times New Roman" w:eastAsia="Calibri" w:hAnsi="Times New Roman" w:cs="Times New Roman"/>
          <w:sz w:val="22"/>
          <w:szCs w:val="22"/>
          <w:lang w:val="en-US" w:eastAsia="en-US"/>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w:t>
      </w:r>
      <w:r w:rsidRPr="00A017BE">
        <w:rPr>
          <w:rFonts w:ascii="Times New Roman" w:eastAsia="Calibri" w:hAnsi="Times New Roman" w:cs="Times New Roman"/>
          <w:sz w:val="22"/>
          <w:szCs w:val="22"/>
          <w:lang w:val="en-US" w:eastAsia="en-US"/>
        </w:rPr>
        <w:lastRenderedPageBreak/>
        <w:t>the author(s). All AI-assisted outputs, including content, references, and interpretations, were carefully reviewed, revised, verified, and approved by the author(s). The author(s) accept full responsibility for the accuracy, integrity, and final content of the manuscript.</w:t>
      </w:r>
    </w:p>
    <w:p w14:paraId="7EA16484" w14:textId="77777777" w:rsidR="00C54CC5" w:rsidRPr="00C54CC5" w:rsidRDefault="00C54CC5" w:rsidP="00C54CC5">
      <w:pPr>
        <w:spacing w:after="200" w:line="276" w:lineRule="auto"/>
        <w:jc w:val="left"/>
        <w:rPr>
          <w:rFonts w:asciiTheme="minorHAnsi" w:eastAsiaTheme="minorHAnsi" w:hAnsiTheme="minorHAnsi" w:cstheme="minorBidi"/>
          <w:sz w:val="22"/>
          <w:szCs w:val="22"/>
          <w:lang w:val="en-GB" w:eastAsia="en-US"/>
          <w14:ligatures w14:val="standardContextual"/>
        </w:rPr>
      </w:pPr>
    </w:p>
    <w:p w14:paraId="31F210E4" w14:textId="109A0814" w:rsidR="00061B90" w:rsidRDefault="00061B90" w:rsidP="00C54CC5">
      <w:pPr>
        <w:keepNext/>
        <w:pBdr>
          <w:top w:val="nil"/>
          <w:left w:val="nil"/>
          <w:bottom w:val="nil"/>
          <w:right w:val="nil"/>
          <w:between w:val="nil"/>
        </w:pBdr>
        <w:rPr>
          <w:rFonts w:ascii="Arial" w:eastAsia="Arial" w:hAnsi="Arial" w:cs="Arial"/>
          <w:b/>
          <w:bCs/>
          <w:smallCaps/>
          <w:color w:val="000000"/>
          <w:sz w:val="22"/>
          <w:szCs w:val="22"/>
        </w:rPr>
      </w:pPr>
    </w:p>
    <w:p w14:paraId="6590D1D0" w14:textId="77777777" w:rsidR="00346346" w:rsidRDefault="00346346">
      <w:pPr>
        <w:keepNext/>
        <w:pBdr>
          <w:top w:val="nil"/>
          <w:left w:val="nil"/>
          <w:bottom w:val="nil"/>
          <w:right w:val="nil"/>
          <w:between w:val="nil"/>
        </w:pBdr>
        <w:rPr>
          <w:rFonts w:ascii="Arial" w:eastAsia="Arial" w:hAnsi="Arial" w:cs="Arial"/>
          <w:color w:val="000000"/>
          <w:sz w:val="20"/>
          <w:u w:val="single"/>
        </w:rPr>
      </w:pPr>
    </w:p>
    <w:p w14:paraId="3CA4B6DD" w14:textId="77777777" w:rsidR="00346346" w:rsidRPr="00346346" w:rsidRDefault="00346346" w:rsidP="00346346">
      <w:pPr>
        <w:spacing w:after="200" w:line="276" w:lineRule="auto"/>
        <w:jc w:val="left"/>
        <w:rPr>
          <w:rFonts w:ascii="Arial" w:eastAsia="Times New Roman" w:hAnsi="Arial" w:cs="Arial"/>
          <w:b/>
          <w:bCs/>
          <w:sz w:val="22"/>
          <w:szCs w:val="22"/>
          <w:lang w:val="en-GB" w:eastAsia="en-GB"/>
        </w:rPr>
      </w:pPr>
      <w:r w:rsidRPr="00346346">
        <w:rPr>
          <w:rFonts w:ascii="Arial" w:eastAsia="Times New Roman" w:hAnsi="Arial" w:cs="Arial"/>
          <w:b/>
          <w:bCs/>
          <w:sz w:val="22"/>
          <w:szCs w:val="22"/>
          <w:lang w:val="en-GB" w:eastAsia="en-GB"/>
        </w:rPr>
        <w:t>COMPETING INTERESTS DISCLAIMER:</w:t>
      </w:r>
    </w:p>
    <w:p w14:paraId="1608051E" w14:textId="77777777" w:rsidR="00346346" w:rsidRPr="00346346" w:rsidRDefault="00346346" w:rsidP="00346346">
      <w:pPr>
        <w:spacing w:after="200" w:line="276" w:lineRule="auto"/>
        <w:jc w:val="left"/>
        <w:rPr>
          <w:rFonts w:ascii="Calibri" w:eastAsia="Times New Roman" w:hAnsi="Calibri" w:cs="Times New Roman"/>
          <w:sz w:val="22"/>
          <w:szCs w:val="22"/>
          <w:lang w:val="en-GB" w:eastAsia="en-GB"/>
        </w:rPr>
      </w:pPr>
      <w:r w:rsidRPr="00346346">
        <w:rPr>
          <w:rFonts w:ascii="Arial" w:eastAsia="Times New Roman" w:hAnsi="Arial" w:cs="Arial"/>
          <w:sz w:val="22"/>
          <w:szCs w:val="22"/>
          <w:lang w:val="en-GB" w:eastAsia="en-GB"/>
        </w:rPr>
        <w:t>Authors have declared that they have no known competing financial interests OR non-financial interests OR personal relationships that could have appeared to influence the work reported in this paper.</w:t>
      </w:r>
    </w:p>
    <w:p w14:paraId="1CCE1FC1" w14:textId="77777777" w:rsidR="00346346" w:rsidRDefault="00346346">
      <w:pPr>
        <w:keepNext/>
        <w:pBdr>
          <w:top w:val="nil"/>
          <w:left w:val="nil"/>
          <w:bottom w:val="nil"/>
          <w:right w:val="nil"/>
          <w:between w:val="nil"/>
        </w:pBdr>
        <w:rPr>
          <w:rFonts w:ascii="Arial" w:eastAsia="Arial" w:hAnsi="Arial" w:cs="Arial"/>
          <w:color w:val="000000"/>
          <w:sz w:val="20"/>
          <w:u w:val="single"/>
        </w:rPr>
      </w:pPr>
    </w:p>
    <w:p w14:paraId="5869720B" w14:textId="77777777" w:rsidR="00061B90" w:rsidRDefault="00061B90">
      <w:pPr>
        <w:keepNext/>
        <w:pBdr>
          <w:top w:val="nil"/>
          <w:left w:val="nil"/>
          <w:bottom w:val="nil"/>
          <w:right w:val="nil"/>
          <w:between w:val="nil"/>
        </w:pBdr>
        <w:rPr>
          <w:rFonts w:ascii="Arial" w:eastAsia="Arial" w:hAnsi="Arial" w:cs="Arial"/>
          <w:color w:val="000000"/>
          <w:sz w:val="20"/>
        </w:rPr>
      </w:pPr>
    </w:p>
    <w:p w14:paraId="6048EB42" w14:textId="77777777" w:rsidR="00061B90" w:rsidRDefault="00061B90">
      <w:pPr>
        <w:keepNext/>
        <w:pBdr>
          <w:top w:val="nil"/>
          <w:left w:val="nil"/>
          <w:bottom w:val="nil"/>
          <w:right w:val="nil"/>
          <w:between w:val="nil"/>
        </w:pBdr>
        <w:rPr>
          <w:rFonts w:ascii="Arial" w:eastAsia="Arial" w:hAnsi="Arial" w:cs="Arial"/>
          <w:b/>
          <w:bCs/>
          <w:smallCaps/>
          <w:color w:val="000000"/>
          <w:sz w:val="22"/>
          <w:szCs w:val="22"/>
        </w:rPr>
      </w:pPr>
    </w:p>
    <w:p w14:paraId="687625F4" w14:textId="77777777" w:rsidR="00061B90" w:rsidRDefault="002D1E17">
      <w:pPr>
        <w:keepNext/>
        <w:pBdr>
          <w:top w:val="nil"/>
          <w:left w:val="nil"/>
          <w:bottom w:val="nil"/>
          <w:right w:val="nil"/>
          <w:between w:val="nil"/>
        </w:pBdr>
        <w:rPr>
          <w:rFonts w:ascii="Arial" w:eastAsia="Arial" w:hAnsi="Arial" w:cs="Arial"/>
          <w:b/>
          <w:bCs/>
          <w:smallCaps/>
          <w:color w:val="000000"/>
          <w:sz w:val="22"/>
          <w:szCs w:val="22"/>
        </w:rPr>
      </w:pPr>
      <w:r>
        <w:rPr>
          <w:rFonts w:ascii="Arial" w:eastAsia="Arial" w:hAnsi="Arial" w:cs="Arial"/>
          <w:b/>
          <w:bCs/>
          <w:smallCaps/>
          <w:color w:val="000000"/>
          <w:sz w:val="22"/>
          <w:szCs w:val="22"/>
        </w:rPr>
        <w:t>References</w:t>
      </w:r>
    </w:p>
    <w:p w14:paraId="179AFFD3"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Norton, R.A. (1990) </w:t>
      </w:r>
      <w:proofErr w:type="spellStart"/>
      <w:r>
        <w:rPr>
          <w:rFonts w:ascii="Arial" w:eastAsia="Arial" w:hAnsi="Arial" w:cs="Arial"/>
          <w:color w:val="000000"/>
          <w:sz w:val="20"/>
        </w:rPr>
        <w:t>Acarina</w:t>
      </w:r>
      <w:proofErr w:type="spellEnd"/>
      <w:r>
        <w:rPr>
          <w:rFonts w:ascii="Arial" w:eastAsia="Arial" w:hAnsi="Arial" w:cs="Arial"/>
          <w:color w:val="000000"/>
          <w:sz w:val="20"/>
        </w:rPr>
        <w:t xml:space="preserve">, </w:t>
      </w:r>
      <w:proofErr w:type="spellStart"/>
      <w:r>
        <w:rPr>
          <w:rFonts w:ascii="Arial" w:eastAsia="Arial" w:hAnsi="Arial" w:cs="Arial"/>
          <w:color w:val="000000"/>
          <w:sz w:val="20"/>
        </w:rPr>
        <w:t>Oribatida</w:t>
      </w:r>
      <w:proofErr w:type="spellEnd"/>
      <w:r>
        <w:rPr>
          <w:rFonts w:ascii="Arial" w:eastAsia="Arial" w:hAnsi="Arial" w:cs="Arial"/>
          <w:color w:val="000000"/>
          <w:sz w:val="20"/>
        </w:rPr>
        <w:t xml:space="preserve">. In: </w:t>
      </w:r>
      <w:proofErr w:type="spellStart"/>
      <w:r>
        <w:rPr>
          <w:rFonts w:ascii="Arial" w:eastAsia="Arial" w:hAnsi="Arial" w:cs="Arial"/>
          <w:color w:val="000000"/>
          <w:sz w:val="20"/>
        </w:rPr>
        <w:t>Dindal</w:t>
      </w:r>
      <w:proofErr w:type="spellEnd"/>
      <w:r>
        <w:rPr>
          <w:rFonts w:ascii="Arial" w:eastAsia="Arial" w:hAnsi="Arial" w:cs="Arial"/>
          <w:color w:val="000000"/>
          <w:sz w:val="20"/>
        </w:rPr>
        <w:t>, D.L. (ed.) Soil Biology Guide. John Wiley &amp; Sons, Inc., New York, pp. 779–803.</w:t>
      </w:r>
    </w:p>
    <w:p w14:paraId="3054F0A2"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proofErr w:type="spellStart"/>
      <w:r>
        <w:rPr>
          <w:rFonts w:ascii="Arial" w:eastAsia="Arial" w:hAnsi="Arial" w:cs="Arial"/>
          <w:color w:val="000000"/>
          <w:sz w:val="20"/>
        </w:rPr>
        <w:t>Maraun</w:t>
      </w:r>
      <w:proofErr w:type="spellEnd"/>
      <w:r>
        <w:rPr>
          <w:rFonts w:ascii="Arial" w:eastAsia="Arial" w:hAnsi="Arial" w:cs="Arial"/>
          <w:color w:val="000000"/>
          <w:sz w:val="20"/>
        </w:rPr>
        <w:t xml:space="preserve">, M., &amp; Scheu, S. (2000). The structure of oribatid mite communities (Acari, </w:t>
      </w:r>
      <w:proofErr w:type="spellStart"/>
      <w:r>
        <w:rPr>
          <w:rFonts w:ascii="Arial" w:eastAsia="Arial" w:hAnsi="Arial" w:cs="Arial"/>
          <w:color w:val="000000"/>
          <w:sz w:val="20"/>
        </w:rPr>
        <w:t>Oribatida</w:t>
      </w:r>
      <w:proofErr w:type="spellEnd"/>
      <w:r>
        <w:rPr>
          <w:rFonts w:ascii="Arial" w:eastAsia="Arial" w:hAnsi="Arial" w:cs="Arial"/>
          <w:color w:val="000000"/>
          <w:sz w:val="20"/>
        </w:rPr>
        <w:t xml:space="preserve">): Patterns, mechanisms and implications for future research. </w:t>
      </w:r>
      <w:proofErr w:type="spellStart"/>
      <w:r>
        <w:rPr>
          <w:rFonts w:ascii="Arial" w:eastAsia="Arial" w:hAnsi="Arial" w:cs="Arial"/>
          <w:color w:val="000000"/>
          <w:sz w:val="20"/>
        </w:rPr>
        <w:t>Ecography</w:t>
      </w:r>
      <w:proofErr w:type="spellEnd"/>
      <w:r>
        <w:rPr>
          <w:rFonts w:ascii="Arial" w:eastAsia="Arial" w:hAnsi="Arial" w:cs="Arial"/>
          <w:color w:val="000000"/>
          <w:sz w:val="20"/>
        </w:rPr>
        <w:t xml:space="preserve">, 23(3), 374-382. </w:t>
      </w:r>
    </w:p>
    <w:p w14:paraId="45A04C6B"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Behan-Pelletier, V.M., &amp; Hill, S.B. (1978). Feeding biology of oribatid mites. Annual Review of Entomology, 23, 467-510.</w:t>
      </w:r>
    </w:p>
    <w:p w14:paraId="31A08F58"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Weigmann, G. (2006). </w:t>
      </w:r>
      <w:proofErr w:type="spellStart"/>
      <w:r>
        <w:rPr>
          <w:rFonts w:ascii="Arial" w:eastAsia="Arial" w:hAnsi="Arial" w:cs="Arial"/>
          <w:i/>
          <w:iCs/>
          <w:color w:val="000000"/>
          <w:sz w:val="20"/>
        </w:rPr>
        <w:t>Hornmilben</w:t>
      </w:r>
      <w:proofErr w:type="spellEnd"/>
      <w:r>
        <w:rPr>
          <w:rFonts w:ascii="Arial" w:eastAsia="Arial" w:hAnsi="Arial" w:cs="Arial"/>
          <w:i/>
          <w:iCs/>
          <w:color w:val="000000"/>
          <w:sz w:val="20"/>
        </w:rPr>
        <w:t xml:space="preserve"> (</w:t>
      </w:r>
      <w:proofErr w:type="spellStart"/>
      <w:r>
        <w:rPr>
          <w:rFonts w:ascii="Arial" w:eastAsia="Arial" w:hAnsi="Arial" w:cs="Arial"/>
          <w:i/>
          <w:iCs/>
          <w:color w:val="000000"/>
          <w:sz w:val="20"/>
        </w:rPr>
        <w:t>Oribatida</w:t>
      </w:r>
      <w:proofErr w:type="spellEnd"/>
      <w:r>
        <w:rPr>
          <w:rFonts w:ascii="Arial" w:eastAsia="Arial" w:hAnsi="Arial" w:cs="Arial"/>
          <w:i/>
          <w:iCs/>
          <w:color w:val="000000"/>
          <w:sz w:val="20"/>
        </w:rPr>
        <w:t>).</w:t>
      </w:r>
      <w:r>
        <w:rPr>
          <w:rFonts w:ascii="Arial" w:eastAsia="Arial" w:hAnsi="Arial" w:cs="Arial"/>
          <w:color w:val="000000"/>
          <w:sz w:val="20"/>
        </w:rPr>
        <w:t xml:space="preserve"> Die </w:t>
      </w:r>
      <w:proofErr w:type="spellStart"/>
      <w:r>
        <w:rPr>
          <w:rFonts w:ascii="Arial" w:eastAsia="Arial" w:hAnsi="Arial" w:cs="Arial"/>
          <w:color w:val="000000"/>
          <w:sz w:val="20"/>
        </w:rPr>
        <w:t>Tierwelt</w:t>
      </w:r>
      <w:proofErr w:type="spellEnd"/>
      <w:r>
        <w:rPr>
          <w:rFonts w:ascii="Arial" w:eastAsia="Arial" w:hAnsi="Arial" w:cs="Arial"/>
          <w:color w:val="000000"/>
          <w:sz w:val="20"/>
        </w:rPr>
        <w:t xml:space="preserve"> </w:t>
      </w:r>
      <w:proofErr w:type="spellStart"/>
      <w:r>
        <w:rPr>
          <w:rFonts w:ascii="Arial" w:eastAsia="Arial" w:hAnsi="Arial" w:cs="Arial"/>
          <w:color w:val="000000"/>
          <w:sz w:val="20"/>
        </w:rPr>
        <w:t>Deutschlands</w:t>
      </w:r>
      <w:proofErr w:type="spellEnd"/>
      <w:r>
        <w:rPr>
          <w:rFonts w:ascii="Arial" w:eastAsia="Arial" w:hAnsi="Arial" w:cs="Arial"/>
          <w:color w:val="000000"/>
          <w:sz w:val="20"/>
        </w:rPr>
        <w:t xml:space="preserve">, Vol. 76. Goecke &amp; Evers, </w:t>
      </w:r>
      <w:proofErr w:type="spellStart"/>
      <w:r>
        <w:rPr>
          <w:rFonts w:ascii="Arial" w:eastAsia="Arial" w:hAnsi="Arial" w:cs="Arial"/>
          <w:color w:val="000000"/>
          <w:sz w:val="20"/>
        </w:rPr>
        <w:t>Keltern</w:t>
      </w:r>
      <w:proofErr w:type="spellEnd"/>
      <w:r>
        <w:rPr>
          <w:rFonts w:ascii="Arial" w:eastAsia="Arial" w:hAnsi="Arial" w:cs="Arial"/>
          <w:color w:val="000000"/>
          <w:sz w:val="20"/>
        </w:rPr>
        <w:t>, Germany, 520 pp.</w:t>
      </w:r>
    </w:p>
    <w:p w14:paraId="77A80113"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Schatz, H. (2005). Diversity and global distribution of oribatid mites (Acari: </w:t>
      </w:r>
      <w:proofErr w:type="spellStart"/>
      <w:r>
        <w:rPr>
          <w:rFonts w:ascii="Arial" w:eastAsia="Arial" w:hAnsi="Arial" w:cs="Arial"/>
          <w:color w:val="000000"/>
          <w:sz w:val="20"/>
        </w:rPr>
        <w:t>Oribatida</w:t>
      </w:r>
      <w:proofErr w:type="spellEnd"/>
      <w:r>
        <w:rPr>
          <w:rFonts w:ascii="Arial" w:eastAsia="Arial" w:hAnsi="Arial" w:cs="Arial"/>
          <w:color w:val="000000"/>
          <w:sz w:val="20"/>
        </w:rPr>
        <w:t>). Journal of the Acarological Society of Japan, 14(3), 85-104.</w:t>
      </w:r>
    </w:p>
    <w:p w14:paraId="033E3B81"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Behan-Pelletier, V.M., &amp; Walter, D.E. (2007). Biodiversity of oribatid mites: Patterns and processes. Biodiversity, 8(3), 3-13.</w:t>
      </w:r>
    </w:p>
    <w:p w14:paraId="057D723F"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Julie, E., Ramani, N., &amp; Sheeja, U.M. (2013). Diversity of oribatid mites in some mangrove ecosystems of Calicut district of Kerala. In: Mangroves of India - Their Biology and Uses (pp. 361-368).</w:t>
      </w:r>
    </w:p>
    <w:p w14:paraId="38949F13"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Julie, E., &amp; Ramani, N. (2008). Inventory of oribatid mites of </w:t>
      </w:r>
      <w:proofErr w:type="spellStart"/>
      <w:r>
        <w:rPr>
          <w:rFonts w:ascii="Arial" w:eastAsia="Arial" w:hAnsi="Arial" w:cs="Arial"/>
          <w:color w:val="000000"/>
          <w:sz w:val="20"/>
        </w:rPr>
        <w:t>Muthanga</w:t>
      </w:r>
      <w:proofErr w:type="spellEnd"/>
      <w:r>
        <w:rPr>
          <w:rFonts w:ascii="Arial" w:eastAsia="Arial" w:hAnsi="Arial" w:cs="Arial"/>
          <w:color w:val="000000"/>
          <w:sz w:val="20"/>
        </w:rPr>
        <w:t xml:space="preserve"> Forest Reserve, Western Ghats, India. </w:t>
      </w:r>
      <w:proofErr w:type="spellStart"/>
      <w:r>
        <w:rPr>
          <w:rFonts w:ascii="Arial" w:eastAsia="Arial" w:hAnsi="Arial" w:cs="Arial"/>
          <w:color w:val="000000"/>
          <w:sz w:val="20"/>
        </w:rPr>
        <w:t>Biosystematica</w:t>
      </w:r>
      <w:proofErr w:type="spellEnd"/>
      <w:r>
        <w:rPr>
          <w:rFonts w:ascii="Arial" w:eastAsia="Arial" w:hAnsi="Arial" w:cs="Arial"/>
          <w:color w:val="000000"/>
          <w:sz w:val="20"/>
        </w:rPr>
        <w:t>, 1(2), 53-57.</w:t>
      </w:r>
    </w:p>
    <w:p w14:paraId="38A7719D"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Julie, E., &amp; Ramani, N. (2008). Inventory of oribatid mites of </w:t>
      </w:r>
      <w:proofErr w:type="spellStart"/>
      <w:r>
        <w:rPr>
          <w:rFonts w:ascii="Arial" w:eastAsia="Arial" w:hAnsi="Arial" w:cs="Arial"/>
          <w:color w:val="000000"/>
          <w:sz w:val="20"/>
        </w:rPr>
        <w:t>Muthanga</w:t>
      </w:r>
      <w:proofErr w:type="spellEnd"/>
      <w:r>
        <w:rPr>
          <w:rFonts w:ascii="Arial" w:eastAsia="Arial" w:hAnsi="Arial" w:cs="Arial"/>
          <w:color w:val="000000"/>
          <w:sz w:val="20"/>
        </w:rPr>
        <w:t xml:space="preserve"> Forest Reserve, Western Ghats, India. </w:t>
      </w:r>
      <w:proofErr w:type="spellStart"/>
      <w:r>
        <w:rPr>
          <w:rFonts w:ascii="Arial" w:eastAsia="Arial" w:hAnsi="Arial" w:cs="Arial"/>
          <w:color w:val="000000"/>
          <w:sz w:val="20"/>
        </w:rPr>
        <w:t>Biosystematica</w:t>
      </w:r>
      <w:proofErr w:type="spellEnd"/>
      <w:r>
        <w:rPr>
          <w:rFonts w:ascii="Arial" w:eastAsia="Arial" w:hAnsi="Arial" w:cs="Arial"/>
          <w:color w:val="000000"/>
          <w:sz w:val="20"/>
        </w:rPr>
        <w:t>, 1(2), 53-57.</w:t>
      </w:r>
    </w:p>
    <w:p w14:paraId="0ABE56CD"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Lindo, Z., &amp; Winchester, N.N. (2006). Oribatid mite communities in temperate canopy soils: Structure, function, and implications. Soil Biology and Biochemistry, 38(2), 403-412.</w:t>
      </w:r>
    </w:p>
    <w:p w14:paraId="4314A3E1"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proofErr w:type="spellStart"/>
      <w:r>
        <w:rPr>
          <w:rFonts w:ascii="Arial" w:eastAsia="Arial" w:hAnsi="Arial" w:cs="Arial"/>
          <w:color w:val="000000"/>
          <w:sz w:val="20"/>
        </w:rPr>
        <w:t>Siepel</w:t>
      </w:r>
      <w:proofErr w:type="spellEnd"/>
      <w:r>
        <w:rPr>
          <w:rFonts w:ascii="Arial" w:eastAsia="Arial" w:hAnsi="Arial" w:cs="Arial"/>
          <w:color w:val="000000"/>
          <w:sz w:val="20"/>
        </w:rPr>
        <w:t>, H., &amp; de Ruiter-</w:t>
      </w:r>
      <w:proofErr w:type="spellStart"/>
      <w:r>
        <w:rPr>
          <w:rFonts w:ascii="Arial" w:eastAsia="Arial" w:hAnsi="Arial" w:cs="Arial"/>
          <w:color w:val="000000"/>
          <w:sz w:val="20"/>
        </w:rPr>
        <w:t>Dijkman</w:t>
      </w:r>
      <w:proofErr w:type="spellEnd"/>
      <w:r>
        <w:rPr>
          <w:rFonts w:ascii="Arial" w:eastAsia="Arial" w:hAnsi="Arial" w:cs="Arial"/>
          <w:color w:val="000000"/>
          <w:sz w:val="20"/>
        </w:rPr>
        <w:t xml:space="preserve">, E.M. (1993). Feeding guilds in oribatid mites based on morphology and digestive systems. </w:t>
      </w:r>
      <w:proofErr w:type="spellStart"/>
      <w:r>
        <w:rPr>
          <w:rFonts w:ascii="Arial" w:eastAsia="Arial" w:hAnsi="Arial" w:cs="Arial"/>
          <w:color w:val="000000"/>
          <w:sz w:val="20"/>
        </w:rPr>
        <w:t>Pedobiologia</w:t>
      </w:r>
      <w:proofErr w:type="spellEnd"/>
      <w:r>
        <w:rPr>
          <w:rFonts w:ascii="Arial" w:eastAsia="Arial" w:hAnsi="Arial" w:cs="Arial"/>
          <w:color w:val="000000"/>
          <w:sz w:val="20"/>
        </w:rPr>
        <w:t>, 37, 306-320.</w:t>
      </w:r>
    </w:p>
    <w:p w14:paraId="09DFCB6E"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Coleman, D.C., Crossley, D.A., &amp; Hendrix, P.F. (2004). Fundamentals of Soil Ecology (2nd ed.). Elsevier Academic Press.</w:t>
      </w:r>
    </w:p>
    <w:p w14:paraId="698BE285"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Wall, D.H., Bardgett, R.D., &amp; Kelly, E.F. (2008). Biodiversity in the dark. Nature Geoscience, 1(3), 187-188.</w:t>
      </w:r>
    </w:p>
    <w:p w14:paraId="367E04EC"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proofErr w:type="spellStart"/>
      <w:r>
        <w:rPr>
          <w:rFonts w:ascii="Arial" w:eastAsia="Arial" w:hAnsi="Arial" w:cs="Arial"/>
          <w:color w:val="000000"/>
          <w:sz w:val="20"/>
        </w:rPr>
        <w:t>Gergócs</w:t>
      </w:r>
      <w:proofErr w:type="spellEnd"/>
      <w:r>
        <w:rPr>
          <w:rFonts w:ascii="Arial" w:eastAsia="Arial" w:hAnsi="Arial" w:cs="Arial"/>
          <w:color w:val="000000"/>
          <w:sz w:val="20"/>
        </w:rPr>
        <w:t>, V., &amp; Hufnagel, L. (2009). Application of oribatid mites as indicators (Review). Applied Ecology and Environmental Research, 7(1), 79-98.</w:t>
      </w:r>
    </w:p>
    <w:p w14:paraId="1B8FAE33"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Luxton, M. (1972). Studies on the oribatid mites of a Danish beech wood soil. I. Nutritional biology. </w:t>
      </w:r>
      <w:proofErr w:type="spellStart"/>
      <w:r>
        <w:rPr>
          <w:rFonts w:ascii="Arial" w:eastAsia="Arial" w:hAnsi="Arial" w:cs="Arial"/>
          <w:i/>
          <w:iCs/>
          <w:color w:val="000000"/>
          <w:sz w:val="20"/>
        </w:rPr>
        <w:t>Pedobiologia</w:t>
      </w:r>
      <w:proofErr w:type="spellEnd"/>
      <w:r>
        <w:rPr>
          <w:rFonts w:ascii="Arial" w:eastAsia="Arial" w:hAnsi="Arial" w:cs="Arial"/>
          <w:color w:val="000000"/>
          <w:sz w:val="20"/>
        </w:rPr>
        <w:t>, 12, 434-463.</w:t>
      </w:r>
    </w:p>
    <w:p w14:paraId="721A938C"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Schneider, K., Renker, C., Scheu, S., &amp; </w:t>
      </w:r>
      <w:proofErr w:type="spellStart"/>
      <w:r>
        <w:rPr>
          <w:rFonts w:ascii="Arial" w:eastAsia="Arial" w:hAnsi="Arial" w:cs="Arial"/>
          <w:color w:val="000000"/>
          <w:sz w:val="20"/>
        </w:rPr>
        <w:t>Maraun</w:t>
      </w:r>
      <w:proofErr w:type="spellEnd"/>
      <w:r>
        <w:rPr>
          <w:rFonts w:ascii="Arial" w:eastAsia="Arial" w:hAnsi="Arial" w:cs="Arial"/>
          <w:color w:val="000000"/>
          <w:sz w:val="20"/>
        </w:rPr>
        <w:t xml:space="preserve">, M. (2004). Feeding biology of oribatid mites: A minireview. </w:t>
      </w:r>
      <w:r>
        <w:rPr>
          <w:rFonts w:ascii="Arial" w:eastAsia="Arial" w:hAnsi="Arial" w:cs="Arial"/>
          <w:i/>
          <w:iCs/>
          <w:color w:val="000000"/>
          <w:sz w:val="20"/>
        </w:rPr>
        <w:t>Phytophaga</w:t>
      </w:r>
      <w:r>
        <w:rPr>
          <w:rFonts w:ascii="Arial" w:eastAsia="Arial" w:hAnsi="Arial" w:cs="Arial"/>
          <w:color w:val="000000"/>
          <w:sz w:val="20"/>
        </w:rPr>
        <w:t>, 14, 247-256.</w:t>
      </w:r>
    </w:p>
    <w:p w14:paraId="009B4478"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lastRenderedPageBreak/>
        <w:t xml:space="preserve">Hartenstein, R. (1962). Soil </w:t>
      </w:r>
      <w:proofErr w:type="spellStart"/>
      <w:r>
        <w:rPr>
          <w:rFonts w:ascii="Arial" w:eastAsia="Arial" w:hAnsi="Arial" w:cs="Arial"/>
          <w:color w:val="000000"/>
          <w:sz w:val="20"/>
        </w:rPr>
        <w:t>Oribatei</w:t>
      </w:r>
      <w:proofErr w:type="spellEnd"/>
      <w:r>
        <w:rPr>
          <w:rFonts w:ascii="Arial" w:eastAsia="Arial" w:hAnsi="Arial" w:cs="Arial"/>
          <w:color w:val="000000"/>
          <w:sz w:val="20"/>
        </w:rPr>
        <w:t xml:space="preserve"> I. Feeding specificity among forest soil </w:t>
      </w:r>
      <w:proofErr w:type="spellStart"/>
      <w:r>
        <w:rPr>
          <w:rFonts w:ascii="Arial" w:eastAsia="Arial" w:hAnsi="Arial" w:cs="Arial"/>
          <w:color w:val="000000"/>
          <w:sz w:val="20"/>
        </w:rPr>
        <w:t>Oribatei</w:t>
      </w:r>
      <w:proofErr w:type="spellEnd"/>
      <w:r>
        <w:rPr>
          <w:rFonts w:ascii="Arial" w:eastAsia="Arial" w:hAnsi="Arial" w:cs="Arial"/>
          <w:color w:val="000000"/>
          <w:sz w:val="20"/>
        </w:rPr>
        <w:t xml:space="preserve"> (</w:t>
      </w:r>
      <w:proofErr w:type="spellStart"/>
      <w:r>
        <w:rPr>
          <w:rFonts w:ascii="Arial" w:eastAsia="Arial" w:hAnsi="Arial" w:cs="Arial"/>
          <w:color w:val="000000"/>
          <w:sz w:val="20"/>
        </w:rPr>
        <w:t>Acarina</w:t>
      </w:r>
      <w:proofErr w:type="spellEnd"/>
      <w:r>
        <w:rPr>
          <w:rFonts w:ascii="Arial" w:eastAsia="Arial" w:hAnsi="Arial" w:cs="Arial"/>
          <w:color w:val="000000"/>
          <w:sz w:val="20"/>
        </w:rPr>
        <w:t xml:space="preserve">). </w:t>
      </w:r>
      <w:r>
        <w:rPr>
          <w:rFonts w:ascii="Arial" w:eastAsia="Arial" w:hAnsi="Arial" w:cs="Arial"/>
          <w:i/>
          <w:iCs/>
          <w:color w:val="000000"/>
          <w:sz w:val="20"/>
        </w:rPr>
        <w:t>Annals of the Entomological Society of America</w:t>
      </w:r>
      <w:r>
        <w:rPr>
          <w:rFonts w:ascii="Arial" w:eastAsia="Arial" w:hAnsi="Arial" w:cs="Arial"/>
          <w:color w:val="000000"/>
          <w:sz w:val="20"/>
        </w:rPr>
        <w:t>, 55(2), 202-206.</w:t>
      </w:r>
    </w:p>
    <w:p w14:paraId="5F9E6491"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Julie, E., &amp; Ramani, N. (2013). Studies on the post-embryonic development of </w:t>
      </w:r>
      <w:proofErr w:type="spellStart"/>
      <w:r>
        <w:rPr>
          <w:rFonts w:ascii="Arial" w:eastAsia="Arial" w:hAnsi="Arial" w:cs="Arial"/>
          <w:i/>
          <w:iCs/>
          <w:color w:val="000000"/>
          <w:sz w:val="20"/>
        </w:rPr>
        <w:t>Ramusella</w:t>
      </w:r>
      <w:proofErr w:type="spellEnd"/>
      <w:r>
        <w:rPr>
          <w:rFonts w:ascii="Arial" w:eastAsia="Arial" w:hAnsi="Arial" w:cs="Arial"/>
          <w:i/>
          <w:iCs/>
          <w:color w:val="000000"/>
          <w:sz w:val="20"/>
        </w:rPr>
        <w:t xml:space="preserve"> </w:t>
      </w:r>
      <w:proofErr w:type="spellStart"/>
      <w:r>
        <w:rPr>
          <w:rFonts w:ascii="Arial" w:eastAsia="Arial" w:hAnsi="Arial" w:cs="Arial"/>
          <w:i/>
          <w:iCs/>
          <w:color w:val="000000"/>
          <w:sz w:val="20"/>
        </w:rPr>
        <w:t>philippinensis</w:t>
      </w:r>
      <w:proofErr w:type="spellEnd"/>
      <w:r>
        <w:rPr>
          <w:rFonts w:ascii="Arial" w:eastAsia="Arial" w:hAnsi="Arial" w:cs="Arial"/>
          <w:color w:val="000000"/>
          <w:sz w:val="20"/>
        </w:rPr>
        <w:t xml:space="preserve"> on decayed pneumatophores. Proceedings of the 23rd Swadeshi Science Congress, 663-664.</w:t>
      </w:r>
    </w:p>
    <w:p w14:paraId="5A84F8A0"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Koukol, O., </w:t>
      </w:r>
      <w:proofErr w:type="spellStart"/>
      <w:r>
        <w:rPr>
          <w:rFonts w:ascii="Arial" w:eastAsia="Arial" w:hAnsi="Arial" w:cs="Arial"/>
          <w:color w:val="000000"/>
          <w:sz w:val="20"/>
        </w:rPr>
        <w:t>Mourek</w:t>
      </w:r>
      <w:proofErr w:type="spellEnd"/>
      <w:r>
        <w:rPr>
          <w:rFonts w:ascii="Arial" w:eastAsia="Arial" w:hAnsi="Arial" w:cs="Arial"/>
          <w:color w:val="000000"/>
          <w:sz w:val="20"/>
        </w:rPr>
        <w:t xml:space="preserve">, J., Janoušková, M., &amp; </w:t>
      </w:r>
      <w:proofErr w:type="spellStart"/>
      <w:r>
        <w:rPr>
          <w:rFonts w:ascii="Arial" w:eastAsia="Arial" w:hAnsi="Arial" w:cs="Arial"/>
          <w:color w:val="000000"/>
          <w:sz w:val="20"/>
        </w:rPr>
        <w:t>Vosátka</w:t>
      </w:r>
      <w:proofErr w:type="spellEnd"/>
      <w:r>
        <w:rPr>
          <w:rFonts w:ascii="Arial" w:eastAsia="Arial" w:hAnsi="Arial" w:cs="Arial"/>
          <w:color w:val="000000"/>
          <w:sz w:val="20"/>
        </w:rPr>
        <w:t xml:space="preserve">, M. (2009). Do oribatid mites (Acari: </w:t>
      </w:r>
      <w:proofErr w:type="spellStart"/>
      <w:r>
        <w:rPr>
          <w:rFonts w:ascii="Arial" w:eastAsia="Arial" w:hAnsi="Arial" w:cs="Arial"/>
          <w:color w:val="000000"/>
          <w:sz w:val="20"/>
        </w:rPr>
        <w:t>Oribatida</w:t>
      </w:r>
      <w:proofErr w:type="spellEnd"/>
      <w:r>
        <w:rPr>
          <w:rFonts w:ascii="Arial" w:eastAsia="Arial" w:hAnsi="Arial" w:cs="Arial"/>
          <w:color w:val="000000"/>
          <w:sz w:val="20"/>
        </w:rPr>
        <w:t xml:space="preserve">) show a higher preference for ubiquitous vs. specialized saprotrophic fungi from pine litter? </w:t>
      </w:r>
      <w:r>
        <w:rPr>
          <w:rFonts w:ascii="Arial" w:eastAsia="Arial" w:hAnsi="Arial" w:cs="Arial"/>
          <w:i/>
          <w:iCs/>
          <w:color w:val="000000"/>
          <w:sz w:val="20"/>
        </w:rPr>
        <w:t>Soil Biology and Biochemistry</w:t>
      </w:r>
      <w:r>
        <w:rPr>
          <w:rFonts w:ascii="Arial" w:eastAsia="Arial" w:hAnsi="Arial" w:cs="Arial"/>
          <w:color w:val="000000"/>
          <w:sz w:val="20"/>
        </w:rPr>
        <w:t>, 41(6), 1124-1131.</w:t>
      </w:r>
    </w:p>
    <w:p w14:paraId="3A42F149"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Ramani, N., &amp; Haq, M.A. (1991). Oribatid mites from coconut palm. II. A new species of </w:t>
      </w:r>
      <w:proofErr w:type="spellStart"/>
      <w:r>
        <w:rPr>
          <w:rFonts w:ascii="Arial" w:eastAsia="Arial" w:hAnsi="Arial" w:cs="Arial"/>
          <w:i/>
          <w:iCs/>
          <w:color w:val="000000"/>
          <w:sz w:val="20"/>
        </w:rPr>
        <w:t>Notogalumna</w:t>
      </w:r>
      <w:proofErr w:type="spellEnd"/>
      <w:r>
        <w:rPr>
          <w:rFonts w:ascii="Arial" w:eastAsia="Arial" w:hAnsi="Arial" w:cs="Arial"/>
          <w:color w:val="000000"/>
          <w:sz w:val="20"/>
        </w:rPr>
        <w:t xml:space="preserve"> (Acari: </w:t>
      </w:r>
      <w:proofErr w:type="spellStart"/>
      <w:r>
        <w:rPr>
          <w:rFonts w:ascii="Arial" w:eastAsia="Arial" w:hAnsi="Arial" w:cs="Arial"/>
          <w:color w:val="000000"/>
          <w:sz w:val="20"/>
        </w:rPr>
        <w:t>Oribatida</w:t>
      </w:r>
      <w:proofErr w:type="spellEnd"/>
      <w:r>
        <w:rPr>
          <w:rFonts w:ascii="Arial" w:eastAsia="Arial" w:hAnsi="Arial" w:cs="Arial"/>
          <w:color w:val="000000"/>
          <w:sz w:val="20"/>
        </w:rPr>
        <w:t xml:space="preserve">) from Kerala, India. </w:t>
      </w:r>
      <w:proofErr w:type="spellStart"/>
      <w:r>
        <w:rPr>
          <w:rFonts w:ascii="Arial" w:eastAsia="Arial" w:hAnsi="Arial" w:cs="Arial"/>
          <w:i/>
          <w:iCs/>
          <w:color w:val="000000"/>
          <w:sz w:val="20"/>
        </w:rPr>
        <w:t>Acarologia</w:t>
      </w:r>
      <w:proofErr w:type="spellEnd"/>
      <w:r>
        <w:rPr>
          <w:rFonts w:ascii="Arial" w:eastAsia="Arial" w:hAnsi="Arial" w:cs="Arial"/>
          <w:color w:val="000000"/>
          <w:sz w:val="20"/>
        </w:rPr>
        <w:t>, 31(4), 401-404.</w:t>
      </w:r>
    </w:p>
    <w:p w14:paraId="352F4B39"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Ramani, N., &amp; Haq, M.A. (1999). Oribatid mites from weeds—I. A new species of </w:t>
      </w:r>
      <w:proofErr w:type="spellStart"/>
      <w:r>
        <w:rPr>
          <w:rFonts w:ascii="Arial" w:eastAsia="Arial" w:hAnsi="Arial" w:cs="Arial"/>
          <w:i/>
          <w:iCs/>
          <w:color w:val="000000"/>
          <w:sz w:val="20"/>
        </w:rPr>
        <w:t>Zygoribatula</w:t>
      </w:r>
      <w:proofErr w:type="spellEnd"/>
      <w:r>
        <w:rPr>
          <w:rFonts w:ascii="Arial" w:eastAsia="Arial" w:hAnsi="Arial" w:cs="Arial"/>
          <w:color w:val="000000"/>
          <w:sz w:val="20"/>
        </w:rPr>
        <w:t xml:space="preserve"> Berlese, 1916 from </w:t>
      </w:r>
      <w:proofErr w:type="spellStart"/>
      <w:r>
        <w:rPr>
          <w:rFonts w:ascii="Arial" w:eastAsia="Arial" w:hAnsi="Arial" w:cs="Arial"/>
          <w:i/>
          <w:iCs/>
          <w:color w:val="000000"/>
          <w:sz w:val="20"/>
        </w:rPr>
        <w:t>Chromolaena</w:t>
      </w:r>
      <w:proofErr w:type="spellEnd"/>
      <w:r>
        <w:rPr>
          <w:rFonts w:ascii="Arial" w:eastAsia="Arial" w:hAnsi="Arial" w:cs="Arial"/>
          <w:i/>
          <w:iCs/>
          <w:color w:val="000000"/>
          <w:sz w:val="20"/>
        </w:rPr>
        <w:t xml:space="preserve"> odorata</w:t>
      </w:r>
      <w:r>
        <w:rPr>
          <w:rFonts w:ascii="Arial" w:eastAsia="Arial" w:hAnsi="Arial" w:cs="Arial"/>
          <w:color w:val="000000"/>
          <w:sz w:val="20"/>
        </w:rPr>
        <w:t xml:space="preserve">. </w:t>
      </w:r>
      <w:proofErr w:type="spellStart"/>
      <w:r>
        <w:rPr>
          <w:rFonts w:ascii="Arial" w:eastAsia="Arial" w:hAnsi="Arial" w:cs="Arial"/>
          <w:i/>
          <w:iCs/>
          <w:color w:val="000000"/>
          <w:sz w:val="20"/>
        </w:rPr>
        <w:t>Entomon</w:t>
      </w:r>
      <w:proofErr w:type="spellEnd"/>
      <w:r>
        <w:rPr>
          <w:rFonts w:ascii="Arial" w:eastAsia="Arial" w:hAnsi="Arial" w:cs="Arial"/>
          <w:color w:val="000000"/>
          <w:sz w:val="20"/>
        </w:rPr>
        <w:t>, 24(1), 15-19.</w:t>
      </w:r>
    </w:p>
    <w:p w14:paraId="72658B0B"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Syamjith, P.K., &amp; Ramani, N. (2020). Biology of the oribatid mite </w:t>
      </w:r>
      <w:proofErr w:type="spellStart"/>
      <w:r>
        <w:rPr>
          <w:rFonts w:ascii="Arial" w:eastAsia="Arial" w:hAnsi="Arial" w:cs="Arial"/>
          <w:i/>
          <w:iCs/>
          <w:color w:val="000000"/>
          <w:sz w:val="20"/>
        </w:rPr>
        <w:t>Acrotritia</w:t>
      </w:r>
      <w:proofErr w:type="spellEnd"/>
      <w:r>
        <w:rPr>
          <w:rFonts w:ascii="Arial" w:eastAsia="Arial" w:hAnsi="Arial" w:cs="Arial"/>
          <w:i/>
          <w:iCs/>
          <w:color w:val="000000"/>
          <w:sz w:val="20"/>
        </w:rPr>
        <w:t xml:space="preserve"> </w:t>
      </w:r>
      <w:proofErr w:type="spellStart"/>
      <w:r>
        <w:rPr>
          <w:rFonts w:ascii="Arial" w:eastAsia="Arial" w:hAnsi="Arial" w:cs="Arial"/>
          <w:i/>
          <w:iCs/>
          <w:color w:val="000000"/>
          <w:sz w:val="20"/>
        </w:rPr>
        <w:t>clavata</w:t>
      </w:r>
      <w:proofErr w:type="spellEnd"/>
      <w:r>
        <w:rPr>
          <w:rFonts w:ascii="Arial" w:eastAsia="Arial" w:hAnsi="Arial" w:cs="Arial"/>
          <w:color w:val="000000"/>
          <w:sz w:val="20"/>
        </w:rPr>
        <w:t xml:space="preserve"> (</w:t>
      </w:r>
      <w:proofErr w:type="spellStart"/>
      <w:r>
        <w:rPr>
          <w:rFonts w:ascii="Arial" w:eastAsia="Arial" w:hAnsi="Arial" w:cs="Arial"/>
          <w:color w:val="000000"/>
          <w:sz w:val="20"/>
        </w:rPr>
        <w:t>Märkel</w:t>
      </w:r>
      <w:proofErr w:type="spellEnd"/>
      <w:r>
        <w:rPr>
          <w:rFonts w:ascii="Arial" w:eastAsia="Arial" w:hAnsi="Arial" w:cs="Arial"/>
          <w:color w:val="000000"/>
          <w:sz w:val="20"/>
        </w:rPr>
        <w:t xml:space="preserve">, 1964) from the mangrove ecosystems of North Kerala, India. </w:t>
      </w:r>
      <w:r>
        <w:rPr>
          <w:rFonts w:ascii="Arial" w:eastAsia="Arial" w:hAnsi="Arial" w:cs="Arial"/>
          <w:i/>
          <w:iCs/>
          <w:color w:val="000000"/>
          <w:sz w:val="20"/>
        </w:rPr>
        <w:t>Acarological Studies</w:t>
      </w:r>
      <w:r>
        <w:rPr>
          <w:rFonts w:ascii="Arial" w:eastAsia="Arial" w:hAnsi="Arial" w:cs="Arial"/>
          <w:color w:val="000000"/>
          <w:sz w:val="20"/>
        </w:rPr>
        <w:t>, 2(2), 59-68.</w:t>
      </w:r>
    </w:p>
    <w:p w14:paraId="3C940DD2"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Wallwork, J.A. (1958). Notes on the feeding behaviour of some forest soil </w:t>
      </w:r>
      <w:proofErr w:type="spellStart"/>
      <w:r>
        <w:rPr>
          <w:rFonts w:ascii="Arial" w:eastAsia="Arial" w:hAnsi="Arial" w:cs="Arial"/>
          <w:color w:val="000000"/>
          <w:sz w:val="20"/>
        </w:rPr>
        <w:t>Acarina</w:t>
      </w:r>
      <w:proofErr w:type="spellEnd"/>
      <w:r>
        <w:rPr>
          <w:rFonts w:ascii="Arial" w:eastAsia="Arial" w:hAnsi="Arial" w:cs="Arial"/>
          <w:color w:val="000000"/>
          <w:sz w:val="20"/>
        </w:rPr>
        <w:t xml:space="preserve">. </w:t>
      </w:r>
      <w:r>
        <w:rPr>
          <w:rFonts w:ascii="Arial" w:eastAsia="Arial" w:hAnsi="Arial" w:cs="Arial"/>
          <w:i/>
          <w:iCs/>
          <w:color w:val="000000"/>
          <w:sz w:val="20"/>
        </w:rPr>
        <w:t>Oikos</w:t>
      </w:r>
      <w:r>
        <w:rPr>
          <w:rFonts w:ascii="Arial" w:eastAsia="Arial" w:hAnsi="Arial" w:cs="Arial"/>
          <w:color w:val="000000"/>
          <w:sz w:val="20"/>
        </w:rPr>
        <w:t>, 9, 260-271.</w:t>
      </w:r>
    </w:p>
    <w:p w14:paraId="16E30FA0"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proofErr w:type="spellStart"/>
      <w:r>
        <w:rPr>
          <w:rFonts w:ascii="Arial" w:eastAsia="Arial" w:hAnsi="Arial" w:cs="Arial"/>
          <w:color w:val="000000"/>
          <w:sz w:val="20"/>
        </w:rPr>
        <w:t>Smrž</w:t>
      </w:r>
      <w:proofErr w:type="spellEnd"/>
      <w:r>
        <w:rPr>
          <w:rFonts w:ascii="Arial" w:eastAsia="Arial" w:hAnsi="Arial" w:cs="Arial"/>
          <w:color w:val="000000"/>
          <w:sz w:val="20"/>
        </w:rPr>
        <w:t xml:space="preserve">, J., &amp; Norton, R.A. (2004). Morphological adaptations of oribatid mites to trophic niches. </w:t>
      </w:r>
      <w:proofErr w:type="spellStart"/>
      <w:r>
        <w:rPr>
          <w:rFonts w:ascii="Arial" w:eastAsia="Arial" w:hAnsi="Arial" w:cs="Arial"/>
          <w:color w:val="000000"/>
          <w:sz w:val="20"/>
        </w:rPr>
        <w:t>Pedobiologia</w:t>
      </w:r>
      <w:proofErr w:type="spellEnd"/>
      <w:r>
        <w:rPr>
          <w:rFonts w:ascii="Arial" w:eastAsia="Arial" w:hAnsi="Arial" w:cs="Arial"/>
          <w:color w:val="000000"/>
          <w:sz w:val="20"/>
        </w:rPr>
        <w:t>, 48(4), 426-435.</w:t>
      </w:r>
    </w:p>
    <w:p w14:paraId="1FDB3AE7"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Heidemann, K., Scheu, S., Ruess, L., &amp; </w:t>
      </w:r>
      <w:proofErr w:type="spellStart"/>
      <w:r>
        <w:rPr>
          <w:rFonts w:ascii="Arial" w:eastAsia="Arial" w:hAnsi="Arial" w:cs="Arial"/>
          <w:color w:val="000000"/>
          <w:sz w:val="20"/>
        </w:rPr>
        <w:t>Maraun</w:t>
      </w:r>
      <w:proofErr w:type="spellEnd"/>
      <w:r>
        <w:rPr>
          <w:rFonts w:ascii="Arial" w:eastAsia="Arial" w:hAnsi="Arial" w:cs="Arial"/>
          <w:color w:val="000000"/>
          <w:sz w:val="20"/>
        </w:rPr>
        <w:t>, M. (2011). Molecular detection of nematode predation and scavenging in oribatid mites: Laboratory and field experiments. Soil Biology and Biochemistry, 43(11), 2229-2236.</w:t>
      </w:r>
    </w:p>
    <w:p w14:paraId="386F7839"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Potapov, A.M., Beaulieu, F., Birkhofer, K., Bluhm, S.L., Degtyarev, M.I., </w:t>
      </w:r>
      <w:proofErr w:type="spellStart"/>
      <w:r>
        <w:rPr>
          <w:rFonts w:ascii="Arial" w:eastAsia="Arial" w:hAnsi="Arial" w:cs="Arial"/>
          <w:color w:val="000000"/>
          <w:sz w:val="20"/>
        </w:rPr>
        <w:t>Devetter</w:t>
      </w:r>
      <w:proofErr w:type="spellEnd"/>
      <w:r>
        <w:rPr>
          <w:rFonts w:ascii="Arial" w:eastAsia="Arial" w:hAnsi="Arial" w:cs="Arial"/>
          <w:color w:val="000000"/>
          <w:sz w:val="20"/>
        </w:rPr>
        <w:t>, M., et al. (2022). Feeding habits and multifunctional classification of soil-associated consumers from protists to vertebrates. Biological Reviews, 97, 1057-1117.</w:t>
      </w:r>
    </w:p>
    <w:p w14:paraId="2764076A"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Gong, X., Chen, T.W., Zieger, S.L., Bluhm, C., Heidemann, K., Schaefer, I., et al. (2022). Phylogenetic and trophic determinants of gut microbiota in soil oribatid mites. Soil Biology and Biochemistry, 165, 108512.</w:t>
      </w:r>
    </w:p>
    <w:p w14:paraId="437D25C7"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Ley, R.E., </w:t>
      </w:r>
      <w:proofErr w:type="spellStart"/>
      <w:r>
        <w:rPr>
          <w:rFonts w:ascii="Arial" w:eastAsia="Arial" w:hAnsi="Arial" w:cs="Arial"/>
          <w:color w:val="000000"/>
          <w:sz w:val="20"/>
        </w:rPr>
        <w:t>Lozupone</w:t>
      </w:r>
      <w:proofErr w:type="spellEnd"/>
      <w:r>
        <w:rPr>
          <w:rFonts w:ascii="Arial" w:eastAsia="Arial" w:hAnsi="Arial" w:cs="Arial"/>
          <w:color w:val="000000"/>
          <w:sz w:val="20"/>
        </w:rPr>
        <w:t>, C.A., Hamady, M., Knight, R., &amp; Gordon, J.I. (2008). Worlds within worlds: Evolution of the vertebrate gut microbiota. Nature Reviews Microbiology, 6(10), 776-788.</w:t>
      </w:r>
    </w:p>
    <w:p w14:paraId="331F2CF1"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Shapira, M. (2016). Gut microbiotas and host evolution: Scaling up symbiosis. Trends in Ecology &amp; Evolution, 31(7), 533-540.</w:t>
      </w:r>
    </w:p>
    <w:p w14:paraId="4E0BF7BC"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Lee, W.J., &amp; Hase, K. (2014). Gut microbiota-host interactions: Metabolic regulation. Current Opinion in Immunology, 30, 36-44.</w:t>
      </w:r>
    </w:p>
    <w:p w14:paraId="3C2BCD80"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color w:val="000000"/>
          <w:sz w:val="20"/>
        </w:rPr>
        <w:t xml:space="preserve">Dethlefsen, L., McFall-Ngai, M., &amp; Relman, D.A. (2007). An ecological and evolutionary perspective on human–microbe mutualism and disease. </w:t>
      </w:r>
      <w:r>
        <w:rPr>
          <w:i/>
          <w:iCs/>
          <w:color w:val="000000"/>
          <w:sz w:val="20"/>
        </w:rPr>
        <w:t>Nature</w:t>
      </w:r>
      <w:r>
        <w:rPr>
          <w:color w:val="000000"/>
          <w:sz w:val="20"/>
        </w:rPr>
        <w:t>, 449(7164), 811-818.</w:t>
      </w:r>
    </w:p>
    <w:p w14:paraId="7777780B"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Yun, J.H., Roh, S.W., </w:t>
      </w:r>
      <w:proofErr w:type="spellStart"/>
      <w:r>
        <w:rPr>
          <w:rFonts w:ascii="Arial" w:eastAsia="Arial" w:hAnsi="Arial" w:cs="Arial"/>
          <w:color w:val="000000"/>
          <w:sz w:val="20"/>
        </w:rPr>
        <w:t>Whon</w:t>
      </w:r>
      <w:proofErr w:type="spellEnd"/>
      <w:r>
        <w:rPr>
          <w:rFonts w:ascii="Arial" w:eastAsia="Arial" w:hAnsi="Arial" w:cs="Arial"/>
          <w:color w:val="000000"/>
          <w:sz w:val="20"/>
        </w:rPr>
        <w:t>, T.W., Jung, M.J., Kim, M.S., Park, D.S., et al. (2014). Insect gut bacterial diversity is determined by environmental habits. Journal of Microbiology, 52(9), 731-738.</w:t>
      </w:r>
    </w:p>
    <w:p w14:paraId="3D454850"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proofErr w:type="spellStart"/>
      <w:r>
        <w:rPr>
          <w:rFonts w:ascii="Arial" w:eastAsia="Arial" w:hAnsi="Arial" w:cs="Arial"/>
          <w:color w:val="000000"/>
          <w:sz w:val="20"/>
        </w:rPr>
        <w:t>Smrž</w:t>
      </w:r>
      <w:proofErr w:type="spellEnd"/>
      <w:r>
        <w:rPr>
          <w:rFonts w:ascii="Arial" w:eastAsia="Arial" w:hAnsi="Arial" w:cs="Arial"/>
          <w:color w:val="000000"/>
          <w:sz w:val="20"/>
        </w:rPr>
        <w:t xml:space="preserve">, J., &amp; </w:t>
      </w:r>
      <w:proofErr w:type="spellStart"/>
      <w:r>
        <w:rPr>
          <w:rFonts w:ascii="Arial" w:eastAsia="Arial" w:hAnsi="Arial" w:cs="Arial"/>
          <w:color w:val="000000"/>
          <w:sz w:val="20"/>
        </w:rPr>
        <w:t>Catská</w:t>
      </w:r>
      <w:proofErr w:type="spellEnd"/>
      <w:r>
        <w:rPr>
          <w:rFonts w:ascii="Arial" w:eastAsia="Arial" w:hAnsi="Arial" w:cs="Arial"/>
          <w:color w:val="000000"/>
          <w:sz w:val="20"/>
        </w:rPr>
        <w:t xml:space="preserve">, V. (2010). Microbial communities associated with soil oribatid mites. </w:t>
      </w:r>
      <w:proofErr w:type="spellStart"/>
      <w:r>
        <w:rPr>
          <w:rFonts w:ascii="Arial" w:eastAsia="Arial" w:hAnsi="Arial" w:cs="Arial"/>
          <w:color w:val="000000"/>
          <w:sz w:val="20"/>
        </w:rPr>
        <w:t>Pedobiologia</w:t>
      </w:r>
      <w:proofErr w:type="spellEnd"/>
      <w:r>
        <w:rPr>
          <w:rFonts w:ascii="Arial" w:eastAsia="Arial" w:hAnsi="Arial" w:cs="Arial"/>
          <w:color w:val="000000"/>
          <w:sz w:val="20"/>
        </w:rPr>
        <w:t>, 53(2), 127-132.</w:t>
      </w:r>
    </w:p>
    <w:p w14:paraId="25F40AE4"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Renker, C., Otto, P., Schneider, K., &amp; </w:t>
      </w:r>
      <w:proofErr w:type="spellStart"/>
      <w:r>
        <w:rPr>
          <w:rFonts w:ascii="Arial" w:eastAsia="Arial" w:hAnsi="Arial" w:cs="Arial"/>
          <w:color w:val="000000"/>
          <w:sz w:val="20"/>
        </w:rPr>
        <w:t>Buscot</w:t>
      </w:r>
      <w:proofErr w:type="spellEnd"/>
      <w:r>
        <w:rPr>
          <w:rFonts w:ascii="Arial" w:eastAsia="Arial" w:hAnsi="Arial" w:cs="Arial"/>
          <w:color w:val="000000"/>
          <w:sz w:val="20"/>
        </w:rPr>
        <w:t>, F. (2005). Oribatid mites as potential vectors for fungal spores. Soil Biology and Biochemistry, 37(3), 587-595.</w:t>
      </w:r>
    </w:p>
    <w:p w14:paraId="1E52A0E6"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Perotti, M.A., &amp; Braig, H.R. (2011). Microbial symbionts and the evolution of arthropods. In: Minelli, A., </w:t>
      </w:r>
      <w:proofErr w:type="spellStart"/>
      <w:r>
        <w:rPr>
          <w:rFonts w:ascii="Arial" w:eastAsia="Arial" w:hAnsi="Arial" w:cs="Arial"/>
          <w:color w:val="000000"/>
          <w:sz w:val="20"/>
        </w:rPr>
        <w:t>Boxshall</w:t>
      </w:r>
      <w:proofErr w:type="spellEnd"/>
      <w:r>
        <w:rPr>
          <w:rFonts w:ascii="Arial" w:eastAsia="Arial" w:hAnsi="Arial" w:cs="Arial"/>
          <w:color w:val="000000"/>
          <w:sz w:val="20"/>
        </w:rPr>
        <w:t>, G., &amp; Fusco, G. (Eds.), Treatise on Zoology – Anatomy, Taxonomy, Biology. The Crustacea (or Arthropoda volume, depending on the edition. Springer, Dordrecht.</w:t>
      </w:r>
    </w:p>
    <w:p w14:paraId="62F369C0" w14:textId="77777777" w:rsidR="00061B90" w:rsidRDefault="002D1E17">
      <w:pPr>
        <w:numPr>
          <w:ilvl w:val="0"/>
          <w:numId w:val="1"/>
        </w:numPr>
        <w:pBdr>
          <w:top w:val="nil"/>
          <w:left w:val="nil"/>
          <w:bottom w:val="nil"/>
          <w:right w:val="nil"/>
          <w:between w:val="nil"/>
        </w:pBdr>
        <w:jc w:val="left"/>
        <w:rPr>
          <w:rFonts w:ascii="Arial" w:eastAsia="Arial" w:hAnsi="Arial" w:cs="Arial"/>
          <w:color w:val="000000"/>
          <w:sz w:val="20"/>
        </w:rPr>
      </w:pPr>
      <w:r>
        <w:rPr>
          <w:rFonts w:ascii="Arial" w:eastAsia="Arial" w:hAnsi="Arial" w:cs="Arial"/>
          <w:color w:val="000000"/>
          <w:sz w:val="20"/>
        </w:rPr>
        <w:t xml:space="preserve">Bluhm, C., Heidemann, K., Schaefer, I., Zieger, S.L., Chen, T.W., </w:t>
      </w:r>
      <w:proofErr w:type="spellStart"/>
      <w:r>
        <w:rPr>
          <w:rFonts w:ascii="Arial" w:eastAsia="Arial" w:hAnsi="Arial" w:cs="Arial"/>
          <w:color w:val="000000"/>
          <w:sz w:val="20"/>
        </w:rPr>
        <w:t>Maraun</w:t>
      </w:r>
      <w:proofErr w:type="spellEnd"/>
      <w:r>
        <w:rPr>
          <w:rFonts w:ascii="Arial" w:eastAsia="Arial" w:hAnsi="Arial" w:cs="Arial"/>
          <w:color w:val="000000"/>
          <w:sz w:val="20"/>
        </w:rPr>
        <w:t>, M., et al. (2019). Oribatid mites as model organisms to study the link between host phylogeny and gut microbiota. Soil Biology and Biochemistry, 130, 200-208.</w:t>
      </w:r>
    </w:p>
    <w:p w14:paraId="2F2CCE8E"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lastRenderedPageBreak/>
        <w:t xml:space="preserve">Haq, M.A., &amp; Ramani, N. (2002). Sampling, extraction and identification of oribatid mites. In: Yadav, P.R., Chauhan, R., </w:t>
      </w:r>
      <w:proofErr w:type="spellStart"/>
      <w:r>
        <w:rPr>
          <w:rFonts w:ascii="Arial" w:eastAsia="Arial" w:hAnsi="Arial" w:cs="Arial"/>
          <w:color w:val="000000"/>
          <w:sz w:val="20"/>
        </w:rPr>
        <w:t>Putatunda</w:t>
      </w:r>
      <w:proofErr w:type="spellEnd"/>
      <w:r>
        <w:rPr>
          <w:rFonts w:ascii="Arial" w:eastAsia="Arial" w:hAnsi="Arial" w:cs="Arial"/>
          <w:color w:val="000000"/>
          <w:sz w:val="20"/>
        </w:rPr>
        <w:t xml:space="preserve">, B.N., &amp; </w:t>
      </w:r>
      <w:proofErr w:type="spellStart"/>
      <w:r>
        <w:rPr>
          <w:rFonts w:ascii="Arial" w:eastAsia="Arial" w:hAnsi="Arial" w:cs="Arial"/>
          <w:color w:val="000000"/>
          <w:sz w:val="20"/>
        </w:rPr>
        <w:t>Chhillar</w:t>
      </w:r>
      <w:proofErr w:type="spellEnd"/>
      <w:r>
        <w:rPr>
          <w:rFonts w:ascii="Arial" w:eastAsia="Arial" w:hAnsi="Arial" w:cs="Arial"/>
          <w:color w:val="000000"/>
          <w:sz w:val="20"/>
        </w:rPr>
        <w:t>, B.S. (Eds.), Mites, Their Identification and Management (pp. 195-212). CCS Haryana Agricultural University, Hisar.</w:t>
      </w:r>
    </w:p>
    <w:p w14:paraId="64FCF553"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Julie, E., &amp; Ramani, N. (2008). Inventory of oribatid mites of </w:t>
      </w:r>
      <w:proofErr w:type="spellStart"/>
      <w:r>
        <w:rPr>
          <w:rFonts w:ascii="Arial" w:eastAsia="Arial" w:hAnsi="Arial" w:cs="Arial"/>
          <w:color w:val="000000"/>
          <w:sz w:val="20"/>
        </w:rPr>
        <w:t>Muthanga</w:t>
      </w:r>
      <w:proofErr w:type="spellEnd"/>
      <w:r>
        <w:rPr>
          <w:rFonts w:ascii="Arial" w:eastAsia="Arial" w:hAnsi="Arial" w:cs="Arial"/>
          <w:color w:val="000000"/>
          <w:sz w:val="20"/>
        </w:rPr>
        <w:t xml:space="preserve"> Forest Reserve, Western Ghats, India. </w:t>
      </w:r>
      <w:proofErr w:type="spellStart"/>
      <w:r>
        <w:rPr>
          <w:rFonts w:ascii="Arial" w:eastAsia="Arial" w:hAnsi="Arial" w:cs="Arial"/>
          <w:color w:val="000000"/>
          <w:sz w:val="20"/>
        </w:rPr>
        <w:t>Biosystematica</w:t>
      </w:r>
      <w:proofErr w:type="spellEnd"/>
      <w:r>
        <w:rPr>
          <w:rFonts w:ascii="Arial" w:eastAsia="Arial" w:hAnsi="Arial" w:cs="Arial"/>
          <w:color w:val="000000"/>
          <w:sz w:val="20"/>
        </w:rPr>
        <w:t>, 1(2), 53-57.</w:t>
      </w:r>
    </w:p>
    <w:p w14:paraId="575C65E4"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Arun, A., &amp; Ramani, N. (2020). Two remarkable new species of oribatid mites (Acari: </w:t>
      </w:r>
      <w:proofErr w:type="spellStart"/>
      <w:r>
        <w:rPr>
          <w:rFonts w:ascii="Arial" w:eastAsia="Arial" w:hAnsi="Arial" w:cs="Arial"/>
          <w:color w:val="000000"/>
          <w:sz w:val="20"/>
        </w:rPr>
        <w:t>Oribatida</w:t>
      </w:r>
      <w:proofErr w:type="spellEnd"/>
      <w:r>
        <w:rPr>
          <w:rFonts w:ascii="Arial" w:eastAsia="Arial" w:hAnsi="Arial" w:cs="Arial"/>
          <w:color w:val="000000"/>
          <w:sz w:val="20"/>
        </w:rPr>
        <w:t xml:space="preserve">) from Acacia litter of Kerala, India. </w:t>
      </w:r>
      <w:proofErr w:type="spellStart"/>
      <w:r>
        <w:rPr>
          <w:rFonts w:ascii="Arial" w:eastAsia="Arial" w:hAnsi="Arial" w:cs="Arial"/>
          <w:color w:val="000000"/>
          <w:sz w:val="20"/>
        </w:rPr>
        <w:t>Zootaxa</w:t>
      </w:r>
      <w:proofErr w:type="spellEnd"/>
      <w:r>
        <w:rPr>
          <w:rFonts w:ascii="Arial" w:eastAsia="Arial" w:hAnsi="Arial" w:cs="Arial"/>
          <w:color w:val="000000"/>
          <w:sz w:val="20"/>
        </w:rPr>
        <w:t>.</w:t>
      </w:r>
    </w:p>
    <w:p w14:paraId="0EBDB585"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Haq, M.A., &amp; </w:t>
      </w:r>
      <w:proofErr w:type="spellStart"/>
      <w:r>
        <w:rPr>
          <w:rFonts w:ascii="Arial" w:eastAsia="Arial" w:hAnsi="Arial" w:cs="Arial"/>
          <w:color w:val="000000"/>
          <w:sz w:val="20"/>
        </w:rPr>
        <w:t>Konikkara</w:t>
      </w:r>
      <w:proofErr w:type="spellEnd"/>
      <w:r>
        <w:rPr>
          <w:rFonts w:ascii="Arial" w:eastAsia="Arial" w:hAnsi="Arial" w:cs="Arial"/>
          <w:color w:val="000000"/>
          <w:sz w:val="20"/>
        </w:rPr>
        <w:t xml:space="preserve">, I.D. (1988). Microbial association in xylophagous oribatids. In: </w:t>
      </w:r>
      <w:proofErr w:type="spellStart"/>
      <w:r>
        <w:rPr>
          <w:rFonts w:ascii="Arial" w:eastAsia="Arial" w:hAnsi="Arial" w:cs="Arial"/>
          <w:color w:val="000000"/>
          <w:sz w:val="20"/>
        </w:rPr>
        <w:t>ChannaBasavanna</w:t>
      </w:r>
      <w:proofErr w:type="spellEnd"/>
      <w:r>
        <w:rPr>
          <w:rFonts w:ascii="Arial" w:eastAsia="Arial" w:hAnsi="Arial" w:cs="Arial"/>
          <w:color w:val="000000"/>
          <w:sz w:val="20"/>
        </w:rPr>
        <w:t xml:space="preserve">, G.P., &amp; </w:t>
      </w:r>
      <w:proofErr w:type="spellStart"/>
      <w:r>
        <w:rPr>
          <w:rFonts w:ascii="Arial" w:eastAsia="Arial" w:hAnsi="Arial" w:cs="Arial"/>
          <w:color w:val="000000"/>
          <w:sz w:val="20"/>
        </w:rPr>
        <w:t>Viraktamath</w:t>
      </w:r>
      <w:proofErr w:type="spellEnd"/>
      <w:r>
        <w:rPr>
          <w:rFonts w:ascii="Arial" w:eastAsia="Arial" w:hAnsi="Arial" w:cs="Arial"/>
          <w:color w:val="000000"/>
          <w:sz w:val="20"/>
        </w:rPr>
        <w:t xml:space="preserve">, C.A. (Eds.), Progress in Acarology (Vol. 1, pp. 483-489). Oxford &amp; IBH Publishing Co. </w:t>
      </w:r>
      <w:proofErr w:type="spellStart"/>
      <w:r>
        <w:rPr>
          <w:rFonts w:ascii="Arial" w:eastAsia="Arial" w:hAnsi="Arial" w:cs="Arial"/>
          <w:color w:val="000000"/>
          <w:sz w:val="20"/>
        </w:rPr>
        <w:t>Pvt.</w:t>
      </w:r>
      <w:proofErr w:type="spellEnd"/>
      <w:r>
        <w:rPr>
          <w:rFonts w:ascii="Arial" w:eastAsia="Arial" w:hAnsi="Arial" w:cs="Arial"/>
          <w:color w:val="000000"/>
          <w:sz w:val="20"/>
        </w:rPr>
        <w:t xml:space="preserve"> Ltd., New Delhi.</w:t>
      </w:r>
    </w:p>
    <w:p w14:paraId="1EE9730E"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Haq, M.A., &amp; Ramani, N. (2002). Sampling, extraction and identification of oribatid mites. In: Yadav, P.R., Chauhan, R., </w:t>
      </w:r>
      <w:proofErr w:type="spellStart"/>
      <w:r>
        <w:rPr>
          <w:rFonts w:ascii="Arial" w:eastAsia="Arial" w:hAnsi="Arial" w:cs="Arial"/>
          <w:color w:val="000000"/>
          <w:sz w:val="20"/>
        </w:rPr>
        <w:t>Putatunda</w:t>
      </w:r>
      <w:proofErr w:type="spellEnd"/>
      <w:r>
        <w:rPr>
          <w:rFonts w:ascii="Arial" w:eastAsia="Arial" w:hAnsi="Arial" w:cs="Arial"/>
          <w:color w:val="000000"/>
          <w:sz w:val="20"/>
        </w:rPr>
        <w:t xml:space="preserve">, B.N., &amp; </w:t>
      </w:r>
      <w:proofErr w:type="spellStart"/>
      <w:r>
        <w:rPr>
          <w:rFonts w:ascii="Arial" w:eastAsia="Arial" w:hAnsi="Arial" w:cs="Arial"/>
          <w:color w:val="000000"/>
          <w:sz w:val="20"/>
        </w:rPr>
        <w:t>Chhillar</w:t>
      </w:r>
      <w:proofErr w:type="spellEnd"/>
      <w:r>
        <w:rPr>
          <w:rFonts w:ascii="Arial" w:eastAsia="Arial" w:hAnsi="Arial" w:cs="Arial"/>
          <w:color w:val="000000"/>
          <w:sz w:val="20"/>
        </w:rPr>
        <w:t>, B.S. (Eds.), Mites, Their Identification and Management (pp. 195-212). CCS Haryana Agricultural University, Hisar.</w:t>
      </w:r>
    </w:p>
    <w:p w14:paraId="7CEF9B5A"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Balogh, J. (1965). A synopsis of the world oribatid (Acari) fauna. Acta </w:t>
      </w:r>
      <w:proofErr w:type="spellStart"/>
      <w:r>
        <w:rPr>
          <w:rFonts w:ascii="Arial" w:eastAsia="Arial" w:hAnsi="Arial" w:cs="Arial"/>
          <w:color w:val="000000"/>
          <w:sz w:val="20"/>
        </w:rPr>
        <w:t>Zoologica</w:t>
      </w:r>
      <w:proofErr w:type="spellEnd"/>
      <w:r>
        <w:rPr>
          <w:rFonts w:ascii="Arial" w:eastAsia="Arial" w:hAnsi="Arial" w:cs="Arial"/>
          <w:color w:val="000000"/>
          <w:sz w:val="20"/>
        </w:rPr>
        <w:t xml:space="preserve"> </w:t>
      </w:r>
      <w:proofErr w:type="spellStart"/>
      <w:r>
        <w:rPr>
          <w:rFonts w:ascii="Arial" w:eastAsia="Arial" w:hAnsi="Arial" w:cs="Arial"/>
          <w:color w:val="000000"/>
          <w:sz w:val="20"/>
        </w:rPr>
        <w:t>Academiae</w:t>
      </w:r>
      <w:proofErr w:type="spellEnd"/>
      <w:r>
        <w:rPr>
          <w:rFonts w:ascii="Arial" w:eastAsia="Arial" w:hAnsi="Arial" w:cs="Arial"/>
          <w:color w:val="000000"/>
          <w:sz w:val="20"/>
        </w:rPr>
        <w:t xml:space="preserve"> </w:t>
      </w:r>
      <w:proofErr w:type="spellStart"/>
      <w:r>
        <w:rPr>
          <w:rFonts w:ascii="Arial" w:eastAsia="Arial" w:hAnsi="Arial" w:cs="Arial"/>
          <w:color w:val="000000"/>
          <w:sz w:val="20"/>
        </w:rPr>
        <w:t>Scientiarum</w:t>
      </w:r>
      <w:proofErr w:type="spellEnd"/>
      <w:r>
        <w:rPr>
          <w:rFonts w:ascii="Arial" w:eastAsia="Arial" w:hAnsi="Arial" w:cs="Arial"/>
          <w:color w:val="000000"/>
          <w:sz w:val="20"/>
        </w:rPr>
        <w:t xml:space="preserve"> </w:t>
      </w:r>
      <w:proofErr w:type="spellStart"/>
      <w:r>
        <w:rPr>
          <w:rFonts w:ascii="Arial" w:eastAsia="Arial" w:hAnsi="Arial" w:cs="Arial"/>
          <w:color w:val="000000"/>
          <w:sz w:val="20"/>
        </w:rPr>
        <w:t>Hungaricae</w:t>
      </w:r>
      <w:proofErr w:type="spellEnd"/>
      <w:r>
        <w:rPr>
          <w:rFonts w:ascii="Arial" w:eastAsia="Arial" w:hAnsi="Arial" w:cs="Arial"/>
          <w:color w:val="000000"/>
          <w:sz w:val="20"/>
        </w:rPr>
        <w:t>, Supplement 1, 1-381.</w:t>
      </w:r>
    </w:p>
    <w:p w14:paraId="0F27BF8A" w14:textId="77777777" w:rsidR="00061B90" w:rsidRDefault="002D1E17">
      <w:pPr>
        <w:numPr>
          <w:ilvl w:val="0"/>
          <w:numId w:val="1"/>
        </w:num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Balogh, J. (1972). The Oribatid Genera of the World. </w:t>
      </w:r>
      <w:proofErr w:type="spellStart"/>
      <w:r>
        <w:rPr>
          <w:rFonts w:ascii="Arial" w:eastAsia="Arial" w:hAnsi="Arial" w:cs="Arial"/>
          <w:color w:val="000000"/>
          <w:sz w:val="20"/>
        </w:rPr>
        <w:t>Akadémiai</w:t>
      </w:r>
      <w:proofErr w:type="spellEnd"/>
      <w:r>
        <w:rPr>
          <w:rFonts w:ascii="Arial" w:eastAsia="Arial" w:hAnsi="Arial" w:cs="Arial"/>
          <w:color w:val="000000"/>
          <w:sz w:val="20"/>
        </w:rPr>
        <w:t xml:space="preserve"> </w:t>
      </w:r>
      <w:proofErr w:type="spellStart"/>
      <w:r>
        <w:rPr>
          <w:rFonts w:ascii="Arial" w:eastAsia="Arial" w:hAnsi="Arial" w:cs="Arial"/>
          <w:color w:val="000000"/>
          <w:sz w:val="20"/>
        </w:rPr>
        <w:t>Kiadó</w:t>
      </w:r>
      <w:proofErr w:type="spellEnd"/>
      <w:r>
        <w:rPr>
          <w:rFonts w:ascii="Arial" w:eastAsia="Arial" w:hAnsi="Arial" w:cs="Arial"/>
          <w:color w:val="000000"/>
          <w:sz w:val="20"/>
        </w:rPr>
        <w:t>, Budapest.</w:t>
      </w:r>
    </w:p>
    <w:p w14:paraId="02EBBDB8" w14:textId="77777777" w:rsidR="00061B90" w:rsidRDefault="002D1E17">
      <w:pPr>
        <w:numPr>
          <w:ilvl w:val="0"/>
          <w:numId w:val="1"/>
        </w:numPr>
        <w:pBdr>
          <w:top w:val="nil"/>
          <w:left w:val="nil"/>
          <w:bottom w:val="nil"/>
          <w:right w:val="nil"/>
          <w:between w:val="nil"/>
        </w:pBdr>
        <w:jc w:val="left"/>
        <w:rPr>
          <w:rFonts w:ascii="Arial" w:eastAsia="Arial" w:hAnsi="Arial" w:cs="Arial"/>
          <w:color w:val="000000"/>
          <w:sz w:val="20"/>
        </w:rPr>
      </w:pPr>
      <w:r>
        <w:rPr>
          <w:rFonts w:ascii="Arial" w:eastAsia="Arial" w:hAnsi="Arial" w:cs="Arial"/>
          <w:color w:val="000000"/>
          <w:sz w:val="20"/>
        </w:rPr>
        <w:t>Balogh, J., &amp; Balogh, P. (1992). The Oribatid Mites of the Neotropical Region (Vol. 1). Hungarian Natural History Museum, Budapest.</w:t>
      </w:r>
    </w:p>
    <w:p w14:paraId="28D9F23E" w14:textId="77777777" w:rsidR="00061B90" w:rsidRDefault="002D1E17">
      <w:pPr>
        <w:numPr>
          <w:ilvl w:val="0"/>
          <w:numId w:val="1"/>
        </w:numPr>
        <w:pBdr>
          <w:top w:val="nil"/>
          <w:left w:val="nil"/>
          <w:bottom w:val="nil"/>
          <w:right w:val="nil"/>
          <w:between w:val="nil"/>
        </w:pBdr>
        <w:jc w:val="left"/>
        <w:rPr>
          <w:rFonts w:ascii="Arial" w:eastAsia="Arial" w:hAnsi="Arial" w:cs="Arial"/>
          <w:color w:val="000000"/>
          <w:sz w:val="20"/>
        </w:rPr>
      </w:pPr>
      <w:r>
        <w:rPr>
          <w:rFonts w:ascii="Arial" w:eastAsia="Arial" w:hAnsi="Arial" w:cs="Arial"/>
          <w:color w:val="000000"/>
          <w:sz w:val="20"/>
        </w:rPr>
        <w:t>Balogh, J., &amp; Balogh, P. (2002). Identification Keys to the Oribatid Mites of the World (Vols. 1-2). MTA Press, Budapest.</w:t>
      </w:r>
    </w:p>
    <w:p w14:paraId="4C2F096B" w14:textId="77777777" w:rsidR="00061B90" w:rsidRDefault="002D1E17">
      <w:pPr>
        <w:numPr>
          <w:ilvl w:val="0"/>
          <w:numId w:val="1"/>
        </w:numPr>
        <w:pBdr>
          <w:top w:val="nil"/>
          <w:left w:val="nil"/>
          <w:bottom w:val="nil"/>
          <w:right w:val="nil"/>
          <w:between w:val="nil"/>
        </w:pBdr>
        <w:jc w:val="left"/>
        <w:rPr>
          <w:rFonts w:ascii="Arial" w:eastAsia="Arial" w:hAnsi="Arial" w:cs="Arial"/>
          <w:color w:val="000000"/>
          <w:sz w:val="20"/>
        </w:rPr>
      </w:pPr>
      <w:proofErr w:type="spellStart"/>
      <w:r>
        <w:rPr>
          <w:rFonts w:ascii="Arial" w:eastAsia="Arial" w:hAnsi="Arial" w:cs="Arial"/>
          <w:color w:val="000000"/>
          <w:sz w:val="20"/>
        </w:rPr>
        <w:t>Binetruy</w:t>
      </w:r>
      <w:proofErr w:type="spellEnd"/>
      <w:r>
        <w:rPr>
          <w:rFonts w:ascii="Arial" w:eastAsia="Arial" w:hAnsi="Arial" w:cs="Arial"/>
          <w:color w:val="000000"/>
          <w:sz w:val="20"/>
        </w:rPr>
        <w:t>, F., Dupraz, M., Buysse, M., &amp; Duron, O. (2019). Surface sterilization methods impact measures of internal microbial diversity in ticks. Parasites &amp; Vectors, 12, 268.</w:t>
      </w:r>
    </w:p>
    <w:p w14:paraId="438936FF" w14:textId="77777777" w:rsidR="00061B90" w:rsidRDefault="002D1E17">
      <w:pPr>
        <w:numPr>
          <w:ilvl w:val="0"/>
          <w:numId w:val="1"/>
        </w:numPr>
        <w:pBdr>
          <w:top w:val="nil"/>
          <w:left w:val="nil"/>
          <w:bottom w:val="nil"/>
          <w:right w:val="nil"/>
          <w:between w:val="nil"/>
        </w:pBdr>
        <w:jc w:val="left"/>
        <w:rPr>
          <w:rFonts w:ascii="Arial" w:eastAsia="Arial" w:hAnsi="Arial" w:cs="Arial"/>
          <w:color w:val="000000"/>
          <w:sz w:val="20"/>
        </w:rPr>
      </w:pPr>
      <w:r>
        <w:rPr>
          <w:rFonts w:ascii="Arial" w:eastAsia="Arial" w:hAnsi="Arial" w:cs="Arial"/>
          <w:color w:val="000000"/>
          <w:sz w:val="20"/>
        </w:rPr>
        <w:t>Holt, J.G., Krieg, N.R., Sneath, P.H.A., Staley, J.T., &amp; Williams, S.T. (Eds.). (1994). Bergey's Manual of Determinative Bacteriology (9th ed.). Williams &amp; Wilkins, Baltimore.</w:t>
      </w:r>
    </w:p>
    <w:p w14:paraId="020FA869" w14:textId="77777777" w:rsidR="00061B90" w:rsidRDefault="002D1E17">
      <w:pPr>
        <w:numPr>
          <w:ilvl w:val="0"/>
          <w:numId w:val="1"/>
        </w:numPr>
        <w:pBdr>
          <w:top w:val="nil"/>
          <w:left w:val="nil"/>
          <w:bottom w:val="nil"/>
          <w:right w:val="nil"/>
          <w:between w:val="nil"/>
        </w:pBdr>
        <w:jc w:val="left"/>
        <w:rPr>
          <w:rFonts w:ascii="Arial" w:eastAsia="Arial" w:hAnsi="Arial" w:cs="Arial"/>
          <w:color w:val="000000"/>
          <w:sz w:val="20"/>
        </w:rPr>
      </w:pPr>
      <w:r>
        <w:rPr>
          <w:rFonts w:ascii="Arial" w:eastAsia="Arial" w:hAnsi="Arial" w:cs="Arial"/>
          <w:color w:val="000000"/>
          <w:sz w:val="20"/>
        </w:rPr>
        <w:t>Hemraj, V., Pramod, S., &amp; Pathak, V.M. (2013). Bacterial diversity associated with soil microarthropods. African Journal of Microbiology Research, 7(19), 2020-2028.</w:t>
      </w:r>
    </w:p>
    <w:p w14:paraId="2DBC7A78" w14:textId="77777777" w:rsidR="00061B90" w:rsidRDefault="002D1E17">
      <w:pPr>
        <w:numPr>
          <w:ilvl w:val="0"/>
          <w:numId w:val="1"/>
        </w:numPr>
        <w:pBdr>
          <w:top w:val="nil"/>
          <w:left w:val="nil"/>
          <w:bottom w:val="nil"/>
          <w:right w:val="nil"/>
          <w:between w:val="nil"/>
        </w:pBdr>
        <w:jc w:val="left"/>
        <w:rPr>
          <w:rFonts w:ascii="Arial" w:eastAsia="Arial" w:hAnsi="Arial" w:cs="Arial"/>
          <w:color w:val="000000"/>
          <w:sz w:val="20"/>
        </w:rPr>
      </w:pPr>
      <w:r>
        <w:rPr>
          <w:rFonts w:ascii="Arial" w:eastAsia="Arial" w:hAnsi="Arial" w:cs="Arial"/>
          <w:color w:val="000000"/>
          <w:sz w:val="20"/>
        </w:rPr>
        <w:t xml:space="preserve">Lane, D.J. (1991). 16S/23S rRNA sequencing. In: </w:t>
      </w:r>
      <w:proofErr w:type="spellStart"/>
      <w:r>
        <w:rPr>
          <w:rFonts w:ascii="Arial" w:eastAsia="Arial" w:hAnsi="Arial" w:cs="Arial"/>
          <w:color w:val="000000"/>
          <w:sz w:val="20"/>
        </w:rPr>
        <w:t>Stackebrandt</w:t>
      </w:r>
      <w:proofErr w:type="spellEnd"/>
      <w:r>
        <w:rPr>
          <w:rFonts w:ascii="Arial" w:eastAsia="Arial" w:hAnsi="Arial" w:cs="Arial"/>
          <w:color w:val="000000"/>
          <w:sz w:val="20"/>
        </w:rPr>
        <w:t>, E., &amp; Goodfellow, M. (Eds.), Nucleic Acid Techniques in Bacterial Systematics (pp. 115-175). John Wiley &amp; Sons, New York.</w:t>
      </w:r>
    </w:p>
    <w:p w14:paraId="32B31B86" w14:textId="77777777" w:rsidR="00061B90" w:rsidRDefault="002D1E17">
      <w:pPr>
        <w:numPr>
          <w:ilvl w:val="0"/>
          <w:numId w:val="1"/>
        </w:numPr>
        <w:pBdr>
          <w:top w:val="nil"/>
          <w:left w:val="nil"/>
          <w:bottom w:val="nil"/>
          <w:right w:val="nil"/>
          <w:between w:val="nil"/>
        </w:pBdr>
        <w:jc w:val="left"/>
        <w:rPr>
          <w:rFonts w:ascii="Arial" w:eastAsia="Arial" w:hAnsi="Arial" w:cs="Arial"/>
          <w:color w:val="000000"/>
          <w:sz w:val="20"/>
        </w:rPr>
      </w:pPr>
      <w:r>
        <w:rPr>
          <w:rFonts w:ascii="Arial" w:eastAsia="Arial" w:hAnsi="Arial" w:cs="Arial"/>
          <w:color w:val="000000"/>
          <w:sz w:val="20"/>
        </w:rPr>
        <w:t>Altschul, S.F., Gish, W., Miller, W., Myers, E.W., &amp; Lipman, D.J. (1990). Basic local alignment search tool. Journal of Molecular Biology, 215(3), 403-410.</w:t>
      </w:r>
    </w:p>
    <w:p w14:paraId="1C33AA90" w14:textId="77777777" w:rsidR="00061B90" w:rsidRDefault="002D1E17">
      <w:pPr>
        <w:numPr>
          <w:ilvl w:val="0"/>
          <w:numId w:val="1"/>
        </w:numPr>
        <w:pBdr>
          <w:top w:val="nil"/>
          <w:left w:val="nil"/>
          <w:bottom w:val="nil"/>
          <w:right w:val="nil"/>
          <w:between w:val="nil"/>
        </w:pBdr>
        <w:jc w:val="left"/>
        <w:rPr>
          <w:rFonts w:ascii="Arial" w:eastAsia="Arial" w:hAnsi="Arial" w:cs="Arial"/>
          <w:color w:val="000000"/>
          <w:sz w:val="20"/>
        </w:rPr>
      </w:pPr>
      <w:r>
        <w:rPr>
          <w:rFonts w:ascii="Arial" w:eastAsia="Arial" w:hAnsi="Arial" w:cs="Arial"/>
          <w:color w:val="000000"/>
          <w:sz w:val="20"/>
        </w:rPr>
        <w:t>Aoki, J. (2000). Oribatid Mites in Moss Cushions Growing on City Constructions. Tokai University Press, Tokyo, Japan.</w:t>
      </w:r>
    </w:p>
    <w:p w14:paraId="052329B6" w14:textId="77777777" w:rsidR="00061B90" w:rsidRDefault="002D1E17">
      <w:pPr>
        <w:numPr>
          <w:ilvl w:val="0"/>
          <w:numId w:val="1"/>
        </w:numPr>
        <w:pBdr>
          <w:top w:val="nil"/>
          <w:left w:val="nil"/>
          <w:bottom w:val="nil"/>
          <w:right w:val="nil"/>
          <w:between w:val="nil"/>
        </w:pBdr>
        <w:jc w:val="left"/>
        <w:rPr>
          <w:rFonts w:ascii="Arial" w:eastAsia="Arial" w:hAnsi="Arial" w:cs="Arial"/>
          <w:color w:val="000000"/>
          <w:sz w:val="20"/>
        </w:rPr>
      </w:pPr>
      <w:r>
        <w:rPr>
          <w:rFonts w:ascii="Arial" w:eastAsia="Arial" w:hAnsi="Arial" w:cs="Arial"/>
          <w:color w:val="000000"/>
          <w:sz w:val="20"/>
        </w:rPr>
        <w:t xml:space="preserve">Norton, R.A., &amp; Ermilov, S.G. (2024). Evaluation of morphological traits in </w:t>
      </w:r>
      <w:proofErr w:type="spellStart"/>
      <w:r>
        <w:rPr>
          <w:rFonts w:ascii="Arial" w:eastAsia="Arial" w:hAnsi="Arial" w:cs="Arial"/>
          <w:color w:val="000000"/>
          <w:sz w:val="20"/>
        </w:rPr>
        <w:t>Trhypochthoniidae</w:t>
      </w:r>
      <w:proofErr w:type="spellEnd"/>
      <w:r>
        <w:rPr>
          <w:rFonts w:ascii="Arial" w:eastAsia="Arial" w:hAnsi="Arial" w:cs="Arial"/>
          <w:color w:val="000000"/>
          <w:sz w:val="20"/>
        </w:rPr>
        <w:t xml:space="preserve"> with </w:t>
      </w:r>
      <w:r>
        <w:rPr>
          <w:rFonts w:ascii="Arial" w:eastAsia="Arial" w:hAnsi="Arial" w:cs="Arial"/>
        </w:rPr>
        <w:t xml:space="preserve">a </w:t>
      </w:r>
      <w:r>
        <w:rPr>
          <w:rFonts w:ascii="Arial" w:eastAsia="Arial" w:hAnsi="Arial" w:cs="Arial"/>
          <w:color w:val="000000"/>
          <w:sz w:val="20"/>
        </w:rPr>
        <w:t xml:space="preserve">focus on </w:t>
      </w:r>
      <w:proofErr w:type="spellStart"/>
      <w:r>
        <w:rPr>
          <w:rFonts w:ascii="Arial" w:eastAsia="Arial" w:hAnsi="Arial" w:cs="Arial"/>
          <w:i/>
          <w:iCs/>
          <w:color w:val="000000"/>
          <w:sz w:val="20"/>
        </w:rPr>
        <w:t>Allonothrus</w:t>
      </w:r>
      <w:proofErr w:type="spellEnd"/>
      <w:r>
        <w:rPr>
          <w:rFonts w:ascii="Arial" w:eastAsia="Arial" w:hAnsi="Arial" w:cs="Arial"/>
          <w:color w:val="000000"/>
          <w:sz w:val="20"/>
        </w:rPr>
        <w:t xml:space="preserve">, and morphology-molecule conflict in classification and phylogeny of </w:t>
      </w:r>
      <w:proofErr w:type="spellStart"/>
      <w:r>
        <w:rPr>
          <w:rFonts w:ascii="Arial" w:eastAsia="Arial" w:hAnsi="Arial" w:cs="Arial"/>
          <w:color w:val="000000"/>
          <w:sz w:val="20"/>
        </w:rPr>
        <w:t>Nothrina</w:t>
      </w:r>
      <w:proofErr w:type="spellEnd"/>
      <w:r>
        <w:rPr>
          <w:rFonts w:ascii="Arial" w:eastAsia="Arial" w:hAnsi="Arial" w:cs="Arial"/>
          <w:color w:val="000000"/>
          <w:sz w:val="20"/>
        </w:rPr>
        <w:t xml:space="preserve"> (Acari: </w:t>
      </w:r>
      <w:proofErr w:type="spellStart"/>
      <w:r>
        <w:rPr>
          <w:rFonts w:ascii="Arial" w:eastAsia="Arial" w:hAnsi="Arial" w:cs="Arial"/>
          <w:color w:val="000000"/>
          <w:sz w:val="20"/>
        </w:rPr>
        <w:t>Oribatida</w:t>
      </w:r>
      <w:proofErr w:type="spellEnd"/>
      <w:r>
        <w:rPr>
          <w:rFonts w:ascii="Arial" w:eastAsia="Arial" w:hAnsi="Arial" w:cs="Arial"/>
          <w:color w:val="000000"/>
          <w:sz w:val="20"/>
        </w:rPr>
        <w:t xml:space="preserve">). </w:t>
      </w:r>
      <w:proofErr w:type="spellStart"/>
      <w:r>
        <w:rPr>
          <w:rFonts w:ascii="Arial" w:eastAsia="Arial" w:hAnsi="Arial" w:cs="Arial"/>
          <w:color w:val="000000"/>
          <w:sz w:val="20"/>
        </w:rPr>
        <w:t>Zootaxa</w:t>
      </w:r>
      <w:proofErr w:type="spellEnd"/>
      <w:r>
        <w:rPr>
          <w:rFonts w:ascii="Arial" w:eastAsia="Arial" w:hAnsi="Arial" w:cs="Arial"/>
          <w:color w:val="000000"/>
          <w:sz w:val="20"/>
        </w:rPr>
        <w:t>, 5556(1), 144-199.</w:t>
      </w:r>
    </w:p>
    <w:p w14:paraId="3103E4F7" w14:textId="77777777" w:rsidR="00061B90" w:rsidRDefault="002D1E17">
      <w:pPr>
        <w:numPr>
          <w:ilvl w:val="0"/>
          <w:numId w:val="1"/>
        </w:numPr>
        <w:pBdr>
          <w:top w:val="nil"/>
          <w:left w:val="nil"/>
          <w:bottom w:val="nil"/>
          <w:right w:val="nil"/>
          <w:between w:val="nil"/>
        </w:pBdr>
        <w:jc w:val="left"/>
        <w:rPr>
          <w:rFonts w:ascii="Arial" w:eastAsia="Arial" w:hAnsi="Arial" w:cs="Arial"/>
          <w:color w:val="000000"/>
          <w:sz w:val="20"/>
        </w:rPr>
      </w:pPr>
      <w:r>
        <w:rPr>
          <w:rFonts w:ascii="Arial" w:eastAsia="Arial" w:hAnsi="Arial" w:cs="Arial"/>
          <w:color w:val="000000"/>
          <w:sz w:val="20"/>
        </w:rPr>
        <w:t xml:space="preserve">Amann, R.I., Ludwig, W., &amp; Schleifer, K.H. (1995). Phylogenetic identification and </w:t>
      </w:r>
      <w:r>
        <w:rPr>
          <w:rFonts w:ascii="Arial" w:eastAsia="Arial" w:hAnsi="Arial" w:cs="Arial"/>
          <w:i/>
          <w:iCs/>
          <w:color w:val="000000"/>
          <w:sz w:val="20"/>
        </w:rPr>
        <w:t>in situ</w:t>
      </w:r>
      <w:r>
        <w:rPr>
          <w:rFonts w:ascii="Arial" w:eastAsia="Arial" w:hAnsi="Arial" w:cs="Arial"/>
          <w:color w:val="000000"/>
          <w:sz w:val="20"/>
        </w:rPr>
        <w:t xml:space="preserve"> detection of individual microbial cells without cultivation. Microbiological Reviews, 59(1), 143-169.</w:t>
      </w:r>
    </w:p>
    <w:p w14:paraId="7D7393E5" w14:textId="77777777" w:rsidR="00061B90" w:rsidRDefault="002D1E17">
      <w:pPr>
        <w:numPr>
          <w:ilvl w:val="0"/>
          <w:numId w:val="1"/>
        </w:numPr>
        <w:pBdr>
          <w:top w:val="nil"/>
          <w:left w:val="nil"/>
          <w:bottom w:val="nil"/>
          <w:right w:val="nil"/>
          <w:between w:val="nil"/>
        </w:pBdr>
        <w:jc w:val="left"/>
        <w:rPr>
          <w:rFonts w:ascii="Arial" w:eastAsia="Arial" w:hAnsi="Arial" w:cs="Arial"/>
          <w:color w:val="000000"/>
          <w:sz w:val="20"/>
        </w:rPr>
      </w:pPr>
      <w:r>
        <w:rPr>
          <w:rFonts w:ascii="Arial" w:eastAsia="Arial" w:hAnsi="Arial" w:cs="Arial"/>
          <w:color w:val="000000"/>
          <w:sz w:val="20"/>
        </w:rPr>
        <w:t xml:space="preserve">Lagier, J.C., Hugon, P., </w:t>
      </w:r>
      <w:proofErr w:type="spellStart"/>
      <w:r>
        <w:rPr>
          <w:rFonts w:ascii="Arial" w:eastAsia="Arial" w:hAnsi="Arial" w:cs="Arial"/>
          <w:color w:val="000000"/>
          <w:sz w:val="20"/>
        </w:rPr>
        <w:t>Khelaifia</w:t>
      </w:r>
      <w:proofErr w:type="spellEnd"/>
      <w:r>
        <w:rPr>
          <w:rFonts w:ascii="Arial" w:eastAsia="Arial" w:hAnsi="Arial" w:cs="Arial"/>
          <w:color w:val="000000"/>
          <w:sz w:val="20"/>
        </w:rPr>
        <w:t>, S., Fournier, P.E., La Scola, B., &amp; Raoult, D. (2018). Culturing the human microbiota and culturomics. Nature Reviews Microbiology, 16(9), 540-550.</w:t>
      </w:r>
    </w:p>
    <w:p w14:paraId="55FDB2EC" w14:textId="77777777" w:rsidR="00061B90" w:rsidRDefault="002D1E17">
      <w:pPr>
        <w:numPr>
          <w:ilvl w:val="0"/>
          <w:numId w:val="1"/>
        </w:numPr>
        <w:pBdr>
          <w:top w:val="nil"/>
          <w:left w:val="nil"/>
          <w:bottom w:val="nil"/>
          <w:right w:val="nil"/>
          <w:between w:val="nil"/>
        </w:pBdr>
        <w:jc w:val="left"/>
        <w:rPr>
          <w:rFonts w:ascii="Arial" w:eastAsia="Arial" w:hAnsi="Arial" w:cs="Arial"/>
          <w:color w:val="000000"/>
          <w:sz w:val="20"/>
        </w:rPr>
      </w:pPr>
      <w:r>
        <w:rPr>
          <w:rFonts w:ascii="Arial" w:eastAsia="Arial" w:hAnsi="Arial" w:cs="Arial"/>
          <w:color w:val="000000"/>
          <w:sz w:val="20"/>
        </w:rPr>
        <w:t>Brune, A. (2014). Symbiotic digestion of lignocellulose in termite guts. Nature Reviews Microbiology, 12(3), 168-180.</w:t>
      </w:r>
    </w:p>
    <w:p w14:paraId="00C5F5F5" w14:textId="77777777" w:rsidR="00061B90" w:rsidRDefault="002D1E17">
      <w:pPr>
        <w:numPr>
          <w:ilvl w:val="0"/>
          <w:numId w:val="1"/>
        </w:numPr>
        <w:pBdr>
          <w:top w:val="nil"/>
          <w:left w:val="nil"/>
          <w:bottom w:val="nil"/>
          <w:right w:val="nil"/>
          <w:between w:val="nil"/>
        </w:pBdr>
        <w:jc w:val="left"/>
        <w:rPr>
          <w:rFonts w:ascii="Arial" w:eastAsia="Arial" w:hAnsi="Arial" w:cs="Arial"/>
          <w:color w:val="000000"/>
          <w:sz w:val="20"/>
        </w:rPr>
      </w:pPr>
      <w:r>
        <w:rPr>
          <w:rFonts w:ascii="Arial" w:eastAsia="Arial" w:hAnsi="Arial" w:cs="Arial"/>
          <w:color w:val="000000"/>
          <w:sz w:val="20"/>
        </w:rPr>
        <w:t>Bredon, M., Dittmer, J., Noël, C., Moumen, B., &amp; Bouchon, D. (2018). Lignocellulose degradation at the holobiont level: Teamwork in a keystone soil invertebrate. Microbiome, 6, 162.</w:t>
      </w:r>
    </w:p>
    <w:p w14:paraId="457972E6" w14:textId="77777777" w:rsidR="00061B90" w:rsidRDefault="002D1E17">
      <w:pPr>
        <w:numPr>
          <w:ilvl w:val="0"/>
          <w:numId w:val="1"/>
        </w:numPr>
        <w:pBdr>
          <w:top w:val="nil"/>
          <w:left w:val="nil"/>
          <w:bottom w:val="nil"/>
          <w:right w:val="nil"/>
          <w:between w:val="nil"/>
        </w:pBdr>
        <w:jc w:val="left"/>
        <w:rPr>
          <w:rFonts w:ascii="Arial" w:eastAsia="Arial" w:hAnsi="Arial" w:cs="Arial"/>
          <w:color w:val="000000"/>
          <w:sz w:val="20"/>
        </w:rPr>
      </w:pPr>
      <w:r>
        <w:rPr>
          <w:rFonts w:ascii="Arial" w:eastAsia="Arial" w:hAnsi="Arial" w:cs="Arial"/>
          <w:color w:val="000000"/>
          <w:sz w:val="20"/>
        </w:rPr>
        <w:lastRenderedPageBreak/>
        <w:t>Ray, A., Ghosh, T., &amp; Das, S. (2012). Bacterial diversity in soil and leaf litter: Functional and ecological implications. Microbial Ecology, 64(4), 777-786.</w:t>
      </w:r>
    </w:p>
    <w:p w14:paraId="5F39B28D" w14:textId="77777777" w:rsidR="00061B90" w:rsidRDefault="002D1E17">
      <w:pPr>
        <w:numPr>
          <w:ilvl w:val="0"/>
          <w:numId w:val="1"/>
        </w:numPr>
        <w:pBdr>
          <w:top w:val="nil"/>
          <w:left w:val="nil"/>
          <w:bottom w:val="nil"/>
          <w:right w:val="nil"/>
          <w:between w:val="nil"/>
        </w:pBdr>
        <w:jc w:val="left"/>
        <w:rPr>
          <w:rFonts w:ascii="Arial" w:eastAsia="Arial" w:hAnsi="Arial" w:cs="Arial"/>
          <w:color w:val="000000"/>
          <w:sz w:val="20"/>
        </w:rPr>
      </w:pPr>
      <w:r>
        <w:rPr>
          <w:rFonts w:ascii="Arial" w:eastAsia="Arial" w:hAnsi="Arial" w:cs="Arial"/>
          <w:color w:val="000000"/>
          <w:sz w:val="20"/>
        </w:rPr>
        <w:t>Kaur, J., Singh, J., &amp; Kaur, A. (2019). Soil bacteria are associated with decomposition processes and nutrient cycling. Journal of Applied Microbiology, 126(4), 1040-1052.</w:t>
      </w:r>
    </w:p>
    <w:p w14:paraId="4383BE16" w14:textId="77777777" w:rsidR="00061B90" w:rsidRDefault="002D1E17">
      <w:pPr>
        <w:numPr>
          <w:ilvl w:val="0"/>
          <w:numId w:val="1"/>
        </w:numPr>
        <w:pBdr>
          <w:top w:val="nil"/>
          <w:left w:val="nil"/>
          <w:bottom w:val="nil"/>
          <w:right w:val="nil"/>
          <w:between w:val="nil"/>
        </w:pBdr>
        <w:jc w:val="left"/>
        <w:rPr>
          <w:rFonts w:ascii="Arial" w:eastAsia="Arial" w:hAnsi="Arial" w:cs="Arial"/>
          <w:color w:val="000000"/>
          <w:sz w:val="20"/>
        </w:rPr>
      </w:pPr>
      <w:r>
        <w:rPr>
          <w:rFonts w:ascii="Arial" w:eastAsia="Arial" w:hAnsi="Arial" w:cs="Arial"/>
          <w:color w:val="000000"/>
          <w:sz w:val="20"/>
        </w:rPr>
        <w:t xml:space="preserve">Walterson, A.M., &amp; </w:t>
      </w:r>
      <w:proofErr w:type="spellStart"/>
      <w:r>
        <w:rPr>
          <w:rFonts w:ascii="Arial" w:eastAsia="Arial" w:hAnsi="Arial" w:cs="Arial"/>
          <w:color w:val="000000"/>
          <w:sz w:val="20"/>
        </w:rPr>
        <w:t>Stavrinides</w:t>
      </w:r>
      <w:proofErr w:type="spellEnd"/>
      <w:r>
        <w:rPr>
          <w:rFonts w:ascii="Arial" w:eastAsia="Arial" w:hAnsi="Arial" w:cs="Arial"/>
          <w:color w:val="000000"/>
          <w:sz w:val="20"/>
        </w:rPr>
        <w:t xml:space="preserve">, J. (2015). </w:t>
      </w:r>
      <w:proofErr w:type="spellStart"/>
      <w:r>
        <w:rPr>
          <w:rFonts w:ascii="Arial" w:eastAsia="Arial" w:hAnsi="Arial" w:cs="Arial"/>
          <w:i/>
          <w:iCs/>
          <w:color w:val="000000"/>
          <w:sz w:val="20"/>
        </w:rPr>
        <w:t>Pantoea</w:t>
      </w:r>
      <w:proofErr w:type="spellEnd"/>
      <w:r>
        <w:rPr>
          <w:rFonts w:ascii="Arial" w:eastAsia="Arial" w:hAnsi="Arial" w:cs="Arial"/>
          <w:color w:val="000000"/>
          <w:sz w:val="20"/>
        </w:rPr>
        <w:t>: Insights into a versatile genus within Enterobacteriaceae. FEMS Microbiology Reviews, 39(6), 968-984.</w:t>
      </w:r>
    </w:p>
    <w:p w14:paraId="30203D4A" w14:textId="77777777" w:rsidR="00061B90" w:rsidRDefault="002D1E17">
      <w:pPr>
        <w:numPr>
          <w:ilvl w:val="0"/>
          <w:numId w:val="1"/>
        </w:numPr>
        <w:pBdr>
          <w:top w:val="nil"/>
          <w:left w:val="nil"/>
          <w:bottom w:val="nil"/>
          <w:right w:val="nil"/>
          <w:between w:val="nil"/>
        </w:pBdr>
        <w:jc w:val="left"/>
        <w:rPr>
          <w:rFonts w:ascii="Arial" w:eastAsia="Arial" w:hAnsi="Arial" w:cs="Arial"/>
          <w:color w:val="000000"/>
          <w:sz w:val="20"/>
        </w:rPr>
      </w:pPr>
      <w:r>
        <w:rPr>
          <w:rFonts w:ascii="Arial" w:eastAsia="Arial" w:hAnsi="Arial" w:cs="Arial"/>
          <w:color w:val="000000"/>
          <w:sz w:val="20"/>
        </w:rPr>
        <w:t xml:space="preserve">Eriksson, K.M., &amp; </w:t>
      </w:r>
      <w:proofErr w:type="spellStart"/>
      <w:r>
        <w:rPr>
          <w:rFonts w:ascii="Arial" w:eastAsia="Arial" w:hAnsi="Arial" w:cs="Arial"/>
          <w:color w:val="000000"/>
          <w:sz w:val="20"/>
        </w:rPr>
        <w:t>Ahrén</w:t>
      </w:r>
      <w:proofErr w:type="spellEnd"/>
      <w:r>
        <w:rPr>
          <w:rFonts w:ascii="Arial" w:eastAsia="Arial" w:hAnsi="Arial" w:cs="Arial"/>
          <w:color w:val="000000"/>
          <w:sz w:val="20"/>
        </w:rPr>
        <w:t>, D. (2011). Bacterial symbionts in the gut of soil microarthropods: Diversity and functional potential. Soil Biology and Biochemistry, 43(11), 2164-2170.</w:t>
      </w:r>
    </w:p>
    <w:p w14:paraId="5FDC1DEB" w14:textId="77777777" w:rsidR="00061B90" w:rsidRDefault="002D1E17">
      <w:pPr>
        <w:numPr>
          <w:ilvl w:val="0"/>
          <w:numId w:val="1"/>
        </w:numPr>
        <w:pBdr>
          <w:top w:val="nil"/>
          <w:left w:val="nil"/>
          <w:bottom w:val="nil"/>
          <w:right w:val="nil"/>
          <w:between w:val="nil"/>
        </w:pBdr>
        <w:jc w:val="left"/>
        <w:rPr>
          <w:rFonts w:ascii="Arial" w:eastAsia="Arial" w:hAnsi="Arial" w:cs="Arial"/>
          <w:color w:val="000000"/>
          <w:sz w:val="20"/>
        </w:rPr>
      </w:pPr>
      <w:r>
        <w:rPr>
          <w:rFonts w:ascii="Arial" w:eastAsia="Arial" w:hAnsi="Arial" w:cs="Arial"/>
          <w:color w:val="000000"/>
          <w:sz w:val="20"/>
        </w:rPr>
        <w:t xml:space="preserve">Wolf, K.W., &amp; Rockett, C.L. (1981). The gut microflora of oribatid mites. </w:t>
      </w:r>
      <w:proofErr w:type="spellStart"/>
      <w:r>
        <w:rPr>
          <w:rFonts w:ascii="Arial" w:eastAsia="Arial" w:hAnsi="Arial" w:cs="Arial"/>
          <w:color w:val="000000"/>
          <w:sz w:val="20"/>
        </w:rPr>
        <w:t>Pedobiologia</w:t>
      </w:r>
      <w:proofErr w:type="spellEnd"/>
      <w:r>
        <w:rPr>
          <w:rFonts w:ascii="Arial" w:eastAsia="Arial" w:hAnsi="Arial" w:cs="Arial"/>
          <w:color w:val="000000"/>
          <w:sz w:val="20"/>
        </w:rPr>
        <w:t>, 22, 69-74.</w:t>
      </w:r>
    </w:p>
    <w:p w14:paraId="1A7498A4" w14:textId="77777777" w:rsidR="00061B90" w:rsidRDefault="00061B90">
      <w:pPr>
        <w:pBdr>
          <w:top w:val="nil"/>
          <w:left w:val="nil"/>
          <w:bottom w:val="nil"/>
          <w:right w:val="nil"/>
          <w:between w:val="nil"/>
        </w:pBdr>
        <w:ind w:left="360"/>
        <w:jc w:val="left"/>
        <w:rPr>
          <w:rFonts w:ascii="Arial" w:eastAsia="Arial" w:hAnsi="Arial" w:cs="Arial"/>
          <w:color w:val="000000"/>
          <w:sz w:val="20"/>
        </w:rPr>
      </w:pPr>
    </w:p>
    <w:p w14:paraId="06107E02" w14:textId="77777777" w:rsidR="00061B90" w:rsidRDefault="00061B90">
      <w:pPr>
        <w:widowControl w:val="0"/>
        <w:spacing w:after="80"/>
        <w:rPr>
          <w:rFonts w:ascii="Times New Roman" w:eastAsia="Times New Roman" w:hAnsi="Times New Roman" w:cs="Times New Roman"/>
        </w:rPr>
      </w:pPr>
    </w:p>
    <w:p w14:paraId="41BECF92" w14:textId="77777777" w:rsidR="00061B90" w:rsidRDefault="00061B90">
      <w:pPr>
        <w:widowControl w:val="0"/>
        <w:spacing w:after="80"/>
        <w:rPr>
          <w:rFonts w:ascii="Times New Roman" w:eastAsia="Times New Roman" w:hAnsi="Times New Roman" w:cs="Times New Roman"/>
        </w:rPr>
      </w:pPr>
    </w:p>
    <w:p w14:paraId="502DDA65" w14:textId="77777777" w:rsidR="00061B90" w:rsidRDefault="00061B90">
      <w:pPr>
        <w:widowControl w:val="0"/>
        <w:spacing w:after="80"/>
        <w:rPr>
          <w:rFonts w:ascii="Times New Roman" w:eastAsia="Times New Roman" w:hAnsi="Times New Roman" w:cs="Times New Roman"/>
        </w:rPr>
      </w:pPr>
    </w:p>
    <w:p w14:paraId="0A20440A" w14:textId="77777777" w:rsidR="00061B90" w:rsidRDefault="00061B90">
      <w:pPr>
        <w:widowControl w:val="0"/>
        <w:spacing w:after="80"/>
        <w:rPr>
          <w:rFonts w:ascii="Times New Roman" w:eastAsia="Times New Roman" w:hAnsi="Times New Roman" w:cs="Times New Roman"/>
        </w:rPr>
      </w:pPr>
    </w:p>
    <w:p w14:paraId="12DEE3F7" w14:textId="77777777" w:rsidR="00061B90" w:rsidRDefault="00061B90">
      <w:pPr>
        <w:widowControl w:val="0"/>
        <w:spacing w:after="80"/>
        <w:rPr>
          <w:rFonts w:ascii="Times New Roman" w:eastAsia="Times New Roman" w:hAnsi="Times New Roman" w:cs="Times New Roman"/>
        </w:rPr>
      </w:pPr>
    </w:p>
    <w:p w14:paraId="0BDC3447" w14:textId="77777777" w:rsidR="00061B90" w:rsidRDefault="00061B90">
      <w:pPr>
        <w:widowControl w:val="0"/>
        <w:spacing w:after="80"/>
        <w:rPr>
          <w:rFonts w:ascii="Times New Roman" w:eastAsia="Times New Roman" w:hAnsi="Times New Roman" w:cs="Times New Roman"/>
        </w:rPr>
      </w:pPr>
    </w:p>
    <w:p w14:paraId="19CE4E74" w14:textId="77777777" w:rsidR="00061B90" w:rsidRDefault="00061B90">
      <w:pPr>
        <w:widowControl w:val="0"/>
        <w:spacing w:after="80"/>
        <w:rPr>
          <w:rFonts w:ascii="Times New Roman" w:eastAsia="Times New Roman" w:hAnsi="Times New Roman" w:cs="Times New Roman"/>
        </w:rPr>
      </w:pPr>
    </w:p>
    <w:p w14:paraId="1AA476A2" w14:textId="77777777" w:rsidR="00061B90" w:rsidRDefault="00061B90">
      <w:pPr>
        <w:widowControl w:val="0"/>
        <w:spacing w:after="80"/>
        <w:rPr>
          <w:rFonts w:ascii="Times New Roman" w:eastAsia="Times New Roman" w:hAnsi="Times New Roman" w:cs="Times New Roman"/>
        </w:rPr>
      </w:pPr>
    </w:p>
    <w:p w14:paraId="3267EB0F" w14:textId="77777777" w:rsidR="00061B90" w:rsidRDefault="002D1E17">
      <w:pPr>
        <w:widowControl w:val="0"/>
        <w:spacing w:after="80"/>
        <w:rPr>
          <w:rFonts w:ascii="Arial" w:eastAsia="Arial" w:hAnsi="Arial" w:cs="Arial"/>
          <w:sz w:val="18"/>
          <w:szCs w:val="18"/>
        </w:rPr>
      </w:pPr>
      <w:r>
        <w:rPr>
          <w:rFonts w:ascii="Arial" w:eastAsia="Arial" w:hAnsi="Arial" w:cs="Arial"/>
          <w:sz w:val="18"/>
          <w:szCs w:val="18"/>
        </w:rPr>
        <w:t xml:space="preserve">Fig. (1a) Initial </w:t>
      </w:r>
      <w:r>
        <w:rPr>
          <w:rFonts w:ascii="Arial" w:eastAsia="Arial" w:hAnsi="Arial" w:cs="Arial"/>
          <w:color w:val="000000"/>
          <w:sz w:val="18"/>
          <w:szCs w:val="18"/>
        </w:rPr>
        <w:t>bacterial colonies &amp; (1</w:t>
      </w:r>
      <w:r>
        <w:rPr>
          <w:rFonts w:ascii="Arial" w:eastAsia="Arial" w:hAnsi="Arial" w:cs="Arial"/>
          <w:sz w:val="18"/>
          <w:szCs w:val="18"/>
        </w:rPr>
        <w:t xml:space="preserve"> </w:t>
      </w:r>
      <w:r>
        <w:rPr>
          <w:rFonts w:ascii="Arial" w:eastAsia="Arial" w:hAnsi="Arial" w:cs="Arial"/>
          <w:color w:val="000000"/>
          <w:sz w:val="18"/>
          <w:szCs w:val="18"/>
        </w:rPr>
        <w:t xml:space="preserve">b) Purified individual bacterial colonies </w:t>
      </w:r>
      <w:r>
        <w:rPr>
          <w:rFonts w:ascii="Arial" w:eastAsia="Arial" w:hAnsi="Arial" w:cs="Arial"/>
          <w:sz w:val="18"/>
          <w:szCs w:val="18"/>
        </w:rPr>
        <w:t>isolated</w:t>
      </w:r>
      <w:r>
        <w:rPr>
          <w:rFonts w:ascii="Arial" w:eastAsia="Arial" w:hAnsi="Arial" w:cs="Arial"/>
          <w:color w:val="000000"/>
          <w:sz w:val="18"/>
          <w:szCs w:val="18"/>
        </w:rPr>
        <w:t xml:space="preserve"> from </w:t>
      </w:r>
      <w:r>
        <w:rPr>
          <w:rFonts w:ascii="Arial" w:eastAsia="Arial" w:hAnsi="Arial" w:cs="Arial"/>
          <w:i/>
          <w:iCs/>
          <w:color w:val="000000"/>
          <w:sz w:val="18"/>
          <w:szCs w:val="18"/>
        </w:rPr>
        <w:t xml:space="preserve">A. </w:t>
      </w:r>
      <w:proofErr w:type="spellStart"/>
      <w:r>
        <w:rPr>
          <w:rFonts w:ascii="Arial" w:eastAsia="Arial" w:hAnsi="Arial" w:cs="Arial"/>
          <w:i/>
          <w:iCs/>
          <w:color w:val="000000"/>
          <w:sz w:val="18"/>
          <w:szCs w:val="18"/>
        </w:rPr>
        <w:t>russeolus</w:t>
      </w:r>
      <w:proofErr w:type="spellEnd"/>
      <w:r>
        <w:rPr>
          <w:rFonts w:ascii="Arial" w:eastAsia="Arial" w:hAnsi="Arial" w:cs="Arial"/>
          <w:i/>
          <w:iCs/>
          <w:color w:val="000000"/>
          <w:sz w:val="18"/>
          <w:szCs w:val="18"/>
        </w:rPr>
        <w:t xml:space="preserve"> </w:t>
      </w:r>
      <w:proofErr w:type="spellStart"/>
      <w:r>
        <w:rPr>
          <w:rFonts w:ascii="Arial" w:eastAsia="Arial" w:hAnsi="Arial" w:cs="Arial"/>
          <w:i/>
          <w:iCs/>
          <w:color w:val="000000"/>
          <w:sz w:val="18"/>
          <w:szCs w:val="18"/>
        </w:rPr>
        <w:t>russeolus</w:t>
      </w:r>
      <w:proofErr w:type="spellEnd"/>
    </w:p>
    <w:p w14:paraId="57B17FDB" w14:textId="77777777" w:rsidR="00061B90" w:rsidRDefault="00061B90">
      <w:pPr>
        <w:keepNext/>
        <w:pBdr>
          <w:top w:val="nil"/>
          <w:left w:val="nil"/>
          <w:bottom w:val="nil"/>
          <w:right w:val="nil"/>
          <w:between w:val="nil"/>
        </w:pBdr>
        <w:rPr>
          <w:rFonts w:ascii="Arial" w:eastAsia="Arial" w:hAnsi="Arial" w:cs="Arial"/>
          <w:smallCaps/>
          <w:color w:val="000000"/>
          <w:sz w:val="20"/>
        </w:rPr>
      </w:pPr>
    </w:p>
    <w:p w14:paraId="4F82D37E" w14:textId="77777777" w:rsidR="00061B90" w:rsidRDefault="002D1E17">
      <w:pPr>
        <w:keepNext/>
        <w:pBdr>
          <w:top w:val="nil"/>
          <w:left w:val="nil"/>
          <w:bottom w:val="nil"/>
          <w:right w:val="nil"/>
          <w:between w:val="nil"/>
        </w:pBdr>
        <w:rPr>
          <w:rFonts w:ascii="Arial" w:eastAsia="Arial" w:hAnsi="Arial" w:cs="Arial"/>
          <w:smallCaps/>
          <w:color w:val="000000"/>
          <w:sz w:val="20"/>
        </w:rPr>
      </w:pPr>
      <w:r>
        <w:rPr>
          <w:rFonts w:ascii="Arial" w:eastAsia="Arial" w:hAnsi="Arial" w:cs="Arial"/>
          <w:b/>
          <w:bCs/>
          <w:smallCaps/>
          <w:noProof/>
          <w:color w:val="000000"/>
          <w:sz w:val="22"/>
          <w:szCs w:val="22"/>
        </w:rPr>
        <w:drawing>
          <wp:inline distT="0" distB="0" distL="0" distR="0" wp14:anchorId="47B4C784" wp14:editId="7D56E885">
            <wp:extent cx="1853565" cy="1823085"/>
            <wp:effectExtent l="0" t="0" r="0" b="0"/>
            <wp:docPr id="1028"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3" cstate="print"/>
                    <a:srcRect/>
                    <a:stretch/>
                  </pic:blipFill>
                  <pic:spPr>
                    <a:xfrm>
                      <a:off x="0" y="0"/>
                      <a:ext cx="1853565" cy="1823085"/>
                    </a:xfrm>
                    <a:prstGeom prst="rect">
                      <a:avLst/>
                    </a:prstGeom>
                    <a:ln w="9525" cap="flat" cmpd="sng">
                      <a:solidFill>
                        <a:srgbClr val="000000"/>
                      </a:solidFill>
                      <a:prstDash val="solid"/>
                      <a:round/>
                      <a:headEnd/>
                      <a:tailEnd/>
                    </a:ln>
                  </pic:spPr>
                </pic:pic>
              </a:graphicData>
            </a:graphic>
          </wp:inline>
        </w:drawing>
      </w:r>
      <w:r>
        <w:rPr>
          <w:rFonts w:ascii="Times New Roman" w:eastAsia="Times New Roman" w:hAnsi="Times New Roman" w:cs="Times New Roman"/>
          <w:smallCaps/>
          <w:color w:val="002060"/>
          <w:sz w:val="20"/>
        </w:rPr>
        <w:t xml:space="preserve">                                          </w:t>
      </w:r>
      <w:r>
        <w:rPr>
          <w:rFonts w:ascii="Times New Roman" w:eastAsia="Times New Roman" w:hAnsi="Times New Roman" w:cs="Times New Roman"/>
          <w:smallCaps/>
          <w:noProof/>
          <w:color w:val="002060"/>
          <w:sz w:val="20"/>
        </w:rPr>
        <w:drawing>
          <wp:inline distT="0" distB="0" distL="0" distR="0" wp14:anchorId="0A2320CB" wp14:editId="00ADC392">
            <wp:extent cx="1758154" cy="1859440"/>
            <wp:effectExtent l="0" t="0" r="0" b="0"/>
            <wp:docPr id="1029"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4" cstate="print"/>
                    <a:srcRect/>
                    <a:stretch/>
                  </pic:blipFill>
                  <pic:spPr>
                    <a:xfrm>
                      <a:off x="0" y="0"/>
                      <a:ext cx="1758154" cy="1859440"/>
                    </a:xfrm>
                    <a:prstGeom prst="rect">
                      <a:avLst/>
                    </a:prstGeom>
                    <a:ln w="9525" cap="flat" cmpd="sng">
                      <a:solidFill>
                        <a:srgbClr val="000000"/>
                      </a:solidFill>
                      <a:prstDash val="solid"/>
                      <a:round/>
                      <a:headEnd/>
                      <a:tailEnd/>
                    </a:ln>
                  </pic:spPr>
                </pic:pic>
              </a:graphicData>
            </a:graphic>
          </wp:inline>
        </w:drawing>
      </w:r>
    </w:p>
    <w:p w14:paraId="68F867EE" w14:textId="77777777" w:rsidR="00061B90" w:rsidRDefault="00061B90">
      <w:pPr>
        <w:keepNext/>
        <w:pBdr>
          <w:top w:val="nil"/>
          <w:left w:val="nil"/>
          <w:bottom w:val="nil"/>
          <w:right w:val="nil"/>
          <w:between w:val="nil"/>
        </w:pBdr>
        <w:rPr>
          <w:rFonts w:ascii="Arial" w:eastAsia="Arial" w:hAnsi="Arial" w:cs="Arial"/>
          <w:b/>
          <w:bCs/>
          <w:smallCaps/>
          <w:color w:val="000000"/>
          <w:sz w:val="22"/>
          <w:szCs w:val="22"/>
        </w:rPr>
      </w:pPr>
    </w:p>
    <w:p w14:paraId="1CB80987" w14:textId="77777777" w:rsidR="00061B90" w:rsidRDefault="00061B90">
      <w:pPr>
        <w:keepNext/>
        <w:pBdr>
          <w:top w:val="nil"/>
          <w:left w:val="nil"/>
          <w:bottom w:val="nil"/>
          <w:right w:val="nil"/>
          <w:between w:val="nil"/>
        </w:pBdr>
        <w:spacing w:after="200"/>
        <w:rPr>
          <w:rFonts w:ascii="Times New Roman" w:eastAsia="Times New Roman" w:hAnsi="Times New Roman" w:cs="Times New Roman"/>
          <w:color w:val="000000"/>
          <w:sz w:val="18"/>
          <w:szCs w:val="18"/>
        </w:rPr>
      </w:pPr>
    </w:p>
    <w:p w14:paraId="5B524161" w14:textId="77777777" w:rsidR="00061B90" w:rsidRDefault="002D1E17">
      <w:pPr>
        <w:keepNext/>
        <w:pBdr>
          <w:top w:val="nil"/>
          <w:left w:val="nil"/>
          <w:bottom w:val="nil"/>
          <w:right w:val="nil"/>
          <w:between w:val="nil"/>
        </w:pBdr>
        <w:spacing w:after="200"/>
        <w:rPr>
          <w:rFonts w:ascii="Arial" w:eastAsia="Arial" w:hAnsi="Arial" w:cs="Arial"/>
          <w:color w:val="000000"/>
          <w:sz w:val="18"/>
          <w:szCs w:val="18"/>
        </w:rPr>
      </w:pPr>
      <w:r>
        <w:rPr>
          <w:rFonts w:ascii="Arial" w:eastAsia="Arial" w:hAnsi="Arial" w:cs="Arial"/>
          <w:color w:val="000000"/>
          <w:sz w:val="18"/>
          <w:szCs w:val="18"/>
        </w:rPr>
        <w:t>Fig.2. CMC-Congo red plate showing cellulose hydrolysis by bacterial isolates</w:t>
      </w:r>
    </w:p>
    <w:p w14:paraId="7DA30F0F" w14:textId="77777777" w:rsidR="00061B90" w:rsidRDefault="002D1E17">
      <w:pPr>
        <w:pBdr>
          <w:top w:val="nil"/>
          <w:left w:val="nil"/>
          <w:bottom w:val="nil"/>
          <w:right w:val="nil"/>
          <w:between w:val="nil"/>
        </w:pBdr>
        <w:rPr>
          <w:rFonts w:ascii="Arial" w:eastAsia="Arial" w:hAnsi="Arial" w:cs="Arial"/>
          <w:color w:val="000000"/>
          <w:sz w:val="20"/>
        </w:rPr>
      </w:pPr>
      <w:r>
        <w:rPr>
          <w:rFonts w:ascii="Arial" w:eastAsia="Arial" w:hAnsi="Arial" w:cs="Arial"/>
          <w:color w:val="000000"/>
          <w:sz w:val="20"/>
        </w:rPr>
        <w:t xml:space="preserve">.  </w:t>
      </w:r>
      <w:r>
        <w:rPr>
          <w:rFonts w:ascii="Times New Roman" w:eastAsia="Times New Roman" w:hAnsi="Times New Roman" w:cs="Times New Roman"/>
          <w:noProof/>
          <w:color w:val="000000"/>
          <w:sz w:val="24"/>
          <w:szCs w:val="24"/>
        </w:rPr>
        <w:drawing>
          <wp:inline distT="0" distB="0" distL="0" distR="0" wp14:anchorId="253477E1" wp14:editId="68E7C349">
            <wp:extent cx="1987550" cy="1987550"/>
            <wp:effectExtent l="0" t="0" r="0" b="0"/>
            <wp:docPr id="1030" name="image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3.jpg"/>
                    <pic:cNvPicPr/>
                  </pic:nvPicPr>
                  <pic:blipFill>
                    <a:blip r:embed="rId15" cstate="print"/>
                    <a:srcRect/>
                    <a:stretch/>
                  </pic:blipFill>
                  <pic:spPr>
                    <a:xfrm>
                      <a:off x="0" y="0"/>
                      <a:ext cx="1987550" cy="1987550"/>
                    </a:xfrm>
                    <a:prstGeom prst="rect">
                      <a:avLst/>
                    </a:prstGeom>
                    <a:ln w="9525" cap="flat" cmpd="sng">
                      <a:solidFill>
                        <a:srgbClr val="000000"/>
                      </a:solidFill>
                      <a:prstDash val="solid"/>
                      <a:round/>
                      <a:headEnd/>
                      <a:tailEnd/>
                    </a:ln>
                  </pic:spPr>
                </pic:pic>
              </a:graphicData>
            </a:graphic>
          </wp:inline>
        </w:drawing>
      </w:r>
    </w:p>
    <w:p w14:paraId="7385B712" w14:textId="77777777" w:rsidR="00061B90" w:rsidRDefault="00061B90">
      <w:pPr>
        <w:pBdr>
          <w:top w:val="nil"/>
          <w:left w:val="nil"/>
          <w:bottom w:val="nil"/>
          <w:right w:val="nil"/>
          <w:between w:val="nil"/>
        </w:pBdr>
        <w:rPr>
          <w:rFonts w:ascii="Arial" w:eastAsia="Arial" w:hAnsi="Arial" w:cs="Arial"/>
          <w:color w:val="000000"/>
          <w:sz w:val="20"/>
        </w:rPr>
      </w:pPr>
    </w:p>
    <w:p w14:paraId="6BCD1ADB" w14:textId="77777777" w:rsidR="00061B90" w:rsidRDefault="00061B90">
      <w:pPr>
        <w:pBdr>
          <w:top w:val="nil"/>
          <w:left w:val="nil"/>
          <w:bottom w:val="nil"/>
          <w:right w:val="nil"/>
          <w:between w:val="nil"/>
        </w:pBdr>
        <w:rPr>
          <w:rFonts w:ascii="Arial" w:eastAsia="Arial" w:hAnsi="Arial" w:cs="Arial"/>
          <w:color w:val="000000"/>
          <w:sz w:val="20"/>
        </w:rPr>
      </w:pPr>
    </w:p>
    <w:p w14:paraId="368C445C" w14:textId="77777777" w:rsidR="00061B90" w:rsidRDefault="00061B90">
      <w:pPr>
        <w:keepNext/>
        <w:pBdr>
          <w:top w:val="nil"/>
          <w:left w:val="nil"/>
          <w:bottom w:val="nil"/>
          <w:right w:val="nil"/>
          <w:between w:val="nil"/>
        </w:pBdr>
        <w:spacing w:after="200"/>
        <w:rPr>
          <w:rFonts w:ascii="Arial" w:eastAsia="Arial" w:hAnsi="Arial" w:cs="Arial"/>
          <w:color w:val="000000"/>
          <w:sz w:val="18"/>
          <w:szCs w:val="18"/>
        </w:rPr>
      </w:pPr>
    </w:p>
    <w:p w14:paraId="3E27608D" w14:textId="77777777" w:rsidR="00061B90" w:rsidRDefault="002D1E17">
      <w:pPr>
        <w:keepNext/>
        <w:pBdr>
          <w:top w:val="nil"/>
          <w:left w:val="nil"/>
          <w:bottom w:val="nil"/>
          <w:right w:val="nil"/>
          <w:between w:val="nil"/>
        </w:pBdr>
        <w:spacing w:after="200"/>
        <w:rPr>
          <w:rFonts w:ascii="Arial" w:eastAsia="Arial" w:hAnsi="Arial" w:cs="Arial"/>
          <w:color w:val="000000"/>
          <w:sz w:val="18"/>
          <w:szCs w:val="18"/>
        </w:rPr>
      </w:pPr>
      <w:r>
        <w:rPr>
          <w:rFonts w:ascii="Arial" w:eastAsia="Arial" w:hAnsi="Arial" w:cs="Arial"/>
          <w:color w:val="000000"/>
          <w:sz w:val="18"/>
          <w:szCs w:val="18"/>
        </w:rPr>
        <w:t>Table 1. Gram staining</w:t>
      </w:r>
    </w:p>
    <w:tbl>
      <w:tblPr>
        <w:tblStyle w:val="a0"/>
        <w:tblW w:w="52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3118"/>
      </w:tblGrid>
      <w:tr w:rsidR="00061B90" w14:paraId="724E210D" w14:textId="77777777">
        <w:tc>
          <w:tcPr>
            <w:tcW w:w="2122" w:type="dxa"/>
          </w:tcPr>
          <w:p w14:paraId="07AFE6FB" w14:textId="77777777" w:rsidR="00061B90" w:rsidRDefault="002D1E17">
            <w:pPr>
              <w:widowControl w:val="0"/>
              <w:spacing w:after="120"/>
              <w:rPr>
                <w:rFonts w:ascii="Arial" w:eastAsia="Arial" w:hAnsi="Arial" w:cs="Arial"/>
                <w:b/>
                <w:bCs/>
              </w:rPr>
            </w:pPr>
            <w:r>
              <w:rPr>
                <w:rFonts w:ascii="Arial" w:eastAsia="Arial" w:hAnsi="Arial" w:cs="Arial"/>
                <w:b/>
                <w:bCs/>
              </w:rPr>
              <w:t>STRAIN CODE</w:t>
            </w:r>
          </w:p>
        </w:tc>
        <w:tc>
          <w:tcPr>
            <w:tcW w:w="3118" w:type="dxa"/>
          </w:tcPr>
          <w:p w14:paraId="023CD1ED" w14:textId="77777777" w:rsidR="00061B90" w:rsidRDefault="002D1E17">
            <w:pPr>
              <w:widowControl w:val="0"/>
              <w:spacing w:after="120"/>
              <w:rPr>
                <w:rFonts w:ascii="Arial" w:eastAsia="Arial" w:hAnsi="Arial" w:cs="Arial"/>
                <w:b/>
                <w:bCs/>
              </w:rPr>
            </w:pPr>
            <w:r>
              <w:rPr>
                <w:rFonts w:ascii="Arial" w:eastAsia="Arial" w:hAnsi="Arial" w:cs="Arial"/>
                <w:b/>
                <w:bCs/>
              </w:rPr>
              <w:t>GRAM STAINING, ROD/COCCI</w:t>
            </w:r>
          </w:p>
        </w:tc>
      </w:tr>
      <w:tr w:rsidR="00061B90" w14:paraId="0FDF893E" w14:textId="77777777">
        <w:tc>
          <w:tcPr>
            <w:tcW w:w="2122" w:type="dxa"/>
          </w:tcPr>
          <w:p w14:paraId="3A56D328" w14:textId="77777777" w:rsidR="00061B90" w:rsidRDefault="002D1E17">
            <w:pPr>
              <w:widowControl w:val="0"/>
              <w:spacing w:after="120"/>
              <w:rPr>
                <w:rFonts w:ascii="Arial" w:eastAsia="Arial" w:hAnsi="Arial" w:cs="Arial"/>
              </w:rPr>
            </w:pPr>
            <w:r>
              <w:rPr>
                <w:rFonts w:ascii="Arial" w:eastAsia="Arial" w:hAnsi="Arial" w:cs="Arial"/>
              </w:rPr>
              <w:t>1</w:t>
            </w:r>
          </w:p>
        </w:tc>
        <w:tc>
          <w:tcPr>
            <w:tcW w:w="3118" w:type="dxa"/>
          </w:tcPr>
          <w:p w14:paraId="2FEF716F" w14:textId="77777777" w:rsidR="00061B90" w:rsidRDefault="002D1E17">
            <w:pPr>
              <w:widowControl w:val="0"/>
              <w:spacing w:after="120"/>
              <w:rPr>
                <w:rFonts w:ascii="Arial" w:eastAsia="Arial" w:hAnsi="Arial" w:cs="Arial"/>
              </w:rPr>
            </w:pPr>
            <w:r>
              <w:rPr>
                <w:rFonts w:ascii="Arial" w:eastAsia="Arial" w:hAnsi="Arial" w:cs="Arial"/>
              </w:rPr>
              <w:t>+VE, Rod</w:t>
            </w:r>
          </w:p>
        </w:tc>
      </w:tr>
      <w:tr w:rsidR="00061B90" w14:paraId="519E099F" w14:textId="77777777">
        <w:tc>
          <w:tcPr>
            <w:tcW w:w="2122" w:type="dxa"/>
          </w:tcPr>
          <w:p w14:paraId="0DA0C1CE" w14:textId="77777777" w:rsidR="00061B90" w:rsidRDefault="002D1E17">
            <w:pPr>
              <w:widowControl w:val="0"/>
              <w:spacing w:after="120"/>
              <w:rPr>
                <w:rFonts w:ascii="Arial" w:eastAsia="Arial" w:hAnsi="Arial" w:cs="Arial"/>
              </w:rPr>
            </w:pPr>
            <w:r>
              <w:rPr>
                <w:rFonts w:ascii="Arial" w:eastAsia="Arial" w:hAnsi="Arial" w:cs="Arial"/>
              </w:rPr>
              <w:t>2</w:t>
            </w:r>
          </w:p>
        </w:tc>
        <w:tc>
          <w:tcPr>
            <w:tcW w:w="3118" w:type="dxa"/>
          </w:tcPr>
          <w:p w14:paraId="6B37AABD" w14:textId="77777777" w:rsidR="00061B90" w:rsidRDefault="002D1E17">
            <w:pPr>
              <w:widowControl w:val="0"/>
              <w:spacing w:after="120"/>
              <w:rPr>
                <w:rFonts w:ascii="Arial" w:eastAsia="Arial" w:hAnsi="Arial" w:cs="Arial"/>
              </w:rPr>
            </w:pPr>
            <w:r>
              <w:rPr>
                <w:rFonts w:ascii="Arial" w:eastAsia="Arial" w:hAnsi="Arial" w:cs="Arial"/>
              </w:rPr>
              <w:t>+VE, Rod</w:t>
            </w:r>
          </w:p>
        </w:tc>
      </w:tr>
      <w:tr w:rsidR="00061B90" w14:paraId="7C46B764" w14:textId="77777777">
        <w:tc>
          <w:tcPr>
            <w:tcW w:w="2122" w:type="dxa"/>
          </w:tcPr>
          <w:p w14:paraId="36E4076F" w14:textId="77777777" w:rsidR="00061B90" w:rsidRDefault="002D1E17">
            <w:pPr>
              <w:widowControl w:val="0"/>
              <w:spacing w:after="120"/>
              <w:rPr>
                <w:rFonts w:ascii="Arial" w:eastAsia="Arial" w:hAnsi="Arial" w:cs="Arial"/>
              </w:rPr>
            </w:pPr>
            <w:r>
              <w:rPr>
                <w:rFonts w:ascii="Arial" w:eastAsia="Arial" w:hAnsi="Arial" w:cs="Arial"/>
              </w:rPr>
              <w:t>4</w:t>
            </w:r>
          </w:p>
        </w:tc>
        <w:tc>
          <w:tcPr>
            <w:tcW w:w="3118" w:type="dxa"/>
          </w:tcPr>
          <w:p w14:paraId="64FDEBAA" w14:textId="77777777" w:rsidR="00061B90" w:rsidRDefault="002D1E17">
            <w:pPr>
              <w:widowControl w:val="0"/>
              <w:spacing w:after="120"/>
              <w:rPr>
                <w:rFonts w:ascii="Arial" w:eastAsia="Arial" w:hAnsi="Arial" w:cs="Arial"/>
              </w:rPr>
            </w:pPr>
            <w:r>
              <w:rPr>
                <w:rFonts w:ascii="Arial" w:eastAsia="Arial" w:hAnsi="Arial" w:cs="Arial"/>
              </w:rPr>
              <w:t>-VE, Rod</w:t>
            </w:r>
          </w:p>
        </w:tc>
      </w:tr>
      <w:tr w:rsidR="00061B90" w14:paraId="324B0D4F" w14:textId="77777777">
        <w:tc>
          <w:tcPr>
            <w:tcW w:w="2122" w:type="dxa"/>
          </w:tcPr>
          <w:p w14:paraId="3FF660FA" w14:textId="77777777" w:rsidR="00061B90" w:rsidRDefault="002D1E17">
            <w:pPr>
              <w:widowControl w:val="0"/>
              <w:spacing w:after="120"/>
              <w:rPr>
                <w:rFonts w:ascii="Arial" w:eastAsia="Arial" w:hAnsi="Arial" w:cs="Arial"/>
              </w:rPr>
            </w:pPr>
            <w:r>
              <w:rPr>
                <w:rFonts w:ascii="Arial" w:eastAsia="Arial" w:hAnsi="Arial" w:cs="Arial"/>
              </w:rPr>
              <w:t>8</w:t>
            </w:r>
          </w:p>
        </w:tc>
        <w:tc>
          <w:tcPr>
            <w:tcW w:w="3118" w:type="dxa"/>
          </w:tcPr>
          <w:p w14:paraId="69F33527" w14:textId="77777777" w:rsidR="00061B90" w:rsidRDefault="002D1E17">
            <w:pPr>
              <w:widowControl w:val="0"/>
              <w:spacing w:after="120"/>
              <w:rPr>
                <w:rFonts w:ascii="Arial" w:eastAsia="Arial" w:hAnsi="Arial" w:cs="Arial"/>
              </w:rPr>
            </w:pPr>
            <w:r>
              <w:rPr>
                <w:rFonts w:ascii="Arial" w:eastAsia="Arial" w:hAnsi="Arial" w:cs="Arial"/>
              </w:rPr>
              <w:t>-VE, Rod</w:t>
            </w:r>
          </w:p>
        </w:tc>
      </w:tr>
      <w:tr w:rsidR="00061B90" w14:paraId="47C581CF" w14:textId="77777777">
        <w:tc>
          <w:tcPr>
            <w:tcW w:w="2122" w:type="dxa"/>
          </w:tcPr>
          <w:p w14:paraId="044A5802" w14:textId="77777777" w:rsidR="00061B90" w:rsidRDefault="002D1E17">
            <w:pPr>
              <w:widowControl w:val="0"/>
              <w:spacing w:after="120"/>
              <w:rPr>
                <w:rFonts w:ascii="Arial" w:eastAsia="Arial" w:hAnsi="Arial" w:cs="Arial"/>
              </w:rPr>
            </w:pPr>
            <w:r>
              <w:rPr>
                <w:rFonts w:ascii="Arial" w:eastAsia="Arial" w:hAnsi="Arial" w:cs="Arial"/>
              </w:rPr>
              <w:t>9</w:t>
            </w:r>
          </w:p>
        </w:tc>
        <w:tc>
          <w:tcPr>
            <w:tcW w:w="3118" w:type="dxa"/>
          </w:tcPr>
          <w:p w14:paraId="331F0311" w14:textId="77777777" w:rsidR="00061B90" w:rsidRDefault="002D1E17">
            <w:pPr>
              <w:widowControl w:val="0"/>
              <w:spacing w:after="120"/>
              <w:rPr>
                <w:rFonts w:ascii="Arial" w:eastAsia="Arial" w:hAnsi="Arial" w:cs="Arial"/>
              </w:rPr>
            </w:pPr>
            <w:r>
              <w:rPr>
                <w:rFonts w:ascii="Arial" w:eastAsia="Arial" w:hAnsi="Arial" w:cs="Arial"/>
              </w:rPr>
              <w:t>+VE, Rod</w:t>
            </w:r>
          </w:p>
        </w:tc>
      </w:tr>
      <w:tr w:rsidR="00061B90" w14:paraId="1413D9BC" w14:textId="77777777">
        <w:trPr>
          <w:trHeight w:val="280"/>
        </w:trPr>
        <w:tc>
          <w:tcPr>
            <w:tcW w:w="2122" w:type="dxa"/>
          </w:tcPr>
          <w:p w14:paraId="7F11CBD8" w14:textId="77777777" w:rsidR="00061B90" w:rsidRDefault="002D1E17">
            <w:pPr>
              <w:widowControl w:val="0"/>
              <w:spacing w:after="120"/>
              <w:rPr>
                <w:rFonts w:ascii="Arial" w:eastAsia="Arial" w:hAnsi="Arial" w:cs="Arial"/>
              </w:rPr>
            </w:pPr>
            <w:r>
              <w:rPr>
                <w:rFonts w:ascii="Arial" w:eastAsia="Arial" w:hAnsi="Arial" w:cs="Arial"/>
              </w:rPr>
              <w:t>11</w:t>
            </w:r>
          </w:p>
        </w:tc>
        <w:tc>
          <w:tcPr>
            <w:tcW w:w="3118" w:type="dxa"/>
          </w:tcPr>
          <w:p w14:paraId="68C62204" w14:textId="77777777" w:rsidR="00061B90" w:rsidRDefault="002D1E17">
            <w:pPr>
              <w:widowControl w:val="0"/>
              <w:spacing w:after="120"/>
              <w:rPr>
                <w:rFonts w:ascii="Arial" w:eastAsia="Arial" w:hAnsi="Arial" w:cs="Arial"/>
              </w:rPr>
            </w:pPr>
            <w:r>
              <w:rPr>
                <w:rFonts w:ascii="Arial" w:eastAsia="Arial" w:hAnsi="Arial" w:cs="Arial"/>
              </w:rPr>
              <w:t>+VE, Rod</w:t>
            </w:r>
          </w:p>
        </w:tc>
      </w:tr>
    </w:tbl>
    <w:p w14:paraId="5894B273" w14:textId="77777777" w:rsidR="00061B90" w:rsidRDefault="00061B90">
      <w:pPr>
        <w:pBdr>
          <w:top w:val="nil"/>
          <w:left w:val="nil"/>
          <w:bottom w:val="nil"/>
          <w:right w:val="nil"/>
          <w:between w:val="nil"/>
        </w:pBdr>
        <w:rPr>
          <w:rFonts w:ascii="Arial" w:eastAsia="Arial" w:hAnsi="Arial" w:cs="Arial"/>
          <w:color w:val="000000"/>
          <w:sz w:val="20"/>
        </w:rPr>
      </w:pPr>
    </w:p>
    <w:p w14:paraId="5B8EC59C" w14:textId="77777777" w:rsidR="00061B90" w:rsidRDefault="00061B90">
      <w:pPr>
        <w:pBdr>
          <w:top w:val="nil"/>
          <w:left w:val="nil"/>
          <w:bottom w:val="nil"/>
          <w:right w:val="nil"/>
          <w:between w:val="nil"/>
        </w:pBdr>
        <w:rPr>
          <w:rFonts w:ascii="Arial" w:eastAsia="Arial" w:hAnsi="Arial" w:cs="Arial"/>
          <w:color w:val="000000"/>
          <w:sz w:val="20"/>
        </w:rPr>
      </w:pPr>
    </w:p>
    <w:p w14:paraId="0F3FD7BA" w14:textId="77777777" w:rsidR="00061B90" w:rsidRDefault="00061B90">
      <w:pPr>
        <w:pBdr>
          <w:top w:val="nil"/>
          <w:left w:val="nil"/>
          <w:bottom w:val="nil"/>
          <w:right w:val="nil"/>
          <w:between w:val="nil"/>
        </w:pBdr>
        <w:rPr>
          <w:rFonts w:ascii="Arial" w:eastAsia="Arial" w:hAnsi="Arial" w:cs="Arial"/>
          <w:color w:val="000000"/>
          <w:sz w:val="20"/>
        </w:rPr>
      </w:pPr>
    </w:p>
    <w:p w14:paraId="1F43BD2F" w14:textId="77777777" w:rsidR="00061B90" w:rsidRDefault="00061B90">
      <w:pPr>
        <w:widowControl w:val="0"/>
        <w:spacing w:after="120"/>
        <w:rPr>
          <w:rFonts w:ascii="Times New Roman" w:eastAsia="Times New Roman" w:hAnsi="Times New Roman" w:cs="Times New Roman"/>
        </w:rPr>
      </w:pPr>
    </w:p>
    <w:p w14:paraId="04BD79E9" w14:textId="77777777" w:rsidR="00061B90" w:rsidRDefault="002D1E17">
      <w:pPr>
        <w:widowControl w:val="0"/>
        <w:spacing w:after="120"/>
        <w:rPr>
          <w:rFonts w:ascii="Arial" w:eastAsia="Arial" w:hAnsi="Arial" w:cs="Arial"/>
          <w:sz w:val="18"/>
          <w:szCs w:val="18"/>
        </w:rPr>
      </w:pPr>
      <w:r>
        <w:rPr>
          <w:rFonts w:ascii="Arial" w:eastAsia="Arial" w:hAnsi="Arial" w:cs="Arial"/>
          <w:sz w:val="18"/>
          <w:szCs w:val="18"/>
        </w:rPr>
        <w:t>Table 2. Biochemical characteristics of the three isolated bacterial colonies</w:t>
      </w:r>
    </w:p>
    <w:tbl>
      <w:tblPr>
        <w:tblStyle w:val="a1"/>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7"/>
        <w:gridCol w:w="1014"/>
        <w:gridCol w:w="570"/>
        <w:gridCol w:w="570"/>
        <w:gridCol w:w="1061"/>
        <w:gridCol w:w="1199"/>
        <w:gridCol w:w="1069"/>
        <w:gridCol w:w="619"/>
        <w:gridCol w:w="596"/>
        <w:gridCol w:w="586"/>
        <w:gridCol w:w="585"/>
        <w:gridCol w:w="250"/>
      </w:tblGrid>
      <w:tr w:rsidR="00061B90" w14:paraId="71297526" w14:textId="77777777">
        <w:tc>
          <w:tcPr>
            <w:tcW w:w="898" w:type="dxa"/>
            <w:tcBorders>
              <w:bottom w:val="nil"/>
            </w:tcBorders>
          </w:tcPr>
          <w:p w14:paraId="73FA9E35" w14:textId="77777777" w:rsidR="00061B90" w:rsidRDefault="002D1E17">
            <w:pPr>
              <w:spacing w:line="259" w:lineRule="auto"/>
              <w:rPr>
                <w:rFonts w:ascii="Arial" w:eastAsia="Arial" w:hAnsi="Arial" w:cs="Arial"/>
                <w:b/>
                <w:bCs/>
              </w:rPr>
            </w:pPr>
            <w:r>
              <w:rPr>
                <w:rFonts w:ascii="Arial" w:eastAsia="Arial" w:hAnsi="Arial" w:cs="Arial"/>
                <w:b/>
                <w:bCs/>
              </w:rPr>
              <w:t>STRAIN</w:t>
            </w:r>
          </w:p>
          <w:p w14:paraId="70944ACA" w14:textId="77777777" w:rsidR="00061B90" w:rsidRDefault="002D1E17">
            <w:pPr>
              <w:spacing w:line="259" w:lineRule="auto"/>
              <w:rPr>
                <w:rFonts w:ascii="Arial" w:eastAsia="Arial" w:hAnsi="Arial" w:cs="Arial"/>
                <w:b/>
                <w:bCs/>
              </w:rPr>
            </w:pPr>
            <w:r>
              <w:rPr>
                <w:rFonts w:ascii="Arial" w:eastAsia="Arial" w:hAnsi="Arial" w:cs="Arial"/>
                <w:b/>
                <w:bCs/>
              </w:rPr>
              <w:t>CODE</w:t>
            </w:r>
          </w:p>
        </w:tc>
        <w:tc>
          <w:tcPr>
            <w:tcW w:w="1015" w:type="dxa"/>
            <w:tcBorders>
              <w:bottom w:val="nil"/>
            </w:tcBorders>
          </w:tcPr>
          <w:p w14:paraId="04062B30" w14:textId="77777777" w:rsidR="00061B90" w:rsidRDefault="002D1E17">
            <w:pPr>
              <w:spacing w:line="259" w:lineRule="auto"/>
              <w:rPr>
                <w:rFonts w:ascii="Arial" w:eastAsia="Arial" w:hAnsi="Arial" w:cs="Arial"/>
                <w:b/>
                <w:bCs/>
              </w:rPr>
            </w:pPr>
            <w:r>
              <w:rPr>
                <w:rFonts w:ascii="Arial" w:eastAsia="Arial" w:hAnsi="Arial" w:cs="Arial"/>
                <w:b/>
                <w:bCs/>
              </w:rPr>
              <w:t xml:space="preserve">INDOLE </w:t>
            </w:r>
          </w:p>
        </w:tc>
        <w:tc>
          <w:tcPr>
            <w:tcW w:w="571" w:type="dxa"/>
            <w:tcBorders>
              <w:bottom w:val="nil"/>
            </w:tcBorders>
          </w:tcPr>
          <w:p w14:paraId="7BB37107" w14:textId="77777777" w:rsidR="00061B90" w:rsidRDefault="002D1E17">
            <w:pPr>
              <w:spacing w:line="259" w:lineRule="auto"/>
              <w:rPr>
                <w:rFonts w:ascii="Arial" w:eastAsia="Arial" w:hAnsi="Arial" w:cs="Arial"/>
                <w:b/>
                <w:bCs/>
              </w:rPr>
            </w:pPr>
            <w:r>
              <w:rPr>
                <w:rFonts w:ascii="Arial" w:eastAsia="Arial" w:hAnsi="Arial" w:cs="Arial"/>
                <w:b/>
                <w:bCs/>
              </w:rPr>
              <w:t>MR</w:t>
            </w:r>
          </w:p>
        </w:tc>
        <w:tc>
          <w:tcPr>
            <w:tcW w:w="571" w:type="dxa"/>
            <w:tcBorders>
              <w:bottom w:val="nil"/>
            </w:tcBorders>
          </w:tcPr>
          <w:p w14:paraId="2E041A45" w14:textId="77777777" w:rsidR="00061B90" w:rsidRDefault="002D1E17">
            <w:pPr>
              <w:spacing w:line="259" w:lineRule="auto"/>
              <w:rPr>
                <w:rFonts w:ascii="Arial" w:eastAsia="Arial" w:hAnsi="Arial" w:cs="Arial"/>
                <w:b/>
                <w:bCs/>
              </w:rPr>
            </w:pPr>
            <w:r>
              <w:rPr>
                <w:rFonts w:ascii="Arial" w:eastAsia="Arial" w:hAnsi="Arial" w:cs="Arial"/>
                <w:b/>
                <w:bCs/>
              </w:rPr>
              <w:t>VP</w:t>
            </w:r>
          </w:p>
        </w:tc>
        <w:tc>
          <w:tcPr>
            <w:tcW w:w="1063" w:type="dxa"/>
            <w:tcBorders>
              <w:bottom w:val="nil"/>
            </w:tcBorders>
          </w:tcPr>
          <w:p w14:paraId="6E70A54D" w14:textId="77777777" w:rsidR="00061B90" w:rsidRDefault="002D1E17">
            <w:pPr>
              <w:spacing w:line="259" w:lineRule="auto"/>
              <w:rPr>
                <w:rFonts w:ascii="Arial" w:eastAsia="Arial" w:hAnsi="Arial" w:cs="Arial"/>
                <w:b/>
                <w:bCs/>
              </w:rPr>
            </w:pPr>
            <w:r>
              <w:rPr>
                <w:rFonts w:ascii="Arial" w:eastAsia="Arial" w:hAnsi="Arial" w:cs="Arial"/>
                <w:b/>
                <w:bCs/>
              </w:rPr>
              <w:t>CITRATE</w:t>
            </w:r>
          </w:p>
        </w:tc>
        <w:tc>
          <w:tcPr>
            <w:tcW w:w="1201" w:type="dxa"/>
            <w:tcBorders>
              <w:bottom w:val="nil"/>
            </w:tcBorders>
          </w:tcPr>
          <w:p w14:paraId="72826BD0" w14:textId="77777777" w:rsidR="00061B90" w:rsidRDefault="002D1E17">
            <w:pPr>
              <w:spacing w:line="259" w:lineRule="auto"/>
              <w:rPr>
                <w:rFonts w:ascii="Arial" w:eastAsia="Arial" w:hAnsi="Arial" w:cs="Arial"/>
                <w:b/>
                <w:bCs/>
              </w:rPr>
            </w:pPr>
            <w:r>
              <w:rPr>
                <w:rFonts w:ascii="Arial" w:eastAsia="Arial" w:hAnsi="Arial" w:cs="Arial"/>
                <w:b/>
                <w:bCs/>
              </w:rPr>
              <w:t>CATALASE</w:t>
            </w:r>
          </w:p>
        </w:tc>
        <w:tc>
          <w:tcPr>
            <w:tcW w:w="1071" w:type="dxa"/>
            <w:tcBorders>
              <w:bottom w:val="nil"/>
            </w:tcBorders>
          </w:tcPr>
          <w:p w14:paraId="106EF9AF" w14:textId="77777777" w:rsidR="00061B90" w:rsidRDefault="002D1E17">
            <w:pPr>
              <w:spacing w:line="259" w:lineRule="auto"/>
              <w:rPr>
                <w:rFonts w:ascii="Arial" w:eastAsia="Arial" w:hAnsi="Arial" w:cs="Arial"/>
                <w:b/>
                <w:bCs/>
              </w:rPr>
            </w:pPr>
            <w:r>
              <w:rPr>
                <w:rFonts w:ascii="Arial" w:eastAsia="Arial" w:hAnsi="Arial" w:cs="Arial"/>
                <w:b/>
                <w:bCs/>
              </w:rPr>
              <w:t>OXIDASE</w:t>
            </w:r>
          </w:p>
        </w:tc>
        <w:tc>
          <w:tcPr>
            <w:tcW w:w="620" w:type="dxa"/>
            <w:tcBorders>
              <w:right w:val="nil"/>
            </w:tcBorders>
          </w:tcPr>
          <w:p w14:paraId="0C6D7071" w14:textId="77777777" w:rsidR="00061B90" w:rsidRDefault="00061B90">
            <w:pPr>
              <w:spacing w:line="259" w:lineRule="auto"/>
              <w:rPr>
                <w:rFonts w:ascii="Arial" w:eastAsia="Arial" w:hAnsi="Arial" w:cs="Arial"/>
                <w:b/>
                <w:bCs/>
              </w:rPr>
            </w:pPr>
          </w:p>
        </w:tc>
        <w:tc>
          <w:tcPr>
            <w:tcW w:w="597" w:type="dxa"/>
            <w:tcBorders>
              <w:left w:val="nil"/>
              <w:right w:val="nil"/>
            </w:tcBorders>
          </w:tcPr>
          <w:p w14:paraId="5D7F4590" w14:textId="77777777" w:rsidR="00061B90" w:rsidRDefault="002D1E17">
            <w:pPr>
              <w:spacing w:line="259" w:lineRule="auto"/>
              <w:rPr>
                <w:rFonts w:ascii="Arial" w:eastAsia="Arial" w:hAnsi="Arial" w:cs="Arial"/>
                <w:b/>
                <w:bCs/>
              </w:rPr>
            </w:pPr>
            <w:r>
              <w:rPr>
                <w:rFonts w:ascii="Arial" w:eastAsia="Arial" w:hAnsi="Arial" w:cs="Arial"/>
                <w:b/>
                <w:bCs/>
              </w:rPr>
              <w:t>TSI</w:t>
            </w:r>
          </w:p>
        </w:tc>
        <w:tc>
          <w:tcPr>
            <w:tcW w:w="587" w:type="dxa"/>
            <w:tcBorders>
              <w:left w:val="nil"/>
              <w:right w:val="nil"/>
            </w:tcBorders>
          </w:tcPr>
          <w:p w14:paraId="769C8D16" w14:textId="77777777" w:rsidR="00061B90" w:rsidRDefault="00061B90">
            <w:pPr>
              <w:spacing w:line="259" w:lineRule="auto"/>
              <w:rPr>
                <w:rFonts w:ascii="Arial" w:eastAsia="Arial" w:hAnsi="Arial" w:cs="Arial"/>
                <w:b/>
                <w:bCs/>
              </w:rPr>
            </w:pPr>
          </w:p>
        </w:tc>
        <w:tc>
          <w:tcPr>
            <w:tcW w:w="586" w:type="dxa"/>
            <w:tcBorders>
              <w:left w:val="nil"/>
              <w:bottom w:val="single" w:sz="4" w:space="0" w:color="000000"/>
              <w:right w:val="nil"/>
            </w:tcBorders>
          </w:tcPr>
          <w:p w14:paraId="6EDD74C8" w14:textId="77777777" w:rsidR="00061B90" w:rsidRDefault="00061B90">
            <w:pPr>
              <w:spacing w:line="259" w:lineRule="auto"/>
              <w:rPr>
                <w:rFonts w:ascii="Arial" w:eastAsia="Arial" w:hAnsi="Arial" w:cs="Arial"/>
                <w:b/>
                <w:bCs/>
              </w:rPr>
            </w:pPr>
          </w:p>
        </w:tc>
        <w:tc>
          <w:tcPr>
            <w:tcW w:w="236" w:type="dxa"/>
            <w:tcBorders>
              <w:left w:val="nil"/>
              <w:bottom w:val="single" w:sz="4" w:space="0" w:color="000000"/>
            </w:tcBorders>
          </w:tcPr>
          <w:p w14:paraId="40D61D29" w14:textId="77777777" w:rsidR="00061B90" w:rsidRDefault="00061B90">
            <w:pPr>
              <w:spacing w:line="259" w:lineRule="auto"/>
              <w:rPr>
                <w:rFonts w:ascii="Arial" w:eastAsia="Arial" w:hAnsi="Arial" w:cs="Arial"/>
                <w:b/>
                <w:bCs/>
              </w:rPr>
            </w:pPr>
          </w:p>
        </w:tc>
      </w:tr>
      <w:tr w:rsidR="00061B90" w14:paraId="7D62EBBB" w14:textId="77777777">
        <w:tc>
          <w:tcPr>
            <w:tcW w:w="898" w:type="dxa"/>
            <w:tcBorders>
              <w:top w:val="nil"/>
            </w:tcBorders>
          </w:tcPr>
          <w:p w14:paraId="5E80290A" w14:textId="77777777" w:rsidR="00061B90" w:rsidRDefault="00061B90">
            <w:pPr>
              <w:spacing w:line="259" w:lineRule="auto"/>
              <w:rPr>
                <w:rFonts w:ascii="Arial" w:eastAsia="Arial" w:hAnsi="Arial" w:cs="Arial"/>
                <w:b/>
                <w:bCs/>
              </w:rPr>
            </w:pPr>
          </w:p>
        </w:tc>
        <w:tc>
          <w:tcPr>
            <w:tcW w:w="1015" w:type="dxa"/>
            <w:tcBorders>
              <w:top w:val="nil"/>
            </w:tcBorders>
          </w:tcPr>
          <w:p w14:paraId="75B356BF" w14:textId="77777777" w:rsidR="00061B90" w:rsidRDefault="00061B90">
            <w:pPr>
              <w:spacing w:line="259" w:lineRule="auto"/>
              <w:rPr>
                <w:rFonts w:ascii="Arial" w:eastAsia="Arial" w:hAnsi="Arial" w:cs="Arial"/>
                <w:b/>
                <w:bCs/>
              </w:rPr>
            </w:pPr>
          </w:p>
        </w:tc>
        <w:tc>
          <w:tcPr>
            <w:tcW w:w="571" w:type="dxa"/>
            <w:tcBorders>
              <w:top w:val="nil"/>
            </w:tcBorders>
          </w:tcPr>
          <w:p w14:paraId="7C13CFB9" w14:textId="77777777" w:rsidR="00061B90" w:rsidRDefault="00061B90">
            <w:pPr>
              <w:spacing w:line="259" w:lineRule="auto"/>
              <w:rPr>
                <w:rFonts w:ascii="Arial" w:eastAsia="Arial" w:hAnsi="Arial" w:cs="Arial"/>
                <w:b/>
                <w:bCs/>
              </w:rPr>
            </w:pPr>
          </w:p>
        </w:tc>
        <w:tc>
          <w:tcPr>
            <w:tcW w:w="571" w:type="dxa"/>
            <w:tcBorders>
              <w:top w:val="nil"/>
            </w:tcBorders>
          </w:tcPr>
          <w:p w14:paraId="1F14F39B" w14:textId="77777777" w:rsidR="00061B90" w:rsidRDefault="00061B90">
            <w:pPr>
              <w:spacing w:line="259" w:lineRule="auto"/>
              <w:rPr>
                <w:rFonts w:ascii="Arial" w:eastAsia="Arial" w:hAnsi="Arial" w:cs="Arial"/>
                <w:b/>
                <w:bCs/>
              </w:rPr>
            </w:pPr>
          </w:p>
        </w:tc>
        <w:tc>
          <w:tcPr>
            <w:tcW w:w="1063" w:type="dxa"/>
            <w:tcBorders>
              <w:top w:val="nil"/>
            </w:tcBorders>
          </w:tcPr>
          <w:p w14:paraId="01D23D7B" w14:textId="77777777" w:rsidR="00061B90" w:rsidRDefault="00061B90">
            <w:pPr>
              <w:spacing w:line="259" w:lineRule="auto"/>
              <w:rPr>
                <w:rFonts w:ascii="Arial" w:eastAsia="Arial" w:hAnsi="Arial" w:cs="Arial"/>
                <w:b/>
                <w:bCs/>
              </w:rPr>
            </w:pPr>
          </w:p>
        </w:tc>
        <w:tc>
          <w:tcPr>
            <w:tcW w:w="1201" w:type="dxa"/>
            <w:tcBorders>
              <w:top w:val="nil"/>
            </w:tcBorders>
          </w:tcPr>
          <w:p w14:paraId="798D45B0" w14:textId="77777777" w:rsidR="00061B90" w:rsidRDefault="00061B90">
            <w:pPr>
              <w:spacing w:line="259" w:lineRule="auto"/>
              <w:rPr>
                <w:rFonts w:ascii="Arial" w:eastAsia="Arial" w:hAnsi="Arial" w:cs="Arial"/>
                <w:b/>
                <w:bCs/>
              </w:rPr>
            </w:pPr>
          </w:p>
        </w:tc>
        <w:tc>
          <w:tcPr>
            <w:tcW w:w="1071" w:type="dxa"/>
            <w:tcBorders>
              <w:top w:val="nil"/>
            </w:tcBorders>
          </w:tcPr>
          <w:p w14:paraId="3BB75F03" w14:textId="77777777" w:rsidR="00061B90" w:rsidRDefault="00061B90">
            <w:pPr>
              <w:spacing w:line="259" w:lineRule="auto"/>
              <w:rPr>
                <w:rFonts w:ascii="Arial" w:eastAsia="Arial" w:hAnsi="Arial" w:cs="Arial"/>
                <w:b/>
                <w:bCs/>
              </w:rPr>
            </w:pPr>
          </w:p>
        </w:tc>
        <w:tc>
          <w:tcPr>
            <w:tcW w:w="620" w:type="dxa"/>
            <w:tcBorders>
              <w:right w:val="single" w:sz="4" w:space="0" w:color="000000"/>
            </w:tcBorders>
          </w:tcPr>
          <w:p w14:paraId="04C4BA0E" w14:textId="77777777" w:rsidR="00061B90" w:rsidRDefault="002D1E17">
            <w:pPr>
              <w:spacing w:line="259" w:lineRule="auto"/>
              <w:rPr>
                <w:rFonts w:ascii="Arial" w:eastAsia="Arial" w:hAnsi="Arial" w:cs="Arial"/>
                <w:b/>
                <w:bCs/>
              </w:rPr>
            </w:pPr>
            <w:r>
              <w:rPr>
                <w:rFonts w:ascii="Arial" w:eastAsia="Arial" w:hAnsi="Arial" w:cs="Arial"/>
                <w:b/>
                <w:bCs/>
              </w:rPr>
              <w:t>GLU</w:t>
            </w:r>
          </w:p>
        </w:tc>
        <w:tc>
          <w:tcPr>
            <w:tcW w:w="597" w:type="dxa"/>
            <w:tcBorders>
              <w:left w:val="single" w:sz="4" w:space="0" w:color="000000"/>
              <w:right w:val="single" w:sz="4" w:space="0" w:color="000000"/>
            </w:tcBorders>
          </w:tcPr>
          <w:p w14:paraId="0A2254E6" w14:textId="77777777" w:rsidR="00061B90" w:rsidRDefault="002D1E17">
            <w:pPr>
              <w:spacing w:line="259" w:lineRule="auto"/>
              <w:rPr>
                <w:rFonts w:ascii="Arial" w:eastAsia="Arial" w:hAnsi="Arial" w:cs="Arial"/>
                <w:b/>
                <w:bCs/>
              </w:rPr>
            </w:pPr>
            <w:r>
              <w:rPr>
                <w:rFonts w:ascii="Arial" w:eastAsia="Arial" w:hAnsi="Arial" w:cs="Arial"/>
                <w:b/>
                <w:bCs/>
              </w:rPr>
              <w:t>LAC</w:t>
            </w:r>
          </w:p>
        </w:tc>
        <w:tc>
          <w:tcPr>
            <w:tcW w:w="587" w:type="dxa"/>
            <w:tcBorders>
              <w:left w:val="single" w:sz="4" w:space="0" w:color="000000"/>
              <w:right w:val="single" w:sz="4" w:space="0" w:color="000000"/>
            </w:tcBorders>
          </w:tcPr>
          <w:p w14:paraId="621FBCAA" w14:textId="77777777" w:rsidR="00061B90" w:rsidRDefault="002D1E17">
            <w:pPr>
              <w:spacing w:line="259" w:lineRule="auto"/>
              <w:rPr>
                <w:rFonts w:ascii="Arial" w:eastAsia="Arial" w:hAnsi="Arial" w:cs="Arial"/>
                <w:b/>
                <w:bCs/>
              </w:rPr>
            </w:pPr>
            <w:r>
              <w:rPr>
                <w:rFonts w:ascii="Arial" w:eastAsia="Arial" w:hAnsi="Arial" w:cs="Arial"/>
                <w:b/>
                <w:bCs/>
              </w:rPr>
              <w:t>SUC</w:t>
            </w:r>
          </w:p>
        </w:tc>
        <w:tc>
          <w:tcPr>
            <w:tcW w:w="586" w:type="dxa"/>
            <w:tcBorders>
              <w:left w:val="single" w:sz="4" w:space="0" w:color="000000"/>
              <w:right w:val="nil"/>
            </w:tcBorders>
          </w:tcPr>
          <w:p w14:paraId="7695C00A" w14:textId="77777777" w:rsidR="00061B90" w:rsidRDefault="002D1E17">
            <w:pPr>
              <w:spacing w:line="259" w:lineRule="auto"/>
              <w:rPr>
                <w:rFonts w:ascii="Arial" w:eastAsia="Arial" w:hAnsi="Arial" w:cs="Arial"/>
                <w:b/>
                <w:bCs/>
              </w:rPr>
            </w:pPr>
            <w:r>
              <w:rPr>
                <w:rFonts w:ascii="Arial" w:eastAsia="Arial" w:hAnsi="Arial" w:cs="Arial"/>
                <w:b/>
                <w:bCs/>
              </w:rPr>
              <w:t>GAS</w:t>
            </w:r>
          </w:p>
        </w:tc>
        <w:tc>
          <w:tcPr>
            <w:tcW w:w="236" w:type="dxa"/>
            <w:tcBorders>
              <w:left w:val="nil"/>
            </w:tcBorders>
          </w:tcPr>
          <w:p w14:paraId="69F52A41" w14:textId="77777777" w:rsidR="00061B90" w:rsidRDefault="00061B90">
            <w:pPr>
              <w:spacing w:line="259" w:lineRule="auto"/>
              <w:rPr>
                <w:rFonts w:ascii="Arial" w:eastAsia="Arial" w:hAnsi="Arial" w:cs="Arial"/>
                <w:b/>
                <w:bCs/>
              </w:rPr>
            </w:pPr>
          </w:p>
        </w:tc>
      </w:tr>
      <w:tr w:rsidR="00061B90" w14:paraId="14CA2E3B" w14:textId="77777777">
        <w:trPr>
          <w:trHeight w:val="409"/>
        </w:trPr>
        <w:tc>
          <w:tcPr>
            <w:tcW w:w="898" w:type="dxa"/>
          </w:tcPr>
          <w:p w14:paraId="56FA6942" w14:textId="77777777" w:rsidR="00061B90" w:rsidRDefault="002D1E17">
            <w:pPr>
              <w:rPr>
                <w:rFonts w:ascii="Arial" w:eastAsia="Arial" w:hAnsi="Arial" w:cs="Arial"/>
                <w:b/>
                <w:bCs/>
              </w:rPr>
            </w:pPr>
            <w:r>
              <w:rPr>
                <w:rFonts w:ascii="Arial" w:eastAsia="Arial" w:hAnsi="Arial" w:cs="Arial"/>
                <w:b/>
                <w:bCs/>
              </w:rPr>
              <w:t>1</w:t>
            </w:r>
          </w:p>
        </w:tc>
        <w:tc>
          <w:tcPr>
            <w:tcW w:w="1015" w:type="dxa"/>
          </w:tcPr>
          <w:p w14:paraId="5FA4DA6C"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71" w:type="dxa"/>
          </w:tcPr>
          <w:p w14:paraId="525C4C15"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71" w:type="dxa"/>
          </w:tcPr>
          <w:p w14:paraId="39DF9C38"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1063" w:type="dxa"/>
          </w:tcPr>
          <w:p w14:paraId="5278DAF9"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1201" w:type="dxa"/>
          </w:tcPr>
          <w:p w14:paraId="01755901"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1071" w:type="dxa"/>
          </w:tcPr>
          <w:p w14:paraId="0DE426FA"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620" w:type="dxa"/>
          </w:tcPr>
          <w:p w14:paraId="04B7ED5D"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97" w:type="dxa"/>
          </w:tcPr>
          <w:p w14:paraId="1F19ABAB"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87" w:type="dxa"/>
          </w:tcPr>
          <w:p w14:paraId="36DB74A9"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86" w:type="dxa"/>
            <w:tcBorders>
              <w:right w:val="nil"/>
            </w:tcBorders>
          </w:tcPr>
          <w:p w14:paraId="1C1735B3"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236" w:type="dxa"/>
            <w:tcBorders>
              <w:left w:val="nil"/>
            </w:tcBorders>
          </w:tcPr>
          <w:p w14:paraId="4173DBF5" w14:textId="77777777" w:rsidR="00061B90" w:rsidRDefault="00061B90">
            <w:pPr>
              <w:rPr>
                <w:rFonts w:ascii="Arial" w:eastAsia="Arial" w:hAnsi="Arial" w:cs="Arial"/>
                <w:b/>
                <w:bCs/>
              </w:rPr>
            </w:pPr>
          </w:p>
        </w:tc>
      </w:tr>
      <w:tr w:rsidR="00061B90" w14:paraId="0A222A1C" w14:textId="77777777">
        <w:trPr>
          <w:trHeight w:val="414"/>
        </w:trPr>
        <w:tc>
          <w:tcPr>
            <w:tcW w:w="898" w:type="dxa"/>
          </w:tcPr>
          <w:p w14:paraId="2B5C5A50" w14:textId="77777777" w:rsidR="00061B90" w:rsidRDefault="002D1E17">
            <w:pPr>
              <w:rPr>
                <w:rFonts w:ascii="Arial" w:eastAsia="Arial" w:hAnsi="Arial" w:cs="Arial"/>
                <w:b/>
                <w:bCs/>
              </w:rPr>
            </w:pPr>
            <w:r>
              <w:rPr>
                <w:rFonts w:ascii="Arial" w:eastAsia="Arial" w:hAnsi="Arial" w:cs="Arial"/>
                <w:b/>
                <w:bCs/>
              </w:rPr>
              <w:t>2</w:t>
            </w:r>
          </w:p>
        </w:tc>
        <w:tc>
          <w:tcPr>
            <w:tcW w:w="1015" w:type="dxa"/>
          </w:tcPr>
          <w:p w14:paraId="1101707A"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71" w:type="dxa"/>
          </w:tcPr>
          <w:p w14:paraId="7F44C1BF"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71" w:type="dxa"/>
          </w:tcPr>
          <w:p w14:paraId="0BC9BCE4"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1063" w:type="dxa"/>
          </w:tcPr>
          <w:p w14:paraId="55603E15"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1201" w:type="dxa"/>
          </w:tcPr>
          <w:p w14:paraId="683AA1DD"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1071" w:type="dxa"/>
          </w:tcPr>
          <w:p w14:paraId="2C608D41"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620" w:type="dxa"/>
          </w:tcPr>
          <w:p w14:paraId="0F17B4A8"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97" w:type="dxa"/>
          </w:tcPr>
          <w:p w14:paraId="1B7A53CB"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87" w:type="dxa"/>
          </w:tcPr>
          <w:p w14:paraId="3EED6684"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86" w:type="dxa"/>
            <w:tcBorders>
              <w:right w:val="nil"/>
            </w:tcBorders>
          </w:tcPr>
          <w:p w14:paraId="3482B2A4"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236" w:type="dxa"/>
            <w:tcBorders>
              <w:left w:val="nil"/>
            </w:tcBorders>
          </w:tcPr>
          <w:p w14:paraId="150C0B82" w14:textId="77777777" w:rsidR="00061B90" w:rsidRDefault="00061B90">
            <w:pPr>
              <w:rPr>
                <w:rFonts w:ascii="Arial" w:eastAsia="Arial" w:hAnsi="Arial" w:cs="Arial"/>
                <w:b/>
                <w:bCs/>
              </w:rPr>
            </w:pPr>
          </w:p>
        </w:tc>
      </w:tr>
      <w:tr w:rsidR="00061B90" w14:paraId="4EC0286F" w14:textId="77777777">
        <w:trPr>
          <w:trHeight w:val="420"/>
        </w:trPr>
        <w:tc>
          <w:tcPr>
            <w:tcW w:w="898" w:type="dxa"/>
          </w:tcPr>
          <w:p w14:paraId="5BB62A45" w14:textId="77777777" w:rsidR="00061B90" w:rsidRDefault="002D1E17">
            <w:pPr>
              <w:rPr>
                <w:rFonts w:ascii="Arial" w:eastAsia="Arial" w:hAnsi="Arial" w:cs="Arial"/>
                <w:b/>
                <w:bCs/>
              </w:rPr>
            </w:pPr>
            <w:r>
              <w:rPr>
                <w:rFonts w:ascii="Arial" w:eastAsia="Arial" w:hAnsi="Arial" w:cs="Arial"/>
                <w:b/>
                <w:bCs/>
              </w:rPr>
              <w:t>4</w:t>
            </w:r>
          </w:p>
        </w:tc>
        <w:tc>
          <w:tcPr>
            <w:tcW w:w="1015" w:type="dxa"/>
          </w:tcPr>
          <w:p w14:paraId="76807872"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71" w:type="dxa"/>
          </w:tcPr>
          <w:p w14:paraId="3999B662"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71" w:type="dxa"/>
          </w:tcPr>
          <w:p w14:paraId="58F6A8F0"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1063" w:type="dxa"/>
          </w:tcPr>
          <w:p w14:paraId="09BBE924"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1201" w:type="dxa"/>
          </w:tcPr>
          <w:p w14:paraId="08EBB76A"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1071" w:type="dxa"/>
          </w:tcPr>
          <w:p w14:paraId="55E80CDD"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620" w:type="dxa"/>
          </w:tcPr>
          <w:p w14:paraId="42424C55"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97" w:type="dxa"/>
          </w:tcPr>
          <w:p w14:paraId="04772EC0"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87" w:type="dxa"/>
          </w:tcPr>
          <w:p w14:paraId="6B49355E"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86" w:type="dxa"/>
            <w:tcBorders>
              <w:right w:val="nil"/>
            </w:tcBorders>
          </w:tcPr>
          <w:p w14:paraId="72914B22" w14:textId="77777777" w:rsidR="00061B90" w:rsidRDefault="002D1E17">
            <w:pPr>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236" w:type="dxa"/>
            <w:tcBorders>
              <w:left w:val="nil"/>
            </w:tcBorders>
          </w:tcPr>
          <w:p w14:paraId="4AFC5E72" w14:textId="77777777" w:rsidR="00061B90" w:rsidRDefault="00061B90">
            <w:pPr>
              <w:rPr>
                <w:rFonts w:ascii="Arial" w:eastAsia="Arial" w:hAnsi="Arial" w:cs="Arial"/>
                <w:b/>
                <w:bCs/>
              </w:rPr>
            </w:pPr>
          </w:p>
        </w:tc>
      </w:tr>
      <w:tr w:rsidR="00061B90" w14:paraId="6278EA9A" w14:textId="77777777">
        <w:trPr>
          <w:trHeight w:val="349"/>
        </w:trPr>
        <w:tc>
          <w:tcPr>
            <w:tcW w:w="898" w:type="dxa"/>
          </w:tcPr>
          <w:p w14:paraId="3CDC0F2E" w14:textId="77777777" w:rsidR="00061B90" w:rsidRDefault="002D1E17">
            <w:pPr>
              <w:spacing w:line="259" w:lineRule="auto"/>
              <w:rPr>
                <w:rFonts w:ascii="Arial" w:eastAsia="Arial" w:hAnsi="Arial" w:cs="Arial"/>
                <w:b/>
                <w:bCs/>
              </w:rPr>
            </w:pPr>
            <w:r>
              <w:rPr>
                <w:rFonts w:ascii="Arial" w:eastAsia="Arial" w:hAnsi="Arial" w:cs="Arial"/>
                <w:b/>
                <w:bCs/>
              </w:rPr>
              <w:t>8</w:t>
            </w:r>
          </w:p>
        </w:tc>
        <w:tc>
          <w:tcPr>
            <w:tcW w:w="1015" w:type="dxa"/>
          </w:tcPr>
          <w:p w14:paraId="613F1DEB"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71" w:type="dxa"/>
          </w:tcPr>
          <w:p w14:paraId="4D6BA1C7"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71" w:type="dxa"/>
          </w:tcPr>
          <w:p w14:paraId="352A2E3A"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1063" w:type="dxa"/>
          </w:tcPr>
          <w:p w14:paraId="2E3C463B"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1201" w:type="dxa"/>
          </w:tcPr>
          <w:p w14:paraId="595F1322"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1071" w:type="dxa"/>
          </w:tcPr>
          <w:p w14:paraId="2F6DE70E"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620" w:type="dxa"/>
          </w:tcPr>
          <w:p w14:paraId="2645C68D"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97" w:type="dxa"/>
          </w:tcPr>
          <w:p w14:paraId="5DDEC71E"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87" w:type="dxa"/>
          </w:tcPr>
          <w:p w14:paraId="4689B712"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86" w:type="dxa"/>
            <w:tcBorders>
              <w:right w:val="nil"/>
            </w:tcBorders>
          </w:tcPr>
          <w:p w14:paraId="2C40F9F8"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236" w:type="dxa"/>
            <w:tcBorders>
              <w:left w:val="nil"/>
            </w:tcBorders>
          </w:tcPr>
          <w:p w14:paraId="53C25D0F" w14:textId="77777777" w:rsidR="00061B90" w:rsidRDefault="00061B90">
            <w:pPr>
              <w:spacing w:line="259" w:lineRule="auto"/>
              <w:rPr>
                <w:rFonts w:ascii="Arial" w:eastAsia="Arial" w:hAnsi="Arial" w:cs="Arial"/>
                <w:b/>
                <w:bCs/>
              </w:rPr>
            </w:pPr>
          </w:p>
        </w:tc>
      </w:tr>
      <w:tr w:rsidR="00061B90" w14:paraId="00E18CE3" w14:textId="77777777">
        <w:trPr>
          <w:trHeight w:val="483"/>
        </w:trPr>
        <w:tc>
          <w:tcPr>
            <w:tcW w:w="898" w:type="dxa"/>
          </w:tcPr>
          <w:p w14:paraId="53CD1433" w14:textId="77777777" w:rsidR="00061B90" w:rsidRDefault="002D1E17">
            <w:pPr>
              <w:spacing w:line="259" w:lineRule="auto"/>
              <w:rPr>
                <w:rFonts w:ascii="Arial" w:eastAsia="Arial" w:hAnsi="Arial" w:cs="Arial"/>
                <w:b/>
                <w:bCs/>
              </w:rPr>
            </w:pPr>
            <w:r>
              <w:rPr>
                <w:rFonts w:ascii="Arial" w:eastAsia="Arial" w:hAnsi="Arial" w:cs="Arial"/>
                <w:b/>
                <w:bCs/>
              </w:rPr>
              <w:t>9</w:t>
            </w:r>
          </w:p>
        </w:tc>
        <w:tc>
          <w:tcPr>
            <w:tcW w:w="1015" w:type="dxa"/>
          </w:tcPr>
          <w:p w14:paraId="7D8CC4D6"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71" w:type="dxa"/>
          </w:tcPr>
          <w:p w14:paraId="1C683D8E"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71" w:type="dxa"/>
          </w:tcPr>
          <w:p w14:paraId="660E3525"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1063" w:type="dxa"/>
          </w:tcPr>
          <w:p w14:paraId="4A19ADFF"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1201" w:type="dxa"/>
          </w:tcPr>
          <w:p w14:paraId="5634FC82"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1071" w:type="dxa"/>
          </w:tcPr>
          <w:p w14:paraId="49C7DE25"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620" w:type="dxa"/>
          </w:tcPr>
          <w:p w14:paraId="13A1FFE5"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97" w:type="dxa"/>
          </w:tcPr>
          <w:p w14:paraId="48E2AE7C"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87" w:type="dxa"/>
          </w:tcPr>
          <w:p w14:paraId="3B4CB106"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86" w:type="dxa"/>
            <w:tcBorders>
              <w:right w:val="nil"/>
            </w:tcBorders>
          </w:tcPr>
          <w:p w14:paraId="08301531"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236" w:type="dxa"/>
            <w:tcBorders>
              <w:left w:val="nil"/>
            </w:tcBorders>
          </w:tcPr>
          <w:p w14:paraId="37A99C64" w14:textId="77777777" w:rsidR="00061B90" w:rsidRDefault="00061B90">
            <w:pPr>
              <w:spacing w:line="259" w:lineRule="auto"/>
              <w:rPr>
                <w:rFonts w:ascii="Arial" w:eastAsia="Arial" w:hAnsi="Arial" w:cs="Arial"/>
                <w:b/>
                <w:bCs/>
              </w:rPr>
            </w:pPr>
          </w:p>
        </w:tc>
      </w:tr>
      <w:tr w:rsidR="00061B90" w14:paraId="43959941" w14:textId="77777777">
        <w:trPr>
          <w:trHeight w:val="550"/>
        </w:trPr>
        <w:tc>
          <w:tcPr>
            <w:tcW w:w="898" w:type="dxa"/>
          </w:tcPr>
          <w:p w14:paraId="67E68ACC" w14:textId="77777777" w:rsidR="00061B90" w:rsidRDefault="002D1E17">
            <w:pPr>
              <w:spacing w:line="259" w:lineRule="auto"/>
              <w:rPr>
                <w:rFonts w:ascii="Arial" w:eastAsia="Arial" w:hAnsi="Arial" w:cs="Arial"/>
                <w:b/>
                <w:bCs/>
              </w:rPr>
            </w:pPr>
            <w:r>
              <w:rPr>
                <w:rFonts w:ascii="Arial" w:eastAsia="Arial" w:hAnsi="Arial" w:cs="Arial"/>
                <w:b/>
                <w:bCs/>
              </w:rPr>
              <w:t>11</w:t>
            </w:r>
          </w:p>
        </w:tc>
        <w:tc>
          <w:tcPr>
            <w:tcW w:w="1015" w:type="dxa"/>
          </w:tcPr>
          <w:p w14:paraId="1267A601"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71" w:type="dxa"/>
          </w:tcPr>
          <w:p w14:paraId="2D5836E7"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71" w:type="dxa"/>
          </w:tcPr>
          <w:p w14:paraId="2C3EFAC9"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1063" w:type="dxa"/>
          </w:tcPr>
          <w:p w14:paraId="0727B3B6"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1201" w:type="dxa"/>
          </w:tcPr>
          <w:p w14:paraId="1925F38F"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1071" w:type="dxa"/>
          </w:tcPr>
          <w:p w14:paraId="5FFD6F64"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620" w:type="dxa"/>
          </w:tcPr>
          <w:p w14:paraId="18A7433F"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97" w:type="dxa"/>
          </w:tcPr>
          <w:p w14:paraId="63CB7B49"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87" w:type="dxa"/>
          </w:tcPr>
          <w:p w14:paraId="10459097"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586" w:type="dxa"/>
            <w:tcBorders>
              <w:right w:val="nil"/>
            </w:tcBorders>
          </w:tcPr>
          <w:p w14:paraId="57C8A800" w14:textId="77777777" w:rsidR="00061B90" w:rsidRDefault="002D1E17">
            <w:pPr>
              <w:spacing w:line="259" w:lineRule="auto"/>
              <w:rPr>
                <w:rFonts w:ascii="Arial" w:eastAsia="Arial" w:hAnsi="Arial" w:cs="Arial"/>
              </w:rPr>
            </w:pPr>
            <w:r>
              <w:rPr>
                <w:rFonts w:ascii="Arial" w:eastAsia="Arial" w:hAnsi="Arial" w:cs="Arial"/>
              </w:rPr>
              <w:t>+</w:t>
            </w:r>
            <w:proofErr w:type="spellStart"/>
            <w:r>
              <w:rPr>
                <w:rFonts w:ascii="Arial" w:eastAsia="Arial" w:hAnsi="Arial" w:cs="Arial"/>
              </w:rPr>
              <w:t>ve</w:t>
            </w:r>
            <w:proofErr w:type="spellEnd"/>
          </w:p>
        </w:tc>
        <w:tc>
          <w:tcPr>
            <w:tcW w:w="236" w:type="dxa"/>
            <w:tcBorders>
              <w:left w:val="nil"/>
            </w:tcBorders>
          </w:tcPr>
          <w:p w14:paraId="47E1FC37" w14:textId="77777777" w:rsidR="00061B90" w:rsidRDefault="00061B90">
            <w:pPr>
              <w:spacing w:line="259" w:lineRule="auto"/>
              <w:rPr>
                <w:rFonts w:ascii="Arial" w:eastAsia="Arial" w:hAnsi="Arial" w:cs="Arial"/>
                <w:b/>
                <w:bCs/>
              </w:rPr>
            </w:pPr>
          </w:p>
        </w:tc>
      </w:tr>
    </w:tbl>
    <w:p w14:paraId="5D253332" w14:textId="77777777" w:rsidR="00061B90" w:rsidRDefault="00061B90">
      <w:pPr>
        <w:keepNext/>
        <w:pBdr>
          <w:top w:val="nil"/>
          <w:left w:val="nil"/>
          <w:bottom w:val="nil"/>
          <w:right w:val="nil"/>
          <w:between w:val="nil"/>
        </w:pBdr>
        <w:spacing w:after="200"/>
        <w:rPr>
          <w:rFonts w:ascii="Arial" w:eastAsia="Arial" w:hAnsi="Arial" w:cs="Arial"/>
          <w:color w:val="000000"/>
          <w:sz w:val="18"/>
          <w:szCs w:val="18"/>
        </w:rPr>
      </w:pPr>
    </w:p>
    <w:p w14:paraId="7729E42C" w14:textId="77777777" w:rsidR="00061B90" w:rsidRDefault="00061B90">
      <w:pPr>
        <w:pBdr>
          <w:top w:val="nil"/>
          <w:left w:val="nil"/>
          <w:bottom w:val="nil"/>
          <w:right w:val="nil"/>
          <w:between w:val="nil"/>
        </w:pBdr>
        <w:rPr>
          <w:rFonts w:ascii="Arial" w:eastAsia="Arial" w:hAnsi="Arial" w:cs="Arial"/>
          <w:color w:val="000000"/>
          <w:sz w:val="20"/>
        </w:rPr>
      </w:pPr>
    </w:p>
    <w:p w14:paraId="1D23521D" w14:textId="77777777" w:rsidR="00061B90" w:rsidRDefault="00061B90">
      <w:pPr>
        <w:keepNext/>
        <w:pBdr>
          <w:top w:val="nil"/>
          <w:left w:val="nil"/>
          <w:bottom w:val="nil"/>
          <w:right w:val="nil"/>
          <w:between w:val="nil"/>
        </w:pBdr>
        <w:rPr>
          <w:rFonts w:ascii="Arial" w:eastAsia="Arial" w:hAnsi="Arial" w:cs="Arial"/>
          <w:b/>
          <w:bCs/>
          <w:smallCaps/>
          <w:color w:val="000000"/>
          <w:sz w:val="22"/>
          <w:szCs w:val="22"/>
        </w:rPr>
      </w:pPr>
    </w:p>
    <w:p w14:paraId="6F11EC30" w14:textId="77777777" w:rsidR="00061B90" w:rsidRDefault="00061B90">
      <w:pPr>
        <w:keepNext/>
        <w:pBdr>
          <w:top w:val="nil"/>
          <w:left w:val="nil"/>
          <w:bottom w:val="nil"/>
          <w:right w:val="nil"/>
          <w:between w:val="nil"/>
        </w:pBdr>
        <w:rPr>
          <w:rFonts w:ascii="Arial" w:eastAsia="Arial" w:hAnsi="Arial" w:cs="Arial"/>
          <w:b/>
          <w:bCs/>
          <w:smallCaps/>
          <w:color w:val="000000"/>
          <w:sz w:val="22"/>
          <w:szCs w:val="22"/>
        </w:rPr>
      </w:pPr>
    </w:p>
    <w:p w14:paraId="1D9EDC7C" w14:textId="77777777" w:rsidR="00061B90" w:rsidRDefault="00061B90">
      <w:pPr>
        <w:keepNext/>
        <w:pBdr>
          <w:top w:val="nil"/>
          <w:left w:val="nil"/>
          <w:bottom w:val="nil"/>
          <w:right w:val="nil"/>
          <w:between w:val="nil"/>
        </w:pBdr>
        <w:rPr>
          <w:rFonts w:ascii="Arial" w:eastAsia="Arial" w:hAnsi="Arial" w:cs="Arial"/>
          <w:b/>
          <w:bCs/>
          <w:smallCaps/>
          <w:color w:val="000000"/>
          <w:sz w:val="22"/>
          <w:szCs w:val="22"/>
        </w:rPr>
      </w:pPr>
    </w:p>
    <w:p w14:paraId="727D3C03" w14:textId="77777777" w:rsidR="00061B90" w:rsidRDefault="00061B90">
      <w:pPr>
        <w:keepNext/>
        <w:pBdr>
          <w:top w:val="nil"/>
          <w:left w:val="nil"/>
          <w:bottom w:val="nil"/>
          <w:right w:val="nil"/>
          <w:between w:val="nil"/>
        </w:pBdr>
        <w:rPr>
          <w:rFonts w:ascii="Arial" w:eastAsia="Arial" w:hAnsi="Arial" w:cs="Arial"/>
          <w:b/>
          <w:bCs/>
          <w:smallCaps/>
          <w:color w:val="000000"/>
          <w:sz w:val="22"/>
          <w:szCs w:val="22"/>
        </w:rPr>
      </w:pPr>
    </w:p>
    <w:p w14:paraId="0B65154E" w14:textId="7A8BAF91" w:rsidR="00061B90" w:rsidRDefault="00061B90">
      <w:pPr>
        <w:keepNext/>
        <w:pBdr>
          <w:top w:val="nil"/>
          <w:left w:val="nil"/>
          <w:bottom w:val="nil"/>
          <w:right w:val="nil"/>
          <w:between w:val="nil"/>
        </w:pBdr>
        <w:rPr>
          <w:rFonts w:ascii="Arial" w:eastAsia="Arial" w:hAnsi="Arial" w:cs="Arial"/>
          <w:smallCaps/>
          <w:color w:val="000000"/>
          <w:sz w:val="22"/>
          <w:szCs w:val="22"/>
        </w:rPr>
        <w:sectPr w:rsidR="00061B90" w:rsidSect="00244F0B">
          <w:headerReference w:type="even" r:id="rId16"/>
          <w:headerReference w:type="default" r:id="rId17"/>
          <w:footerReference w:type="default" r:id="rId18"/>
          <w:headerReference w:type="first" r:id="rId19"/>
          <w:type w:val="continuous"/>
          <w:pgSz w:w="12240" w:h="15840"/>
          <w:pgMar w:top="1440" w:right="2016" w:bottom="2016" w:left="2016" w:header="720" w:footer="1123" w:gutter="0"/>
          <w:cols w:space="720"/>
        </w:sectPr>
      </w:pPr>
    </w:p>
    <w:p w14:paraId="3FEF063C" w14:textId="77777777" w:rsidR="00061B90" w:rsidRDefault="00061B90">
      <w:pPr>
        <w:keepNext/>
        <w:pBdr>
          <w:top w:val="nil"/>
          <w:left w:val="nil"/>
          <w:bottom w:val="nil"/>
          <w:right w:val="nil"/>
          <w:between w:val="nil"/>
        </w:pBdr>
        <w:rPr>
          <w:rFonts w:ascii="Arial" w:eastAsia="Arial" w:hAnsi="Arial" w:cs="Arial"/>
          <w:smallCaps/>
          <w:color w:val="000000"/>
          <w:sz w:val="22"/>
          <w:szCs w:val="22"/>
        </w:rPr>
      </w:pPr>
    </w:p>
    <w:sectPr w:rsidR="00061B90" w:rsidSect="00244F0B">
      <w:type w:val="continuous"/>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2D505" w14:textId="77777777" w:rsidR="00E14B0D" w:rsidRDefault="00E14B0D">
      <w:r>
        <w:separator/>
      </w:r>
    </w:p>
  </w:endnote>
  <w:endnote w:type="continuationSeparator" w:id="0">
    <w:p w14:paraId="318D939B" w14:textId="77777777" w:rsidR="00E14B0D" w:rsidRDefault="00E14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Helvetica Neue">
    <w:altName w:val="SimSu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B642CA4-29E4-4D03-A397-739F8E7B2E2A}"/>
  </w:font>
  <w:font w:name="Cambria Math">
    <w:panose1 w:val="02040503050406030204"/>
    <w:charset w:val="00"/>
    <w:family w:val="roman"/>
    <w:pitch w:val="variable"/>
    <w:sig w:usb0="E00006FF" w:usb1="420024FF" w:usb2="02000000" w:usb3="00000000" w:csb0="0000019F" w:csb1="00000000"/>
    <w:embedRegular r:id="rId2" w:fontKey="{059CE703-9DE3-420D-9538-3689704E77FD}"/>
  </w:font>
  <w:font w:name="Calibri">
    <w:panose1 w:val="020F0502020204030204"/>
    <w:charset w:val="00"/>
    <w:family w:val="swiss"/>
    <w:pitch w:val="variable"/>
    <w:sig w:usb0="E4002EFF" w:usb1="C200247B" w:usb2="00000009" w:usb3="00000000" w:csb0="000001FF" w:csb1="00000000"/>
    <w:embedRegular r:id="rId3" w:fontKey="{550A9218-83BC-4FE2-BF3F-F84433CCDC94}"/>
    <w:embedBold r:id="rId4" w:fontKey="{E23AD684-CB23-4F62-90DF-11A9D68C3229}"/>
  </w:font>
  <w:font w:name="Cambria">
    <w:panose1 w:val="02040503050406030204"/>
    <w:charset w:val="00"/>
    <w:family w:val="roman"/>
    <w:pitch w:val="variable"/>
    <w:sig w:usb0="E00006FF" w:usb1="420024FF" w:usb2="02000000" w:usb3="00000000" w:csb0="0000019F" w:csb1="00000000"/>
    <w:embedRegular r:id="rId5" w:fontKey="{47897ABF-FDEB-4E45-B25C-42B727ABC2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70F6E" w14:textId="77777777" w:rsidR="00061B90" w:rsidRDefault="00061B90">
    <w:pPr>
      <w:pBdr>
        <w:top w:val="nil"/>
        <w:left w:val="nil"/>
        <w:bottom w:val="nil"/>
        <w:right w:val="nil"/>
        <w:between w:val="nil"/>
      </w:pBdr>
      <w:tabs>
        <w:tab w:val="center" w:pos="4320"/>
        <w:tab w:val="right" w:pos="8640"/>
      </w:tabs>
      <w:jc w:val="left"/>
      <w:rPr>
        <w:color w:val="00000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6CDC1" w14:textId="77777777" w:rsidR="00A340F3" w:rsidRDefault="00A340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6E3F1" w14:textId="77777777" w:rsidR="00061B90" w:rsidRDefault="00061B90">
    <w:pPr>
      <w:pBdr>
        <w:top w:val="nil"/>
        <w:left w:val="nil"/>
        <w:bottom w:val="nil"/>
        <w:right w:val="nil"/>
        <w:between w:val="nil"/>
      </w:pBdr>
      <w:tabs>
        <w:tab w:val="center" w:pos="4320"/>
        <w:tab w:val="right" w:pos="8640"/>
      </w:tabs>
      <w:jc w:val="left"/>
      <w:rPr>
        <w:rFonts w:ascii="Arial" w:eastAsia="Arial" w:hAnsi="Arial" w:cs="Arial"/>
        <w:color w:val="000000"/>
        <w:sz w:val="16"/>
        <w:szCs w:val="16"/>
      </w:rPr>
    </w:pPr>
  </w:p>
  <w:p w14:paraId="01436720" w14:textId="77777777" w:rsidR="00061B90" w:rsidRDefault="002D1E17">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r>
      <w:rPr>
        <w:rFonts w:ascii="Arial" w:eastAsia="Arial" w:hAnsi="Arial" w:cs="Arial"/>
        <w:color w:val="000000"/>
        <w:sz w:val="16"/>
        <w:szCs w:val="16"/>
      </w:rPr>
      <w:t>____________________________________________________________________________________________</w:t>
    </w:r>
  </w:p>
  <w:p w14:paraId="11D7F08C" w14:textId="77777777" w:rsidR="00061B90" w:rsidRDefault="00061B90">
    <w:pPr>
      <w:pBdr>
        <w:top w:val="nil"/>
        <w:left w:val="nil"/>
        <w:bottom w:val="nil"/>
        <w:right w:val="nil"/>
        <w:between w:val="nil"/>
      </w:pBdr>
      <w:tabs>
        <w:tab w:val="center" w:pos="4320"/>
        <w:tab w:val="right" w:pos="8640"/>
      </w:tabs>
      <w:jc w:val="left"/>
      <w:rPr>
        <w:rFonts w:ascii="Arial" w:eastAsia="Arial" w:hAnsi="Arial" w:cs="Arial"/>
        <w:color w:val="000000"/>
        <w:sz w:val="16"/>
        <w:szCs w:val="16"/>
      </w:rPr>
    </w:pPr>
  </w:p>
  <w:p w14:paraId="2433EE00" w14:textId="77777777" w:rsidR="00061B90" w:rsidRDefault="002D1E17">
    <w:pPr>
      <w:pBdr>
        <w:top w:val="nil"/>
        <w:left w:val="nil"/>
        <w:bottom w:val="nil"/>
        <w:right w:val="nil"/>
        <w:between w:val="nil"/>
      </w:pBdr>
      <w:tabs>
        <w:tab w:val="center" w:pos="4320"/>
        <w:tab w:val="right" w:pos="8640"/>
      </w:tabs>
      <w:jc w:val="left"/>
      <w:rPr>
        <w:rFonts w:ascii="Arial" w:eastAsia="Arial" w:hAnsi="Arial" w:cs="Arial"/>
        <w:i/>
        <w:iCs/>
        <w:color w:val="000000"/>
        <w:sz w:val="16"/>
        <w:szCs w:val="16"/>
      </w:rPr>
    </w:pPr>
    <w:r>
      <w:rPr>
        <w:rFonts w:ascii="Arial" w:eastAsia="Arial" w:hAnsi="Arial" w:cs="Arial"/>
        <w:i/>
        <w:iCs/>
        <w:color w:val="000000"/>
        <w:sz w:val="16"/>
        <w:szCs w:val="16"/>
      </w:rPr>
      <w:t>*Corresponding author: Email: XYZ@ABC.COM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34BB2" w14:textId="77777777" w:rsidR="00061B90" w:rsidRDefault="00061B90">
    <w:pPr>
      <w:pBdr>
        <w:top w:val="nil"/>
        <w:left w:val="nil"/>
        <w:bottom w:val="nil"/>
        <w:right w:val="nil"/>
        <w:between w:val="nil"/>
      </w:pBdr>
      <w:tabs>
        <w:tab w:val="center" w:pos="4320"/>
        <w:tab w:val="right" w:pos="8640"/>
      </w:tabs>
      <w:jc w:val="left"/>
      <w:rPr>
        <w:color w:val="00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D4FB5" w14:textId="77777777" w:rsidR="00E14B0D" w:rsidRDefault="00E14B0D">
      <w:r>
        <w:separator/>
      </w:r>
    </w:p>
  </w:footnote>
  <w:footnote w:type="continuationSeparator" w:id="0">
    <w:p w14:paraId="1FAA30FF" w14:textId="77777777" w:rsidR="00E14B0D" w:rsidRDefault="00E14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54B36" w14:textId="08822CBC" w:rsidR="00061B90" w:rsidRDefault="00A340F3">
    <w:pPr>
      <w:pBdr>
        <w:top w:val="nil"/>
        <w:left w:val="nil"/>
        <w:bottom w:val="nil"/>
        <w:right w:val="nil"/>
        <w:between w:val="nil"/>
      </w:pBdr>
      <w:tabs>
        <w:tab w:val="center" w:pos="4320"/>
        <w:tab w:val="right" w:pos="8640"/>
      </w:tabs>
      <w:jc w:val="left"/>
      <w:rPr>
        <w:color w:val="000000"/>
        <w:sz w:val="20"/>
      </w:rPr>
    </w:pPr>
    <w:r>
      <w:rPr>
        <w:noProof/>
      </w:rPr>
      <w:pict w14:anchorId="4AB7CE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2665563"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 Neue&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0F9E2" w14:textId="58E1F816" w:rsidR="00061B90" w:rsidRDefault="00A340F3">
    <w:pPr>
      <w:pBdr>
        <w:top w:val="nil"/>
        <w:left w:val="nil"/>
        <w:bottom w:val="nil"/>
        <w:right w:val="nil"/>
        <w:between w:val="nil"/>
      </w:pBdr>
      <w:tabs>
        <w:tab w:val="center" w:pos="4320"/>
        <w:tab w:val="right" w:pos="8640"/>
      </w:tabs>
      <w:jc w:val="left"/>
      <w:rPr>
        <w:color w:val="000000"/>
        <w:sz w:val="20"/>
      </w:rPr>
    </w:pPr>
    <w:r>
      <w:rPr>
        <w:noProof/>
      </w:rPr>
      <w:pict w14:anchorId="55BD43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2665564"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 Neue&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160BC" w14:textId="3060C462" w:rsidR="00061B90" w:rsidRDefault="00A340F3">
    <w:pPr>
      <w:ind w:left="2160"/>
      <w:jc w:val="center"/>
      <w:rPr>
        <w:rFonts w:ascii="Times New Roman" w:eastAsia="Times New Roman" w:hAnsi="Times New Roman" w:cs="Times New Roman"/>
        <w:i/>
        <w:iCs/>
        <w:sz w:val="18"/>
        <w:szCs w:val="18"/>
      </w:rPr>
    </w:pPr>
    <w:r>
      <w:rPr>
        <w:noProof/>
      </w:rPr>
      <w:pict w14:anchorId="616665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2665562"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 Neue&quot;;font-size:1pt" string="UNDER PEER REVIEW"/>
        </v:shape>
      </w:pict>
    </w:r>
  </w:p>
  <w:p w14:paraId="6408F113" w14:textId="77777777" w:rsidR="00061B90" w:rsidRDefault="002D1E17">
    <w:pPr>
      <w:ind w:left="4320"/>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 xml:space="preserve">.     </w:t>
    </w:r>
  </w:p>
  <w:p w14:paraId="46154B81" w14:textId="77777777" w:rsidR="00061B90" w:rsidRDefault="002D1E17">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w:t>
    </w:r>
  </w:p>
  <w:p w14:paraId="39FE7964" w14:textId="77777777" w:rsidR="00061B90" w:rsidRDefault="002D1E17">
    <w:pPr>
      <w:spacing w:after="200"/>
      <w:jc w:val="center"/>
      <w:rPr>
        <w:rFonts w:ascii="Times New Roman" w:eastAsia="Times New Roman" w:hAnsi="Times New Roman" w:cs="Times New Roman"/>
        <w:b/>
        <w:bCs/>
        <w:i/>
        <w:iCs/>
        <w:sz w:val="32"/>
        <w:szCs w:val="32"/>
      </w:rPr>
    </w:pPr>
    <w:r>
      <w:rPr>
        <w:rFonts w:ascii="Times New Roman" w:eastAsia="Times New Roman" w:hAnsi="Times New Roman" w:cs="Times New Roman"/>
        <w:b/>
        <w:bCs/>
        <w:i/>
        <w:iCs/>
        <w:sz w:val="32"/>
        <w:szCs w:val="32"/>
      </w:rPr>
      <w:t xml:space="preserve">              . </w:t>
    </w:r>
  </w:p>
  <w:p w14:paraId="7283CFE3" w14:textId="77777777" w:rsidR="00061B90" w:rsidRDefault="002D1E17">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 xml:space="preserve">                     </w:t>
    </w:r>
  </w:p>
  <w:p w14:paraId="45CB1A25" w14:textId="77777777" w:rsidR="00061B90" w:rsidRDefault="002D1E17">
    <w:pPr>
      <w:tabs>
        <w:tab w:val="left" w:pos="2145"/>
      </w:tabs>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ab/>
      <w:t>.</w:t>
    </w:r>
  </w:p>
  <w:p w14:paraId="1BB6DFD3" w14:textId="77777777" w:rsidR="00061B90" w:rsidRDefault="002D1E17">
    <w:pPr>
      <w:pBdr>
        <w:top w:val="nil"/>
        <w:left w:val="nil"/>
        <w:bottom w:val="nil"/>
        <w:right w:val="nil"/>
        <w:between w:val="nil"/>
      </w:pBdr>
      <w:tabs>
        <w:tab w:val="center" w:pos="4320"/>
        <w:tab w:val="right" w:pos="8640"/>
      </w:tabs>
      <w:jc w:val="left"/>
      <w:rPr>
        <w:color w:val="000000"/>
        <w:sz w:val="20"/>
      </w:rPr>
    </w:pPr>
    <w:r>
      <w:rPr>
        <w:color w:val="000000"/>
        <w:sz w:val="20"/>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77FD3" w14:textId="20BE5A0E" w:rsidR="00A340F3" w:rsidRDefault="00A340F3">
    <w:pPr>
      <w:pBdr>
        <w:top w:val="nil"/>
        <w:left w:val="nil"/>
        <w:bottom w:val="nil"/>
        <w:right w:val="nil"/>
        <w:between w:val="nil"/>
      </w:pBdr>
      <w:tabs>
        <w:tab w:val="center" w:pos="4320"/>
        <w:tab w:val="right" w:pos="8640"/>
      </w:tabs>
      <w:jc w:val="left"/>
      <w:rPr>
        <w:color w:val="000000"/>
        <w:sz w:val="20"/>
      </w:rPr>
    </w:pPr>
    <w:r>
      <w:rPr>
        <w:noProof/>
      </w:rPr>
      <w:pict w14:anchorId="11024F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2665566"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 Neue&quot;;font-size:1pt" string="UNDER PEER REVIEW"/>
        </v:shape>
      </w:pict>
    </w:r>
    <w:r>
      <w:rPr>
        <w:noProof/>
      </w:rPr>
      <w:pict w14:anchorId="3FF1BFCA">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 Neue&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518DD" w14:textId="56F999A6" w:rsidR="00A340F3" w:rsidRDefault="00A340F3">
    <w:pPr>
      <w:pBdr>
        <w:top w:val="nil"/>
        <w:left w:val="nil"/>
        <w:bottom w:val="nil"/>
        <w:right w:val="nil"/>
        <w:between w:val="nil"/>
      </w:pBdr>
      <w:tabs>
        <w:tab w:val="center" w:pos="4320"/>
        <w:tab w:val="right" w:pos="8640"/>
      </w:tabs>
      <w:jc w:val="left"/>
      <w:rPr>
        <w:color w:val="000000"/>
        <w:sz w:val="20"/>
      </w:rPr>
    </w:pPr>
    <w:r>
      <w:rPr>
        <w:noProof/>
      </w:rPr>
      <w:pict w14:anchorId="6708C8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2665567"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 Neue&quot;;font-size:1pt" string="UNDER PEER REVIEW"/>
        </v:shape>
      </w:pict>
    </w:r>
    <w:r>
      <w:rPr>
        <w:noProof/>
      </w:rPr>
      <w:pict w14:anchorId="03099E93">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 Neue&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E377E" w14:textId="20FD6A2B" w:rsidR="00A340F3" w:rsidRDefault="00A340F3">
    <w:pPr>
      <w:ind w:left="2160"/>
      <w:jc w:val="center"/>
      <w:rPr>
        <w:rFonts w:ascii="Times New Roman" w:eastAsia="Times New Roman" w:hAnsi="Times New Roman" w:cs="Times New Roman"/>
        <w:i/>
        <w:iCs/>
        <w:sz w:val="18"/>
        <w:szCs w:val="18"/>
      </w:rPr>
    </w:pPr>
    <w:r>
      <w:rPr>
        <w:noProof/>
      </w:rPr>
      <w:pict w14:anchorId="24BA7A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2665565"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 Neue&quot;;font-size:1pt" string="UNDER PEER REVIEW"/>
        </v:shape>
      </w:pict>
    </w:r>
    <w:r>
      <w:rPr>
        <w:noProof/>
      </w:rPr>
      <w:pict w14:anchorId="38526089">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 Neue&quot;;font-size:1pt" string="UNDER PEER REVIEW"/>
        </v:shape>
      </w:pict>
    </w:r>
  </w:p>
  <w:p w14:paraId="12B3C0CE" w14:textId="77777777" w:rsidR="00A340F3" w:rsidRDefault="00A340F3">
    <w:pPr>
      <w:ind w:left="4320"/>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 xml:space="preserve">.     </w:t>
    </w:r>
  </w:p>
  <w:p w14:paraId="14F8651F" w14:textId="77777777" w:rsidR="00A340F3" w:rsidRDefault="00A340F3">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w:t>
    </w:r>
  </w:p>
  <w:p w14:paraId="184C1847" w14:textId="77777777" w:rsidR="00A340F3" w:rsidRDefault="00A340F3">
    <w:pPr>
      <w:spacing w:after="200"/>
      <w:jc w:val="center"/>
      <w:rPr>
        <w:rFonts w:ascii="Times New Roman" w:eastAsia="Times New Roman" w:hAnsi="Times New Roman" w:cs="Times New Roman"/>
        <w:b/>
        <w:bCs/>
        <w:i/>
        <w:iCs/>
        <w:sz w:val="32"/>
        <w:szCs w:val="32"/>
      </w:rPr>
    </w:pPr>
    <w:r>
      <w:rPr>
        <w:rFonts w:ascii="Times New Roman" w:eastAsia="Times New Roman" w:hAnsi="Times New Roman" w:cs="Times New Roman"/>
        <w:b/>
        <w:bCs/>
        <w:i/>
        <w:iCs/>
        <w:sz w:val="32"/>
        <w:szCs w:val="32"/>
      </w:rPr>
      <w:t xml:space="preserve">              . </w:t>
    </w:r>
  </w:p>
  <w:p w14:paraId="3A4C103E" w14:textId="77777777" w:rsidR="00A340F3" w:rsidRDefault="00A340F3">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 xml:space="preserve">                     </w:t>
    </w:r>
  </w:p>
  <w:p w14:paraId="1317FA0F" w14:textId="77777777" w:rsidR="00A340F3" w:rsidRDefault="00A340F3">
    <w:pPr>
      <w:tabs>
        <w:tab w:val="left" w:pos="2145"/>
      </w:tabs>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ab/>
      <w:t>.</w:t>
    </w:r>
  </w:p>
  <w:p w14:paraId="19E0DBA2" w14:textId="77777777" w:rsidR="00A340F3" w:rsidRDefault="00A340F3">
    <w:pPr>
      <w:pBdr>
        <w:top w:val="nil"/>
        <w:left w:val="nil"/>
        <w:bottom w:val="nil"/>
        <w:right w:val="nil"/>
        <w:between w:val="nil"/>
      </w:pBdr>
      <w:tabs>
        <w:tab w:val="center" w:pos="4320"/>
        <w:tab w:val="right" w:pos="8640"/>
      </w:tabs>
      <w:jc w:val="left"/>
      <w:rPr>
        <w:color w:val="000000"/>
        <w:sz w:val="20"/>
      </w:rPr>
    </w:pPr>
    <w:r>
      <w:rPr>
        <w:color w:val="000000"/>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4B3D45"/>
    <w:multiLevelType w:val="multilevel"/>
    <w:tmpl w:val="FFFFFFFF"/>
    <w:lvl w:ilvl="0">
      <w:start w:val="1"/>
      <w:numFmt w:val="decimal"/>
      <w:lvlText w:val="%1."/>
      <w:lvlJc w:val="left"/>
      <w:pPr>
        <w:ind w:left="720" w:hanging="360"/>
      </w:pPr>
      <w:rPr>
        <w:rFonts w:ascii="Arial" w:eastAsia="Arial" w:hAnsi="Arial" w:cs="Arial"/>
        <w:b/>
        <w:bC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3842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B90"/>
    <w:rsid w:val="00061B90"/>
    <w:rsid w:val="00244F0B"/>
    <w:rsid w:val="002D1E17"/>
    <w:rsid w:val="00326AE0"/>
    <w:rsid w:val="00346346"/>
    <w:rsid w:val="005A51EC"/>
    <w:rsid w:val="005B54BA"/>
    <w:rsid w:val="005D4742"/>
    <w:rsid w:val="00710B71"/>
    <w:rsid w:val="00727C3A"/>
    <w:rsid w:val="007409B9"/>
    <w:rsid w:val="007756BC"/>
    <w:rsid w:val="007C09C5"/>
    <w:rsid w:val="00925B9B"/>
    <w:rsid w:val="00960238"/>
    <w:rsid w:val="0096101A"/>
    <w:rsid w:val="00996B8A"/>
    <w:rsid w:val="00A017BE"/>
    <w:rsid w:val="00A340F3"/>
    <w:rsid w:val="00C54CC5"/>
    <w:rsid w:val="00D13BC1"/>
    <w:rsid w:val="00D62E62"/>
    <w:rsid w:val="00D7704E"/>
    <w:rsid w:val="00E14B0D"/>
    <w:rsid w:val="00F2164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FC52B"/>
  <w15:docId w15:val="{41D8C6FE-0520-47B6-8383-165EFD51F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Helvetica Neue" w:hAnsi="Helvetica Neue" w:cs="Helvetica Neue"/>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1"/>
    </w:rPr>
  </w:style>
  <w:style w:type="paragraph" w:styleId="Heading1">
    <w:name w:val="heading 1"/>
    <w:basedOn w:val="Normal1"/>
    <w:next w:val="Normal1"/>
    <w:uiPriority w:val="9"/>
    <w:qFormat/>
    <w:pPr>
      <w:keepNext/>
      <w:spacing w:before="240" w:after="60"/>
      <w:outlineLvl w:val="0"/>
    </w:pPr>
    <w:rPr>
      <w:rFonts w:ascii="Arial" w:eastAsia="Arial" w:hAnsi="Arial" w:cs="Arial"/>
      <w:b/>
      <w:bCs/>
      <w:sz w:val="28"/>
      <w:szCs w:val="28"/>
    </w:rPr>
  </w:style>
  <w:style w:type="paragraph" w:styleId="Heading2">
    <w:name w:val="heading 2"/>
    <w:basedOn w:val="Normal1"/>
    <w:next w:val="Normal1"/>
    <w:uiPriority w:val="9"/>
    <w:semiHidden/>
    <w:unhideWhenUsed/>
    <w:qFormat/>
    <w:pPr>
      <w:keepNext/>
      <w:keepLines/>
      <w:spacing w:before="360" w:after="80"/>
      <w:outlineLvl w:val="1"/>
    </w:pPr>
    <w:rPr>
      <w:b/>
      <w:bCs/>
      <w:sz w:val="36"/>
      <w:szCs w:val="36"/>
    </w:rPr>
  </w:style>
  <w:style w:type="paragraph" w:styleId="Heading3">
    <w:name w:val="heading 3"/>
    <w:basedOn w:val="Normal1"/>
    <w:next w:val="Normal1"/>
    <w:uiPriority w:val="9"/>
    <w:semiHidden/>
    <w:unhideWhenUsed/>
    <w:qFormat/>
    <w:pPr>
      <w:keepNext/>
      <w:keepLines/>
      <w:spacing w:before="280" w:after="80"/>
      <w:outlineLvl w:val="2"/>
    </w:pPr>
    <w:rPr>
      <w:b/>
      <w:bCs/>
      <w:sz w:val="28"/>
      <w:szCs w:val="28"/>
    </w:rPr>
  </w:style>
  <w:style w:type="paragraph" w:styleId="Heading4">
    <w:name w:val="heading 4"/>
    <w:basedOn w:val="Normal1"/>
    <w:next w:val="Normal1"/>
    <w:uiPriority w:val="9"/>
    <w:semiHidden/>
    <w:unhideWhenUsed/>
    <w:qFormat/>
    <w:pPr>
      <w:keepNext/>
      <w:keepLines/>
      <w:spacing w:before="240" w:after="40"/>
      <w:outlineLvl w:val="3"/>
    </w:pPr>
    <w:rPr>
      <w:b/>
      <w:bCs/>
      <w:sz w:val="24"/>
      <w:szCs w:val="24"/>
    </w:rPr>
  </w:style>
  <w:style w:type="paragraph" w:styleId="Heading5">
    <w:name w:val="heading 5"/>
    <w:basedOn w:val="Normal1"/>
    <w:next w:val="Normal1"/>
    <w:uiPriority w:val="9"/>
    <w:semiHidden/>
    <w:unhideWhenUsed/>
    <w:qFormat/>
    <w:pPr>
      <w:keepNext/>
      <w:keepLines/>
      <w:spacing w:before="220" w:after="40"/>
      <w:outlineLvl w:val="4"/>
    </w:pPr>
    <w:rPr>
      <w:b/>
      <w:bCs/>
      <w:sz w:val="22"/>
      <w:szCs w:val="22"/>
    </w:rPr>
  </w:style>
  <w:style w:type="paragraph" w:styleId="Heading6">
    <w:name w:val="heading 6"/>
    <w:basedOn w:val="Normal1"/>
    <w:next w:val="Normal1"/>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style>
  <w:style w:type="paragraph" w:styleId="Title">
    <w:name w:val="Title"/>
    <w:basedOn w:val="Normal1"/>
    <w:next w:val="Normal1"/>
    <w:uiPriority w:val="10"/>
    <w:qFormat/>
    <w:pPr>
      <w:spacing w:after="360"/>
      <w:jc w:val="right"/>
    </w:pPr>
    <w:rPr>
      <w:b/>
      <w:bCs/>
      <w:sz w:val="36"/>
      <w:szCs w:val="36"/>
    </w:rPr>
  </w:style>
  <w:style w:type="paragraph" w:styleId="Subtitle">
    <w:name w:val="Subtitle"/>
    <w:basedOn w:val="Normal1"/>
    <w:next w:val="Normal1"/>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character" w:styleId="LineNumber">
    <w:name w:val="line number"/>
    <w:basedOn w:val="DefaultParagraphFont"/>
    <w:uiPriority w:val="99"/>
    <w:semiHidden/>
    <w:unhideWhenUsed/>
    <w:rsid w:val="005D4742"/>
  </w:style>
  <w:style w:type="character" w:styleId="Hyperlink">
    <w:name w:val="Hyperlink"/>
    <w:basedOn w:val="DefaultParagraphFont"/>
    <w:uiPriority w:val="99"/>
    <w:unhideWhenUsed/>
    <w:rsid w:val="007409B9"/>
    <w:rPr>
      <w:color w:val="0000FF" w:themeColor="hyperlink"/>
      <w:u w:val="single"/>
    </w:rPr>
  </w:style>
  <w:style w:type="character" w:styleId="UnresolvedMention">
    <w:name w:val="Unresolved Mention"/>
    <w:basedOn w:val="DefaultParagraphFont"/>
    <w:uiPriority w:val="99"/>
    <w:semiHidden/>
    <w:unhideWhenUsed/>
    <w:rsid w:val="007409B9"/>
    <w:rPr>
      <w:color w:val="605E5C"/>
      <w:shd w:val="clear" w:color="auto" w:fill="E1DFDD"/>
    </w:rPr>
  </w:style>
  <w:style w:type="paragraph" w:styleId="Footer">
    <w:name w:val="footer"/>
    <w:basedOn w:val="Normal"/>
    <w:link w:val="FooterChar"/>
    <w:uiPriority w:val="99"/>
    <w:unhideWhenUsed/>
    <w:rsid w:val="00D13BC1"/>
    <w:pPr>
      <w:tabs>
        <w:tab w:val="center" w:pos="4680"/>
        <w:tab w:val="right" w:pos="9360"/>
      </w:tabs>
    </w:pPr>
  </w:style>
  <w:style w:type="character" w:customStyle="1" w:styleId="FooterChar">
    <w:name w:val="Footer Char"/>
    <w:basedOn w:val="DefaultParagraphFont"/>
    <w:link w:val="Footer"/>
    <w:uiPriority w:val="99"/>
    <w:rsid w:val="00D13BC1"/>
    <w:rPr>
      <w:sz w:val="21"/>
    </w:rPr>
  </w:style>
  <w:style w:type="paragraph" w:styleId="Header">
    <w:name w:val="header"/>
    <w:basedOn w:val="Normal"/>
    <w:link w:val="HeaderChar"/>
    <w:uiPriority w:val="99"/>
    <w:unhideWhenUsed/>
    <w:rsid w:val="00A340F3"/>
    <w:pPr>
      <w:tabs>
        <w:tab w:val="center" w:pos="4680"/>
        <w:tab w:val="right" w:pos="9360"/>
      </w:tabs>
    </w:pPr>
  </w:style>
  <w:style w:type="character" w:customStyle="1" w:styleId="HeaderChar">
    <w:name w:val="Header Char"/>
    <w:basedOn w:val="DefaultParagraphFont"/>
    <w:link w:val="Header"/>
    <w:uiPriority w:val="99"/>
    <w:rsid w:val="00A340F3"/>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4703</Words>
  <Characters>26810</Characters>
  <Application>Microsoft Office Word</Application>
  <DocSecurity>0</DocSecurity>
  <Lines>223</Lines>
  <Paragraphs>62</Paragraphs>
  <ScaleCrop>false</ScaleCrop>
  <Company/>
  <LinksUpToDate>false</LinksUpToDate>
  <CharactersWithSpaces>31451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SDI 1084</cp:lastModifiedBy>
  <cp:revision>18</cp:revision>
  <dcterms:created xsi:type="dcterms:W3CDTF">2026-07-12T00:16:00Z</dcterms:created>
  <dcterms:modified xsi:type="dcterms:W3CDTF">2026-07-13T12:23:00Z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76a0d8743cf644658824327bcbf8db9e_23</vt:lpwstr>
  </property>
  <property fmtid="{D5CDD505-2E9C-101B-9397-08002B2CF9AE}" pid="3" name="GrammarlyDocumentId">
    <vt:lpwstr>fb4e17aa-ad45-42be-827f-b01570cd123a</vt:lpwstr>
  </property>
</Properties>
</file>