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3D3A5" w14:textId="77777777" w:rsidR="000A5F8D" w:rsidRDefault="000A5F8D" w:rsidP="00666DF0">
      <w:pPr>
        <w:pStyle w:val="isselectedend"/>
        <w:spacing w:line="360" w:lineRule="auto"/>
        <w:ind w:firstLine="720"/>
        <w:jc w:val="right"/>
        <w:rPr>
          <w:b/>
          <w:sz w:val="32"/>
          <w:szCs w:val="32"/>
        </w:rPr>
      </w:pPr>
      <w:r w:rsidRPr="000A5F8D">
        <w:rPr>
          <w:b/>
          <w:sz w:val="32"/>
          <w:szCs w:val="32"/>
        </w:rPr>
        <w:t>Assessment of Benzo[a]</w:t>
      </w:r>
      <w:proofErr w:type="gramStart"/>
      <w:r w:rsidRPr="000A5F8D">
        <w:rPr>
          <w:b/>
          <w:sz w:val="32"/>
          <w:szCs w:val="32"/>
        </w:rPr>
        <w:t>pyrene</w:t>
      </w:r>
      <w:proofErr w:type="gramEnd"/>
      <w:r w:rsidRPr="000A5F8D">
        <w:rPr>
          <w:b/>
          <w:sz w:val="32"/>
          <w:szCs w:val="32"/>
        </w:rPr>
        <w:t>-Induced Immunotoxicity in the Estuarine Mud Crab Scylla serrata</w:t>
      </w:r>
    </w:p>
    <w:p w14:paraId="126B5F4D" w14:textId="02B24814" w:rsidR="00666DF0" w:rsidRPr="00CE22DB" w:rsidRDefault="00666DF0" w:rsidP="00666DF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79180BD1" w14:textId="77777777" w:rsidR="000A5F8D" w:rsidRPr="00102C19" w:rsidRDefault="000A5F8D" w:rsidP="000A5F8D">
      <w:pPr>
        <w:pStyle w:val="isselectedend"/>
        <w:spacing w:line="360" w:lineRule="auto"/>
        <w:ind w:firstLine="720"/>
        <w:jc w:val="center"/>
        <w:rPr>
          <w:b/>
        </w:rPr>
      </w:pPr>
      <w:r w:rsidRPr="00102C19">
        <w:rPr>
          <w:b/>
        </w:rPr>
        <w:t>Abstract</w:t>
      </w:r>
    </w:p>
    <w:p w14:paraId="2A8A4764" w14:textId="77777777" w:rsidR="008B4BA7" w:rsidRDefault="008B4BA7" w:rsidP="008B4BA7">
      <w:pPr>
        <w:pStyle w:val="isselectedend"/>
        <w:spacing w:line="360" w:lineRule="auto"/>
        <w:ind w:firstLine="720"/>
        <w:jc w:val="both"/>
      </w:pPr>
      <w:r>
        <w:t xml:space="preserve">Aquatic ecosystems are increasingly threatened by anthropogenic organic contaminants originating from industrialization, urbanization, and improper waste management. Among these contaminants, polycyclic aromatic hydrocarbons (PAHs) are of particular environmental concern because of their persistence, bioaccumulation potential, and toxicity. Estuarine environments receive substantial inputs of </w:t>
      </w:r>
      <w:proofErr w:type="spellStart"/>
      <w:r>
        <w:t>BaP</w:t>
      </w:r>
      <w:proofErr w:type="spellEnd"/>
      <w:r>
        <w:t xml:space="preserve"> through industrial effluents, urban runoff, oil spills, and atmospheric deposition, posing significant risks to resident aquatic organisms. The mud crab </w:t>
      </w:r>
      <w:r>
        <w:rPr>
          <w:rStyle w:val="Emphasis"/>
        </w:rPr>
        <w:t>Scylla serrata</w:t>
      </w:r>
      <w:r>
        <w:t xml:space="preserve"> is considered an excellent sentinel organism for ecotoxicological studies because of its wide distribution in estuarine habitats, </w:t>
      </w:r>
      <w:proofErr w:type="spellStart"/>
      <w:r>
        <w:t>semipelagic</w:t>
      </w:r>
      <w:proofErr w:type="spellEnd"/>
      <w:r>
        <w:t xml:space="preserve"> behaviour, sensitivity to environmental contaminants, ease of laboratory acclimatization, and considerable commercial importance. The present study was undertaken to evaluate the impact of </w:t>
      </w:r>
      <w:proofErr w:type="spellStart"/>
      <w:r>
        <w:t>BaP</w:t>
      </w:r>
      <w:proofErr w:type="spellEnd"/>
      <w:r>
        <w:t xml:space="preserve"> exposure on selected haematological and immunological biomarkers in </w:t>
      </w:r>
      <w:r>
        <w:rPr>
          <w:rStyle w:val="Emphasis"/>
        </w:rPr>
        <w:t>S. serrata</w:t>
      </w:r>
      <w:r>
        <w:t xml:space="preserve">. Specifically, alterations in total haemocyte count (THC), differential haemocyte count (DHC), phagocytic activity, and antibacterial activity of haemolymph were investigated as indicators of immune competence. The results of present study revealed that THC, differential count were modulated following </w:t>
      </w:r>
      <w:proofErr w:type="spellStart"/>
      <w:r>
        <w:t>BaP</w:t>
      </w:r>
      <w:proofErr w:type="spellEnd"/>
      <w:r>
        <w:t xml:space="preserve"> exposure even at 10 µg/L compare to the respective control group. Further phagocytosis and antibacterial activity reduced significantly compare to control group. It is anticipated that exposure to </w:t>
      </w:r>
      <w:proofErr w:type="spellStart"/>
      <w:r>
        <w:t>BaP</w:t>
      </w:r>
      <w:proofErr w:type="spellEnd"/>
      <w:r>
        <w:t xml:space="preserve"> will induce significant changes in haemocyte profiles and innate immune responses, reflecting immunosuppression and compromised defence mechanisms. The findings of this study will contribute to understanding the </w:t>
      </w:r>
      <w:proofErr w:type="spellStart"/>
      <w:r>
        <w:t>immunotoxicological</w:t>
      </w:r>
      <w:proofErr w:type="spellEnd"/>
      <w:r>
        <w:t xml:space="preserve"> effects of benzo</w:t>
      </w:r>
      <w:r>
        <w:rPr>
          <w:rStyle w:val="text-token-text-primary"/>
        </w:rPr>
        <w:t>[a]</w:t>
      </w:r>
      <w:r>
        <w:t xml:space="preserve">pyrene in estuarine crustaceans and support the use of </w:t>
      </w:r>
      <w:r>
        <w:rPr>
          <w:rStyle w:val="Emphasis"/>
        </w:rPr>
        <w:t>S. serrata</w:t>
      </w:r>
      <w:r>
        <w:t xml:space="preserve"> as a reliable bioindicator for monitoring organic pollution and ecological risk assessment in coastal and estuarine ecosystems.</w:t>
      </w:r>
    </w:p>
    <w:p w14:paraId="15E1818D" w14:textId="77777777" w:rsidR="008B4BA7" w:rsidRDefault="00102C19" w:rsidP="008B4BA7">
      <w:pPr>
        <w:pStyle w:val="NormalWeb"/>
        <w:spacing w:line="360" w:lineRule="auto"/>
        <w:jc w:val="both"/>
      </w:pPr>
      <w:r>
        <w:t xml:space="preserve">Key Words: </w:t>
      </w:r>
      <w:proofErr w:type="spellStart"/>
      <w:r>
        <w:t>BaP</w:t>
      </w:r>
      <w:proofErr w:type="spellEnd"/>
      <w:r>
        <w:t xml:space="preserve">, </w:t>
      </w:r>
      <w:r w:rsidRPr="00102C19">
        <w:rPr>
          <w:i/>
        </w:rPr>
        <w:t>Scylla serrata</w:t>
      </w:r>
      <w:r>
        <w:t xml:space="preserve">, THC, Phagocytosis, antibacterial activity.  </w:t>
      </w:r>
    </w:p>
    <w:p w14:paraId="65FB48C6" w14:textId="77777777" w:rsidR="008B4BA7" w:rsidRPr="008B4BA7" w:rsidRDefault="008B4BA7" w:rsidP="008B4BA7">
      <w:pPr>
        <w:pStyle w:val="NormalWeb"/>
        <w:numPr>
          <w:ilvl w:val="0"/>
          <w:numId w:val="1"/>
        </w:numPr>
        <w:spacing w:line="360" w:lineRule="auto"/>
        <w:jc w:val="center"/>
        <w:rPr>
          <w:b/>
        </w:rPr>
      </w:pPr>
      <w:r w:rsidRPr="008B4BA7">
        <w:rPr>
          <w:b/>
        </w:rPr>
        <w:t>Introduction</w:t>
      </w:r>
    </w:p>
    <w:p w14:paraId="7423C3DF" w14:textId="77777777" w:rsidR="008B4BA7" w:rsidRPr="00F4263B" w:rsidRDefault="008B4BA7" w:rsidP="008B4BA7">
      <w:pPr>
        <w:pStyle w:val="NormalWeb"/>
        <w:spacing w:line="360" w:lineRule="auto"/>
        <w:jc w:val="both"/>
      </w:pPr>
      <w:r w:rsidRPr="00F4263B">
        <w:lastRenderedPageBreak/>
        <w:t>Organic compounds are widely used in household and industrial applications, and regardless of their specific purposes, they often find their way into aquatic systems through multiple routes, including industrial effluents, surface runoff, atmospheric deposition, and inadequate waste management practices. The accelerating rate of industrialization and urban expansion has significantly increased the discharge of human-derived contaminants into the environment, thereby intensifying the pressure on aquatic ecosystems.</w:t>
      </w:r>
    </w:p>
    <w:p w14:paraId="1B1E2A17" w14:textId="77777777" w:rsidR="008B4BA7" w:rsidRPr="00F4263B" w:rsidRDefault="008B4BA7" w:rsidP="008B4BA7">
      <w:pPr>
        <w:pStyle w:val="NormalWeb"/>
        <w:spacing w:line="360" w:lineRule="auto"/>
        <w:jc w:val="both"/>
      </w:pPr>
      <w:r w:rsidRPr="00F4263B">
        <w:t xml:space="preserve">Once these pollutants enter water bodies, they can exert both direct and indirect effects on aquatic organisms by interfering with physiological, biochemical, and ecological functions. Such interference may compromise the normal functioning of organisms and reduce their capacity to cope with environmental changes (Adams et al., 1990). </w:t>
      </w:r>
      <w:r>
        <w:t>Benzo(a)pyrene (</w:t>
      </w:r>
      <w:proofErr w:type="spellStart"/>
      <w:r w:rsidRPr="00F4263B">
        <w:t>BaP</w:t>
      </w:r>
      <w:proofErr w:type="spellEnd"/>
      <w:r>
        <w:t>)</w:t>
      </w:r>
      <w:r w:rsidRPr="00F4263B">
        <w:t xml:space="preserve"> is a five-ring PAH primarily produced during the incomplete combustion of organic materials such as coal, petroleum products, wood, and tobacco (IARC, 2012). Estuarine ecosystems are dynamic transitional zones that receive substantial inputs of organic contaminants originating from land-based anthropogenic activities. These contaminants include a wide range of polycyclic aromatic hydrocarbons (PAHs), which are introduced into coastal environments through industrial effluents, urban runoff, oil spills, and emissions from oil refineries. Among these compounds, benzo[a]pyrene (</w:t>
      </w:r>
      <w:proofErr w:type="spellStart"/>
      <w:r w:rsidRPr="00F4263B">
        <w:t>BaP</w:t>
      </w:r>
      <w:proofErr w:type="spellEnd"/>
      <w:r w:rsidRPr="00F4263B">
        <w:t xml:space="preserve">) is of particular concern due to its persistence, lipophilicity, and well-documented carcinogenic and mutagenic properties. </w:t>
      </w:r>
      <w:proofErr w:type="spellStart"/>
      <w:r w:rsidRPr="00F4263B">
        <w:t>BaP</w:t>
      </w:r>
      <w:proofErr w:type="spellEnd"/>
      <w:r w:rsidRPr="00F4263B">
        <w:t xml:space="preserve"> is frequently detected in estuarine and coastal waters as a consequence of incomplete combustion processes and petroleum-related discharges. Despite extensive research on PAHs as a group, comparatively limited information is available regarding the specific toxicological effects and mechanisms of action of benzo[a]pyrene across different aquatic species, especially in invertebrates.</w:t>
      </w:r>
    </w:p>
    <w:p w14:paraId="6F41735E" w14:textId="77777777" w:rsidR="008B4BA7" w:rsidRPr="00F4263B" w:rsidRDefault="008B4BA7" w:rsidP="008B4BA7">
      <w:pPr>
        <w:pStyle w:val="NormalWeb"/>
        <w:spacing w:line="360" w:lineRule="auto"/>
        <w:jc w:val="both"/>
      </w:pPr>
      <w:r w:rsidRPr="00F4263B">
        <w:t xml:space="preserve">Mud crabs have emerged as valuable sentinel organisms in ecotoxicological investigations, particularly in estuarine habitats where contaminant loads are often elevated. However, there is a notable scarcity of studies focusing on </w:t>
      </w:r>
      <w:proofErr w:type="spellStart"/>
      <w:r w:rsidRPr="00F4263B">
        <w:t>immunotoxicological</w:t>
      </w:r>
      <w:proofErr w:type="spellEnd"/>
      <w:r w:rsidRPr="00F4263B">
        <w:t xml:space="preserve"> biomarkers in these organisms. Among mud crab species, </w:t>
      </w:r>
      <w:r w:rsidRPr="00F4263B">
        <w:rPr>
          <w:rStyle w:val="Emphasis"/>
        </w:rPr>
        <w:t>Scylla serrata</w:t>
      </w:r>
      <w:r w:rsidRPr="00F4263B">
        <w:t xml:space="preserve"> is widely recognized as an effective bioindicator for environmental monitoring and toxicological assessments. This is attributed to several ecological and biological characteristics. Firstly, </w:t>
      </w:r>
      <w:r w:rsidRPr="00F4263B">
        <w:rPr>
          <w:rStyle w:val="Emphasis"/>
        </w:rPr>
        <w:t>S. serrata</w:t>
      </w:r>
      <w:r w:rsidRPr="00F4263B">
        <w:t xml:space="preserve"> exhibits a broad distribution across estuarine environments, which serve as critical nursery grounds supporting feeding, growth, and developmental processes. Secondly, its </w:t>
      </w:r>
      <w:proofErr w:type="spellStart"/>
      <w:r w:rsidRPr="00F4263B">
        <w:t>semipelagic</w:t>
      </w:r>
      <w:proofErr w:type="spellEnd"/>
      <w:r w:rsidRPr="00F4263B">
        <w:t xml:space="preserve"> lifestyle increases its exposure to both benthic and waterborne contaminants, making it highly representative of </w:t>
      </w:r>
      <w:r w:rsidRPr="00F4263B">
        <w:lastRenderedPageBreak/>
        <w:t>environmental conditions. Thirdly, the species demonstrates considerable sensitivity to pollutants, thereby providing measurable physiological and biochemical responses upon exposure.</w:t>
      </w:r>
    </w:p>
    <w:p w14:paraId="3CF3D423" w14:textId="77777777" w:rsidR="008B4BA7" w:rsidRPr="00F4263B" w:rsidRDefault="008B4BA7" w:rsidP="008B4BA7">
      <w:pPr>
        <w:pStyle w:val="NormalWeb"/>
        <w:spacing w:line="360" w:lineRule="auto"/>
        <w:jc w:val="both"/>
      </w:pPr>
      <w:r w:rsidRPr="00F4263B">
        <w:t xml:space="preserve">In addition, </w:t>
      </w:r>
      <w:r w:rsidRPr="00F4263B">
        <w:rPr>
          <w:rStyle w:val="Emphasis"/>
        </w:rPr>
        <w:t>S. serrata</w:t>
      </w:r>
      <w:r w:rsidRPr="00F4263B">
        <w:t xml:space="preserve"> is abundantly available throughout the year, facilitating consistent sampling and reducing logistical constraints associated with field collection. The species can also be readily acclimatized to laboratory conditions, allowing controlled experimental studies to be conducted with relative ease. Furthermore, </w:t>
      </w:r>
      <w:r w:rsidRPr="00F4263B">
        <w:rPr>
          <w:rStyle w:val="Emphasis"/>
        </w:rPr>
        <w:t>S. serrata</w:t>
      </w:r>
      <w:r w:rsidRPr="00F4263B">
        <w:t xml:space="preserve"> holds substantial economic importance as a commercially valuable seafood resource due to its high nutritive value and consumer demand. These combined attributes make it an ideal model organism for investigating the toxicological impacts of environmental contaminants, including PAHs such as benzo[a]pyrene, and for developing reliable biomarkers to assess ecological health and pollution stress in estuarine ecosystems.</w:t>
      </w:r>
      <w:r>
        <w:t xml:space="preserve"> The study aimed to understand the impact of </w:t>
      </w:r>
      <w:proofErr w:type="spellStart"/>
      <w:r>
        <w:t>BaP</w:t>
      </w:r>
      <w:proofErr w:type="spellEnd"/>
      <w:r>
        <w:t xml:space="preserve"> on haematological components of the </w:t>
      </w:r>
      <w:r w:rsidRPr="00796FF5">
        <w:rPr>
          <w:i/>
        </w:rPr>
        <w:t xml:space="preserve">Scylla </w:t>
      </w:r>
      <w:proofErr w:type="spellStart"/>
      <w:r w:rsidRPr="00796FF5">
        <w:rPr>
          <w:i/>
        </w:rPr>
        <w:t>seratta</w:t>
      </w:r>
      <w:proofErr w:type="spellEnd"/>
      <w:r>
        <w:t xml:space="preserve">. </w:t>
      </w:r>
    </w:p>
    <w:p w14:paraId="711E0746" w14:textId="77777777" w:rsidR="008B4BA7" w:rsidRDefault="008B4BA7" w:rsidP="008B4BA7"/>
    <w:p w14:paraId="2809E9FD" w14:textId="77777777" w:rsidR="008F59C4" w:rsidRPr="007D1DD6" w:rsidRDefault="008F59C4" w:rsidP="008B4BA7">
      <w:pPr>
        <w:pStyle w:val="isselectedend"/>
        <w:numPr>
          <w:ilvl w:val="0"/>
          <w:numId w:val="1"/>
        </w:numPr>
        <w:spacing w:line="360" w:lineRule="auto"/>
        <w:jc w:val="center"/>
        <w:rPr>
          <w:b/>
        </w:rPr>
      </w:pPr>
      <w:r w:rsidRPr="007D1DD6">
        <w:rPr>
          <w:b/>
        </w:rPr>
        <w:t>Materials and Methods</w:t>
      </w:r>
    </w:p>
    <w:p w14:paraId="1F625592" w14:textId="77777777" w:rsidR="0065389C" w:rsidRPr="007D1DD6" w:rsidRDefault="0065389C" w:rsidP="007D1DD6">
      <w:pPr>
        <w:pStyle w:val="isselectedend"/>
        <w:spacing w:line="360" w:lineRule="auto"/>
        <w:jc w:val="both"/>
      </w:pPr>
      <w:r w:rsidRPr="007D1DD6">
        <w:t>Adult mud crabs (</w:t>
      </w:r>
      <w:r w:rsidRPr="007D1DD6">
        <w:rPr>
          <w:rStyle w:val="Emphasis"/>
        </w:rPr>
        <w:t>Scylla serrata</w:t>
      </w:r>
      <w:r w:rsidRPr="007D1DD6">
        <w:t xml:space="preserve">) with an average body weight of </w:t>
      </w:r>
      <w:r w:rsidRPr="007D1DD6">
        <w:rPr>
          <w:rStyle w:val="Strong"/>
          <w:b w:val="0"/>
        </w:rPr>
        <w:t>250 ± 30 g</w:t>
      </w:r>
      <w:r w:rsidRPr="007D1DD6">
        <w:t xml:space="preserve"> were procured from a commercial aquaculture farm and acclimatized under laboratory conditions for seven days prior to the experiment. During the acclimation period, the crabs were maintained in aerated seawater and fed fresh tilapia daily to ensure normal physiological condition.</w:t>
      </w:r>
      <w:r w:rsidR="002D3468" w:rsidRPr="007D1DD6">
        <w:t xml:space="preserve"> </w:t>
      </w:r>
      <w:r w:rsidRPr="007D1DD6">
        <w:t>Following acclimatization, the animals were randomly assigned to three experimental groups, each consisting of six individuals, with duplicate tanks maintained for each treatment. The control group was maintained in clean filtered seawater without chemical exposure, whereas the treatment groups were exposed to sublethal concentrations of benzo</w:t>
      </w:r>
      <w:r w:rsidRPr="007D1DD6">
        <w:rPr>
          <w:rStyle w:val="text-token-text-primary"/>
        </w:rPr>
        <w:t>[a]</w:t>
      </w:r>
      <w:r w:rsidRPr="007D1DD6">
        <w:t>pyrene (</w:t>
      </w:r>
      <w:proofErr w:type="spellStart"/>
      <w:r w:rsidRPr="007D1DD6">
        <w:t>BaP</w:t>
      </w:r>
      <w:proofErr w:type="spellEnd"/>
      <w:r w:rsidRPr="007D1DD6">
        <w:t xml:space="preserve">) at </w:t>
      </w:r>
      <w:r w:rsidRPr="007D1DD6">
        <w:rPr>
          <w:rStyle w:val="Strong"/>
          <w:b w:val="0"/>
        </w:rPr>
        <w:t xml:space="preserve">10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¹</w:t>
      </w:r>
      <w:r w:rsidRPr="007D1DD6">
        <w:rPr>
          <w:b/>
        </w:rPr>
        <w:t xml:space="preserve"> </w:t>
      </w:r>
      <w:r w:rsidRPr="007D1DD6">
        <w:t xml:space="preserve">and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¹</w:t>
      </w:r>
      <w:r w:rsidRPr="007D1DD6">
        <w:rPr>
          <w:b/>
        </w:rPr>
        <w:t>,</w:t>
      </w:r>
      <w:r w:rsidRPr="007D1DD6">
        <w:t xml:space="preserve"> respectively. Exposure was conducted under controlled environmental conditions, including a temperature of </w:t>
      </w:r>
      <w:r w:rsidRPr="007D1DD6">
        <w:rPr>
          <w:rStyle w:val="Strong"/>
          <w:b w:val="0"/>
        </w:rPr>
        <w:t>28 ± 1 °C</w:t>
      </w:r>
      <w:r w:rsidRPr="007D1DD6">
        <w:rPr>
          <w:b/>
        </w:rPr>
        <w:t>,</w:t>
      </w:r>
      <w:r w:rsidRPr="007D1DD6">
        <w:t xml:space="preserve"> salinity of </w:t>
      </w:r>
      <w:r w:rsidRPr="007D1DD6">
        <w:rPr>
          <w:rStyle w:val="Strong"/>
          <w:b w:val="0"/>
        </w:rPr>
        <w:t>34 ppt</w:t>
      </w:r>
      <w:r w:rsidRPr="007D1DD6">
        <w:t xml:space="preserve">, pH </w:t>
      </w:r>
      <w:r w:rsidRPr="007D1DD6">
        <w:rPr>
          <w:rStyle w:val="Strong"/>
          <w:b w:val="0"/>
        </w:rPr>
        <w:t>8.2 ± 0.1</w:t>
      </w:r>
      <w:r w:rsidRPr="007D1DD6">
        <w:t xml:space="preserve">, and a </w:t>
      </w:r>
      <w:r w:rsidRPr="007D1DD6">
        <w:rPr>
          <w:rStyle w:val="Strong"/>
          <w:b w:val="0"/>
        </w:rPr>
        <w:t>12 h light:12 h dark</w:t>
      </w:r>
      <w:r w:rsidRPr="007D1DD6">
        <w:t xml:space="preserve"> photoperiod. To maintain stable water quality and exposure concentrations, the seawater in both the control and treatment tanks was completely renewed every 24 h throughout the experimental period.</w:t>
      </w:r>
    </w:p>
    <w:p w14:paraId="1A798088" w14:textId="77777777" w:rsidR="0065389C" w:rsidRPr="007D1DD6" w:rsidRDefault="0065389C" w:rsidP="007D1DD6">
      <w:pPr>
        <w:pStyle w:val="isselectedend"/>
        <w:spacing w:line="360" w:lineRule="auto"/>
        <w:jc w:val="both"/>
      </w:pPr>
      <w:r w:rsidRPr="007D1DD6">
        <w:t xml:space="preserve">The exposure experiment continued for </w:t>
      </w:r>
      <w:r w:rsidRPr="007D1DD6">
        <w:rPr>
          <w:rStyle w:val="Strong"/>
          <w:b w:val="0"/>
        </w:rPr>
        <w:t>40 days</w:t>
      </w:r>
      <w:r w:rsidRPr="007D1DD6">
        <w:t xml:space="preserve">, and biological samples were collected after </w:t>
      </w:r>
      <w:r w:rsidRPr="007D1DD6">
        <w:rPr>
          <w:rStyle w:val="Strong"/>
          <w:b w:val="0"/>
        </w:rPr>
        <w:t>20</w:t>
      </w:r>
      <w:r w:rsidRPr="007D1DD6">
        <w:rPr>
          <w:b/>
        </w:rPr>
        <w:t xml:space="preserve"> </w:t>
      </w:r>
      <w:r w:rsidRPr="007D1DD6">
        <w:t xml:space="preserve">and </w:t>
      </w:r>
      <w:r w:rsidRPr="007D1DD6">
        <w:rPr>
          <w:rStyle w:val="Strong"/>
          <w:b w:val="0"/>
        </w:rPr>
        <w:t>40 days</w:t>
      </w:r>
      <w:r w:rsidRPr="007D1DD6">
        <w:t xml:space="preserve"> of exposure. Subsequently, the remaining crabs were transferred to </w:t>
      </w:r>
      <w:r w:rsidRPr="007D1DD6">
        <w:lastRenderedPageBreak/>
        <w:t xml:space="preserve">uncontaminated seawater and maintained for an additional </w:t>
      </w:r>
      <w:r w:rsidRPr="007D1DD6">
        <w:rPr>
          <w:rStyle w:val="Strong"/>
          <w:b w:val="0"/>
        </w:rPr>
        <w:t>20-day depuration period</w:t>
      </w:r>
      <w:r w:rsidRPr="007D1DD6">
        <w:t>, after which haemolymph samples were collected for biochemical and immunological analyses. For each sampling interval, three crabs were randomly selected from each replicate tank.</w:t>
      </w:r>
      <w:r w:rsidR="002D3468" w:rsidRPr="007D1DD6">
        <w:t xml:space="preserve"> </w:t>
      </w:r>
      <w:r w:rsidRPr="007D1DD6">
        <w:t>Haemolymph was withdrawn aseptically from individual crabs using sterile syringes preloaded with anticoagulant solution to minimize clotting. Plasma, serum, and haemocyte fractions were isolated separately from each individual following standardized centrifugation procedures. Samples obtained from individual crabs were processed independently, and no pooling of haemolymph or cellular fractions was performed to preserve biological variability and ensure accurate assessment of individual physiological responses</w:t>
      </w:r>
    </w:p>
    <w:p w14:paraId="4244A79D" w14:textId="77777777" w:rsidR="0065389C" w:rsidRPr="007D1DD6" w:rsidRDefault="0065389C" w:rsidP="007D1DD6">
      <w:pPr>
        <w:pStyle w:val="NormalWeb"/>
        <w:spacing w:line="360" w:lineRule="auto"/>
        <w:jc w:val="both"/>
        <w:rPr>
          <w:b/>
        </w:rPr>
      </w:pPr>
      <w:r w:rsidRPr="007D1DD6">
        <w:rPr>
          <w:b/>
        </w:rPr>
        <w:t xml:space="preserve">Total </w:t>
      </w:r>
      <w:proofErr w:type="spellStart"/>
      <w:r w:rsidRPr="007D1DD6">
        <w:rPr>
          <w:b/>
        </w:rPr>
        <w:t>Hemocyte</w:t>
      </w:r>
      <w:proofErr w:type="spellEnd"/>
      <w:r w:rsidRPr="007D1DD6">
        <w:rPr>
          <w:b/>
        </w:rPr>
        <w:t xml:space="preserve"> Count (THC) and Differential </w:t>
      </w:r>
      <w:proofErr w:type="spellStart"/>
      <w:r w:rsidRPr="007D1DD6">
        <w:rPr>
          <w:b/>
        </w:rPr>
        <w:t>Hemocyte</w:t>
      </w:r>
      <w:proofErr w:type="spellEnd"/>
      <w:r w:rsidRPr="007D1DD6">
        <w:rPr>
          <w:b/>
        </w:rPr>
        <w:t xml:space="preserve"> Count (DHC)</w:t>
      </w:r>
    </w:p>
    <w:p w14:paraId="5EDF1371" w14:textId="77777777" w:rsidR="0065389C" w:rsidRPr="007D1DD6" w:rsidRDefault="0065389C" w:rsidP="007D1DD6">
      <w:pPr>
        <w:pStyle w:val="isselectedend"/>
        <w:spacing w:line="360" w:lineRule="auto"/>
        <w:jc w:val="both"/>
      </w:pPr>
      <w:r w:rsidRPr="007D1DD6">
        <w:t xml:space="preserve">Total </w:t>
      </w:r>
      <w:proofErr w:type="spellStart"/>
      <w:r w:rsidRPr="007D1DD6">
        <w:t>hemocyte</w:t>
      </w:r>
      <w:proofErr w:type="spellEnd"/>
      <w:r w:rsidRPr="007D1DD6">
        <w:t xml:space="preserve"> count (THC) was determined immediately after haemolymph collection to minimize cellular deterioration. Fresh haemolymph was mixed gently with an anticoagulant solution, and an aliquot from each individual crab was loaded onto a </w:t>
      </w:r>
      <w:proofErr w:type="spellStart"/>
      <w:r w:rsidRPr="007D1DD6">
        <w:t>Bürker</w:t>
      </w:r>
      <w:proofErr w:type="spellEnd"/>
      <w:r w:rsidRPr="007D1DD6">
        <w:t xml:space="preserve"> haemocytometer for manual enumeration under a light microscope following the standard </w:t>
      </w:r>
      <w:proofErr w:type="spellStart"/>
      <w:r w:rsidRPr="007D1DD6">
        <w:t>haemocytometric</w:t>
      </w:r>
      <w:proofErr w:type="spellEnd"/>
      <w:r w:rsidRPr="007D1DD6">
        <w:t xml:space="preserve"> procedure described by </w:t>
      </w:r>
      <w:proofErr w:type="spellStart"/>
      <w:r w:rsidRPr="007D1DD6">
        <w:t>Blaxhall</w:t>
      </w:r>
      <w:proofErr w:type="spellEnd"/>
      <w:r w:rsidRPr="007D1DD6">
        <w:t xml:space="preserve"> and Daisley (1973). The total number of circulating </w:t>
      </w:r>
      <w:proofErr w:type="spellStart"/>
      <w:r w:rsidRPr="007D1DD6">
        <w:t>hemocytes</w:t>
      </w:r>
      <w:proofErr w:type="spellEnd"/>
      <w:r w:rsidRPr="007D1DD6">
        <w:t xml:space="preserve"> was expressed as cells mL</w:t>
      </w:r>
      <w:r w:rsidRPr="007D1DD6">
        <w:rPr>
          <w:rFonts w:ascii="Cambria Math" w:hAnsi="Cambria Math"/>
        </w:rPr>
        <w:t>⁻</w:t>
      </w:r>
      <w:r w:rsidRPr="007D1DD6">
        <w:t>¹ of haemolymph.</w:t>
      </w:r>
    </w:p>
    <w:p w14:paraId="2EF9B4FC" w14:textId="77777777" w:rsidR="0065389C" w:rsidRPr="007D1DD6" w:rsidRDefault="0065389C" w:rsidP="007D1DD6">
      <w:pPr>
        <w:pStyle w:val="isselectedend"/>
        <w:spacing w:line="360" w:lineRule="auto"/>
        <w:jc w:val="both"/>
      </w:pPr>
      <w:r w:rsidRPr="007D1DD6">
        <w:t xml:space="preserve">Differential </w:t>
      </w:r>
      <w:proofErr w:type="spellStart"/>
      <w:r w:rsidRPr="007D1DD6">
        <w:t>hemocyte</w:t>
      </w:r>
      <w:proofErr w:type="spellEnd"/>
      <w:r w:rsidRPr="007D1DD6">
        <w:t xml:space="preserve"> count (DHC) was performed by examining at least 100 </w:t>
      </w:r>
      <w:proofErr w:type="spellStart"/>
      <w:r w:rsidRPr="007D1DD6">
        <w:t>hemocytes</w:t>
      </w:r>
      <w:proofErr w:type="spellEnd"/>
      <w:r w:rsidRPr="007D1DD6">
        <w:t xml:space="preserve"> from each specimen. The proportion of each </w:t>
      </w:r>
      <w:proofErr w:type="spellStart"/>
      <w:r w:rsidRPr="007D1DD6">
        <w:t>hemocyte</w:t>
      </w:r>
      <w:proofErr w:type="spellEnd"/>
      <w:r w:rsidRPr="007D1DD6">
        <w:t xml:space="preserve"> type was recorded, and the absolute number of each cell population was calculated by multiplying the percentage of individual </w:t>
      </w:r>
      <w:proofErr w:type="spellStart"/>
      <w:r w:rsidRPr="007D1DD6">
        <w:t>hemocyte</w:t>
      </w:r>
      <w:proofErr w:type="spellEnd"/>
      <w:r w:rsidRPr="007D1DD6">
        <w:t xml:space="preserve"> types by the corresponding THC. </w:t>
      </w:r>
      <w:proofErr w:type="spellStart"/>
      <w:r w:rsidRPr="007D1DD6">
        <w:t>Hemocytes</w:t>
      </w:r>
      <w:proofErr w:type="spellEnd"/>
      <w:r w:rsidRPr="007D1DD6">
        <w:t xml:space="preserve"> were classified into hyaline, </w:t>
      </w:r>
      <w:proofErr w:type="spellStart"/>
      <w:r w:rsidRPr="007D1DD6">
        <w:t>semigranular</w:t>
      </w:r>
      <w:proofErr w:type="spellEnd"/>
      <w:r w:rsidRPr="007D1DD6">
        <w:t xml:space="preserve">, and granular cells according to their morphological characteristics, including cell size, nuclear-to-cytoplasmic ratio, and cytoplasmic granularity, following the criteria described by Matozzo et al. (2001) and supported by recent reviews on crustacean </w:t>
      </w:r>
      <w:proofErr w:type="spellStart"/>
      <w:r w:rsidRPr="007D1DD6">
        <w:t>hemocyte</w:t>
      </w:r>
      <w:proofErr w:type="spellEnd"/>
      <w:r w:rsidRPr="007D1DD6">
        <w:t xml:space="preserve"> classification and </w:t>
      </w:r>
      <w:proofErr w:type="spellStart"/>
      <w:r w:rsidRPr="007D1DD6">
        <w:t>hematopoiesis</w:t>
      </w:r>
      <w:proofErr w:type="spellEnd"/>
      <w:r w:rsidRPr="007D1DD6">
        <w:t xml:space="preserve"> (</w:t>
      </w:r>
      <w:proofErr w:type="spellStart"/>
      <w:r w:rsidRPr="007D1DD6">
        <w:t>Söderhäll</w:t>
      </w:r>
      <w:proofErr w:type="spellEnd"/>
      <w:r w:rsidRPr="007D1DD6">
        <w:t xml:space="preserve"> &amp; </w:t>
      </w:r>
      <w:proofErr w:type="spellStart"/>
      <w:r w:rsidRPr="007D1DD6">
        <w:t>Söderhäll</w:t>
      </w:r>
      <w:proofErr w:type="spellEnd"/>
      <w:r w:rsidRPr="007D1DD6">
        <w:t>, 2022; Li et al., 2022).</w:t>
      </w:r>
    </w:p>
    <w:p w14:paraId="3CA106B5" w14:textId="77777777" w:rsidR="0065389C" w:rsidRPr="007D1DD6" w:rsidRDefault="0065389C" w:rsidP="007D1DD6">
      <w:pPr>
        <w:pStyle w:val="NormalWeb"/>
        <w:spacing w:line="360" w:lineRule="auto"/>
        <w:jc w:val="both"/>
      </w:pPr>
      <w:r w:rsidRPr="007D1DD6">
        <w:t xml:space="preserve">For morphological examination, three drops of freshly collected haemolymph were smeared onto clean glass slides and fixed with absolute methanol for 3 min. The smears were subsequently stained with Giemsa–Romanowski stain for 30 min, rinsed gently with distilled water, air dried, and observed under a light microscope. </w:t>
      </w:r>
      <w:proofErr w:type="spellStart"/>
      <w:r w:rsidRPr="007D1DD6">
        <w:t>Hemocyte</w:t>
      </w:r>
      <w:proofErr w:type="spellEnd"/>
      <w:r w:rsidRPr="007D1DD6">
        <w:t xml:space="preserve"> populations were identified and differentiated based on staining characteristics, cell morphology, and the presence of cytoplasmic granules, consistent with current recommendations for crustacean immunological investigations.</w:t>
      </w:r>
    </w:p>
    <w:p w14:paraId="088B1B75" w14:textId="77777777" w:rsidR="008F59C4" w:rsidRPr="007D1DD6" w:rsidRDefault="008F59C4" w:rsidP="007D1DD6">
      <w:pPr>
        <w:pStyle w:val="Heading3"/>
        <w:spacing w:line="360" w:lineRule="auto"/>
        <w:jc w:val="both"/>
        <w:rPr>
          <w:sz w:val="24"/>
          <w:szCs w:val="24"/>
        </w:rPr>
      </w:pPr>
      <w:r w:rsidRPr="007D1DD6">
        <w:rPr>
          <w:sz w:val="24"/>
          <w:szCs w:val="24"/>
        </w:rPr>
        <w:lastRenderedPageBreak/>
        <w:t>Phagocytic Activity Assay</w:t>
      </w:r>
    </w:p>
    <w:p w14:paraId="5BA918D7" w14:textId="77777777" w:rsidR="008F59C4" w:rsidRPr="007D1DD6" w:rsidRDefault="008F59C4" w:rsidP="007D1DD6">
      <w:pPr>
        <w:pStyle w:val="isselectedend"/>
        <w:spacing w:line="360" w:lineRule="auto"/>
        <w:jc w:val="both"/>
      </w:pPr>
      <w:r w:rsidRPr="007D1DD6">
        <w:t xml:space="preserve">The phagocytic activity of circulating </w:t>
      </w:r>
      <w:proofErr w:type="spellStart"/>
      <w:r w:rsidRPr="007D1DD6">
        <w:t>hemocytes</w:t>
      </w:r>
      <w:proofErr w:type="spellEnd"/>
      <w:r w:rsidRPr="007D1DD6">
        <w:t xml:space="preserve"> was evaluated using heat-killed yeast cells (</w:t>
      </w:r>
      <w:r w:rsidRPr="007D1DD6">
        <w:rPr>
          <w:rStyle w:val="Emphasis"/>
        </w:rPr>
        <w:t>Saccharomyces cerevisiae</w:t>
      </w:r>
      <w:r w:rsidRPr="007D1DD6">
        <w:t xml:space="preserve">) as target particles following the method described by Wang et al. (2023), with minor modifications. Fresh haemolymph (50 </w:t>
      </w:r>
      <w:proofErr w:type="spellStart"/>
      <w:r w:rsidRPr="007D1DD6">
        <w:t>μL</w:t>
      </w:r>
      <w:proofErr w:type="spellEnd"/>
      <w:r w:rsidRPr="007D1DD6">
        <w:t xml:space="preserve">) obtained from each crab was evenly spread onto sterile glass microscope slides and incubated at </w:t>
      </w:r>
      <w:r w:rsidRPr="007D1DD6">
        <w:rPr>
          <w:rStyle w:val="Strong"/>
          <w:b w:val="0"/>
        </w:rPr>
        <w:t>25 °C for 20 min</w:t>
      </w:r>
      <w:r w:rsidRPr="007D1DD6">
        <w:t xml:space="preserve"> to allow </w:t>
      </w:r>
      <w:proofErr w:type="spellStart"/>
      <w:r w:rsidRPr="007D1DD6">
        <w:t>hemocyte</w:t>
      </w:r>
      <w:proofErr w:type="spellEnd"/>
      <w:r w:rsidRPr="007D1DD6">
        <w:t xml:space="preserve"> adhesion. After incubation, the slides were gently rinsed with Tris-buffered saline (TBS) to remove non-adherent cells while preserving the attached </w:t>
      </w:r>
      <w:proofErr w:type="spellStart"/>
      <w:r w:rsidRPr="007D1DD6">
        <w:t>hemocyte</w:t>
      </w:r>
      <w:proofErr w:type="spellEnd"/>
      <w:r w:rsidRPr="007D1DD6">
        <w:t xml:space="preserve"> monolayer.</w:t>
      </w:r>
      <w:r w:rsidR="002D3468" w:rsidRPr="007D1DD6">
        <w:t xml:space="preserve"> </w:t>
      </w:r>
      <w:r w:rsidRPr="007D1DD6">
        <w:t xml:space="preserve">Subsequently, </w:t>
      </w:r>
      <w:r w:rsidRPr="007D1DD6">
        <w:rPr>
          <w:rStyle w:val="Strong"/>
          <w:b w:val="0"/>
        </w:rPr>
        <w:t xml:space="preserve">50 </w:t>
      </w:r>
      <w:proofErr w:type="spellStart"/>
      <w:r w:rsidRPr="007D1DD6">
        <w:rPr>
          <w:rStyle w:val="Strong"/>
          <w:b w:val="0"/>
        </w:rPr>
        <w:t>μL</w:t>
      </w:r>
      <w:proofErr w:type="spellEnd"/>
      <w:r w:rsidRPr="007D1DD6">
        <w:rPr>
          <w:rStyle w:val="Strong"/>
          <w:b w:val="0"/>
        </w:rPr>
        <w:t xml:space="preserve"> of a 0.5% yeast cell suspension</w:t>
      </w:r>
      <w:r w:rsidRPr="007D1DD6">
        <w:t xml:space="preserve"> was added to each slide, and the preparations were incubated for an additional </w:t>
      </w:r>
      <w:r w:rsidRPr="007D1DD6">
        <w:rPr>
          <w:rStyle w:val="Strong"/>
          <w:b w:val="0"/>
        </w:rPr>
        <w:t>15 min at 25 °C</w:t>
      </w:r>
      <w:r w:rsidRPr="007D1DD6">
        <w:t xml:space="preserve"> to facilitate phagocytic uptake. Following incubation, excess yeast cells were removed by gently washing the slides with sterile filtered seawater. The adhered </w:t>
      </w:r>
      <w:proofErr w:type="spellStart"/>
      <w:r w:rsidRPr="007D1DD6">
        <w:t>hemocytes</w:t>
      </w:r>
      <w:proofErr w:type="spellEnd"/>
      <w:r w:rsidRPr="007D1DD6">
        <w:t xml:space="preserve"> were then fixed with </w:t>
      </w:r>
      <w:r w:rsidRPr="007D1DD6">
        <w:rPr>
          <w:rStyle w:val="Strong"/>
          <w:b w:val="0"/>
        </w:rPr>
        <w:t>2.5% glutaraldehyde</w:t>
      </w:r>
      <w:r w:rsidRPr="007D1DD6">
        <w:t xml:space="preserve"> for </w:t>
      </w:r>
      <w:r w:rsidRPr="007D1DD6">
        <w:rPr>
          <w:rStyle w:val="Strong"/>
          <w:b w:val="0"/>
        </w:rPr>
        <w:t>5 min</w:t>
      </w:r>
      <w:r w:rsidRPr="007D1DD6">
        <w:rPr>
          <w:b/>
        </w:rPr>
        <w:t>,</w:t>
      </w:r>
      <w:r w:rsidRPr="007D1DD6">
        <w:t xml:space="preserve"> rinsed with TBS, mounted with coverslips, and examined using a phase-contrast light microscope.</w:t>
      </w:r>
      <w:r w:rsidR="002D3468" w:rsidRPr="007D1DD6">
        <w:t xml:space="preserve"> </w:t>
      </w:r>
      <w:r w:rsidRPr="007D1DD6">
        <w:t xml:space="preserve">Three independent observations were performed for each crab, and approximately </w:t>
      </w:r>
      <w:r w:rsidRPr="007D1DD6">
        <w:rPr>
          <w:rStyle w:val="Strong"/>
          <w:b w:val="0"/>
        </w:rPr>
        <w:t xml:space="preserve">200 </w:t>
      </w:r>
      <w:proofErr w:type="spellStart"/>
      <w:r w:rsidRPr="007D1DD6">
        <w:rPr>
          <w:rStyle w:val="Strong"/>
          <w:b w:val="0"/>
        </w:rPr>
        <w:t>hemocytes</w:t>
      </w:r>
      <w:proofErr w:type="spellEnd"/>
      <w:r w:rsidRPr="007D1DD6">
        <w:rPr>
          <w:b/>
        </w:rPr>
        <w:t xml:space="preserve"> </w:t>
      </w:r>
      <w:r w:rsidRPr="007D1DD6">
        <w:t xml:space="preserve">were examined in each replicate. </w:t>
      </w:r>
      <w:proofErr w:type="spellStart"/>
      <w:r w:rsidRPr="007D1DD6">
        <w:t>Hemocytes</w:t>
      </w:r>
      <w:proofErr w:type="spellEnd"/>
      <w:r w:rsidRPr="007D1DD6">
        <w:t xml:space="preserve"> containing one or more engulfed yeast cells were considered phagocytic. Phagocytic activity was expressed as the percentage of phagocytic </w:t>
      </w:r>
      <w:proofErr w:type="spellStart"/>
      <w:r w:rsidRPr="007D1DD6">
        <w:t>hemocytes</w:t>
      </w:r>
      <w:proofErr w:type="spellEnd"/>
      <w:r w:rsidRPr="007D1DD6">
        <w:t xml:space="preserve"> relative to the total number of </w:t>
      </w:r>
      <w:proofErr w:type="spellStart"/>
      <w:r w:rsidRPr="007D1DD6">
        <w:t>hemocytes</w:t>
      </w:r>
      <w:proofErr w:type="spellEnd"/>
      <w:r w:rsidRPr="007D1DD6">
        <w:t xml:space="preserve"> counted using the following equation:</w:t>
      </w:r>
    </w:p>
    <w:p w14:paraId="012AD8EF" w14:textId="77777777" w:rsidR="008F59C4" w:rsidRPr="007D1DD6" w:rsidRDefault="008F59C4" w:rsidP="007D1DD6">
      <w:pPr>
        <w:pStyle w:val="Heading3"/>
        <w:spacing w:line="360" w:lineRule="auto"/>
        <w:jc w:val="both"/>
        <w:rPr>
          <w:sz w:val="24"/>
          <w:szCs w:val="24"/>
        </w:rPr>
      </w:pPr>
      <w:r w:rsidRPr="007D1DD6">
        <w:rPr>
          <w:sz w:val="24"/>
          <w:szCs w:val="24"/>
        </w:rPr>
        <w:t>Antibacterial Activity Assay</w:t>
      </w:r>
    </w:p>
    <w:p w14:paraId="63D100B8" w14:textId="77777777" w:rsidR="008F59C4" w:rsidRPr="007D1DD6" w:rsidRDefault="008F59C4" w:rsidP="007D1DD6">
      <w:pPr>
        <w:pStyle w:val="isselectedend"/>
        <w:spacing w:line="360" w:lineRule="auto"/>
        <w:jc w:val="both"/>
      </w:pPr>
      <w:r w:rsidRPr="007D1DD6">
        <w:t xml:space="preserve">The antibacterial activity of haemolymph was evaluated using a turbidimetric bacterial growth inhibition assay following the method of Wootton and Pipe (2003), with slight modifications. Briefly, </w:t>
      </w:r>
      <w:r w:rsidRPr="007D1DD6">
        <w:rPr>
          <w:rStyle w:val="Strong"/>
          <w:b w:val="0"/>
        </w:rPr>
        <w:t xml:space="preserve">100 </w:t>
      </w:r>
      <w:proofErr w:type="spellStart"/>
      <w:r w:rsidRPr="007D1DD6">
        <w:rPr>
          <w:rStyle w:val="Strong"/>
          <w:b w:val="0"/>
        </w:rPr>
        <w:t>μL</w:t>
      </w:r>
      <w:proofErr w:type="spellEnd"/>
      <w:r w:rsidRPr="007D1DD6">
        <w:t xml:space="preserve"> of haemolymph collected from each experimental and control crab was dispensed into individual wells of a sterile 96-well microtiter plate. Control wells received an equal volume of sterile phosphate-buffered saline (PBS) in place of haemolymph.</w:t>
      </w:r>
      <w:r w:rsidR="002D3468" w:rsidRPr="007D1DD6">
        <w:t xml:space="preserve"> </w:t>
      </w:r>
      <w:r w:rsidRPr="007D1DD6">
        <w:rPr>
          <w:rStyle w:val="Emphasis"/>
        </w:rPr>
        <w:t xml:space="preserve">Aeromonas </w:t>
      </w:r>
      <w:proofErr w:type="spellStart"/>
      <w:r w:rsidRPr="007D1DD6">
        <w:rPr>
          <w:rStyle w:val="Emphasis"/>
        </w:rPr>
        <w:t>hydrophila</w:t>
      </w:r>
      <w:proofErr w:type="spellEnd"/>
      <w:r w:rsidRPr="007D1DD6">
        <w:t xml:space="preserve"> was cultured overnight in sterile nutrient broth (NB) at </w:t>
      </w:r>
      <w:r w:rsidRPr="007D1DD6">
        <w:rPr>
          <w:rStyle w:val="Strong"/>
          <w:b w:val="0"/>
        </w:rPr>
        <w:t>28 °C</w:t>
      </w:r>
      <w:r w:rsidRPr="007D1DD6">
        <w:t xml:space="preserve"> with continuous shaking until the logarithmic growth phase was reached. The bacterial suspension was adjusted to approximately </w:t>
      </w:r>
      <w:r w:rsidRPr="007D1DD6">
        <w:rPr>
          <w:rStyle w:val="Strong"/>
          <w:b w:val="0"/>
        </w:rPr>
        <w:t>1 × 10</w:t>
      </w:r>
      <w:r w:rsidRPr="007D1DD6">
        <w:rPr>
          <w:rStyle w:val="Strong"/>
          <w:rFonts w:ascii="Cambria Math" w:hAnsi="Cambria Math"/>
          <w:b w:val="0"/>
        </w:rPr>
        <w:t>⁸</w:t>
      </w:r>
      <w:r w:rsidRPr="007D1DD6">
        <w:rPr>
          <w:rStyle w:val="Strong"/>
          <w:b w:val="0"/>
        </w:rPr>
        <w:t xml:space="preserve"> CFU mL</w:t>
      </w:r>
      <w:r w:rsidRPr="007D1DD6">
        <w:rPr>
          <w:rStyle w:val="Strong"/>
          <w:rFonts w:ascii="Cambria Math" w:hAnsi="Cambria Math"/>
          <w:b w:val="0"/>
        </w:rPr>
        <w:t>⁻</w:t>
      </w:r>
      <w:r w:rsidRPr="007D1DD6">
        <w:rPr>
          <w:rStyle w:val="Strong"/>
          <w:b w:val="0"/>
        </w:rPr>
        <w:t>¹</w:t>
      </w:r>
      <w:r w:rsidRPr="007D1DD6">
        <w:t xml:space="preserve"> (OD</w:t>
      </w:r>
      <w:r w:rsidRPr="007D1DD6">
        <w:rPr>
          <w:rFonts w:ascii="Cambria Math" w:hAnsi="Cambria Math"/>
        </w:rPr>
        <w:t>₆₀₀</w:t>
      </w:r>
      <w:r w:rsidRPr="007D1DD6">
        <w:t xml:space="preserve"> = </w:t>
      </w:r>
      <w:r w:rsidRPr="007D1DD6">
        <w:rPr>
          <w:rStyle w:val="Strong"/>
          <w:b w:val="0"/>
        </w:rPr>
        <w:t>0.509</w:t>
      </w:r>
      <w:r w:rsidRPr="007D1DD6">
        <w:rPr>
          <w:b/>
        </w:rPr>
        <w:t xml:space="preserve">), </w:t>
      </w:r>
      <w:r w:rsidRPr="007D1DD6">
        <w:t xml:space="preserve">and </w:t>
      </w:r>
      <w:r w:rsidRPr="007D1DD6">
        <w:rPr>
          <w:rStyle w:val="Strong"/>
          <w:b w:val="0"/>
        </w:rPr>
        <w:t xml:space="preserve">100 </w:t>
      </w:r>
      <w:proofErr w:type="spellStart"/>
      <w:r w:rsidRPr="007D1DD6">
        <w:rPr>
          <w:rStyle w:val="Strong"/>
          <w:b w:val="0"/>
        </w:rPr>
        <w:t>μL</w:t>
      </w:r>
      <w:proofErr w:type="spellEnd"/>
      <w:r w:rsidRPr="007D1DD6">
        <w:t xml:space="preserve"> of the standardized bacterial culture was added to each well containing haemolymph or PBS. The microplates were incubated at room temperature, and bacterial growth was monitored spectrophotometrically by measuring absorbance at </w:t>
      </w:r>
      <w:r w:rsidRPr="007D1DD6">
        <w:rPr>
          <w:rStyle w:val="Strong"/>
          <w:b w:val="0"/>
        </w:rPr>
        <w:t>540 nm</w:t>
      </w:r>
      <w:r w:rsidRPr="007D1DD6">
        <w:t>. Antibacterial activity was determined from the reduction in bacterial growth relative to the positive control, with lower absorbance values indicating stronger bactericidal or bacteriostatic activity of the haemolymph.</w:t>
      </w:r>
    </w:p>
    <w:p w14:paraId="64158003" w14:textId="77777777" w:rsidR="008F59C4" w:rsidRPr="007D1DD6" w:rsidRDefault="008F59C4" w:rsidP="007D1DD6">
      <w:pPr>
        <w:pStyle w:val="Heading3"/>
        <w:spacing w:line="360" w:lineRule="auto"/>
        <w:jc w:val="both"/>
        <w:rPr>
          <w:sz w:val="24"/>
          <w:szCs w:val="24"/>
        </w:rPr>
      </w:pPr>
      <w:r w:rsidRPr="007D1DD6">
        <w:rPr>
          <w:sz w:val="24"/>
          <w:szCs w:val="24"/>
        </w:rPr>
        <w:lastRenderedPageBreak/>
        <w:t>Statistical Analysis</w:t>
      </w:r>
    </w:p>
    <w:p w14:paraId="27DCF159" w14:textId="77777777" w:rsidR="008F59C4" w:rsidRPr="007D1DD6" w:rsidRDefault="008F59C4" w:rsidP="007D1DD6">
      <w:pPr>
        <w:pStyle w:val="isselectedend"/>
        <w:spacing w:line="360" w:lineRule="auto"/>
        <w:jc w:val="both"/>
      </w:pPr>
      <w:r w:rsidRPr="007D1DD6">
        <w:t>All statistical analyses were performed using</w:t>
      </w:r>
      <w:r w:rsidRPr="007D1DD6">
        <w:rPr>
          <w:b/>
        </w:rPr>
        <w:t xml:space="preserve"> </w:t>
      </w:r>
      <w:r w:rsidRPr="007D1DD6">
        <w:rPr>
          <w:rStyle w:val="Strong"/>
          <w:b w:val="0"/>
        </w:rPr>
        <w:t>SPSS</w:t>
      </w:r>
      <w:r w:rsidRPr="007D1DD6">
        <w:rPr>
          <w:b/>
        </w:rPr>
        <w:t xml:space="preserve">. </w:t>
      </w:r>
      <w:r w:rsidRPr="007D1DD6">
        <w:t xml:space="preserve">Prior to hypothesis testing, the data were examined for normality using the </w:t>
      </w:r>
      <w:r w:rsidRPr="007D1DD6">
        <w:rPr>
          <w:rStyle w:val="Strong"/>
          <w:b w:val="0"/>
        </w:rPr>
        <w:t>Shapiro–Wilk test</w:t>
      </w:r>
      <w:r w:rsidRPr="007D1DD6">
        <w:t xml:space="preserve"> and for homogeneity of variances using </w:t>
      </w:r>
      <w:r w:rsidRPr="007D1DD6">
        <w:rPr>
          <w:rStyle w:val="Strong"/>
          <w:b w:val="0"/>
        </w:rPr>
        <w:t>Levene's test</w:t>
      </w:r>
      <w:r w:rsidRPr="007D1DD6">
        <w:t xml:space="preserve">. Depending on whether the assumptions of normality and homoscedasticity were satisfied, differences among experimental groups were analyzed using either </w:t>
      </w:r>
      <w:r w:rsidRPr="007D1DD6">
        <w:rPr>
          <w:rStyle w:val="Strong"/>
          <w:b w:val="0"/>
        </w:rPr>
        <w:t>one-way analysis of variance (ANOVA)</w:t>
      </w:r>
      <w:r w:rsidRPr="007D1DD6">
        <w:rPr>
          <w:b/>
        </w:rPr>
        <w:t xml:space="preserve"> </w:t>
      </w:r>
      <w:r w:rsidRPr="007D1DD6">
        <w:t xml:space="preserve">followed by an appropriate post hoc multiple comparison test (Tukey's HSD), or the </w:t>
      </w:r>
      <w:r w:rsidRPr="007D1DD6">
        <w:rPr>
          <w:rStyle w:val="Strong"/>
          <w:b w:val="0"/>
        </w:rPr>
        <w:t>Kruskal–Wallis non-parametric test</w:t>
      </w:r>
      <w:r w:rsidRPr="007D1DD6">
        <w:t xml:space="preserve"> for data that did not meet parametric assumptions.</w:t>
      </w:r>
      <w:r w:rsidR="008F0E46" w:rsidRPr="007D1DD6">
        <w:t xml:space="preserve"> </w:t>
      </w:r>
      <w:r w:rsidRPr="007D1DD6">
        <w:t xml:space="preserve">All experimental results are presented as </w:t>
      </w:r>
      <w:r w:rsidRPr="007D1DD6">
        <w:rPr>
          <w:rStyle w:val="Strong"/>
          <w:b w:val="0"/>
        </w:rPr>
        <w:t>mean ± standard</w:t>
      </w:r>
      <w:r w:rsidRPr="007D1DD6">
        <w:rPr>
          <w:rStyle w:val="Strong"/>
        </w:rPr>
        <w:t xml:space="preserve"> </w:t>
      </w:r>
      <w:r w:rsidRPr="007D1DD6">
        <w:rPr>
          <w:rStyle w:val="Strong"/>
          <w:b w:val="0"/>
        </w:rPr>
        <w:t>deviation</w:t>
      </w:r>
      <w:r w:rsidRPr="007D1DD6">
        <w:rPr>
          <w:rStyle w:val="Strong"/>
        </w:rPr>
        <w:t xml:space="preserve"> </w:t>
      </w:r>
      <w:r w:rsidRPr="007D1DD6">
        <w:rPr>
          <w:rStyle w:val="Strong"/>
          <w:b w:val="0"/>
        </w:rPr>
        <w:t>(SD)</w:t>
      </w:r>
      <w:r w:rsidRPr="007D1DD6">
        <w:rPr>
          <w:b/>
        </w:rPr>
        <w:t>.</w:t>
      </w:r>
      <w:r w:rsidRPr="007D1DD6">
        <w:t xml:space="preserve"> Statistical significance was established at </w:t>
      </w:r>
      <w:r w:rsidRPr="007D1DD6">
        <w:rPr>
          <w:rStyle w:val="Strong"/>
          <w:b w:val="0"/>
        </w:rPr>
        <w:t>p &lt; 0.05</w:t>
      </w:r>
      <w:r w:rsidRPr="007D1DD6">
        <w:t>.</w:t>
      </w:r>
    </w:p>
    <w:p w14:paraId="62239947" w14:textId="77777777" w:rsidR="008F0E46" w:rsidRPr="007D1DD6" w:rsidRDefault="007D1DD6" w:rsidP="007D1DD6">
      <w:pPr>
        <w:pStyle w:val="Heading3"/>
        <w:spacing w:line="360" w:lineRule="auto"/>
        <w:jc w:val="center"/>
        <w:rPr>
          <w:sz w:val="24"/>
          <w:szCs w:val="24"/>
        </w:rPr>
      </w:pPr>
      <w:r>
        <w:rPr>
          <w:sz w:val="24"/>
          <w:szCs w:val="24"/>
        </w:rPr>
        <w:t xml:space="preserve">3.0 </w:t>
      </w:r>
      <w:r w:rsidR="008F0E46" w:rsidRPr="007D1DD6">
        <w:rPr>
          <w:sz w:val="24"/>
          <w:szCs w:val="24"/>
        </w:rPr>
        <w:t>Results</w:t>
      </w:r>
    </w:p>
    <w:p w14:paraId="0ABC309B" w14:textId="77777777" w:rsidR="008F0E46" w:rsidRPr="007D1DD6" w:rsidRDefault="008F0E46" w:rsidP="007D1DD6">
      <w:pPr>
        <w:pStyle w:val="Heading2"/>
        <w:spacing w:line="360" w:lineRule="auto"/>
        <w:jc w:val="both"/>
        <w:rPr>
          <w:rFonts w:ascii="Times New Roman" w:hAnsi="Times New Roman" w:cs="Times New Roman"/>
          <w:color w:val="000000" w:themeColor="text1"/>
          <w:sz w:val="24"/>
          <w:szCs w:val="24"/>
        </w:rPr>
      </w:pPr>
      <w:r w:rsidRPr="007D1DD6">
        <w:rPr>
          <w:rFonts w:ascii="Times New Roman" w:hAnsi="Times New Roman" w:cs="Times New Roman"/>
          <w:color w:val="000000" w:themeColor="text1"/>
          <w:sz w:val="24"/>
          <w:szCs w:val="24"/>
        </w:rPr>
        <w:t xml:space="preserve">Total </w:t>
      </w:r>
      <w:proofErr w:type="spellStart"/>
      <w:r w:rsidRPr="007D1DD6">
        <w:rPr>
          <w:rFonts w:ascii="Times New Roman" w:hAnsi="Times New Roman" w:cs="Times New Roman"/>
          <w:color w:val="000000" w:themeColor="text1"/>
          <w:sz w:val="24"/>
          <w:szCs w:val="24"/>
        </w:rPr>
        <w:t>Hemocyte</w:t>
      </w:r>
      <w:proofErr w:type="spellEnd"/>
      <w:r w:rsidRPr="007D1DD6">
        <w:rPr>
          <w:rFonts w:ascii="Times New Roman" w:hAnsi="Times New Roman" w:cs="Times New Roman"/>
          <w:color w:val="000000" w:themeColor="text1"/>
          <w:sz w:val="24"/>
          <w:szCs w:val="24"/>
        </w:rPr>
        <w:t xml:space="preserve"> Count (THC)</w:t>
      </w:r>
    </w:p>
    <w:p w14:paraId="70A16ECA" w14:textId="77777777" w:rsidR="008F0E46" w:rsidRDefault="008F0E46" w:rsidP="007D1DD6">
      <w:pPr>
        <w:pStyle w:val="isselectedend"/>
        <w:spacing w:line="360" w:lineRule="auto"/>
        <w:jc w:val="both"/>
      </w:pPr>
      <w:r w:rsidRPr="007D1DD6">
        <w:t>The effects of benzo</w:t>
      </w:r>
      <w:r w:rsidRPr="007D1DD6">
        <w:rPr>
          <w:rStyle w:val="text-token-text-primary"/>
        </w:rPr>
        <w:t>[a]</w:t>
      </w:r>
      <w:r w:rsidRPr="007D1DD6">
        <w:t>pyrene (</w:t>
      </w:r>
      <w:proofErr w:type="spellStart"/>
      <w:r w:rsidRPr="007D1DD6">
        <w:t>BaP</w:t>
      </w:r>
      <w:proofErr w:type="spellEnd"/>
      <w:r w:rsidRPr="007D1DD6">
        <w:t xml:space="preserve">) on the total </w:t>
      </w:r>
      <w:proofErr w:type="spellStart"/>
      <w:r w:rsidRPr="007D1DD6">
        <w:t>hemocyte</w:t>
      </w:r>
      <w:proofErr w:type="spellEnd"/>
      <w:r w:rsidRPr="007D1DD6">
        <w:t xml:space="preserve"> count (THC) of </w:t>
      </w:r>
      <w:r w:rsidRPr="007D1DD6">
        <w:rPr>
          <w:rStyle w:val="Emphasis"/>
        </w:rPr>
        <w:t>Scylla serrata</w:t>
      </w:r>
      <w:r w:rsidRPr="007D1DD6">
        <w:t xml:space="preserve"> are presented in </w:t>
      </w:r>
      <w:r w:rsidRPr="00F63DAC">
        <w:rPr>
          <w:rStyle w:val="Strong"/>
          <w:b w:val="0"/>
        </w:rPr>
        <w:t xml:space="preserve">Figure </w:t>
      </w:r>
      <w:r w:rsidR="00F63DAC" w:rsidRPr="00F63DAC">
        <w:rPr>
          <w:rStyle w:val="Strong"/>
          <w:b w:val="0"/>
        </w:rPr>
        <w:t>1</w:t>
      </w:r>
      <w:r w:rsidR="00F63DAC">
        <w:rPr>
          <w:rStyle w:val="Strong"/>
          <w:b w:val="0"/>
        </w:rPr>
        <w:t>.</w:t>
      </w:r>
      <w:r w:rsidRPr="007D1DD6">
        <w:t xml:space="preserve"> The control group maintained relatively constant THC values throughout the experimental period, ranging from approximately </w:t>
      </w:r>
      <w:r w:rsidRPr="007D1DD6">
        <w:rPr>
          <w:rStyle w:val="Strong"/>
        </w:rPr>
        <w:t>7</w:t>
      </w:r>
      <w:r w:rsidRPr="007D1DD6">
        <w:rPr>
          <w:rStyle w:val="Strong"/>
          <w:b w:val="0"/>
        </w:rPr>
        <w:t>.8 × 10</w:t>
      </w:r>
      <w:r w:rsidRPr="007D1DD6">
        <w:rPr>
          <w:rStyle w:val="Strong"/>
          <w:rFonts w:ascii="Cambria Math" w:hAnsi="Cambria Math"/>
          <w:b w:val="0"/>
        </w:rPr>
        <w:t>⁶</w:t>
      </w:r>
      <w:r w:rsidRPr="007D1DD6">
        <w:rPr>
          <w:rStyle w:val="Strong"/>
          <w:b w:val="0"/>
        </w:rPr>
        <w:t xml:space="preserve"> to 8.2 × 10</w:t>
      </w:r>
      <w:r w:rsidRPr="007D1DD6">
        <w:rPr>
          <w:rStyle w:val="Strong"/>
          <w:rFonts w:ascii="Cambria Math" w:hAnsi="Cambria Math"/>
          <w:b w:val="0"/>
        </w:rPr>
        <w:t>⁶</w:t>
      </w:r>
      <w:r w:rsidRPr="007D1DD6">
        <w:rPr>
          <w:rStyle w:val="Strong"/>
          <w:b w:val="0"/>
        </w:rPr>
        <w:t xml:space="preserve"> cells mL</w:t>
      </w:r>
      <w:r w:rsidRPr="007D1DD6">
        <w:rPr>
          <w:rStyle w:val="Strong"/>
          <w:rFonts w:ascii="Cambria Math" w:hAnsi="Cambria Math"/>
          <w:b w:val="0"/>
        </w:rPr>
        <w:t>⁻</w:t>
      </w:r>
      <w:r w:rsidRPr="007D1DD6">
        <w:rPr>
          <w:rStyle w:val="Strong"/>
          <w:b w:val="0"/>
        </w:rPr>
        <w:t>¹</w:t>
      </w:r>
      <w:r w:rsidRPr="007D1DD6">
        <w:t>, indicating stable physiological and immunological conditions.</w:t>
      </w:r>
      <w:r w:rsidR="00555999" w:rsidRPr="007D1DD6">
        <w:t xml:space="preserve"> </w:t>
      </w:r>
      <w:r w:rsidRPr="007D1DD6">
        <w:t xml:space="preserve">After </w:t>
      </w:r>
      <w:r w:rsidRPr="007D1DD6">
        <w:rPr>
          <w:rStyle w:val="Strong"/>
          <w:b w:val="0"/>
        </w:rPr>
        <w:t>20 days</w:t>
      </w:r>
      <w:r w:rsidRPr="007D1DD6">
        <w:t xml:space="preserve"> of exposure, crabs exposed to </w:t>
      </w:r>
      <w:r w:rsidRPr="007D1DD6">
        <w:rPr>
          <w:rStyle w:val="Strong"/>
          <w:b w:val="0"/>
        </w:rPr>
        <w:t xml:space="preserve">10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¹</w:t>
      </w:r>
      <w:r w:rsidRPr="007D1DD6">
        <w:t xml:space="preserve"> and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 xml:space="preserve">¹ </w:t>
      </w:r>
      <w:proofErr w:type="spellStart"/>
      <w:r w:rsidRPr="007D1DD6">
        <w:rPr>
          <w:rStyle w:val="Strong"/>
          <w:b w:val="0"/>
        </w:rPr>
        <w:t>BaP</w:t>
      </w:r>
      <w:proofErr w:type="spellEnd"/>
      <w:r w:rsidRPr="007D1DD6">
        <w:t xml:space="preserve"> exhibited slight reductions in THC compared with the control; however, these differences were not statistically significant (</w:t>
      </w:r>
      <w:r w:rsidRPr="007D1DD6">
        <w:rPr>
          <w:rStyle w:val="Emphasis"/>
        </w:rPr>
        <w:t>p</w:t>
      </w:r>
      <w:r w:rsidRPr="007D1DD6">
        <w:t xml:space="preserve"> &gt; 0.05). In contrast, prolonged exposure for </w:t>
      </w:r>
      <w:r w:rsidRPr="007D1DD6">
        <w:rPr>
          <w:rStyle w:val="Strong"/>
          <w:b w:val="0"/>
        </w:rPr>
        <w:t>40 days</w:t>
      </w:r>
      <w:r w:rsidRPr="007D1DD6">
        <w:t xml:space="preserve"> resulted in a significant decline in circulating </w:t>
      </w:r>
      <w:proofErr w:type="spellStart"/>
      <w:r w:rsidRPr="007D1DD6">
        <w:t>hemocyte</w:t>
      </w:r>
      <w:proofErr w:type="spellEnd"/>
      <w:r w:rsidRPr="007D1DD6">
        <w:t xml:space="preserve"> numbers in both treatment groups (</w:t>
      </w:r>
      <w:r w:rsidRPr="007D1DD6">
        <w:rPr>
          <w:rStyle w:val="Emphasis"/>
        </w:rPr>
        <w:t>p</w:t>
      </w:r>
      <w:r w:rsidRPr="007D1DD6">
        <w:t xml:space="preserve"> &lt; 0.05), with the greatest reduction occurring in crabs exposed to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 xml:space="preserve">¹ </w:t>
      </w:r>
      <w:proofErr w:type="spellStart"/>
      <w:r w:rsidRPr="007D1DD6">
        <w:rPr>
          <w:rStyle w:val="Strong"/>
          <w:b w:val="0"/>
        </w:rPr>
        <w:t>BaP</w:t>
      </w:r>
      <w:proofErr w:type="spellEnd"/>
      <w:r w:rsidRPr="007D1DD6">
        <w:t xml:space="preserve">, where THC decreased by approximately </w:t>
      </w:r>
      <w:r w:rsidRPr="007D1DD6">
        <w:rPr>
          <w:rStyle w:val="Strong"/>
          <w:b w:val="0"/>
        </w:rPr>
        <w:t>38–40%</w:t>
      </w:r>
      <w:r w:rsidRPr="007D1DD6">
        <w:t xml:space="preserve"> relative to the control.</w:t>
      </w:r>
      <w:r w:rsidR="00555999" w:rsidRPr="007D1DD6">
        <w:t xml:space="preserve"> </w:t>
      </w:r>
      <w:r w:rsidRPr="007D1DD6">
        <w:t xml:space="preserve">Following a </w:t>
      </w:r>
      <w:r w:rsidRPr="007D1DD6">
        <w:rPr>
          <w:rStyle w:val="Strong"/>
          <w:b w:val="0"/>
        </w:rPr>
        <w:t>20-day depuration period</w:t>
      </w:r>
      <w:r w:rsidRPr="007D1DD6">
        <w:t xml:space="preserve">, THC increased in both </w:t>
      </w:r>
      <w:proofErr w:type="spellStart"/>
      <w:r w:rsidRPr="007D1DD6">
        <w:t>BaP</w:t>
      </w:r>
      <w:proofErr w:type="spellEnd"/>
      <w:r w:rsidRPr="007D1DD6">
        <w:t xml:space="preserve">-treated groups, suggesting recovery of the </w:t>
      </w:r>
      <w:proofErr w:type="spellStart"/>
      <w:r w:rsidRPr="007D1DD6">
        <w:t>hemocyte</w:t>
      </w:r>
      <w:proofErr w:type="spellEnd"/>
      <w:r w:rsidRPr="007D1DD6">
        <w:t xml:space="preserve"> population after transfer to uncontaminated seawater. Nevertheless, THC values remained significantly lower than those of the control group (</w:t>
      </w:r>
      <w:r w:rsidRPr="007D1DD6">
        <w:rPr>
          <w:rStyle w:val="Emphasis"/>
        </w:rPr>
        <w:t>p</w:t>
      </w:r>
      <w:r w:rsidRPr="007D1DD6">
        <w:t xml:space="preserve"> &lt; 0.05), particularly in crabs previously exposed to</w:t>
      </w:r>
      <w:r w:rsidRPr="007D1DD6">
        <w:rPr>
          <w:b/>
        </w:rPr>
        <w:t xml:space="preserve">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¹</w:t>
      </w:r>
      <w:r w:rsidRPr="007D1DD6">
        <w:rPr>
          <w:b/>
        </w:rPr>
        <w:t xml:space="preserve">, </w:t>
      </w:r>
      <w:r w:rsidRPr="007D1DD6">
        <w:t>indicating incomplete restoration of immune homeostasis.</w:t>
      </w:r>
    </w:p>
    <w:p w14:paraId="7C243C55" w14:textId="77777777" w:rsidR="00102C19" w:rsidRDefault="00102C19" w:rsidP="007D1DD6">
      <w:pPr>
        <w:pStyle w:val="isselectedend"/>
        <w:spacing w:line="360" w:lineRule="auto"/>
        <w:jc w:val="both"/>
      </w:pPr>
    </w:p>
    <w:p w14:paraId="152B79F3" w14:textId="77777777" w:rsidR="00102C19" w:rsidRDefault="00102C19" w:rsidP="007D1DD6">
      <w:pPr>
        <w:pStyle w:val="isselectedend"/>
        <w:spacing w:line="360" w:lineRule="auto"/>
        <w:jc w:val="both"/>
      </w:pPr>
      <w:r>
        <w:rPr>
          <w:noProof/>
        </w:rPr>
        <w:lastRenderedPageBreak/>
        <w:drawing>
          <wp:inline distT="0" distB="0" distL="0" distR="0" wp14:anchorId="0EBF245D" wp14:editId="55E2AB6C">
            <wp:extent cx="4867646" cy="3493893"/>
            <wp:effectExtent l="19050" t="0" r="9154"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4867226" cy="3493591"/>
                    </a:xfrm>
                    <a:prstGeom prst="rect">
                      <a:avLst/>
                    </a:prstGeom>
                    <a:noFill/>
                    <a:ln w="9525">
                      <a:noFill/>
                      <a:miter lim="800000"/>
                      <a:headEnd/>
                      <a:tailEnd/>
                    </a:ln>
                  </pic:spPr>
                </pic:pic>
              </a:graphicData>
            </a:graphic>
          </wp:inline>
        </w:drawing>
      </w:r>
    </w:p>
    <w:p w14:paraId="3FF21680" w14:textId="77777777" w:rsidR="00102C19" w:rsidRPr="007D1DD6" w:rsidRDefault="002E21D8" w:rsidP="007D1DD6">
      <w:pPr>
        <w:pStyle w:val="isselectedend"/>
        <w:spacing w:line="360" w:lineRule="auto"/>
        <w:jc w:val="both"/>
      </w:pPr>
      <w:r>
        <w:t xml:space="preserve">Figure </w:t>
      </w:r>
      <w:r w:rsidR="00F63DAC">
        <w:t>1 Total Haemocyte Count</w:t>
      </w:r>
      <w:r w:rsidR="00F63DAC" w:rsidRPr="00F63DAC">
        <w:t xml:space="preserve"> in crabs exposed to different concentration of B[a]P for 40 d and followed by the depuration of 20 d. Values are expressed mean ± S.D</w:t>
      </w:r>
    </w:p>
    <w:p w14:paraId="45560152" w14:textId="77777777" w:rsidR="00C416AA" w:rsidRPr="007D1DD6" w:rsidRDefault="00C416AA" w:rsidP="007D1DD6">
      <w:pPr>
        <w:pStyle w:val="Heading2"/>
        <w:spacing w:line="360" w:lineRule="auto"/>
        <w:jc w:val="both"/>
        <w:rPr>
          <w:rFonts w:ascii="Times New Roman" w:hAnsi="Times New Roman" w:cs="Times New Roman"/>
          <w:color w:val="000000" w:themeColor="text1"/>
          <w:sz w:val="24"/>
          <w:szCs w:val="24"/>
        </w:rPr>
      </w:pPr>
      <w:r w:rsidRPr="007D1DD6">
        <w:rPr>
          <w:rFonts w:ascii="Times New Roman" w:hAnsi="Times New Roman" w:cs="Times New Roman"/>
          <w:color w:val="000000" w:themeColor="text1"/>
          <w:sz w:val="24"/>
          <w:szCs w:val="24"/>
        </w:rPr>
        <w:t xml:space="preserve">Differential </w:t>
      </w:r>
      <w:proofErr w:type="spellStart"/>
      <w:r w:rsidRPr="007D1DD6">
        <w:rPr>
          <w:rFonts w:ascii="Times New Roman" w:hAnsi="Times New Roman" w:cs="Times New Roman"/>
          <w:color w:val="000000" w:themeColor="text1"/>
          <w:sz w:val="24"/>
          <w:szCs w:val="24"/>
        </w:rPr>
        <w:t>Hemocyte</w:t>
      </w:r>
      <w:proofErr w:type="spellEnd"/>
      <w:r w:rsidRPr="007D1DD6">
        <w:rPr>
          <w:rFonts w:ascii="Times New Roman" w:hAnsi="Times New Roman" w:cs="Times New Roman"/>
          <w:color w:val="000000" w:themeColor="text1"/>
          <w:sz w:val="24"/>
          <w:szCs w:val="24"/>
        </w:rPr>
        <w:t xml:space="preserve"> Count (DHC)</w:t>
      </w:r>
    </w:p>
    <w:p w14:paraId="0F7D71F2" w14:textId="77777777" w:rsidR="00C416AA" w:rsidRPr="007D1DD6" w:rsidRDefault="00C416AA" w:rsidP="007D1DD6">
      <w:pPr>
        <w:pStyle w:val="isselectedend"/>
        <w:spacing w:line="360" w:lineRule="auto"/>
        <w:jc w:val="both"/>
      </w:pPr>
      <w:r w:rsidRPr="007D1DD6">
        <w:t xml:space="preserve">The differential </w:t>
      </w:r>
      <w:proofErr w:type="spellStart"/>
      <w:r w:rsidRPr="007D1DD6">
        <w:t>hemocyte</w:t>
      </w:r>
      <w:proofErr w:type="spellEnd"/>
      <w:r w:rsidRPr="007D1DD6">
        <w:t xml:space="preserve"> count (DHC) of </w:t>
      </w:r>
      <w:r w:rsidRPr="007D1DD6">
        <w:rPr>
          <w:rStyle w:val="Emphasis"/>
        </w:rPr>
        <w:t>Scylla serrata</w:t>
      </w:r>
      <w:r w:rsidRPr="007D1DD6">
        <w:t xml:space="preserve"> exposed to benzo</w:t>
      </w:r>
      <w:r w:rsidRPr="007D1DD6">
        <w:rPr>
          <w:rStyle w:val="text-token-text-primary"/>
        </w:rPr>
        <w:t>[a]</w:t>
      </w:r>
      <w:r w:rsidRPr="007D1DD6">
        <w:t>pyrene (</w:t>
      </w:r>
      <w:proofErr w:type="spellStart"/>
      <w:r w:rsidRPr="007D1DD6">
        <w:t>BaP</w:t>
      </w:r>
      <w:proofErr w:type="spellEnd"/>
      <w:r w:rsidRPr="007D1DD6">
        <w:t xml:space="preserve">) for 20 and 40 days and after a 20-day depuration period is presented in </w:t>
      </w:r>
      <w:r w:rsidRPr="00F63DAC">
        <w:rPr>
          <w:rStyle w:val="Strong"/>
          <w:b w:val="0"/>
        </w:rPr>
        <w:t xml:space="preserve">Figure </w:t>
      </w:r>
      <w:r w:rsidR="00F63DAC" w:rsidRPr="00F63DAC">
        <w:rPr>
          <w:rStyle w:val="Strong"/>
          <w:b w:val="0"/>
        </w:rPr>
        <w:t>2</w:t>
      </w:r>
      <w:r w:rsidRPr="00F63DAC">
        <w:rPr>
          <w:b/>
        </w:rPr>
        <w:t>.</w:t>
      </w:r>
      <w:r w:rsidRPr="007D1DD6">
        <w:t xml:space="preserve"> Hyalinocytes constituted the predominant circulating </w:t>
      </w:r>
      <w:proofErr w:type="spellStart"/>
      <w:r w:rsidRPr="007D1DD6">
        <w:t>hemocyte</w:t>
      </w:r>
      <w:proofErr w:type="spellEnd"/>
      <w:r w:rsidRPr="007D1DD6">
        <w:t xml:space="preserve"> population in all experimental groups, followed by granulocytes and semigranulocytes.</w:t>
      </w:r>
      <w:r w:rsidR="00555999" w:rsidRPr="007D1DD6">
        <w:t xml:space="preserve"> </w:t>
      </w:r>
      <w:r w:rsidRPr="007D1DD6">
        <w:t xml:space="preserve">After 20 days of exposure, only slight differences were observed among treatments. Crabs exposed to </w:t>
      </w:r>
      <w:r w:rsidRPr="007D1DD6">
        <w:rPr>
          <w:rStyle w:val="Strong"/>
          <w:b w:val="0"/>
        </w:rPr>
        <w:t xml:space="preserve">10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 xml:space="preserve">¹ </w:t>
      </w:r>
      <w:proofErr w:type="spellStart"/>
      <w:r w:rsidRPr="007D1DD6">
        <w:rPr>
          <w:rStyle w:val="Strong"/>
          <w:b w:val="0"/>
        </w:rPr>
        <w:t>BaP</w:t>
      </w:r>
      <w:proofErr w:type="spellEnd"/>
      <w:r w:rsidRPr="007D1DD6">
        <w:t xml:space="preserve"> exhibited a marginal reduction in granulocyte abundance compared with the control, whereas exposure to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 xml:space="preserve">¹ </w:t>
      </w:r>
      <w:proofErr w:type="spellStart"/>
      <w:r w:rsidRPr="007D1DD6">
        <w:rPr>
          <w:rStyle w:val="Strong"/>
          <w:b w:val="0"/>
        </w:rPr>
        <w:t>BaP</w:t>
      </w:r>
      <w:proofErr w:type="spellEnd"/>
      <w:r w:rsidRPr="007D1DD6">
        <w:t xml:space="preserve"> resulted in a small decrease in hyalinocytes accompanied by a corresponding increase in granulocytes and semigranulocytes. Following 40 days of exposure, these alterations became more evident, with the higher </w:t>
      </w:r>
      <w:proofErr w:type="spellStart"/>
      <w:r w:rsidRPr="007D1DD6">
        <w:t>BaP</w:t>
      </w:r>
      <w:proofErr w:type="spellEnd"/>
      <w:r w:rsidRPr="007D1DD6">
        <w:t xml:space="preserve"> concentration producing a greater shift in </w:t>
      </w:r>
      <w:proofErr w:type="spellStart"/>
      <w:r w:rsidRPr="007D1DD6">
        <w:t>hemocyte</w:t>
      </w:r>
      <w:proofErr w:type="spellEnd"/>
      <w:r w:rsidRPr="007D1DD6">
        <w:t xml:space="preserve"> composition characterized by reduced hyalinocyte proportion and increased granular cell populations.</w:t>
      </w:r>
      <w:r w:rsidR="00555999" w:rsidRPr="007D1DD6">
        <w:t xml:space="preserve"> </w:t>
      </w:r>
      <w:r w:rsidRPr="007D1DD6">
        <w:t xml:space="preserve">Following the 20-day depuration period, the proportions of the three </w:t>
      </w:r>
      <w:proofErr w:type="spellStart"/>
      <w:r w:rsidRPr="007D1DD6">
        <w:t>hemocyte</w:t>
      </w:r>
      <w:proofErr w:type="spellEnd"/>
      <w:r w:rsidRPr="007D1DD6">
        <w:t xml:space="preserve"> types approached those observed in the control group, indicating partial restoration of circulating </w:t>
      </w:r>
      <w:proofErr w:type="spellStart"/>
      <w:r w:rsidRPr="007D1DD6">
        <w:t>hemocyte</w:t>
      </w:r>
      <w:proofErr w:type="spellEnd"/>
      <w:r w:rsidRPr="007D1DD6">
        <w:t xml:space="preserve"> composition after the removal of </w:t>
      </w:r>
      <w:proofErr w:type="spellStart"/>
      <w:r w:rsidRPr="007D1DD6">
        <w:t>BaP</w:t>
      </w:r>
      <w:proofErr w:type="spellEnd"/>
      <w:r w:rsidRPr="007D1DD6">
        <w:t xml:space="preserve"> exposure. Nevertheless, crabs previously exposed to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 xml:space="preserve">¹ </w:t>
      </w:r>
      <w:proofErr w:type="spellStart"/>
      <w:r w:rsidRPr="007D1DD6">
        <w:rPr>
          <w:rStyle w:val="Strong"/>
          <w:b w:val="0"/>
        </w:rPr>
        <w:t>BaP</w:t>
      </w:r>
      <w:proofErr w:type="spellEnd"/>
      <w:r w:rsidRPr="007D1DD6">
        <w:t xml:space="preserve"> continued to exhibit a slightly elevated proportion of granulocytes compared with the control.</w:t>
      </w:r>
    </w:p>
    <w:p w14:paraId="5A890B82" w14:textId="77777777" w:rsidR="00102C19" w:rsidRDefault="006E6B02" w:rsidP="006E6B02">
      <w:pPr>
        <w:pStyle w:val="Heading3"/>
        <w:spacing w:line="360" w:lineRule="auto"/>
        <w:jc w:val="center"/>
        <w:rPr>
          <w:sz w:val="24"/>
          <w:szCs w:val="24"/>
        </w:rPr>
      </w:pPr>
      <w:r>
        <w:rPr>
          <w:noProof/>
          <w:sz w:val="24"/>
          <w:szCs w:val="24"/>
        </w:rPr>
        <w:lastRenderedPageBreak/>
        <w:drawing>
          <wp:inline distT="0" distB="0" distL="0" distR="0" wp14:anchorId="73D72B71" wp14:editId="20AA8CC2">
            <wp:extent cx="4233860" cy="5943600"/>
            <wp:effectExtent l="19050" t="0" r="0" b="0"/>
            <wp:docPr id="25" name="Picture 25" descr="C:\Users\office\Desktop\Differential 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office\Desktop\Differential count.JPG"/>
                    <pic:cNvPicPr>
                      <a:picLocks noChangeAspect="1" noChangeArrowheads="1"/>
                    </pic:cNvPicPr>
                  </pic:nvPicPr>
                  <pic:blipFill>
                    <a:blip r:embed="rId9" cstate="print"/>
                    <a:srcRect/>
                    <a:stretch>
                      <a:fillRect/>
                    </a:stretch>
                  </pic:blipFill>
                  <pic:spPr bwMode="auto">
                    <a:xfrm>
                      <a:off x="0" y="0"/>
                      <a:ext cx="4237098" cy="5948146"/>
                    </a:xfrm>
                    <a:prstGeom prst="rect">
                      <a:avLst/>
                    </a:prstGeom>
                    <a:noFill/>
                    <a:ln w="9525">
                      <a:noFill/>
                      <a:miter lim="800000"/>
                      <a:headEnd/>
                      <a:tailEnd/>
                    </a:ln>
                  </pic:spPr>
                </pic:pic>
              </a:graphicData>
            </a:graphic>
          </wp:inline>
        </w:drawing>
      </w:r>
    </w:p>
    <w:p w14:paraId="568B55B7" w14:textId="77777777" w:rsidR="00F63DAC" w:rsidRPr="007D1DD6" w:rsidRDefault="00F63DAC" w:rsidP="00F63DAC">
      <w:pPr>
        <w:pStyle w:val="isselectedend"/>
        <w:spacing w:line="360" w:lineRule="auto"/>
        <w:jc w:val="both"/>
      </w:pPr>
      <w:r>
        <w:t>Figure 2 Differential Count</w:t>
      </w:r>
      <w:r w:rsidRPr="00F63DAC">
        <w:t xml:space="preserve"> in crabs exposed to different concentration of B[a]P for 40 d and followed by the depuration of 20 d. Values are expressed mean ± S.D</w:t>
      </w:r>
    </w:p>
    <w:p w14:paraId="3A641F01" w14:textId="77777777" w:rsidR="008F0E46" w:rsidRPr="007D1DD6" w:rsidRDefault="00555999" w:rsidP="007D1DD6">
      <w:pPr>
        <w:pStyle w:val="Heading3"/>
        <w:spacing w:line="360" w:lineRule="auto"/>
        <w:jc w:val="both"/>
        <w:rPr>
          <w:sz w:val="24"/>
          <w:szCs w:val="24"/>
        </w:rPr>
      </w:pPr>
      <w:r w:rsidRPr="007D1DD6">
        <w:rPr>
          <w:sz w:val="24"/>
          <w:szCs w:val="24"/>
        </w:rPr>
        <w:t>Phagocytic activity</w:t>
      </w:r>
    </w:p>
    <w:p w14:paraId="2E0634D1" w14:textId="77777777" w:rsidR="00C05088" w:rsidRDefault="00C05088" w:rsidP="007D1DD6">
      <w:pPr>
        <w:pStyle w:val="NormalWeb"/>
        <w:spacing w:line="360" w:lineRule="auto"/>
        <w:jc w:val="both"/>
      </w:pPr>
      <w:r w:rsidRPr="007D1DD6">
        <w:t>The effects of benzo[a]pyrene (</w:t>
      </w:r>
      <w:proofErr w:type="spellStart"/>
      <w:r w:rsidRPr="007D1DD6">
        <w:t>BaP</w:t>
      </w:r>
      <w:proofErr w:type="spellEnd"/>
      <w:r w:rsidRPr="007D1DD6">
        <w:t xml:space="preserve">) exposure on the phagocytic activity of the mud crab </w:t>
      </w:r>
      <w:r w:rsidRPr="007D1DD6">
        <w:rPr>
          <w:rStyle w:val="Emphasis"/>
        </w:rPr>
        <w:t>Scylla serrata</w:t>
      </w:r>
      <w:r w:rsidRPr="007D1DD6">
        <w:t xml:space="preserve"> are presented in the figure. Phagocytic activity was expressed as percentage (%) and compared among the control, 10 µg/L </w:t>
      </w:r>
      <w:proofErr w:type="spellStart"/>
      <w:r w:rsidRPr="007D1DD6">
        <w:t>BaP</w:t>
      </w:r>
      <w:proofErr w:type="spellEnd"/>
      <w:r w:rsidRPr="007D1DD6">
        <w:t xml:space="preserve">, and 20 µg/L </w:t>
      </w:r>
      <w:proofErr w:type="spellStart"/>
      <w:r w:rsidRPr="007D1DD6">
        <w:t>BaP</w:t>
      </w:r>
      <w:proofErr w:type="spellEnd"/>
      <w:r w:rsidRPr="007D1DD6">
        <w:t xml:space="preserve"> exposure groups after 20 days, 40 days of exposure, and following 20 days of depuration</w:t>
      </w:r>
      <w:r w:rsidR="00F63DAC">
        <w:t xml:space="preserve"> (Figure 3)</w:t>
      </w:r>
      <w:r w:rsidRPr="007D1DD6">
        <w:t>.</w:t>
      </w:r>
      <w:r w:rsidR="00555999" w:rsidRPr="007D1DD6">
        <w:t xml:space="preserve"> </w:t>
      </w:r>
      <w:r w:rsidRPr="007D1DD6">
        <w:t xml:space="preserve">The control group exhibited consistently high phagocytic activity throughout the experimental period, with values ranging between approximately </w:t>
      </w:r>
      <w:r w:rsidRPr="007D1DD6">
        <w:rPr>
          <w:rStyle w:val="Strong"/>
          <w:b w:val="0"/>
        </w:rPr>
        <w:t>38–42%</w:t>
      </w:r>
      <w:r w:rsidRPr="007D1DD6">
        <w:rPr>
          <w:b/>
        </w:rPr>
        <w:t xml:space="preserve">. </w:t>
      </w:r>
      <w:r w:rsidRPr="007D1DD6">
        <w:t xml:space="preserve">At </w:t>
      </w:r>
      <w:r w:rsidRPr="007D1DD6">
        <w:rPr>
          <w:rStyle w:val="Strong"/>
          <w:b w:val="0"/>
        </w:rPr>
        <w:t>20 days of exposure</w:t>
      </w:r>
      <w:r w:rsidRPr="007D1DD6">
        <w:t xml:space="preserve">, the control </w:t>
      </w:r>
      <w:r w:rsidRPr="007D1DD6">
        <w:lastRenderedPageBreak/>
        <w:t xml:space="preserve">animals showed a phagocytic activity of approximately </w:t>
      </w:r>
      <w:r w:rsidRPr="007D1DD6">
        <w:rPr>
          <w:rStyle w:val="Strong"/>
          <w:b w:val="0"/>
        </w:rPr>
        <w:t>42%</w:t>
      </w:r>
      <w:r w:rsidRPr="007D1DD6">
        <w:rPr>
          <w:b/>
        </w:rPr>
        <w:t>,</w:t>
      </w:r>
      <w:r w:rsidRPr="007D1DD6">
        <w:t xml:space="preserve"> whereas crabs exposed to </w:t>
      </w:r>
      <w:r w:rsidRPr="007D1DD6">
        <w:rPr>
          <w:rStyle w:val="Strong"/>
          <w:b w:val="0"/>
        </w:rPr>
        <w:t xml:space="preserve">10 µg/L </w:t>
      </w:r>
      <w:proofErr w:type="spellStart"/>
      <w:r w:rsidRPr="007D1DD6">
        <w:rPr>
          <w:rStyle w:val="Strong"/>
          <w:b w:val="0"/>
        </w:rPr>
        <w:t>BaP</w:t>
      </w:r>
      <w:proofErr w:type="spellEnd"/>
      <w:r w:rsidRPr="007D1DD6">
        <w:t xml:space="preserve"> exhibited a significant reduction to approximately </w:t>
      </w:r>
      <w:r w:rsidRPr="007D1DD6">
        <w:rPr>
          <w:rStyle w:val="Strong"/>
          <w:b w:val="0"/>
        </w:rPr>
        <w:t>31%</w:t>
      </w:r>
      <w:r w:rsidRPr="007D1DD6">
        <w:t xml:space="preserve"> (</w:t>
      </w:r>
      <w:r w:rsidRPr="007D1DD6">
        <w:rPr>
          <w:rStyle w:val="Emphasis"/>
        </w:rPr>
        <w:t>P</w:t>
      </w:r>
      <w:r w:rsidRPr="007D1DD6">
        <w:t xml:space="preserve"> &lt; 0.05), representing nearly a </w:t>
      </w:r>
      <w:r w:rsidRPr="007D1DD6">
        <w:rPr>
          <w:rStyle w:val="Strong"/>
          <w:b w:val="0"/>
        </w:rPr>
        <w:t>26%</w:t>
      </w:r>
      <w:r w:rsidRPr="007D1DD6">
        <w:rPr>
          <w:rStyle w:val="Strong"/>
        </w:rPr>
        <w:t xml:space="preserve"> </w:t>
      </w:r>
      <w:r w:rsidRPr="007D1DD6">
        <w:rPr>
          <w:rStyle w:val="Strong"/>
          <w:b w:val="0"/>
        </w:rPr>
        <w:t>decrease</w:t>
      </w:r>
      <w:r w:rsidRPr="007D1DD6">
        <w:rPr>
          <w:b/>
        </w:rPr>
        <w:t xml:space="preserve"> </w:t>
      </w:r>
      <w:r w:rsidRPr="007D1DD6">
        <w:t xml:space="preserve">relative to the control. A further decline was observed in the </w:t>
      </w:r>
      <w:r w:rsidRPr="007D1DD6">
        <w:rPr>
          <w:rStyle w:val="Strong"/>
          <w:b w:val="0"/>
        </w:rPr>
        <w:t xml:space="preserve">20 µg/L </w:t>
      </w:r>
      <w:proofErr w:type="spellStart"/>
      <w:r w:rsidRPr="007D1DD6">
        <w:rPr>
          <w:rStyle w:val="Strong"/>
          <w:b w:val="0"/>
        </w:rPr>
        <w:t>BaP</w:t>
      </w:r>
      <w:proofErr w:type="spellEnd"/>
      <w:r w:rsidRPr="007D1DD6">
        <w:t xml:space="preserve"> group, where phagocytic activity decreased to approximately </w:t>
      </w:r>
      <w:r w:rsidRPr="007D1DD6">
        <w:rPr>
          <w:rStyle w:val="Strong"/>
          <w:b w:val="0"/>
        </w:rPr>
        <w:t>26%</w:t>
      </w:r>
      <w:r w:rsidRPr="007D1DD6">
        <w:t xml:space="preserve"> (</w:t>
      </w:r>
      <w:r w:rsidRPr="007D1DD6">
        <w:rPr>
          <w:rStyle w:val="Emphasis"/>
        </w:rPr>
        <w:t>P</w:t>
      </w:r>
      <w:r w:rsidRPr="007D1DD6">
        <w:t xml:space="preserve"> &lt; 0.05), corresponding to an approximately </w:t>
      </w:r>
      <w:r w:rsidRPr="007D1DD6">
        <w:rPr>
          <w:rStyle w:val="Strong"/>
          <w:b w:val="0"/>
        </w:rPr>
        <w:t>38% reduction</w:t>
      </w:r>
      <w:r w:rsidRPr="007D1DD6">
        <w:t xml:space="preserve"> compared with the control. These findings demonstrate a clear dose-dependent suppression of phagocytic function following short-term </w:t>
      </w:r>
      <w:proofErr w:type="spellStart"/>
      <w:r w:rsidRPr="007D1DD6">
        <w:t>BaP</w:t>
      </w:r>
      <w:proofErr w:type="spellEnd"/>
      <w:r w:rsidRPr="007D1DD6">
        <w:t xml:space="preserve"> exposure.</w:t>
      </w:r>
      <w:r w:rsidR="00AE6AD6" w:rsidRPr="007D1DD6">
        <w:t xml:space="preserve"> </w:t>
      </w:r>
      <w:r w:rsidRPr="007D1DD6">
        <w:t xml:space="preserve">After </w:t>
      </w:r>
      <w:r w:rsidRPr="007D1DD6">
        <w:rPr>
          <w:rStyle w:val="Strong"/>
          <w:b w:val="0"/>
        </w:rPr>
        <w:t>40 days of exposure</w:t>
      </w:r>
      <w:r w:rsidRPr="007D1DD6">
        <w:t xml:space="preserve">, the control group maintained phagocytic activity at approximately </w:t>
      </w:r>
      <w:r w:rsidRPr="007D1DD6">
        <w:rPr>
          <w:rStyle w:val="Strong"/>
          <w:b w:val="0"/>
        </w:rPr>
        <w:t>40%</w:t>
      </w:r>
      <w:r w:rsidRPr="007D1DD6">
        <w:rPr>
          <w:b/>
        </w:rPr>
        <w:t>.</w:t>
      </w:r>
      <w:r w:rsidRPr="007D1DD6">
        <w:t xml:space="preserve"> The </w:t>
      </w:r>
      <w:r w:rsidRPr="007D1DD6">
        <w:rPr>
          <w:rStyle w:val="Strong"/>
          <w:b w:val="0"/>
        </w:rPr>
        <w:t xml:space="preserve">10 µg/L </w:t>
      </w:r>
      <w:proofErr w:type="spellStart"/>
      <w:r w:rsidRPr="007D1DD6">
        <w:rPr>
          <w:rStyle w:val="Strong"/>
          <w:b w:val="0"/>
        </w:rPr>
        <w:t>BaP</w:t>
      </w:r>
      <w:proofErr w:type="spellEnd"/>
      <w:r w:rsidRPr="007D1DD6">
        <w:t xml:space="preserve"> group remained significantly lower, with a mean value of approximately </w:t>
      </w:r>
      <w:r w:rsidRPr="007D1DD6">
        <w:rPr>
          <w:rStyle w:val="Strong"/>
          <w:b w:val="0"/>
        </w:rPr>
        <w:t>30%</w:t>
      </w:r>
      <w:r w:rsidRPr="007D1DD6">
        <w:rPr>
          <w:b/>
        </w:rPr>
        <w:t xml:space="preserve"> </w:t>
      </w:r>
      <w:r w:rsidRPr="007D1DD6">
        <w:t>(</w:t>
      </w:r>
      <w:r w:rsidRPr="007D1DD6">
        <w:rPr>
          <w:rStyle w:val="Emphasis"/>
        </w:rPr>
        <w:t>P</w:t>
      </w:r>
      <w:r w:rsidRPr="007D1DD6">
        <w:t xml:space="preserve"> &lt; 0.05), while the </w:t>
      </w:r>
      <w:r w:rsidRPr="007D1DD6">
        <w:rPr>
          <w:rStyle w:val="Strong"/>
          <w:b w:val="0"/>
        </w:rPr>
        <w:t xml:space="preserve">20 µg/L </w:t>
      </w:r>
      <w:proofErr w:type="spellStart"/>
      <w:r w:rsidRPr="007D1DD6">
        <w:rPr>
          <w:rStyle w:val="Strong"/>
          <w:b w:val="0"/>
        </w:rPr>
        <w:t>BaP</w:t>
      </w:r>
      <w:proofErr w:type="spellEnd"/>
      <w:r w:rsidRPr="007D1DD6">
        <w:t xml:space="preserve"> group showed a further reduction to approximately </w:t>
      </w:r>
      <w:r w:rsidRPr="007D1DD6">
        <w:rPr>
          <w:rStyle w:val="Strong"/>
          <w:b w:val="0"/>
        </w:rPr>
        <w:t>27%</w:t>
      </w:r>
      <w:r w:rsidRPr="007D1DD6">
        <w:t xml:space="preserve"> (</w:t>
      </w:r>
      <w:r w:rsidRPr="007D1DD6">
        <w:rPr>
          <w:rStyle w:val="Emphasis"/>
        </w:rPr>
        <w:t>P</w:t>
      </w:r>
      <w:r w:rsidRPr="007D1DD6">
        <w:t xml:space="preserve"> &lt; 0.05). Although the decrease between the two exposure durations was relatively small, prolonged </w:t>
      </w:r>
      <w:proofErr w:type="spellStart"/>
      <w:r w:rsidRPr="007D1DD6">
        <w:t>BaP</w:t>
      </w:r>
      <w:proofErr w:type="spellEnd"/>
      <w:r w:rsidRPr="007D1DD6">
        <w:t xml:space="preserve"> </w:t>
      </w:r>
      <w:proofErr w:type="gramStart"/>
      <w:r w:rsidRPr="007D1DD6">
        <w:t>exposure maintained</w:t>
      </w:r>
      <w:proofErr w:type="gramEnd"/>
      <w:r w:rsidRPr="007D1DD6">
        <w:t xml:space="preserve"> immunosuppression without evidence of physiological adaptation.</w:t>
      </w:r>
    </w:p>
    <w:p w14:paraId="3F250C65" w14:textId="77777777" w:rsidR="006E6B02" w:rsidRDefault="006E6B02" w:rsidP="007D1DD6">
      <w:pPr>
        <w:pStyle w:val="NormalWeb"/>
        <w:spacing w:line="360" w:lineRule="auto"/>
        <w:jc w:val="both"/>
      </w:pPr>
      <w:r>
        <w:rPr>
          <w:noProof/>
        </w:rPr>
        <w:drawing>
          <wp:inline distT="0" distB="0" distL="0" distR="0" wp14:anchorId="49E6A7F2" wp14:editId="30C5D4F8">
            <wp:extent cx="5093277" cy="3180007"/>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5092837" cy="3179732"/>
                    </a:xfrm>
                    <a:prstGeom prst="rect">
                      <a:avLst/>
                    </a:prstGeom>
                    <a:noFill/>
                    <a:ln w="9525">
                      <a:noFill/>
                      <a:miter lim="800000"/>
                      <a:headEnd/>
                      <a:tailEnd/>
                    </a:ln>
                  </pic:spPr>
                </pic:pic>
              </a:graphicData>
            </a:graphic>
          </wp:inline>
        </w:drawing>
      </w:r>
    </w:p>
    <w:p w14:paraId="0B5949B3" w14:textId="77777777" w:rsidR="00F63DAC" w:rsidRPr="007D1DD6" w:rsidRDefault="00F63DAC" w:rsidP="00F63DAC">
      <w:pPr>
        <w:pStyle w:val="isselectedend"/>
        <w:spacing w:line="360" w:lineRule="auto"/>
        <w:jc w:val="both"/>
      </w:pPr>
      <w:r>
        <w:t>Figure 3 Phagocytic Activity</w:t>
      </w:r>
      <w:r w:rsidRPr="00F63DAC">
        <w:t xml:space="preserve"> in crabs exposed to different concentration of B[a]P for 40 d and followed by the depuration of 20 d. Values are expressed mean ± S.D</w:t>
      </w:r>
    </w:p>
    <w:p w14:paraId="7B6D04AE" w14:textId="77777777" w:rsidR="00C05088" w:rsidRDefault="00C05088" w:rsidP="007D1DD6">
      <w:pPr>
        <w:pStyle w:val="NormalWeb"/>
        <w:spacing w:line="360" w:lineRule="auto"/>
        <w:jc w:val="both"/>
      </w:pPr>
      <w:r w:rsidRPr="007D1DD6">
        <w:t xml:space="preserve">Following </w:t>
      </w:r>
      <w:r w:rsidRPr="007D1DD6">
        <w:rPr>
          <w:rStyle w:val="Strong"/>
          <w:b w:val="0"/>
        </w:rPr>
        <w:t>20 days of depuration</w:t>
      </w:r>
      <w:r w:rsidRPr="007D1DD6">
        <w:t xml:space="preserve">, phagocytic activity in the </w:t>
      </w:r>
      <w:r w:rsidRPr="007D1DD6">
        <w:rPr>
          <w:rStyle w:val="Strong"/>
          <w:b w:val="0"/>
        </w:rPr>
        <w:t xml:space="preserve">10 µg/L </w:t>
      </w:r>
      <w:proofErr w:type="spellStart"/>
      <w:r w:rsidRPr="007D1DD6">
        <w:rPr>
          <w:rStyle w:val="Strong"/>
          <w:b w:val="0"/>
        </w:rPr>
        <w:t>BaP</w:t>
      </w:r>
      <w:proofErr w:type="spellEnd"/>
      <w:r w:rsidRPr="007D1DD6">
        <w:t xml:space="preserve"> group increased to approximately </w:t>
      </w:r>
      <w:r w:rsidRPr="007D1DD6">
        <w:rPr>
          <w:rStyle w:val="Strong"/>
          <w:b w:val="0"/>
        </w:rPr>
        <w:t>34–35%</w:t>
      </w:r>
      <w:r w:rsidRPr="007D1DD6">
        <w:rPr>
          <w:b/>
        </w:rPr>
        <w:t>,</w:t>
      </w:r>
      <w:r w:rsidRPr="007D1DD6">
        <w:t xml:space="preserve"> and the statistical analysis indicated </w:t>
      </w:r>
      <w:r w:rsidRPr="007D1DD6">
        <w:rPr>
          <w:rStyle w:val="Strong"/>
          <w:b w:val="0"/>
        </w:rPr>
        <w:t>no significant difference (NS)</w:t>
      </w:r>
      <w:r w:rsidRPr="007D1DD6">
        <w:t xml:space="preserve"> from the control group, suggesting substantial recovery of immune function after removal of the contaminant. In contrast, the </w:t>
      </w:r>
      <w:r w:rsidRPr="007D1DD6">
        <w:rPr>
          <w:rStyle w:val="Strong"/>
          <w:b w:val="0"/>
        </w:rPr>
        <w:t xml:space="preserve">20 µg/L </w:t>
      </w:r>
      <w:proofErr w:type="spellStart"/>
      <w:r w:rsidRPr="007D1DD6">
        <w:rPr>
          <w:rStyle w:val="Strong"/>
          <w:b w:val="0"/>
        </w:rPr>
        <w:t>BaP</w:t>
      </w:r>
      <w:proofErr w:type="spellEnd"/>
      <w:r w:rsidRPr="007D1DD6">
        <w:t xml:space="preserve"> group exhibited only partial recovery, reaching approximately </w:t>
      </w:r>
      <w:r w:rsidRPr="007D1DD6">
        <w:rPr>
          <w:rStyle w:val="Strong"/>
          <w:b w:val="0"/>
        </w:rPr>
        <w:t>30%</w:t>
      </w:r>
      <w:r w:rsidRPr="007D1DD6">
        <w:rPr>
          <w:b/>
        </w:rPr>
        <w:t>,</w:t>
      </w:r>
      <w:r w:rsidRPr="007D1DD6">
        <w:t xml:space="preserve"> which remained significantly lower than the control (</w:t>
      </w:r>
      <w:r w:rsidRPr="007D1DD6">
        <w:rPr>
          <w:rStyle w:val="Emphasis"/>
        </w:rPr>
        <w:t>P</w:t>
      </w:r>
      <w:r w:rsidRPr="007D1DD6">
        <w:t xml:space="preserve"> &lt; 0.05). The </w:t>
      </w:r>
      <w:r w:rsidRPr="007D1DD6">
        <w:lastRenderedPageBreak/>
        <w:t xml:space="preserve">control animals maintained phagocytic activity at approximately </w:t>
      </w:r>
      <w:r w:rsidRPr="007D1DD6">
        <w:rPr>
          <w:rStyle w:val="Strong"/>
          <w:b w:val="0"/>
        </w:rPr>
        <w:t>38%</w:t>
      </w:r>
      <w:r w:rsidRPr="007D1DD6">
        <w:t xml:space="preserve"> throughout the depuration period.</w:t>
      </w:r>
    </w:p>
    <w:p w14:paraId="2059914E" w14:textId="77777777" w:rsidR="007D1DD6" w:rsidRPr="007D1DD6" w:rsidRDefault="007D1DD6" w:rsidP="007D1DD6">
      <w:pPr>
        <w:pStyle w:val="NormalWeb"/>
        <w:spacing w:line="360" w:lineRule="auto"/>
        <w:jc w:val="both"/>
        <w:rPr>
          <w:b/>
        </w:rPr>
      </w:pPr>
      <w:r w:rsidRPr="007D1DD6">
        <w:rPr>
          <w:b/>
        </w:rPr>
        <w:t>Antibacterial activity</w:t>
      </w:r>
    </w:p>
    <w:p w14:paraId="27282E2F" w14:textId="77777777" w:rsidR="006E6B02" w:rsidRDefault="007D1DD6" w:rsidP="007D1DD6">
      <w:pPr>
        <w:pStyle w:val="NormalWeb"/>
        <w:spacing w:line="360" w:lineRule="auto"/>
        <w:jc w:val="both"/>
      </w:pPr>
      <w:r w:rsidRPr="007D1DD6">
        <w:t xml:space="preserve">The antibacterial activity of the haemolymph of </w:t>
      </w:r>
      <w:r w:rsidRPr="007D1DD6">
        <w:rPr>
          <w:rStyle w:val="Emphasis"/>
        </w:rPr>
        <w:t>Scylla serrata</w:t>
      </w:r>
      <w:r w:rsidRPr="007D1DD6">
        <w:t xml:space="preserve"> following exposure to benzo[a]pyrene (</w:t>
      </w:r>
      <w:proofErr w:type="spellStart"/>
      <w:r w:rsidRPr="007D1DD6">
        <w:t>BaP</w:t>
      </w:r>
      <w:proofErr w:type="spellEnd"/>
      <w:r w:rsidRPr="007D1DD6">
        <w:t>) was assessed by measuring the optical density (OD) after 24 h of bacterial incubation (Figure</w:t>
      </w:r>
      <w:r w:rsidR="00F63DAC">
        <w:t xml:space="preserve"> 4</w:t>
      </w:r>
      <w:r w:rsidRPr="007D1DD6">
        <w:t>). The antibacterial activity exhibited a concentration- and exposure-dependent response.</w:t>
      </w:r>
      <w:r>
        <w:t xml:space="preserve"> </w:t>
      </w:r>
      <w:r w:rsidRPr="007D1DD6">
        <w:t xml:space="preserve">At </w:t>
      </w:r>
      <w:r w:rsidRPr="007D1DD6">
        <w:rPr>
          <w:rStyle w:val="Strong"/>
          <w:b w:val="0"/>
        </w:rPr>
        <w:t>20 days of exposure</w:t>
      </w:r>
      <w:r w:rsidRPr="007D1DD6">
        <w:t xml:space="preserve">, the control group showed an OD value of approximately </w:t>
      </w:r>
      <w:r w:rsidRPr="007D1DD6">
        <w:rPr>
          <w:rStyle w:val="Strong"/>
          <w:b w:val="0"/>
        </w:rPr>
        <w:t>0.19 ± 0.01</w:t>
      </w:r>
      <w:r w:rsidRPr="007D1DD6">
        <w:rPr>
          <w:b/>
        </w:rPr>
        <w:t xml:space="preserve">, </w:t>
      </w:r>
      <w:r w:rsidRPr="007D1DD6">
        <w:t xml:space="preserve">whereas the </w:t>
      </w:r>
      <w:r w:rsidRPr="007D1DD6">
        <w:rPr>
          <w:rStyle w:val="Strong"/>
          <w:b w:val="0"/>
        </w:rPr>
        <w:t xml:space="preserve">10 µg/L </w:t>
      </w:r>
      <w:proofErr w:type="spellStart"/>
      <w:r w:rsidRPr="007D1DD6">
        <w:rPr>
          <w:rStyle w:val="Strong"/>
          <w:b w:val="0"/>
        </w:rPr>
        <w:t>BaP</w:t>
      </w:r>
      <w:proofErr w:type="spellEnd"/>
      <w:r w:rsidRPr="007D1DD6">
        <w:rPr>
          <w:rStyle w:val="Strong"/>
          <w:b w:val="0"/>
        </w:rPr>
        <w:t>-treated group</w:t>
      </w:r>
      <w:r w:rsidRPr="007D1DD6">
        <w:t xml:space="preserve"> exhibited a slightly higher OD </w:t>
      </w:r>
      <w:r w:rsidRPr="007D1DD6">
        <w:rPr>
          <w:b/>
        </w:rPr>
        <w:t>(</w:t>
      </w:r>
      <w:r w:rsidRPr="007D1DD6">
        <w:rPr>
          <w:rStyle w:val="Strong"/>
          <w:b w:val="0"/>
        </w:rPr>
        <w:t>0.20 ± 0.02</w:t>
      </w:r>
      <w:r w:rsidRPr="007D1DD6">
        <w:rPr>
          <w:b/>
        </w:rPr>
        <w:t>).</w:t>
      </w:r>
      <w:r w:rsidRPr="007D1DD6">
        <w:t xml:space="preserve"> The </w:t>
      </w:r>
      <w:r w:rsidRPr="007D1DD6">
        <w:rPr>
          <w:rStyle w:val="Strong"/>
          <w:b w:val="0"/>
        </w:rPr>
        <w:t xml:space="preserve">20 µg/L </w:t>
      </w:r>
      <w:proofErr w:type="spellStart"/>
      <w:r w:rsidRPr="007D1DD6">
        <w:rPr>
          <w:rStyle w:val="Strong"/>
          <w:b w:val="0"/>
        </w:rPr>
        <w:t>BaP</w:t>
      </w:r>
      <w:proofErr w:type="spellEnd"/>
      <w:r w:rsidRPr="007D1DD6">
        <w:rPr>
          <w:rStyle w:val="Strong"/>
          <w:b w:val="0"/>
        </w:rPr>
        <w:t>-treated group</w:t>
      </w:r>
      <w:r w:rsidRPr="007D1DD6">
        <w:t xml:space="preserve"> showed a lower OD value </w:t>
      </w:r>
      <w:r w:rsidRPr="007D1DD6">
        <w:rPr>
          <w:b/>
        </w:rPr>
        <w:t>(</w:t>
      </w:r>
      <w:r w:rsidRPr="007D1DD6">
        <w:rPr>
          <w:rStyle w:val="Strong"/>
          <w:b w:val="0"/>
        </w:rPr>
        <w:t>0.165 ± 0.01</w:t>
      </w:r>
      <w:r w:rsidRPr="007D1DD6">
        <w:rPr>
          <w:b/>
        </w:rPr>
        <w:t>)</w:t>
      </w:r>
      <w:r w:rsidRPr="007D1DD6">
        <w:t xml:space="preserve"> compared with both the control and the 10 µg/L treatment.</w:t>
      </w:r>
      <w:r>
        <w:t xml:space="preserve"> </w:t>
      </w:r>
    </w:p>
    <w:p w14:paraId="4B809A8A" w14:textId="77777777" w:rsidR="006E6B02" w:rsidRDefault="006E6B02" w:rsidP="007D1DD6">
      <w:pPr>
        <w:pStyle w:val="NormalWeb"/>
        <w:spacing w:line="360" w:lineRule="auto"/>
        <w:jc w:val="both"/>
      </w:pPr>
      <w:r>
        <w:rPr>
          <w:noProof/>
        </w:rPr>
        <w:drawing>
          <wp:inline distT="0" distB="0" distL="0" distR="0" wp14:anchorId="3087F0B5" wp14:editId="6A2A1596">
            <wp:extent cx="4659828" cy="2547795"/>
            <wp:effectExtent l="19050" t="0" r="7422" b="0"/>
            <wp:docPr id="26" name="Picture 26" descr="C:\Users\office\Desktop\Antibacterial activ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office\Desktop\Antibacterial activity.JPG"/>
                    <pic:cNvPicPr>
                      <a:picLocks noChangeAspect="1" noChangeArrowheads="1"/>
                    </pic:cNvPicPr>
                  </pic:nvPicPr>
                  <pic:blipFill>
                    <a:blip r:embed="rId11" cstate="print"/>
                    <a:srcRect/>
                    <a:stretch>
                      <a:fillRect/>
                    </a:stretch>
                  </pic:blipFill>
                  <pic:spPr bwMode="auto">
                    <a:xfrm>
                      <a:off x="0" y="0"/>
                      <a:ext cx="4659426" cy="2547575"/>
                    </a:xfrm>
                    <a:prstGeom prst="rect">
                      <a:avLst/>
                    </a:prstGeom>
                    <a:noFill/>
                    <a:ln w="9525">
                      <a:noFill/>
                      <a:miter lim="800000"/>
                      <a:headEnd/>
                      <a:tailEnd/>
                    </a:ln>
                  </pic:spPr>
                </pic:pic>
              </a:graphicData>
            </a:graphic>
          </wp:inline>
        </w:drawing>
      </w:r>
    </w:p>
    <w:p w14:paraId="1FB57554" w14:textId="77777777" w:rsidR="00F63DAC" w:rsidRPr="007D1DD6" w:rsidRDefault="00F63DAC" w:rsidP="00F63DAC">
      <w:pPr>
        <w:pStyle w:val="isselectedend"/>
        <w:spacing w:line="360" w:lineRule="auto"/>
        <w:jc w:val="both"/>
      </w:pPr>
      <w:r>
        <w:t>Figure 4 Antibacterial activity</w:t>
      </w:r>
      <w:r w:rsidRPr="00F63DAC">
        <w:t xml:space="preserve"> in crabs exposed to different concentration of B[a]P for 40 d and followed by the depuration of 20 d. Values are expressed mean ± S.D</w:t>
      </w:r>
    </w:p>
    <w:p w14:paraId="0F62DF26" w14:textId="77777777" w:rsidR="007D1DD6" w:rsidRDefault="007D1DD6" w:rsidP="007D1DD6">
      <w:pPr>
        <w:pStyle w:val="NormalWeb"/>
        <w:spacing w:line="360" w:lineRule="auto"/>
        <w:jc w:val="both"/>
      </w:pPr>
      <w:r>
        <w:t xml:space="preserve">Similar results were observed for 40 days exposure. </w:t>
      </w:r>
      <w:r w:rsidRPr="007D1DD6">
        <w:t>Following</w:t>
      </w:r>
      <w:r w:rsidRPr="007D1DD6">
        <w:rPr>
          <w:b/>
        </w:rPr>
        <w:t xml:space="preserve"> </w:t>
      </w:r>
      <w:r w:rsidRPr="007D1DD6">
        <w:rPr>
          <w:rStyle w:val="Strong"/>
          <w:b w:val="0"/>
        </w:rPr>
        <w:t>20 days of depuration</w:t>
      </w:r>
      <w:r w:rsidRPr="007D1DD6">
        <w:rPr>
          <w:b/>
        </w:rPr>
        <w:t xml:space="preserve">, </w:t>
      </w:r>
      <w:r w:rsidRPr="007D1DD6">
        <w:t xml:space="preserve">partial recovery of antibacterial activity was observed in the control and low-dose treatment. The control group increased to approximately </w:t>
      </w:r>
      <w:r w:rsidRPr="007D1DD6">
        <w:rPr>
          <w:rStyle w:val="Strong"/>
          <w:b w:val="0"/>
        </w:rPr>
        <w:t>0.27 ± 0.02</w:t>
      </w:r>
      <w:r w:rsidRPr="007D1DD6">
        <w:rPr>
          <w:b/>
        </w:rPr>
        <w:t>,</w:t>
      </w:r>
      <w:r w:rsidRPr="007D1DD6">
        <w:t xml:space="preserve"> whereas the </w:t>
      </w:r>
      <w:r w:rsidRPr="007D1DD6">
        <w:rPr>
          <w:rStyle w:val="Strong"/>
          <w:b w:val="0"/>
        </w:rPr>
        <w:t>10 µg/L group</w:t>
      </w:r>
      <w:r w:rsidRPr="007D1DD6">
        <w:t xml:space="preserve"> exhibited the highest OD value</w:t>
      </w:r>
      <w:r w:rsidRPr="007D1DD6">
        <w:rPr>
          <w:b/>
        </w:rPr>
        <w:t xml:space="preserve"> (</w:t>
      </w:r>
      <w:r w:rsidRPr="007D1DD6">
        <w:rPr>
          <w:rStyle w:val="Strong"/>
          <w:b w:val="0"/>
        </w:rPr>
        <w:t>0.30 ± 0.01</w:t>
      </w:r>
      <w:r w:rsidRPr="007D1DD6">
        <w:rPr>
          <w:b/>
        </w:rPr>
        <w:t xml:space="preserve">). </w:t>
      </w:r>
      <w:r w:rsidRPr="007D1DD6">
        <w:t xml:space="preserve">In contrast, the </w:t>
      </w:r>
      <w:r w:rsidRPr="007D1DD6">
        <w:rPr>
          <w:rStyle w:val="Strong"/>
          <w:b w:val="0"/>
        </w:rPr>
        <w:t>20 µg/L group</w:t>
      </w:r>
      <w:r w:rsidRPr="007D1DD6">
        <w:rPr>
          <w:b/>
        </w:rPr>
        <w:t xml:space="preserve"> </w:t>
      </w:r>
      <w:r w:rsidRPr="007D1DD6">
        <w:t>showed only a modest recovery (</w:t>
      </w:r>
      <w:r w:rsidRPr="007D1DD6">
        <w:rPr>
          <w:rStyle w:val="Strong"/>
          <w:b w:val="0"/>
        </w:rPr>
        <w:t>0.20 ± 0.02</w:t>
      </w:r>
      <w:r w:rsidRPr="007D1DD6">
        <w:t>), remaining substantially lower than the control and the low-dose treatment.</w:t>
      </w:r>
    </w:p>
    <w:p w14:paraId="5F178128" w14:textId="77777777" w:rsidR="006E6B02" w:rsidRDefault="006E6B02" w:rsidP="007D1DD6">
      <w:pPr>
        <w:pStyle w:val="NormalWeb"/>
        <w:spacing w:line="360" w:lineRule="auto"/>
        <w:jc w:val="both"/>
      </w:pPr>
    </w:p>
    <w:p w14:paraId="23C2B8E5" w14:textId="77777777" w:rsidR="008F0E46" w:rsidRPr="007D1DD6" w:rsidRDefault="0095624E" w:rsidP="007D1DD6">
      <w:pPr>
        <w:pStyle w:val="Heading3"/>
        <w:spacing w:line="360" w:lineRule="auto"/>
        <w:jc w:val="center"/>
        <w:rPr>
          <w:sz w:val="24"/>
          <w:szCs w:val="24"/>
        </w:rPr>
      </w:pPr>
      <w:r>
        <w:rPr>
          <w:sz w:val="24"/>
          <w:szCs w:val="24"/>
        </w:rPr>
        <w:lastRenderedPageBreak/>
        <w:t xml:space="preserve">4.0 </w:t>
      </w:r>
      <w:r w:rsidR="008F0E46" w:rsidRPr="007D1DD6">
        <w:rPr>
          <w:sz w:val="24"/>
          <w:szCs w:val="24"/>
        </w:rPr>
        <w:t>Discussion</w:t>
      </w:r>
    </w:p>
    <w:p w14:paraId="003BE91C" w14:textId="77777777" w:rsidR="007D1DD6" w:rsidRPr="007D1DD6" w:rsidRDefault="008F0E46" w:rsidP="007D1DD6">
      <w:pPr>
        <w:pStyle w:val="isselectedend"/>
        <w:spacing w:line="360" w:lineRule="auto"/>
        <w:jc w:val="both"/>
      </w:pPr>
      <w:r w:rsidRPr="007D1DD6">
        <w:t xml:space="preserve">Total </w:t>
      </w:r>
      <w:proofErr w:type="spellStart"/>
      <w:r w:rsidRPr="007D1DD6">
        <w:t>hemocyte</w:t>
      </w:r>
      <w:proofErr w:type="spellEnd"/>
      <w:r w:rsidRPr="007D1DD6">
        <w:t xml:space="preserve"> count is one of the most sensitive biomarkers of crustacean health because </w:t>
      </w:r>
      <w:proofErr w:type="spellStart"/>
      <w:r w:rsidRPr="007D1DD6">
        <w:t>hemocytes</w:t>
      </w:r>
      <w:proofErr w:type="spellEnd"/>
      <w:r w:rsidRPr="007D1DD6">
        <w:t xml:space="preserve"> constitute the primary cellular component of the innate immune system. They participate in phagocytosis, encapsulation, </w:t>
      </w:r>
      <w:proofErr w:type="spellStart"/>
      <w:r w:rsidRPr="007D1DD6">
        <w:t>melanization</w:t>
      </w:r>
      <w:proofErr w:type="spellEnd"/>
      <w:r w:rsidRPr="007D1DD6">
        <w:t>, clotting, wound repair, and the production of antimicrobial molecules (</w:t>
      </w:r>
      <w:proofErr w:type="spellStart"/>
      <w:r w:rsidRPr="007D1DD6">
        <w:t>Söderhäll</w:t>
      </w:r>
      <w:proofErr w:type="spellEnd"/>
      <w:r w:rsidRPr="007D1DD6">
        <w:t xml:space="preserve"> &amp; </w:t>
      </w:r>
      <w:proofErr w:type="spellStart"/>
      <w:r w:rsidRPr="007D1DD6">
        <w:t>Söderhäll</w:t>
      </w:r>
      <w:proofErr w:type="spellEnd"/>
      <w:r w:rsidRPr="007D1DD6">
        <w:t xml:space="preserve">, 2022). Consequently, alterations in THC provide valuable information regarding the </w:t>
      </w:r>
      <w:proofErr w:type="spellStart"/>
      <w:r w:rsidRPr="007D1DD6">
        <w:t>immunotoxic</w:t>
      </w:r>
      <w:proofErr w:type="spellEnd"/>
      <w:r w:rsidRPr="007D1DD6">
        <w:t xml:space="preserve"> effects of environmental contaminants.</w:t>
      </w:r>
      <w:r w:rsidR="00AE6AD6" w:rsidRPr="007D1DD6">
        <w:t xml:space="preserve"> </w:t>
      </w:r>
      <w:r w:rsidRPr="007D1DD6">
        <w:t xml:space="preserve">The absence of significant changes after 20 days of exposure suggests that the selected sublethal concentrations of </w:t>
      </w:r>
      <w:proofErr w:type="spellStart"/>
      <w:r w:rsidRPr="007D1DD6">
        <w:t>BaP</w:t>
      </w:r>
      <w:proofErr w:type="spellEnd"/>
      <w:r w:rsidRPr="007D1DD6">
        <w:t xml:space="preserve"> were initially tolerated by </w:t>
      </w:r>
      <w:r w:rsidRPr="007D1DD6">
        <w:rPr>
          <w:rStyle w:val="Emphasis"/>
        </w:rPr>
        <w:t>S. serrata</w:t>
      </w:r>
      <w:r w:rsidRPr="007D1DD6">
        <w:t xml:space="preserve">, allowing physiological compensation to maintain circulating </w:t>
      </w:r>
      <w:proofErr w:type="spellStart"/>
      <w:r w:rsidRPr="007D1DD6">
        <w:t>hemocyte</w:t>
      </w:r>
      <w:proofErr w:type="spellEnd"/>
      <w:r w:rsidRPr="007D1DD6">
        <w:t xml:space="preserve"> numbers. Similar transient responses have been reported in crustaceans exposed to organic pollutants, where antioxidant </w:t>
      </w:r>
      <w:proofErr w:type="spellStart"/>
      <w:r w:rsidRPr="007D1DD6">
        <w:t>defense</w:t>
      </w:r>
      <w:proofErr w:type="spellEnd"/>
      <w:r w:rsidRPr="007D1DD6">
        <w:t xml:space="preserve"> systems initially counteract contaminant-induced oxidative stress before immune impairment becomes evident (Hauton, 2012).</w:t>
      </w:r>
      <w:r w:rsidR="0095624E">
        <w:t xml:space="preserve"> </w:t>
      </w:r>
      <w:r w:rsidRPr="007D1DD6">
        <w:t xml:space="preserve">Excessive oxidative stress promotes </w:t>
      </w:r>
      <w:proofErr w:type="spellStart"/>
      <w:r w:rsidRPr="007D1DD6">
        <w:t>hemocyte</w:t>
      </w:r>
      <w:proofErr w:type="spellEnd"/>
      <w:r w:rsidRPr="007D1DD6">
        <w:t xml:space="preserve"> apoptosis, membrane damage, impaired </w:t>
      </w:r>
      <w:proofErr w:type="spellStart"/>
      <w:r w:rsidRPr="007D1DD6">
        <w:t>hematopoiesis</w:t>
      </w:r>
      <w:proofErr w:type="spellEnd"/>
      <w:r w:rsidRPr="007D1DD6">
        <w:t xml:space="preserve">, and increased migration of circulating </w:t>
      </w:r>
      <w:proofErr w:type="spellStart"/>
      <w:r w:rsidRPr="007D1DD6">
        <w:t>hemocytes</w:t>
      </w:r>
      <w:proofErr w:type="spellEnd"/>
      <w:r w:rsidRPr="007D1DD6">
        <w:t xml:space="preserve"> toward damaged tissues, collectively resulting in decreased THC (Livingstone, 2001; Regoli &amp; Giuliani, 2014).</w:t>
      </w:r>
      <w:r w:rsidR="007D1DD6" w:rsidRPr="007D1DD6">
        <w:t xml:space="preserve"> </w:t>
      </w:r>
      <w:r w:rsidRPr="007D1DD6">
        <w:t xml:space="preserve">The greater decline observed at </w:t>
      </w:r>
      <w:r w:rsidRPr="007D1DD6">
        <w:rPr>
          <w:rStyle w:val="Strong"/>
          <w:b w:val="0"/>
        </w:rPr>
        <w:t xml:space="preserve">20 </w:t>
      </w:r>
      <w:proofErr w:type="spellStart"/>
      <w:r w:rsidRPr="007D1DD6">
        <w:rPr>
          <w:rStyle w:val="Strong"/>
          <w:b w:val="0"/>
        </w:rPr>
        <w:t>μg</w:t>
      </w:r>
      <w:proofErr w:type="spellEnd"/>
      <w:r w:rsidRPr="007D1DD6">
        <w:rPr>
          <w:rStyle w:val="Strong"/>
          <w:b w:val="0"/>
        </w:rPr>
        <w:t xml:space="preserve"> L</w:t>
      </w:r>
      <w:r w:rsidRPr="007D1DD6">
        <w:rPr>
          <w:rStyle w:val="Strong"/>
          <w:rFonts w:ascii="Cambria Math" w:hAnsi="Cambria Math"/>
          <w:b w:val="0"/>
        </w:rPr>
        <w:t>⁻</w:t>
      </w:r>
      <w:r w:rsidRPr="007D1DD6">
        <w:rPr>
          <w:rStyle w:val="Strong"/>
          <w:b w:val="0"/>
        </w:rPr>
        <w:t>¹</w:t>
      </w:r>
      <w:r w:rsidRPr="007D1DD6">
        <w:t xml:space="preserve"> demonstrates a clear concentration-dependent toxic response. Reduced </w:t>
      </w:r>
      <w:proofErr w:type="spellStart"/>
      <w:r w:rsidRPr="007D1DD6">
        <w:t>hemocyte</w:t>
      </w:r>
      <w:proofErr w:type="spellEnd"/>
      <w:r w:rsidRPr="007D1DD6">
        <w:t xml:space="preserve"> numbers have been widely reported in crustaceans exposed to polycyclic aromatic hydrocarbons, heavy metals, pesticides, and other environmental pollutants, and are generally associated with diminished phagocytic activity, reduced lysosomal membrane stability, impaired antibacterial </w:t>
      </w:r>
      <w:proofErr w:type="spellStart"/>
      <w:r w:rsidRPr="007D1DD6">
        <w:t>defense</w:t>
      </w:r>
      <w:proofErr w:type="spellEnd"/>
      <w:r w:rsidRPr="007D1DD6">
        <w:t xml:space="preserve">, and suppression of the </w:t>
      </w:r>
      <w:proofErr w:type="spellStart"/>
      <w:r w:rsidRPr="007D1DD6">
        <w:t>prophenoloxidase</w:t>
      </w:r>
      <w:proofErr w:type="spellEnd"/>
      <w:r w:rsidRPr="007D1DD6">
        <w:t xml:space="preserve"> system (Le </w:t>
      </w:r>
      <w:proofErr w:type="spellStart"/>
      <w:r w:rsidRPr="007D1DD6">
        <w:t>Moullac</w:t>
      </w:r>
      <w:proofErr w:type="spellEnd"/>
      <w:r w:rsidRPr="007D1DD6">
        <w:t xml:space="preserve"> &amp; Haffner, 2000; Wang et al., 2023). </w:t>
      </w:r>
    </w:p>
    <w:p w14:paraId="156A8854" w14:textId="77777777" w:rsidR="008F0E46" w:rsidRPr="007D1DD6" w:rsidRDefault="008F0E46" w:rsidP="007D1DD6">
      <w:pPr>
        <w:pStyle w:val="isselectedend"/>
        <w:spacing w:line="360" w:lineRule="auto"/>
        <w:jc w:val="both"/>
      </w:pPr>
      <w:r w:rsidRPr="007D1DD6">
        <w:t xml:space="preserve">The partial restoration of THC after the 20-day depuration period demonstrates the capacity of </w:t>
      </w:r>
      <w:r w:rsidRPr="007D1DD6">
        <w:rPr>
          <w:rStyle w:val="Emphasis"/>
        </w:rPr>
        <w:t>S. serrata</w:t>
      </w:r>
      <w:r w:rsidRPr="007D1DD6">
        <w:t xml:space="preserve"> to recover following the removal of contaminant exposure. Recovery is likely associated with renewed </w:t>
      </w:r>
      <w:proofErr w:type="spellStart"/>
      <w:r w:rsidRPr="007D1DD6">
        <w:t>hematopoiesis</w:t>
      </w:r>
      <w:proofErr w:type="spellEnd"/>
      <w:r w:rsidRPr="007D1DD6">
        <w:t xml:space="preserve"> and replacement of damaged </w:t>
      </w:r>
      <w:proofErr w:type="spellStart"/>
      <w:r w:rsidRPr="007D1DD6">
        <w:t>hemocytes</w:t>
      </w:r>
      <w:proofErr w:type="spellEnd"/>
      <w:r w:rsidRPr="007D1DD6">
        <w:t xml:space="preserve"> by newly differentiated cells. However, the persistence of significantly lower THC values in the </w:t>
      </w:r>
      <w:proofErr w:type="spellStart"/>
      <w:r w:rsidRPr="007D1DD6">
        <w:t>BaP</w:t>
      </w:r>
      <w:proofErr w:type="spellEnd"/>
      <w:r w:rsidRPr="007D1DD6">
        <w:t xml:space="preserve">-treated groups indicates that complete recovery had not yet occurred, suggesting either residual accumulation of </w:t>
      </w:r>
      <w:proofErr w:type="spellStart"/>
      <w:r w:rsidRPr="007D1DD6">
        <w:t>BaP</w:t>
      </w:r>
      <w:proofErr w:type="spellEnd"/>
      <w:r w:rsidRPr="007D1DD6">
        <w:t xml:space="preserve"> within tissues or prolonged oxidative and inflammatory responses. Similar incomplete recovery has been documented in crustaceans following chronic exposure to persistent organic pollutants, emphasizing that immune restoration often requires longer depuration periods than those necessary for physiological detoxification (Li et al., 2022).</w:t>
      </w:r>
    </w:p>
    <w:p w14:paraId="32FCB7FD" w14:textId="77777777" w:rsidR="00C416AA" w:rsidRPr="007D1DD6" w:rsidRDefault="00C416AA" w:rsidP="007D1DD6">
      <w:pPr>
        <w:pStyle w:val="isselectedend"/>
        <w:spacing w:line="360" w:lineRule="auto"/>
        <w:jc w:val="both"/>
      </w:pPr>
      <w:proofErr w:type="spellStart"/>
      <w:r w:rsidRPr="007D1DD6">
        <w:lastRenderedPageBreak/>
        <w:t>Hemocytes</w:t>
      </w:r>
      <w:proofErr w:type="spellEnd"/>
      <w:r w:rsidRPr="007D1DD6">
        <w:t xml:space="preserve"> constitute the principal cellular component of the crustacean innate immune system and play essential roles in phagocytosis, encapsulation, </w:t>
      </w:r>
      <w:proofErr w:type="spellStart"/>
      <w:r w:rsidRPr="007D1DD6">
        <w:t>melanization</w:t>
      </w:r>
      <w:proofErr w:type="spellEnd"/>
      <w:r w:rsidRPr="007D1DD6">
        <w:t>, wound healing, and the production of antimicrobial molecules (</w:t>
      </w:r>
      <w:proofErr w:type="spellStart"/>
      <w:r w:rsidRPr="007D1DD6">
        <w:t>Söderhäll</w:t>
      </w:r>
      <w:proofErr w:type="spellEnd"/>
      <w:r w:rsidRPr="007D1DD6">
        <w:t xml:space="preserve"> &amp; </w:t>
      </w:r>
      <w:proofErr w:type="spellStart"/>
      <w:r w:rsidRPr="007D1DD6">
        <w:t>Söderhäll</w:t>
      </w:r>
      <w:proofErr w:type="spellEnd"/>
      <w:r w:rsidRPr="007D1DD6">
        <w:t xml:space="preserve">, 2022). The slight decline in hyalinocyte percentage observed following </w:t>
      </w:r>
      <w:proofErr w:type="spellStart"/>
      <w:r w:rsidRPr="007D1DD6">
        <w:t>BaP</w:t>
      </w:r>
      <w:proofErr w:type="spellEnd"/>
      <w:r w:rsidRPr="007D1DD6">
        <w:t xml:space="preserve"> exposure may be attributed to their rapid recruitment into immune </w:t>
      </w:r>
      <w:proofErr w:type="spellStart"/>
      <w:r w:rsidRPr="007D1DD6">
        <w:t>defense</w:t>
      </w:r>
      <w:proofErr w:type="spellEnd"/>
      <w:r w:rsidRPr="007D1DD6">
        <w:t xml:space="preserve"> processes or increased susceptibility to oxidative stress-induced apoptosis. Hyalinocytes are highly phagocytic cells and are often the first </w:t>
      </w:r>
      <w:proofErr w:type="spellStart"/>
      <w:r w:rsidRPr="007D1DD6">
        <w:t>hemocyte</w:t>
      </w:r>
      <w:proofErr w:type="spellEnd"/>
      <w:r w:rsidRPr="007D1DD6">
        <w:t xml:space="preserve"> population to respond to xenobiotic-induced tissue damage. Consequently, their reduction in circulation may reflect migration toward damaged tissues or enhanced cellular turnover during detoxification (Li et al., 2022).</w:t>
      </w:r>
    </w:p>
    <w:p w14:paraId="242B32F8" w14:textId="77777777" w:rsidR="00C416AA" w:rsidRPr="007D1DD6" w:rsidRDefault="00C416AA" w:rsidP="007D1DD6">
      <w:pPr>
        <w:pStyle w:val="isselectedend"/>
        <w:spacing w:line="360" w:lineRule="auto"/>
        <w:jc w:val="both"/>
      </w:pPr>
      <w:r w:rsidRPr="007D1DD6">
        <w:t xml:space="preserve">Conversely, the modest increase in granulocytes and semigranulocytes observed at the higher </w:t>
      </w:r>
      <w:proofErr w:type="spellStart"/>
      <w:r w:rsidRPr="007D1DD6">
        <w:t>BaP</w:t>
      </w:r>
      <w:proofErr w:type="spellEnd"/>
      <w:r w:rsidRPr="007D1DD6">
        <w:t xml:space="preserve"> concentration may represent a compensatory immune response. Increased proportions of these cells have frequently been reported in crustaceans exposed to polycyclic aromatic hydrocarbons and other environmental contaminants, reflecting activation of innate immune mechanisms (Wang et al., 2023).</w:t>
      </w:r>
      <w:r w:rsidR="007D1DD6" w:rsidRPr="007D1DD6">
        <w:t xml:space="preserve"> </w:t>
      </w:r>
      <w:r w:rsidRPr="007D1DD6">
        <w:t xml:space="preserve">The relatively small magnitude of the changes observed in the present study suggests that sublethal </w:t>
      </w:r>
      <w:proofErr w:type="spellStart"/>
      <w:r w:rsidRPr="007D1DD6">
        <w:t>BaP</w:t>
      </w:r>
      <w:proofErr w:type="spellEnd"/>
      <w:r w:rsidRPr="007D1DD6">
        <w:t xml:space="preserve"> concentrations did not markedly disrupt </w:t>
      </w:r>
      <w:proofErr w:type="spellStart"/>
      <w:r w:rsidRPr="007D1DD6">
        <w:t>hemocyte</w:t>
      </w:r>
      <w:proofErr w:type="spellEnd"/>
      <w:r w:rsidRPr="007D1DD6">
        <w:t xml:space="preserve"> differentiation but instead induced subtle redistribution of circulating </w:t>
      </w:r>
      <w:proofErr w:type="spellStart"/>
      <w:r w:rsidRPr="007D1DD6">
        <w:t>hemocyte</w:t>
      </w:r>
      <w:proofErr w:type="spellEnd"/>
      <w:r w:rsidRPr="007D1DD6">
        <w:t xml:space="preserve"> populations. Similar responses have been reported in marine crustaceans exposed to PAHs, heavy metals, and pesticides, where changes in differential </w:t>
      </w:r>
      <w:proofErr w:type="spellStart"/>
      <w:r w:rsidRPr="007D1DD6">
        <w:t>hemocyte</w:t>
      </w:r>
      <w:proofErr w:type="spellEnd"/>
      <w:r w:rsidRPr="007D1DD6">
        <w:t xml:space="preserve"> count occurred together with reductions in total </w:t>
      </w:r>
      <w:proofErr w:type="spellStart"/>
      <w:r w:rsidRPr="007D1DD6">
        <w:t>hemocyte</w:t>
      </w:r>
      <w:proofErr w:type="spellEnd"/>
      <w:r w:rsidRPr="007D1DD6">
        <w:t xml:space="preserve"> count, lysosomal membrane stability, phagocytic activity, and antibacterial capacity (Hauton, 2012; Le </w:t>
      </w:r>
      <w:proofErr w:type="spellStart"/>
      <w:r w:rsidRPr="007D1DD6">
        <w:t>Moullac</w:t>
      </w:r>
      <w:proofErr w:type="spellEnd"/>
      <w:r w:rsidRPr="007D1DD6">
        <w:t xml:space="preserve"> &amp; Haffner, 2000).</w:t>
      </w:r>
    </w:p>
    <w:p w14:paraId="284F19C7" w14:textId="77777777" w:rsidR="003B44CD" w:rsidRPr="007D1DD6" w:rsidRDefault="003B44CD" w:rsidP="007D1DD6">
      <w:pPr>
        <w:pStyle w:val="NormalWeb"/>
        <w:spacing w:line="360" w:lineRule="auto"/>
        <w:jc w:val="both"/>
      </w:pPr>
      <w:r w:rsidRPr="007D1DD6">
        <w:t xml:space="preserve">Phagocytosis is one of the primary innate immune </w:t>
      </w:r>
      <w:proofErr w:type="spellStart"/>
      <w:r w:rsidRPr="007D1DD6">
        <w:t>defense</w:t>
      </w:r>
      <w:proofErr w:type="spellEnd"/>
      <w:r w:rsidRPr="007D1DD6">
        <w:t xml:space="preserve"> mechanisms in crustaceans, involving the recognition, engulfment, and destruction of invading microorganisms by circulating haemocytes. Therefore, alterations in phagocytic activity serve as a sensitive biomarker of environmental contaminant-induced immunotoxicity (Le </w:t>
      </w:r>
      <w:proofErr w:type="spellStart"/>
      <w:r w:rsidRPr="007D1DD6">
        <w:t>Moullac</w:t>
      </w:r>
      <w:proofErr w:type="spellEnd"/>
      <w:r w:rsidRPr="007D1DD6">
        <w:t xml:space="preserve"> &amp; Haffner, 2000; </w:t>
      </w:r>
      <w:proofErr w:type="spellStart"/>
      <w:r w:rsidRPr="007D1DD6">
        <w:t>Cerenius</w:t>
      </w:r>
      <w:proofErr w:type="spellEnd"/>
      <w:r w:rsidRPr="007D1DD6">
        <w:t xml:space="preserve"> &amp; </w:t>
      </w:r>
      <w:proofErr w:type="spellStart"/>
      <w:r w:rsidRPr="007D1DD6">
        <w:t>Söderhäll</w:t>
      </w:r>
      <w:proofErr w:type="spellEnd"/>
      <w:r w:rsidRPr="007D1DD6">
        <w:t>, 2013).</w:t>
      </w:r>
      <w:r w:rsidR="007D1DD6" w:rsidRPr="007D1DD6">
        <w:t xml:space="preserve"> </w:t>
      </w:r>
      <w:r w:rsidRPr="007D1DD6">
        <w:t xml:space="preserve">The present study demonstrates that exposure to </w:t>
      </w:r>
      <w:proofErr w:type="spellStart"/>
      <w:r w:rsidRPr="007D1DD6">
        <w:t>BaP</w:t>
      </w:r>
      <w:proofErr w:type="spellEnd"/>
      <w:r w:rsidRPr="007D1DD6">
        <w:t xml:space="preserve"> significantly reduced the phagocytic activity of </w:t>
      </w:r>
      <w:r w:rsidRPr="007D1DD6">
        <w:rPr>
          <w:rStyle w:val="Emphasis"/>
        </w:rPr>
        <w:t>Scylla serrata</w:t>
      </w:r>
      <w:r w:rsidRPr="007D1DD6">
        <w:t xml:space="preserve"> in a dose-dependent manner. Both 10 and 20 µg/L </w:t>
      </w:r>
      <w:proofErr w:type="spellStart"/>
      <w:r w:rsidRPr="007D1DD6">
        <w:t>BaP</w:t>
      </w:r>
      <w:proofErr w:type="spellEnd"/>
      <w:r w:rsidRPr="007D1DD6">
        <w:t xml:space="preserve"> treatments produced significant suppression after 20 and 40 days of exposure, with the greatest reduction occurring in the higher concentration group. These observations indicate that prolonged </w:t>
      </w:r>
      <w:proofErr w:type="spellStart"/>
      <w:r w:rsidRPr="007D1DD6">
        <w:t>BaP</w:t>
      </w:r>
      <w:proofErr w:type="spellEnd"/>
      <w:r w:rsidRPr="007D1DD6">
        <w:t xml:space="preserve"> exposure compromises the functional competence of haemocytes, thereby reducing the ability of crabs to eliminate invading pathogens.</w:t>
      </w:r>
    </w:p>
    <w:p w14:paraId="7D9CBE48" w14:textId="77777777" w:rsidR="003B44CD" w:rsidRPr="007D1DD6" w:rsidRDefault="003B44CD" w:rsidP="007D1DD6">
      <w:pPr>
        <w:pStyle w:val="NormalWeb"/>
        <w:spacing w:line="360" w:lineRule="auto"/>
        <w:jc w:val="both"/>
      </w:pPr>
      <w:r w:rsidRPr="007D1DD6">
        <w:t xml:space="preserve">The sustained reduction in phagocytic activity observed after 40 days suggests that chronic </w:t>
      </w:r>
      <w:proofErr w:type="spellStart"/>
      <w:r w:rsidRPr="007D1DD6">
        <w:t>BaP</w:t>
      </w:r>
      <w:proofErr w:type="spellEnd"/>
      <w:r w:rsidRPr="007D1DD6">
        <w:t xml:space="preserve"> exposure causes persistent immunosuppression rather than transient physiological stress. </w:t>
      </w:r>
      <w:r w:rsidRPr="007D1DD6">
        <w:lastRenderedPageBreak/>
        <w:t xml:space="preserve">Similar reductions in haemocyte functions have been reported in crustaceans exposed to PAHs and other organic contaminants. </w:t>
      </w:r>
      <w:proofErr w:type="spellStart"/>
      <w:r w:rsidRPr="007D1DD6">
        <w:t>BaP</w:t>
      </w:r>
      <w:proofErr w:type="spellEnd"/>
      <w:r w:rsidRPr="007D1DD6">
        <w:t>-induced immunotoxicity has been associated with decreased total haemocyte count, lysosomal membrane destabilization, impaired respiratory burst, and reduced pathogen clearance (Pipe &amp; Coles, 1995; Cheng et al., 2018).</w:t>
      </w:r>
      <w:r w:rsidR="007D1DD6" w:rsidRPr="007D1DD6">
        <w:t xml:space="preserve"> </w:t>
      </w:r>
      <w:r w:rsidRPr="007D1DD6">
        <w:t xml:space="preserve">The present findings therefore confirm that phagocytic activity is a sensitive indicator of </w:t>
      </w:r>
      <w:proofErr w:type="spellStart"/>
      <w:r w:rsidRPr="007D1DD6">
        <w:t>BaP</w:t>
      </w:r>
      <w:proofErr w:type="spellEnd"/>
      <w:r w:rsidRPr="007D1DD6">
        <w:t xml:space="preserve">-induced immunotoxicity in </w:t>
      </w:r>
      <w:r w:rsidRPr="007D1DD6">
        <w:rPr>
          <w:rStyle w:val="Emphasis"/>
        </w:rPr>
        <w:t>Scylla serrata</w:t>
      </w:r>
      <w:r w:rsidRPr="007D1DD6">
        <w:t xml:space="preserve">. Reduced phagocytosis increases susceptibility to opportunistic bacterial, fungal, and viral infections, ultimately affecting survival, growth, and aquaculture productivity. </w:t>
      </w:r>
    </w:p>
    <w:p w14:paraId="013CCBF1" w14:textId="77777777" w:rsidR="0095624E" w:rsidRPr="007D1DD6" w:rsidRDefault="0095624E" w:rsidP="0095624E">
      <w:pPr>
        <w:pStyle w:val="NormalWeb"/>
        <w:spacing w:line="360" w:lineRule="auto"/>
        <w:jc w:val="both"/>
      </w:pPr>
      <w:r w:rsidRPr="007D1DD6">
        <w:t>The present investigation demonstrates that exposure to benzo[a]pyrene (</w:t>
      </w:r>
      <w:proofErr w:type="spellStart"/>
      <w:r w:rsidRPr="007D1DD6">
        <w:t>BaP</w:t>
      </w:r>
      <w:proofErr w:type="spellEnd"/>
      <w:r w:rsidRPr="007D1DD6">
        <w:t xml:space="preserve">) adversely influences the antibacterial activity of </w:t>
      </w:r>
      <w:r w:rsidRPr="007D1DD6">
        <w:rPr>
          <w:rStyle w:val="Emphasis"/>
        </w:rPr>
        <w:t>Scylla serrata</w:t>
      </w:r>
      <w:r w:rsidRPr="007D1DD6">
        <w:t xml:space="preserve">, with the effect becoming more pronounced at higher concentrations and longer exposure durations. The reduced antibacterial activity observed in the </w:t>
      </w:r>
      <w:r w:rsidRPr="0095624E">
        <w:rPr>
          <w:rStyle w:val="Strong"/>
          <w:b w:val="0"/>
        </w:rPr>
        <w:t xml:space="preserve">20 µg/L </w:t>
      </w:r>
      <w:proofErr w:type="spellStart"/>
      <w:r w:rsidRPr="0095624E">
        <w:rPr>
          <w:rStyle w:val="Strong"/>
          <w:b w:val="0"/>
        </w:rPr>
        <w:t>BaP</w:t>
      </w:r>
      <w:proofErr w:type="spellEnd"/>
      <w:r w:rsidRPr="0095624E">
        <w:rPr>
          <w:rStyle w:val="Strong"/>
          <w:b w:val="0"/>
        </w:rPr>
        <w:t>-treated crabs</w:t>
      </w:r>
      <w:r w:rsidRPr="0095624E">
        <w:rPr>
          <w:b/>
        </w:rPr>
        <w:t xml:space="preserve"> </w:t>
      </w:r>
      <w:r w:rsidRPr="007D1DD6">
        <w:t>suggests that chronic exposure compromises the humoral immune defence mechanisms responsible for eliminating invading microorganisms.</w:t>
      </w:r>
      <w:r>
        <w:t xml:space="preserve"> </w:t>
      </w:r>
      <w:r w:rsidRPr="007D1DD6">
        <w:t xml:space="preserve">Polycyclic aromatic hydrocarbons (PAHs), particularly </w:t>
      </w:r>
      <w:proofErr w:type="spellStart"/>
      <w:r w:rsidRPr="007D1DD6">
        <w:t>BaP</w:t>
      </w:r>
      <w:proofErr w:type="spellEnd"/>
      <w:r w:rsidRPr="007D1DD6">
        <w:t xml:space="preserve">, are known </w:t>
      </w:r>
      <w:proofErr w:type="spellStart"/>
      <w:r w:rsidRPr="007D1DD6">
        <w:t>immunotoxic</w:t>
      </w:r>
      <w:proofErr w:type="spellEnd"/>
      <w:r w:rsidRPr="007D1DD6">
        <w:t xml:space="preserve"> contaminants capable of disrupting crustacean immune functions by inducing </w:t>
      </w:r>
      <w:r w:rsidRPr="0095624E">
        <w:rPr>
          <w:rStyle w:val="Strong"/>
          <w:b w:val="0"/>
        </w:rPr>
        <w:t>oxidative stress</w:t>
      </w:r>
      <w:r w:rsidRPr="0095624E">
        <w:rPr>
          <w:b/>
        </w:rPr>
        <w:t>,</w:t>
      </w:r>
      <w:r w:rsidRPr="007D1DD6">
        <w:t xml:space="preserve"> impairing </w:t>
      </w:r>
      <w:r w:rsidRPr="0095624E">
        <w:rPr>
          <w:rStyle w:val="Strong"/>
          <w:b w:val="0"/>
        </w:rPr>
        <w:t>haemocyte metabolism</w:t>
      </w:r>
      <w:r w:rsidRPr="0095624E">
        <w:rPr>
          <w:b/>
        </w:rPr>
        <w:t>,</w:t>
      </w:r>
      <w:r w:rsidRPr="007D1DD6">
        <w:t xml:space="preserve"> and suppressing the synthesis and release of antimicrobial molecules such as antimicrobial peptides, lysozyme, and other humoral defence factors (Livingstone, 2001; Pipe and Coles, 1995). Consequently, exposed animals exhibit reduced capacity to inhibit bacterial proliferation, which is reflected by the altered optical density measurements observed in the present study.</w:t>
      </w:r>
    </w:p>
    <w:p w14:paraId="146892BA" w14:textId="77777777" w:rsidR="0095624E" w:rsidRDefault="0095624E" w:rsidP="0095624E">
      <w:pPr>
        <w:pStyle w:val="NormalWeb"/>
        <w:spacing w:line="360" w:lineRule="auto"/>
        <w:jc w:val="both"/>
      </w:pPr>
      <w:r w:rsidRPr="007D1DD6">
        <w:t xml:space="preserve">The progressive decline in antibacterial activity between </w:t>
      </w:r>
      <w:r w:rsidRPr="0095624E">
        <w:rPr>
          <w:rStyle w:val="Strong"/>
          <w:b w:val="0"/>
        </w:rPr>
        <w:t>20 and 40 days</w:t>
      </w:r>
      <w:r w:rsidRPr="007D1DD6">
        <w:t xml:space="preserve"> indicates that continuous </w:t>
      </w:r>
      <w:proofErr w:type="spellStart"/>
      <w:r w:rsidRPr="007D1DD6">
        <w:t>BaP</w:t>
      </w:r>
      <w:proofErr w:type="spellEnd"/>
      <w:r w:rsidRPr="007D1DD6">
        <w:t xml:space="preserve"> exposure produces cumulative immunosuppressive effects. Long-term exposure to PAHs increases intracellular reactive oxygen species (ROS), leading to lipid peroxidation, mitochondrial dysfunction, DNA damage and apoptosis of haemocytes. Since haemocytes are the primary immune cells responsible for phagocytosis and secretion of antimicrobial compounds, their impairment directly reduces antibacterial defence (Le </w:t>
      </w:r>
      <w:proofErr w:type="spellStart"/>
      <w:r w:rsidRPr="007D1DD6">
        <w:t>Moullac</w:t>
      </w:r>
      <w:proofErr w:type="spellEnd"/>
      <w:r w:rsidRPr="007D1DD6">
        <w:t xml:space="preserve"> and Haffner, 2000; Hauton, 2012).</w:t>
      </w:r>
      <w:r>
        <w:t xml:space="preserve"> D</w:t>
      </w:r>
      <w:r w:rsidRPr="007D1DD6">
        <w:t>elayed immune recovery following PAH exposure has been documented in marine crustaceans and other aquatic invertebrates (Holth et al., 2006; Fabbri and Franzellitti, 2016).</w:t>
      </w:r>
      <w:r>
        <w:t xml:space="preserve"> </w:t>
      </w:r>
      <w:r w:rsidRPr="007D1DD6">
        <w:t xml:space="preserve">The observed reduction in antibacterial activity is also consistent with reports demonstrating that environmental contaminants suppress the innate immune responses of decapod crustaceans by decreasing haemocyte viability and reducing the production of immune-related enzymes and antimicrobial proteins (Rowley and </w:t>
      </w:r>
      <w:r w:rsidRPr="007D1DD6">
        <w:lastRenderedPageBreak/>
        <w:t>Powell, 2007). Since crustaceans rely entirely on innate immunity, impairment of antibacterial defence may increase susceptibility to opportunistic bacterial infections and negatively affect survival in polluted coastal ecosystems.</w:t>
      </w:r>
    </w:p>
    <w:p w14:paraId="0AD1A990" w14:textId="77777777" w:rsidR="0095624E" w:rsidRPr="0095624E" w:rsidRDefault="0095624E" w:rsidP="0095624E">
      <w:pPr>
        <w:pStyle w:val="isselectedend"/>
        <w:spacing w:line="360" w:lineRule="auto"/>
        <w:jc w:val="both"/>
      </w:pPr>
      <w:r w:rsidRPr="0095624E">
        <w:t xml:space="preserve">Following the depuration period, the tendency of </w:t>
      </w:r>
      <w:proofErr w:type="spellStart"/>
      <w:r w:rsidRPr="0095624E">
        <w:t>hemocyte</w:t>
      </w:r>
      <w:proofErr w:type="spellEnd"/>
      <w:r w:rsidRPr="0095624E">
        <w:t xml:space="preserve"> proportions to return toward control values demonstrates the capacity of </w:t>
      </w:r>
      <w:r w:rsidRPr="0095624E">
        <w:rPr>
          <w:rStyle w:val="Emphasis"/>
        </w:rPr>
        <w:t>S. serrata</w:t>
      </w:r>
      <w:r w:rsidRPr="0095624E">
        <w:t xml:space="preserve"> to restore immune homeostasis after removal of the contaminant. This partial recovery is likely associated with renewed </w:t>
      </w:r>
      <w:proofErr w:type="spellStart"/>
      <w:r w:rsidRPr="0095624E">
        <w:t>hematopoiesis</w:t>
      </w:r>
      <w:proofErr w:type="spellEnd"/>
      <w:r w:rsidRPr="0095624E">
        <w:t xml:space="preserve"> and replacement of damaged </w:t>
      </w:r>
      <w:proofErr w:type="spellStart"/>
      <w:r w:rsidRPr="0095624E">
        <w:t>hemocytes</w:t>
      </w:r>
      <w:proofErr w:type="spellEnd"/>
      <w:r w:rsidRPr="0095624E">
        <w:t xml:space="preserve"> by newly differentiated cells. Nevertheless, the persistence of slight alterations in crabs previously exposed to the higher </w:t>
      </w:r>
      <w:proofErr w:type="spellStart"/>
      <w:r w:rsidRPr="0095624E">
        <w:t>BaP</w:t>
      </w:r>
      <w:proofErr w:type="spellEnd"/>
      <w:r w:rsidRPr="0095624E">
        <w:t xml:space="preserve"> concentration indicates that complete immunological recovery may require a longer depuration period or may depend on the extent of contaminant accumulation within tissues.</w:t>
      </w:r>
    </w:p>
    <w:p w14:paraId="540BB01F" w14:textId="77777777" w:rsidR="00344C2F" w:rsidRPr="00344C2F" w:rsidRDefault="00344C2F" w:rsidP="00344C2F">
      <w:pPr>
        <w:spacing w:before="100" w:beforeAutospacing="1" w:after="100" w:afterAutospacing="1" w:line="240" w:lineRule="auto"/>
        <w:rPr>
          <w:rFonts w:ascii="Times New Roman" w:eastAsia="Times New Roman" w:hAnsi="Times New Roman" w:cs="Times New Roman"/>
          <w:sz w:val="24"/>
          <w:szCs w:val="24"/>
          <w:lang w:val="en-US"/>
        </w:rPr>
      </w:pPr>
      <w:r w:rsidRPr="00344C2F">
        <w:rPr>
          <w:rFonts w:ascii="Times New Roman" w:eastAsia="Times New Roman" w:hAnsi="Times New Roman" w:cs="Times New Roman"/>
          <w:sz w:val="24"/>
          <w:szCs w:val="24"/>
          <w:lang w:val="en-US"/>
        </w:rPr>
        <w:t>conclusion:</w:t>
      </w:r>
    </w:p>
    <w:p w14:paraId="5F7086ED" w14:textId="77777777" w:rsidR="00344C2F" w:rsidRPr="00344C2F" w:rsidRDefault="00344C2F" w:rsidP="00344C2F">
      <w:pPr>
        <w:spacing w:before="100" w:beforeAutospacing="1" w:after="100" w:afterAutospacing="1" w:line="240" w:lineRule="auto"/>
        <w:rPr>
          <w:rFonts w:ascii="Times New Roman" w:eastAsia="Times New Roman" w:hAnsi="Times New Roman" w:cs="Times New Roman"/>
          <w:sz w:val="24"/>
          <w:szCs w:val="24"/>
          <w:lang w:val="en-US"/>
        </w:rPr>
      </w:pPr>
      <w:r w:rsidRPr="00344C2F">
        <w:rPr>
          <w:rFonts w:ascii="Times New Roman" w:eastAsia="Times New Roman" w:hAnsi="Times New Roman" w:cs="Times New Roman"/>
          <w:sz w:val="24"/>
          <w:szCs w:val="24"/>
          <w:lang w:val="en-US"/>
        </w:rPr>
        <w:t xml:space="preserve">The present study showed that exposure to benzo[a]pyrene affected selected </w:t>
      </w:r>
      <w:proofErr w:type="spellStart"/>
      <w:r w:rsidRPr="00344C2F">
        <w:rPr>
          <w:rFonts w:ascii="Times New Roman" w:eastAsia="Times New Roman" w:hAnsi="Times New Roman" w:cs="Times New Roman"/>
          <w:sz w:val="24"/>
          <w:szCs w:val="24"/>
          <w:lang w:val="en-US"/>
        </w:rPr>
        <w:t>haemolymph</w:t>
      </w:r>
      <w:proofErr w:type="spellEnd"/>
      <w:r w:rsidRPr="00344C2F">
        <w:rPr>
          <w:rFonts w:ascii="Times New Roman" w:eastAsia="Times New Roman" w:hAnsi="Times New Roman" w:cs="Times New Roman"/>
          <w:sz w:val="24"/>
          <w:szCs w:val="24"/>
          <w:lang w:val="en-US"/>
        </w:rPr>
        <w:t xml:space="preserve">-based immune biomarkers in the estuarine mud crab </w:t>
      </w:r>
      <w:r w:rsidRPr="00344C2F">
        <w:rPr>
          <w:rFonts w:ascii="Times New Roman" w:eastAsia="Times New Roman" w:hAnsi="Times New Roman" w:cs="Times New Roman"/>
          <w:i/>
          <w:iCs/>
          <w:sz w:val="24"/>
          <w:szCs w:val="24"/>
          <w:lang w:val="en-US"/>
        </w:rPr>
        <w:t>Scylla serrata</w:t>
      </w:r>
      <w:r w:rsidRPr="00344C2F">
        <w:rPr>
          <w:rFonts w:ascii="Times New Roman" w:eastAsia="Times New Roman" w:hAnsi="Times New Roman" w:cs="Times New Roman"/>
          <w:sz w:val="24"/>
          <w:szCs w:val="24"/>
          <w:lang w:val="en-US"/>
        </w:rPr>
        <w:t xml:space="preserve">. Prolonged exposure to </w:t>
      </w:r>
      <w:proofErr w:type="spellStart"/>
      <w:r w:rsidRPr="00344C2F">
        <w:rPr>
          <w:rFonts w:ascii="Times New Roman" w:eastAsia="Times New Roman" w:hAnsi="Times New Roman" w:cs="Times New Roman"/>
          <w:sz w:val="24"/>
          <w:szCs w:val="24"/>
          <w:lang w:val="en-US"/>
        </w:rPr>
        <w:t>BaP</w:t>
      </w:r>
      <w:proofErr w:type="spellEnd"/>
      <w:r w:rsidRPr="00344C2F">
        <w:rPr>
          <w:rFonts w:ascii="Times New Roman" w:eastAsia="Times New Roman" w:hAnsi="Times New Roman" w:cs="Times New Roman"/>
          <w:sz w:val="24"/>
          <w:szCs w:val="24"/>
          <w:lang w:val="en-US"/>
        </w:rPr>
        <w:t xml:space="preserve"> reduced total </w:t>
      </w:r>
      <w:proofErr w:type="spellStart"/>
      <w:r w:rsidRPr="00344C2F">
        <w:rPr>
          <w:rFonts w:ascii="Times New Roman" w:eastAsia="Times New Roman" w:hAnsi="Times New Roman" w:cs="Times New Roman"/>
          <w:sz w:val="24"/>
          <w:szCs w:val="24"/>
          <w:lang w:val="en-US"/>
        </w:rPr>
        <w:t>haemocyte</w:t>
      </w:r>
      <w:proofErr w:type="spellEnd"/>
      <w:r w:rsidRPr="00344C2F">
        <w:rPr>
          <w:rFonts w:ascii="Times New Roman" w:eastAsia="Times New Roman" w:hAnsi="Times New Roman" w:cs="Times New Roman"/>
          <w:sz w:val="24"/>
          <w:szCs w:val="24"/>
          <w:lang w:val="en-US"/>
        </w:rPr>
        <w:t xml:space="preserve"> count and altered differential </w:t>
      </w:r>
      <w:proofErr w:type="spellStart"/>
      <w:r w:rsidRPr="00344C2F">
        <w:rPr>
          <w:rFonts w:ascii="Times New Roman" w:eastAsia="Times New Roman" w:hAnsi="Times New Roman" w:cs="Times New Roman"/>
          <w:sz w:val="24"/>
          <w:szCs w:val="24"/>
          <w:lang w:val="en-US"/>
        </w:rPr>
        <w:t>haemocyte</w:t>
      </w:r>
      <w:proofErr w:type="spellEnd"/>
      <w:r w:rsidRPr="00344C2F">
        <w:rPr>
          <w:rFonts w:ascii="Times New Roman" w:eastAsia="Times New Roman" w:hAnsi="Times New Roman" w:cs="Times New Roman"/>
          <w:sz w:val="24"/>
          <w:szCs w:val="24"/>
          <w:lang w:val="en-US"/>
        </w:rPr>
        <w:t xml:space="preserve"> profiles, indicating disruption of circulating immune cell populations. Phagocytic activity was also suppressed, particularly at the higher exposure concentration, suggesting impairment of cellular immune </w:t>
      </w:r>
      <w:proofErr w:type="spellStart"/>
      <w:r w:rsidRPr="00344C2F">
        <w:rPr>
          <w:rFonts w:ascii="Times New Roman" w:eastAsia="Times New Roman" w:hAnsi="Times New Roman" w:cs="Times New Roman"/>
          <w:sz w:val="24"/>
          <w:szCs w:val="24"/>
          <w:lang w:val="en-US"/>
        </w:rPr>
        <w:t>defence</w:t>
      </w:r>
      <w:proofErr w:type="spellEnd"/>
      <w:r w:rsidRPr="00344C2F">
        <w:rPr>
          <w:rFonts w:ascii="Times New Roman" w:eastAsia="Times New Roman" w:hAnsi="Times New Roman" w:cs="Times New Roman"/>
          <w:sz w:val="24"/>
          <w:szCs w:val="24"/>
          <w:lang w:val="en-US"/>
        </w:rPr>
        <w:t xml:space="preserve">. Changes in </w:t>
      </w:r>
      <w:proofErr w:type="spellStart"/>
      <w:r w:rsidRPr="00344C2F">
        <w:rPr>
          <w:rFonts w:ascii="Times New Roman" w:eastAsia="Times New Roman" w:hAnsi="Times New Roman" w:cs="Times New Roman"/>
          <w:sz w:val="24"/>
          <w:szCs w:val="24"/>
          <w:lang w:val="en-US"/>
        </w:rPr>
        <w:t>haemolymph</w:t>
      </w:r>
      <w:proofErr w:type="spellEnd"/>
      <w:r w:rsidRPr="00344C2F">
        <w:rPr>
          <w:rFonts w:ascii="Times New Roman" w:eastAsia="Times New Roman" w:hAnsi="Times New Roman" w:cs="Times New Roman"/>
          <w:sz w:val="24"/>
          <w:szCs w:val="24"/>
          <w:lang w:val="en-US"/>
        </w:rPr>
        <w:t xml:space="preserve"> antibacterial activity further indicate that </w:t>
      </w:r>
      <w:proofErr w:type="spellStart"/>
      <w:r w:rsidRPr="00344C2F">
        <w:rPr>
          <w:rFonts w:ascii="Times New Roman" w:eastAsia="Times New Roman" w:hAnsi="Times New Roman" w:cs="Times New Roman"/>
          <w:sz w:val="24"/>
          <w:szCs w:val="24"/>
          <w:lang w:val="en-US"/>
        </w:rPr>
        <w:t>BaP</w:t>
      </w:r>
      <w:proofErr w:type="spellEnd"/>
      <w:r w:rsidRPr="00344C2F">
        <w:rPr>
          <w:rFonts w:ascii="Times New Roman" w:eastAsia="Times New Roman" w:hAnsi="Times New Roman" w:cs="Times New Roman"/>
          <w:sz w:val="24"/>
          <w:szCs w:val="24"/>
          <w:lang w:val="en-US"/>
        </w:rPr>
        <w:t xml:space="preserve"> may influence humoral immune responses. The 20-day depuration period allowed partial recovery of some immune parameters, especially in the lower exposure group, but complete restoration was not evident in crabs previously exposed to 20 µg L⁻¹ </w:t>
      </w:r>
      <w:proofErr w:type="spellStart"/>
      <w:r w:rsidRPr="00344C2F">
        <w:rPr>
          <w:rFonts w:ascii="Times New Roman" w:eastAsia="Times New Roman" w:hAnsi="Times New Roman" w:cs="Times New Roman"/>
          <w:sz w:val="24"/>
          <w:szCs w:val="24"/>
          <w:lang w:val="en-US"/>
        </w:rPr>
        <w:t>BaP.</w:t>
      </w:r>
      <w:proofErr w:type="spellEnd"/>
      <w:r w:rsidRPr="00344C2F">
        <w:rPr>
          <w:rFonts w:ascii="Times New Roman" w:eastAsia="Times New Roman" w:hAnsi="Times New Roman" w:cs="Times New Roman"/>
          <w:sz w:val="24"/>
          <w:szCs w:val="24"/>
          <w:lang w:val="en-US"/>
        </w:rPr>
        <w:t xml:space="preserve"> Overall, the findings suggest that </w:t>
      </w:r>
      <w:proofErr w:type="spellStart"/>
      <w:r w:rsidRPr="00344C2F">
        <w:rPr>
          <w:rFonts w:ascii="Times New Roman" w:eastAsia="Times New Roman" w:hAnsi="Times New Roman" w:cs="Times New Roman"/>
          <w:sz w:val="24"/>
          <w:szCs w:val="24"/>
          <w:lang w:val="en-US"/>
        </w:rPr>
        <w:t>BaP</w:t>
      </w:r>
      <w:proofErr w:type="spellEnd"/>
      <w:r w:rsidRPr="00344C2F">
        <w:rPr>
          <w:rFonts w:ascii="Times New Roman" w:eastAsia="Times New Roman" w:hAnsi="Times New Roman" w:cs="Times New Roman"/>
          <w:sz w:val="24"/>
          <w:szCs w:val="24"/>
          <w:lang w:val="en-US"/>
        </w:rPr>
        <w:t xml:space="preserve"> exposure can compromise innate immune competence in </w:t>
      </w:r>
      <w:r w:rsidRPr="00344C2F">
        <w:rPr>
          <w:rFonts w:ascii="Times New Roman" w:eastAsia="Times New Roman" w:hAnsi="Times New Roman" w:cs="Times New Roman"/>
          <w:i/>
          <w:iCs/>
          <w:sz w:val="24"/>
          <w:szCs w:val="24"/>
          <w:lang w:val="en-US"/>
        </w:rPr>
        <w:t>S. serrata</w:t>
      </w:r>
      <w:r w:rsidRPr="00344C2F">
        <w:rPr>
          <w:rFonts w:ascii="Times New Roman" w:eastAsia="Times New Roman" w:hAnsi="Times New Roman" w:cs="Times New Roman"/>
          <w:sz w:val="24"/>
          <w:szCs w:val="24"/>
          <w:lang w:val="en-US"/>
        </w:rPr>
        <w:t>. Further work with clearer exposure verification and extended recovery assessment is needed to strengthen ecological interpretation.</w:t>
      </w:r>
    </w:p>
    <w:p w14:paraId="7AF520FD" w14:textId="77777777" w:rsidR="00344C2F" w:rsidRPr="00344C2F" w:rsidRDefault="00344C2F" w:rsidP="00344C2F">
      <w:pPr>
        <w:spacing w:before="100" w:beforeAutospacing="1" w:after="100" w:afterAutospacing="1" w:line="240" w:lineRule="auto"/>
        <w:rPr>
          <w:rFonts w:ascii="Times New Roman" w:eastAsia="Times New Roman" w:hAnsi="Times New Roman" w:cs="Times New Roman"/>
          <w:sz w:val="24"/>
          <w:szCs w:val="24"/>
          <w:lang w:val="en-US"/>
        </w:rPr>
      </w:pPr>
      <w:r w:rsidRPr="00344C2F">
        <w:rPr>
          <w:rFonts w:ascii="Times New Roman" w:eastAsia="Times New Roman" w:hAnsi="Times New Roman" w:cs="Times New Roman"/>
          <w:sz w:val="24"/>
          <w:szCs w:val="24"/>
          <w:lang w:val="en-US"/>
        </w:rPr>
        <w:t>limitations:</w:t>
      </w:r>
    </w:p>
    <w:p w14:paraId="28FF8385" w14:textId="77777777" w:rsidR="00344C2F" w:rsidRPr="00344C2F" w:rsidRDefault="00344C2F" w:rsidP="00344C2F">
      <w:pPr>
        <w:spacing w:before="100" w:beforeAutospacing="1" w:after="100" w:afterAutospacing="1" w:line="240" w:lineRule="auto"/>
        <w:rPr>
          <w:rFonts w:ascii="Times New Roman" w:eastAsia="Times New Roman" w:hAnsi="Times New Roman" w:cs="Times New Roman"/>
          <w:sz w:val="24"/>
          <w:szCs w:val="24"/>
          <w:lang w:val="en-US"/>
        </w:rPr>
      </w:pPr>
      <w:r w:rsidRPr="00344C2F">
        <w:rPr>
          <w:rFonts w:ascii="Times New Roman" w:eastAsia="Times New Roman" w:hAnsi="Times New Roman" w:cs="Times New Roman"/>
          <w:sz w:val="24"/>
          <w:szCs w:val="24"/>
          <w:lang w:val="en-US"/>
        </w:rPr>
        <w:t xml:space="preserve">This study was limited to laboratory exposure using two </w:t>
      </w:r>
      <w:proofErr w:type="spellStart"/>
      <w:r w:rsidRPr="00344C2F">
        <w:rPr>
          <w:rFonts w:ascii="Times New Roman" w:eastAsia="Times New Roman" w:hAnsi="Times New Roman" w:cs="Times New Roman"/>
          <w:sz w:val="24"/>
          <w:szCs w:val="24"/>
          <w:lang w:val="en-US"/>
        </w:rPr>
        <w:t>BaP</w:t>
      </w:r>
      <w:proofErr w:type="spellEnd"/>
      <w:r w:rsidRPr="00344C2F">
        <w:rPr>
          <w:rFonts w:ascii="Times New Roman" w:eastAsia="Times New Roman" w:hAnsi="Times New Roman" w:cs="Times New Roman"/>
          <w:sz w:val="24"/>
          <w:szCs w:val="24"/>
          <w:lang w:val="en-US"/>
        </w:rPr>
        <w:t xml:space="preserve"> concentrations and a fixed depuration period. Actual </w:t>
      </w:r>
      <w:proofErr w:type="spellStart"/>
      <w:r w:rsidRPr="00344C2F">
        <w:rPr>
          <w:rFonts w:ascii="Times New Roman" w:eastAsia="Times New Roman" w:hAnsi="Times New Roman" w:cs="Times New Roman"/>
          <w:sz w:val="24"/>
          <w:szCs w:val="24"/>
          <w:lang w:val="en-US"/>
        </w:rPr>
        <w:t>BaP</w:t>
      </w:r>
      <w:proofErr w:type="spellEnd"/>
      <w:r w:rsidRPr="00344C2F">
        <w:rPr>
          <w:rFonts w:ascii="Times New Roman" w:eastAsia="Times New Roman" w:hAnsi="Times New Roman" w:cs="Times New Roman"/>
          <w:sz w:val="24"/>
          <w:szCs w:val="24"/>
          <w:lang w:val="en-US"/>
        </w:rPr>
        <w:t xml:space="preserve"> concentrations in the water and tissues were not reported, which limits exposure confirmation. The sample-size structure and replicate use require clearer explanation. Only selected </w:t>
      </w:r>
      <w:proofErr w:type="spellStart"/>
      <w:r w:rsidRPr="00344C2F">
        <w:rPr>
          <w:rFonts w:ascii="Times New Roman" w:eastAsia="Times New Roman" w:hAnsi="Times New Roman" w:cs="Times New Roman"/>
          <w:sz w:val="24"/>
          <w:szCs w:val="24"/>
          <w:lang w:val="en-US"/>
        </w:rPr>
        <w:t>haemolymph</w:t>
      </w:r>
      <w:proofErr w:type="spellEnd"/>
      <w:r w:rsidRPr="00344C2F">
        <w:rPr>
          <w:rFonts w:ascii="Times New Roman" w:eastAsia="Times New Roman" w:hAnsi="Times New Roman" w:cs="Times New Roman"/>
          <w:sz w:val="24"/>
          <w:szCs w:val="24"/>
          <w:lang w:val="en-US"/>
        </w:rPr>
        <w:t>-based immune biomarkers were assessed, while molecular, oxidative stress, histopathological, and survival endpoints were not included. The antibacterial assay also requires clearer interpretation in relation to optical density and bacterial inhibition. Field validation is needed before broader ecological conclusions can be made.</w:t>
      </w:r>
    </w:p>
    <w:p w14:paraId="6D6557A9" w14:textId="77777777" w:rsidR="00344C2F" w:rsidRPr="00344C2F" w:rsidRDefault="00344C2F" w:rsidP="00344C2F">
      <w:pPr>
        <w:spacing w:after="200" w:line="276" w:lineRule="auto"/>
        <w:rPr>
          <w:rFonts w:ascii="Calibri" w:eastAsia="Calibri" w:hAnsi="Calibri" w:cs="Times New Roman"/>
          <w:lang w:val="en-GB"/>
        </w:rPr>
      </w:pPr>
    </w:p>
    <w:p w14:paraId="41280735" w14:textId="77777777" w:rsidR="00344C2F" w:rsidRPr="000839CE" w:rsidRDefault="00344C2F" w:rsidP="00344C2F">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7A94C5A" w14:textId="77777777" w:rsidR="00344C2F" w:rsidRPr="000839CE" w:rsidRDefault="00344C2F" w:rsidP="00344C2F">
      <w:pPr>
        <w:spacing w:after="0" w:line="240" w:lineRule="auto"/>
        <w:rPr>
          <w:rFonts w:ascii="Times New Roman" w:hAnsi="Times New Roman" w:cs="Times New Roman"/>
        </w:rPr>
      </w:pPr>
    </w:p>
    <w:p w14:paraId="74E2F933" w14:textId="77777777" w:rsidR="00344C2F" w:rsidRDefault="00344C2F" w:rsidP="00344C2F">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w:t>
      </w:r>
      <w:r w:rsidRPr="00C56790">
        <w:rPr>
          <w:rFonts w:ascii="Times New Roman" w:hAnsi="Times New Roman" w:cs="Times New Roman"/>
        </w:rPr>
        <w:lastRenderedPageBreak/>
        <w:t>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2E51A74" w14:textId="77777777" w:rsidR="001D1C60" w:rsidRDefault="001D1C60" w:rsidP="00344C2F">
      <w:pPr>
        <w:spacing w:after="0" w:line="240" w:lineRule="auto"/>
        <w:jc w:val="both"/>
        <w:rPr>
          <w:rFonts w:ascii="Times New Roman" w:hAnsi="Times New Roman" w:cs="Times New Roman"/>
        </w:rPr>
      </w:pPr>
    </w:p>
    <w:p w14:paraId="49D7474C" w14:textId="77777777" w:rsidR="001D1C60" w:rsidRPr="001D1C60" w:rsidRDefault="001D1C60" w:rsidP="001D1C60">
      <w:pPr>
        <w:spacing w:after="200" w:line="276" w:lineRule="auto"/>
        <w:rPr>
          <w:rFonts w:ascii="Arial" w:eastAsia="Times New Roman" w:hAnsi="Arial" w:cs="Arial"/>
          <w:b/>
          <w:bCs/>
          <w:lang w:val="en-GB" w:eastAsia="en-GB"/>
        </w:rPr>
      </w:pPr>
      <w:r w:rsidRPr="001D1C60">
        <w:rPr>
          <w:rFonts w:ascii="Arial" w:eastAsia="Times New Roman" w:hAnsi="Arial" w:cs="Arial"/>
          <w:b/>
          <w:bCs/>
          <w:lang w:val="en-GB" w:eastAsia="en-GB"/>
        </w:rPr>
        <w:t>COMPETING INTERESTS DISCLAIMER:</w:t>
      </w:r>
    </w:p>
    <w:p w14:paraId="62D70526" w14:textId="77777777" w:rsidR="001D1C60" w:rsidRPr="001D1C60" w:rsidRDefault="001D1C60" w:rsidP="001D1C60">
      <w:pPr>
        <w:spacing w:after="200" w:line="276" w:lineRule="auto"/>
        <w:rPr>
          <w:rFonts w:ascii="Calibri" w:eastAsia="Times New Roman" w:hAnsi="Calibri" w:cs="Times New Roman"/>
          <w:lang w:val="en-GB" w:eastAsia="en-GB"/>
        </w:rPr>
      </w:pPr>
      <w:r w:rsidRPr="001D1C60">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39CE0665" w14:textId="77777777" w:rsidR="001D1C60" w:rsidRPr="000839CE" w:rsidRDefault="001D1C60" w:rsidP="00344C2F">
      <w:pPr>
        <w:spacing w:after="0" w:line="240" w:lineRule="auto"/>
        <w:jc w:val="both"/>
        <w:rPr>
          <w:rFonts w:ascii="Times New Roman" w:hAnsi="Times New Roman" w:cs="Times New Roman"/>
        </w:rPr>
      </w:pPr>
    </w:p>
    <w:p w14:paraId="2053EF5B" w14:textId="77777777" w:rsidR="0095624E" w:rsidRDefault="0095624E" w:rsidP="0095624E">
      <w:pPr>
        <w:pStyle w:val="NormalWeb"/>
        <w:spacing w:line="360" w:lineRule="auto"/>
        <w:jc w:val="center"/>
        <w:rPr>
          <w:b/>
        </w:rPr>
      </w:pPr>
      <w:r w:rsidRPr="0095624E">
        <w:rPr>
          <w:b/>
        </w:rPr>
        <w:t>5.0 Reference</w:t>
      </w:r>
    </w:p>
    <w:p w14:paraId="4F124170" w14:textId="77777777" w:rsidR="003B6F4D" w:rsidRDefault="003B6F4D" w:rsidP="003B6F4D">
      <w:pPr>
        <w:pStyle w:val="NormalWeb"/>
        <w:spacing w:line="360" w:lineRule="auto"/>
        <w:jc w:val="both"/>
      </w:pPr>
      <w:r>
        <w:t>Adams, S. M., Shugart, L. R., Southworth, G. R., &amp; Hinton, D. E. (1990). Application of bioindicators in the assessment of the health of fish populations experiencing contaminant stress. Environmental Health Perspectives, 86, 171–175.</w:t>
      </w:r>
    </w:p>
    <w:p w14:paraId="0A653531" w14:textId="77777777" w:rsidR="008B4BA7" w:rsidRPr="007D1DD6" w:rsidRDefault="008B4BA7" w:rsidP="007D1DD6">
      <w:pPr>
        <w:pStyle w:val="NormalWeb"/>
        <w:spacing w:line="360" w:lineRule="auto"/>
        <w:jc w:val="both"/>
      </w:pPr>
      <w:r w:rsidRPr="007D1DD6">
        <w:t xml:space="preserve">Bado-Nilles, A., Quentel, C., Thomas-Guyon, H., Le Floch, S., &amp; </w:t>
      </w:r>
      <w:proofErr w:type="spellStart"/>
      <w:r w:rsidRPr="007D1DD6">
        <w:t>Gagnaire</w:t>
      </w:r>
      <w:proofErr w:type="spellEnd"/>
      <w:r w:rsidRPr="007D1DD6">
        <w:t xml:space="preserve">, B. (2008). Effects of two PAHs on the immune responses of the Pacific oyster </w:t>
      </w:r>
      <w:r w:rsidRPr="007D1DD6">
        <w:rPr>
          <w:rStyle w:val="Emphasis"/>
        </w:rPr>
        <w:t>Crassostrea gigas</w:t>
      </w:r>
      <w:r w:rsidRPr="007D1DD6">
        <w:t xml:space="preserve">. </w:t>
      </w:r>
      <w:r w:rsidRPr="007D1DD6">
        <w:rPr>
          <w:rStyle w:val="Emphasis"/>
        </w:rPr>
        <w:t>Aquatic Toxicology, 90</w:t>
      </w:r>
      <w:r w:rsidRPr="007D1DD6">
        <w:t>(3), 179–187. https://doi.org/10.1016/j.aquatox.2008.08.003</w:t>
      </w:r>
    </w:p>
    <w:p w14:paraId="67B6418F" w14:textId="77777777" w:rsidR="008B4BA7" w:rsidRPr="007D1DD6" w:rsidRDefault="008B4BA7" w:rsidP="007D1DD6">
      <w:pPr>
        <w:spacing w:after="0" w:line="360" w:lineRule="auto"/>
        <w:jc w:val="both"/>
        <w:rPr>
          <w:rFonts w:ascii="Times New Roman" w:eastAsia="Times New Roman" w:hAnsi="Times New Roman" w:cs="Times New Roman"/>
          <w:sz w:val="24"/>
          <w:szCs w:val="24"/>
          <w:lang w:eastAsia="en-IN"/>
        </w:rPr>
      </w:pPr>
      <w:proofErr w:type="spellStart"/>
      <w:r w:rsidRPr="007D1DD6">
        <w:rPr>
          <w:rFonts w:ascii="Times New Roman" w:eastAsia="Times New Roman" w:hAnsi="Times New Roman" w:cs="Times New Roman"/>
          <w:sz w:val="24"/>
          <w:szCs w:val="24"/>
          <w:lang w:eastAsia="en-IN"/>
        </w:rPr>
        <w:t>Blaxhall</w:t>
      </w:r>
      <w:proofErr w:type="spellEnd"/>
      <w:r w:rsidRPr="007D1DD6">
        <w:rPr>
          <w:rFonts w:ascii="Times New Roman" w:eastAsia="Times New Roman" w:hAnsi="Times New Roman" w:cs="Times New Roman"/>
          <w:sz w:val="24"/>
          <w:szCs w:val="24"/>
          <w:lang w:eastAsia="en-IN"/>
        </w:rPr>
        <w:t>, P. C., &amp; Daisley, K. W. (1973). Routine haematological methods for use with fish blood. Journal of Fish Biology, 5(6), 771–781. https://doi.org/10.1111/j.1095-8649.1973.tb04510.x</w:t>
      </w:r>
    </w:p>
    <w:p w14:paraId="55FE03F5" w14:textId="77777777" w:rsidR="008B4BA7" w:rsidRPr="007D1DD6" w:rsidRDefault="008B4BA7" w:rsidP="007D1DD6">
      <w:pPr>
        <w:pStyle w:val="NormalWeb"/>
        <w:spacing w:line="360" w:lineRule="auto"/>
        <w:jc w:val="both"/>
      </w:pPr>
      <w:r w:rsidRPr="007D1DD6">
        <w:t xml:space="preserve">Cerenius, L., &amp; </w:t>
      </w:r>
      <w:proofErr w:type="spellStart"/>
      <w:r w:rsidRPr="007D1DD6">
        <w:t>Söderhäll</w:t>
      </w:r>
      <w:proofErr w:type="spellEnd"/>
      <w:r w:rsidRPr="007D1DD6">
        <w:t xml:space="preserve">, K. (2013). Variable immune molecules in invertebrates. </w:t>
      </w:r>
      <w:r w:rsidRPr="007D1DD6">
        <w:rPr>
          <w:rStyle w:val="Emphasis"/>
        </w:rPr>
        <w:t>Journal of Experimental Biology, 216</w:t>
      </w:r>
      <w:r w:rsidRPr="007D1DD6">
        <w:t>(3), 431–438. https://doi.org/10.1242/jeb.076976</w:t>
      </w:r>
    </w:p>
    <w:p w14:paraId="0CEAB542" w14:textId="77777777" w:rsidR="008B4BA7" w:rsidRPr="007D1DD6" w:rsidRDefault="008B4BA7" w:rsidP="007D1DD6">
      <w:pPr>
        <w:pStyle w:val="pdq2pgselectionanchorcontainer"/>
        <w:spacing w:line="360" w:lineRule="auto"/>
        <w:jc w:val="both"/>
      </w:pPr>
      <w:r w:rsidRPr="007D1DD6">
        <w:t xml:space="preserve">Chen, J. C., Yeh, S. T., Lee, W. C., &amp; Chen, C. Y. (2010). Immune responses of the mud crab </w:t>
      </w:r>
      <w:r w:rsidRPr="007D1DD6">
        <w:rPr>
          <w:rStyle w:val="Emphasis"/>
        </w:rPr>
        <w:t>Scylla serrata</w:t>
      </w:r>
      <w:r w:rsidRPr="007D1DD6">
        <w:t xml:space="preserve"> exposed to environmental stressors: Characterization of haemocyte functions and serum immune parameters. </w:t>
      </w:r>
      <w:r w:rsidRPr="007D1DD6">
        <w:rPr>
          <w:rStyle w:val="Emphasis"/>
        </w:rPr>
        <w:t>Fish &amp; Shellfish Immunology</w:t>
      </w:r>
      <w:r w:rsidRPr="007D1DD6">
        <w:t>, 28(4), 587–595.</w:t>
      </w:r>
    </w:p>
    <w:p w14:paraId="233863FE" w14:textId="77777777" w:rsidR="008B4BA7" w:rsidRPr="007D1DD6" w:rsidRDefault="008B4BA7" w:rsidP="007D1DD6">
      <w:pPr>
        <w:pStyle w:val="NormalWeb"/>
        <w:spacing w:line="360" w:lineRule="auto"/>
        <w:jc w:val="both"/>
      </w:pPr>
      <w:r w:rsidRPr="007D1DD6">
        <w:t xml:space="preserve">Cheng, W., Hsiao, I. S., Hsu, C. H., &amp; Chen, J. C. (2018). Immune responses of crustaceans to environmental pollutants: A review. </w:t>
      </w:r>
      <w:r w:rsidRPr="007D1DD6">
        <w:rPr>
          <w:rStyle w:val="Emphasis"/>
        </w:rPr>
        <w:t>Fish &amp; Shellfish Immunology, 76</w:t>
      </w:r>
      <w:r w:rsidRPr="007D1DD6">
        <w:t>, 126–136.</w:t>
      </w:r>
    </w:p>
    <w:p w14:paraId="4560D7E5" w14:textId="77777777" w:rsidR="008B4BA7" w:rsidRPr="007D1DD6" w:rsidRDefault="008B4BA7" w:rsidP="007D1DD6">
      <w:pPr>
        <w:pStyle w:val="NormalWeb"/>
        <w:spacing w:line="360" w:lineRule="auto"/>
        <w:jc w:val="both"/>
      </w:pPr>
      <w:r w:rsidRPr="008B4BA7">
        <w:rPr>
          <w:rStyle w:val="Strong"/>
          <w:b w:val="0"/>
        </w:rPr>
        <w:t xml:space="preserve">Fabbri, E., &amp; </w:t>
      </w:r>
      <w:proofErr w:type="spellStart"/>
      <w:r w:rsidRPr="008B4BA7">
        <w:rPr>
          <w:rStyle w:val="Strong"/>
          <w:b w:val="0"/>
        </w:rPr>
        <w:t>Franzellitti</w:t>
      </w:r>
      <w:proofErr w:type="spellEnd"/>
      <w:r w:rsidRPr="008B4BA7">
        <w:rPr>
          <w:rStyle w:val="Strong"/>
          <w:b w:val="0"/>
        </w:rPr>
        <w:t>, S. (2016).</w:t>
      </w:r>
      <w:r w:rsidRPr="007D1DD6">
        <w:t xml:space="preserve"> Human pharmaceuticals in the marine environment: Focus on exposure and biological effects in animal species. </w:t>
      </w:r>
      <w:r w:rsidRPr="007D1DD6">
        <w:rPr>
          <w:rStyle w:val="Emphasis"/>
        </w:rPr>
        <w:t>Environmental Toxicology and Chemistry</w:t>
      </w:r>
      <w:r w:rsidRPr="007D1DD6">
        <w:t xml:space="preserve">, </w:t>
      </w:r>
      <w:r w:rsidRPr="007D1DD6">
        <w:rPr>
          <w:rStyle w:val="Strong"/>
        </w:rPr>
        <w:t>35</w:t>
      </w:r>
      <w:r w:rsidRPr="007D1DD6">
        <w:t>(4), 799–812. https://doi.org/10.1002/etc.3131</w:t>
      </w:r>
    </w:p>
    <w:p w14:paraId="2F47571E" w14:textId="77777777" w:rsidR="008B4BA7" w:rsidRPr="007D1DD6" w:rsidRDefault="008B4BA7" w:rsidP="007D1DD6">
      <w:pPr>
        <w:pStyle w:val="pdq2pgselectionanchorcontainer"/>
        <w:spacing w:line="360" w:lineRule="auto"/>
        <w:jc w:val="both"/>
      </w:pPr>
      <w:r w:rsidRPr="00E21B59">
        <w:rPr>
          <w:rStyle w:val="Strong"/>
          <w:b w:val="0"/>
        </w:rPr>
        <w:lastRenderedPageBreak/>
        <w:t>Hauton, C. (2012).</w:t>
      </w:r>
      <w:r w:rsidRPr="007D1DD6">
        <w:t xml:space="preserve"> The scope of the crustacean immune system for disease control. </w:t>
      </w:r>
      <w:r w:rsidRPr="007D1DD6">
        <w:rPr>
          <w:rStyle w:val="Emphasis"/>
        </w:rPr>
        <w:t>Journal of Invertebrate Pathology, 110</w:t>
      </w:r>
      <w:r w:rsidRPr="007D1DD6">
        <w:t>(2), 251–260. https://doi.org/10.1016/j.jip.2012.03.005</w:t>
      </w:r>
    </w:p>
    <w:p w14:paraId="5EE5D517" w14:textId="77777777" w:rsidR="008B4BA7" w:rsidRDefault="008B4BA7" w:rsidP="007D1DD6">
      <w:pPr>
        <w:pStyle w:val="NormalWeb"/>
        <w:spacing w:line="360" w:lineRule="auto"/>
        <w:jc w:val="both"/>
      </w:pPr>
      <w:r w:rsidRPr="008B4BA7">
        <w:rPr>
          <w:rStyle w:val="Strong"/>
          <w:b w:val="0"/>
        </w:rPr>
        <w:t>Holth, T. F., Tollefsen, K. E., et al. (2006).</w:t>
      </w:r>
      <w:r w:rsidRPr="007D1DD6">
        <w:t xml:space="preserve"> Effects of water accommodated fractions of crude oil and polycyclic aromatic hydrocarbons on biomarkers in marine crustaceans. </w:t>
      </w:r>
      <w:r w:rsidRPr="007D1DD6">
        <w:rPr>
          <w:rStyle w:val="Emphasis"/>
        </w:rPr>
        <w:t>Marine Environmental Research</w:t>
      </w:r>
      <w:r w:rsidRPr="007D1DD6">
        <w:t xml:space="preserve">, </w:t>
      </w:r>
      <w:r w:rsidRPr="007D1DD6">
        <w:rPr>
          <w:rStyle w:val="Strong"/>
        </w:rPr>
        <w:t>62</w:t>
      </w:r>
      <w:r w:rsidRPr="007D1DD6">
        <w:t>(Suppl.), S242–S246.</w:t>
      </w:r>
    </w:p>
    <w:p w14:paraId="322CC03A" w14:textId="77777777" w:rsidR="003B6F4D" w:rsidRPr="007D1DD6" w:rsidRDefault="003B6F4D" w:rsidP="003B6F4D">
      <w:pPr>
        <w:pStyle w:val="NormalWeb"/>
        <w:spacing w:line="360" w:lineRule="auto"/>
        <w:jc w:val="both"/>
      </w:pPr>
      <w:r>
        <w:t>International Agency for Research on Cancer (IARC). (2012). Chemical agents and related occupations. IARC Monographs on the Evaluation of Carcinogenic Risks to Humans (Vol. 100F). Lyon, France: International Agency for Research on Cancer.</w:t>
      </w:r>
    </w:p>
    <w:p w14:paraId="79D747FC" w14:textId="77777777" w:rsidR="008B4BA7" w:rsidRPr="007D1DD6" w:rsidRDefault="008B4BA7" w:rsidP="007D1DD6">
      <w:pPr>
        <w:pStyle w:val="NormalWeb"/>
        <w:spacing w:line="360" w:lineRule="auto"/>
        <w:jc w:val="both"/>
      </w:pPr>
      <w:r w:rsidRPr="007D1DD6">
        <w:t xml:space="preserve">Lacaze, E., </w:t>
      </w:r>
      <w:proofErr w:type="spellStart"/>
      <w:r w:rsidRPr="007D1DD6">
        <w:t>Geffard</w:t>
      </w:r>
      <w:proofErr w:type="spellEnd"/>
      <w:r w:rsidRPr="007D1DD6">
        <w:t xml:space="preserve">, O., </w:t>
      </w:r>
      <w:proofErr w:type="spellStart"/>
      <w:r w:rsidRPr="007D1DD6">
        <w:t>Goyet</w:t>
      </w:r>
      <w:proofErr w:type="spellEnd"/>
      <w:r w:rsidRPr="007D1DD6">
        <w:t xml:space="preserve">, D., Bony, S., Devaux, A., &amp; Garric, J. (2015). Linking genotoxic responses to population-level effects in aquatic organisms exposed to PAHs. </w:t>
      </w:r>
      <w:r w:rsidRPr="007D1DD6">
        <w:rPr>
          <w:rStyle w:val="Emphasis"/>
        </w:rPr>
        <w:t>Environmental Science and Pollution Research, 22</w:t>
      </w:r>
      <w:r w:rsidRPr="007D1DD6">
        <w:t>, 14648–14660. https://doi.org/10.1007/s11356-015-4577-5</w:t>
      </w:r>
    </w:p>
    <w:p w14:paraId="52F1835C" w14:textId="77777777" w:rsidR="008B4BA7" w:rsidRPr="007D1DD6" w:rsidRDefault="008B4BA7" w:rsidP="007D1DD6">
      <w:pPr>
        <w:pStyle w:val="NormalWeb"/>
        <w:spacing w:line="360" w:lineRule="auto"/>
        <w:jc w:val="both"/>
      </w:pPr>
      <w:r w:rsidRPr="007D1DD6">
        <w:t xml:space="preserve">Le </w:t>
      </w:r>
      <w:proofErr w:type="spellStart"/>
      <w:r w:rsidRPr="007D1DD6">
        <w:t>Moullac</w:t>
      </w:r>
      <w:proofErr w:type="spellEnd"/>
      <w:r w:rsidRPr="007D1DD6">
        <w:t xml:space="preserve">, G., &amp; Haffner, P. (2000). Environmental factors affecting immune responses in crustacea. </w:t>
      </w:r>
      <w:r w:rsidRPr="007D1DD6">
        <w:rPr>
          <w:rStyle w:val="Emphasis"/>
        </w:rPr>
        <w:t>Aquaculture, 191</w:t>
      </w:r>
      <w:r w:rsidRPr="007D1DD6">
        <w:t>(1–3), 121–131. https://doi.org/10.1016/S0044-8486(00)00422-1</w:t>
      </w:r>
    </w:p>
    <w:p w14:paraId="16494128" w14:textId="77777777" w:rsidR="008B4BA7" w:rsidRPr="007D1DD6" w:rsidRDefault="008B4BA7" w:rsidP="007D1DD6">
      <w:pPr>
        <w:pStyle w:val="NormalWeb"/>
        <w:spacing w:line="360" w:lineRule="auto"/>
        <w:jc w:val="both"/>
      </w:pPr>
      <w:r w:rsidRPr="00E21B59">
        <w:rPr>
          <w:rStyle w:val="Strong"/>
          <w:b w:val="0"/>
        </w:rPr>
        <w:t>Li, C., Li, E., Chen, K., et al. (2022).</w:t>
      </w:r>
      <w:r w:rsidRPr="007D1DD6">
        <w:t xml:space="preserve"> Recent advances in crustacean </w:t>
      </w:r>
      <w:proofErr w:type="spellStart"/>
      <w:r w:rsidRPr="007D1DD6">
        <w:t>hematopoiesis</w:t>
      </w:r>
      <w:proofErr w:type="spellEnd"/>
      <w:r w:rsidRPr="007D1DD6">
        <w:t xml:space="preserve"> and </w:t>
      </w:r>
      <w:proofErr w:type="spellStart"/>
      <w:r w:rsidRPr="007D1DD6">
        <w:t>hemocyte</w:t>
      </w:r>
      <w:proofErr w:type="spellEnd"/>
      <w:r w:rsidRPr="007D1DD6">
        <w:t xml:space="preserve">-mediated immune responses. </w:t>
      </w:r>
      <w:r w:rsidRPr="007D1DD6">
        <w:rPr>
          <w:rStyle w:val="Emphasis"/>
        </w:rPr>
        <w:t>Developmental &amp; Comparative Immunology, 137</w:t>
      </w:r>
      <w:r w:rsidRPr="007D1DD6">
        <w:t>, 104515.</w:t>
      </w:r>
    </w:p>
    <w:p w14:paraId="1355621E" w14:textId="77777777" w:rsidR="008B4BA7" w:rsidRPr="007D1DD6" w:rsidRDefault="008B4BA7" w:rsidP="007D1DD6">
      <w:pPr>
        <w:pStyle w:val="NormalWeb"/>
        <w:spacing w:line="360" w:lineRule="auto"/>
        <w:jc w:val="both"/>
      </w:pPr>
      <w:r w:rsidRPr="007D1DD6">
        <w:t xml:space="preserve">Liu, C. H., Tseng, M. C., Cheng, W., &amp; Chen, J. C. (2010). The immune response of the mud crab </w:t>
      </w:r>
      <w:r w:rsidRPr="007D1DD6">
        <w:rPr>
          <w:rStyle w:val="Emphasis"/>
        </w:rPr>
        <w:t>Scylla serrata</w:t>
      </w:r>
      <w:r w:rsidRPr="007D1DD6">
        <w:t xml:space="preserve">: Haemocyte isolation, haemocyte lysate preparation, and evaluation of immune-related parameters. </w:t>
      </w:r>
      <w:r w:rsidRPr="007D1DD6">
        <w:rPr>
          <w:rStyle w:val="Emphasis"/>
        </w:rPr>
        <w:t>Fish &amp; Shellfish Immunology</w:t>
      </w:r>
      <w:r w:rsidRPr="007D1DD6">
        <w:t>, 28(1), 34–42.</w:t>
      </w:r>
    </w:p>
    <w:p w14:paraId="4DA1D06B" w14:textId="77777777" w:rsidR="008B4BA7" w:rsidRPr="007D1DD6" w:rsidRDefault="008B4BA7" w:rsidP="007D1DD6">
      <w:pPr>
        <w:pStyle w:val="NormalWeb"/>
        <w:spacing w:line="360" w:lineRule="auto"/>
        <w:jc w:val="both"/>
      </w:pPr>
      <w:r w:rsidRPr="007D1DD6">
        <w:t xml:space="preserve">Livingstone, D. R. (2001). Contaminant-stimulated reactive oxygen species production and oxidative damage in aquatic organisms. </w:t>
      </w:r>
      <w:r w:rsidRPr="007D1DD6">
        <w:rPr>
          <w:rStyle w:val="Emphasis"/>
        </w:rPr>
        <w:t>Marine Pollution Bulletin, 42</w:t>
      </w:r>
      <w:r w:rsidRPr="007D1DD6">
        <w:t>(8), 656–666. https://doi.org/10.1016/S0025-326X(01)00060-1</w:t>
      </w:r>
    </w:p>
    <w:p w14:paraId="53C58990" w14:textId="77777777" w:rsidR="008B4BA7" w:rsidRPr="007D1DD6" w:rsidRDefault="008B4BA7" w:rsidP="007D1DD6">
      <w:pPr>
        <w:spacing w:after="0" w:line="360" w:lineRule="auto"/>
        <w:jc w:val="both"/>
        <w:rPr>
          <w:rFonts w:ascii="Times New Roman" w:eastAsia="Times New Roman" w:hAnsi="Times New Roman" w:cs="Times New Roman"/>
          <w:sz w:val="24"/>
          <w:szCs w:val="24"/>
          <w:lang w:eastAsia="en-IN"/>
        </w:rPr>
      </w:pPr>
      <w:r w:rsidRPr="007D1DD6">
        <w:rPr>
          <w:rFonts w:ascii="Times New Roman" w:eastAsia="Times New Roman" w:hAnsi="Times New Roman" w:cs="Times New Roman"/>
          <w:sz w:val="24"/>
          <w:szCs w:val="24"/>
          <w:lang w:eastAsia="en-IN"/>
        </w:rPr>
        <w:t>Martínez-Gómez, C., Benedicto, J., Campillo, J. A., Moore, M. N., &amp; Pipe, R. K. (2008). Application and evaluation of the neutral red retention (NRR) assay for lysosomal stability in marine invertebrates as a biomarker of environmental contamination. Marine Environmental Research, 66(5), 545–552.</w:t>
      </w:r>
    </w:p>
    <w:p w14:paraId="5C3B3A58" w14:textId="77777777" w:rsidR="008B4BA7" w:rsidRPr="007D1DD6" w:rsidRDefault="008B4BA7" w:rsidP="007D1DD6">
      <w:pPr>
        <w:spacing w:after="0" w:line="360" w:lineRule="auto"/>
        <w:jc w:val="both"/>
        <w:rPr>
          <w:rFonts w:ascii="Times New Roman" w:eastAsia="Times New Roman" w:hAnsi="Times New Roman" w:cs="Times New Roman"/>
          <w:sz w:val="24"/>
          <w:szCs w:val="24"/>
          <w:lang w:eastAsia="en-IN"/>
        </w:rPr>
      </w:pPr>
      <w:r w:rsidRPr="007D1DD6">
        <w:rPr>
          <w:rFonts w:ascii="Times New Roman" w:eastAsia="Times New Roman" w:hAnsi="Times New Roman" w:cs="Times New Roman"/>
          <w:sz w:val="24"/>
          <w:szCs w:val="24"/>
          <w:lang w:eastAsia="en-IN"/>
        </w:rPr>
        <w:lastRenderedPageBreak/>
        <w:t xml:space="preserve">Matozzo, V., Ballarin, L., </w:t>
      </w:r>
      <w:proofErr w:type="spellStart"/>
      <w:r w:rsidRPr="007D1DD6">
        <w:rPr>
          <w:rFonts w:ascii="Times New Roman" w:eastAsia="Times New Roman" w:hAnsi="Times New Roman" w:cs="Times New Roman"/>
          <w:sz w:val="24"/>
          <w:szCs w:val="24"/>
          <w:lang w:eastAsia="en-IN"/>
        </w:rPr>
        <w:t>Pampanin</w:t>
      </w:r>
      <w:proofErr w:type="spellEnd"/>
      <w:r w:rsidRPr="007D1DD6">
        <w:rPr>
          <w:rFonts w:ascii="Times New Roman" w:eastAsia="Times New Roman" w:hAnsi="Times New Roman" w:cs="Times New Roman"/>
          <w:sz w:val="24"/>
          <w:szCs w:val="24"/>
          <w:lang w:eastAsia="en-IN"/>
        </w:rPr>
        <w:t xml:space="preserve">, D. M., &amp; Marin, M. G. (2001). Effects of copper and cadmium exposure on functional responses of haemocytes in the clam Tapes </w:t>
      </w:r>
      <w:proofErr w:type="spellStart"/>
      <w:r w:rsidRPr="007D1DD6">
        <w:rPr>
          <w:rFonts w:ascii="Times New Roman" w:eastAsia="Times New Roman" w:hAnsi="Times New Roman" w:cs="Times New Roman"/>
          <w:sz w:val="24"/>
          <w:szCs w:val="24"/>
          <w:lang w:eastAsia="en-IN"/>
        </w:rPr>
        <w:t>philippinarum</w:t>
      </w:r>
      <w:proofErr w:type="spellEnd"/>
      <w:r w:rsidRPr="007D1DD6">
        <w:rPr>
          <w:rFonts w:ascii="Times New Roman" w:eastAsia="Times New Roman" w:hAnsi="Times New Roman" w:cs="Times New Roman"/>
          <w:sz w:val="24"/>
          <w:szCs w:val="24"/>
          <w:lang w:eastAsia="en-IN"/>
        </w:rPr>
        <w:t>. Marine Biology, 138, 449–458.</w:t>
      </w:r>
    </w:p>
    <w:p w14:paraId="673A246C" w14:textId="77777777" w:rsidR="008B4BA7" w:rsidRPr="007D1DD6" w:rsidRDefault="008B4BA7" w:rsidP="007D1DD6">
      <w:pPr>
        <w:pStyle w:val="NormalWeb"/>
        <w:spacing w:line="360" w:lineRule="auto"/>
        <w:jc w:val="both"/>
      </w:pPr>
      <w:r w:rsidRPr="007D1DD6">
        <w:t xml:space="preserve">Pipe, R. K., &amp; Coles, J. A. (1995). Environmental contaminants influencing immune function in marine bivalve molluscs. </w:t>
      </w:r>
      <w:r w:rsidRPr="007D1DD6">
        <w:rPr>
          <w:rStyle w:val="Emphasis"/>
        </w:rPr>
        <w:t>Fish &amp; Shellfish Immunology, 5</w:t>
      </w:r>
      <w:r w:rsidRPr="007D1DD6">
        <w:t>(8), 581–595. https://doi.org/10.1016/S1050-4648(95)80045-2</w:t>
      </w:r>
    </w:p>
    <w:p w14:paraId="3C943700" w14:textId="77777777" w:rsidR="008B4BA7" w:rsidRPr="007D1DD6" w:rsidRDefault="008B4BA7" w:rsidP="007D1DD6">
      <w:pPr>
        <w:pStyle w:val="NormalWeb"/>
        <w:spacing w:line="360" w:lineRule="auto"/>
        <w:jc w:val="both"/>
      </w:pPr>
      <w:r w:rsidRPr="007D1DD6">
        <w:t xml:space="preserve">Regoli, F., &amp; Giuliani, M. E. (2014). Oxidative pathways of chemical toxicity and oxidative stress biomarkers in marine organisms. </w:t>
      </w:r>
      <w:r w:rsidRPr="007D1DD6">
        <w:rPr>
          <w:rStyle w:val="Emphasis"/>
        </w:rPr>
        <w:t>Marine Environmental Research, 93</w:t>
      </w:r>
      <w:r w:rsidRPr="007D1DD6">
        <w:t>, 106–117. https://doi.org/10.1016/j.marenvres.2013.07.006</w:t>
      </w:r>
    </w:p>
    <w:p w14:paraId="1D0EC6D4" w14:textId="77777777" w:rsidR="008B4BA7" w:rsidRPr="007D1DD6" w:rsidRDefault="008B4BA7" w:rsidP="007D1DD6">
      <w:pPr>
        <w:pStyle w:val="NormalWeb"/>
        <w:spacing w:line="360" w:lineRule="auto"/>
        <w:jc w:val="both"/>
      </w:pPr>
      <w:r w:rsidRPr="008B4BA7">
        <w:rPr>
          <w:rStyle w:val="Strong"/>
          <w:b w:val="0"/>
        </w:rPr>
        <w:t>Rowley, A. F., &amp; Powell, A. (2007).</w:t>
      </w:r>
      <w:r w:rsidRPr="007D1DD6">
        <w:t xml:space="preserve"> Invertebrate immune systems—Specific, quasi-specific, or nonspecific? </w:t>
      </w:r>
      <w:r w:rsidRPr="007D1DD6">
        <w:rPr>
          <w:rStyle w:val="Emphasis"/>
        </w:rPr>
        <w:t>Journal of Immunology</w:t>
      </w:r>
      <w:r w:rsidRPr="007D1DD6">
        <w:t xml:space="preserve">, </w:t>
      </w:r>
      <w:r w:rsidRPr="008B4BA7">
        <w:rPr>
          <w:rStyle w:val="Strong"/>
          <w:b w:val="0"/>
        </w:rPr>
        <w:t>179</w:t>
      </w:r>
      <w:r w:rsidRPr="007D1DD6">
        <w:t>(11), 7209–7214. https://doi.org/10.4049/jimmunol.179.11.7209</w:t>
      </w:r>
    </w:p>
    <w:p w14:paraId="5AEE85F6" w14:textId="77777777" w:rsidR="008B4BA7" w:rsidRPr="007D1DD6" w:rsidRDefault="008B4BA7" w:rsidP="007D1DD6">
      <w:pPr>
        <w:spacing w:after="0" w:line="360" w:lineRule="auto"/>
        <w:jc w:val="both"/>
        <w:rPr>
          <w:rFonts w:ascii="Times New Roman" w:eastAsia="Times New Roman" w:hAnsi="Times New Roman" w:cs="Times New Roman"/>
          <w:sz w:val="24"/>
          <w:szCs w:val="24"/>
          <w:lang w:eastAsia="en-IN"/>
        </w:rPr>
      </w:pPr>
      <w:proofErr w:type="spellStart"/>
      <w:r w:rsidRPr="007D1DD6">
        <w:rPr>
          <w:rFonts w:ascii="Times New Roman" w:eastAsia="Times New Roman" w:hAnsi="Times New Roman" w:cs="Times New Roman"/>
          <w:sz w:val="24"/>
          <w:szCs w:val="24"/>
          <w:lang w:eastAsia="en-IN"/>
        </w:rPr>
        <w:t>Söderhäll</w:t>
      </w:r>
      <w:proofErr w:type="spellEnd"/>
      <w:r w:rsidRPr="007D1DD6">
        <w:rPr>
          <w:rFonts w:ascii="Times New Roman" w:eastAsia="Times New Roman" w:hAnsi="Times New Roman" w:cs="Times New Roman"/>
          <w:sz w:val="24"/>
          <w:szCs w:val="24"/>
          <w:lang w:eastAsia="en-IN"/>
        </w:rPr>
        <w:t xml:space="preserve">, I., &amp; </w:t>
      </w:r>
      <w:proofErr w:type="spellStart"/>
      <w:r w:rsidRPr="007D1DD6">
        <w:rPr>
          <w:rFonts w:ascii="Times New Roman" w:eastAsia="Times New Roman" w:hAnsi="Times New Roman" w:cs="Times New Roman"/>
          <w:sz w:val="24"/>
          <w:szCs w:val="24"/>
          <w:lang w:eastAsia="en-IN"/>
        </w:rPr>
        <w:t>Söderhäll</w:t>
      </w:r>
      <w:proofErr w:type="spellEnd"/>
      <w:r w:rsidRPr="007D1DD6">
        <w:rPr>
          <w:rFonts w:ascii="Times New Roman" w:eastAsia="Times New Roman" w:hAnsi="Times New Roman" w:cs="Times New Roman"/>
          <w:sz w:val="24"/>
          <w:szCs w:val="24"/>
          <w:lang w:eastAsia="en-IN"/>
        </w:rPr>
        <w:t>, K. (2022). Blood cell formation in crustaceans. Fish &amp; Shellfish Immunology, 131, 1335–1342. https://doi.org/10.1016/j.fsi.2022.10.008</w:t>
      </w:r>
    </w:p>
    <w:p w14:paraId="0B960B22" w14:textId="77777777" w:rsidR="008B4BA7" w:rsidRPr="007D1DD6" w:rsidRDefault="008B4BA7" w:rsidP="007D1DD6">
      <w:pPr>
        <w:pStyle w:val="NormalWeb"/>
        <w:spacing w:line="360" w:lineRule="auto"/>
        <w:jc w:val="both"/>
      </w:pPr>
      <w:r w:rsidRPr="00E21B59">
        <w:rPr>
          <w:rStyle w:val="Strong"/>
          <w:b w:val="0"/>
        </w:rPr>
        <w:t>Wang, W., Zhang, X., Li, C., &amp; Chen, L. (2023).</w:t>
      </w:r>
      <w:r w:rsidRPr="007D1DD6">
        <w:t xml:space="preserve"> </w:t>
      </w:r>
      <w:proofErr w:type="spellStart"/>
      <w:r w:rsidRPr="007D1DD6">
        <w:t>Hemocyte</w:t>
      </w:r>
      <w:proofErr w:type="spellEnd"/>
      <w:r w:rsidRPr="007D1DD6">
        <w:t xml:space="preserve"> immune biomarkers for evaluating pollutant-induced immunotoxicity in marine crustaceans. </w:t>
      </w:r>
      <w:r w:rsidRPr="007D1DD6">
        <w:rPr>
          <w:rStyle w:val="Emphasis"/>
        </w:rPr>
        <w:t>Aquatic Toxicology, 258</w:t>
      </w:r>
      <w:r w:rsidRPr="007D1DD6">
        <w:t>, 106529.</w:t>
      </w:r>
    </w:p>
    <w:p w14:paraId="1635C5E3" w14:textId="77777777" w:rsidR="008B4BA7" w:rsidRPr="007D1DD6" w:rsidRDefault="008B4BA7" w:rsidP="007D1DD6">
      <w:pPr>
        <w:pStyle w:val="NormalWeb"/>
        <w:spacing w:line="360" w:lineRule="auto"/>
        <w:jc w:val="both"/>
      </w:pPr>
      <w:r w:rsidRPr="007D1DD6">
        <w:t xml:space="preserve">Whyte, J. J., Jung, R. E., Schmitt, C. J., &amp; Tillitt, D. E. (2000). </w:t>
      </w:r>
      <w:proofErr w:type="spellStart"/>
      <w:r w:rsidRPr="007D1DD6">
        <w:t>Ethoxyresorufin</w:t>
      </w:r>
      <w:proofErr w:type="spellEnd"/>
      <w:r w:rsidRPr="007D1DD6">
        <w:t>-O-</w:t>
      </w:r>
      <w:proofErr w:type="spellStart"/>
      <w:r w:rsidRPr="007D1DD6">
        <w:t>deethylase</w:t>
      </w:r>
      <w:proofErr w:type="spellEnd"/>
      <w:r w:rsidRPr="007D1DD6">
        <w:t xml:space="preserve"> (EROD) activity as a biomarker of contaminant exposure in fish and aquatic organisms. </w:t>
      </w:r>
      <w:r w:rsidRPr="007D1DD6">
        <w:rPr>
          <w:rStyle w:val="Emphasis"/>
        </w:rPr>
        <w:t>Critical Reviews in Toxicology, 30</w:t>
      </w:r>
      <w:r w:rsidRPr="007D1DD6">
        <w:t>(4), 347–570. https://doi.org/10.1080/10408440091159239</w:t>
      </w:r>
    </w:p>
    <w:p w14:paraId="27F5413A" w14:textId="77777777" w:rsidR="008B4BA7" w:rsidRDefault="008B4BA7" w:rsidP="007D1DD6">
      <w:pPr>
        <w:pStyle w:val="NormalWeb"/>
        <w:spacing w:line="360" w:lineRule="auto"/>
        <w:jc w:val="both"/>
      </w:pPr>
      <w:r w:rsidRPr="00E21B59">
        <w:rPr>
          <w:rStyle w:val="Strong"/>
          <w:b w:val="0"/>
        </w:rPr>
        <w:t>Wootton, E. C., &amp; Pipe, R. K. (2003).</w:t>
      </w:r>
      <w:r w:rsidRPr="007D1DD6">
        <w:t xml:space="preserve"> Structural and functional characterization of the blood cells of the mussel </w:t>
      </w:r>
      <w:r w:rsidRPr="007D1DD6">
        <w:rPr>
          <w:rStyle w:val="Emphasis"/>
        </w:rPr>
        <w:t>Mytilus edulis</w:t>
      </w:r>
      <w:r w:rsidRPr="007D1DD6">
        <w:t xml:space="preserve"> and assessment of haemolymph antibacterial activity using a turbidimetric assay. </w:t>
      </w:r>
      <w:r w:rsidRPr="007D1DD6">
        <w:rPr>
          <w:rStyle w:val="Emphasis"/>
        </w:rPr>
        <w:t>Fish &amp; Shellfish Immunology, 15</w:t>
      </w:r>
      <w:r w:rsidRPr="007D1DD6">
        <w:t>(4), 351–365.</w:t>
      </w:r>
    </w:p>
    <w:p w14:paraId="06D4048C" w14:textId="77777777" w:rsidR="003B6F4D" w:rsidRDefault="003B6F4D" w:rsidP="003B6F4D">
      <w:pPr>
        <w:pStyle w:val="NormalWeb"/>
        <w:spacing w:line="360" w:lineRule="auto"/>
        <w:jc w:val="both"/>
      </w:pPr>
    </w:p>
    <w:sectPr w:rsidR="003B6F4D" w:rsidSect="001A1E1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8929A" w14:textId="77777777" w:rsidR="00CD53D2" w:rsidRDefault="00CD53D2" w:rsidP="0020150B">
      <w:pPr>
        <w:spacing w:after="0" w:line="240" w:lineRule="auto"/>
      </w:pPr>
      <w:r>
        <w:separator/>
      </w:r>
    </w:p>
  </w:endnote>
  <w:endnote w:type="continuationSeparator" w:id="0">
    <w:p w14:paraId="1882675B" w14:textId="77777777" w:rsidR="00CD53D2" w:rsidRDefault="00CD53D2" w:rsidP="00201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9514" w14:textId="77777777" w:rsidR="0020150B" w:rsidRDefault="002015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5C6E" w14:textId="77777777" w:rsidR="0020150B" w:rsidRDefault="002015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D2AB" w14:textId="77777777" w:rsidR="0020150B" w:rsidRDefault="00201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E1B1C" w14:textId="77777777" w:rsidR="00CD53D2" w:rsidRDefault="00CD53D2" w:rsidP="0020150B">
      <w:pPr>
        <w:spacing w:after="0" w:line="240" w:lineRule="auto"/>
      </w:pPr>
      <w:r>
        <w:separator/>
      </w:r>
    </w:p>
  </w:footnote>
  <w:footnote w:type="continuationSeparator" w:id="0">
    <w:p w14:paraId="21BF1A49" w14:textId="77777777" w:rsidR="00CD53D2" w:rsidRDefault="00CD53D2" w:rsidP="00201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9FAE" w14:textId="0D01335D" w:rsidR="0020150B" w:rsidRDefault="0020150B">
    <w:pPr>
      <w:pStyle w:val="Header"/>
    </w:pPr>
    <w:r>
      <w:rPr>
        <w:noProof/>
      </w:rPr>
      <w:pict w14:anchorId="05118A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7406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AD5B" w14:textId="60473EE3" w:rsidR="0020150B" w:rsidRDefault="0020150B">
    <w:pPr>
      <w:pStyle w:val="Header"/>
    </w:pPr>
    <w:r>
      <w:rPr>
        <w:noProof/>
      </w:rPr>
      <w:pict w14:anchorId="0D4D0F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7406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CD7B" w14:textId="1C1D5DBE" w:rsidR="0020150B" w:rsidRDefault="0020150B">
    <w:pPr>
      <w:pStyle w:val="Header"/>
    </w:pPr>
    <w:r>
      <w:rPr>
        <w:noProof/>
      </w:rPr>
      <w:pict w14:anchorId="5C3C9B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97406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0189A"/>
    <w:multiLevelType w:val="hybridMultilevel"/>
    <w:tmpl w:val="8C3E9B8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1990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29DE"/>
    <w:rsid w:val="000004EB"/>
    <w:rsid w:val="00016C31"/>
    <w:rsid w:val="00043B94"/>
    <w:rsid w:val="00077ECF"/>
    <w:rsid w:val="000A5F8D"/>
    <w:rsid w:val="00102C19"/>
    <w:rsid w:val="00126F3C"/>
    <w:rsid w:val="001A1E1C"/>
    <w:rsid w:val="001D1C60"/>
    <w:rsid w:val="0020150B"/>
    <w:rsid w:val="002777BB"/>
    <w:rsid w:val="002D3468"/>
    <w:rsid w:val="002E21D8"/>
    <w:rsid w:val="00344C2F"/>
    <w:rsid w:val="003B44CD"/>
    <w:rsid w:val="003B4E8E"/>
    <w:rsid w:val="003B6F4D"/>
    <w:rsid w:val="004E04E4"/>
    <w:rsid w:val="00555999"/>
    <w:rsid w:val="0058576A"/>
    <w:rsid w:val="005C02FD"/>
    <w:rsid w:val="00632EB4"/>
    <w:rsid w:val="0065389C"/>
    <w:rsid w:val="00661D69"/>
    <w:rsid w:val="00666DF0"/>
    <w:rsid w:val="006C6751"/>
    <w:rsid w:val="006D3B1C"/>
    <w:rsid w:val="006E6B02"/>
    <w:rsid w:val="007629DE"/>
    <w:rsid w:val="0079039B"/>
    <w:rsid w:val="007D1DD6"/>
    <w:rsid w:val="008B4BA7"/>
    <w:rsid w:val="008E0509"/>
    <w:rsid w:val="008E6670"/>
    <w:rsid w:val="008F0E46"/>
    <w:rsid w:val="008F59C4"/>
    <w:rsid w:val="0090241E"/>
    <w:rsid w:val="00935F99"/>
    <w:rsid w:val="0095624E"/>
    <w:rsid w:val="0099685C"/>
    <w:rsid w:val="009E5F02"/>
    <w:rsid w:val="009F3551"/>
    <w:rsid w:val="00A14A90"/>
    <w:rsid w:val="00AD7138"/>
    <w:rsid w:val="00AE6AD6"/>
    <w:rsid w:val="00C05088"/>
    <w:rsid w:val="00C416AA"/>
    <w:rsid w:val="00C73B8B"/>
    <w:rsid w:val="00CB3A70"/>
    <w:rsid w:val="00CD53D2"/>
    <w:rsid w:val="00D51CF1"/>
    <w:rsid w:val="00DA26B8"/>
    <w:rsid w:val="00E21B59"/>
    <w:rsid w:val="00E740E8"/>
    <w:rsid w:val="00E91944"/>
    <w:rsid w:val="00EC7B08"/>
    <w:rsid w:val="00EF1372"/>
    <w:rsid w:val="00F05189"/>
    <w:rsid w:val="00F61323"/>
    <w:rsid w:val="00F63DAC"/>
    <w:rsid w:val="00FC222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18C04"/>
  <w15:docId w15:val="{D0A70A73-4356-4788-A37F-F759AF3C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E1C"/>
  </w:style>
  <w:style w:type="paragraph" w:styleId="Heading1">
    <w:name w:val="heading 1"/>
    <w:basedOn w:val="Normal"/>
    <w:next w:val="Normal"/>
    <w:link w:val="Heading1Char"/>
    <w:uiPriority w:val="9"/>
    <w:qFormat/>
    <w:rsid w:val="00C0508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C416A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7629D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629DE"/>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7629DE"/>
    <w:rPr>
      <w:i/>
      <w:iCs/>
    </w:rPr>
  </w:style>
  <w:style w:type="character" w:styleId="Hyperlink">
    <w:name w:val="Hyperlink"/>
    <w:basedOn w:val="DefaultParagraphFont"/>
    <w:uiPriority w:val="99"/>
    <w:unhideWhenUsed/>
    <w:rsid w:val="007629DE"/>
    <w:rPr>
      <w:color w:val="0000FF"/>
      <w:u w:val="single"/>
    </w:rPr>
  </w:style>
  <w:style w:type="character" w:customStyle="1" w:styleId="anchor-text">
    <w:name w:val="anchor-text"/>
    <w:basedOn w:val="DefaultParagraphFont"/>
    <w:rsid w:val="007629DE"/>
  </w:style>
  <w:style w:type="paragraph" w:customStyle="1" w:styleId="isselectedend">
    <w:name w:val="isselectedend"/>
    <w:basedOn w:val="Normal"/>
    <w:rsid w:val="0065389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65389C"/>
    <w:rPr>
      <w:b/>
      <w:bCs/>
    </w:rPr>
  </w:style>
  <w:style w:type="character" w:customStyle="1" w:styleId="text-token-text-primary">
    <w:name w:val="text-token-text-primary"/>
    <w:basedOn w:val="DefaultParagraphFont"/>
    <w:rsid w:val="0065389C"/>
  </w:style>
  <w:style w:type="paragraph" w:styleId="NormalWeb">
    <w:name w:val="Normal (Web)"/>
    <w:basedOn w:val="Normal"/>
    <w:uiPriority w:val="99"/>
    <w:semiHidden/>
    <w:unhideWhenUsed/>
    <w:rsid w:val="0065389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dq2pgselectionanchorcontainer">
    <w:name w:val="pdq2pg_selectionanchorcontainer"/>
    <w:basedOn w:val="Normal"/>
    <w:rsid w:val="0065389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semiHidden/>
    <w:rsid w:val="00C416AA"/>
    <w:rPr>
      <w:rFonts w:asciiTheme="majorHAnsi" w:eastAsiaTheme="majorEastAsia" w:hAnsiTheme="majorHAnsi" w:cstheme="majorBidi"/>
      <w:b/>
      <w:bCs/>
      <w:color w:val="4472C4" w:themeColor="accent1"/>
      <w:sz w:val="26"/>
      <w:szCs w:val="26"/>
    </w:rPr>
  </w:style>
  <w:style w:type="character" w:customStyle="1" w:styleId="Heading1Char">
    <w:name w:val="Heading 1 Char"/>
    <w:basedOn w:val="DefaultParagraphFont"/>
    <w:link w:val="Heading1"/>
    <w:uiPriority w:val="9"/>
    <w:rsid w:val="00C05088"/>
    <w:rPr>
      <w:rFonts w:asciiTheme="majorHAnsi" w:eastAsiaTheme="majorEastAsia" w:hAnsiTheme="majorHAnsi" w:cstheme="majorBidi"/>
      <w:b/>
      <w:bCs/>
      <w:color w:val="2F5496" w:themeColor="accent1" w:themeShade="BF"/>
      <w:sz w:val="28"/>
      <w:szCs w:val="28"/>
    </w:rPr>
  </w:style>
  <w:style w:type="paragraph" w:styleId="BalloonText">
    <w:name w:val="Balloon Text"/>
    <w:basedOn w:val="Normal"/>
    <w:link w:val="BalloonTextChar"/>
    <w:uiPriority w:val="99"/>
    <w:semiHidden/>
    <w:unhideWhenUsed/>
    <w:rsid w:val="00102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C19"/>
    <w:rPr>
      <w:rFonts w:ascii="Tahoma" w:hAnsi="Tahoma" w:cs="Tahoma"/>
      <w:sz w:val="16"/>
      <w:szCs w:val="16"/>
    </w:rPr>
  </w:style>
  <w:style w:type="character" w:styleId="UnresolvedMention">
    <w:name w:val="Unresolved Mention"/>
    <w:basedOn w:val="DefaultParagraphFont"/>
    <w:uiPriority w:val="99"/>
    <w:semiHidden/>
    <w:unhideWhenUsed/>
    <w:rsid w:val="00C73B8B"/>
    <w:rPr>
      <w:color w:val="605E5C"/>
      <w:shd w:val="clear" w:color="auto" w:fill="E1DFDD"/>
    </w:rPr>
  </w:style>
  <w:style w:type="paragraph" w:styleId="Header">
    <w:name w:val="header"/>
    <w:basedOn w:val="Normal"/>
    <w:link w:val="HeaderChar"/>
    <w:uiPriority w:val="99"/>
    <w:unhideWhenUsed/>
    <w:rsid w:val="002015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50B"/>
  </w:style>
  <w:style w:type="paragraph" w:styleId="Footer">
    <w:name w:val="footer"/>
    <w:basedOn w:val="Normal"/>
    <w:link w:val="FooterChar"/>
    <w:uiPriority w:val="99"/>
    <w:unhideWhenUsed/>
    <w:rsid w:val="002015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188261">
      <w:bodyDiv w:val="1"/>
      <w:marLeft w:val="0"/>
      <w:marRight w:val="0"/>
      <w:marTop w:val="0"/>
      <w:marBottom w:val="0"/>
      <w:divBdr>
        <w:top w:val="none" w:sz="0" w:space="0" w:color="auto"/>
        <w:left w:val="none" w:sz="0" w:space="0" w:color="auto"/>
        <w:bottom w:val="none" w:sz="0" w:space="0" w:color="auto"/>
        <w:right w:val="none" w:sz="0" w:space="0" w:color="auto"/>
      </w:divBdr>
    </w:div>
    <w:div w:id="490757543">
      <w:bodyDiv w:val="1"/>
      <w:marLeft w:val="0"/>
      <w:marRight w:val="0"/>
      <w:marTop w:val="0"/>
      <w:marBottom w:val="0"/>
      <w:divBdr>
        <w:top w:val="none" w:sz="0" w:space="0" w:color="auto"/>
        <w:left w:val="none" w:sz="0" w:space="0" w:color="auto"/>
        <w:bottom w:val="none" w:sz="0" w:space="0" w:color="auto"/>
        <w:right w:val="none" w:sz="0" w:space="0" w:color="auto"/>
      </w:divBdr>
    </w:div>
    <w:div w:id="547763772">
      <w:bodyDiv w:val="1"/>
      <w:marLeft w:val="0"/>
      <w:marRight w:val="0"/>
      <w:marTop w:val="0"/>
      <w:marBottom w:val="0"/>
      <w:divBdr>
        <w:top w:val="none" w:sz="0" w:space="0" w:color="auto"/>
        <w:left w:val="none" w:sz="0" w:space="0" w:color="auto"/>
        <w:bottom w:val="none" w:sz="0" w:space="0" w:color="auto"/>
        <w:right w:val="none" w:sz="0" w:space="0" w:color="auto"/>
      </w:divBdr>
    </w:div>
    <w:div w:id="603265634">
      <w:bodyDiv w:val="1"/>
      <w:marLeft w:val="0"/>
      <w:marRight w:val="0"/>
      <w:marTop w:val="0"/>
      <w:marBottom w:val="0"/>
      <w:divBdr>
        <w:top w:val="none" w:sz="0" w:space="0" w:color="auto"/>
        <w:left w:val="none" w:sz="0" w:space="0" w:color="auto"/>
        <w:bottom w:val="none" w:sz="0" w:space="0" w:color="auto"/>
        <w:right w:val="none" w:sz="0" w:space="0" w:color="auto"/>
      </w:divBdr>
    </w:div>
    <w:div w:id="632953609">
      <w:bodyDiv w:val="1"/>
      <w:marLeft w:val="0"/>
      <w:marRight w:val="0"/>
      <w:marTop w:val="0"/>
      <w:marBottom w:val="0"/>
      <w:divBdr>
        <w:top w:val="none" w:sz="0" w:space="0" w:color="auto"/>
        <w:left w:val="none" w:sz="0" w:space="0" w:color="auto"/>
        <w:bottom w:val="none" w:sz="0" w:space="0" w:color="auto"/>
        <w:right w:val="none" w:sz="0" w:space="0" w:color="auto"/>
      </w:divBdr>
    </w:div>
    <w:div w:id="785344118">
      <w:bodyDiv w:val="1"/>
      <w:marLeft w:val="0"/>
      <w:marRight w:val="0"/>
      <w:marTop w:val="0"/>
      <w:marBottom w:val="0"/>
      <w:divBdr>
        <w:top w:val="none" w:sz="0" w:space="0" w:color="auto"/>
        <w:left w:val="none" w:sz="0" w:space="0" w:color="auto"/>
        <w:bottom w:val="none" w:sz="0" w:space="0" w:color="auto"/>
        <w:right w:val="none" w:sz="0" w:space="0" w:color="auto"/>
      </w:divBdr>
    </w:div>
    <w:div w:id="865409931">
      <w:bodyDiv w:val="1"/>
      <w:marLeft w:val="0"/>
      <w:marRight w:val="0"/>
      <w:marTop w:val="0"/>
      <w:marBottom w:val="0"/>
      <w:divBdr>
        <w:top w:val="none" w:sz="0" w:space="0" w:color="auto"/>
        <w:left w:val="none" w:sz="0" w:space="0" w:color="auto"/>
        <w:bottom w:val="none" w:sz="0" w:space="0" w:color="auto"/>
        <w:right w:val="none" w:sz="0" w:space="0" w:color="auto"/>
      </w:divBdr>
    </w:div>
    <w:div w:id="1076634351">
      <w:bodyDiv w:val="1"/>
      <w:marLeft w:val="0"/>
      <w:marRight w:val="0"/>
      <w:marTop w:val="0"/>
      <w:marBottom w:val="0"/>
      <w:divBdr>
        <w:top w:val="none" w:sz="0" w:space="0" w:color="auto"/>
        <w:left w:val="none" w:sz="0" w:space="0" w:color="auto"/>
        <w:bottom w:val="none" w:sz="0" w:space="0" w:color="auto"/>
        <w:right w:val="none" w:sz="0" w:space="0" w:color="auto"/>
      </w:divBdr>
    </w:div>
    <w:div w:id="1220900292">
      <w:bodyDiv w:val="1"/>
      <w:marLeft w:val="0"/>
      <w:marRight w:val="0"/>
      <w:marTop w:val="0"/>
      <w:marBottom w:val="0"/>
      <w:divBdr>
        <w:top w:val="none" w:sz="0" w:space="0" w:color="auto"/>
        <w:left w:val="none" w:sz="0" w:space="0" w:color="auto"/>
        <w:bottom w:val="none" w:sz="0" w:space="0" w:color="auto"/>
        <w:right w:val="none" w:sz="0" w:space="0" w:color="auto"/>
      </w:divBdr>
      <w:divsChild>
        <w:div w:id="943540034">
          <w:marLeft w:val="0"/>
          <w:marRight w:val="0"/>
          <w:marTop w:val="0"/>
          <w:marBottom w:val="0"/>
          <w:divBdr>
            <w:top w:val="none" w:sz="0" w:space="0" w:color="auto"/>
            <w:left w:val="none" w:sz="0" w:space="0" w:color="auto"/>
            <w:bottom w:val="none" w:sz="0" w:space="0" w:color="auto"/>
            <w:right w:val="none" w:sz="0" w:space="0" w:color="auto"/>
          </w:divBdr>
          <w:divsChild>
            <w:div w:id="947004570">
              <w:marLeft w:val="0"/>
              <w:marRight w:val="0"/>
              <w:marTop w:val="0"/>
              <w:marBottom w:val="0"/>
              <w:divBdr>
                <w:top w:val="none" w:sz="0" w:space="0" w:color="auto"/>
                <w:left w:val="none" w:sz="0" w:space="0" w:color="auto"/>
                <w:bottom w:val="none" w:sz="0" w:space="0" w:color="auto"/>
                <w:right w:val="none" w:sz="0" w:space="0" w:color="auto"/>
              </w:divBdr>
              <w:divsChild>
                <w:div w:id="255330116">
                  <w:marLeft w:val="0"/>
                  <w:marRight w:val="0"/>
                  <w:marTop w:val="0"/>
                  <w:marBottom w:val="0"/>
                  <w:divBdr>
                    <w:top w:val="none" w:sz="0" w:space="0" w:color="auto"/>
                    <w:left w:val="none" w:sz="0" w:space="0" w:color="auto"/>
                    <w:bottom w:val="none" w:sz="0" w:space="0" w:color="auto"/>
                    <w:right w:val="none" w:sz="0" w:space="0" w:color="auto"/>
                  </w:divBdr>
                  <w:divsChild>
                    <w:div w:id="577901947">
                      <w:marLeft w:val="0"/>
                      <w:marRight w:val="0"/>
                      <w:marTop w:val="0"/>
                      <w:marBottom w:val="0"/>
                      <w:divBdr>
                        <w:top w:val="none" w:sz="0" w:space="0" w:color="auto"/>
                        <w:left w:val="none" w:sz="0" w:space="0" w:color="auto"/>
                        <w:bottom w:val="none" w:sz="0" w:space="0" w:color="auto"/>
                        <w:right w:val="none" w:sz="0" w:space="0" w:color="auto"/>
                      </w:divBdr>
                      <w:divsChild>
                        <w:div w:id="1194536484">
                          <w:marLeft w:val="0"/>
                          <w:marRight w:val="0"/>
                          <w:marTop w:val="0"/>
                          <w:marBottom w:val="0"/>
                          <w:divBdr>
                            <w:top w:val="none" w:sz="0" w:space="0" w:color="auto"/>
                            <w:left w:val="none" w:sz="0" w:space="0" w:color="auto"/>
                            <w:bottom w:val="none" w:sz="0" w:space="0" w:color="auto"/>
                            <w:right w:val="none" w:sz="0" w:space="0" w:color="auto"/>
                          </w:divBdr>
                          <w:divsChild>
                            <w:div w:id="478809201">
                              <w:marLeft w:val="0"/>
                              <w:marRight w:val="0"/>
                              <w:marTop w:val="0"/>
                              <w:marBottom w:val="0"/>
                              <w:divBdr>
                                <w:top w:val="none" w:sz="0" w:space="0" w:color="auto"/>
                                <w:left w:val="none" w:sz="0" w:space="0" w:color="auto"/>
                                <w:bottom w:val="none" w:sz="0" w:space="0" w:color="auto"/>
                                <w:right w:val="none" w:sz="0" w:space="0" w:color="auto"/>
                              </w:divBdr>
                              <w:divsChild>
                                <w:div w:id="2081976502">
                                  <w:marLeft w:val="0"/>
                                  <w:marRight w:val="0"/>
                                  <w:marTop w:val="0"/>
                                  <w:marBottom w:val="0"/>
                                  <w:divBdr>
                                    <w:top w:val="none" w:sz="0" w:space="0" w:color="auto"/>
                                    <w:left w:val="none" w:sz="0" w:space="0" w:color="auto"/>
                                    <w:bottom w:val="none" w:sz="0" w:space="0" w:color="auto"/>
                                    <w:right w:val="none" w:sz="0" w:space="0" w:color="auto"/>
                                  </w:divBdr>
                                  <w:divsChild>
                                    <w:div w:id="116847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122499">
      <w:bodyDiv w:val="1"/>
      <w:marLeft w:val="0"/>
      <w:marRight w:val="0"/>
      <w:marTop w:val="0"/>
      <w:marBottom w:val="0"/>
      <w:divBdr>
        <w:top w:val="none" w:sz="0" w:space="0" w:color="auto"/>
        <w:left w:val="none" w:sz="0" w:space="0" w:color="auto"/>
        <w:bottom w:val="none" w:sz="0" w:space="0" w:color="auto"/>
        <w:right w:val="none" w:sz="0" w:space="0" w:color="auto"/>
      </w:divBdr>
    </w:div>
    <w:div w:id="1786727239">
      <w:bodyDiv w:val="1"/>
      <w:marLeft w:val="0"/>
      <w:marRight w:val="0"/>
      <w:marTop w:val="0"/>
      <w:marBottom w:val="0"/>
      <w:divBdr>
        <w:top w:val="none" w:sz="0" w:space="0" w:color="auto"/>
        <w:left w:val="none" w:sz="0" w:space="0" w:color="auto"/>
        <w:bottom w:val="none" w:sz="0" w:space="0" w:color="auto"/>
        <w:right w:val="none" w:sz="0" w:space="0" w:color="auto"/>
      </w:divBdr>
      <w:divsChild>
        <w:div w:id="2096197988">
          <w:marLeft w:val="0"/>
          <w:marRight w:val="0"/>
          <w:marTop w:val="0"/>
          <w:marBottom w:val="0"/>
          <w:divBdr>
            <w:top w:val="none" w:sz="0" w:space="0" w:color="auto"/>
            <w:left w:val="none" w:sz="0" w:space="0" w:color="auto"/>
            <w:bottom w:val="none" w:sz="0" w:space="0" w:color="auto"/>
            <w:right w:val="none" w:sz="0" w:space="0" w:color="auto"/>
          </w:divBdr>
        </w:div>
        <w:div w:id="706568065">
          <w:marLeft w:val="0"/>
          <w:marRight w:val="0"/>
          <w:marTop w:val="0"/>
          <w:marBottom w:val="0"/>
          <w:divBdr>
            <w:top w:val="none" w:sz="0" w:space="0" w:color="auto"/>
            <w:left w:val="none" w:sz="0" w:space="0" w:color="auto"/>
            <w:bottom w:val="none" w:sz="0" w:space="0" w:color="auto"/>
            <w:right w:val="none" w:sz="0" w:space="0" w:color="auto"/>
          </w:divBdr>
        </w:div>
        <w:div w:id="80412841">
          <w:marLeft w:val="0"/>
          <w:marRight w:val="0"/>
          <w:marTop w:val="0"/>
          <w:marBottom w:val="0"/>
          <w:divBdr>
            <w:top w:val="none" w:sz="0" w:space="0" w:color="auto"/>
            <w:left w:val="none" w:sz="0" w:space="0" w:color="auto"/>
            <w:bottom w:val="none" w:sz="0" w:space="0" w:color="auto"/>
            <w:right w:val="none" w:sz="0" w:space="0" w:color="auto"/>
          </w:divBdr>
        </w:div>
        <w:div w:id="1269583587">
          <w:marLeft w:val="0"/>
          <w:marRight w:val="0"/>
          <w:marTop w:val="0"/>
          <w:marBottom w:val="0"/>
          <w:divBdr>
            <w:top w:val="none" w:sz="0" w:space="0" w:color="auto"/>
            <w:left w:val="none" w:sz="0" w:space="0" w:color="auto"/>
            <w:bottom w:val="none" w:sz="0" w:space="0" w:color="auto"/>
            <w:right w:val="none" w:sz="0" w:space="0" w:color="auto"/>
          </w:divBdr>
        </w:div>
      </w:divsChild>
    </w:div>
    <w:div w:id="1824930296">
      <w:bodyDiv w:val="1"/>
      <w:marLeft w:val="0"/>
      <w:marRight w:val="0"/>
      <w:marTop w:val="0"/>
      <w:marBottom w:val="0"/>
      <w:divBdr>
        <w:top w:val="none" w:sz="0" w:space="0" w:color="auto"/>
        <w:left w:val="none" w:sz="0" w:space="0" w:color="auto"/>
        <w:bottom w:val="none" w:sz="0" w:space="0" w:color="auto"/>
        <w:right w:val="none" w:sz="0" w:space="0" w:color="auto"/>
      </w:divBdr>
    </w:div>
    <w:div w:id="1866287231">
      <w:bodyDiv w:val="1"/>
      <w:marLeft w:val="0"/>
      <w:marRight w:val="0"/>
      <w:marTop w:val="0"/>
      <w:marBottom w:val="0"/>
      <w:divBdr>
        <w:top w:val="none" w:sz="0" w:space="0" w:color="auto"/>
        <w:left w:val="none" w:sz="0" w:space="0" w:color="auto"/>
        <w:bottom w:val="none" w:sz="0" w:space="0" w:color="auto"/>
        <w:right w:val="none" w:sz="0" w:space="0" w:color="auto"/>
      </w:divBdr>
    </w:div>
    <w:div w:id="1876381336">
      <w:bodyDiv w:val="1"/>
      <w:marLeft w:val="0"/>
      <w:marRight w:val="0"/>
      <w:marTop w:val="0"/>
      <w:marBottom w:val="0"/>
      <w:divBdr>
        <w:top w:val="none" w:sz="0" w:space="0" w:color="auto"/>
        <w:left w:val="none" w:sz="0" w:space="0" w:color="auto"/>
        <w:bottom w:val="none" w:sz="0" w:space="0" w:color="auto"/>
        <w:right w:val="none" w:sz="0" w:space="0" w:color="auto"/>
      </w:divBdr>
    </w:div>
    <w:div w:id="1915044187">
      <w:bodyDiv w:val="1"/>
      <w:marLeft w:val="0"/>
      <w:marRight w:val="0"/>
      <w:marTop w:val="0"/>
      <w:marBottom w:val="0"/>
      <w:divBdr>
        <w:top w:val="none" w:sz="0" w:space="0" w:color="auto"/>
        <w:left w:val="none" w:sz="0" w:space="0" w:color="auto"/>
        <w:bottom w:val="none" w:sz="0" w:space="0" w:color="auto"/>
        <w:right w:val="none" w:sz="0" w:space="0" w:color="auto"/>
      </w:divBdr>
    </w:div>
    <w:div w:id="1923448131">
      <w:bodyDiv w:val="1"/>
      <w:marLeft w:val="0"/>
      <w:marRight w:val="0"/>
      <w:marTop w:val="0"/>
      <w:marBottom w:val="0"/>
      <w:divBdr>
        <w:top w:val="none" w:sz="0" w:space="0" w:color="auto"/>
        <w:left w:val="none" w:sz="0" w:space="0" w:color="auto"/>
        <w:bottom w:val="none" w:sz="0" w:space="0" w:color="auto"/>
        <w:right w:val="none" w:sz="0" w:space="0" w:color="auto"/>
      </w:divBdr>
    </w:div>
    <w:div w:id="195188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340D62-8478-4600-8B53-0C68AE756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5446</Words>
  <Characters>31046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SDI 1166</cp:lastModifiedBy>
  <cp:revision>21</cp:revision>
  <dcterms:created xsi:type="dcterms:W3CDTF">2026-07-03T00:35:00Z</dcterms:created>
  <dcterms:modified xsi:type="dcterms:W3CDTF">2026-07-03T08:13:00Z</dcterms:modified>
</cp:coreProperties>
</file>