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D8396" w14:textId="77777777" w:rsidR="00462837" w:rsidRPr="00497F72" w:rsidRDefault="00462837" w:rsidP="00462837">
      <w:pPr>
        <w:spacing w:after="0" w:line="240" w:lineRule="auto"/>
        <w:rPr>
          <w:rFonts w:ascii="Times New Roman" w:hAnsi="Times New Roman" w:cs="Times New Roman"/>
          <w:b/>
          <w:bCs/>
          <w:sz w:val="36"/>
          <w:szCs w:val="36"/>
          <w:u w:val="single"/>
        </w:rPr>
      </w:pPr>
      <w:r w:rsidRPr="00497F72">
        <w:rPr>
          <w:rFonts w:ascii="Times New Roman" w:hAnsi="Times New Roman" w:cs="Times New Roman"/>
          <w:b/>
          <w:bCs/>
          <w:sz w:val="36"/>
          <w:szCs w:val="36"/>
          <w:u w:val="single"/>
        </w:rPr>
        <w:t>Original Research Article</w:t>
      </w:r>
    </w:p>
    <w:p w14:paraId="01CDED0F" w14:textId="77777777" w:rsidR="007B2CDD" w:rsidRPr="00497F72" w:rsidRDefault="007B2CDD" w:rsidP="002357FF">
      <w:pPr>
        <w:spacing w:after="0" w:line="240" w:lineRule="auto"/>
        <w:jc w:val="center"/>
        <w:rPr>
          <w:rFonts w:ascii="Times New Roman" w:hAnsi="Times New Roman" w:cs="Times New Roman"/>
          <w:b/>
          <w:bCs/>
          <w:sz w:val="36"/>
          <w:szCs w:val="36"/>
        </w:rPr>
      </w:pPr>
    </w:p>
    <w:p w14:paraId="540C0A93" w14:textId="77777777" w:rsidR="008F0464" w:rsidRPr="00497F72" w:rsidRDefault="00DC7DD8" w:rsidP="002357FF">
      <w:pPr>
        <w:spacing w:after="0" w:line="240" w:lineRule="auto"/>
        <w:jc w:val="center"/>
        <w:rPr>
          <w:rFonts w:ascii="Times New Roman" w:hAnsi="Times New Roman" w:cs="Times New Roman"/>
          <w:b/>
          <w:bCs/>
          <w:sz w:val="36"/>
          <w:szCs w:val="36"/>
        </w:rPr>
      </w:pPr>
      <w:r w:rsidRPr="00497F72">
        <w:rPr>
          <w:rFonts w:ascii="Times New Roman" w:hAnsi="Times New Roman" w:cs="Times New Roman"/>
          <w:b/>
          <w:bCs/>
          <w:sz w:val="36"/>
          <w:szCs w:val="36"/>
        </w:rPr>
        <w:t>Effect of FSH</w:t>
      </w:r>
      <w:r w:rsidR="007B2CDD" w:rsidRPr="00497F72">
        <w:rPr>
          <w:rFonts w:ascii="Times New Roman" w:hAnsi="Times New Roman" w:cs="Times New Roman"/>
          <w:b/>
          <w:bCs/>
          <w:sz w:val="36"/>
          <w:szCs w:val="36"/>
        </w:rPr>
        <w:t>-</w:t>
      </w:r>
      <w:r w:rsidRPr="00497F72">
        <w:rPr>
          <w:rFonts w:ascii="Times New Roman" w:hAnsi="Times New Roman" w:cs="Times New Roman"/>
          <w:b/>
          <w:bCs/>
          <w:sz w:val="36"/>
          <w:szCs w:val="36"/>
        </w:rPr>
        <w:t xml:space="preserve">induced ovarian stimulation on oocyte recovery and </w:t>
      </w:r>
      <w:r w:rsidRPr="00497F72">
        <w:rPr>
          <w:rFonts w:ascii="Times New Roman" w:hAnsi="Times New Roman" w:cs="Times New Roman"/>
          <w:b/>
          <w:bCs/>
          <w:i/>
          <w:iCs/>
          <w:sz w:val="36"/>
          <w:szCs w:val="36"/>
        </w:rPr>
        <w:t>in vitro</w:t>
      </w:r>
      <w:r w:rsidRPr="00497F72">
        <w:rPr>
          <w:rFonts w:ascii="Times New Roman" w:hAnsi="Times New Roman" w:cs="Times New Roman"/>
          <w:b/>
          <w:bCs/>
          <w:sz w:val="36"/>
          <w:szCs w:val="36"/>
        </w:rPr>
        <w:t xml:space="preserve"> embryo production by ovum pick</w:t>
      </w:r>
      <w:r w:rsidR="00E02B64" w:rsidRPr="00497F72">
        <w:rPr>
          <w:rFonts w:ascii="Times New Roman" w:hAnsi="Times New Roman" w:cs="Times New Roman"/>
          <w:b/>
          <w:bCs/>
          <w:sz w:val="36"/>
          <w:szCs w:val="36"/>
        </w:rPr>
        <w:t>-</w:t>
      </w:r>
      <w:r w:rsidRPr="00497F72">
        <w:rPr>
          <w:rFonts w:ascii="Times New Roman" w:hAnsi="Times New Roman" w:cs="Times New Roman"/>
          <w:b/>
          <w:bCs/>
          <w:sz w:val="36"/>
          <w:szCs w:val="36"/>
        </w:rPr>
        <w:t>up in Sahiwal cows</w:t>
      </w:r>
    </w:p>
    <w:p w14:paraId="6CFE9719" w14:textId="77777777" w:rsidR="00DC7DD8" w:rsidRPr="00497F72" w:rsidRDefault="00DC7DD8" w:rsidP="002357FF">
      <w:pPr>
        <w:spacing w:after="0" w:line="240" w:lineRule="auto"/>
        <w:jc w:val="center"/>
        <w:rPr>
          <w:rFonts w:ascii="Times New Roman" w:hAnsi="Times New Roman" w:cs="Times New Roman"/>
          <w:b/>
          <w:bCs/>
          <w:sz w:val="36"/>
          <w:szCs w:val="36"/>
        </w:rPr>
      </w:pPr>
    </w:p>
    <w:p w14:paraId="7DF787EC" w14:textId="77777777" w:rsidR="002357FF" w:rsidRPr="00497F72" w:rsidRDefault="002357FF" w:rsidP="001B6329">
      <w:pPr>
        <w:spacing w:after="0" w:line="360" w:lineRule="auto"/>
        <w:rPr>
          <w:rFonts w:ascii="Times New Roman" w:hAnsi="Times New Roman" w:cs="Times New Roman"/>
          <w:b/>
          <w:bCs/>
        </w:rPr>
      </w:pPr>
    </w:p>
    <w:p w14:paraId="1C267407" w14:textId="77777777" w:rsidR="006D0CB0" w:rsidRPr="00497F72" w:rsidRDefault="006D0CB0" w:rsidP="00646B19">
      <w:pPr>
        <w:spacing w:after="0" w:line="360" w:lineRule="auto"/>
        <w:jc w:val="both"/>
        <w:rPr>
          <w:rFonts w:ascii="Times New Roman" w:hAnsi="Times New Roman" w:cs="Times New Roman"/>
          <w:b/>
          <w:bCs/>
        </w:rPr>
      </w:pPr>
      <w:r w:rsidRPr="00497F72">
        <w:rPr>
          <w:rFonts w:ascii="Times New Roman" w:hAnsi="Times New Roman" w:cs="Times New Roman"/>
          <w:b/>
          <w:bCs/>
        </w:rPr>
        <w:t>Abstract</w:t>
      </w:r>
    </w:p>
    <w:p w14:paraId="0A3DFDCC" w14:textId="77777777" w:rsidR="004F567A" w:rsidRPr="00497F72" w:rsidRDefault="004F567A" w:rsidP="00612B38">
      <w:pPr>
        <w:spacing w:after="0" w:line="360" w:lineRule="auto"/>
        <w:ind w:firstLine="720"/>
        <w:jc w:val="both"/>
        <w:rPr>
          <w:rFonts w:ascii="Times New Roman" w:hAnsi="Times New Roman" w:cs="Times New Roman"/>
        </w:rPr>
      </w:pPr>
      <w:r w:rsidRPr="00497F72">
        <w:t xml:space="preserve">This study aimed to evaluate the effect of follicle-stimulating hormone (FSH) pre-stimulation on oocyte recovery and oocyte developmental competence in Sahiwal donor cows. Twelve Sahiwal cows (n=12), aged 3-6 years and maintained at the Livestock Farm Complex under the Embryo Transfer and In Vitro Fertilisation Project (RKVY), Department of Veterinary Gynaecology and Obstetrics, College of Veterinary Science and Animal Husbandry, ANDUAT, Kumarganj, Ayodhya, were randomly divided into two groups. The selected donor cows received 10 µg of GnRH at a random stage of the oestrous cycle. In Group I, which served as the control, ovum pick-up (OPU) was performed 5 days after GnRH administration. Group II cows (FSH-stimulated, n = 6) received pre-stimulation with 200 mg Stimufol intramuscularly in three tapering doses (100, 60, and 40 mg), and OPU was conducted 48 hours after the final FSH injection. The retrieved COCs were subjected to </w:t>
      </w:r>
      <w:r w:rsidRPr="00497F72">
        <w:rPr>
          <w:i/>
        </w:rPr>
        <w:t>in vitro</w:t>
      </w:r>
      <w:r w:rsidRPr="00497F72">
        <w:t xml:space="preserve"> maturation, </w:t>
      </w:r>
      <w:r w:rsidRPr="00497F72">
        <w:rPr>
          <w:i/>
        </w:rPr>
        <w:t>in vitro</w:t>
      </w:r>
      <w:r w:rsidRPr="00497F72">
        <w:t xml:space="preserve"> fertilisation, and </w:t>
      </w:r>
      <w:r w:rsidRPr="00497F72">
        <w:rPr>
          <w:i/>
        </w:rPr>
        <w:t>in vitro</w:t>
      </w:r>
      <w:r w:rsidRPr="00497F72">
        <w:t xml:space="preserve"> culture. The number of aspirated follicles and recovered COCs was higher (P &lt; 0.05) in FSH-treated cows than in the control group. Furthermore, FSH-treated cows exhibited significantly (P &lt; 0.05) higher maturation rates (69.75±3.35), cleavage rates (76.00±2.52), and blastocyst development rates (27.25±5.59) than the control group. In conclusion, FSH treatment before ovum pick-up enhanced both oocyte recovery and the developmental competence of oocytes, which may improve </w:t>
      </w:r>
      <w:r w:rsidRPr="00497F72">
        <w:rPr>
          <w:i/>
        </w:rPr>
        <w:t>in vitro</w:t>
      </w:r>
      <w:r w:rsidRPr="00497F72">
        <w:t xml:space="preserve"> embryo production.</w:t>
      </w:r>
    </w:p>
    <w:p w14:paraId="073E3901" w14:textId="77777777" w:rsidR="00612B38" w:rsidRPr="00497F72" w:rsidRDefault="00612B38" w:rsidP="00B75A28">
      <w:pPr>
        <w:spacing w:after="0" w:line="360" w:lineRule="auto"/>
        <w:jc w:val="both"/>
        <w:rPr>
          <w:rFonts w:ascii="Times New Roman" w:hAnsi="Times New Roman" w:cs="Times New Roman"/>
        </w:rPr>
      </w:pPr>
      <w:r w:rsidRPr="00497F72">
        <w:rPr>
          <w:rFonts w:ascii="Times New Roman" w:hAnsi="Times New Roman" w:cs="Times New Roman"/>
          <w:b/>
          <w:bCs/>
        </w:rPr>
        <w:t>Keywords:</w:t>
      </w:r>
      <w:r w:rsidRPr="00497F72">
        <w:rPr>
          <w:rFonts w:ascii="Times New Roman" w:hAnsi="Times New Roman" w:cs="Times New Roman"/>
        </w:rPr>
        <w:t xml:space="preserve"> </w:t>
      </w:r>
      <w:r w:rsidR="00CE6396" w:rsidRPr="00497F72">
        <w:rPr>
          <w:rFonts w:ascii="Times New Roman" w:hAnsi="Times New Roman" w:cs="Times New Roman"/>
        </w:rPr>
        <w:t>Sahiwal cow; blastocyst; cumulus-oocyte complex; follicle-stimulating hormone; follicular development; ovum pick-up; oocyte recovery; ovarian stimulation; oocyte quality</w:t>
      </w:r>
    </w:p>
    <w:p w14:paraId="791D902F" w14:textId="77777777" w:rsidR="004F15A6" w:rsidRPr="00497F72" w:rsidRDefault="001B6329" w:rsidP="001B6329">
      <w:pPr>
        <w:spacing w:after="0" w:line="360" w:lineRule="auto"/>
        <w:rPr>
          <w:rFonts w:ascii="Times New Roman" w:hAnsi="Times New Roman" w:cs="Times New Roman"/>
          <w:b/>
          <w:bCs/>
        </w:rPr>
      </w:pPr>
      <w:r w:rsidRPr="00497F72">
        <w:rPr>
          <w:rFonts w:ascii="Times New Roman" w:hAnsi="Times New Roman" w:cs="Times New Roman"/>
          <w:b/>
          <w:bCs/>
        </w:rPr>
        <w:t>Introduction</w:t>
      </w:r>
    </w:p>
    <w:p w14:paraId="7E315D72" w14:textId="6D743AA1" w:rsidR="003D6308" w:rsidRPr="00497F72" w:rsidRDefault="00855E30" w:rsidP="002448B1">
      <w:pPr>
        <w:spacing w:after="0" w:line="360" w:lineRule="auto"/>
        <w:ind w:firstLine="720"/>
        <w:jc w:val="both"/>
        <w:rPr>
          <w:rFonts w:ascii="Times New Roman" w:hAnsi="Times New Roman" w:cs="Times New Roman"/>
        </w:rPr>
      </w:pPr>
      <w:r w:rsidRPr="00497F72">
        <w:t>Cattle, particularly indigenous breeds, are crucial for mitigating rural poverty in emerging nations. India's cattle population is 192.52 million, of which 73.76% comprises indigenous breeds (</w:t>
      </w:r>
      <w:r w:rsidR="004436FA" w:rsidRPr="004436FA">
        <w:t>Department of Animal Husbandry and Dairying</w:t>
      </w:r>
      <w:r w:rsidRPr="00497F72">
        <w:t xml:space="preserve">, 2019). The </w:t>
      </w:r>
      <w:r w:rsidRPr="00497F72">
        <w:lastRenderedPageBreak/>
        <w:t xml:space="preserve">introduction and proliferation of </w:t>
      </w:r>
      <w:r w:rsidRPr="00497F72">
        <w:rPr>
          <w:i/>
        </w:rPr>
        <w:t>Bos taurus</w:t>
      </w:r>
      <w:r w:rsidRPr="00497F72">
        <w:t xml:space="preserve"> germplasm in the country over the past seventy years to enhance milk production have significantly threatened the survival of local breeds (Sarang et al., 2024). Indian farmers have increasingly adopted crossbreeding initiatives, leading to a decline in the economic significance of indigenous breeds. Consequently, the indigenous cattle population has been diminishing at a concerning rate (Van Eenennaam, 2019). Assisted reproductive technologies, including superovulation, </w:t>
      </w:r>
      <w:r w:rsidRPr="00497F72">
        <w:rPr>
          <w:i/>
        </w:rPr>
        <w:t>in vitro</w:t>
      </w:r>
      <w:r w:rsidRPr="00497F72">
        <w:t xml:space="preserve"> fertilisation, and ultrasound-guided oocyte aspiration, are used to increase embryo production from genetically valuable cattle and facilitate the dissemination of superior germplasm (Yilma, 2022).</w:t>
      </w:r>
    </w:p>
    <w:p w14:paraId="46DAE0B7" w14:textId="77777777" w:rsidR="003D6308" w:rsidRPr="00497F72" w:rsidRDefault="00146347" w:rsidP="00193E9E">
      <w:pPr>
        <w:spacing w:after="0" w:line="360" w:lineRule="auto"/>
        <w:ind w:firstLine="720"/>
        <w:jc w:val="both"/>
        <w:rPr>
          <w:rFonts w:ascii="Times New Roman" w:hAnsi="Times New Roman" w:cs="Times New Roman"/>
          <w:bCs/>
        </w:rPr>
      </w:pPr>
      <w:r w:rsidRPr="00497F72">
        <w:t xml:space="preserve">Among the cattle breeds in India, the Sahiwal cow is recognised for its distinctive characteristics, including disease resistance, parasite resistance, heat tolerance, and high lactation yield. The application of OPU in </w:t>
      </w:r>
      <w:r w:rsidRPr="00497F72">
        <w:rPr>
          <w:i/>
        </w:rPr>
        <w:t>in vitro</w:t>
      </w:r>
      <w:r w:rsidRPr="00497F72">
        <w:t xml:space="preserve"> embryo production (IVEP) programmes has demonstrated potential as an alternative to conventional embryo production (Bousquet et al., 1999; Kruip et al., 1991). Oocyte pick-up (OPU) and embryo transfer (ET) technologies offer numerous advantages over traditional embryo transfer methods. The repeated collection of oocytes from adult cattle can yield up to 1000 oocytes or 300 embryos per cow per year, thereby addressing various issues related to the uterine environment (Hasler et al., 1995; Looney et al., 1994). Oocytes obtained from slaughterhouse ovaries have unknown genetic backgrounds and display heterogeneity in quality, together with varying levels of developmental competence (Bessa et al., 2013). </w:t>
      </w:r>
      <w:r w:rsidRPr="00497F72">
        <w:rPr>
          <w:i/>
        </w:rPr>
        <w:t>In vivo</w:t>
      </w:r>
      <w:r w:rsidRPr="00497F72">
        <w:t xml:space="preserve"> oocyte recovery through ultrasound-guided ovum pick-up has demonstrated efficiency, repeatability, and minimal invasiveness over time, establishing a foundation for the successful application of assisted reproductive technology (Qi et al., 2013; Landeo et al., 2022). Recent evidence indicates that the success of OPU-IVP is affected by donor characteristics, follicular status, oocyte-recovery procedures, and </w:t>
      </w:r>
      <w:r w:rsidRPr="00497F72">
        <w:rPr>
          <w:i/>
        </w:rPr>
        <w:t>in vitro</w:t>
      </w:r>
      <w:r w:rsidRPr="00497F72">
        <w:t xml:space="preserve"> culture conditions, while hormonal stimulation may improve the number and developmental competence of recovered oocytes under appropriately managed protocols (Salek et al., 2025; Motta et al., 2025).</w:t>
      </w:r>
    </w:p>
    <w:p w14:paraId="55EBA186" w14:textId="77777777" w:rsidR="008D6D4A" w:rsidRPr="00497F72" w:rsidRDefault="00000000" w:rsidP="00193E9E">
      <w:pPr>
        <w:spacing w:after="0" w:line="360" w:lineRule="auto"/>
        <w:ind w:firstLine="720"/>
        <w:jc w:val="both"/>
        <w:rPr>
          <w:rFonts w:ascii="Times New Roman" w:hAnsi="Times New Roman" w:cs="Times New Roman"/>
        </w:rPr>
      </w:pPr>
      <w:r w:rsidRPr="00497F72">
        <w:t xml:space="preserve">Follicular-wave synchronisation before superstimulation has also been associated with greater recovery of viable oocytes and a higher number of blastocysts per OPU in Holstein heifers, emphasising the importance of ovarian status before OPU in IVEP programmes (Çiftçi et al., 2025). The exogenous administration of hormones and a </w:t>
      </w:r>
      <w:r w:rsidRPr="00497F72">
        <w:lastRenderedPageBreak/>
        <w:t xml:space="preserve">comprehensive understanding of ovarian follicular dynamics are regarded as critical factors in optimising the yield of quality oocytes and offspring from genetically superior cattle. Gonadotropin stimulation before ovum pick-up (OPU) has been demonstrated to be an effective approach for harvesting a substantial number of follicles for aspiration (Fry, 2020). Superovulation facilitates the production of a greater number of oocytes and embryos than the standard reproductive cycle in female animals (Ayaşan &amp; Karakazak, 2010; Hızlı et al., 2011). Superstimulation protocols employing FSH can increase the population of developmentally competent oocytes, thereby benefiting OPU-IVP programmes (da Silva et al., 2017). The success of IVEP is largely dependent on ovarian follicle development and the quality and quantity of retrieved oocytes (Blondin &amp; Sirard, 1995). Furthermore, ovarian response, ovarian follicle count, and oocyte quality are influenced by the type of gonadotropin administered, with FSH demonstrating superior efficacy to eCG in OPU treatment (Sendag et al., 2008). This research was initiated because few studies have investigated the effect of gonadotropin stimulation before ovum pick-up (OPU) on oocyte recovery and </w:t>
      </w:r>
      <w:r w:rsidRPr="00497F72">
        <w:rPr>
          <w:i/>
        </w:rPr>
        <w:t>in vitro</w:t>
      </w:r>
      <w:r w:rsidRPr="00497F72">
        <w:t xml:space="preserve"> embryo production (IVEP) in Sahiwal cows. Therefore, this study aimed to investigate the effect of follicle-stimulating hormone (FSH) pre-stimulation on oocyte recovery and the developmental competence of oocytes in Sahiwal donor cows.</w:t>
      </w:r>
    </w:p>
    <w:p w14:paraId="4BA071BD" w14:textId="77777777" w:rsidR="007541F3" w:rsidRPr="00497F72" w:rsidRDefault="007541F3" w:rsidP="007541F3">
      <w:pPr>
        <w:spacing w:after="0" w:line="360" w:lineRule="auto"/>
        <w:jc w:val="both"/>
        <w:rPr>
          <w:rFonts w:ascii="Times New Roman" w:hAnsi="Times New Roman" w:cs="Times New Roman"/>
          <w:b/>
          <w:bCs/>
        </w:rPr>
      </w:pPr>
      <w:r w:rsidRPr="00497F72">
        <w:rPr>
          <w:rFonts w:ascii="Times New Roman" w:hAnsi="Times New Roman" w:cs="Times New Roman"/>
          <w:b/>
          <w:bCs/>
        </w:rPr>
        <w:t>Materials and Methods</w:t>
      </w:r>
    </w:p>
    <w:p w14:paraId="65383441" w14:textId="0AC29C3B" w:rsidR="00100024" w:rsidRPr="00497F72" w:rsidRDefault="00100024" w:rsidP="007541F3">
      <w:pPr>
        <w:spacing w:after="0" w:line="360" w:lineRule="auto"/>
        <w:jc w:val="both"/>
        <w:rPr>
          <w:rFonts w:ascii="Times New Roman" w:hAnsi="Times New Roman" w:cs="Times New Roman"/>
          <w:b/>
          <w:bCs/>
        </w:rPr>
      </w:pPr>
      <w:r w:rsidRPr="00497F72">
        <w:rPr>
          <w:rFonts w:ascii="Times New Roman" w:hAnsi="Times New Roman" w:cs="Times New Roman"/>
          <w:b/>
          <w:bCs/>
        </w:rPr>
        <w:t>Experimental Location</w:t>
      </w:r>
      <w:r w:rsidR="001D6807" w:rsidRPr="00497F72">
        <w:rPr>
          <w:rFonts w:ascii="Times New Roman" w:hAnsi="Times New Roman" w:cs="Times New Roman"/>
          <w:b/>
          <w:bCs/>
        </w:rPr>
        <w:t xml:space="preserve"> </w:t>
      </w:r>
    </w:p>
    <w:p w14:paraId="38397E3A" w14:textId="69E0A999" w:rsidR="00496A47" w:rsidRPr="00497F72" w:rsidRDefault="00496A47" w:rsidP="00496A47">
      <w:pPr>
        <w:spacing w:after="0" w:line="360" w:lineRule="auto"/>
        <w:ind w:firstLine="720"/>
        <w:jc w:val="both"/>
        <w:rPr>
          <w:rFonts w:ascii="Times New Roman" w:hAnsi="Times New Roman" w:cs="Times New Roman"/>
        </w:rPr>
      </w:pPr>
      <w:r w:rsidRPr="00497F72">
        <w:rPr>
          <w:rFonts w:ascii="Times New Roman" w:hAnsi="Times New Roman" w:cs="Times New Roman"/>
        </w:rPr>
        <w:t xml:space="preserve">The current study was carried out at the Livestock Farm Complex, College of Veterinary and Animal Husbandry, Acharya Narendra Deva University of Agriculture and Technology, </w:t>
      </w:r>
      <w:proofErr w:type="spellStart"/>
      <w:r w:rsidRPr="00497F72">
        <w:rPr>
          <w:rFonts w:ascii="Times New Roman" w:hAnsi="Times New Roman" w:cs="Times New Roman"/>
        </w:rPr>
        <w:t>Kumarganj</w:t>
      </w:r>
      <w:proofErr w:type="spellEnd"/>
      <w:r w:rsidRPr="00497F72">
        <w:rPr>
          <w:rFonts w:ascii="Times New Roman" w:hAnsi="Times New Roman" w:cs="Times New Roman"/>
        </w:rPr>
        <w:t xml:space="preserve">, Ayodhya, Uttar Pradesh, during the period between March 2025 and April 2026. </w:t>
      </w:r>
    </w:p>
    <w:p w14:paraId="10AC3E08" w14:textId="77777777" w:rsidR="00BB3959" w:rsidRPr="00497F72" w:rsidRDefault="00BB3959" w:rsidP="007541F3">
      <w:pPr>
        <w:spacing w:after="0" w:line="360" w:lineRule="auto"/>
        <w:jc w:val="both"/>
        <w:rPr>
          <w:rFonts w:ascii="Times New Roman" w:hAnsi="Times New Roman" w:cs="Times New Roman"/>
          <w:b/>
          <w:bCs/>
        </w:rPr>
      </w:pPr>
      <w:r w:rsidRPr="00497F72">
        <w:rPr>
          <w:rFonts w:ascii="Times New Roman" w:hAnsi="Times New Roman" w:cs="Times New Roman"/>
          <w:b/>
          <w:bCs/>
        </w:rPr>
        <w:t>Experimental Animals</w:t>
      </w:r>
    </w:p>
    <w:p w14:paraId="3AD46CE8" w14:textId="77777777" w:rsidR="009B1290" w:rsidRPr="00497F72" w:rsidRDefault="009B1290" w:rsidP="008A5D12">
      <w:pPr>
        <w:spacing w:after="0" w:line="360" w:lineRule="auto"/>
        <w:ind w:firstLine="720"/>
        <w:jc w:val="both"/>
        <w:rPr>
          <w:rFonts w:ascii="Times New Roman" w:hAnsi="Times New Roman" w:cs="Times New Roman"/>
        </w:rPr>
      </w:pPr>
      <w:r w:rsidRPr="00497F72">
        <w:t>A cohort of twelve non-lactating, non-pregnant Sahiwal cows, aged 3-6 years and weighing between 250 and 400 kg, was selected as oocyte donors and randomly assigned to two groups. All animals had a good body condition score (3.70; 1–5 scale) and clinically normal reproductive tracts. The cows received optimal nutritional care, had unrestricted access to water, and underwent regular health examinations, deworming, and immunisations to ensure their well-being.</w:t>
      </w:r>
    </w:p>
    <w:p w14:paraId="0262DC5F" w14:textId="77777777" w:rsidR="00D80A88" w:rsidRPr="00497F72" w:rsidRDefault="00D80A88" w:rsidP="007541F3">
      <w:pPr>
        <w:spacing w:after="0" w:line="360" w:lineRule="auto"/>
        <w:jc w:val="both"/>
        <w:rPr>
          <w:rFonts w:ascii="Times New Roman" w:hAnsi="Times New Roman" w:cs="Times New Roman"/>
          <w:b/>
          <w:bCs/>
        </w:rPr>
      </w:pPr>
      <w:proofErr w:type="spellStart"/>
      <w:r w:rsidRPr="00497F72">
        <w:rPr>
          <w:rFonts w:ascii="Times New Roman" w:hAnsi="Times New Roman" w:cs="Times New Roman"/>
          <w:b/>
          <w:bCs/>
        </w:rPr>
        <w:t>Superstimulation</w:t>
      </w:r>
      <w:proofErr w:type="spellEnd"/>
      <w:r w:rsidRPr="00497F72">
        <w:rPr>
          <w:rFonts w:ascii="Times New Roman" w:hAnsi="Times New Roman" w:cs="Times New Roman"/>
          <w:b/>
          <w:bCs/>
        </w:rPr>
        <w:t xml:space="preserve"> Regimen and Ovum Pick-up Schedule</w:t>
      </w:r>
    </w:p>
    <w:p w14:paraId="25ACE50E" w14:textId="77777777" w:rsidR="000A0A9B" w:rsidRPr="00497F72" w:rsidRDefault="000A0A9B" w:rsidP="000A0A9B">
      <w:pPr>
        <w:spacing w:after="0" w:line="360" w:lineRule="auto"/>
        <w:ind w:firstLine="720"/>
        <w:jc w:val="both"/>
        <w:rPr>
          <w:rFonts w:ascii="Times New Roman" w:hAnsi="Times New Roman" w:cs="Times New Roman"/>
        </w:rPr>
      </w:pPr>
      <w:r w:rsidRPr="00497F72">
        <w:lastRenderedPageBreak/>
        <w:t>Irrespective of the stage of the oestrous cycle, the cows were randomly assigned to two groups. Cows in Group I (non-stimulated, n=6) received GnRH at a dose of 2.5 mL (10 μg) on day 0, and ovum pick-up (OPU) was conducted 5 days after GnRH administration. Cows in Group II (FSH-stimulated, n=6) received 10 μg of gonadotropin-releasing hormone (GnRH; Receptal, MSD Animal Health, 2.5 mL i/m) at an arbitrary stage of the oestrous cycle. FSH stimulation (Stimufol, Reprobiol; 200 mg I/M in three split doses of 100, 60, and 40 mg) was initiated 48 h after GnRH administration. The second FSH dose (60 mg) was administered 15 h after the first injection, and the third FSH dose (40 mg) was administered 24 h after the second dose. Ovum pick-up was conducted 48 h after the final FSH dose (coasting period). Twelve OPU sessions were conducted in 12 cows, with and without FSH pre-stimulation.</w:t>
      </w:r>
    </w:p>
    <w:p w14:paraId="74DC1AEF" w14:textId="77777777" w:rsidR="007440F9" w:rsidRPr="00497F72" w:rsidRDefault="007440F9" w:rsidP="007541F3">
      <w:pPr>
        <w:spacing w:after="0" w:line="360" w:lineRule="auto"/>
        <w:jc w:val="both"/>
        <w:rPr>
          <w:rFonts w:ascii="Times New Roman" w:hAnsi="Times New Roman" w:cs="Times New Roman"/>
          <w:b/>
          <w:bCs/>
        </w:rPr>
      </w:pPr>
      <w:r w:rsidRPr="00497F72">
        <w:rPr>
          <w:rFonts w:ascii="Times New Roman" w:hAnsi="Times New Roman" w:cs="Times New Roman"/>
          <w:b/>
          <w:bCs/>
        </w:rPr>
        <w:t xml:space="preserve">Donor Preparation and Ovum Pick-Up </w:t>
      </w:r>
    </w:p>
    <w:p w14:paraId="3B02334B" w14:textId="77777777" w:rsidR="00E02E47" w:rsidRPr="00497F72" w:rsidRDefault="00E02E47" w:rsidP="00E02E47">
      <w:pPr>
        <w:spacing w:after="0" w:line="360" w:lineRule="auto"/>
        <w:ind w:firstLine="720"/>
        <w:jc w:val="both"/>
        <w:rPr>
          <w:rFonts w:ascii="Times New Roman" w:hAnsi="Times New Roman" w:cs="Times New Roman"/>
        </w:rPr>
      </w:pPr>
      <w:r w:rsidRPr="00497F72">
        <w:t xml:space="preserve">Before the ovum pick-up (OPU) procedure, each animal was restrained in a chute, and rectal evacuation was performed manually to facilitate ovarian manipulation. Caudal epidural anaesthesia was administered using 5-7 mL of 2% lignocaine hydrochloride (Neon) to minimise defecation and abdominal straining during the procedure. The vulvar and perineal regions were thoroughly cleansed with tap water, and the tail was secured laterally using a cotton rope. Immediately before insertion of the vaginal probe, the vulvar lips were disinfected with cotton swabs soaked in 70% alcohol. During the OPU procedure, the ovaries were manipulated per rectum, with the targeted ovary stabilised between the thumb and fingers. After appropriate preparation, a transvaginal ultrasound probe enclosed within a latex-covered handle was introduced into the anterior vagina and positioned on either the left or right side of the cervix. The ovary was then carefully aligned with the probe head to obtain optimal visualisation of the follicles on the ultrasound monitor. Once the ovary had been stabilised against the probe, an 18-gauge aspiration needle connected to the aspiration tubing was advanced through the needle guide of the probe and inserted into the follicle. Follicular fluid was aspirated under continuous negative pressure of 60 mmHg at a flow rate of 10-15 mL/min. To enhance oocyte retrieval, the needle was gently rotated within the follicle to facilitate curettage of the follicular wall. Before aspiration of subsequent follicles, the needle was withdrawn and flushed with pre-warmed OPU recovery medium (BoviPlus, USA) to minimise clot formation and prevent oocytes from adhering within the aspiration line. The </w:t>
      </w:r>
      <w:r w:rsidRPr="00497F72">
        <w:lastRenderedPageBreak/>
        <w:t>oocyte recovery rate was calculated as the percentage of oocytes recovered relative to the total number of follicles aspirated per donor cow (Goodhand et al., 2000). Successful follicular aspiration was confirmed by the disappearance of the follicular image from the ultrasound monitor. The procedure was subsequently repeated for both ovaries of each donor cow, using a new sterile aspiration needle and aspiration line for each animal.</w:t>
      </w:r>
    </w:p>
    <w:p w14:paraId="5E769072" w14:textId="77777777" w:rsidR="00875FE4" w:rsidRPr="00497F72" w:rsidRDefault="00875FE4" w:rsidP="007541F3">
      <w:pPr>
        <w:spacing w:after="0" w:line="360" w:lineRule="auto"/>
        <w:jc w:val="both"/>
        <w:rPr>
          <w:rFonts w:ascii="Times New Roman" w:hAnsi="Times New Roman" w:cs="Times New Roman"/>
          <w:b/>
          <w:bCs/>
        </w:rPr>
      </w:pPr>
      <w:r w:rsidRPr="00497F72">
        <w:rPr>
          <w:rFonts w:ascii="Times New Roman" w:hAnsi="Times New Roman" w:cs="Times New Roman"/>
          <w:b/>
          <w:bCs/>
        </w:rPr>
        <w:t xml:space="preserve">Oocyte Recovery </w:t>
      </w:r>
    </w:p>
    <w:p w14:paraId="05905B35" w14:textId="77777777" w:rsidR="00F964A3" w:rsidRPr="00497F72" w:rsidRDefault="00F964A3" w:rsidP="00F964A3">
      <w:pPr>
        <w:spacing w:after="0" w:line="360" w:lineRule="auto"/>
        <w:ind w:firstLine="720"/>
        <w:jc w:val="both"/>
        <w:rPr>
          <w:rFonts w:ascii="Times New Roman" w:hAnsi="Times New Roman" w:cs="Times New Roman"/>
        </w:rPr>
      </w:pPr>
      <w:r w:rsidRPr="00497F72">
        <w:t>Immediately after aspiration of each ovary, the 50 mL collection tube containing the follicular aspirate was transported to the laboratory. The aspirated contents were filtered through a 75 μm oocyte mini-filter (Watanabe Applied Technology, Brazil) to separate the oocytes from blood-tinged, cloudy follicular fluid and cellular debris mixed with the OPU medium. The collection tube was rinsed repeatedly 3-4 times with OPU medium, and the filtered contents were transferred to a 90 mm Petri dish (product code 20100, SPL Life Sciences). The filter was carefully rinsed with 20 mL of OPU medium in the same Petri dish to recover all oocytes trapped in the filter. The contents were then examined using a stereozoom microscope (Nikon, SMZ1270, Japan) at 1x magnification to identify cumulus-oocyte complexes. The identified COCs were subsequently transferred to washing-medium drops (Vitrogen, Brazil) prepared in a separate Petri dish, washed, and examined under a stereozoom microscope at 8x magnification for grading.</w:t>
      </w:r>
    </w:p>
    <w:p w14:paraId="0E07A20D" w14:textId="77777777" w:rsidR="00EE4A91" w:rsidRPr="00497F72" w:rsidRDefault="002437C8" w:rsidP="00D87011">
      <w:pPr>
        <w:spacing w:after="0" w:line="360" w:lineRule="auto"/>
        <w:jc w:val="both"/>
        <w:rPr>
          <w:rFonts w:ascii="Times New Roman" w:hAnsi="Times New Roman" w:cs="Times New Roman"/>
          <w:b/>
          <w:bCs/>
        </w:rPr>
      </w:pPr>
      <w:r w:rsidRPr="00497F72">
        <w:rPr>
          <w:b/>
        </w:rPr>
        <w:t>In Vitro Embryo Production (IVEP)</w:t>
      </w:r>
    </w:p>
    <w:p w14:paraId="55E07D20" w14:textId="77777777" w:rsidR="00C34592" w:rsidRPr="00497F72" w:rsidRDefault="00C34592" w:rsidP="006A2D62">
      <w:pPr>
        <w:spacing w:after="0" w:line="360" w:lineRule="auto"/>
        <w:ind w:firstLine="720"/>
        <w:jc w:val="both"/>
        <w:rPr>
          <w:rFonts w:ascii="Times New Roman" w:hAnsi="Times New Roman" w:cs="Times New Roman"/>
        </w:rPr>
      </w:pPr>
      <w:r w:rsidRPr="00497F72">
        <w:t xml:space="preserve">Recovered oocytes were morphologically classified into four grades (A-D) according to Viana et al. (2004). Only Grade A and Grade B COCs were selected for IVM. In this study, 46 COCs from each of the FSH-treated (46/219) and control (46/139) groups were selected separately and placed in IVM medium for maturation and subsequent </w:t>
      </w:r>
      <w:r w:rsidRPr="00497F72">
        <w:rPr>
          <w:i/>
        </w:rPr>
        <w:t>in vitro</w:t>
      </w:r>
      <w:r w:rsidRPr="00497F72">
        <w:t xml:space="preserve"> embryo production.</w:t>
      </w:r>
    </w:p>
    <w:p w14:paraId="202D1B81" w14:textId="77777777" w:rsidR="008B1AFB" w:rsidRPr="00497F72" w:rsidRDefault="00C34592" w:rsidP="00D87011">
      <w:pPr>
        <w:spacing w:after="0" w:line="360" w:lineRule="auto"/>
        <w:jc w:val="both"/>
        <w:rPr>
          <w:rFonts w:ascii="Times New Roman" w:hAnsi="Times New Roman" w:cs="Times New Roman"/>
          <w:b/>
          <w:bCs/>
        </w:rPr>
      </w:pPr>
      <w:r w:rsidRPr="00497F72">
        <w:rPr>
          <w:b/>
          <w:i/>
        </w:rPr>
        <w:t>In vitro</w:t>
      </w:r>
      <w:r w:rsidRPr="00497F72">
        <w:rPr>
          <w:b/>
        </w:rPr>
        <w:t xml:space="preserve"> maturation</w:t>
      </w:r>
    </w:p>
    <w:p w14:paraId="7D84E665" w14:textId="77777777" w:rsidR="00A35A0C" w:rsidRPr="00497F72" w:rsidRDefault="00A37945" w:rsidP="00A35A0C">
      <w:pPr>
        <w:spacing w:after="0" w:line="360" w:lineRule="auto"/>
        <w:ind w:firstLine="720"/>
        <w:jc w:val="both"/>
        <w:rPr>
          <w:rFonts w:ascii="Times New Roman" w:hAnsi="Times New Roman" w:cs="Times New Roman"/>
        </w:rPr>
      </w:pPr>
      <w:r w:rsidRPr="00497F72">
        <w:t xml:space="preserve">For </w:t>
      </w:r>
      <w:r w:rsidRPr="00497F72">
        <w:rPr>
          <w:i/>
        </w:rPr>
        <w:t>in vitro</w:t>
      </w:r>
      <w:r w:rsidRPr="00497F72">
        <w:t xml:space="preserve"> maturation (IVM), the selected oocytes were washed 3-5 times with wash medium (Catalog no. 152024A, Vitrogen, Brazil) and then twice with IVM medium (Catalog no. 152024A, Vitrogen, Brazil). Groups of 10 to 15 cumulus-oocyte complexes were placed in 100 μL droplets of IVM medium, covered with mineral oil in a 35 mm Petri dish that had been equilibrated before transfer of the cumulus-oocyte complexes, and cultured in a benchtop incubator (K-system, Origio, Denmark) with 6% CO₂ and 5% O2 at 38.5°C for 24 h. After 24 h, oocyte maturation was assessed according to the degree of </w:t>
      </w:r>
      <w:r w:rsidRPr="00497F72">
        <w:lastRenderedPageBreak/>
        <w:t>cumulus-cell-complex expansion and extrusion of the first polar body into the perivitelline space.</w:t>
      </w:r>
    </w:p>
    <w:p w14:paraId="6E87BC48" w14:textId="77777777" w:rsidR="00793B33" w:rsidRPr="00497F72" w:rsidRDefault="008F22E1" w:rsidP="00D87011">
      <w:pPr>
        <w:spacing w:after="0" w:line="360" w:lineRule="auto"/>
        <w:jc w:val="both"/>
        <w:rPr>
          <w:rFonts w:ascii="Times New Roman" w:hAnsi="Times New Roman" w:cs="Times New Roman"/>
          <w:b/>
          <w:bCs/>
        </w:rPr>
      </w:pPr>
      <w:r w:rsidRPr="00497F72">
        <w:rPr>
          <w:b/>
          <w:i/>
        </w:rPr>
        <w:t>In vitro</w:t>
      </w:r>
      <w:r w:rsidRPr="00497F72">
        <w:rPr>
          <w:b/>
        </w:rPr>
        <w:t xml:space="preserve"> fertilisation</w:t>
      </w:r>
    </w:p>
    <w:p w14:paraId="684EFF47" w14:textId="77777777" w:rsidR="00A5078E" w:rsidRPr="00497F72" w:rsidRDefault="00F16709" w:rsidP="00A41B23">
      <w:pPr>
        <w:spacing w:after="0" w:line="360" w:lineRule="auto"/>
        <w:ind w:firstLine="720"/>
        <w:jc w:val="both"/>
        <w:rPr>
          <w:rFonts w:ascii="Times New Roman" w:hAnsi="Times New Roman" w:cs="Times New Roman"/>
        </w:rPr>
      </w:pPr>
      <w:r w:rsidRPr="00497F72">
        <w:t xml:space="preserve">For </w:t>
      </w:r>
      <w:r w:rsidRPr="00497F72">
        <w:rPr>
          <w:i/>
        </w:rPr>
        <w:t>in vitro</w:t>
      </w:r>
      <w:r w:rsidRPr="00497F72">
        <w:t xml:space="preserve"> fertilisation (IVF), selected mature cumulus-oocyte complexes (COCs) were sequentially washed in wash and IVF media (Catalog no. 152024A, Vitrogen, Brazil) before being transferred to a 100 µL fertilisation drop of IVF medium (Catalog no. 152024A, Vitrogen, Brazil). For semen preparation, a Percoll gradient was prepared according to the manufacturer's instructions and incubated for 2 hours in a benchtop incubator before thawing. High-quality Sahiwal bull semen (ABS) with good post-thaw motility was gently layered on top of the Percoll gradient and centrifuged at 800 G for 6 minutes. The supernatant was removed using a pipette, and the pellet was transferred to a new centrifuge tube containing IVF medium (Vitrogen, Brazil). The sperm pellet was resuspended in 400 µL of IVF medium and centrifuged at 300 G for 3 minutes. After centrifugation, the supernatant was carefully removed without disturbing the pellet. The pellet was gently mixed and evaluated for sperm motility and concentration. For insemination, each IVF drop received 10–15 µl of semen to attain a final concentration of 2×10⁶ live sperm/mL and was covered with mineral oil. The COCs and sperm were co-incubated for 16-18 hours at 6% CO₂ and 5% O₂ at 38.5°C for IVF. After 16-18 hours of insemination, the cumulus cells were removed from the presumptive zygotes by gentle pipetting in wash medium.</w:t>
      </w:r>
    </w:p>
    <w:p w14:paraId="39A44100" w14:textId="77777777" w:rsidR="008F22E1" w:rsidRPr="00497F72" w:rsidRDefault="008F22E1" w:rsidP="00A41B23">
      <w:pPr>
        <w:spacing w:after="0" w:line="360" w:lineRule="auto"/>
        <w:jc w:val="both"/>
        <w:rPr>
          <w:rFonts w:ascii="Times New Roman" w:hAnsi="Times New Roman" w:cs="Times New Roman"/>
        </w:rPr>
      </w:pPr>
      <w:r w:rsidRPr="00497F72">
        <w:rPr>
          <w:b/>
          <w:i/>
        </w:rPr>
        <w:t>In vitro</w:t>
      </w:r>
      <w:r w:rsidRPr="00497F72">
        <w:rPr>
          <w:b/>
        </w:rPr>
        <w:t xml:space="preserve"> culture</w:t>
      </w:r>
    </w:p>
    <w:p w14:paraId="6D5E80A7" w14:textId="77777777" w:rsidR="00910801" w:rsidRPr="00497F72" w:rsidRDefault="00910801" w:rsidP="00A41B23">
      <w:pPr>
        <w:spacing w:after="0" w:line="360" w:lineRule="auto"/>
        <w:ind w:firstLine="720"/>
        <w:jc w:val="both"/>
        <w:rPr>
          <w:rFonts w:ascii="Times New Roman" w:hAnsi="Times New Roman" w:cs="Times New Roman"/>
        </w:rPr>
      </w:pPr>
      <w:r w:rsidRPr="00497F72">
        <w:t>For IVC, after being washed three times in IVC medium (Vitrogen, Brazil), the presumptive zygotes were placed separately in 500 µL of pre-incubated IVC medium, overlaid with 350 µL of mineral oil, and incubated (benchtop incubator, G210, Origio, Denmark) for seven days without changing the culture medium under a controlled atmosphere (6% CO₂ and 5% O₂) at 38.5°C. Cleavage, morula, and blastocyst rates were assessed on the third, fifth, and seventh days of embryo culture, respectively.</w:t>
      </w:r>
    </w:p>
    <w:p w14:paraId="5D7A76D6" w14:textId="77777777" w:rsidR="008C614A" w:rsidRPr="00497F72" w:rsidRDefault="008C614A" w:rsidP="008C614A">
      <w:pPr>
        <w:spacing w:after="0" w:line="360" w:lineRule="auto"/>
        <w:jc w:val="both"/>
        <w:rPr>
          <w:rFonts w:ascii="Times New Roman" w:hAnsi="Times New Roman" w:cs="Times New Roman"/>
          <w:b/>
          <w:bCs/>
        </w:rPr>
      </w:pPr>
      <w:r w:rsidRPr="00497F72">
        <w:rPr>
          <w:rFonts w:ascii="Times New Roman" w:hAnsi="Times New Roman" w:cs="Times New Roman"/>
          <w:b/>
          <w:bCs/>
        </w:rPr>
        <w:t>Statistical Analysis</w:t>
      </w:r>
    </w:p>
    <w:p w14:paraId="3E2DC66F" w14:textId="77777777" w:rsidR="0070483D" w:rsidRPr="00497F72" w:rsidRDefault="00936717" w:rsidP="003F127F">
      <w:pPr>
        <w:spacing w:after="0" w:line="360" w:lineRule="auto"/>
        <w:ind w:firstLine="720"/>
        <w:jc w:val="both"/>
        <w:rPr>
          <w:rFonts w:ascii="Times New Roman" w:hAnsi="Times New Roman" w:cs="Times New Roman"/>
        </w:rPr>
      </w:pPr>
      <w:r w:rsidRPr="00497F72">
        <w:t>The study comprised one treatment group and one control group with four replications, with the fixed effect of treatment included in the statistical model. The data were analysed using an independent t-test. Prism (version 5) was used for the analysis. Statistical significance was set at P &lt; 0.05 for all parameters.</w:t>
      </w:r>
    </w:p>
    <w:p w14:paraId="7D22703B" w14:textId="77777777" w:rsidR="00957C62" w:rsidRPr="00497F72" w:rsidRDefault="00957C62" w:rsidP="00D87011">
      <w:pPr>
        <w:spacing w:after="0" w:line="360" w:lineRule="auto"/>
        <w:jc w:val="both"/>
        <w:rPr>
          <w:rFonts w:ascii="Times New Roman" w:hAnsi="Times New Roman" w:cs="Times New Roman"/>
          <w:b/>
          <w:bCs/>
        </w:rPr>
      </w:pPr>
      <w:r w:rsidRPr="00497F72">
        <w:rPr>
          <w:rFonts w:ascii="Times New Roman" w:hAnsi="Times New Roman" w:cs="Times New Roman"/>
          <w:b/>
          <w:bCs/>
        </w:rPr>
        <w:lastRenderedPageBreak/>
        <w:t xml:space="preserve">Results </w:t>
      </w:r>
    </w:p>
    <w:p w14:paraId="2D387475" w14:textId="77777777" w:rsidR="007624CD" w:rsidRPr="00497F72" w:rsidRDefault="0090726E" w:rsidP="002F1E01">
      <w:pPr>
        <w:spacing w:after="0" w:line="360" w:lineRule="auto"/>
        <w:jc w:val="both"/>
        <w:rPr>
          <w:rFonts w:ascii="Times New Roman" w:hAnsi="Times New Roman" w:cs="Times New Roman"/>
          <w:b/>
          <w:bCs/>
        </w:rPr>
      </w:pPr>
      <w:r w:rsidRPr="00497F72">
        <w:rPr>
          <w:b/>
        </w:rPr>
        <w:t>Follicle aspiration and oocyte recovery</w:t>
      </w:r>
    </w:p>
    <w:p w14:paraId="69D86B11" w14:textId="77777777" w:rsidR="00D1094D" w:rsidRPr="00497F72" w:rsidRDefault="00D1094D" w:rsidP="00D1094D">
      <w:pPr>
        <w:spacing w:after="0" w:line="360" w:lineRule="auto"/>
        <w:ind w:firstLine="720"/>
        <w:jc w:val="both"/>
        <w:rPr>
          <w:rFonts w:ascii="Times New Roman" w:hAnsi="Times New Roman" w:cs="Times New Roman"/>
        </w:rPr>
      </w:pPr>
      <w:r w:rsidRPr="00497F72">
        <w:t>In this study, twelve OPU sessions were conducted, comprising six sessions each for control and FSH-treated Sahiwal cows. The mean number of follicles available for aspiration was significantly (P &lt; 0.05) higher in FSH-treated cows (40.17±1.81) than in the untreated group (27.67±2.33). Similarly, the mean number of recovered COCs was significantly (P &lt; 0.05) higher in FSH-treated cows (36.50±2.07) than in the control group (23.17±2.10).</w:t>
      </w:r>
    </w:p>
    <w:p w14:paraId="2E905EB7" w14:textId="77777777" w:rsidR="00BB34AA" w:rsidRPr="00497F72" w:rsidRDefault="00327E67" w:rsidP="002F1E01">
      <w:pPr>
        <w:spacing w:after="0" w:line="360" w:lineRule="auto"/>
        <w:jc w:val="both"/>
        <w:rPr>
          <w:rFonts w:ascii="Times New Roman" w:hAnsi="Times New Roman" w:cs="Times New Roman"/>
          <w:b/>
          <w:bCs/>
        </w:rPr>
      </w:pPr>
      <w:r w:rsidRPr="00497F72">
        <w:rPr>
          <w:b/>
          <w:i/>
        </w:rPr>
        <w:t>In vitro</w:t>
      </w:r>
      <w:r w:rsidRPr="00497F72">
        <w:rPr>
          <w:b/>
        </w:rPr>
        <w:t xml:space="preserve"> maturation and </w:t>
      </w:r>
      <w:r w:rsidRPr="00497F72">
        <w:rPr>
          <w:b/>
          <w:i/>
        </w:rPr>
        <w:t>in vitro</w:t>
      </w:r>
      <w:r w:rsidRPr="00497F72">
        <w:rPr>
          <w:b/>
        </w:rPr>
        <w:t xml:space="preserve"> fertilisation</w:t>
      </w:r>
    </w:p>
    <w:p w14:paraId="738E6FC3" w14:textId="77777777" w:rsidR="0086614C" w:rsidRPr="00497F72" w:rsidRDefault="0086614C" w:rsidP="0086614C">
      <w:pPr>
        <w:spacing w:after="0" w:line="360" w:lineRule="auto"/>
        <w:ind w:firstLine="720"/>
        <w:jc w:val="both"/>
        <w:rPr>
          <w:rFonts w:ascii="Times New Roman" w:hAnsi="Times New Roman" w:cs="Times New Roman"/>
        </w:rPr>
      </w:pPr>
      <w:r w:rsidRPr="00497F72">
        <w:t>The mean number of matured oocytes (8.00±0.41) and the maturation rate (69.75±3.35) were higher in the FSH-treated group than in the untreated group (6.25±0.48 and 54.00±3.34, respectively).</w:t>
      </w:r>
    </w:p>
    <w:p w14:paraId="3A629183" w14:textId="77777777" w:rsidR="00B61FA7" w:rsidRPr="00497F72" w:rsidRDefault="00327E67" w:rsidP="00B61FA7">
      <w:pPr>
        <w:spacing w:after="0" w:line="360" w:lineRule="auto"/>
        <w:jc w:val="both"/>
        <w:rPr>
          <w:rFonts w:ascii="Times New Roman" w:hAnsi="Times New Roman" w:cs="Times New Roman"/>
          <w:b/>
          <w:bCs/>
        </w:rPr>
      </w:pPr>
      <w:r w:rsidRPr="00497F72">
        <w:rPr>
          <w:b/>
          <w:i/>
        </w:rPr>
        <w:t>In vitro</w:t>
      </w:r>
      <w:r w:rsidRPr="00497F72">
        <w:rPr>
          <w:b/>
        </w:rPr>
        <w:t xml:space="preserve"> developmental competence of oocytes</w:t>
      </w:r>
    </w:p>
    <w:p w14:paraId="72752A39" w14:textId="77777777" w:rsidR="00406676" w:rsidRPr="00497F72" w:rsidRDefault="00406676" w:rsidP="00B61FA7">
      <w:pPr>
        <w:spacing w:after="0" w:line="360" w:lineRule="auto"/>
        <w:ind w:firstLine="720"/>
        <w:jc w:val="both"/>
        <w:rPr>
          <w:rFonts w:ascii="Times New Roman" w:hAnsi="Times New Roman" w:cs="Times New Roman"/>
          <w:b/>
          <w:bCs/>
        </w:rPr>
      </w:pPr>
      <w:r w:rsidRPr="00497F72">
        <w:t xml:space="preserve">The effect of FSH stimulation on the </w:t>
      </w:r>
      <w:r w:rsidRPr="00497F72">
        <w:rPr>
          <w:i/>
        </w:rPr>
        <w:t>in vitro</w:t>
      </w:r>
      <w:r w:rsidRPr="00497F72">
        <w:t xml:space="preserve"> developmental competence of oocytes in Sahiwal cattle is summarised in </w:t>
      </w:r>
      <w:r w:rsidRPr="00497F72">
        <w:rPr>
          <w:b/>
        </w:rPr>
        <w:t>Tables 1 and 2</w:t>
      </w:r>
      <w:r w:rsidRPr="00497F72">
        <w:t>. The mean number of cleaved zygotes was 3.25±0.25 in the control group and 5.50±0.29 in the FSH-treated group, with a significant (P &lt; 0.05) difference between the groups. The FSH-treated group also showed a significantly (P &lt; 0.05) higher 8-cell percentage (63.01±1.73) than the untreated group (39.25±4.11). Moreover, the FSH-treated group showed significantly higher mean numbers of morulae (2.50 versus 0.75) and blastocysts (1.75 versus 0.25) after 7 days of culture than the control group (control, 0.25±0.15; FSH-treated, 1.75±0.25).</w:t>
      </w:r>
    </w:p>
    <w:p w14:paraId="13E1D288" w14:textId="77777777" w:rsidR="00FE7259" w:rsidRPr="00497F72" w:rsidRDefault="00FE7259" w:rsidP="00FE7259">
      <w:pPr>
        <w:spacing w:after="0" w:line="240" w:lineRule="auto"/>
        <w:ind w:left="993" w:hanging="993"/>
        <w:jc w:val="both"/>
        <w:rPr>
          <w:rFonts w:ascii="Times New Roman" w:hAnsi="Times New Roman" w:cs="Times New Roman"/>
          <w:b/>
          <w:bCs/>
        </w:rPr>
      </w:pPr>
    </w:p>
    <w:p w14:paraId="59566EC4" w14:textId="77777777" w:rsidR="000F4E3A" w:rsidRPr="00497F72" w:rsidRDefault="000F4E3A" w:rsidP="00FE7259">
      <w:pPr>
        <w:spacing w:after="0" w:line="240" w:lineRule="auto"/>
        <w:ind w:left="993" w:hanging="993"/>
        <w:jc w:val="both"/>
        <w:rPr>
          <w:rFonts w:ascii="Times New Roman" w:hAnsi="Times New Roman" w:cs="Times New Roman"/>
          <w:b/>
          <w:bCs/>
        </w:rPr>
      </w:pPr>
    </w:p>
    <w:p w14:paraId="63E43A5B" w14:textId="77777777" w:rsidR="000F4E3A" w:rsidRPr="00497F72" w:rsidRDefault="000F4E3A" w:rsidP="00FE7259">
      <w:pPr>
        <w:spacing w:after="0" w:line="240" w:lineRule="auto"/>
        <w:ind w:left="993" w:hanging="993"/>
        <w:jc w:val="both"/>
        <w:rPr>
          <w:rFonts w:ascii="Times New Roman" w:hAnsi="Times New Roman" w:cs="Times New Roman"/>
          <w:b/>
          <w:bCs/>
        </w:rPr>
      </w:pPr>
    </w:p>
    <w:p w14:paraId="459F9724" w14:textId="77777777" w:rsidR="000F4E3A" w:rsidRPr="00497F72" w:rsidRDefault="000F4E3A" w:rsidP="00FE7259">
      <w:pPr>
        <w:spacing w:after="0" w:line="240" w:lineRule="auto"/>
        <w:ind w:left="993" w:hanging="993"/>
        <w:jc w:val="both"/>
        <w:rPr>
          <w:rFonts w:ascii="Times New Roman" w:hAnsi="Times New Roman" w:cs="Times New Roman"/>
          <w:b/>
          <w:bCs/>
        </w:rPr>
      </w:pPr>
    </w:p>
    <w:p w14:paraId="16761101" w14:textId="77777777" w:rsidR="000F4E3A" w:rsidRPr="00497F72" w:rsidRDefault="000F4E3A" w:rsidP="00FE7259">
      <w:pPr>
        <w:spacing w:after="0" w:line="240" w:lineRule="auto"/>
        <w:ind w:left="993" w:hanging="993"/>
        <w:jc w:val="both"/>
        <w:rPr>
          <w:rFonts w:ascii="Times New Roman" w:hAnsi="Times New Roman" w:cs="Times New Roman"/>
          <w:b/>
          <w:bCs/>
        </w:rPr>
      </w:pPr>
    </w:p>
    <w:p w14:paraId="4A770D6F" w14:textId="77777777" w:rsidR="006D4E0A" w:rsidRPr="00497F72" w:rsidRDefault="00FE7259" w:rsidP="00FE7259">
      <w:pPr>
        <w:spacing w:after="0" w:line="240" w:lineRule="auto"/>
        <w:ind w:left="993" w:hanging="993"/>
        <w:jc w:val="both"/>
        <w:rPr>
          <w:rFonts w:ascii="Times New Roman" w:hAnsi="Times New Roman" w:cs="Times New Roman"/>
          <w:b/>
          <w:bCs/>
        </w:rPr>
      </w:pPr>
      <w:r w:rsidRPr="00497F72">
        <w:rPr>
          <w:rFonts w:ascii="Times New Roman" w:hAnsi="Times New Roman" w:cs="Times New Roman"/>
          <w:b/>
          <w:bCs/>
        </w:rPr>
        <w:t>Table 1: Number of aspirated follicles, recovered COCs, number of oocytes matured, number of presumptive zygotes, number of cleaved zygotes, number of 8-cell development, number of morula</w:t>
      </w:r>
      <w:r w:rsidR="002F44F7" w:rsidRPr="00497F72">
        <w:rPr>
          <w:rFonts w:ascii="Times New Roman" w:hAnsi="Times New Roman" w:cs="Times New Roman"/>
          <w:b/>
          <w:bCs/>
        </w:rPr>
        <w:t>e</w:t>
      </w:r>
      <w:r w:rsidRPr="00497F72">
        <w:rPr>
          <w:rFonts w:ascii="Times New Roman" w:hAnsi="Times New Roman" w:cs="Times New Roman"/>
          <w:b/>
          <w:bCs/>
        </w:rPr>
        <w:t xml:space="preserve"> and number of blastocyst (mean ± SEM) in FSH pre-stimulated and non-stimulated (control) Sahiwal donors’ cows</w:t>
      </w:r>
    </w:p>
    <w:tbl>
      <w:tblPr>
        <w:tblStyle w:val="ListTable1Light"/>
        <w:tblW w:w="4976" w:type="pct"/>
        <w:tblLook w:val="04A0" w:firstRow="1" w:lastRow="0" w:firstColumn="1" w:lastColumn="0" w:noHBand="0" w:noVBand="1"/>
      </w:tblPr>
      <w:tblGrid>
        <w:gridCol w:w="3395"/>
        <w:gridCol w:w="1649"/>
        <w:gridCol w:w="1764"/>
        <w:gridCol w:w="1135"/>
        <w:gridCol w:w="1040"/>
      </w:tblGrid>
      <w:tr w:rsidR="00FE7259" w:rsidRPr="00497F72" w14:paraId="7A5977D8" w14:textId="77777777" w:rsidTr="000F4E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tcBorders>
              <w:top w:val="single" w:sz="12" w:space="0" w:color="auto"/>
              <w:bottom w:val="single" w:sz="12" w:space="0" w:color="auto"/>
            </w:tcBorders>
          </w:tcPr>
          <w:p w14:paraId="544B2C65" w14:textId="77777777" w:rsidR="00FE7259" w:rsidRPr="00497F72" w:rsidRDefault="00FE7259" w:rsidP="007020CF">
            <w:pPr>
              <w:rPr>
                <w:rFonts w:ascii="Times New Roman" w:hAnsi="Times New Roman" w:cs="Times New Roman"/>
              </w:rPr>
            </w:pPr>
            <w:r w:rsidRPr="00497F72">
              <w:rPr>
                <w:rFonts w:ascii="Times New Roman" w:hAnsi="Times New Roman" w:cs="Times New Roman"/>
              </w:rPr>
              <w:t>Attributes</w:t>
            </w:r>
          </w:p>
        </w:tc>
        <w:tc>
          <w:tcPr>
            <w:tcW w:w="918" w:type="pct"/>
            <w:tcBorders>
              <w:top w:val="single" w:sz="12" w:space="0" w:color="auto"/>
              <w:bottom w:val="single" w:sz="12" w:space="0" w:color="auto"/>
            </w:tcBorders>
          </w:tcPr>
          <w:p w14:paraId="62F30D0F" w14:textId="77777777" w:rsidR="00FE7259" w:rsidRPr="00497F72" w:rsidRDefault="00FE7259" w:rsidP="007020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97F72">
              <w:rPr>
                <w:rFonts w:ascii="Times New Roman" w:hAnsi="Times New Roman" w:cs="Times New Roman"/>
              </w:rPr>
              <w:t>Group-I</w:t>
            </w:r>
          </w:p>
          <w:p w14:paraId="2148E7A5" w14:textId="77777777" w:rsidR="00FE7259" w:rsidRPr="00497F72" w:rsidRDefault="00FE7259" w:rsidP="007020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97F72">
              <w:rPr>
                <w:rFonts w:ascii="Times New Roman" w:hAnsi="Times New Roman" w:cs="Times New Roman"/>
              </w:rPr>
              <w:t>(n=6, non-stimulated)</w:t>
            </w:r>
          </w:p>
        </w:tc>
        <w:tc>
          <w:tcPr>
            <w:tcW w:w="982" w:type="pct"/>
            <w:tcBorders>
              <w:top w:val="single" w:sz="12" w:space="0" w:color="auto"/>
              <w:bottom w:val="single" w:sz="12" w:space="0" w:color="auto"/>
            </w:tcBorders>
          </w:tcPr>
          <w:p w14:paraId="04EB6DB3" w14:textId="77777777" w:rsidR="00FE7259" w:rsidRPr="00497F72" w:rsidRDefault="00FE7259" w:rsidP="007020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97F72">
              <w:rPr>
                <w:rFonts w:ascii="Times New Roman" w:hAnsi="Times New Roman" w:cs="Times New Roman"/>
              </w:rPr>
              <w:t>Group-II</w:t>
            </w:r>
          </w:p>
          <w:p w14:paraId="56DC2DD0" w14:textId="77777777" w:rsidR="00FE7259" w:rsidRPr="00497F72" w:rsidRDefault="00FE7259" w:rsidP="007020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97F72">
              <w:rPr>
                <w:rFonts w:ascii="Times New Roman" w:hAnsi="Times New Roman" w:cs="Times New Roman"/>
              </w:rPr>
              <w:t>(n=6, FSH-stimulated)</w:t>
            </w:r>
          </w:p>
        </w:tc>
        <w:tc>
          <w:tcPr>
            <w:tcW w:w="632" w:type="pct"/>
            <w:tcBorders>
              <w:top w:val="single" w:sz="12" w:space="0" w:color="auto"/>
              <w:bottom w:val="single" w:sz="12" w:space="0" w:color="auto"/>
            </w:tcBorders>
          </w:tcPr>
          <w:p w14:paraId="57D670D5" w14:textId="77777777" w:rsidR="00FE7259" w:rsidRPr="00497F72" w:rsidRDefault="00FE7259" w:rsidP="007020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P value</w:t>
            </w:r>
          </w:p>
        </w:tc>
        <w:tc>
          <w:tcPr>
            <w:tcW w:w="580" w:type="pct"/>
            <w:tcBorders>
              <w:top w:val="single" w:sz="12" w:space="0" w:color="auto"/>
              <w:bottom w:val="single" w:sz="12" w:space="0" w:color="auto"/>
            </w:tcBorders>
          </w:tcPr>
          <w:p w14:paraId="58B38746" w14:textId="77777777" w:rsidR="00FE7259" w:rsidRPr="00497F72" w:rsidRDefault="00FE7259" w:rsidP="007020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t value</w:t>
            </w:r>
          </w:p>
        </w:tc>
      </w:tr>
      <w:tr w:rsidR="00FE7259" w:rsidRPr="00497F72" w14:paraId="4CDB6C13" w14:textId="77777777" w:rsidTr="000F4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tcBorders>
              <w:top w:val="single" w:sz="12" w:space="0" w:color="auto"/>
            </w:tcBorders>
            <w:shd w:val="clear" w:color="auto" w:fill="auto"/>
          </w:tcPr>
          <w:p w14:paraId="55579D7E"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Mean no. of follicles aspirated</w:t>
            </w:r>
          </w:p>
        </w:tc>
        <w:tc>
          <w:tcPr>
            <w:tcW w:w="918" w:type="pct"/>
            <w:tcBorders>
              <w:top w:val="single" w:sz="12" w:space="0" w:color="auto"/>
            </w:tcBorders>
            <w:shd w:val="clear" w:color="auto" w:fill="auto"/>
          </w:tcPr>
          <w:p w14:paraId="1D41C6B7"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IN" w:bidi="hi-IN"/>
                <w14:ligatures w14:val="none"/>
              </w:rPr>
            </w:pPr>
            <w:r w:rsidRPr="00497F72">
              <w:rPr>
                <w:rFonts w:ascii="Times New Roman" w:eastAsia="Times New Roman" w:hAnsi="Times New Roman" w:cs="Times New Roman"/>
                <w:kern w:val="0"/>
                <w:lang w:eastAsia="en-IN" w:bidi="hi-IN"/>
                <w14:ligatures w14:val="none"/>
              </w:rPr>
              <w:t>166 (27.67±2.33)</w:t>
            </w:r>
            <w:r w:rsidRPr="00497F72">
              <w:rPr>
                <w:rFonts w:ascii="Times New Roman" w:eastAsia="Times New Roman" w:hAnsi="Times New Roman" w:cs="Times New Roman"/>
                <w:kern w:val="0"/>
                <w:vertAlign w:val="superscript"/>
                <w:lang w:eastAsia="en-IN" w:bidi="hi-IN"/>
                <w14:ligatures w14:val="none"/>
              </w:rPr>
              <w:t xml:space="preserve"> A</w:t>
            </w:r>
          </w:p>
        </w:tc>
        <w:tc>
          <w:tcPr>
            <w:tcW w:w="982" w:type="pct"/>
            <w:tcBorders>
              <w:top w:val="single" w:sz="12" w:space="0" w:color="auto"/>
            </w:tcBorders>
            <w:shd w:val="clear" w:color="auto" w:fill="auto"/>
          </w:tcPr>
          <w:p w14:paraId="7F710915"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lang w:eastAsia="en-IN" w:bidi="hi-IN"/>
                <w14:ligatures w14:val="none"/>
              </w:rPr>
            </w:pPr>
            <w:r w:rsidRPr="00497F72">
              <w:rPr>
                <w:rFonts w:ascii="Times New Roman" w:eastAsia="Times New Roman" w:hAnsi="Times New Roman" w:cs="Times New Roman"/>
                <w:kern w:val="0"/>
                <w:lang w:eastAsia="en-IN" w:bidi="hi-IN"/>
                <w14:ligatures w14:val="none"/>
              </w:rPr>
              <w:t>241 (40.17±1.81)</w:t>
            </w:r>
            <w:r w:rsidRPr="00497F72">
              <w:rPr>
                <w:rFonts w:ascii="Times New Roman" w:eastAsia="Times New Roman" w:hAnsi="Times New Roman" w:cs="Times New Roman"/>
                <w:kern w:val="0"/>
                <w:vertAlign w:val="superscript"/>
                <w:lang w:eastAsia="en-IN" w:bidi="hi-IN"/>
                <w14:ligatures w14:val="none"/>
              </w:rPr>
              <w:t xml:space="preserve"> B</w:t>
            </w:r>
          </w:p>
        </w:tc>
        <w:tc>
          <w:tcPr>
            <w:tcW w:w="632" w:type="pct"/>
            <w:tcBorders>
              <w:top w:val="single" w:sz="12" w:space="0" w:color="auto"/>
            </w:tcBorders>
            <w:shd w:val="clear" w:color="auto" w:fill="auto"/>
          </w:tcPr>
          <w:p w14:paraId="2E766A15"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7F72">
              <w:rPr>
                <w:rFonts w:ascii="Times New Roman" w:eastAsia="Times New Roman" w:hAnsi="Times New Roman" w:cs="Times New Roman"/>
                <w:lang w:eastAsia="en-IN"/>
              </w:rPr>
              <w:t>0.0017**</w:t>
            </w:r>
          </w:p>
        </w:tc>
        <w:tc>
          <w:tcPr>
            <w:tcW w:w="580" w:type="pct"/>
            <w:tcBorders>
              <w:top w:val="single" w:sz="12" w:space="0" w:color="auto"/>
            </w:tcBorders>
            <w:shd w:val="clear" w:color="auto" w:fill="auto"/>
          </w:tcPr>
          <w:p w14:paraId="0FD0806C"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4.228</w:t>
            </w:r>
          </w:p>
        </w:tc>
      </w:tr>
      <w:tr w:rsidR="00FE7259" w:rsidRPr="00497F72" w14:paraId="57235F53" w14:textId="77777777" w:rsidTr="000F4E3A">
        <w:tc>
          <w:tcPr>
            <w:cnfStyle w:val="001000000000" w:firstRow="0" w:lastRow="0" w:firstColumn="1" w:lastColumn="0" w:oddVBand="0" w:evenVBand="0" w:oddHBand="0" w:evenHBand="0" w:firstRowFirstColumn="0" w:firstRowLastColumn="0" w:lastRowFirstColumn="0" w:lastRowLastColumn="0"/>
            <w:tcW w:w="1889" w:type="pct"/>
          </w:tcPr>
          <w:p w14:paraId="18CE01A0"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Mean no. of COCs recovered</w:t>
            </w:r>
          </w:p>
        </w:tc>
        <w:tc>
          <w:tcPr>
            <w:tcW w:w="918" w:type="pct"/>
          </w:tcPr>
          <w:p w14:paraId="3221201B" w14:textId="77777777" w:rsidR="00FE7259" w:rsidRPr="00497F72" w:rsidRDefault="00FE7259"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IN" w:bidi="hi-IN"/>
                <w14:ligatures w14:val="none"/>
              </w:rPr>
            </w:pPr>
            <w:r w:rsidRPr="00497F72">
              <w:rPr>
                <w:rFonts w:ascii="Times New Roman" w:eastAsia="Times New Roman" w:hAnsi="Times New Roman" w:cs="Times New Roman"/>
                <w:kern w:val="0"/>
                <w:lang w:eastAsia="en-IN" w:bidi="hi-IN"/>
                <w14:ligatures w14:val="none"/>
              </w:rPr>
              <w:t>139 (23.17±2.10)</w:t>
            </w:r>
            <w:r w:rsidRPr="00497F72">
              <w:rPr>
                <w:rFonts w:ascii="Times New Roman" w:eastAsia="Times New Roman" w:hAnsi="Times New Roman" w:cs="Times New Roman"/>
                <w:kern w:val="0"/>
                <w:vertAlign w:val="superscript"/>
                <w:lang w:eastAsia="en-IN" w:bidi="hi-IN"/>
                <w14:ligatures w14:val="none"/>
              </w:rPr>
              <w:t xml:space="preserve"> A</w:t>
            </w:r>
          </w:p>
        </w:tc>
        <w:tc>
          <w:tcPr>
            <w:tcW w:w="982" w:type="pct"/>
          </w:tcPr>
          <w:p w14:paraId="3BD98280" w14:textId="77777777" w:rsidR="00FE7259" w:rsidRPr="00497F72" w:rsidRDefault="00FE7259"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lang w:eastAsia="en-IN" w:bidi="hi-IN"/>
                <w14:ligatures w14:val="none"/>
              </w:rPr>
            </w:pPr>
            <w:r w:rsidRPr="00497F72">
              <w:rPr>
                <w:rFonts w:ascii="Times New Roman" w:eastAsia="Times New Roman" w:hAnsi="Times New Roman" w:cs="Times New Roman"/>
                <w:kern w:val="0"/>
                <w:lang w:eastAsia="en-IN" w:bidi="hi-IN"/>
                <w14:ligatures w14:val="none"/>
              </w:rPr>
              <w:t>219 (36.50±2.07)</w:t>
            </w:r>
            <w:r w:rsidRPr="00497F72">
              <w:rPr>
                <w:rFonts w:ascii="Times New Roman" w:eastAsia="Times New Roman" w:hAnsi="Times New Roman" w:cs="Times New Roman"/>
                <w:kern w:val="0"/>
                <w:vertAlign w:val="superscript"/>
                <w:lang w:eastAsia="en-IN" w:bidi="hi-IN"/>
                <w14:ligatures w14:val="none"/>
              </w:rPr>
              <w:t xml:space="preserve"> B</w:t>
            </w:r>
          </w:p>
        </w:tc>
        <w:tc>
          <w:tcPr>
            <w:tcW w:w="632" w:type="pct"/>
          </w:tcPr>
          <w:p w14:paraId="22704869"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eastAsia="Times New Roman" w:hAnsi="Times New Roman" w:cs="Times New Roman"/>
                <w:lang w:eastAsia="en-IN"/>
              </w:rPr>
              <w:t>0.0011**</w:t>
            </w:r>
          </w:p>
        </w:tc>
        <w:tc>
          <w:tcPr>
            <w:tcW w:w="580" w:type="pct"/>
          </w:tcPr>
          <w:p w14:paraId="4896AACD"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4.509</w:t>
            </w:r>
          </w:p>
        </w:tc>
      </w:tr>
      <w:tr w:rsidR="00FE7259" w:rsidRPr="00497F72" w14:paraId="5BB29732" w14:textId="77777777" w:rsidTr="000F4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shd w:val="clear" w:color="auto" w:fill="auto"/>
          </w:tcPr>
          <w:p w14:paraId="030CDFBA"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lastRenderedPageBreak/>
              <w:t>Total no. of oocytes kept in IVM media</w:t>
            </w:r>
          </w:p>
        </w:tc>
        <w:tc>
          <w:tcPr>
            <w:tcW w:w="918" w:type="pct"/>
            <w:shd w:val="clear" w:color="auto" w:fill="auto"/>
          </w:tcPr>
          <w:p w14:paraId="1FEF9D9E"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b/>
                <w:bCs/>
                <w:kern w:val="0"/>
                <w:lang w:eastAsia="en-IN" w:bidi="hi-IN"/>
                <w14:ligatures w14:val="none"/>
              </w:rPr>
              <w:t>46</w:t>
            </w:r>
          </w:p>
        </w:tc>
        <w:tc>
          <w:tcPr>
            <w:tcW w:w="982" w:type="pct"/>
            <w:shd w:val="clear" w:color="auto" w:fill="auto"/>
          </w:tcPr>
          <w:p w14:paraId="467E6EF9"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b/>
                <w:bCs/>
                <w:kern w:val="0"/>
                <w:lang w:eastAsia="en-IN" w:bidi="hi-IN"/>
                <w14:ligatures w14:val="none"/>
              </w:rPr>
              <w:t>46</w:t>
            </w:r>
          </w:p>
        </w:tc>
        <w:tc>
          <w:tcPr>
            <w:tcW w:w="632" w:type="pct"/>
            <w:shd w:val="clear" w:color="auto" w:fill="auto"/>
          </w:tcPr>
          <w:p w14:paraId="7B741641"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580" w:type="pct"/>
            <w:shd w:val="clear" w:color="auto" w:fill="auto"/>
          </w:tcPr>
          <w:p w14:paraId="2F86A69D"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b/>
                <w:bCs/>
              </w:rPr>
              <w:t xml:space="preserve">    -</w:t>
            </w:r>
          </w:p>
        </w:tc>
      </w:tr>
      <w:tr w:rsidR="00FE7259" w:rsidRPr="00497F72" w14:paraId="2CB1A568" w14:textId="77777777" w:rsidTr="000F4E3A">
        <w:tc>
          <w:tcPr>
            <w:cnfStyle w:val="001000000000" w:firstRow="0" w:lastRow="0" w:firstColumn="1" w:lastColumn="0" w:oddVBand="0" w:evenVBand="0" w:oddHBand="0" w:evenHBand="0" w:firstRowFirstColumn="0" w:firstRowLastColumn="0" w:lastRowFirstColumn="0" w:lastRowLastColumn="0"/>
            <w:tcW w:w="1889" w:type="pct"/>
          </w:tcPr>
          <w:p w14:paraId="6D5F41E9"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Mean (±SE) no. of oocytes matured</w:t>
            </w:r>
          </w:p>
        </w:tc>
        <w:tc>
          <w:tcPr>
            <w:tcW w:w="918" w:type="pct"/>
          </w:tcPr>
          <w:p w14:paraId="7A70854C" w14:textId="77777777" w:rsidR="00FE7259" w:rsidRPr="00497F72" w:rsidRDefault="00FE7259"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6.25</w:t>
            </w:r>
            <w:r w:rsidRPr="00497F72">
              <w:rPr>
                <w:rFonts w:ascii="Times New Roman" w:hAnsi="Times New Roman" w:cs="Times New Roman"/>
                <w:b/>
                <w:bCs/>
              </w:rPr>
              <w:t>±</w:t>
            </w:r>
            <w:r w:rsidRPr="00497F72">
              <w:rPr>
                <w:rFonts w:ascii="Times New Roman" w:eastAsia="Times New Roman" w:hAnsi="Times New Roman" w:cs="Times New Roman"/>
                <w:kern w:val="0"/>
                <w:lang w:eastAsia="en-IN" w:bidi="hi-IN"/>
                <w14:ligatures w14:val="none"/>
              </w:rPr>
              <w:t>0.48</w:t>
            </w:r>
            <w:r w:rsidRPr="00497F72">
              <w:rPr>
                <w:rFonts w:ascii="Times New Roman" w:eastAsia="Times New Roman" w:hAnsi="Times New Roman" w:cs="Times New Roman"/>
                <w:kern w:val="0"/>
                <w:vertAlign w:val="superscript"/>
                <w:lang w:eastAsia="en-IN" w:bidi="hi-IN"/>
                <w14:ligatures w14:val="none"/>
              </w:rPr>
              <w:t>A</w:t>
            </w:r>
          </w:p>
        </w:tc>
        <w:tc>
          <w:tcPr>
            <w:tcW w:w="982" w:type="pct"/>
          </w:tcPr>
          <w:p w14:paraId="49B6A5FA" w14:textId="77777777" w:rsidR="00FE7259" w:rsidRPr="00497F72" w:rsidRDefault="00FE7259"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8.00</w:t>
            </w:r>
            <w:r w:rsidRPr="00497F72">
              <w:rPr>
                <w:rFonts w:ascii="Times New Roman" w:hAnsi="Times New Roman" w:cs="Times New Roman"/>
                <w:b/>
                <w:bCs/>
              </w:rPr>
              <w:t>±</w:t>
            </w:r>
            <w:r w:rsidRPr="00497F72">
              <w:rPr>
                <w:rFonts w:ascii="Times New Roman" w:eastAsia="Times New Roman" w:hAnsi="Times New Roman" w:cs="Times New Roman"/>
                <w:kern w:val="0"/>
                <w:lang w:eastAsia="en-IN" w:bidi="hi-IN"/>
                <w14:ligatures w14:val="none"/>
              </w:rPr>
              <w:t>0.41</w:t>
            </w:r>
            <w:r w:rsidRPr="00497F72">
              <w:rPr>
                <w:rFonts w:ascii="Times New Roman" w:eastAsia="Times New Roman" w:hAnsi="Times New Roman" w:cs="Times New Roman"/>
                <w:kern w:val="0"/>
                <w:vertAlign w:val="superscript"/>
                <w:lang w:eastAsia="en-IN" w:bidi="hi-IN"/>
                <w14:ligatures w14:val="none"/>
              </w:rPr>
              <w:t>B</w:t>
            </w:r>
          </w:p>
        </w:tc>
        <w:tc>
          <w:tcPr>
            <w:tcW w:w="632" w:type="pct"/>
          </w:tcPr>
          <w:p w14:paraId="7F0A3AEA"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0.0319*</w:t>
            </w:r>
          </w:p>
        </w:tc>
        <w:tc>
          <w:tcPr>
            <w:tcW w:w="580" w:type="pct"/>
          </w:tcPr>
          <w:p w14:paraId="46830DB5"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2.782</w:t>
            </w:r>
          </w:p>
        </w:tc>
      </w:tr>
      <w:tr w:rsidR="00FE7259" w:rsidRPr="00497F72" w14:paraId="34FCDE0E" w14:textId="77777777" w:rsidTr="000F4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shd w:val="clear" w:color="auto" w:fill="auto"/>
          </w:tcPr>
          <w:p w14:paraId="362359A7"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Total no. of matured oocytes kept in IVF media</w:t>
            </w:r>
          </w:p>
        </w:tc>
        <w:tc>
          <w:tcPr>
            <w:tcW w:w="918" w:type="pct"/>
            <w:shd w:val="clear" w:color="auto" w:fill="auto"/>
          </w:tcPr>
          <w:p w14:paraId="05333177"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25</w:t>
            </w:r>
          </w:p>
        </w:tc>
        <w:tc>
          <w:tcPr>
            <w:tcW w:w="982" w:type="pct"/>
            <w:shd w:val="clear" w:color="auto" w:fill="auto"/>
          </w:tcPr>
          <w:p w14:paraId="17FD54E3"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32</w:t>
            </w:r>
          </w:p>
        </w:tc>
        <w:tc>
          <w:tcPr>
            <w:tcW w:w="632" w:type="pct"/>
            <w:shd w:val="clear" w:color="auto" w:fill="auto"/>
          </w:tcPr>
          <w:p w14:paraId="6CAE33D9"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580" w:type="pct"/>
            <w:shd w:val="clear" w:color="auto" w:fill="auto"/>
          </w:tcPr>
          <w:p w14:paraId="7207EC30"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FE7259" w:rsidRPr="00497F72" w14:paraId="4759A00A" w14:textId="77777777" w:rsidTr="000F4E3A">
        <w:tc>
          <w:tcPr>
            <w:cnfStyle w:val="001000000000" w:firstRow="0" w:lastRow="0" w:firstColumn="1" w:lastColumn="0" w:oddVBand="0" w:evenVBand="0" w:oddHBand="0" w:evenHBand="0" w:firstRowFirstColumn="0" w:firstRowLastColumn="0" w:lastRowFirstColumn="0" w:lastRowLastColumn="0"/>
            <w:tcW w:w="1889" w:type="pct"/>
          </w:tcPr>
          <w:p w14:paraId="63DF9939"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Mean (±SE) no of presumptive zygote</w:t>
            </w:r>
          </w:p>
        </w:tc>
        <w:tc>
          <w:tcPr>
            <w:tcW w:w="918" w:type="pct"/>
          </w:tcPr>
          <w:p w14:paraId="14060D41" w14:textId="77777777" w:rsidR="00FE7259" w:rsidRPr="00497F72" w:rsidRDefault="00FE7259"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5.25</w:t>
            </w:r>
            <w:r w:rsidRPr="00497F72">
              <w:rPr>
                <w:rFonts w:ascii="Times New Roman" w:hAnsi="Times New Roman" w:cs="Times New Roman"/>
                <w:b/>
                <w:bCs/>
              </w:rPr>
              <w:t>±</w:t>
            </w:r>
            <w:r w:rsidRPr="00497F72">
              <w:rPr>
                <w:rFonts w:ascii="Times New Roman" w:eastAsia="Times New Roman" w:hAnsi="Times New Roman" w:cs="Times New Roman"/>
                <w:kern w:val="0"/>
                <w:lang w:eastAsia="en-IN" w:bidi="hi-IN"/>
                <w14:ligatures w14:val="none"/>
              </w:rPr>
              <w:t>0.63</w:t>
            </w:r>
            <w:r w:rsidRPr="00497F72">
              <w:rPr>
                <w:rFonts w:ascii="Times New Roman" w:eastAsia="Times New Roman" w:hAnsi="Times New Roman" w:cs="Times New Roman"/>
                <w:kern w:val="0"/>
                <w:vertAlign w:val="superscript"/>
                <w:lang w:eastAsia="en-IN" w:bidi="hi-IN"/>
                <w14:ligatures w14:val="none"/>
              </w:rPr>
              <w:t>A</w:t>
            </w:r>
          </w:p>
        </w:tc>
        <w:tc>
          <w:tcPr>
            <w:tcW w:w="982" w:type="pct"/>
          </w:tcPr>
          <w:p w14:paraId="47373F85" w14:textId="77777777" w:rsidR="00FE7259" w:rsidRPr="00497F72" w:rsidRDefault="00FE7259"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7.25</w:t>
            </w:r>
            <w:r w:rsidRPr="00497F72">
              <w:rPr>
                <w:rFonts w:ascii="Times New Roman" w:hAnsi="Times New Roman" w:cs="Times New Roman"/>
                <w:b/>
                <w:bCs/>
              </w:rPr>
              <w:t>±</w:t>
            </w:r>
            <w:r w:rsidRPr="00497F72">
              <w:rPr>
                <w:rFonts w:ascii="Times New Roman" w:eastAsia="Times New Roman" w:hAnsi="Times New Roman" w:cs="Times New Roman"/>
                <w:kern w:val="0"/>
                <w:lang w:eastAsia="en-IN" w:bidi="hi-IN"/>
                <w14:ligatures w14:val="none"/>
              </w:rPr>
              <w:t>0.48</w:t>
            </w:r>
            <w:r w:rsidRPr="00497F72">
              <w:rPr>
                <w:rFonts w:ascii="Times New Roman" w:eastAsia="Times New Roman" w:hAnsi="Times New Roman" w:cs="Times New Roman"/>
                <w:kern w:val="0"/>
                <w:vertAlign w:val="superscript"/>
                <w:lang w:eastAsia="en-IN" w:bidi="hi-IN"/>
                <w14:ligatures w14:val="none"/>
              </w:rPr>
              <w:t>B</w:t>
            </w:r>
          </w:p>
        </w:tc>
        <w:tc>
          <w:tcPr>
            <w:tcW w:w="632" w:type="pct"/>
          </w:tcPr>
          <w:p w14:paraId="2D8CA10B"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0.0011**</w:t>
            </w:r>
          </w:p>
        </w:tc>
        <w:tc>
          <w:tcPr>
            <w:tcW w:w="580" w:type="pct"/>
          </w:tcPr>
          <w:p w14:paraId="070AE0AA"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2.530</w:t>
            </w:r>
          </w:p>
        </w:tc>
      </w:tr>
      <w:tr w:rsidR="00FE7259" w:rsidRPr="00497F72" w14:paraId="43D6F9E0" w14:textId="77777777" w:rsidTr="000F4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shd w:val="clear" w:color="auto" w:fill="auto"/>
          </w:tcPr>
          <w:p w14:paraId="545D8802"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Total no. of presumptive zygote kept in IVC media</w:t>
            </w:r>
          </w:p>
        </w:tc>
        <w:tc>
          <w:tcPr>
            <w:tcW w:w="918" w:type="pct"/>
            <w:shd w:val="clear" w:color="auto" w:fill="auto"/>
          </w:tcPr>
          <w:p w14:paraId="23378F8B"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21</w:t>
            </w:r>
          </w:p>
        </w:tc>
        <w:tc>
          <w:tcPr>
            <w:tcW w:w="982" w:type="pct"/>
            <w:shd w:val="clear" w:color="auto" w:fill="auto"/>
          </w:tcPr>
          <w:p w14:paraId="258A80AB"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29</w:t>
            </w:r>
          </w:p>
        </w:tc>
        <w:tc>
          <w:tcPr>
            <w:tcW w:w="632" w:type="pct"/>
            <w:shd w:val="clear" w:color="auto" w:fill="auto"/>
          </w:tcPr>
          <w:p w14:paraId="4D76EA4D"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c>
          <w:tcPr>
            <w:tcW w:w="580" w:type="pct"/>
            <w:shd w:val="clear" w:color="auto" w:fill="auto"/>
          </w:tcPr>
          <w:p w14:paraId="66075F11"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p>
        </w:tc>
      </w:tr>
      <w:tr w:rsidR="00FE7259" w:rsidRPr="00497F72" w14:paraId="5573EC63" w14:textId="77777777" w:rsidTr="000F4E3A">
        <w:tc>
          <w:tcPr>
            <w:cnfStyle w:val="001000000000" w:firstRow="0" w:lastRow="0" w:firstColumn="1" w:lastColumn="0" w:oddVBand="0" w:evenVBand="0" w:oddHBand="0" w:evenHBand="0" w:firstRowFirstColumn="0" w:firstRowLastColumn="0" w:lastRowFirstColumn="0" w:lastRowLastColumn="0"/>
            <w:tcW w:w="1889" w:type="pct"/>
          </w:tcPr>
          <w:p w14:paraId="293CD307"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Mean (±SE) no. of cleaved zygote (2 cell)</w:t>
            </w:r>
          </w:p>
        </w:tc>
        <w:tc>
          <w:tcPr>
            <w:tcW w:w="918" w:type="pct"/>
          </w:tcPr>
          <w:p w14:paraId="1D78866B" w14:textId="77777777" w:rsidR="00FE7259" w:rsidRPr="00497F72" w:rsidRDefault="00FE7259"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3.25±0.25</w:t>
            </w:r>
            <w:r w:rsidRPr="00497F72">
              <w:rPr>
                <w:rFonts w:ascii="Times New Roman" w:hAnsi="Times New Roman" w:cs="Times New Roman"/>
                <w:vertAlign w:val="superscript"/>
              </w:rPr>
              <w:t>A</w:t>
            </w:r>
          </w:p>
        </w:tc>
        <w:tc>
          <w:tcPr>
            <w:tcW w:w="982" w:type="pct"/>
          </w:tcPr>
          <w:p w14:paraId="33C9664D" w14:textId="77777777" w:rsidR="00FE7259" w:rsidRPr="00497F72" w:rsidRDefault="00FE7259"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5.50</w:t>
            </w:r>
            <w:r w:rsidRPr="00497F72">
              <w:rPr>
                <w:rFonts w:ascii="Times New Roman" w:hAnsi="Times New Roman" w:cs="Times New Roman"/>
              </w:rPr>
              <w:t>±</w:t>
            </w:r>
            <w:r w:rsidRPr="00497F72">
              <w:rPr>
                <w:rFonts w:ascii="Times New Roman" w:eastAsia="Times New Roman" w:hAnsi="Times New Roman" w:cs="Times New Roman"/>
                <w:kern w:val="0"/>
                <w:lang w:eastAsia="en-IN" w:bidi="hi-IN"/>
                <w14:ligatures w14:val="none"/>
              </w:rPr>
              <w:t>0.29</w:t>
            </w:r>
            <w:r w:rsidRPr="00497F72">
              <w:rPr>
                <w:rFonts w:ascii="Times New Roman" w:eastAsia="Times New Roman" w:hAnsi="Times New Roman" w:cs="Times New Roman"/>
                <w:kern w:val="0"/>
                <w:vertAlign w:val="superscript"/>
                <w:lang w:eastAsia="en-IN" w:bidi="hi-IN"/>
                <w14:ligatures w14:val="none"/>
              </w:rPr>
              <w:t>B</w:t>
            </w:r>
          </w:p>
        </w:tc>
        <w:tc>
          <w:tcPr>
            <w:tcW w:w="632" w:type="pct"/>
          </w:tcPr>
          <w:p w14:paraId="506670FD"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0.0011**</w:t>
            </w:r>
          </w:p>
        </w:tc>
        <w:tc>
          <w:tcPr>
            <w:tcW w:w="580" w:type="pct"/>
          </w:tcPr>
          <w:p w14:paraId="05096BA9"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5.892</w:t>
            </w:r>
          </w:p>
        </w:tc>
      </w:tr>
      <w:tr w:rsidR="00FE7259" w:rsidRPr="00497F72" w14:paraId="23D1F876" w14:textId="77777777" w:rsidTr="000F4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shd w:val="clear" w:color="auto" w:fill="auto"/>
          </w:tcPr>
          <w:p w14:paraId="5B40826E"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 xml:space="preserve">Mean (±SE) no. of 8-cell </w:t>
            </w:r>
          </w:p>
        </w:tc>
        <w:tc>
          <w:tcPr>
            <w:tcW w:w="918" w:type="pct"/>
            <w:shd w:val="clear" w:color="auto" w:fill="auto"/>
          </w:tcPr>
          <w:p w14:paraId="54D8A873"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1.25</w:t>
            </w:r>
            <w:r w:rsidRPr="00497F72">
              <w:rPr>
                <w:rFonts w:ascii="Times New Roman" w:hAnsi="Times New Roman" w:cs="Times New Roman"/>
              </w:rPr>
              <w:t>±</w:t>
            </w:r>
            <w:r w:rsidRPr="00497F72">
              <w:rPr>
                <w:rFonts w:ascii="Times New Roman" w:eastAsia="Times New Roman" w:hAnsi="Times New Roman" w:cs="Times New Roman"/>
                <w:kern w:val="0"/>
                <w:lang w:eastAsia="en-IN" w:bidi="hi-IN"/>
                <w14:ligatures w14:val="none"/>
              </w:rPr>
              <w:t>0.25</w:t>
            </w:r>
            <w:r w:rsidRPr="00497F72">
              <w:rPr>
                <w:rFonts w:ascii="Times New Roman" w:eastAsia="Times New Roman" w:hAnsi="Times New Roman" w:cs="Times New Roman"/>
                <w:kern w:val="0"/>
                <w:vertAlign w:val="superscript"/>
                <w:lang w:eastAsia="en-IN" w:bidi="hi-IN"/>
                <w14:ligatures w14:val="none"/>
              </w:rPr>
              <w:t>A</w:t>
            </w:r>
          </w:p>
        </w:tc>
        <w:tc>
          <w:tcPr>
            <w:tcW w:w="982" w:type="pct"/>
            <w:shd w:val="clear" w:color="auto" w:fill="auto"/>
          </w:tcPr>
          <w:p w14:paraId="16C33299" w14:textId="77777777" w:rsidR="00FE7259" w:rsidRPr="00497F72" w:rsidRDefault="00FE7259"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3.50</w:t>
            </w:r>
            <w:r w:rsidRPr="00497F72">
              <w:rPr>
                <w:rFonts w:ascii="Times New Roman" w:hAnsi="Times New Roman" w:cs="Times New Roman"/>
              </w:rPr>
              <w:t>±</w:t>
            </w:r>
            <w:r w:rsidRPr="00497F72">
              <w:rPr>
                <w:rFonts w:ascii="Times New Roman" w:eastAsia="Times New Roman" w:hAnsi="Times New Roman" w:cs="Times New Roman"/>
                <w:kern w:val="0"/>
                <w:lang w:eastAsia="en-IN" w:bidi="hi-IN"/>
                <w14:ligatures w14:val="none"/>
              </w:rPr>
              <w:t>0.29</w:t>
            </w:r>
            <w:r w:rsidRPr="00497F72">
              <w:rPr>
                <w:rFonts w:ascii="Times New Roman" w:eastAsia="Times New Roman" w:hAnsi="Times New Roman" w:cs="Times New Roman"/>
                <w:kern w:val="0"/>
                <w:vertAlign w:val="superscript"/>
                <w:lang w:eastAsia="en-IN" w:bidi="hi-IN"/>
                <w14:ligatures w14:val="none"/>
              </w:rPr>
              <w:t>B</w:t>
            </w:r>
          </w:p>
        </w:tc>
        <w:tc>
          <w:tcPr>
            <w:tcW w:w="632" w:type="pct"/>
            <w:shd w:val="clear" w:color="auto" w:fill="auto"/>
          </w:tcPr>
          <w:p w14:paraId="5978E3DC"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0.0011**</w:t>
            </w:r>
          </w:p>
        </w:tc>
        <w:tc>
          <w:tcPr>
            <w:tcW w:w="580" w:type="pct"/>
            <w:shd w:val="clear" w:color="auto" w:fill="auto"/>
          </w:tcPr>
          <w:p w14:paraId="0DCA4551"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5.892</w:t>
            </w:r>
          </w:p>
        </w:tc>
      </w:tr>
      <w:tr w:rsidR="00FE7259" w:rsidRPr="00497F72" w14:paraId="313FA5C4" w14:textId="77777777" w:rsidTr="000F4E3A">
        <w:tc>
          <w:tcPr>
            <w:cnfStyle w:val="001000000000" w:firstRow="0" w:lastRow="0" w:firstColumn="1" w:lastColumn="0" w:oddVBand="0" w:evenVBand="0" w:oddHBand="0" w:evenHBand="0" w:firstRowFirstColumn="0" w:firstRowLastColumn="0" w:lastRowFirstColumn="0" w:lastRowLastColumn="0"/>
            <w:tcW w:w="1889" w:type="pct"/>
          </w:tcPr>
          <w:p w14:paraId="49359E02"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Mean (±SE) no. of morulae cells</w:t>
            </w:r>
          </w:p>
        </w:tc>
        <w:tc>
          <w:tcPr>
            <w:tcW w:w="918" w:type="pct"/>
          </w:tcPr>
          <w:p w14:paraId="28FB9615" w14:textId="77777777" w:rsidR="00FE7259" w:rsidRPr="00497F72" w:rsidRDefault="00FE7259" w:rsidP="007020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3</w:t>
            </w:r>
          </w:p>
          <w:p w14:paraId="56B977EC" w14:textId="77777777" w:rsidR="00FE7259" w:rsidRPr="00497F72" w:rsidRDefault="00FE7259" w:rsidP="007020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(0.75±0.25)</w:t>
            </w:r>
            <w:r w:rsidRPr="00497F72">
              <w:rPr>
                <w:rFonts w:ascii="Times New Roman" w:hAnsi="Times New Roman" w:cs="Times New Roman"/>
                <w:vertAlign w:val="superscript"/>
              </w:rPr>
              <w:t xml:space="preserve"> A</w:t>
            </w:r>
          </w:p>
        </w:tc>
        <w:tc>
          <w:tcPr>
            <w:tcW w:w="982" w:type="pct"/>
          </w:tcPr>
          <w:p w14:paraId="243A7FD6" w14:textId="77777777" w:rsidR="00FE7259" w:rsidRPr="00497F72" w:rsidRDefault="00FE7259" w:rsidP="007020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10</w:t>
            </w:r>
          </w:p>
          <w:p w14:paraId="73470C2E" w14:textId="77777777" w:rsidR="00FE7259" w:rsidRPr="00497F72" w:rsidRDefault="00FE7259" w:rsidP="007020C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(2.50±0.29)</w:t>
            </w:r>
            <w:r w:rsidRPr="00497F72">
              <w:rPr>
                <w:rFonts w:ascii="Times New Roman" w:hAnsi="Times New Roman" w:cs="Times New Roman"/>
                <w:vertAlign w:val="superscript"/>
              </w:rPr>
              <w:t xml:space="preserve"> B</w:t>
            </w:r>
          </w:p>
        </w:tc>
        <w:tc>
          <w:tcPr>
            <w:tcW w:w="632" w:type="pct"/>
          </w:tcPr>
          <w:p w14:paraId="07AB3FF1"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0.0038**</w:t>
            </w:r>
          </w:p>
        </w:tc>
        <w:tc>
          <w:tcPr>
            <w:tcW w:w="580" w:type="pct"/>
          </w:tcPr>
          <w:p w14:paraId="4FC0C483" w14:textId="77777777" w:rsidR="00FE7259" w:rsidRPr="00497F72" w:rsidRDefault="00FE7259"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4.583</w:t>
            </w:r>
          </w:p>
        </w:tc>
      </w:tr>
      <w:tr w:rsidR="00FE7259" w:rsidRPr="00497F72" w14:paraId="322BF40E" w14:textId="77777777" w:rsidTr="000F4E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9" w:type="pct"/>
            <w:tcBorders>
              <w:bottom w:val="single" w:sz="18" w:space="0" w:color="auto"/>
            </w:tcBorders>
            <w:shd w:val="clear" w:color="auto" w:fill="auto"/>
          </w:tcPr>
          <w:p w14:paraId="71C71150" w14:textId="77777777" w:rsidR="00FE7259" w:rsidRPr="00497F72" w:rsidRDefault="00FE7259" w:rsidP="007020CF">
            <w:pPr>
              <w:spacing w:before="120"/>
              <w:rPr>
                <w:rFonts w:ascii="Times New Roman" w:hAnsi="Times New Roman" w:cs="Times New Roman"/>
                <w:b w:val="0"/>
                <w:bCs w:val="0"/>
              </w:rPr>
            </w:pPr>
            <w:r w:rsidRPr="00497F72">
              <w:rPr>
                <w:rFonts w:ascii="Times New Roman" w:hAnsi="Times New Roman" w:cs="Times New Roman"/>
                <w:b w:val="0"/>
                <w:bCs w:val="0"/>
              </w:rPr>
              <w:t>Mean (±SE) no. of blastocyst</w:t>
            </w:r>
          </w:p>
        </w:tc>
        <w:tc>
          <w:tcPr>
            <w:tcW w:w="918" w:type="pct"/>
            <w:tcBorders>
              <w:bottom w:val="single" w:sz="18" w:space="0" w:color="auto"/>
            </w:tcBorders>
            <w:shd w:val="clear" w:color="auto" w:fill="auto"/>
          </w:tcPr>
          <w:p w14:paraId="7CF02458" w14:textId="77777777" w:rsidR="00FE7259" w:rsidRPr="00497F72" w:rsidRDefault="00FE7259" w:rsidP="007020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1</w:t>
            </w:r>
          </w:p>
          <w:p w14:paraId="23AF2E98" w14:textId="77777777" w:rsidR="00FE7259" w:rsidRPr="00497F72" w:rsidRDefault="00FE7259" w:rsidP="007020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(0.25±0.15)</w:t>
            </w:r>
            <w:r w:rsidRPr="00497F72">
              <w:rPr>
                <w:rFonts w:ascii="Times New Roman" w:hAnsi="Times New Roman" w:cs="Times New Roman"/>
                <w:vertAlign w:val="superscript"/>
              </w:rPr>
              <w:t xml:space="preserve"> A</w:t>
            </w:r>
          </w:p>
        </w:tc>
        <w:tc>
          <w:tcPr>
            <w:tcW w:w="982" w:type="pct"/>
            <w:tcBorders>
              <w:bottom w:val="single" w:sz="18" w:space="0" w:color="auto"/>
            </w:tcBorders>
            <w:shd w:val="clear" w:color="auto" w:fill="auto"/>
          </w:tcPr>
          <w:p w14:paraId="129B42FB" w14:textId="77777777" w:rsidR="00FE7259" w:rsidRPr="00497F72" w:rsidRDefault="00FE7259" w:rsidP="007020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7</w:t>
            </w:r>
          </w:p>
          <w:p w14:paraId="69654EC7" w14:textId="77777777" w:rsidR="00FE7259" w:rsidRPr="00497F72" w:rsidRDefault="00FE7259" w:rsidP="007020C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(1.75±0.25)</w:t>
            </w:r>
            <w:r w:rsidRPr="00497F72">
              <w:rPr>
                <w:rFonts w:ascii="Times New Roman" w:hAnsi="Times New Roman" w:cs="Times New Roman"/>
                <w:vertAlign w:val="superscript"/>
              </w:rPr>
              <w:t xml:space="preserve"> B</w:t>
            </w:r>
          </w:p>
        </w:tc>
        <w:tc>
          <w:tcPr>
            <w:tcW w:w="632" w:type="pct"/>
            <w:tcBorders>
              <w:bottom w:val="single" w:sz="18" w:space="0" w:color="auto"/>
            </w:tcBorders>
            <w:shd w:val="clear" w:color="auto" w:fill="auto"/>
          </w:tcPr>
          <w:p w14:paraId="6E8C1FF3"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0.0054**</w:t>
            </w:r>
          </w:p>
        </w:tc>
        <w:tc>
          <w:tcPr>
            <w:tcW w:w="580" w:type="pct"/>
            <w:tcBorders>
              <w:bottom w:val="single" w:sz="18" w:space="0" w:color="auto"/>
            </w:tcBorders>
            <w:shd w:val="clear" w:color="auto" w:fill="auto"/>
          </w:tcPr>
          <w:p w14:paraId="10B2B08E" w14:textId="77777777" w:rsidR="00FE7259" w:rsidRPr="00497F72" w:rsidRDefault="00FE7259"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4.243</w:t>
            </w:r>
          </w:p>
        </w:tc>
      </w:tr>
    </w:tbl>
    <w:p w14:paraId="5B3E86F7" w14:textId="77777777" w:rsidR="000F4E3A" w:rsidRPr="00497F72" w:rsidRDefault="000F4E3A" w:rsidP="000F4E3A">
      <w:pPr>
        <w:spacing w:after="0" w:line="240" w:lineRule="auto"/>
        <w:jc w:val="both"/>
        <w:rPr>
          <w:rFonts w:ascii="Times New Roman" w:hAnsi="Times New Roman" w:cs="Times New Roman"/>
        </w:rPr>
      </w:pPr>
      <w:r w:rsidRPr="00497F72">
        <w:rPr>
          <w:rFonts w:ascii="Times New Roman" w:hAnsi="Times New Roman" w:cs="Times New Roman"/>
        </w:rPr>
        <w:t>Values bearing different superscripts (A, B) within a row differ significantly (p&lt;0.05)</w:t>
      </w:r>
    </w:p>
    <w:p w14:paraId="08CC8F52" w14:textId="77777777" w:rsidR="000F4E3A" w:rsidRPr="00497F72" w:rsidRDefault="000F4E3A" w:rsidP="000F4E3A">
      <w:pPr>
        <w:spacing w:after="0" w:line="240" w:lineRule="auto"/>
        <w:jc w:val="both"/>
        <w:rPr>
          <w:rFonts w:ascii="Times New Roman" w:hAnsi="Times New Roman" w:cs="Times New Roman"/>
        </w:rPr>
      </w:pPr>
    </w:p>
    <w:p w14:paraId="2AA2EB3F" w14:textId="77777777" w:rsidR="000F4E3A" w:rsidRPr="00497F72" w:rsidRDefault="000F4E3A" w:rsidP="000F4E3A">
      <w:pPr>
        <w:spacing w:after="0" w:line="240" w:lineRule="auto"/>
        <w:ind w:left="993" w:hanging="993"/>
        <w:jc w:val="both"/>
        <w:rPr>
          <w:rFonts w:ascii="Times New Roman" w:hAnsi="Times New Roman" w:cs="Times New Roman"/>
          <w:b/>
          <w:bCs/>
        </w:rPr>
      </w:pPr>
      <w:r w:rsidRPr="00497F72">
        <w:rPr>
          <w:rFonts w:ascii="Times New Roman" w:hAnsi="Times New Roman" w:cs="Times New Roman"/>
          <w:b/>
          <w:bCs/>
        </w:rPr>
        <w:t xml:space="preserve">Table 2: Maturation rate, cleavage rate, 8 cell percentage, morula percentage and blastocyst rate (mean ± SEM) in Sahiwal cows pre-stimulated with FSH and </w:t>
      </w:r>
      <w:r w:rsidR="003F66B6" w:rsidRPr="00497F72">
        <w:rPr>
          <w:rFonts w:ascii="Times New Roman" w:hAnsi="Times New Roman" w:cs="Times New Roman"/>
          <w:b/>
          <w:bCs/>
        </w:rPr>
        <w:t>non-</w:t>
      </w:r>
      <w:r w:rsidRPr="00497F72">
        <w:rPr>
          <w:rFonts w:ascii="Times New Roman" w:hAnsi="Times New Roman" w:cs="Times New Roman"/>
          <w:b/>
          <w:bCs/>
        </w:rPr>
        <w:t>stimulated (control).</w:t>
      </w:r>
    </w:p>
    <w:tbl>
      <w:tblPr>
        <w:tblStyle w:val="ListTable1Light"/>
        <w:tblW w:w="4976" w:type="pct"/>
        <w:tblLook w:val="04A0" w:firstRow="1" w:lastRow="0" w:firstColumn="1" w:lastColumn="0" w:noHBand="0" w:noVBand="1"/>
      </w:tblPr>
      <w:tblGrid>
        <w:gridCol w:w="3026"/>
        <w:gridCol w:w="1937"/>
        <w:gridCol w:w="1843"/>
        <w:gridCol w:w="1135"/>
        <w:gridCol w:w="1042"/>
      </w:tblGrid>
      <w:tr w:rsidR="000F4E3A" w:rsidRPr="00497F72" w14:paraId="1C911ABD" w14:textId="77777777" w:rsidTr="00702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top w:val="single" w:sz="12" w:space="0" w:color="auto"/>
              <w:bottom w:val="single" w:sz="12" w:space="0" w:color="auto"/>
            </w:tcBorders>
          </w:tcPr>
          <w:p w14:paraId="47279B0A" w14:textId="77777777" w:rsidR="000F4E3A" w:rsidRPr="00497F72" w:rsidRDefault="000F4E3A" w:rsidP="007020CF">
            <w:pPr>
              <w:rPr>
                <w:rFonts w:ascii="Times New Roman" w:hAnsi="Times New Roman" w:cs="Times New Roman"/>
              </w:rPr>
            </w:pPr>
            <w:r w:rsidRPr="00497F72">
              <w:rPr>
                <w:rFonts w:ascii="Times New Roman" w:hAnsi="Times New Roman" w:cs="Times New Roman"/>
              </w:rPr>
              <w:t>Attributes</w:t>
            </w:r>
          </w:p>
        </w:tc>
        <w:tc>
          <w:tcPr>
            <w:tcW w:w="1078" w:type="pct"/>
            <w:tcBorders>
              <w:top w:val="single" w:sz="12" w:space="0" w:color="auto"/>
              <w:bottom w:val="single" w:sz="12" w:space="0" w:color="auto"/>
            </w:tcBorders>
          </w:tcPr>
          <w:p w14:paraId="5573AF97" w14:textId="77777777" w:rsidR="000F4E3A" w:rsidRPr="00497F72" w:rsidRDefault="000F4E3A" w:rsidP="007020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97F72">
              <w:rPr>
                <w:rFonts w:ascii="Times New Roman" w:hAnsi="Times New Roman" w:cs="Times New Roman"/>
              </w:rPr>
              <w:t>Group-I</w:t>
            </w:r>
          </w:p>
          <w:p w14:paraId="52240F58" w14:textId="77777777" w:rsidR="000F4E3A" w:rsidRPr="00497F72" w:rsidRDefault="000F4E3A" w:rsidP="007020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97F72">
              <w:rPr>
                <w:rFonts w:ascii="Times New Roman" w:hAnsi="Times New Roman" w:cs="Times New Roman"/>
              </w:rPr>
              <w:t>(n=6, non-stimulated)</w:t>
            </w:r>
          </w:p>
        </w:tc>
        <w:tc>
          <w:tcPr>
            <w:tcW w:w="1026" w:type="pct"/>
            <w:tcBorders>
              <w:top w:val="single" w:sz="12" w:space="0" w:color="auto"/>
              <w:bottom w:val="single" w:sz="12" w:space="0" w:color="auto"/>
            </w:tcBorders>
          </w:tcPr>
          <w:p w14:paraId="4C6D747E" w14:textId="77777777" w:rsidR="000F4E3A" w:rsidRPr="00497F72" w:rsidRDefault="000F4E3A" w:rsidP="007020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97F72">
              <w:rPr>
                <w:rFonts w:ascii="Times New Roman" w:hAnsi="Times New Roman" w:cs="Times New Roman"/>
              </w:rPr>
              <w:t>Group-II</w:t>
            </w:r>
          </w:p>
          <w:p w14:paraId="1E1AD13B" w14:textId="77777777" w:rsidR="000F4E3A" w:rsidRPr="00497F72" w:rsidRDefault="000F4E3A" w:rsidP="007020C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497F72">
              <w:rPr>
                <w:rFonts w:ascii="Times New Roman" w:hAnsi="Times New Roman" w:cs="Times New Roman"/>
              </w:rPr>
              <w:t>(n=6, FSH-stimulated)</w:t>
            </w:r>
          </w:p>
        </w:tc>
        <w:tc>
          <w:tcPr>
            <w:tcW w:w="632" w:type="pct"/>
            <w:tcBorders>
              <w:top w:val="single" w:sz="12" w:space="0" w:color="auto"/>
              <w:bottom w:val="single" w:sz="12" w:space="0" w:color="auto"/>
            </w:tcBorders>
          </w:tcPr>
          <w:p w14:paraId="05D9748B" w14:textId="77777777" w:rsidR="000F4E3A" w:rsidRPr="00497F72" w:rsidRDefault="000F4E3A" w:rsidP="007020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P value</w:t>
            </w:r>
          </w:p>
        </w:tc>
        <w:tc>
          <w:tcPr>
            <w:tcW w:w="580" w:type="pct"/>
            <w:tcBorders>
              <w:top w:val="single" w:sz="12" w:space="0" w:color="auto"/>
              <w:bottom w:val="single" w:sz="12" w:space="0" w:color="auto"/>
            </w:tcBorders>
          </w:tcPr>
          <w:p w14:paraId="02589D24" w14:textId="77777777" w:rsidR="000F4E3A" w:rsidRPr="00497F72" w:rsidRDefault="000F4E3A" w:rsidP="007020C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t value</w:t>
            </w:r>
          </w:p>
        </w:tc>
      </w:tr>
      <w:tr w:rsidR="000F4E3A" w:rsidRPr="00497F72" w14:paraId="2A8D8737" w14:textId="77777777" w:rsidTr="0070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shd w:val="clear" w:color="auto" w:fill="auto"/>
          </w:tcPr>
          <w:p w14:paraId="05BB8208" w14:textId="77777777" w:rsidR="000F4E3A" w:rsidRPr="00497F72" w:rsidRDefault="000F4E3A" w:rsidP="007020CF">
            <w:pPr>
              <w:spacing w:before="120"/>
              <w:rPr>
                <w:rFonts w:ascii="Times New Roman" w:hAnsi="Times New Roman" w:cs="Times New Roman"/>
                <w:b w:val="0"/>
                <w:bCs w:val="0"/>
              </w:rPr>
            </w:pPr>
            <w:r w:rsidRPr="00497F72">
              <w:rPr>
                <w:rFonts w:ascii="Times New Roman" w:hAnsi="Times New Roman" w:cs="Times New Roman"/>
                <w:b w:val="0"/>
                <w:bCs w:val="0"/>
              </w:rPr>
              <w:t>Maturation rate (%)</w:t>
            </w:r>
          </w:p>
        </w:tc>
        <w:tc>
          <w:tcPr>
            <w:tcW w:w="1078" w:type="pct"/>
            <w:shd w:val="clear" w:color="auto" w:fill="auto"/>
          </w:tcPr>
          <w:p w14:paraId="05782E53" w14:textId="77777777" w:rsidR="000F4E3A" w:rsidRPr="00497F72" w:rsidRDefault="000F4E3A"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54.00</w:t>
            </w:r>
            <w:r w:rsidRPr="00497F72">
              <w:rPr>
                <w:rFonts w:ascii="Times New Roman" w:hAnsi="Times New Roman" w:cs="Times New Roman"/>
                <w:b/>
                <w:bCs/>
              </w:rPr>
              <w:t>±</w:t>
            </w:r>
            <w:r w:rsidRPr="00497F72">
              <w:rPr>
                <w:rFonts w:ascii="Times New Roman" w:eastAsia="Times New Roman" w:hAnsi="Times New Roman" w:cs="Times New Roman"/>
                <w:kern w:val="0"/>
                <w:lang w:eastAsia="en-IN" w:bidi="hi-IN"/>
                <w14:ligatures w14:val="none"/>
              </w:rPr>
              <w:t>3.34</w:t>
            </w:r>
            <w:r w:rsidRPr="00497F72">
              <w:rPr>
                <w:rFonts w:ascii="Times New Roman" w:eastAsia="Times New Roman" w:hAnsi="Times New Roman" w:cs="Times New Roman"/>
                <w:kern w:val="0"/>
                <w:vertAlign w:val="superscript"/>
                <w:lang w:eastAsia="en-IN" w:bidi="hi-IN"/>
                <w14:ligatures w14:val="none"/>
              </w:rPr>
              <w:t>A</w:t>
            </w:r>
          </w:p>
        </w:tc>
        <w:tc>
          <w:tcPr>
            <w:tcW w:w="1026" w:type="pct"/>
            <w:shd w:val="clear" w:color="auto" w:fill="auto"/>
          </w:tcPr>
          <w:p w14:paraId="6E95C937" w14:textId="77777777" w:rsidR="000F4E3A" w:rsidRPr="00497F72" w:rsidRDefault="000F4E3A"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69.75</w:t>
            </w:r>
            <w:r w:rsidRPr="00497F72">
              <w:rPr>
                <w:rFonts w:ascii="Times New Roman" w:hAnsi="Times New Roman" w:cs="Times New Roman"/>
                <w:b/>
                <w:bCs/>
              </w:rPr>
              <w:t>±</w:t>
            </w:r>
            <w:r w:rsidRPr="00497F72">
              <w:rPr>
                <w:rFonts w:ascii="Times New Roman" w:eastAsia="Times New Roman" w:hAnsi="Times New Roman" w:cs="Times New Roman"/>
                <w:kern w:val="0"/>
                <w:lang w:eastAsia="en-IN" w:bidi="hi-IN"/>
                <w14:ligatures w14:val="none"/>
              </w:rPr>
              <w:t>3.35</w:t>
            </w:r>
            <w:r w:rsidRPr="00497F72">
              <w:rPr>
                <w:rFonts w:ascii="Times New Roman" w:eastAsia="Times New Roman" w:hAnsi="Times New Roman" w:cs="Times New Roman"/>
                <w:kern w:val="0"/>
                <w:vertAlign w:val="superscript"/>
                <w:lang w:eastAsia="en-IN" w:bidi="hi-IN"/>
                <w14:ligatures w14:val="none"/>
              </w:rPr>
              <w:t>B</w:t>
            </w:r>
          </w:p>
        </w:tc>
        <w:tc>
          <w:tcPr>
            <w:tcW w:w="632" w:type="pct"/>
            <w:shd w:val="clear" w:color="auto" w:fill="auto"/>
          </w:tcPr>
          <w:p w14:paraId="0355437D" w14:textId="77777777" w:rsidR="000F4E3A" w:rsidRPr="00497F72" w:rsidRDefault="000F4E3A"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0.0158*</w:t>
            </w:r>
          </w:p>
        </w:tc>
        <w:tc>
          <w:tcPr>
            <w:tcW w:w="580" w:type="pct"/>
            <w:shd w:val="clear" w:color="auto" w:fill="auto"/>
          </w:tcPr>
          <w:p w14:paraId="790AB34D" w14:textId="77777777" w:rsidR="000F4E3A" w:rsidRPr="00497F72" w:rsidRDefault="000F4E3A"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3.328*</w:t>
            </w:r>
          </w:p>
        </w:tc>
      </w:tr>
      <w:tr w:rsidR="000F4E3A" w:rsidRPr="00497F72" w14:paraId="4B423006" w14:textId="77777777" w:rsidTr="007020CF">
        <w:tc>
          <w:tcPr>
            <w:cnfStyle w:val="001000000000" w:firstRow="0" w:lastRow="0" w:firstColumn="1" w:lastColumn="0" w:oddVBand="0" w:evenVBand="0" w:oddHBand="0" w:evenHBand="0" w:firstRowFirstColumn="0" w:firstRowLastColumn="0" w:lastRowFirstColumn="0" w:lastRowLastColumn="0"/>
            <w:tcW w:w="1684" w:type="pct"/>
          </w:tcPr>
          <w:p w14:paraId="1289054D" w14:textId="77777777" w:rsidR="000F4E3A" w:rsidRPr="00497F72" w:rsidRDefault="000F4E3A" w:rsidP="007020CF">
            <w:pPr>
              <w:spacing w:before="120"/>
              <w:rPr>
                <w:rFonts w:ascii="Times New Roman" w:hAnsi="Times New Roman" w:cs="Times New Roman"/>
                <w:b w:val="0"/>
                <w:bCs w:val="0"/>
              </w:rPr>
            </w:pPr>
            <w:r w:rsidRPr="00497F72">
              <w:rPr>
                <w:rFonts w:ascii="Times New Roman" w:hAnsi="Times New Roman" w:cs="Times New Roman"/>
                <w:b w:val="0"/>
                <w:bCs w:val="0"/>
              </w:rPr>
              <w:t>Cleavage rate (%)</w:t>
            </w:r>
          </w:p>
        </w:tc>
        <w:tc>
          <w:tcPr>
            <w:tcW w:w="1078" w:type="pct"/>
          </w:tcPr>
          <w:p w14:paraId="2D9D16EB" w14:textId="77777777" w:rsidR="000F4E3A" w:rsidRPr="00497F72" w:rsidRDefault="000F4E3A"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63.00</w:t>
            </w:r>
            <w:r w:rsidRPr="00497F72">
              <w:rPr>
                <w:rFonts w:ascii="Times New Roman" w:hAnsi="Times New Roman" w:cs="Times New Roman"/>
                <w:b/>
                <w:bCs/>
              </w:rPr>
              <w:t>±</w:t>
            </w:r>
            <w:r w:rsidRPr="00497F72">
              <w:rPr>
                <w:rFonts w:ascii="Times New Roman" w:eastAsia="Times New Roman" w:hAnsi="Times New Roman" w:cs="Times New Roman"/>
                <w:kern w:val="0"/>
                <w:lang w:eastAsia="en-IN" w:bidi="hi-IN"/>
                <w14:ligatures w14:val="none"/>
              </w:rPr>
              <w:t>4.06</w:t>
            </w:r>
            <w:r w:rsidRPr="00497F72">
              <w:rPr>
                <w:rFonts w:ascii="Times New Roman" w:eastAsia="Times New Roman" w:hAnsi="Times New Roman" w:cs="Times New Roman"/>
                <w:kern w:val="0"/>
                <w:vertAlign w:val="superscript"/>
                <w:lang w:eastAsia="en-IN" w:bidi="hi-IN"/>
                <w14:ligatures w14:val="none"/>
              </w:rPr>
              <w:t>A</w:t>
            </w:r>
          </w:p>
        </w:tc>
        <w:tc>
          <w:tcPr>
            <w:tcW w:w="1026" w:type="pct"/>
          </w:tcPr>
          <w:p w14:paraId="7E84F4D5" w14:textId="77777777" w:rsidR="000F4E3A" w:rsidRPr="00497F72" w:rsidRDefault="000F4E3A"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76.00</w:t>
            </w:r>
            <w:r w:rsidRPr="00497F72">
              <w:rPr>
                <w:rFonts w:ascii="Times New Roman" w:hAnsi="Times New Roman" w:cs="Times New Roman"/>
                <w:b/>
                <w:bCs/>
              </w:rPr>
              <w:t>±</w:t>
            </w:r>
            <w:r w:rsidRPr="00497F72">
              <w:rPr>
                <w:rFonts w:ascii="Times New Roman" w:eastAsia="Times New Roman" w:hAnsi="Times New Roman" w:cs="Times New Roman"/>
                <w:kern w:val="0"/>
                <w:lang w:eastAsia="en-IN" w:bidi="hi-IN"/>
                <w14:ligatures w14:val="none"/>
              </w:rPr>
              <w:t>2.52</w:t>
            </w:r>
            <w:r w:rsidRPr="00497F72">
              <w:rPr>
                <w:rFonts w:ascii="Times New Roman" w:eastAsia="Times New Roman" w:hAnsi="Times New Roman" w:cs="Times New Roman"/>
                <w:kern w:val="0"/>
                <w:vertAlign w:val="superscript"/>
                <w:lang w:eastAsia="en-IN" w:bidi="hi-IN"/>
                <w14:ligatures w14:val="none"/>
              </w:rPr>
              <w:t>B</w:t>
            </w:r>
          </w:p>
        </w:tc>
        <w:tc>
          <w:tcPr>
            <w:tcW w:w="632" w:type="pct"/>
          </w:tcPr>
          <w:p w14:paraId="4DB189D0" w14:textId="77777777" w:rsidR="000F4E3A" w:rsidRPr="00497F72" w:rsidRDefault="000F4E3A"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0.0346*</w:t>
            </w:r>
          </w:p>
        </w:tc>
        <w:tc>
          <w:tcPr>
            <w:tcW w:w="580" w:type="pct"/>
          </w:tcPr>
          <w:p w14:paraId="2F00C2E9" w14:textId="77777777" w:rsidR="000F4E3A" w:rsidRPr="00497F72" w:rsidRDefault="000F4E3A"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2.721*</w:t>
            </w:r>
          </w:p>
        </w:tc>
      </w:tr>
      <w:tr w:rsidR="000F4E3A" w:rsidRPr="00497F72" w14:paraId="53D7048B" w14:textId="77777777" w:rsidTr="0070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shd w:val="clear" w:color="auto" w:fill="auto"/>
          </w:tcPr>
          <w:p w14:paraId="453925AE" w14:textId="77777777" w:rsidR="000F4E3A" w:rsidRPr="00497F72" w:rsidRDefault="000F4E3A" w:rsidP="007020CF">
            <w:pPr>
              <w:spacing w:before="120"/>
              <w:rPr>
                <w:rFonts w:ascii="Times New Roman" w:hAnsi="Times New Roman" w:cs="Times New Roman"/>
                <w:b w:val="0"/>
                <w:bCs w:val="0"/>
              </w:rPr>
            </w:pPr>
            <w:r w:rsidRPr="00497F72">
              <w:rPr>
                <w:rFonts w:ascii="Times New Roman" w:hAnsi="Times New Roman" w:cs="Times New Roman"/>
                <w:b w:val="0"/>
                <w:bCs w:val="0"/>
              </w:rPr>
              <w:t>8 cells %</w:t>
            </w:r>
          </w:p>
        </w:tc>
        <w:tc>
          <w:tcPr>
            <w:tcW w:w="1078" w:type="pct"/>
            <w:shd w:val="clear" w:color="auto" w:fill="auto"/>
          </w:tcPr>
          <w:p w14:paraId="3C675356" w14:textId="77777777" w:rsidR="000F4E3A" w:rsidRPr="00497F72" w:rsidRDefault="000F4E3A"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eastAsia="Times New Roman" w:hAnsi="Times New Roman" w:cs="Times New Roman"/>
                <w:kern w:val="0"/>
                <w:lang w:eastAsia="en-IN" w:bidi="hi-IN"/>
                <w14:ligatures w14:val="none"/>
              </w:rPr>
              <w:t>39.25</w:t>
            </w:r>
            <w:r w:rsidRPr="00497F72">
              <w:rPr>
                <w:rFonts w:ascii="Times New Roman" w:hAnsi="Times New Roman" w:cs="Times New Roman"/>
              </w:rPr>
              <w:t>±4</w:t>
            </w:r>
            <w:r w:rsidRPr="00497F72">
              <w:rPr>
                <w:rFonts w:ascii="Times New Roman" w:eastAsia="Times New Roman" w:hAnsi="Times New Roman" w:cs="Times New Roman"/>
                <w:kern w:val="0"/>
                <w:lang w:eastAsia="en-IN" w:bidi="hi-IN"/>
                <w14:ligatures w14:val="none"/>
              </w:rPr>
              <w:t>.11</w:t>
            </w:r>
            <w:r w:rsidRPr="00497F72">
              <w:rPr>
                <w:rFonts w:ascii="Times New Roman" w:eastAsia="Times New Roman" w:hAnsi="Times New Roman" w:cs="Times New Roman"/>
                <w:kern w:val="0"/>
                <w:vertAlign w:val="superscript"/>
                <w:lang w:eastAsia="en-IN" w:bidi="hi-IN"/>
                <w14:ligatures w14:val="none"/>
              </w:rPr>
              <w:t>A</w:t>
            </w:r>
          </w:p>
        </w:tc>
        <w:tc>
          <w:tcPr>
            <w:tcW w:w="1026" w:type="pct"/>
            <w:shd w:val="clear" w:color="auto" w:fill="auto"/>
          </w:tcPr>
          <w:p w14:paraId="62F4DCE3" w14:textId="77777777" w:rsidR="000F4E3A" w:rsidRPr="00497F72" w:rsidRDefault="000F4E3A"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63.01±1.73</w:t>
            </w:r>
            <w:r w:rsidRPr="00497F72">
              <w:rPr>
                <w:rFonts w:ascii="Times New Roman" w:hAnsi="Times New Roman" w:cs="Times New Roman"/>
                <w:vertAlign w:val="superscript"/>
              </w:rPr>
              <w:t>B</w:t>
            </w:r>
          </w:p>
        </w:tc>
        <w:tc>
          <w:tcPr>
            <w:tcW w:w="632" w:type="pct"/>
            <w:shd w:val="clear" w:color="auto" w:fill="auto"/>
          </w:tcPr>
          <w:p w14:paraId="66CAD7B7" w14:textId="77777777" w:rsidR="000F4E3A" w:rsidRPr="00497F72" w:rsidRDefault="000F4E3A"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0.0429*</w:t>
            </w:r>
          </w:p>
        </w:tc>
        <w:tc>
          <w:tcPr>
            <w:tcW w:w="580" w:type="pct"/>
            <w:shd w:val="clear" w:color="auto" w:fill="auto"/>
          </w:tcPr>
          <w:p w14:paraId="0EC26CDD" w14:textId="77777777" w:rsidR="000F4E3A" w:rsidRPr="00497F72" w:rsidRDefault="000F4E3A"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2.560*</w:t>
            </w:r>
          </w:p>
        </w:tc>
      </w:tr>
      <w:tr w:rsidR="000F4E3A" w:rsidRPr="00497F72" w14:paraId="04F11DB3" w14:textId="77777777" w:rsidTr="007020CF">
        <w:tc>
          <w:tcPr>
            <w:cnfStyle w:val="001000000000" w:firstRow="0" w:lastRow="0" w:firstColumn="1" w:lastColumn="0" w:oddVBand="0" w:evenVBand="0" w:oddHBand="0" w:evenHBand="0" w:firstRowFirstColumn="0" w:firstRowLastColumn="0" w:lastRowFirstColumn="0" w:lastRowLastColumn="0"/>
            <w:tcW w:w="1684" w:type="pct"/>
          </w:tcPr>
          <w:p w14:paraId="7AD6336A" w14:textId="77777777" w:rsidR="000F4E3A" w:rsidRPr="00497F72" w:rsidRDefault="000F4E3A" w:rsidP="007020CF">
            <w:pPr>
              <w:spacing w:before="120"/>
              <w:rPr>
                <w:rFonts w:ascii="Times New Roman" w:hAnsi="Times New Roman" w:cs="Times New Roman"/>
                <w:b w:val="0"/>
                <w:bCs w:val="0"/>
              </w:rPr>
            </w:pPr>
            <w:r w:rsidRPr="00497F72">
              <w:rPr>
                <w:rFonts w:ascii="Times New Roman" w:hAnsi="Times New Roman" w:cs="Times New Roman"/>
                <w:b w:val="0"/>
                <w:bCs w:val="0"/>
              </w:rPr>
              <w:t>Morula</w:t>
            </w:r>
            <w:r w:rsidR="00691575" w:rsidRPr="00497F72">
              <w:rPr>
                <w:rFonts w:ascii="Times New Roman" w:hAnsi="Times New Roman" w:cs="Times New Roman"/>
                <w:b w:val="0"/>
                <w:bCs w:val="0"/>
              </w:rPr>
              <w:t>e</w:t>
            </w:r>
            <w:r w:rsidRPr="00497F72">
              <w:rPr>
                <w:rFonts w:ascii="Times New Roman" w:hAnsi="Times New Roman" w:cs="Times New Roman"/>
                <w:b w:val="0"/>
                <w:bCs w:val="0"/>
              </w:rPr>
              <w:t xml:space="preserve"> (%)</w:t>
            </w:r>
          </w:p>
        </w:tc>
        <w:tc>
          <w:tcPr>
            <w:tcW w:w="1078" w:type="pct"/>
          </w:tcPr>
          <w:p w14:paraId="067F716E" w14:textId="77777777" w:rsidR="000F4E3A" w:rsidRPr="00497F72" w:rsidRDefault="000F4E3A"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22.75±7.81</w:t>
            </w:r>
            <w:r w:rsidRPr="00497F72">
              <w:rPr>
                <w:rFonts w:ascii="Times New Roman" w:hAnsi="Times New Roman" w:cs="Times New Roman"/>
                <w:vertAlign w:val="superscript"/>
              </w:rPr>
              <w:t>A</w:t>
            </w:r>
          </w:p>
        </w:tc>
        <w:tc>
          <w:tcPr>
            <w:tcW w:w="1026" w:type="pct"/>
          </w:tcPr>
          <w:p w14:paraId="622F4F9E" w14:textId="77777777" w:rsidR="000F4E3A" w:rsidRPr="00497F72" w:rsidRDefault="000F4E3A" w:rsidP="007020CF">
            <w:pPr>
              <w:spacing w:before="12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45.00±2.89</w:t>
            </w:r>
            <w:r w:rsidRPr="00497F72">
              <w:rPr>
                <w:rFonts w:ascii="Times New Roman" w:hAnsi="Times New Roman" w:cs="Times New Roman"/>
                <w:vertAlign w:val="superscript"/>
              </w:rPr>
              <w:t>B</w:t>
            </w:r>
          </w:p>
        </w:tc>
        <w:tc>
          <w:tcPr>
            <w:tcW w:w="632" w:type="pct"/>
          </w:tcPr>
          <w:p w14:paraId="4C0E4540" w14:textId="77777777" w:rsidR="000F4E3A" w:rsidRPr="00497F72" w:rsidRDefault="000F4E3A"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0.0144*</w:t>
            </w:r>
          </w:p>
        </w:tc>
        <w:tc>
          <w:tcPr>
            <w:tcW w:w="580" w:type="pct"/>
          </w:tcPr>
          <w:p w14:paraId="5A8394D2" w14:textId="77777777" w:rsidR="000F4E3A" w:rsidRPr="00497F72" w:rsidRDefault="000F4E3A" w:rsidP="007020CF">
            <w:pPr>
              <w:spacing w:before="1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2.671*</w:t>
            </w:r>
          </w:p>
        </w:tc>
      </w:tr>
      <w:tr w:rsidR="000F4E3A" w:rsidRPr="00497F72" w14:paraId="63ADD111" w14:textId="77777777" w:rsidTr="007020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pct"/>
            <w:tcBorders>
              <w:bottom w:val="single" w:sz="18" w:space="0" w:color="auto"/>
            </w:tcBorders>
            <w:shd w:val="clear" w:color="auto" w:fill="auto"/>
          </w:tcPr>
          <w:p w14:paraId="310D1499" w14:textId="77777777" w:rsidR="000F4E3A" w:rsidRPr="00497F72" w:rsidRDefault="000F4E3A" w:rsidP="007020CF">
            <w:pPr>
              <w:spacing w:before="120"/>
              <w:rPr>
                <w:rFonts w:ascii="Times New Roman" w:hAnsi="Times New Roman" w:cs="Times New Roman"/>
                <w:b w:val="0"/>
                <w:bCs w:val="0"/>
              </w:rPr>
            </w:pPr>
            <w:r w:rsidRPr="00497F72">
              <w:rPr>
                <w:rFonts w:ascii="Times New Roman" w:hAnsi="Times New Roman" w:cs="Times New Roman"/>
                <w:b w:val="0"/>
                <w:bCs w:val="0"/>
              </w:rPr>
              <w:t>Blastocyst rate (%)</w:t>
            </w:r>
          </w:p>
        </w:tc>
        <w:tc>
          <w:tcPr>
            <w:tcW w:w="1078" w:type="pct"/>
            <w:tcBorders>
              <w:bottom w:val="single" w:sz="18" w:space="0" w:color="auto"/>
            </w:tcBorders>
            <w:shd w:val="clear" w:color="auto" w:fill="auto"/>
          </w:tcPr>
          <w:p w14:paraId="5DDC10BD" w14:textId="77777777" w:rsidR="000F4E3A" w:rsidRPr="00497F72" w:rsidRDefault="000F4E3A"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6.25±3.26</w:t>
            </w:r>
            <w:r w:rsidRPr="00497F72">
              <w:rPr>
                <w:rFonts w:ascii="Times New Roman" w:hAnsi="Times New Roman" w:cs="Times New Roman"/>
                <w:vertAlign w:val="superscript"/>
              </w:rPr>
              <w:t>A</w:t>
            </w:r>
          </w:p>
        </w:tc>
        <w:tc>
          <w:tcPr>
            <w:tcW w:w="1026" w:type="pct"/>
            <w:tcBorders>
              <w:bottom w:val="single" w:sz="18" w:space="0" w:color="auto"/>
            </w:tcBorders>
            <w:shd w:val="clear" w:color="auto" w:fill="auto"/>
          </w:tcPr>
          <w:p w14:paraId="5E7B16B9" w14:textId="77777777" w:rsidR="000F4E3A" w:rsidRPr="00497F72" w:rsidRDefault="000F4E3A" w:rsidP="007020CF">
            <w:pPr>
              <w:spacing w:before="12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27.25±5.59</w:t>
            </w:r>
            <w:r w:rsidRPr="00497F72">
              <w:rPr>
                <w:rFonts w:ascii="Times New Roman" w:hAnsi="Times New Roman" w:cs="Times New Roman"/>
                <w:vertAlign w:val="superscript"/>
              </w:rPr>
              <w:t>B</w:t>
            </w:r>
          </w:p>
        </w:tc>
        <w:tc>
          <w:tcPr>
            <w:tcW w:w="632" w:type="pct"/>
            <w:tcBorders>
              <w:bottom w:val="single" w:sz="18" w:space="0" w:color="auto"/>
            </w:tcBorders>
            <w:shd w:val="clear" w:color="auto" w:fill="auto"/>
          </w:tcPr>
          <w:p w14:paraId="33239EE9" w14:textId="77777777" w:rsidR="000F4E3A" w:rsidRPr="00497F72" w:rsidRDefault="000F4E3A"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rPr>
            </w:pPr>
            <w:r w:rsidRPr="00497F72">
              <w:rPr>
                <w:rFonts w:ascii="Times New Roman" w:hAnsi="Times New Roman" w:cs="Times New Roman"/>
              </w:rPr>
              <w:t>0.0462*</w:t>
            </w:r>
          </w:p>
        </w:tc>
        <w:tc>
          <w:tcPr>
            <w:tcW w:w="580" w:type="pct"/>
            <w:tcBorders>
              <w:bottom w:val="single" w:sz="18" w:space="0" w:color="auto"/>
            </w:tcBorders>
            <w:shd w:val="clear" w:color="auto" w:fill="auto"/>
          </w:tcPr>
          <w:p w14:paraId="7894131A" w14:textId="77777777" w:rsidR="000F4E3A" w:rsidRPr="00497F72" w:rsidRDefault="000F4E3A" w:rsidP="007020CF">
            <w:pPr>
              <w:spacing w:before="1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97F72">
              <w:rPr>
                <w:rFonts w:ascii="Times New Roman" w:hAnsi="Times New Roman" w:cs="Times New Roman"/>
              </w:rPr>
              <w:t>5.505*</w:t>
            </w:r>
          </w:p>
        </w:tc>
      </w:tr>
    </w:tbl>
    <w:p w14:paraId="1E3A6680" w14:textId="77777777" w:rsidR="000F4E3A" w:rsidRPr="00497F72" w:rsidRDefault="000F4E3A" w:rsidP="000F4E3A">
      <w:pPr>
        <w:spacing w:after="0" w:line="240" w:lineRule="auto"/>
        <w:jc w:val="both"/>
        <w:rPr>
          <w:rFonts w:ascii="Times New Roman" w:hAnsi="Times New Roman" w:cs="Times New Roman"/>
        </w:rPr>
      </w:pPr>
      <w:r w:rsidRPr="00497F72">
        <w:rPr>
          <w:rFonts w:ascii="Times New Roman" w:hAnsi="Times New Roman" w:cs="Times New Roman"/>
        </w:rPr>
        <w:t>Values bearing different superscripts (A, B) within a row differ significantly (p&lt;0.05)</w:t>
      </w:r>
    </w:p>
    <w:p w14:paraId="417AF080" w14:textId="77777777" w:rsidR="000F4E3A" w:rsidRPr="00497F72" w:rsidRDefault="000F4E3A" w:rsidP="000F4E3A">
      <w:pPr>
        <w:spacing w:after="0" w:line="240" w:lineRule="auto"/>
        <w:jc w:val="both"/>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F4E3A" w:rsidRPr="00497F72" w14:paraId="73F96F65" w14:textId="77777777" w:rsidTr="00F360F0">
        <w:tc>
          <w:tcPr>
            <w:tcW w:w="9026" w:type="dxa"/>
          </w:tcPr>
          <w:p w14:paraId="24693A97" w14:textId="77777777" w:rsidR="000F4E3A" w:rsidRPr="00497F72" w:rsidRDefault="00F360F0" w:rsidP="007020CF">
            <w:pPr>
              <w:spacing w:line="360" w:lineRule="auto"/>
              <w:jc w:val="both"/>
              <w:rPr>
                <w:rFonts w:ascii="Times New Roman" w:hAnsi="Times New Roman" w:cs="Times New Roman"/>
              </w:rPr>
            </w:pPr>
            <w:r w:rsidRPr="00497F72">
              <w:rPr>
                <w:noProof/>
              </w:rPr>
              <w:lastRenderedPageBreak/>
              <w:drawing>
                <wp:inline distT="0" distB="0" distL="0" distR="0" wp14:anchorId="701E3408" wp14:editId="5E32234A">
                  <wp:extent cx="5507182" cy="2933700"/>
                  <wp:effectExtent l="0" t="0" r="17780" b="0"/>
                  <wp:docPr id="847055120" name="Chart 1">
                    <a:extLst xmlns:a="http://schemas.openxmlformats.org/drawingml/2006/main">
                      <a:ext uri="{FF2B5EF4-FFF2-40B4-BE49-F238E27FC236}">
                        <a16:creationId xmlns:a16="http://schemas.microsoft.com/office/drawing/2014/main" id="{38C9EDDA-85DC-6C74-390B-418FA39FB5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0F4E3A" w:rsidRPr="00497F72" w14:paraId="26E5B376" w14:textId="77777777" w:rsidTr="007020CF">
        <w:trPr>
          <w:trHeight w:val="64"/>
        </w:trPr>
        <w:tc>
          <w:tcPr>
            <w:tcW w:w="9026" w:type="dxa"/>
          </w:tcPr>
          <w:p w14:paraId="43336CE7" w14:textId="77777777" w:rsidR="000F4E3A" w:rsidRPr="00497F72" w:rsidRDefault="000F4E3A" w:rsidP="007020CF">
            <w:pPr>
              <w:ind w:left="1025" w:hanging="1025"/>
              <w:jc w:val="both"/>
              <w:rPr>
                <w:rFonts w:ascii="Times New Roman" w:hAnsi="Times New Roman" w:cs="Times New Roman"/>
                <w:b/>
                <w:bCs/>
              </w:rPr>
            </w:pPr>
            <w:r w:rsidRPr="00497F72">
              <w:rPr>
                <w:rFonts w:ascii="Times New Roman" w:hAnsi="Times New Roman" w:cs="Times New Roman"/>
                <w:b/>
                <w:bCs/>
                <w:sz w:val="24"/>
                <w:szCs w:val="22"/>
              </w:rPr>
              <w:t xml:space="preserve">Figure 1: Variation in </w:t>
            </w:r>
            <w:r w:rsidR="000A0B4F" w:rsidRPr="00497F72">
              <w:rPr>
                <w:rFonts w:ascii="Times New Roman" w:hAnsi="Times New Roman" w:cs="Times New Roman"/>
                <w:b/>
                <w:bCs/>
                <w:sz w:val="24"/>
                <w:szCs w:val="22"/>
              </w:rPr>
              <w:t>mean</w:t>
            </w:r>
            <w:r w:rsidRPr="00497F72">
              <w:rPr>
                <w:rFonts w:ascii="Times New Roman" w:hAnsi="Times New Roman" w:cs="Times New Roman"/>
                <w:b/>
                <w:bCs/>
                <w:sz w:val="24"/>
                <w:szCs w:val="22"/>
              </w:rPr>
              <w:t xml:space="preserve"> </w:t>
            </w:r>
            <w:r w:rsidR="000A0B4F" w:rsidRPr="00497F72">
              <w:rPr>
                <w:rFonts w:ascii="Times New Roman" w:hAnsi="Times New Roman" w:cs="Times New Roman"/>
                <w:b/>
                <w:bCs/>
                <w:sz w:val="24"/>
                <w:szCs w:val="22"/>
                <w:lang w:val="en-IN"/>
              </w:rPr>
              <w:t xml:space="preserve">(±SE) </w:t>
            </w:r>
            <w:r w:rsidRPr="00497F72">
              <w:rPr>
                <w:rFonts w:ascii="Times New Roman" w:hAnsi="Times New Roman" w:cs="Times New Roman"/>
                <w:b/>
                <w:bCs/>
                <w:sz w:val="24"/>
                <w:szCs w:val="22"/>
              </w:rPr>
              <w:t>maturation (MR), cleavage (CR), morula</w:t>
            </w:r>
            <w:r w:rsidR="00F360F0" w:rsidRPr="00497F72">
              <w:rPr>
                <w:rFonts w:ascii="Times New Roman" w:hAnsi="Times New Roman" w:cs="Times New Roman"/>
                <w:b/>
                <w:bCs/>
                <w:sz w:val="24"/>
                <w:szCs w:val="22"/>
              </w:rPr>
              <w:t>e</w:t>
            </w:r>
            <w:r w:rsidRPr="00497F72">
              <w:rPr>
                <w:rFonts w:ascii="Times New Roman" w:hAnsi="Times New Roman" w:cs="Times New Roman"/>
                <w:b/>
                <w:bCs/>
                <w:sz w:val="24"/>
                <w:szCs w:val="22"/>
              </w:rPr>
              <w:t xml:space="preserve"> and blastocyst rate (BR) in FSH treated and untreated Sahiwal cows.</w:t>
            </w:r>
          </w:p>
        </w:tc>
      </w:tr>
    </w:tbl>
    <w:p w14:paraId="55226BAA" w14:textId="77777777" w:rsidR="00AA18B8" w:rsidRPr="00497F72" w:rsidRDefault="00BD2243" w:rsidP="002F1E01">
      <w:pPr>
        <w:spacing w:after="0" w:line="360" w:lineRule="auto"/>
        <w:jc w:val="both"/>
        <w:rPr>
          <w:rFonts w:ascii="Times New Roman" w:hAnsi="Times New Roman" w:cs="Times New Roman"/>
          <w:b/>
          <w:bCs/>
        </w:rPr>
      </w:pPr>
      <w:r w:rsidRPr="00497F72">
        <w:rPr>
          <w:rFonts w:ascii="Times New Roman" w:hAnsi="Times New Roman" w:cs="Times New Roman"/>
          <w:b/>
          <w:bCs/>
        </w:rPr>
        <w:t>Discussion</w:t>
      </w:r>
    </w:p>
    <w:p w14:paraId="248942A2" w14:textId="77777777" w:rsidR="00EC59A1" w:rsidRPr="00497F72" w:rsidRDefault="00EC59A1" w:rsidP="00E9627A">
      <w:pPr>
        <w:spacing w:after="0" w:line="360" w:lineRule="auto"/>
        <w:ind w:firstLine="720"/>
        <w:jc w:val="both"/>
        <w:rPr>
          <w:rFonts w:ascii="Times New Roman" w:hAnsi="Times New Roman" w:cs="Times New Roman"/>
        </w:rPr>
      </w:pPr>
      <w:r w:rsidRPr="00497F72">
        <w:t xml:space="preserve">In the present study, the FSH-treated group exhibited a significantly (P=0.05) greater number of follicles available for aspiration and a higher total number of COCs than the control group. Our observations are consistent with the findings of Vennapureddy et al. (2024), who reported a significantly higher number of COCs in FSH-treated cows (15.31±1.56) than in the untreated group (6.88±0.55). Conversely, Meintjes et al. (1995) and da Silva et al. (2017) observed no significant effect of FSH stimulation on follicle counts at ovum pick-up. In a similar study, Sarwar et al. (2020) found no significant difference in the number of follicles between FSH-treated and control </w:t>
      </w:r>
      <w:r w:rsidRPr="00497F72">
        <w:rPr>
          <w:i/>
        </w:rPr>
        <w:t>Bos taurus</w:t>
      </w:r>
      <w:r w:rsidRPr="00497F72">
        <w:t xml:space="preserve"> cows, with counts of 31.43±6.23 and 29.14±6.23, respectively. Variations among studies may be attributed to factors such as coasting periods, animal age, breed, and individual variability.</w:t>
      </w:r>
    </w:p>
    <w:p w14:paraId="40CE0D94" w14:textId="31A2000C" w:rsidR="00B24DB0" w:rsidRPr="00497F72" w:rsidRDefault="00B24DB0" w:rsidP="00882EC5">
      <w:pPr>
        <w:spacing w:after="0" w:line="360" w:lineRule="auto"/>
        <w:ind w:firstLine="720"/>
        <w:jc w:val="both"/>
        <w:rPr>
          <w:rFonts w:ascii="Times New Roman" w:hAnsi="Times New Roman" w:cs="Times New Roman"/>
        </w:rPr>
      </w:pPr>
      <w:r w:rsidRPr="00497F72">
        <w:t xml:space="preserve">The cumulus-cell expansion rate was significantly higher in the FSH-treated group than in the untreated group. This observation is consistent with the findings of </w:t>
      </w:r>
      <w:proofErr w:type="spellStart"/>
      <w:r w:rsidR="004436FA" w:rsidRPr="004436FA">
        <w:t>Golusu</w:t>
      </w:r>
      <w:proofErr w:type="spellEnd"/>
      <w:r w:rsidR="004436FA" w:rsidRPr="004436FA">
        <w:t xml:space="preserve"> </w:t>
      </w:r>
      <w:r w:rsidRPr="00497F72">
        <w:t xml:space="preserve">et al. (2024) in Sahiwal cows, who reported similar differences in cumulus-cell expansion between FSH-treated and control groups. In contrast, Verma (2005) evaluated the oocyte maturation rate in Sahiwal cows by examining the extent of cumulus-cell expansion and found no significant difference between the FSH-stimulated group (87.8%) and the non-stimulated, twice-weekly OPU group (84.69%). The culture medium is a primary factor in successful </w:t>
      </w:r>
      <w:r w:rsidRPr="00497F72">
        <w:rPr>
          <w:i/>
        </w:rPr>
        <w:t>in vitro</w:t>
      </w:r>
      <w:r w:rsidRPr="00497F72">
        <w:t xml:space="preserve"> maturation. Hunter and Moor (1987) concluded that gonadotropins </w:t>
      </w:r>
      <w:r w:rsidRPr="00497F72">
        <w:lastRenderedPageBreak/>
        <w:t>and growth factors stimulate cumulus-cell expansion by promoting the production and secretion of hyaluronic acid, which facilitates cell dispersion in a process termed expansion.</w:t>
      </w:r>
    </w:p>
    <w:p w14:paraId="3BEBC09B" w14:textId="77777777" w:rsidR="00886B75" w:rsidRPr="00497F72" w:rsidRDefault="00E61BCC" w:rsidP="00E61BCC">
      <w:pPr>
        <w:spacing w:after="0" w:line="360" w:lineRule="auto"/>
        <w:ind w:firstLine="720"/>
        <w:jc w:val="both"/>
        <w:rPr>
          <w:rFonts w:ascii="Times New Roman" w:hAnsi="Times New Roman" w:cs="Times New Roman"/>
        </w:rPr>
      </w:pPr>
      <w:r w:rsidRPr="00497F72">
        <w:t xml:space="preserve">In this study, 32 oocytes from the FSH-treated group and 25 oocytes from the untreated group were subjected to </w:t>
      </w:r>
      <w:r w:rsidRPr="00497F72">
        <w:rPr>
          <w:i/>
        </w:rPr>
        <w:t>in vitro</w:t>
      </w:r>
      <w:r w:rsidRPr="00497F72">
        <w:t xml:space="preserve"> fertilisation for 16 to 18 hours. Following fertilisation, the presumptive zygotes were maintained in </w:t>
      </w:r>
      <w:r w:rsidRPr="00497F72">
        <w:rPr>
          <w:i/>
        </w:rPr>
        <w:t>in vitro</w:t>
      </w:r>
      <w:r w:rsidRPr="00497F72">
        <w:t xml:space="preserve"> culture for 7 days. The FSH-treated group showed a significantly (P &lt; 0.05) higher number of presumptive zygotes and a higher cleavage rate than the untreated group (</w:t>
      </w:r>
      <w:r w:rsidRPr="00497F72">
        <w:rPr>
          <w:b/>
        </w:rPr>
        <w:t>Figure 1</w:t>
      </w:r>
      <w:r w:rsidRPr="00497F72">
        <w:t xml:space="preserve">). These observations are comparable to the findings of Bramhaiah et al. (2024), who reported a higher fertilisation rate (84.15) in the FSH-stimulated group than in the control group of Sahiwal cows. Looney et al. (1994) and Manik et al. (2003) reported that the media used for </w:t>
      </w:r>
      <w:r w:rsidRPr="00497F72">
        <w:rPr>
          <w:i/>
        </w:rPr>
        <w:t>in vitro</w:t>
      </w:r>
      <w:r w:rsidRPr="00497F72">
        <w:t xml:space="preserve"> maturation and culture, the quality of the selected oocytes, and the choice of animals influenced the study outcomes. Prolonged exposure to elevated temperatures (40-41oC) during the summer may have adversely affected the maturation and fertilisation of COCs by disrupting oocyte physiology and inducing hormonal imbalances within the hypothalamic-pituitary axis (Park et al., 2007; Miętkiewska et al., 2022).</w:t>
      </w:r>
    </w:p>
    <w:p w14:paraId="5E48CBFB" w14:textId="77777777" w:rsidR="00E5400D" w:rsidRPr="00497F72" w:rsidRDefault="00E5400D" w:rsidP="00E5400D">
      <w:pPr>
        <w:spacing w:after="0" w:line="360" w:lineRule="auto"/>
        <w:ind w:firstLine="720"/>
        <w:jc w:val="both"/>
        <w:rPr>
          <w:rFonts w:ascii="Times New Roman" w:hAnsi="Times New Roman" w:cs="Times New Roman"/>
        </w:rPr>
      </w:pPr>
      <w:r w:rsidRPr="00497F72">
        <w:t>FSH-treated cows exhibited significantly (P=0.05) higher rates of morula formation (45.00±2.89 versus 22.75±7.81) and blastocyst formation (27.25±5.59 versus 6.25±3.26) than the untreated group (</w:t>
      </w:r>
      <w:r w:rsidRPr="00497F72">
        <w:rPr>
          <w:b/>
        </w:rPr>
        <w:t>Figure 1</w:t>
      </w:r>
      <w:r w:rsidRPr="00497F72">
        <w:t xml:space="preserve">). Our results are consistent with the findings of Pivato et al. (2026), who observed a significantly higher percentage of blastocysts in cows receiving multiple doses of FSH than in the control group. Chaubal et al. (2007) found that multiple applications of FSH enhanced ovarian efficiency in crossbred Angus cows before OPU, resulting in higher blastocyst rates than those achieved with a single administration or in control groups. Several authors have reported that superstimulation significantly (P=0.05) improves blastocyst development (Vieira et al., 2016; Egashira et al., 2019; Hayden et al., 2023), underscoring its relevance as a reproductive strategy for enhancing embryo production efficiency. The developmental competence of oocytes, which is crucial for </w:t>
      </w:r>
      <w:r w:rsidRPr="00497F72">
        <w:rPr>
          <w:i/>
        </w:rPr>
        <w:t>in vitro</w:t>
      </w:r>
      <w:r w:rsidRPr="00497F72">
        <w:t xml:space="preserve"> embryo production (IVEP), is closely associated with the quality of the cumulus-oocyte complexes (COCs) obtained. In this study, the untreated group had significantly (P=0.05) fewer COCs than the FSH-treated group. It is hypothesised that FSH-treated cows produce more COCs than untreated cows, resulting in increased blastocyst production, as previously reported (Vieira et al., 2014, 2016).</w:t>
      </w:r>
    </w:p>
    <w:p w14:paraId="29C63593" w14:textId="77777777" w:rsidR="00D16872" w:rsidRPr="00497F72" w:rsidRDefault="00D16872" w:rsidP="007B2CDD">
      <w:pPr>
        <w:spacing w:before="100" w:beforeAutospacing="1" w:after="100" w:afterAutospacing="1" w:line="240" w:lineRule="auto"/>
        <w:jc w:val="both"/>
        <w:outlineLvl w:val="1"/>
        <w:rPr>
          <w:rFonts w:ascii="Times New Roman" w:eastAsia="Times New Roman" w:hAnsi="Times New Roman" w:cs="Times New Roman"/>
          <w:b/>
          <w:bCs/>
          <w:kern w:val="0"/>
          <w:lang w:val="en-US"/>
          <w14:ligatures w14:val="none"/>
        </w:rPr>
      </w:pPr>
      <w:r w:rsidRPr="00497F72">
        <w:rPr>
          <w:rFonts w:ascii="Times New Roman" w:eastAsia="Times New Roman" w:hAnsi="Times New Roman" w:cs="Times New Roman"/>
          <w:b/>
          <w:bCs/>
          <w:kern w:val="0"/>
          <w:lang w:val="en-US"/>
          <w14:ligatures w14:val="none"/>
        </w:rPr>
        <w:lastRenderedPageBreak/>
        <w:t>Conclusions</w:t>
      </w:r>
    </w:p>
    <w:p w14:paraId="5EC66282" w14:textId="77777777" w:rsidR="00DE77EA" w:rsidRDefault="00DE77EA" w:rsidP="007B2CDD">
      <w:pPr>
        <w:spacing w:before="100" w:beforeAutospacing="1" w:after="100" w:afterAutospacing="1" w:line="240" w:lineRule="auto"/>
        <w:jc w:val="both"/>
        <w:outlineLvl w:val="1"/>
      </w:pPr>
      <w:r w:rsidRPr="00DE77EA">
        <w:t xml:space="preserve">Under the conditions of this study, FSH pre-stimulation before ovum pick-up increased the number of follicles available for aspiration and the number of </w:t>
      </w:r>
      <w:proofErr w:type="gramStart"/>
      <w:r w:rsidRPr="00DE77EA">
        <w:t>cumulus</w:t>
      </w:r>
      <w:proofErr w:type="gramEnd"/>
      <w:r w:rsidRPr="00DE77EA">
        <w:t>–oocyte complexes recovered from Sahiwal donor cows. The treated group also showed higher maturation, cleavage, morula formation, and blastocyst development rates than the non-stimulated control group. These findings indicate that administering 200 mg FSH in three tapering doses, followed by a 48-h coasting period, may improve the efficiency of in vitro embryo production in this breed. The response observed should, however, be interpreted within the experimental design, which included 12 cows and one OPU session per donor. The results therefore support further evaluation of this protocol rather than its immediate routine adoption. Studies involving larger and more diverse donor populations, repeated OPU sessions, and clearly standardised developmental-rate denominators are needed to determine the consistency, repeatability, and practical value of the response. Evaluation of pregnancy establishment and calf production would also be required to confirm the broader reproductive relevance of the protocol.</w:t>
      </w:r>
    </w:p>
    <w:p w14:paraId="419D246F" w14:textId="77777777" w:rsidR="00DE77EA" w:rsidRDefault="00DE77EA" w:rsidP="007B2CDD">
      <w:pPr>
        <w:spacing w:before="100" w:beforeAutospacing="1" w:after="100" w:afterAutospacing="1" w:line="240" w:lineRule="auto"/>
        <w:jc w:val="both"/>
        <w:outlineLvl w:val="1"/>
      </w:pPr>
    </w:p>
    <w:p w14:paraId="3C691880" w14:textId="7BBDF641" w:rsidR="00D16872" w:rsidRPr="00497F72" w:rsidRDefault="00D16872" w:rsidP="007B2CDD">
      <w:pPr>
        <w:spacing w:before="100" w:beforeAutospacing="1" w:after="100" w:afterAutospacing="1" w:line="240" w:lineRule="auto"/>
        <w:jc w:val="both"/>
        <w:outlineLvl w:val="1"/>
        <w:rPr>
          <w:rFonts w:ascii="Times New Roman" w:eastAsia="Times New Roman" w:hAnsi="Times New Roman" w:cs="Times New Roman"/>
          <w:b/>
          <w:bCs/>
          <w:kern w:val="0"/>
          <w:lang w:val="en-US"/>
          <w14:ligatures w14:val="none"/>
        </w:rPr>
      </w:pPr>
      <w:r w:rsidRPr="00497F72">
        <w:rPr>
          <w:rFonts w:ascii="Times New Roman" w:eastAsia="Times New Roman" w:hAnsi="Times New Roman" w:cs="Times New Roman"/>
          <w:b/>
          <w:bCs/>
          <w:kern w:val="0"/>
          <w:lang w:val="en-US"/>
          <w14:ligatures w14:val="none"/>
        </w:rPr>
        <w:t>Limitations</w:t>
      </w:r>
    </w:p>
    <w:p w14:paraId="5026EAE0" w14:textId="77777777" w:rsidR="009421D3" w:rsidRDefault="009421D3" w:rsidP="007B2CDD">
      <w:pPr>
        <w:spacing w:after="0" w:line="240" w:lineRule="auto"/>
        <w:jc w:val="both"/>
      </w:pPr>
      <w:r w:rsidRPr="009421D3">
        <w:t>The study included 12 cows and only one ovum pick-up session per donor, which limited statistical power and the assessment of repeatability. Donor parity, antral follicle population, body condition, and individual ovarian response were not fully incorporated into the analysis. Only a subset of recovered cumulus–oocyte complexes was used for embryo production, and the selection procedure requires clarification. Pregnancy establishment, calf production, and responses across repeated sessions were not evaluated. Larger studies with clearly defined experimental units and standardised developmental-rate denominators are needed.</w:t>
      </w:r>
    </w:p>
    <w:p w14:paraId="1CE1B724" w14:textId="77777777" w:rsidR="009421D3" w:rsidRDefault="009421D3" w:rsidP="007B2CDD">
      <w:pPr>
        <w:spacing w:after="0" w:line="240" w:lineRule="auto"/>
        <w:jc w:val="both"/>
      </w:pPr>
    </w:p>
    <w:p w14:paraId="42B4ADE8" w14:textId="000D64D4" w:rsidR="00D16872" w:rsidRPr="00497F72" w:rsidRDefault="00D16872" w:rsidP="007B2CDD">
      <w:pPr>
        <w:spacing w:after="0" w:line="240" w:lineRule="auto"/>
        <w:jc w:val="both"/>
        <w:rPr>
          <w:rFonts w:ascii="Times New Roman" w:eastAsia="Calibri" w:hAnsi="Times New Roman" w:cs="Times New Roman"/>
          <w:b/>
          <w:kern w:val="0"/>
          <w:lang w:val="en-US"/>
          <w14:ligatures w14:val="none"/>
        </w:rPr>
      </w:pPr>
      <w:r w:rsidRPr="00497F72">
        <w:rPr>
          <w:rFonts w:ascii="Times New Roman" w:eastAsia="Calibri" w:hAnsi="Times New Roman" w:cs="Times New Roman"/>
          <w:b/>
          <w:kern w:val="0"/>
          <w:lang w:val="en-US"/>
          <w14:ligatures w14:val="none"/>
        </w:rPr>
        <w:t>Declaration of AI Use</w:t>
      </w:r>
    </w:p>
    <w:p w14:paraId="2880685C" w14:textId="77777777" w:rsidR="00D16872" w:rsidRPr="00497F72" w:rsidRDefault="00D16872" w:rsidP="007B2CDD">
      <w:pPr>
        <w:spacing w:after="0" w:line="240" w:lineRule="auto"/>
        <w:jc w:val="both"/>
        <w:rPr>
          <w:rFonts w:ascii="Times New Roman" w:eastAsia="Calibri" w:hAnsi="Times New Roman" w:cs="Times New Roman"/>
          <w:kern w:val="0"/>
          <w:lang w:val="en-US"/>
          <w14:ligatures w14:val="none"/>
        </w:rPr>
      </w:pPr>
    </w:p>
    <w:p w14:paraId="61306B69" w14:textId="77777777" w:rsidR="00D16872" w:rsidRPr="00497F72" w:rsidRDefault="00D16872" w:rsidP="007B2CDD">
      <w:pPr>
        <w:spacing w:after="0" w:line="240" w:lineRule="auto"/>
        <w:jc w:val="both"/>
        <w:rPr>
          <w:rFonts w:ascii="Times New Roman" w:eastAsia="Calibri" w:hAnsi="Times New Roman" w:cs="Times New Roman"/>
          <w:kern w:val="0"/>
          <w:lang w:val="en-US"/>
          <w14:ligatures w14:val="none"/>
        </w:rPr>
      </w:pPr>
      <w:r w:rsidRPr="00497F72">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9957AC1" w14:textId="77777777" w:rsidR="00D16872" w:rsidRPr="00497F72" w:rsidRDefault="00D16872" w:rsidP="00C44216">
      <w:pPr>
        <w:spacing w:after="0" w:line="360" w:lineRule="auto"/>
        <w:jc w:val="both"/>
        <w:rPr>
          <w:rFonts w:ascii="Times New Roman" w:hAnsi="Times New Roman" w:cs="Times New Roman"/>
          <w:b/>
          <w:bCs/>
        </w:rPr>
      </w:pPr>
    </w:p>
    <w:p w14:paraId="267B2A28" w14:textId="5C3A581F" w:rsidR="00FF3306" w:rsidRDefault="00FF3306" w:rsidP="00FF3306">
      <w:pPr>
        <w:spacing w:after="200" w:line="276" w:lineRule="auto"/>
        <w:jc w:val="both"/>
        <w:rPr>
          <w:rFonts w:ascii="Calibri" w:eastAsia="Calibri" w:hAnsi="Calibri" w:cs="Times New Roman"/>
          <w:kern w:val="0"/>
          <w:lang w:val="en-GB"/>
        </w:rPr>
      </w:pPr>
      <w:r w:rsidRPr="0012628F">
        <w:rPr>
          <w:rFonts w:ascii="Calibri" w:eastAsia="Calibri" w:hAnsi="Calibri" w:cs="Times New Roman"/>
          <w:b/>
          <w:bCs/>
          <w:kern w:val="0"/>
          <w:lang w:val="en-GB"/>
        </w:rPr>
        <w:t>Acknowledgment</w:t>
      </w:r>
      <w:r w:rsidRPr="0012628F">
        <w:rPr>
          <w:rFonts w:ascii="Calibri" w:eastAsia="Calibri" w:hAnsi="Calibri" w:cs="Times New Roman"/>
          <w:kern w:val="0"/>
          <w:lang w:val="en-GB"/>
        </w:rPr>
        <w:t>: The authors thank the Dean, C.V. Sc. and A.H., ANDUAT, Ayodhya, for providing the facilities required for the experiment.</w:t>
      </w:r>
    </w:p>
    <w:p w14:paraId="2E23F115" w14:textId="77777777" w:rsidR="00D4409B" w:rsidRDefault="00D4409B" w:rsidP="00FF3306">
      <w:pPr>
        <w:spacing w:after="200" w:line="276" w:lineRule="auto"/>
        <w:jc w:val="both"/>
        <w:rPr>
          <w:rFonts w:ascii="Calibri" w:eastAsia="Calibri" w:hAnsi="Calibri" w:cs="Times New Roman"/>
          <w:kern w:val="0"/>
          <w:lang w:val="en-GB"/>
        </w:rPr>
      </w:pPr>
    </w:p>
    <w:p w14:paraId="0F692FE2" w14:textId="7D3B2EB4" w:rsidR="00D4409B" w:rsidRDefault="00D4409B" w:rsidP="00FF3306">
      <w:pPr>
        <w:spacing w:after="200" w:line="276" w:lineRule="auto"/>
        <w:jc w:val="both"/>
        <w:rPr>
          <w:rFonts w:ascii="Calibri" w:eastAsia="Calibri" w:hAnsi="Calibri" w:cs="Times New Roman"/>
          <w:kern w:val="0"/>
          <w:lang w:val="en-GB"/>
        </w:rPr>
      </w:pPr>
      <w:r>
        <w:rPr>
          <w:rFonts w:ascii="Calibri" w:eastAsia="Calibri" w:hAnsi="Calibri" w:cs="Times New Roman"/>
          <w:kern w:val="0"/>
          <w:lang w:val="en-GB"/>
        </w:rPr>
        <w:lastRenderedPageBreak/>
        <w:t xml:space="preserve">Ethical approval </w:t>
      </w:r>
    </w:p>
    <w:p w14:paraId="62AB60BA" w14:textId="0A1980A7" w:rsidR="00D4409B" w:rsidRPr="00497F72" w:rsidRDefault="00D4409B" w:rsidP="00FF3306">
      <w:pPr>
        <w:spacing w:after="200" w:line="276" w:lineRule="auto"/>
        <w:jc w:val="both"/>
        <w:rPr>
          <w:rFonts w:ascii="Calibri" w:eastAsia="Calibri" w:hAnsi="Calibri" w:cs="Times New Roman"/>
          <w:kern w:val="0"/>
          <w:lang w:val="en-GB"/>
        </w:rPr>
      </w:pPr>
      <w:r w:rsidRPr="00D4409B">
        <w:rPr>
          <w:rFonts w:ascii="Calibri" w:eastAsia="Calibri" w:hAnsi="Calibri" w:cs="Times New Roman"/>
          <w:kern w:val="0"/>
          <w:lang w:val="en-GB"/>
        </w:rPr>
        <w:t xml:space="preserve">The experiment was conducted after permission from the Institutional Animal Ethics Committee at the College of Veterinary Science and Animal Husbandry, Acharya Narendra Deva University of Agriculture and Technology, </w:t>
      </w:r>
      <w:proofErr w:type="spellStart"/>
      <w:r w:rsidRPr="00D4409B">
        <w:rPr>
          <w:rFonts w:ascii="Calibri" w:eastAsia="Calibri" w:hAnsi="Calibri" w:cs="Times New Roman"/>
          <w:kern w:val="0"/>
          <w:lang w:val="en-GB"/>
        </w:rPr>
        <w:t>Kumarganj</w:t>
      </w:r>
      <w:proofErr w:type="spellEnd"/>
      <w:r w:rsidRPr="00D4409B">
        <w:rPr>
          <w:rFonts w:ascii="Calibri" w:eastAsia="Calibri" w:hAnsi="Calibri" w:cs="Times New Roman"/>
          <w:kern w:val="0"/>
          <w:lang w:val="en-GB"/>
        </w:rPr>
        <w:t>, Ayodhya, Uttar Pradesh, India. (Approval number: IAEC/</w:t>
      </w:r>
      <w:proofErr w:type="spellStart"/>
      <w:r w:rsidRPr="00D4409B">
        <w:rPr>
          <w:rFonts w:ascii="Calibri" w:eastAsia="Calibri" w:hAnsi="Calibri" w:cs="Times New Roman"/>
          <w:kern w:val="0"/>
          <w:lang w:val="en-GB"/>
        </w:rPr>
        <w:t>CVSc</w:t>
      </w:r>
      <w:proofErr w:type="spellEnd"/>
      <w:r w:rsidRPr="00D4409B">
        <w:rPr>
          <w:rFonts w:ascii="Calibri" w:eastAsia="Calibri" w:hAnsi="Calibri" w:cs="Times New Roman"/>
          <w:kern w:val="0"/>
          <w:lang w:val="en-GB"/>
        </w:rPr>
        <w:t>-ANDUAT/2025/1/8).</w:t>
      </w:r>
    </w:p>
    <w:p w14:paraId="16930F43" w14:textId="77777777" w:rsidR="00D16872" w:rsidRPr="00FF3306" w:rsidRDefault="00D16872" w:rsidP="00C44216">
      <w:pPr>
        <w:spacing w:after="0" w:line="360" w:lineRule="auto"/>
        <w:jc w:val="both"/>
        <w:rPr>
          <w:rFonts w:ascii="Times New Roman" w:hAnsi="Times New Roman" w:cs="Times New Roman"/>
          <w:b/>
          <w:bCs/>
          <w:lang w:val="en-GB"/>
        </w:rPr>
      </w:pPr>
    </w:p>
    <w:p w14:paraId="22BD4C51" w14:textId="77777777" w:rsidR="008A4BA4" w:rsidRPr="00497F72" w:rsidRDefault="008A4BA4" w:rsidP="00D87011">
      <w:pPr>
        <w:spacing w:after="0" w:line="360" w:lineRule="auto"/>
        <w:jc w:val="both"/>
        <w:rPr>
          <w:rFonts w:ascii="Times New Roman" w:hAnsi="Times New Roman" w:cs="Times New Roman"/>
          <w:b/>
          <w:bCs/>
        </w:rPr>
      </w:pPr>
    </w:p>
    <w:p w14:paraId="53258422" w14:textId="3531CD5B" w:rsidR="00F31BD3" w:rsidRPr="00497F72" w:rsidRDefault="00F31BD3" w:rsidP="00F31BD3">
      <w:pPr>
        <w:spacing w:after="200" w:line="276" w:lineRule="auto"/>
        <w:rPr>
          <w:rFonts w:ascii="Arial" w:eastAsia="Times New Roman" w:hAnsi="Arial" w:cs="Arial"/>
          <w:b/>
          <w:bCs/>
          <w:kern w:val="0"/>
          <w:sz w:val="22"/>
          <w:szCs w:val="22"/>
          <w:lang w:val="en-GB" w:eastAsia="en-GB"/>
          <w14:ligatures w14:val="none"/>
        </w:rPr>
      </w:pPr>
      <w:r w:rsidRPr="00497F72">
        <w:rPr>
          <w:rFonts w:ascii="Arial" w:eastAsia="Times New Roman" w:hAnsi="Arial" w:cs="Arial"/>
          <w:b/>
          <w:bCs/>
          <w:kern w:val="0"/>
          <w:sz w:val="22"/>
          <w:szCs w:val="22"/>
          <w:lang w:val="en-GB" w:eastAsia="en-GB"/>
          <w14:ligatures w14:val="none"/>
        </w:rPr>
        <w:t>COMPETING INTERESTS:</w:t>
      </w:r>
    </w:p>
    <w:p w14:paraId="614AFBD8" w14:textId="77777777" w:rsidR="00F31BD3" w:rsidRPr="00497F72" w:rsidRDefault="00F31BD3" w:rsidP="00F31BD3">
      <w:pPr>
        <w:spacing w:after="200" w:line="276" w:lineRule="auto"/>
        <w:rPr>
          <w:rFonts w:ascii="Calibri" w:eastAsia="Times New Roman" w:hAnsi="Calibri" w:cs="Times New Roman"/>
          <w:kern w:val="0"/>
          <w:sz w:val="22"/>
          <w:szCs w:val="22"/>
          <w:lang w:val="en-GB" w:eastAsia="en-GB"/>
          <w14:ligatures w14:val="none"/>
        </w:rPr>
      </w:pPr>
      <w:r w:rsidRPr="00497F72">
        <w:rPr>
          <w:rFonts w:ascii="Arial" w:eastAsia="Times New Roman" w:hAnsi="Arial" w:cs="Arial"/>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14AC721A" w14:textId="77777777" w:rsidR="004C0B6F" w:rsidRDefault="007B790A" w:rsidP="007B790A">
      <w:pPr>
        <w:spacing w:after="0" w:line="360" w:lineRule="auto"/>
        <w:jc w:val="both"/>
        <w:rPr>
          <w:rFonts w:ascii="Times New Roman" w:hAnsi="Times New Roman" w:cs="Times New Roman"/>
        </w:rPr>
      </w:pPr>
      <w:r w:rsidRPr="00497F72">
        <w:rPr>
          <w:rFonts w:ascii="Times New Roman" w:hAnsi="Times New Roman" w:cs="Times New Roman"/>
          <w:b/>
          <w:bCs/>
        </w:rPr>
        <w:t xml:space="preserve">Funding: </w:t>
      </w:r>
      <w:r w:rsidRPr="00497F72">
        <w:rPr>
          <w:rFonts w:ascii="Times New Roman" w:hAnsi="Times New Roman" w:cs="Times New Roman"/>
        </w:rPr>
        <w:t>Partial financial support was received from RKVY, Government of India.</w:t>
      </w:r>
    </w:p>
    <w:p w14:paraId="126A155F" w14:textId="77777777" w:rsidR="00D4409B" w:rsidRPr="00497F72" w:rsidRDefault="00D4409B" w:rsidP="007B790A">
      <w:pPr>
        <w:spacing w:after="0" w:line="360" w:lineRule="auto"/>
        <w:jc w:val="both"/>
        <w:rPr>
          <w:rFonts w:ascii="Times New Roman" w:hAnsi="Times New Roman" w:cs="Times New Roman"/>
        </w:rPr>
      </w:pPr>
    </w:p>
    <w:p w14:paraId="36A200C0" w14:textId="77777777" w:rsidR="007B790A" w:rsidRPr="00497F72" w:rsidRDefault="007B790A" w:rsidP="007B790A">
      <w:pPr>
        <w:spacing w:after="0" w:line="360" w:lineRule="auto"/>
        <w:jc w:val="both"/>
        <w:rPr>
          <w:rFonts w:ascii="Times New Roman" w:hAnsi="Times New Roman" w:cs="Times New Roman"/>
          <w:b/>
          <w:bCs/>
        </w:rPr>
      </w:pPr>
      <w:r w:rsidRPr="00497F72">
        <w:rPr>
          <w:rFonts w:ascii="Times New Roman" w:hAnsi="Times New Roman" w:cs="Times New Roman"/>
          <w:b/>
          <w:bCs/>
        </w:rPr>
        <w:t xml:space="preserve">Conflict of interest:  </w:t>
      </w:r>
      <w:r w:rsidRPr="00497F72">
        <w:rPr>
          <w:rFonts w:ascii="Times New Roman" w:hAnsi="Times New Roman" w:cs="Times New Roman"/>
        </w:rPr>
        <w:t>The authors declare that they have no conflict of interest.</w:t>
      </w:r>
    </w:p>
    <w:p w14:paraId="59E9356C" w14:textId="77777777" w:rsidR="00D4409B" w:rsidRDefault="00D4409B" w:rsidP="000F4E3A">
      <w:pPr>
        <w:spacing w:after="0" w:line="360" w:lineRule="auto"/>
        <w:jc w:val="both"/>
      </w:pPr>
    </w:p>
    <w:p w14:paraId="234B1558" w14:textId="529FDCDF" w:rsidR="000F4E3A" w:rsidRPr="00497F72" w:rsidRDefault="000F4E3A" w:rsidP="000F4E3A">
      <w:pPr>
        <w:spacing w:after="0" w:line="360" w:lineRule="auto"/>
        <w:jc w:val="both"/>
        <w:rPr>
          <w:rFonts w:ascii="Times New Roman" w:hAnsi="Times New Roman" w:cs="Times New Roman"/>
        </w:rPr>
      </w:pPr>
      <w:r w:rsidRPr="00497F72">
        <w:t>Author contribution: All the authors have read the draft and agree to its publication in the Uttar Pradesh Journal of Zoology.</w:t>
      </w:r>
    </w:p>
    <w:p w14:paraId="127E9455" w14:textId="77777777" w:rsidR="004C0B6F" w:rsidRPr="00497F72" w:rsidRDefault="004C0B6F" w:rsidP="00D87011">
      <w:pPr>
        <w:spacing w:after="0" w:line="360" w:lineRule="auto"/>
        <w:jc w:val="both"/>
        <w:rPr>
          <w:rFonts w:ascii="Times New Roman" w:hAnsi="Times New Roman" w:cs="Times New Roman"/>
          <w:b/>
          <w:bCs/>
        </w:rPr>
      </w:pPr>
    </w:p>
    <w:p w14:paraId="1D0D4D7F" w14:textId="77777777" w:rsidR="004C0B6F" w:rsidRPr="00497F72" w:rsidRDefault="004C0B6F" w:rsidP="00D87011">
      <w:pPr>
        <w:spacing w:after="0" w:line="360" w:lineRule="auto"/>
        <w:jc w:val="both"/>
        <w:rPr>
          <w:rFonts w:ascii="Times New Roman" w:hAnsi="Times New Roman" w:cs="Times New Roman"/>
          <w:b/>
          <w:bCs/>
        </w:rPr>
      </w:pPr>
    </w:p>
    <w:p w14:paraId="2262BD58" w14:textId="77777777" w:rsidR="000F4E3A" w:rsidRPr="00497F72" w:rsidRDefault="000F4E3A" w:rsidP="00D87011">
      <w:pPr>
        <w:spacing w:after="0" w:line="360" w:lineRule="auto"/>
        <w:jc w:val="both"/>
        <w:rPr>
          <w:rFonts w:ascii="Times New Roman" w:hAnsi="Times New Roman" w:cs="Times New Roman"/>
          <w:b/>
          <w:bCs/>
        </w:rPr>
      </w:pPr>
    </w:p>
    <w:p w14:paraId="41069DA4" w14:textId="77777777" w:rsidR="005B0A7F" w:rsidRPr="00497F72" w:rsidRDefault="00D87011" w:rsidP="00D87011">
      <w:pPr>
        <w:spacing w:after="0" w:line="360" w:lineRule="auto"/>
        <w:jc w:val="both"/>
        <w:rPr>
          <w:rFonts w:ascii="Times New Roman" w:hAnsi="Times New Roman" w:cs="Times New Roman"/>
          <w:b/>
          <w:bCs/>
        </w:rPr>
      </w:pPr>
      <w:r w:rsidRPr="00497F72">
        <w:rPr>
          <w:rFonts w:ascii="Times New Roman" w:hAnsi="Times New Roman" w:cs="Times New Roman"/>
          <w:b/>
          <w:bCs/>
        </w:rPr>
        <w:t>References</w:t>
      </w:r>
    </w:p>
    <w:p w14:paraId="6E0C7242" w14:textId="77777777" w:rsidR="003D6308" w:rsidRDefault="003D6308">
      <w:pPr>
        <w:spacing w:after="0" w:line="360" w:lineRule="auto"/>
        <w:ind w:left="851" w:hanging="851"/>
        <w:jc w:val="both"/>
        <w:rPr>
          <w:rFonts w:ascii="Times New Roman" w:hAnsi="Times New Roman" w:cs="Times New Roman"/>
        </w:rPr>
      </w:pPr>
    </w:p>
    <w:p w14:paraId="4B6180CC"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Ayaşan</w:t>
      </w:r>
      <w:proofErr w:type="spellEnd"/>
      <w:r w:rsidRPr="004436FA">
        <w:rPr>
          <w:rFonts w:ascii="Times New Roman" w:eastAsia="Times New Roman" w:hAnsi="Times New Roman" w:cs="Times New Roman"/>
          <w:kern w:val="0"/>
          <w:lang w:val="en-US"/>
          <w14:ligatures w14:val="none"/>
        </w:rPr>
        <w:t xml:space="preserve">, T., &amp; </w:t>
      </w:r>
      <w:proofErr w:type="spellStart"/>
      <w:r w:rsidRPr="004436FA">
        <w:rPr>
          <w:rFonts w:ascii="Times New Roman" w:eastAsia="Times New Roman" w:hAnsi="Times New Roman" w:cs="Times New Roman"/>
          <w:kern w:val="0"/>
          <w:lang w:val="en-US"/>
          <w14:ligatures w14:val="none"/>
        </w:rPr>
        <w:t>Karakozak</w:t>
      </w:r>
      <w:proofErr w:type="spellEnd"/>
      <w:r w:rsidRPr="004436FA">
        <w:rPr>
          <w:rFonts w:ascii="Times New Roman" w:eastAsia="Times New Roman" w:hAnsi="Times New Roman" w:cs="Times New Roman"/>
          <w:kern w:val="0"/>
          <w:lang w:val="en-US"/>
          <w14:ligatures w14:val="none"/>
        </w:rPr>
        <w:t xml:space="preserve">, E. (2010). Nutrition of donor cows. </w:t>
      </w:r>
      <w:proofErr w:type="spellStart"/>
      <w:r w:rsidRPr="004436FA">
        <w:rPr>
          <w:rFonts w:ascii="Times New Roman" w:eastAsia="Times New Roman" w:hAnsi="Times New Roman" w:cs="Times New Roman"/>
          <w:i/>
          <w:iCs/>
          <w:kern w:val="0"/>
          <w:lang w:val="en-US"/>
          <w14:ligatures w14:val="none"/>
        </w:rPr>
        <w:t>Kafkas</w:t>
      </w:r>
      <w:proofErr w:type="spellEnd"/>
      <w:r w:rsidRPr="004436FA">
        <w:rPr>
          <w:rFonts w:ascii="Times New Roman" w:eastAsia="Times New Roman" w:hAnsi="Times New Roman" w:cs="Times New Roman"/>
          <w:i/>
          <w:iCs/>
          <w:kern w:val="0"/>
          <w:lang w:val="en-US"/>
          <w14:ligatures w14:val="none"/>
        </w:rPr>
        <w:t xml:space="preserve"> </w:t>
      </w:r>
      <w:proofErr w:type="spellStart"/>
      <w:r w:rsidRPr="004436FA">
        <w:rPr>
          <w:rFonts w:ascii="Times New Roman" w:eastAsia="Times New Roman" w:hAnsi="Times New Roman" w:cs="Times New Roman"/>
          <w:i/>
          <w:iCs/>
          <w:kern w:val="0"/>
          <w:lang w:val="en-US"/>
          <w14:ligatures w14:val="none"/>
        </w:rPr>
        <w:t>Üniversitesi</w:t>
      </w:r>
      <w:proofErr w:type="spellEnd"/>
      <w:r w:rsidRPr="004436FA">
        <w:rPr>
          <w:rFonts w:ascii="Times New Roman" w:eastAsia="Times New Roman" w:hAnsi="Times New Roman" w:cs="Times New Roman"/>
          <w:i/>
          <w:iCs/>
          <w:kern w:val="0"/>
          <w:lang w:val="en-US"/>
          <w14:ligatures w14:val="none"/>
        </w:rPr>
        <w:t xml:space="preserve"> </w:t>
      </w:r>
      <w:proofErr w:type="spellStart"/>
      <w:r w:rsidRPr="004436FA">
        <w:rPr>
          <w:rFonts w:ascii="Times New Roman" w:eastAsia="Times New Roman" w:hAnsi="Times New Roman" w:cs="Times New Roman"/>
          <w:i/>
          <w:iCs/>
          <w:kern w:val="0"/>
          <w:lang w:val="en-US"/>
          <w14:ligatures w14:val="none"/>
        </w:rPr>
        <w:t>Veteriner</w:t>
      </w:r>
      <w:proofErr w:type="spellEnd"/>
      <w:r w:rsidRPr="004436FA">
        <w:rPr>
          <w:rFonts w:ascii="Times New Roman" w:eastAsia="Times New Roman" w:hAnsi="Times New Roman" w:cs="Times New Roman"/>
          <w:i/>
          <w:iCs/>
          <w:kern w:val="0"/>
          <w:lang w:val="en-US"/>
          <w14:ligatures w14:val="none"/>
        </w:rPr>
        <w:t xml:space="preserve"> </w:t>
      </w:r>
      <w:proofErr w:type="spellStart"/>
      <w:r w:rsidRPr="004436FA">
        <w:rPr>
          <w:rFonts w:ascii="Times New Roman" w:eastAsia="Times New Roman" w:hAnsi="Times New Roman" w:cs="Times New Roman"/>
          <w:i/>
          <w:iCs/>
          <w:kern w:val="0"/>
          <w:lang w:val="en-US"/>
          <w14:ligatures w14:val="none"/>
        </w:rPr>
        <w:t>Fakültesi</w:t>
      </w:r>
      <w:proofErr w:type="spellEnd"/>
      <w:r w:rsidRPr="004436FA">
        <w:rPr>
          <w:rFonts w:ascii="Times New Roman" w:eastAsia="Times New Roman" w:hAnsi="Times New Roman" w:cs="Times New Roman"/>
          <w:i/>
          <w:iCs/>
          <w:kern w:val="0"/>
          <w:lang w:val="en-US"/>
          <w14:ligatures w14:val="none"/>
        </w:rPr>
        <w:t xml:space="preserve"> Dergisi, 16</w:t>
      </w:r>
      <w:r w:rsidRPr="004436FA">
        <w:rPr>
          <w:rFonts w:ascii="Times New Roman" w:eastAsia="Times New Roman" w:hAnsi="Times New Roman" w:cs="Times New Roman"/>
          <w:kern w:val="0"/>
          <w:lang w:val="en-US"/>
          <w14:ligatures w14:val="none"/>
        </w:rPr>
        <w:t xml:space="preserve">(3), 523–530. </w:t>
      </w:r>
      <w:hyperlink r:id="rId9" w:history="1">
        <w:r w:rsidRPr="004436FA">
          <w:rPr>
            <w:rFonts w:ascii="Times New Roman" w:eastAsia="Times New Roman" w:hAnsi="Times New Roman" w:cs="Times New Roman"/>
            <w:color w:val="0000FF"/>
            <w:kern w:val="0"/>
            <w:u w:val="single"/>
            <w:lang w:val="en-US"/>
            <w14:ligatures w14:val="none"/>
          </w:rPr>
          <w:t>https://doi.org/10.9775/kvfd.2009.1365</w:t>
        </w:r>
      </w:hyperlink>
    </w:p>
    <w:p w14:paraId="76970100"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Bessa, I. R., Nishimura, R. C., Franco, M. M., &amp; Dode, M. A. N. (2013). Transcription profile of candidate genes for the acquisition of competence during oocyte growth in cattle. </w:t>
      </w:r>
      <w:r w:rsidRPr="004436FA">
        <w:rPr>
          <w:rFonts w:ascii="Times New Roman" w:eastAsia="Times New Roman" w:hAnsi="Times New Roman" w:cs="Times New Roman"/>
          <w:i/>
          <w:iCs/>
          <w:kern w:val="0"/>
          <w:lang w:val="en-US"/>
          <w14:ligatures w14:val="none"/>
        </w:rPr>
        <w:t>Reproduction in Domestic Animals, 48</w:t>
      </w:r>
      <w:r w:rsidRPr="004436FA">
        <w:rPr>
          <w:rFonts w:ascii="Times New Roman" w:eastAsia="Times New Roman" w:hAnsi="Times New Roman" w:cs="Times New Roman"/>
          <w:kern w:val="0"/>
          <w:lang w:val="en-US"/>
          <w14:ligatures w14:val="none"/>
        </w:rPr>
        <w:t xml:space="preserve">(5), 781–789. </w:t>
      </w:r>
      <w:hyperlink r:id="rId10" w:history="1">
        <w:r w:rsidRPr="004436FA">
          <w:rPr>
            <w:rFonts w:ascii="Times New Roman" w:eastAsia="Times New Roman" w:hAnsi="Times New Roman" w:cs="Times New Roman"/>
            <w:color w:val="0000FF"/>
            <w:kern w:val="0"/>
            <w:u w:val="single"/>
            <w:lang w:val="en-US"/>
            <w14:ligatures w14:val="none"/>
          </w:rPr>
          <w:t>https://doi.org/10.1111/rda.12162</w:t>
        </w:r>
      </w:hyperlink>
    </w:p>
    <w:p w14:paraId="1A0E569C"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Blondin, P., &amp; Sirard, M.-A. (1995). Oocyte and follicular morphology as determining characteristics for developmental competence in bovine oocytes. </w:t>
      </w:r>
      <w:r w:rsidRPr="004436FA">
        <w:rPr>
          <w:rFonts w:ascii="Times New Roman" w:eastAsia="Times New Roman" w:hAnsi="Times New Roman" w:cs="Times New Roman"/>
          <w:i/>
          <w:iCs/>
          <w:kern w:val="0"/>
          <w:lang w:val="en-US"/>
          <w14:ligatures w14:val="none"/>
        </w:rPr>
        <w:t>Molecular Reproduction and Development, 41</w:t>
      </w:r>
      <w:r w:rsidRPr="004436FA">
        <w:rPr>
          <w:rFonts w:ascii="Times New Roman" w:eastAsia="Times New Roman" w:hAnsi="Times New Roman" w:cs="Times New Roman"/>
          <w:kern w:val="0"/>
          <w:lang w:val="en-US"/>
          <w14:ligatures w14:val="none"/>
        </w:rPr>
        <w:t xml:space="preserve">(1), 54–62. </w:t>
      </w:r>
      <w:hyperlink r:id="rId11" w:history="1">
        <w:r w:rsidRPr="004436FA">
          <w:rPr>
            <w:rFonts w:ascii="Times New Roman" w:eastAsia="Times New Roman" w:hAnsi="Times New Roman" w:cs="Times New Roman"/>
            <w:color w:val="0000FF"/>
            <w:kern w:val="0"/>
            <w:u w:val="single"/>
            <w:lang w:val="en-US"/>
            <w14:ligatures w14:val="none"/>
          </w:rPr>
          <w:t>https://doi.org/10.1002/mrd.1080410109</w:t>
        </w:r>
      </w:hyperlink>
    </w:p>
    <w:p w14:paraId="331D7105"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Bousquet, D., </w:t>
      </w:r>
      <w:proofErr w:type="spellStart"/>
      <w:r w:rsidRPr="004436FA">
        <w:rPr>
          <w:rFonts w:ascii="Times New Roman" w:eastAsia="Times New Roman" w:hAnsi="Times New Roman" w:cs="Times New Roman"/>
          <w:kern w:val="0"/>
          <w:lang w:val="en-US"/>
          <w14:ligatures w14:val="none"/>
        </w:rPr>
        <w:t>Twagiramungu</w:t>
      </w:r>
      <w:proofErr w:type="spellEnd"/>
      <w:r w:rsidRPr="004436FA">
        <w:rPr>
          <w:rFonts w:ascii="Times New Roman" w:eastAsia="Times New Roman" w:hAnsi="Times New Roman" w:cs="Times New Roman"/>
          <w:kern w:val="0"/>
          <w:lang w:val="en-US"/>
          <w14:ligatures w14:val="none"/>
        </w:rPr>
        <w:t xml:space="preserve">, H., Morin, N., Brisson, C., Carboneau, G., &amp; Durocher, J. (1999). In vitro embryo production in the cow: An effective alternative to the conventional embryo production approach. </w:t>
      </w:r>
      <w:r w:rsidRPr="004436FA">
        <w:rPr>
          <w:rFonts w:ascii="Times New Roman" w:eastAsia="Times New Roman" w:hAnsi="Times New Roman" w:cs="Times New Roman"/>
          <w:i/>
          <w:iCs/>
          <w:kern w:val="0"/>
          <w:lang w:val="en-US"/>
          <w14:ligatures w14:val="none"/>
        </w:rPr>
        <w:t>Theriogenology, 51</w:t>
      </w:r>
      <w:r w:rsidRPr="004436FA">
        <w:rPr>
          <w:rFonts w:ascii="Times New Roman" w:eastAsia="Times New Roman" w:hAnsi="Times New Roman" w:cs="Times New Roman"/>
          <w:kern w:val="0"/>
          <w:lang w:val="en-US"/>
          <w14:ligatures w14:val="none"/>
        </w:rPr>
        <w:t xml:space="preserve">(1), 59–70. </w:t>
      </w:r>
      <w:hyperlink r:id="rId12" w:history="1">
        <w:r w:rsidRPr="004436FA">
          <w:rPr>
            <w:rFonts w:ascii="Times New Roman" w:eastAsia="Times New Roman" w:hAnsi="Times New Roman" w:cs="Times New Roman"/>
            <w:color w:val="0000FF"/>
            <w:kern w:val="0"/>
            <w:u w:val="single"/>
            <w:lang w:val="en-US"/>
            <w14:ligatures w14:val="none"/>
          </w:rPr>
          <w:t>https://doi.org/10.1016/S0093-691X(98)00231-3</w:t>
        </w:r>
      </w:hyperlink>
    </w:p>
    <w:p w14:paraId="0B859833"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lastRenderedPageBreak/>
        <w:t xml:space="preserve">Bramhaiah, K. V., Krishna, N. V., Kumar, G. S., Reddy, K. G., Reddy, Y. N., Tagore, K. V. V., &amp; Reddy, D. M. (2024). Effect of hormones, season and lactation on follicular size, oocyte competency and embryo production in Sahiwal cattle. </w:t>
      </w:r>
      <w:r w:rsidRPr="004436FA">
        <w:rPr>
          <w:rFonts w:ascii="Times New Roman" w:eastAsia="Times New Roman" w:hAnsi="Times New Roman" w:cs="Times New Roman"/>
          <w:i/>
          <w:iCs/>
          <w:kern w:val="0"/>
          <w:lang w:val="en-US"/>
          <w14:ligatures w14:val="none"/>
        </w:rPr>
        <w:t>Indian Journal of Animal Research, 58</w:t>
      </w:r>
      <w:r w:rsidRPr="004436FA">
        <w:rPr>
          <w:rFonts w:ascii="Times New Roman" w:eastAsia="Times New Roman" w:hAnsi="Times New Roman" w:cs="Times New Roman"/>
          <w:kern w:val="0"/>
          <w:lang w:val="en-US"/>
          <w14:ligatures w14:val="none"/>
        </w:rPr>
        <w:t xml:space="preserve">(12), 2064–2069. </w:t>
      </w:r>
      <w:hyperlink r:id="rId13" w:history="1">
        <w:r w:rsidRPr="004436FA">
          <w:rPr>
            <w:rFonts w:ascii="Times New Roman" w:eastAsia="Times New Roman" w:hAnsi="Times New Roman" w:cs="Times New Roman"/>
            <w:color w:val="0000FF"/>
            <w:kern w:val="0"/>
            <w:u w:val="single"/>
            <w:lang w:val="en-US"/>
            <w14:ligatures w14:val="none"/>
          </w:rPr>
          <w:t>https://doi.org/10.18805/IJAR.B-5242</w:t>
        </w:r>
      </w:hyperlink>
    </w:p>
    <w:p w14:paraId="1F2C85AA"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Chaubal</w:t>
      </w:r>
      <w:proofErr w:type="spellEnd"/>
      <w:r w:rsidRPr="004436FA">
        <w:rPr>
          <w:rFonts w:ascii="Times New Roman" w:eastAsia="Times New Roman" w:hAnsi="Times New Roman" w:cs="Times New Roman"/>
          <w:kern w:val="0"/>
          <w:lang w:val="en-US"/>
          <w14:ligatures w14:val="none"/>
        </w:rPr>
        <w:t xml:space="preserve">, S. A., Ferre, L. B., Molina, J. A., Faber, D. C., Bols, P. E. J., </w:t>
      </w:r>
      <w:proofErr w:type="spellStart"/>
      <w:r w:rsidRPr="004436FA">
        <w:rPr>
          <w:rFonts w:ascii="Times New Roman" w:eastAsia="Times New Roman" w:hAnsi="Times New Roman" w:cs="Times New Roman"/>
          <w:kern w:val="0"/>
          <w:lang w:val="en-US"/>
          <w14:ligatures w14:val="none"/>
        </w:rPr>
        <w:t>Rezamand</w:t>
      </w:r>
      <w:proofErr w:type="spellEnd"/>
      <w:r w:rsidRPr="004436FA">
        <w:rPr>
          <w:rFonts w:ascii="Times New Roman" w:eastAsia="Times New Roman" w:hAnsi="Times New Roman" w:cs="Times New Roman"/>
          <w:kern w:val="0"/>
          <w:lang w:val="en-US"/>
          <w14:ligatures w14:val="none"/>
        </w:rPr>
        <w:t xml:space="preserve">, P., Tian, X., &amp; Yang, X. (2007). Hormonal treatments for increasing the oocyte and embryo production in an OPU–IVP system. </w:t>
      </w:r>
      <w:r w:rsidRPr="004436FA">
        <w:rPr>
          <w:rFonts w:ascii="Times New Roman" w:eastAsia="Times New Roman" w:hAnsi="Times New Roman" w:cs="Times New Roman"/>
          <w:i/>
          <w:iCs/>
          <w:kern w:val="0"/>
          <w:lang w:val="en-US"/>
          <w14:ligatures w14:val="none"/>
        </w:rPr>
        <w:t>Theriogenology, 67</w:t>
      </w:r>
      <w:r w:rsidRPr="004436FA">
        <w:rPr>
          <w:rFonts w:ascii="Times New Roman" w:eastAsia="Times New Roman" w:hAnsi="Times New Roman" w:cs="Times New Roman"/>
          <w:kern w:val="0"/>
          <w:lang w:val="en-US"/>
          <w14:ligatures w14:val="none"/>
        </w:rPr>
        <w:t xml:space="preserve">(4), 719–728. </w:t>
      </w:r>
      <w:hyperlink r:id="rId14" w:history="1">
        <w:r w:rsidRPr="004436FA">
          <w:rPr>
            <w:rFonts w:ascii="Times New Roman" w:eastAsia="Times New Roman" w:hAnsi="Times New Roman" w:cs="Times New Roman"/>
            <w:color w:val="0000FF"/>
            <w:kern w:val="0"/>
            <w:u w:val="single"/>
            <w:lang w:val="en-US"/>
            <w14:ligatures w14:val="none"/>
          </w:rPr>
          <w:t>https://doi.org/10.1016/j.theriogenology.2006.07.022</w:t>
        </w:r>
      </w:hyperlink>
    </w:p>
    <w:p w14:paraId="0A1099E3"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Çiftçi, M. F., Yeşilkaya, Ö. F., </w:t>
      </w:r>
      <w:proofErr w:type="spellStart"/>
      <w:r w:rsidRPr="004436FA">
        <w:rPr>
          <w:rFonts w:ascii="Times New Roman" w:eastAsia="Times New Roman" w:hAnsi="Times New Roman" w:cs="Times New Roman"/>
          <w:kern w:val="0"/>
          <w:lang w:val="en-US"/>
          <w14:ligatures w14:val="none"/>
        </w:rPr>
        <w:t>Çizmeci</w:t>
      </w:r>
      <w:proofErr w:type="spellEnd"/>
      <w:r w:rsidRPr="004436FA">
        <w:rPr>
          <w:rFonts w:ascii="Times New Roman" w:eastAsia="Times New Roman" w:hAnsi="Times New Roman" w:cs="Times New Roman"/>
          <w:kern w:val="0"/>
          <w:lang w:val="en-US"/>
          <w14:ligatures w14:val="none"/>
        </w:rPr>
        <w:t xml:space="preserve">, S. Ü., </w:t>
      </w:r>
      <w:proofErr w:type="spellStart"/>
      <w:r w:rsidRPr="004436FA">
        <w:rPr>
          <w:rFonts w:ascii="Times New Roman" w:eastAsia="Times New Roman" w:hAnsi="Times New Roman" w:cs="Times New Roman"/>
          <w:kern w:val="0"/>
          <w:lang w:val="en-US"/>
          <w14:ligatures w14:val="none"/>
        </w:rPr>
        <w:t>Gölbaşı</w:t>
      </w:r>
      <w:proofErr w:type="spellEnd"/>
      <w:r w:rsidRPr="004436FA">
        <w:rPr>
          <w:rFonts w:ascii="Times New Roman" w:eastAsia="Times New Roman" w:hAnsi="Times New Roman" w:cs="Times New Roman"/>
          <w:kern w:val="0"/>
          <w:lang w:val="en-US"/>
          <w14:ligatures w14:val="none"/>
        </w:rPr>
        <w:t xml:space="preserve">, M., </w:t>
      </w:r>
      <w:proofErr w:type="spellStart"/>
      <w:r w:rsidRPr="004436FA">
        <w:rPr>
          <w:rFonts w:ascii="Times New Roman" w:eastAsia="Times New Roman" w:hAnsi="Times New Roman" w:cs="Times New Roman"/>
          <w:kern w:val="0"/>
          <w:lang w:val="en-US"/>
          <w14:ligatures w14:val="none"/>
        </w:rPr>
        <w:t>Sarı</w:t>
      </w:r>
      <w:proofErr w:type="spellEnd"/>
      <w:r w:rsidRPr="004436FA">
        <w:rPr>
          <w:rFonts w:ascii="Times New Roman" w:eastAsia="Times New Roman" w:hAnsi="Times New Roman" w:cs="Times New Roman"/>
          <w:kern w:val="0"/>
          <w:lang w:val="en-US"/>
          <w14:ligatures w14:val="none"/>
        </w:rPr>
        <w:t xml:space="preserve">, A., &amp; Dinç, D. A. (2025). Effect on OPU/IVEP success of different applications for synchronizing follicular waves prior to </w:t>
      </w:r>
      <w:proofErr w:type="spellStart"/>
      <w:r w:rsidRPr="004436FA">
        <w:rPr>
          <w:rFonts w:ascii="Times New Roman" w:eastAsia="Times New Roman" w:hAnsi="Times New Roman" w:cs="Times New Roman"/>
          <w:kern w:val="0"/>
          <w:lang w:val="en-US"/>
          <w14:ligatures w14:val="none"/>
        </w:rPr>
        <w:t>superstimulation</w:t>
      </w:r>
      <w:proofErr w:type="spellEnd"/>
      <w:r w:rsidRPr="004436FA">
        <w:rPr>
          <w:rFonts w:ascii="Times New Roman" w:eastAsia="Times New Roman" w:hAnsi="Times New Roman" w:cs="Times New Roman"/>
          <w:kern w:val="0"/>
          <w:lang w:val="en-US"/>
          <w14:ligatures w14:val="none"/>
        </w:rPr>
        <w:t xml:space="preserve"> in Holstein heifers. </w:t>
      </w:r>
      <w:r w:rsidRPr="004436FA">
        <w:rPr>
          <w:rFonts w:ascii="Times New Roman" w:eastAsia="Times New Roman" w:hAnsi="Times New Roman" w:cs="Times New Roman"/>
          <w:i/>
          <w:iCs/>
          <w:kern w:val="0"/>
          <w:lang w:val="en-US"/>
          <w14:ligatures w14:val="none"/>
        </w:rPr>
        <w:t>Archives Animal Breeding, 68</w:t>
      </w:r>
      <w:r w:rsidRPr="004436FA">
        <w:rPr>
          <w:rFonts w:ascii="Times New Roman" w:eastAsia="Times New Roman" w:hAnsi="Times New Roman" w:cs="Times New Roman"/>
          <w:kern w:val="0"/>
          <w:lang w:val="en-US"/>
          <w14:ligatures w14:val="none"/>
        </w:rPr>
        <w:t xml:space="preserve">, 101–107. </w:t>
      </w:r>
      <w:hyperlink r:id="rId15" w:history="1">
        <w:r w:rsidRPr="004436FA">
          <w:rPr>
            <w:rFonts w:ascii="Times New Roman" w:eastAsia="Times New Roman" w:hAnsi="Times New Roman" w:cs="Times New Roman"/>
            <w:color w:val="0000FF"/>
            <w:kern w:val="0"/>
            <w:u w:val="single"/>
            <w:lang w:val="en-US"/>
            <w14:ligatures w14:val="none"/>
          </w:rPr>
          <w:t>https://doi.org/10.5194/aab-68-101-2025</w:t>
        </w:r>
      </w:hyperlink>
    </w:p>
    <w:p w14:paraId="39EC45C0"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da Silva, J. C. B., Ferreira, R. M., Maturana Filho, M., de Rezende Naves, J., Santin, T., Pugliesi, G., &amp; Madureira, E. H. (2017). Use of FSH in two different regimens for ovarian </w:t>
      </w:r>
      <w:proofErr w:type="spellStart"/>
      <w:r w:rsidRPr="004436FA">
        <w:rPr>
          <w:rFonts w:ascii="Times New Roman" w:eastAsia="Times New Roman" w:hAnsi="Times New Roman" w:cs="Times New Roman"/>
          <w:kern w:val="0"/>
          <w:lang w:val="en-US"/>
          <w14:ligatures w14:val="none"/>
        </w:rPr>
        <w:t>superstimulation</w:t>
      </w:r>
      <w:proofErr w:type="spellEnd"/>
      <w:r w:rsidRPr="004436FA">
        <w:rPr>
          <w:rFonts w:ascii="Times New Roman" w:eastAsia="Times New Roman" w:hAnsi="Times New Roman" w:cs="Times New Roman"/>
          <w:kern w:val="0"/>
          <w:lang w:val="en-US"/>
          <w14:ligatures w14:val="none"/>
        </w:rPr>
        <w:t xml:space="preserve"> prior to ovum pick-up and in vitro embryo production in Holstein cows. </w:t>
      </w:r>
      <w:r w:rsidRPr="004436FA">
        <w:rPr>
          <w:rFonts w:ascii="Times New Roman" w:eastAsia="Times New Roman" w:hAnsi="Times New Roman" w:cs="Times New Roman"/>
          <w:i/>
          <w:iCs/>
          <w:kern w:val="0"/>
          <w:lang w:val="en-US"/>
          <w14:ligatures w14:val="none"/>
        </w:rPr>
        <w:t>Theriogenology, 90</w:t>
      </w:r>
      <w:r w:rsidRPr="004436FA">
        <w:rPr>
          <w:rFonts w:ascii="Times New Roman" w:eastAsia="Times New Roman" w:hAnsi="Times New Roman" w:cs="Times New Roman"/>
          <w:kern w:val="0"/>
          <w:lang w:val="en-US"/>
          <w14:ligatures w14:val="none"/>
        </w:rPr>
        <w:t xml:space="preserve">, 65–73. </w:t>
      </w:r>
      <w:hyperlink r:id="rId16" w:history="1">
        <w:r w:rsidRPr="004436FA">
          <w:rPr>
            <w:rFonts w:ascii="Times New Roman" w:eastAsia="Times New Roman" w:hAnsi="Times New Roman" w:cs="Times New Roman"/>
            <w:color w:val="0000FF"/>
            <w:kern w:val="0"/>
            <w:u w:val="single"/>
            <w:lang w:val="en-US"/>
            <w14:ligatures w14:val="none"/>
          </w:rPr>
          <w:t>https://doi.org/10.1016/j.theriogenology.2016.11.016</w:t>
        </w:r>
      </w:hyperlink>
    </w:p>
    <w:p w14:paraId="383C97A4"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Department of Animal Husbandry and Dairying. (2019). </w:t>
      </w:r>
      <w:r w:rsidRPr="004436FA">
        <w:rPr>
          <w:rFonts w:ascii="Times New Roman" w:eastAsia="Times New Roman" w:hAnsi="Times New Roman" w:cs="Times New Roman"/>
          <w:i/>
          <w:iCs/>
          <w:kern w:val="0"/>
          <w:lang w:val="en-US"/>
          <w14:ligatures w14:val="none"/>
        </w:rPr>
        <w:t>20th livestock census of India: Key results</w:t>
      </w:r>
      <w:r w:rsidRPr="004436FA">
        <w:rPr>
          <w:rFonts w:ascii="Times New Roman" w:eastAsia="Times New Roman" w:hAnsi="Times New Roman" w:cs="Times New Roman"/>
          <w:kern w:val="0"/>
          <w:lang w:val="en-US"/>
          <w14:ligatures w14:val="none"/>
        </w:rPr>
        <w:t xml:space="preserve">. Ministry of Fisheries, Animal Husbandry and Dairying, Government of India. </w:t>
      </w:r>
      <w:hyperlink r:id="rId17" w:history="1">
        <w:r w:rsidRPr="004436FA">
          <w:rPr>
            <w:rFonts w:ascii="Times New Roman" w:eastAsia="Times New Roman" w:hAnsi="Times New Roman" w:cs="Times New Roman"/>
            <w:color w:val="0000FF"/>
            <w:kern w:val="0"/>
            <w:u w:val="single"/>
            <w:lang w:val="en-US"/>
            <w14:ligatures w14:val="none"/>
          </w:rPr>
          <w:t>https://dahd.gov.in/node/3282</w:t>
        </w:r>
      </w:hyperlink>
    </w:p>
    <w:p w14:paraId="0DEBF0D8"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Egashira</w:t>
      </w:r>
      <w:proofErr w:type="spellEnd"/>
      <w:r w:rsidRPr="004436FA">
        <w:rPr>
          <w:rFonts w:ascii="Times New Roman" w:eastAsia="Times New Roman" w:hAnsi="Times New Roman" w:cs="Times New Roman"/>
          <w:kern w:val="0"/>
          <w:lang w:val="en-US"/>
          <w14:ligatures w14:val="none"/>
        </w:rPr>
        <w:t xml:space="preserve">, J., Ihara, Y., Khatun, H., Wada, Y., Konno, T., </w:t>
      </w:r>
      <w:proofErr w:type="spellStart"/>
      <w:r w:rsidRPr="004436FA">
        <w:rPr>
          <w:rFonts w:ascii="Times New Roman" w:eastAsia="Times New Roman" w:hAnsi="Times New Roman" w:cs="Times New Roman"/>
          <w:kern w:val="0"/>
          <w:lang w:val="en-US"/>
          <w14:ligatures w14:val="none"/>
        </w:rPr>
        <w:t>Tatemoto</w:t>
      </w:r>
      <w:proofErr w:type="spellEnd"/>
      <w:r w:rsidRPr="004436FA">
        <w:rPr>
          <w:rFonts w:ascii="Times New Roman" w:eastAsia="Times New Roman" w:hAnsi="Times New Roman" w:cs="Times New Roman"/>
          <w:kern w:val="0"/>
          <w:lang w:val="en-US"/>
          <w14:ligatures w14:val="none"/>
        </w:rPr>
        <w:t xml:space="preserve">, H., &amp; Yamanaka, K.-I. (2019). Efficient in vitro embryo production using in vivo-matured oocytes from </w:t>
      </w:r>
      <w:proofErr w:type="spellStart"/>
      <w:r w:rsidRPr="004436FA">
        <w:rPr>
          <w:rFonts w:ascii="Times New Roman" w:eastAsia="Times New Roman" w:hAnsi="Times New Roman" w:cs="Times New Roman"/>
          <w:kern w:val="0"/>
          <w:lang w:val="en-US"/>
          <w14:ligatures w14:val="none"/>
        </w:rPr>
        <w:t>superstimulated</w:t>
      </w:r>
      <w:proofErr w:type="spellEnd"/>
      <w:r w:rsidRPr="004436FA">
        <w:rPr>
          <w:rFonts w:ascii="Times New Roman" w:eastAsia="Times New Roman" w:hAnsi="Times New Roman" w:cs="Times New Roman"/>
          <w:kern w:val="0"/>
          <w:lang w:val="en-US"/>
          <w14:ligatures w14:val="none"/>
        </w:rPr>
        <w:t xml:space="preserve"> Japanese Black cows. </w:t>
      </w:r>
      <w:r w:rsidRPr="004436FA">
        <w:rPr>
          <w:rFonts w:ascii="Times New Roman" w:eastAsia="Times New Roman" w:hAnsi="Times New Roman" w:cs="Times New Roman"/>
          <w:i/>
          <w:iCs/>
          <w:kern w:val="0"/>
          <w:lang w:val="en-US"/>
          <w14:ligatures w14:val="none"/>
        </w:rPr>
        <w:t>Journal of Reproduction and Development, 65</w:t>
      </w:r>
      <w:r w:rsidRPr="004436FA">
        <w:rPr>
          <w:rFonts w:ascii="Times New Roman" w:eastAsia="Times New Roman" w:hAnsi="Times New Roman" w:cs="Times New Roman"/>
          <w:kern w:val="0"/>
          <w:lang w:val="en-US"/>
          <w14:ligatures w14:val="none"/>
        </w:rPr>
        <w:t xml:space="preserve">(2), 183–190. </w:t>
      </w:r>
      <w:hyperlink r:id="rId18" w:history="1">
        <w:r w:rsidRPr="004436FA">
          <w:rPr>
            <w:rFonts w:ascii="Times New Roman" w:eastAsia="Times New Roman" w:hAnsi="Times New Roman" w:cs="Times New Roman"/>
            <w:color w:val="0000FF"/>
            <w:kern w:val="0"/>
            <w:u w:val="single"/>
            <w:lang w:val="en-US"/>
            <w14:ligatures w14:val="none"/>
          </w:rPr>
          <w:t>https://doi.org/10.1262/jrd.2018-155</w:t>
        </w:r>
      </w:hyperlink>
    </w:p>
    <w:p w14:paraId="2F835308"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Fry, R. C. (2020). Gonadotropin priming before OPU: What are the benefits in cows and calves? </w:t>
      </w:r>
      <w:r w:rsidRPr="004436FA">
        <w:rPr>
          <w:rFonts w:ascii="Times New Roman" w:eastAsia="Times New Roman" w:hAnsi="Times New Roman" w:cs="Times New Roman"/>
          <w:i/>
          <w:iCs/>
          <w:kern w:val="0"/>
          <w:lang w:val="en-US"/>
          <w14:ligatures w14:val="none"/>
        </w:rPr>
        <w:t>Theriogenology, 150</w:t>
      </w:r>
      <w:r w:rsidRPr="004436FA">
        <w:rPr>
          <w:rFonts w:ascii="Times New Roman" w:eastAsia="Times New Roman" w:hAnsi="Times New Roman" w:cs="Times New Roman"/>
          <w:kern w:val="0"/>
          <w:lang w:val="en-US"/>
          <w14:ligatures w14:val="none"/>
        </w:rPr>
        <w:t xml:space="preserve">, 236–240. </w:t>
      </w:r>
      <w:hyperlink r:id="rId19" w:history="1">
        <w:r w:rsidRPr="004436FA">
          <w:rPr>
            <w:rFonts w:ascii="Times New Roman" w:eastAsia="Times New Roman" w:hAnsi="Times New Roman" w:cs="Times New Roman"/>
            <w:color w:val="0000FF"/>
            <w:kern w:val="0"/>
            <w:u w:val="single"/>
            <w:lang w:val="en-US"/>
            <w14:ligatures w14:val="none"/>
          </w:rPr>
          <w:t>https://doi.org/10.1016/j.theriogenology.2020.01.068</w:t>
        </w:r>
      </w:hyperlink>
    </w:p>
    <w:p w14:paraId="5C151519"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Golusu</w:t>
      </w:r>
      <w:proofErr w:type="spellEnd"/>
      <w:r w:rsidRPr="004436FA">
        <w:rPr>
          <w:rFonts w:ascii="Times New Roman" w:eastAsia="Times New Roman" w:hAnsi="Times New Roman" w:cs="Times New Roman"/>
          <w:kern w:val="0"/>
          <w:lang w:val="en-US"/>
          <w14:ligatures w14:val="none"/>
        </w:rPr>
        <w:t xml:space="preserve">, S. C., Aruna Kumari, G., Chandrasekhar Reddy, K., Radhakrishna Rao, J., Ramachandra Reddy, K., Venkata Ramana, K., &amp; Sravika, K. (2024). Comparative analysis of single and tapering FSH doses on follicular and oocyte yield in Sahiwal cows. </w:t>
      </w:r>
      <w:r w:rsidRPr="004436FA">
        <w:rPr>
          <w:rFonts w:ascii="Times New Roman" w:eastAsia="Times New Roman" w:hAnsi="Times New Roman" w:cs="Times New Roman"/>
          <w:i/>
          <w:iCs/>
          <w:kern w:val="0"/>
          <w:lang w:val="en-US"/>
          <w14:ligatures w14:val="none"/>
        </w:rPr>
        <w:t>Uttar Pradesh Journal of Zoology, 45</w:t>
      </w:r>
      <w:r w:rsidRPr="004436FA">
        <w:rPr>
          <w:rFonts w:ascii="Times New Roman" w:eastAsia="Times New Roman" w:hAnsi="Times New Roman" w:cs="Times New Roman"/>
          <w:kern w:val="0"/>
          <w:lang w:val="en-US"/>
          <w14:ligatures w14:val="none"/>
        </w:rPr>
        <w:t xml:space="preserve">(24), 301–310. </w:t>
      </w:r>
      <w:hyperlink r:id="rId20" w:history="1">
        <w:r w:rsidRPr="004436FA">
          <w:rPr>
            <w:rFonts w:ascii="Times New Roman" w:eastAsia="Times New Roman" w:hAnsi="Times New Roman" w:cs="Times New Roman"/>
            <w:color w:val="0000FF"/>
            <w:kern w:val="0"/>
            <w:u w:val="single"/>
            <w:lang w:val="en-US"/>
            <w14:ligatures w14:val="none"/>
          </w:rPr>
          <w:t>https://doi.org/10.56557/upjoz/2024/v45i244734</w:t>
        </w:r>
      </w:hyperlink>
    </w:p>
    <w:p w14:paraId="71B0038E"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Goodhand, K. L., Staines, M. E., Hutchinson, J. S. M., &amp; Broadbent, P. J. (2000). In vivo oocyte recovery and in vitro embryo production from bovine oocyte donors treated with </w:t>
      </w:r>
      <w:proofErr w:type="spellStart"/>
      <w:r w:rsidRPr="004436FA">
        <w:rPr>
          <w:rFonts w:ascii="Times New Roman" w:eastAsia="Times New Roman" w:hAnsi="Times New Roman" w:cs="Times New Roman"/>
          <w:kern w:val="0"/>
          <w:lang w:val="en-US"/>
          <w14:ligatures w14:val="none"/>
        </w:rPr>
        <w:t>progestagen</w:t>
      </w:r>
      <w:proofErr w:type="spellEnd"/>
      <w:r w:rsidRPr="004436FA">
        <w:rPr>
          <w:rFonts w:ascii="Times New Roman" w:eastAsia="Times New Roman" w:hAnsi="Times New Roman" w:cs="Times New Roman"/>
          <w:kern w:val="0"/>
          <w:lang w:val="en-US"/>
          <w14:ligatures w14:val="none"/>
        </w:rPr>
        <w:t xml:space="preserve">, </w:t>
      </w:r>
      <w:proofErr w:type="spellStart"/>
      <w:r w:rsidRPr="004436FA">
        <w:rPr>
          <w:rFonts w:ascii="Times New Roman" w:eastAsia="Times New Roman" w:hAnsi="Times New Roman" w:cs="Times New Roman"/>
          <w:kern w:val="0"/>
          <w:lang w:val="en-US"/>
          <w14:ligatures w14:val="none"/>
        </w:rPr>
        <w:t>oestradiol</w:t>
      </w:r>
      <w:proofErr w:type="spellEnd"/>
      <w:r w:rsidRPr="004436FA">
        <w:rPr>
          <w:rFonts w:ascii="Times New Roman" w:eastAsia="Times New Roman" w:hAnsi="Times New Roman" w:cs="Times New Roman"/>
          <w:kern w:val="0"/>
          <w:lang w:val="en-US"/>
          <w14:ligatures w14:val="none"/>
        </w:rPr>
        <w:t xml:space="preserve"> and FSH. </w:t>
      </w:r>
      <w:r w:rsidRPr="004436FA">
        <w:rPr>
          <w:rFonts w:ascii="Times New Roman" w:eastAsia="Times New Roman" w:hAnsi="Times New Roman" w:cs="Times New Roman"/>
          <w:i/>
          <w:iCs/>
          <w:kern w:val="0"/>
          <w:lang w:val="en-US"/>
          <w14:ligatures w14:val="none"/>
        </w:rPr>
        <w:t>Animal Reproduction Science, 63</w:t>
      </w:r>
      <w:r w:rsidRPr="004436FA">
        <w:rPr>
          <w:rFonts w:ascii="Times New Roman" w:eastAsia="Times New Roman" w:hAnsi="Times New Roman" w:cs="Times New Roman"/>
          <w:kern w:val="0"/>
          <w:lang w:val="en-US"/>
          <w14:ligatures w14:val="none"/>
        </w:rPr>
        <w:t xml:space="preserve">(3–4), 145–158. </w:t>
      </w:r>
      <w:hyperlink r:id="rId21" w:history="1">
        <w:r w:rsidRPr="004436FA">
          <w:rPr>
            <w:rFonts w:ascii="Times New Roman" w:eastAsia="Times New Roman" w:hAnsi="Times New Roman" w:cs="Times New Roman"/>
            <w:color w:val="0000FF"/>
            <w:kern w:val="0"/>
            <w:u w:val="single"/>
            <w:lang w:val="en-US"/>
            <w14:ligatures w14:val="none"/>
          </w:rPr>
          <w:t>https://doi.org/10.1016/S0378-4320(00)00186-X</w:t>
        </w:r>
      </w:hyperlink>
    </w:p>
    <w:p w14:paraId="08855367"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Hasler, J. F., Henderson, W. B., Hurtgen, P. J., Jin, Z. Q., McCauley, A. D., Mower, S. A., Neely, B., Shuey, L. S., Stokes, J. E., &amp; Trimmer, S. A. (1995). Production, freezing and transfer of bovine IVF embryos and subsequent calving results. </w:t>
      </w:r>
      <w:r w:rsidRPr="004436FA">
        <w:rPr>
          <w:rFonts w:ascii="Times New Roman" w:eastAsia="Times New Roman" w:hAnsi="Times New Roman" w:cs="Times New Roman"/>
          <w:i/>
          <w:iCs/>
          <w:kern w:val="0"/>
          <w:lang w:val="en-US"/>
          <w14:ligatures w14:val="none"/>
        </w:rPr>
        <w:t>Theriogenology, 43</w:t>
      </w:r>
      <w:r w:rsidRPr="004436FA">
        <w:rPr>
          <w:rFonts w:ascii="Times New Roman" w:eastAsia="Times New Roman" w:hAnsi="Times New Roman" w:cs="Times New Roman"/>
          <w:kern w:val="0"/>
          <w:lang w:val="en-US"/>
          <w14:ligatures w14:val="none"/>
        </w:rPr>
        <w:t xml:space="preserve">(1), 141–152. </w:t>
      </w:r>
      <w:hyperlink r:id="rId22" w:history="1">
        <w:r w:rsidRPr="004436FA">
          <w:rPr>
            <w:rFonts w:ascii="Times New Roman" w:eastAsia="Times New Roman" w:hAnsi="Times New Roman" w:cs="Times New Roman"/>
            <w:color w:val="0000FF"/>
            <w:kern w:val="0"/>
            <w:u w:val="single"/>
            <w:lang w:val="en-US"/>
            <w14:ligatures w14:val="none"/>
          </w:rPr>
          <w:t>https://doi.org/10.1016/0093-691X(94)00020-U</w:t>
        </w:r>
      </w:hyperlink>
    </w:p>
    <w:p w14:paraId="7DDD50C9"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Hayden, C. B., Sala, R. V., Pereira, D. C., Moreno, J. F., &amp; García-Guerra, A. (2023). Effect of use and dosage of p-follicle-stimulating hormone for ovarian </w:t>
      </w:r>
      <w:proofErr w:type="spellStart"/>
      <w:r w:rsidRPr="004436FA">
        <w:rPr>
          <w:rFonts w:ascii="Times New Roman" w:eastAsia="Times New Roman" w:hAnsi="Times New Roman" w:cs="Times New Roman"/>
          <w:kern w:val="0"/>
          <w:lang w:val="en-US"/>
          <w14:ligatures w14:val="none"/>
        </w:rPr>
        <w:t>superstimulation</w:t>
      </w:r>
      <w:proofErr w:type="spellEnd"/>
      <w:r w:rsidRPr="004436FA">
        <w:rPr>
          <w:rFonts w:ascii="Times New Roman" w:eastAsia="Times New Roman" w:hAnsi="Times New Roman" w:cs="Times New Roman"/>
          <w:kern w:val="0"/>
          <w:lang w:val="en-US"/>
          <w14:ligatures w14:val="none"/>
        </w:rPr>
        <w:t xml:space="preserve"> before </w:t>
      </w:r>
      <w:r w:rsidRPr="004436FA">
        <w:rPr>
          <w:rFonts w:ascii="Times New Roman" w:eastAsia="Times New Roman" w:hAnsi="Times New Roman" w:cs="Times New Roman"/>
          <w:kern w:val="0"/>
          <w:lang w:val="en-US"/>
          <w14:ligatures w14:val="none"/>
        </w:rPr>
        <w:lastRenderedPageBreak/>
        <w:t xml:space="preserve">ovum pick-up and in vitro embryo production in pregnant Holstein heifers. </w:t>
      </w:r>
      <w:r w:rsidRPr="004436FA">
        <w:rPr>
          <w:rFonts w:ascii="Times New Roman" w:eastAsia="Times New Roman" w:hAnsi="Times New Roman" w:cs="Times New Roman"/>
          <w:i/>
          <w:iCs/>
          <w:kern w:val="0"/>
          <w:lang w:val="en-US"/>
          <w14:ligatures w14:val="none"/>
        </w:rPr>
        <w:t>Journal of Dairy Science, 106</w:t>
      </w:r>
      <w:r w:rsidRPr="004436FA">
        <w:rPr>
          <w:rFonts w:ascii="Times New Roman" w:eastAsia="Times New Roman" w:hAnsi="Times New Roman" w:cs="Times New Roman"/>
          <w:kern w:val="0"/>
          <w:lang w:val="en-US"/>
          <w14:ligatures w14:val="none"/>
        </w:rPr>
        <w:t xml:space="preserve">(11), 8110–8121. </w:t>
      </w:r>
      <w:hyperlink r:id="rId23" w:history="1">
        <w:r w:rsidRPr="004436FA">
          <w:rPr>
            <w:rFonts w:ascii="Times New Roman" w:eastAsia="Times New Roman" w:hAnsi="Times New Roman" w:cs="Times New Roman"/>
            <w:color w:val="0000FF"/>
            <w:kern w:val="0"/>
            <w:u w:val="single"/>
            <w:lang w:val="en-US"/>
            <w14:ligatures w14:val="none"/>
          </w:rPr>
          <w:t>https://doi.org/10.3168/jds.2023-23576</w:t>
        </w:r>
      </w:hyperlink>
    </w:p>
    <w:p w14:paraId="2E711BF7"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Hızlı</w:t>
      </w:r>
      <w:proofErr w:type="spellEnd"/>
      <w:r w:rsidRPr="004436FA">
        <w:rPr>
          <w:rFonts w:ascii="Times New Roman" w:eastAsia="Times New Roman" w:hAnsi="Times New Roman" w:cs="Times New Roman"/>
          <w:kern w:val="0"/>
          <w:lang w:val="en-US"/>
          <w14:ligatures w14:val="none"/>
        </w:rPr>
        <w:t xml:space="preserve">, H., </w:t>
      </w:r>
      <w:proofErr w:type="spellStart"/>
      <w:r w:rsidRPr="004436FA">
        <w:rPr>
          <w:rFonts w:ascii="Times New Roman" w:eastAsia="Times New Roman" w:hAnsi="Times New Roman" w:cs="Times New Roman"/>
          <w:kern w:val="0"/>
          <w:lang w:val="en-US"/>
          <w14:ligatures w14:val="none"/>
        </w:rPr>
        <w:t>Ayaşan</w:t>
      </w:r>
      <w:proofErr w:type="spellEnd"/>
      <w:r w:rsidRPr="004436FA">
        <w:rPr>
          <w:rFonts w:ascii="Times New Roman" w:eastAsia="Times New Roman" w:hAnsi="Times New Roman" w:cs="Times New Roman"/>
          <w:kern w:val="0"/>
          <w:lang w:val="en-US"/>
          <w14:ligatures w14:val="none"/>
        </w:rPr>
        <w:t xml:space="preserve">, T., Gök, K., Kara, U., </w:t>
      </w:r>
      <w:proofErr w:type="spellStart"/>
      <w:r w:rsidRPr="004436FA">
        <w:rPr>
          <w:rFonts w:ascii="Times New Roman" w:eastAsia="Times New Roman" w:hAnsi="Times New Roman" w:cs="Times New Roman"/>
          <w:kern w:val="0"/>
          <w:lang w:val="en-US"/>
          <w14:ligatures w14:val="none"/>
        </w:rPr>
        <w:t>Kılıçalp</w:t>
      </w:r>
      <w:proofErr w:type="spellEnd"/>
      <w:r w:rsidRPr="004436FA">
        <w:rPr>
          <w:rFonts w:ascii="Times New Roman" w:eastAsia="Times New Roman" w:hAnsi="Times New Roman" w:cs="Times New Roman"/>
          <w:kern w:val="0"/>
          <w:lang w:val="en-US"/>
          <w14:ligatures w14:val="none"/>
        </w:rPr>
        <w:t xml:space="preserve">, N., </w:t>
      </w:r>
      <w:proofErr w:type="spellStart"/>
      <w:r w:rsidRPr="004436FA">
        <w:rPr>
          <w:rFonts w:ascii="Times New Roman" w:eastAsia="Times New Roman" w:hAnsi="Times New Roman" w:cs="Times New Roman"/>
          <w:kern w:val="0"/>
          <w:lang w:val="en-US"/>
          <w14:ligatures w14:val="none"/>
        </w:rPr>
        <w:t>Çamlıdağ</w:t>
      </w:r>
      <w:proofErr w:type="spellEnd"/>
      <w:r w:rsidRPr="004436FA">
        <w:rPr>
          <w:rFonts w:ascii="Times New Roman" w:eastAsia="Times New Roman" w:hAnsi="Times New Roman" w:cs="Times New Roman"/>
          <w:kern w:val="0"/>
          <w:lang w:val="en-US"/>
          <w14:ligatures w14:val="none"/>
        </w:rPr>
        <w:t xml:space="preserve">, A., Karakozak, E., </w:t>
      </w:r>
      <w:proofErr w:type="spellStart"/>
      <w:r w:rsidRPr="004436FA">
        <w:rPr>
          <w:rFonts w:ascii="Times New Roman" w:eastAsia="Times New Roman" w:hAnsi="Times New Roman" w:cs="Times New Roman"/>
          <w:kern w:val="0"/>
          <w:lang w:val="en-US"/>
          <w14:ligatures w14:val="none"/>
        </w:rPr>
        <w:t>Seğmenoğlu</w:t>
      </w:r>
      <w:proofErr w:type="spellEnd"/>
      <w:r w:rsidRPr="004436FA">
        <w:rPr>
          <w:rFonts w:ascii="Times New Roman" w:eastAsia="Times New Roman" w:hAnsi="Times New Roman" w:cs="Times New Roman"/>
          <w:kern w:val="0"/>
          <w:lang w:val="en-US"/>
          <w14:ligatures w14:val="none"/>
        </w:rPr>
        <w:t xml:space="preserve">, M. S., Mutlu, H., &amp; </w:t>
      </w:r>
      <w:proofErr w:type="spellStart"/>
      <w:r w:rsidRPr="004436FA">
        <w:rPr>
          <w:rFonts w:ascii="Times New Roman" w:eastAsia="Times New Roman" w:hAnsi="Times New Roman" w:cs="Times New Roman"/>
          <w:kern w:val="0"/>
          <w:lang w:val="en-US"/>
          <w14:ligatures w14:val="none"/>
        </w:rPr>
        <w:t>Asarkaya</w:t>
      </w:r>
      <w:proofErr w:type="spellEnd"/>
      <w:r w:rsidRPr="004436FA">
        <w:rPr>
          <w:rFonts w:ascii="Times New Roman" w:eastAsia="Times New Roman" w:hAnsi="Times New Roman" w:cs="Times New Roman"/>
          <w:kern w:val="0"/>
          <w:lang w:val="en-US"/>
          <w14:ligatures w14:val="none"/>
        </w:rPr>
        <w:t xml:space="preserve">, A. (2011). The determination of the relationship between age and embryo quality in donor cows. </w:t>
      </w:r>
      <w:proofErr w:type="spellStart"/>
      <w:r w:rsidRPr="004436FA">
        <w:rPr>
          <w:rFonts w:ascii="Times New Roman" w:eastAsia="Times New Roman" w:hAnsi="Times New Roman" w:cs="Times New Roman"/>
          <w:i/>
          <w:iCs/>
          <w:kern w:val="0"/>
          <w:lang w:val="en-US"/>
          <w14:ligatures w14:val="none"/>
        </w:rPr>
        <w:t>Kafkas</w:t>
      </w:r>
      <w:proofErr w:type="spellEnd"/>
      <w:r w:rsidRPr="004436FA">
        <w:rPr>
          <w:rFonts w:ascii="Times New Roman" w:eastAsia="Times New Roman" w:hAnsi="Times New Roman" w:cs="Times New Roman"/>
          <w:i/>
          <w:iCs/>
          <w:kern w:val="0"/>
          <w:lang w:val="en-US"/>
          <w14:ligatures w14:val="none"/>
        </w:rPr>
        <w:t xml:space="preserve"> </w:t>
      </w:r>
      <w:proofErr w:type="spellStart"/>
      <w:r w:rsidRPr="004436FA">
        <w:rPr>
          <w:rFonts w:ascii="Times New Roman" w:eastAsia="Times New Roman" w:hAnsi="Times New Roman" w:cs="Times New Roman"/>
          <w:i/>
          <w:iCs/>
          <w:kern w:val="0"/>
          <w:lang w:val="en-US"/>
          <w14:ligatures w14:val="none"/>
        </w:rPr>
        <w:t>Üniversitesi</w:t>
      </w:r>
      <w:proofErr w:type="spellEnd"/>
      <w:r w:rsidRPr="004436FA">
        <w:rPr>
          <w:rFonts w:ascii="Times New Roman" w:eastAsia="Times New Roman" w:hAnsi="Times New Roman" w:cs="Times New Roman"/>
          <w:i/>
          <w:iCs/>
          <w:kern w:val="0"/>
          <w:lang w:val="en-US"/>
          <w14:ligatures w14:val="none"/>
        </w:rPr>
        <w:t xml:space="preserve"> </w:t>
      </w:r>
      <w:proofErr w:type="spellStart"/>
      <w:r w:rsidRPr="004436FA">
        <w:rPr>
          <w:rFonts w:ascii="Times New Roman" w:eastAsia="Times New Roman" w:hAnsi="Times New Roman" w:cs="Times New Roman"/>
          <w:i/>
          <w:iCs/>
          <w:kern w:val="0"/>
          <w:lang w:val="en-US"/>
          <w14:ligatures w14:val="none"/>
        </w:rPr>
        <w:t>Veteriner</w:t>
      </w:r>
      <w:proofErr w:type="spellEnd"/>
      <w:r w:rsidRPr="004436FA">
        <w:rPr>
          <w:rFonts w:ascii="Times New Roman" w:eastAsia="Times New Roman" w:hAnsi="Times New Roman" w:cs="Times New Roman"/>
          <w:i/>
          <w:iCs/>
          <w:kern w:val="0"/>
          <w:lang w:val="en-US"/>
          <w14:ligatures w14:val="none"/>
        </w:rPr>
        <w:t xml:space="preserve"> </w:t>
      </w:r>
      <w:proofErr w:type="spellStart"/>
      <w:r w:rsidRPr="004436FA">
        <w:rPr>
          <w:rFonts w:ascii="Times New Roman" w:eastAsia="Times New Roman" w:hAnsi="Times New Roman" w:cs="Times New Roman"/>
          <w:i/>
          <w:iCs/>
          <w:kern w:val="0"/>
          <w:lang w:val="en-US"/>
          <w14:ligatures w14:val="none"/>
        </w:rPr>
        <w:t>Fakültesi</w:t>
      </w:r>
      <w:proofErr w:type="spellEnd"/>
      <w:r w:rsidRPr="004436FA">
        <w:rPr>
          <w:rFonts w:ascii="Times New Roman" w:eastAsia="Times New Roman" w:hAnsi="Times New Roman" w:cs="Times New Roman"/>
          <w:i/>
          <w:iCs/>
          <w:kern w:val="0"/>
          <w:lang w:val="en-US"/>
          <w14:ligatures w14:val="none"/>
        </w:rPr>
        <w:t xml:space="preserve"> Dergisi, 17</w:t>
      </w:r>
      <w:r w:rsidRPr="004436FA">
        <w:rPr>
          <w:rFonts w:ascii="Times New Roman" w:eastAsia="Times New Roman" w:hAnsi="Times New Roman" w:cs="Times New Roman"/>
          <w:kern w:val="0"/>
          <w:lang w:val="en-US"/>
          <w14:ligatures w14:val="none"/>
        </w:rPr>
        <w:t xml:space="preserve">(3), 493–497. </w:t>
      </w:r>
      <w:hyperlink r:id="rId24" w:history="1">
        <w:r w:rsidRPr="004436FA">
          <w:rPr>
            <w:rFonts w:ascii="Times New Roman" w:eastAsia="Times New Roman" w:hAnsi="Times New Roman" w:cs="Times New Roman"/>
            <w:color w:val="0000FF"/>
            <w:kern w:val="0"/>
            <w:u w:val="single"/>
            <w:lang w:val="en-US"/>
            <w14:ligatures w14:val="none"/>
          </w:rPr>
          <w:t>https://doi.org/10.9775/kvfd.2010.3598</w:t>
        </w:r>
      </w:hyperlink>
    </w:p>
    <w:p w14:paraId="444AB0C4"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Hunter, A. G., &amp; Moor, R. M. (1987). Stage-dependent effects of inhibiting ribonucleic acids and protein synthesis on meiotic maturation of bovine oocytes in vitro. </w:t>
      </w:r>
      <w:r w:rsidRPr="004436FA">
        <w:rPr>
          <w:rFonts w:ascii="Times New Roman" w:eastAsia="Times New Roman" w:hAnsi="Times New Roman" w:cs="Times New Roman"/>
          <w:i/>
          <w:iCs/>
          <w:kern w:val="0"/>
          <w:lang w:val="en-US"/>
          <w14:ligatures w14:val="none"/>
        </w:rPr>
        <w:t>Journal of Dairy Science, 70</w:t>
      </w:r>
      <w:r w:rsidRPr="004436FA">
        <w:rPr>
          <w:rFonts w:ascii="Times New Roman" w:eastAsia="Times New Roman" w:hAnsi="Times New Roman" w:cs="Times New Roman"/>
          <w:kern w:val="0"/>
          <w:lang w:val="en-US"/>
          <w14:ligatures w14:val="none"/>
        </w:rPr>
        <w:t xml:space="preserve">(8), 1646–1651. </w:t>
      </w:r>
      <w:hyperlink r:id="rId25" w:history="1">
        <w:r w:rsidRPr="004436FA">
          <w:rPr>
            <w:rFonts w:ascii="Times New Roman" w:eastAsia="Times New Roman" w:hAnsi="Times New Roman" w:cs="Times New Roman"/>
            <w:color w:val="0000FF"/>
            <w:kern w:val="0"/>
            <w:u w:val="single"/>
            <w:lang w:val="en-US"/>
            <w14:ligatures w14:val="none"/>
          </w:rPr>
          <w:t>https://doi.org/10.3168/jds.S0022-0302(87)80192-3</w:t>
        </w:r>
      </w:hyperlink>
    </w:p>
    <w:p w14:paraId="006C2779"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Kruip</w:t>
      </w:r>
      <w:proofErr w:type="spellEnd"/>
      <w:r w:rsidRPr="004436FA">
        <w:rPr>
          <w:rFonts w:ascii="Times New Roman" w:eastAsia="Times New Roman" w:hAnsi="Times New Roman" w:cs="Times New Roman"/>
          <w:kern w:val="0"/>
          <w:lang w:val="en-US"/>
          <w14:ligatures w14:val="none"/>
        </w:rPr>
        <w:t xml:space="preserve">, T. A. M., Pieterse, M. C., van </w:t>
      </w:r>
      <w:proofErr w:type="spellStart"/>
      <w:r w:rsidRPr="004436FA">
        <w:rPr>
          <w:rFonts w:ascii="Times New Roman" w:eastAsia="Times New Roman" w:hAnsi="Times New Roman" w:cs="Times New Roman"/>
          <w:kern w:val="0"/>
          <w:lang w:val="en-US"/>
          <w14:ligatures w14:val="none"/>
        </w:rPr>
        <w:t>Beneden</w:t>
      </w:r>
      <w:proofErr w:type="spellEnd"/>
      <w:r w:rsidRPr="004436FA">
        <w:rPr>
          <w:rFonts w:ascii="Times New Roman" w:eastAsia="Times New Roman" w:hAnsi="Times New Roman" w:cs="Times New Roman"/>
          <w:kern w:val="0"/>
          <w:lang w:val="en-US"/>
          <w14:ligatures w14:val="none"/>
        </w:rPr>
        <w:t xml:space="preserve">, T. H., Vos, P. L., Wurth, Y. A., &amp; Taverne, M. A. (1991). A new method for bovine embryo production: A potential alternative to superovulation. </w:t>
      </w:r>
      <w:r w:rsidRPr="004436FA">
        <w:rPr>
          <w:rFonts w:ascii="Times New Roman" w:eastAsia="Times New Roman" w:hAnsi="Times New Roman" w:cs="Times New Roman"/>
          <w:i/>
          <w:iCs/>
          <w:kern w:val="0"/>
          <w:lang w:val="en-US"/>
          <w14:ligatures w14:val="none"/>
        </w:rPr>
        <w:t>The Veterinary Record, 128</w:t>
      </w:r>
      <w:r w:rsidRPr="004436FA">
        <w:rPr>
          <w:rFonts w:ascii="Times New Roman" w:eastAsia="Times New Roman" w:hAnsi="Times New Roman" w:cs="Times New Roman"/>
          <w:kern w:val="0"/>
          <w:lang w:val="en-US"/>
          <w14:ligatures w14:val="none"/>
        </w:rPr>
        <w:t xml:space="preserve">(9), 208–210. </w:t>
      </w:r>
      <w:hyperlink r:id="rId26" w:history="1">
        <w:r w:rsidRPr="004436FA">
          <w:rPr>
            <w:rFonts w:ascii="Times New Roman" w:eastAsia="Times New Roman" w:hAnsi="Times New Roman" w:cs="Times New Roman"/>
            <w:color w:val="0000FF"/>
            <w:kern w:val="0"/>
            <w:u w:val="single"/>
            <w:lang w:val="en-US"/>
            <w14:ligatures w14:val="none"/>
          </w:rPr>
          <w:t>https://doi.org/10.1136/vr.128.9.208</w:t>
        </w:r>
      </w:hyperlink>
    </w:p>
    <w:p w14:paraId="5032FF62"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Landeo, L., Zuñiga, M., Gastelu, T., Artica, M., Ruiz, J., Silva, M., &amp; Ratto, M. H. (2022). Oocyte quality, in vitro fertilization and embryo development of alpaca oocytes collected by ultrasound-guided follicular aspiration or from slaughterhouse ovaries. </w:t>
      </w:r>
      <w:r w:rsidRPr="004436FA">
        <w:rPr>
          <w:rFonts w:ascii="Times New Roman" w:eastAsia="Times New Roman" w:hAnsi="Times New Roman" w:cs="Times New Roman"/>
          <w:i/>
          <w:iCs/>
          <w:kern w:val="0"/>
          <w:lang w:val="en-US"/>
          <w14:ligatures w14:val="none"/>
        </w:rPr>
        <w:t>Animals, 12</w:t>
      </w:r>
      <w:r w:rsidRPr="004436FA">
        <w:rPr>
          <w:rFonts w:ascii="Times New Roman" w:eastAsia="Times New Roman" w:hAnsi="Times New Roman" w:cs="Times New Roman"/>
          <w:kern w:val="0"/>
          <w:lang w:val="en-US"/>
          <w14:ligatures w14:val="none"/>
        </w:rPr>
        <w:t xml:space="preserve">(9), 1102. </w:t>
      </w:r>
      <w:hyperlink r:id="rId27" w:history="1">
        <w:r w:rsidRPr="004436FA">
          <w:rPr>
            <w:rFonts w:ascii="Times New Roman" w:eastAsia="Times New Roman" w:hAnsi="Times New Roman" w:cs="Times New Roman"/>
            <w:color w:val="0000FF"/>
            <w:kern w:val="0"/>
            <w:u w:val="single"/>
            <w:lang w:val="en-US"/>
            <w14:ligatures w14:val="none"/>
          </w:rPr>
          <w:t>https://doi.org/10.3390/ani12091102</w:t>
        </w:r>
      </w:hyperlink>
    </w:p>
    <w:p w14:paraId="4F7C35CF"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Looney, C. R., Lindsey, B. R., Gonseth, C. L., &amp; Johnson, D. L. (1994). Commercial aspects of oocyte retrieval and in vitro fertilization for embryo production in problem cows. </w:t>
      </w:r>
      <w:r w:rsidRPr="004436FA">
        <w:rPr>
          <w:rFonts w:ascii="Times New Roman" w:eastAsia="Times New Roman" w:hAnsi="Times New Roman" w:cs="Times New Roman"/>
          <w:i/>
          <w:iCs/>
          <w:kern w:val="0"/>
          <w:lang w:val="en-US"/>
          <w14:ligatures w14:val="none"/>
        </w:rPr>
        <w:t>Theriogenology, 41</w:t>
      </w:r>
      <w:r w:rsidRPr="004436FA">
        <w:rPr>
          <w:rFonts w:ascii="Times New Roman" w:eastAsia="Times New Roman" w:hAnsi="Times New Roman" w:cs="Times New Roman"/>
          <w:kern w:val="0"/>
          <w:lang w:val="en-US"/>
          <w14:ligatures w14:val="none"/>
        </w:rPr>
        <w:t xml:space="preserve">(1), 67–72. </w:t>
      </w:r>
      <w:hyperlink r:id="rId28" w:history="1">
        <w:r w:rsidRPr="004436FA">
          <w:rPr>
            <w:rFonts w:ascii="Times New Roman" w:eastAsia="Times New Roman" w:hAnsi="Times New Roman" w:cs="Times New Roman"/>
            <w:color w:val="0000FF"/>
            <w:kern w:val="0"/>
            <w:u w:val="single"/>
            <w:lang w:val="en-US"/>
            <w14:ligatures w14:val="none"/>
          </w:rPr>
          <w:t>https://doi.org/10.1016/S0093-691X(05)80050-0</w:t>
        </w:r>
      </w:hyperlink>
    </w:p>
    <w:p w14:paraId="6B291805"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Manik, R. S., Singla, S. K., &amp; Palta, P. (2003). Collection of oocytes through transvaginal ultrasound-guided aspiration of follicles in an Indian breed of cattle. </w:t>
      </w:r>
      <w:r w:rsidRPr="004436FA">
        <w:rPr>
          <w:rFonts w:ascii="Times New Roman" w:eastAsia="Times New Roman" w:hAnsi="Times New Roman" w:cs="Times New Roman"/>
          <w:i/>
          <w:iCs/>
          <w:kern w:val="0"/>
          <w:lang w:val="en-US"/>
          <w14:ligatures w14:val="none"/>
        </w:rPr>
        <w:t>Animal Reproduction Science, 76</w:t>
      </w:r>
      <w:r w:rsidRPr="004436FA">
        <w:rPr>
          <w:rFonts w:ascii="Times New Roman" w:eastAsia="Times New Roman" w:hAnsi="Times New Roman" w:cs="Times New Roman"/>
          <w:kern w:val="0"/>
          <w:lang w:val="en-US"/>
          <w14:ligatures w14:val="none"/>
        </w:rPr>
        <w:t xml:space="preserve">(3–4), 155–161. </w:t>
      </w:r>
      <w:hyperlink r:id="rId29" w:history="1">
        <w:r w:rsidRPr="004436FA">
          <w:rPr>
            <w:rFonts w:ascii="Times New Roman" w:eastAsia="Times New Roman" w:hAnsi="Times New Roman" w:cs="Times New Roman"/>
            <w:color w:val="0000FF"/>
            <w:kern w:val="0"/>
            <w:u w:val="single"/>
            <w:lang w:val="en-US"/>
            <w14:ligatures w14:val="none"/>
          </w:rPr>
          <w:t>https://doi.org/10.1016/S0378-4320(02)00241-5</w:t>
        </w:r>
      </w:hyperlink>
    </w:p>
    <w:p w14:paraId="228B5F25"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Meintjes</w:t>
      </w:r>
      <w:proofErr w:type="spellEnd"/>
      <w:r w:rsidRPr="004436FA">
        <w:rPr>
          <w:rFonts w:ascii="Times New Roman" w:eastAsia="Times New Roman" w:hAnsi="Times New Roman" w:cs="Times New Roman"/>
          <w:kern w:val="0"/>
          <w:lang w:val="en-US"/>
          <w14:ligatures w14:val="none"/>
        </w:rPr>
        <w:t xml:space="preserve">, M., Bellow, M. S., Broussard, J. R., Paul, J. B., &amp; </w:t>
      </w:r>
      <w:proofErr w:type="spellStart"/>
      <w:r w:rsidRPr="004436FA">
        <w:rPr>
          <w:rFonts w:ascii="Times New Roman" w:eastAsia="Times New Roman" w:hAnsi="Times New Roman" w:cs="Times New Roman"/>
          <w:kern w:val="0"/>
          <w:lang w:val="en-US"/>
          <w14:ligatures w14:val="none"/>
        </w:rPr>
        <w:t>Godke</w:t>
      </w:r>
      <w:proofErr w:type="spellEnd"/>
      <w:r w:rsidRPr="004436FA">
        <w:rPr>
          <w:rFonts w:ascii="Times New Roman" w:eastAsia="Times New Roman" w:hAnsi="Times New Roman" w:cs="Times New Roman"/>
          <w:kern w:val="0"/>
          <w:lang w:val="en-US"/>
          <w14:ligatures w14:val="none"/>
        </w:rPr>
        <w:t xml:space="preserve">, R. A. (1995). Transvaginal aspiration of oocytes from hormone-treated pregnant beef cattle for in vitro fertilization. </w:t>
      </w:r>
      <w:r w:rsidRPr="004436FA">
        <w:rPr>
          <w:rFonts w:ascii="Times New Roman" w:eastAsia="Times New Roman" w:hAnsi="Times New Roman" w:cs="Times New Roman"/>
          <w:i/>
          <w:iCs/>
          <w:kern w:val="0"/>
          <w:lang w:val="en-US"/>
          <w14:ligatures w14:val="none"/>
        </w:rPr>
        <w:t>Journal of Animal Science, 73</w:t>
      </w:r>
      <w:r w:rsidRPr="004436FA">
        <w:rPr>
          <w:rFonts w:ascii="Times New Roman" w:eastAsia="Times New Roman" w:hAnsi="Times New Roman" w:cs="Times New Roman"/>
          <w:kern w:val="0"/>
          <w:lang w:val="en-US"/>
          <w14:ligatures w14:val="none"/>
        </w:rPr>
        <w:t xml:space="preserve">(4), 967–974. </w:t>
      </w:r>
      <w:hyperlink r:id="rId30" w:history="1">
        <w:r w:rsidRPr="004436FA">
          <w:rPr>
            <w:rFonts w:ascii="Times New Roman" w:eastAsia="Times New Roman" w:hAnsi="Times New Roman" w:cs="Times New Roman"/>
            <w:color w:val="0000FF"/>
            <w:kern w:val="0"/>
            <w:u w:val="single"/>
            <w:lang w:val="en-US"/>
            <w14:ligatures w14:val="none"/>
          </w:rPr>
          <w:t>https://doi.org/10.2527/1995.734967x</w:t>
        </w:r>
      </w:hyperlink>
    </w:p>
    <w:p w14:paraId="57CDD480"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Miętkiewska</w:t>
      </w:r>
      <w:proofErr w:type="spellEnd"/>
      <w:r w:rsidRPr="004436FA">
        <w:rPr>
          <w:rFonts w:ascii="Times New Roman" w:eastAsia="Times New Roman" w:hAnsi="Times New Roman" w:cs="Times New Roman"/>
          <w:kern w:val="0"/>
          <w:lang w:val="en-US"/>
          <w14:ligatures w14:val="none"/>
        </w:rPr>
        <w:t xml:space="preserve">, K., </w:t>
      </w:r>
      <w:proofErr w:type="spellStart"/>
      <w:r w:rsidRPr="004436FA">
        <w:rPr>
          <w:rFonts w:ascii="Times New Roman" w:eastAsia="Times New Roman" w:hAnsi="Times New Roman" w:cs="Times New Roman"/>
          <w:kern w:val="0"/>
          <w:lang w:val="en-US"/>
          <w14:ligatures w14:val="none"/>
        </w:rPr>
        <w:t>Kordowitzki</w:t>
      </w:r>
      <w:proofErr w:type="spellEnd"/>
      <w:r w:rsidRPr="004436FA">
        <w:rPr>
          <w:rFonts w:ascii="Times New Roman" w:eastAsia="Times New Roman" w:hAnsi="Times New Roman" w:cs="Times New Roman"/>
          <w:kern w:val="0"/>
          <w:lang w:val="en-US"/>
          <w14:ligatures w14:val="none"/>
        </w:rPr>
        <w:t xml:space="preserve">, P., &amp; Pareek, C. S. (2022). Effects of heat stress on bovine oocytes and early embryonic development—An update. </w:t>
      </w:r>
      <w:r w:rsidRPr="004436FA">
        <w:rPr>
          <w:rFonts w:ascii="Times New Roman" w:eastAsia="Times New Roman" w:hAnsi="Times New Roman" w:cs="Times New Roman"/>
          <w:i/>
          <w:iCs/>
          <w:kern w:val="0"/>
          <w:lang w:val="en-US"/>
          <w14:ligatures w14:val="none"/>
        </w:rPr>
        <w:t>Cells, 11</w:t>
      </w:r>
      <w:r w:rsidRPr="004436FA">
        <w:rPr>
          <w:rFonts w:ascii="Times New Roman" w:eastAsia="Times New Roman" w:hAnsi="Times New Roman" w:cs="Times New Roman"/>
          <w:kern w:val="0"/>
          <w:lang w:val="en-US"/>
          <w14:ligatures w14:val="none"/>
        </w:rPr>
        <w:t xml:space="preserve">(24), 4073. </w:t>
      </w:r>
      <w:hyperlink r:id="rId31" w:history="1">
        <w:r w:rsidRPr="004436FA">
          <w:rPr>
            <w:rFonts w:ascii="Times New Roman" w:eastAsia="Times New Roman" w:hAnsi="Times New Roman" w:cs="Times New Roman"/>
            <w:color w:val="0000FF"/>
            <w:kern w:val="0"/>
            <w:u w:val="single"/>
            <w:lang w:val="en-US"/>
            <w14:ligatures w14:val="none"/>
          </w:rPr>
          <w:t>https://doi.org/10.3390/cells11244073</w:t>
        </w:r>
      </w:hyperlink>
    </w:p>
    <w:p w14:paraId="0E5E05F9"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Motta, J. C. L., Hayden, C. B., Sala, R. V., Ross, P. J., &amp; García-Guerra, A. (2025). Advances in synchronization and </w:t>
      </w:r>
      <w:proofErr w:type="spellStart"/>
      <w:r w:rsidRPr="004436FA">
        <w:rPr>
          <w:rFonts w:ascii="Times New Roman" w:eastAsia="Times New Roman" w:hAnsi="Times New Roman" w:cs="Times New Roman"/>
          <w:kern w:val="0"/>
          <w:lang w:val="en-US"/>
          <w14:ligatures w14:val="none"/>
        </w:rPr>
        <w:t>superstimulation</w:t>
      </w:r>
      <w:proofErr w:type="spellEnd"/>
      <w:r w:rsidRPr="004436FA">
        <w:rPr>
          <w:rFonts w:ascii="Times New Roman" w:eastAsia="Times New Roman" w:hAnsi="Times New Roman" w:cs="Times New Roman"/>
          <w:kern w:val="0"/>
          <w:lang w:val="en-US"/>
          <w14:ligatures w14:val="none"/>
        </w:rPr>
        <w:t xml:space="preserve"> for OPU/IVEP: Optimizing oocyte quantity and quality. </w:t>
      </w:r>
      <w:r w:rsidRPr="004436FA">
        <w:rPr>
          <w:rFonts w:ascii="Times New Roman" w:eastAsia="Times New Roman" w:hAnsi="Times New Roman" w:cs="Times New Roman"/>
          <w:i/>
          <w:iCs/>
          <w:kern w:val="0"/>
          <w:lang w:val="en-US"/>
          <w14:ligatures w14:val="none"/>
        </w:rPr>
        <w:t>Reproduction, Fertility and Development, 37</w:t>
      </w:r>
      <w:r w:rsidRPr="004436FA">
        <w:rPr>
          <w:rFonts w:ascii="Times New Roman" w:eastAsia="Times New Roman" w:hAnsi="Times New Roman" w:cs="Times New Roman"/>
          <w:kern w:val="0"/>
          <w:lang w:val="en-US"/>
          <w14:ligatures w14:val="none"/>
        </w:rPr>
        <w:t xml:space="preserve">(1), Article RD24143. </w:t>
      </w:r>
      <w:hyperlink r:id="rId32" w:history="1">
        <w:r w:rsidRPr="004436FA">
          <w:rPr>
            <w:rFonts w:ascii="Times New Roman" w:eastAsia="Times New Roman" w:hAnsi="Times New Roman" w:cs="Times New Roman"/>
            <w:color w:val="0000FF"/>
            <w:kern w:val="0"/>
            <w:u w:val="single"/>
            <w:lang w:val="en-US"/>
            <w14:ligatures w14:val="none"/>
          </w:rPr>
          <w:t>https://doi.org/10.1071/RD24143</w:t>
        </w:r>
      </w:hyperlink>
    </w:p>
    <w:p w14:paraId="4817E245"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Park, J. S., Jeong, Y. S., Shin, S. T., Lee, K. K., &amp; Kang, Y. K. (2007). Dynamic DNA methylation reprogramming: Active demethylation and immediate </w:t>
      </w:r>
      <w:proofErr w:type="spellStart"/>
      <w:r w:rsidRPr="004436FA">
        <w:rPr>
          <w:rFonts w:ascii="Times New Roman" w:eastAsia="Times New Roman" w:hAnsi="Times New Roman" w:cs="Times New Roman"/>
          <w:kern w:val="0"/>
          <w:lang w:val="en-US"/>
          <w14:ligatures w14:val="none"/>
        </w:rPr>
        <w:t>remethylation</w:t>
      </w:r>
      <w:proofErr w:type="spellEnd"/>
      <w:r w:rsidRPr="004436FA">
        <w:rPr>
          <w:rFonts w:ascii="Times New Roman" w:eastAsia="Times New Roman" w:hAnsi="Times New Roman" w:cs="Times New Roman"/>
          <w:kern w:val="0"/>
          <w:lang w:val="en-US"/>
          <w14:ligatures w14:val="none"/>
        </w:rPr>
        <w:t xml:space="preserve"> in the male pronucleus of bovine zygotes. </w:t>
      </w:r>
      <w:r w:rsidRPr="004436FA">
        <w:rPr>
          <w:rFonts w:ascii="Times New Roman" w:eastAsia="Times New Roman" w:hAnsi="Times New Roman" w:cs="Times New Roman"/>
          <w:i/>
          <w:iCs/>
          <w:kern w:val="0"/>
          <w:lang w:val="en-US"/>
          <w14:ligatures w14:val="none"/>
        </w:rPr>
        <w:t>Developmental Dynamics, 236</w:t>
      </w:r>
      <w:r w:rsidRPr="004436FA">
        <w:rPr>
          <w:rFonts w:ascii="Times New Roman" w:eastAsia="Times New Roman" w:hAnsi="Times New Roman" w:cs="Times New Roman"/>
          <w:kern w:val="0"/>
          <w:lang w:val="en-US"/>
          <w14:ligatures w14:val="none"/>
        </w:rPr>
        <w:t xml:space="preserve">(9), 2523–2533. </w:t>
      </w:r>
      <w:hyperlink r:id="rId33" w:history="1">
        <w:r w:rsidRPr="004436FA">
          <w:rPr>
            <w:rFonts w:ascii="Times New Roman" w:eastAsia="Times New Roman" w:hAnsi="Times New Roman" w:cs="Times New Roman"/>
            <w:color w:val="0000FF"/>
            <w:kern w:val="0"/>
            <w:u w:val="single"/>
            <w:lang w:val="en-US"/>
            <w14:ligatures w14:val="none"/>
          </w:rPr>
          <w:t>https://doi.org/10.1002/dvdy.21278</w:t>
        </w:r>
      </w:hyperlink>
    </w:p>
    <w:p w14:paraId="57504F7A"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lastRenderedPageBreak/>
        <w:t>Pivato</w:t>
      </w:r>
      <w:proofErr w:type="spellEnd"/>
      <w:r w:rsidRPr="004436FA">
        <w:rPr>
          <w:rFonts w:ascii="Times New Roman" w:eastAsia="Times New Roman" w:hAnsi="Times New Roman" w:cs="Times New Roman"/>
          <w:kern w:val="0"/>
          <w:lang w:val="en-US"/>
          <w14:ligatures w14:val="none"/>
        </w:rPr>
        <w:t xml:space="preserve">, I., Martins, G. H. L., de Faria, L. C., Bessler, H. C., &amp; Martins, C. F. (2026). Impact of FSH-induced ovarian stimulation on oocyte recovery and in vitro embryo production in the Red Sindhi cows. </w:t>
      </w:r>
      <w:r w:rsidRPr="004436FA">
        <w:rPr>
          <w:rFonts w:ascii="Times New Roman" w:eastAsia="Times New Roman" w:hAnsi="Times New Roman" w:cs="Times New Roman"/>
          <w:i/>
          <w:iCs/>
          <w:kern w:val="0"/>
          <w:lang w:val="en-US"/>
          <w14:ligatures w14:val="none"/>
        </w:rPr>
        <w:t>Reproduction in Domestic Animals, 61</w:t>
      </w:r>
      <w:r w:rsidRPr="004436FA">
        <w:rPr>
          <w:rFonts w:ascii="Times New Roman" w:eastAsia="Times New Roman" w:hAnsi="Times New Roman" w:cs="Times New Roman"/>
          <w:kern w:val="0"/>
          <w:lang w:val="en-US"/>
          <w14:ligatures w14:val="none"/>
        </w:rPr>
        <w:t xml:space="preserve">(1), e70170. </w:t>
      </w:r>
      <w:hyperlink r:id="rId34" w:history="1">
        <w:r w:rsidRPr="004436FA">
          <w:rPr>
            <w:rFonts w:ascii="Times New Roman" w:eastAsia="Times New Roman" w:hAnsi="Times New Roman" w:cs="Times New Roman"/>
            <w:color w:val="0000FF"/>
            <w:kern w:val="0"/>
            <w:u w:val="single"/>
            <w:lang w:val="en-US"/>
            <w14:ligatures w14:val="none"/>
          </w:rPr>
          <w:t>https://doi.org/10.1111/rda.70170</w:t>
        </w:r>
      </w:hyperlink>
    </w:p>
    <w:p w14:paraId="3F05D011"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Qi, M., Yao, Y., Ma, H., Wang, J., Zhao, X., Liu, L., Tang, X., Zhang, L., Zhang, S., &amp; Sun, F. (2013). Transvaginal ultrasound-guided ovum pick-up (OPU) in cattle. </w:t>
      </w:r>
      <w:r w:rsidRPr="004436FA">
        <w:rPr>
          <w:rFonts w:ascii="Times New Roman" w:eastAsia="Times New Roman" w:hAnsi="Times New Roman" w:cs="Times New Roman"/>
          <w:i/>
          <w:iCs/>
          <w:kern w:val="0"/>
          <w:lang w:val="en-US"/>
          <w14:ligatures w14:val="none"/>
        </w:rPr>
        <w:t>Journal of Biomimetics, Biomaterials and Tissue Engineering, 18</w:t>
      </w:r>
      <w:r w:rsidRPr="004436FA">
        <w:rPr>
          <w:rFonts w:ascii="Times New Roman" w:eastAsia="Times New Roman" w:hAnsi="Times New Roman" w:cs="Times New Roman"/>
          <w:kern w:val="0"/>
          <w:lang w:val="en-US"/>
          <w14:ligatures w14:val="none"/>
        </w:rPr>
        <w:t xml:space="preserve">(2), Article 118. </w:t>
      </w:r>
      <w:hyperlink r:id="rId35" w:history="1">
        <w:r w:rsidRPr="004436FA">
          <w:rPr>
            <w:rFonts w:ascii="Times New Roman" w:eastAsia="Times New Roman" w:hAnsi="Times New Roman" w:cs="Times New Roman"/>
            <w:color w:val="0000FF"/>
            <w:kern w:val="0"/>
            <w:u w:val="single"/>
            <w:lang w:val="en-US"/>
            <w14:ligatures w14:val="none"/>
          </w:rPr>
          <w:t>https://doi.org/10.4172/1662-100X.1000118</w:t>
        </w:r>
      </w:hyperlink>
    </w:p>
    <w:p w14:paraId="5D0BE05C"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Salek, F., Guest, A., Johnson, C., Kastelic, J. P., &amp; </w:t>
      </w:r>
      <w:proofErr w:type="spellStart"/>
      <w:r w:rsidRPr="004436FA">
        <w:rPr>
          <w:rFonts w:ascii="Times New Roman" w:eastAsia="Times New Roman" w:hAnsi="Times New Roman" w:cs="Times New Roman"/>
          <w:kern w:val="0"/>
          <w:lang w:val="en-US"/>
          <w14:ligatures w14:val="none"/>
        </w:rPr>
        <w:t>Thundathil</w:t>
      </w:r>
      <w:proofErr w:type="spellEnd"/>
      <w:r w:rsidRPr="004436FA">
        <w:rPr>
          <w:rFonts w:ascii="Times New Roman" w:eastAsia="Times New Roman" w:hAnsi="Times New Roman" w:cs="Times New Roman"/>
          <w:kern w:val="0"/>
          <w:lang w:val="en-US"/>
          <w14:ligatures w14:val="none"/>
        </w:rPr>
        <w:t xml:space="preserve">, J. (2025). Factors affecting the success of ovum pick-up, in vitro production and cryopreservation of embryos in cattle. </w:t>
      </w:r>
      <w:r w:rsidRPr="004436FA">
        <w:rPr>
          <w:rFonts w:ascii="Times New Roman" w:eastAsia="Times New Roman" w:hAnsi="Times New Roman" w:cs="Times New Roman"/>
          <w:i/>
          <w:iCs/>
          <w:kern w:val="0"/>
          <w:lang w:val="en-US"/>
          <w14:ligatures w14:val="none"/>
        </w:rPr>
        <w:t>Animals, 15</w:t>
      </w:r>
      <w:r w:rsidRPr="004436FA">
        <w:rPr>
          <w:rFonts w:ascii="Times New Roman" w:eastAsia="Times New Roman" w:hAnsi="Times New Roman" w:cs="Times New Roman"/>
          <w:kern w:val="0"/>
          <w:lang w:val="en-US"/>
          <w14:ligatures w14:val="none"/>
        </w:rPr>
        <w:t xml:space="preserve">(3), 344. </w:t>
      </w:r>
      <w:hyperlink r:id="rId36" w:history="1">
        <w:r w:rsidRPr="004436FA">
          <w:rPr>
            <w:rFonts w:ascii="Times New Roman" w:eastAsia="Times New Roman" w:hAnsi="Times New Roman" w:cs="Times New Roman"/>
            <w:color w:val="0000FF"/>
            <w:kern w:val="0"/>
            <w:u w:val="single"/>
            <w:lang w:val="en-US"/>
            <w14:ligatures w14:val="none"/>
          </w:rPr>
          <w:t>https://doi.org/10.3390/ani15030344</w:t>
        </w:r>
      </w:hyperlink>
    </w:p>
    <w:p w14:paraId="2BAB0E80"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Sarang, S. K., Sreekumar, D., &amp; </w:t>
      </w:r>
      <w:proofErr w:type="spellStart"/>
      <w:r w:rsidRPr="004436FA">
        <w:rPr>
          <w:rFonts w:ascii="Times New Roman" w:eastAsia="Times New Roman" w:hAnsi="Times New Roman" w:cs="Times New Roman"/>
          <w:kern w:val="0"/>
          <w:lang w:val="en-US"/>
          <w14:ligatures w14:val="none"/>
        </w:rPr>
        <w:t>Sejian</w:t>
      </w:r>
      <w:proofErr w:type="spellEnd"/>
      <w:r w:rsidRPr="004436FA">
        <w:rPr>
          <w:rFonts w:ascii="Times New Roman" w:eastAsia="Times New Roman" w:hAnsi="Times New Roman" w:cs="Times New Roman"/>
          <w:kern w:val="0"/>
          <w:lang w:val="en-US"/>
          <w14:ligatures w14:val="none"/>
        </w:rPr>
        <w:t xml:space="preserve">, V. (2024). Indigenous cattle biodiversity in India: Adaptation and conservation. </w:t>
      </w:r>
      <w:r w:rsidRPr="004436FA">
        <w:rPr>
          <w:rFonts w:ascii="Times New Roman" w:eastAsia="Times New Roman" w:hAnsi="Times New Roman" w:cs="Times New Roman"/>
          <w:i/>
          <w:iCs/>
          <w:kern w:val="0"/>
          <w:lang w:val="en-US"/>
          <w14:ligatures w14:val="none"/>
        </w:rPr>
        <w:t>Reproduction and Breeding, 4</w:t>
      </w:r>
      <w:r w:rsidRPr="004436FA">
        <w:rPr>
          <w:rFonts w:ascii="Times New Roman" w:eastAsia="Times New Roman" w:hAnsi="Times New Roman" w:cs="Times New Roman"/>
          <w:kern w:val="0"/>
          <w:lang w:val="en-US"/>
          <w14:ligatures w14:val="none"/>
        </w:rPr>
        <w:t xml:space="preserve">(4), 254–266. </w:t>
      </w:r>
      <w:hyperlink r:id="rId37" w:history="1">
        <w:r w:rsidRPr="004436FA">
          <w:rPr>
            <w:rFonts w:ascii="Times New Roman" w:eastAsia="Times New Roman" w:hAnsi="Times New Roman" w:cs="Times New Roman"/>
            <w:color w:val="0000FF"/>
            <w:kern w:val="0"/>
            <w:u w:val="single"/>
            <w:lang w:val="en-US"/>
            <w14:ligatures w14:val="none"/>
          </w:rPr>
          <w:t>https://doi.org/10.1016/j.repbre.2024.09.001</w:t>
        </w:r>
      </w:hyperlink>
    </w:p>
    <w:p w14:paraId="5C581F9D"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Sarwar, Z., Sagheer, M., Sosa, F., Saad, M., Hassan, M., Husnain, A., &amp; Arshad, U. (2020). Meta-analysis to determine effects of treatment with FSH when there is progestin-priming on in-vitro embryo production using ovum pick-up in </w:t>
      </w:r>
      <w:r w:rsidRPr="004436FA">
        <w:rPr>
          <w:rFonts w:ascii="Times New Roman" w:eastAsia="Times New Roman" w:hAnsi="Times New Roman" w:cs="Times New Roman"/>
          <w:i/>
          <w:iCs/>
          <w:kern w:val="0"/>
          <w:lang w:val="en-US"/>
          <w14:ligatures w14:val="none"/>
        </w:rPr>
        <w:t>Bos taurus</w:t>
      </w:r>
      <w:r w:rsidRPr="004436FA">
        <w:rPr>
          <w:rFonts w:ascii="Times New Roman" w:eastAsia="Times New Roman" w:hAnsi="Times New Roman" w:cs="Times New Roman"/>
          <w:kern w:val="0"/>
          <w:lang w:val="en-US"/>
          <w14:ligatures w14:val="none"/>
        </w:rPr>
        <w:t xml:space="preserve"> cows. </w:t>
      </w:r>
      <w:r w:rsidRPr="004436FA">
        <w:rPr>
          <w:rFonts w:ascii="Times New Roman" w:eastAsia="Times New Roman" w:hAnsi="Times New Roman" w:cs="Times New Roman"/>
          <w:i/>
          <w:iCs/>
          <w:kern w:val="0"/>
          <w:lang w:val="en-US"/>
          <w14:ligatures w14:val="none"/>
        </w:rPr>
        <w:t>Animal Reproduction Science, 221</w:t>
      </w:r>
      <w:r w:rsidRPr="004436FA">
        <w:rPr>
          <w:rFonts w:ascii="Times New Roman" w:eastAsia="Times New Roman" w:hAnsi="Times New Roman" w:cs="Times New Roman"/>
          <w:kern w:val="0"/>
          <w:lang w:val="en-US"/>
          <w14:ligatures w14:val="none"/>
        </w:rPr>
        <w:t xml:space="preserve">, 106590. </w:t>
      </w:r>
      <w:hyperlink r:id="rId38" w:history="1">
        <w:r w:rsidRPr="004436FA">
          <w:rPr>
            <w:rFonts w:ascii="Times New Roman" w:eastAsia="Times New Roman" w:hAnsi="Times New Roman" w:cs="Times New Roman"/>
            <w:color w:val="0000FF"/>
            <w:kern w:val="0"/>
            <w:u w:val="single"/>
            <w:lang w:val="en-US"/>
            <w14:ligatures w14:val="none"/>
          </w:rPr>
          <w:t>https://doi.org/10.1016/j.anireprosci.2020.106590</w:t>
        </w:r>
      </w:hyperlink>
    </w:p>
    <w:p w14:paraId="3BC19F14"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Sendag</w:t>
      </w:r>
      <w:proofErr w:type="spellEnd"/>
      <w:r w:rsidRPr="004436FA">
        <w:rPr>
          <w:rFonts w:ascii="Times New Roman" w:eastAsia="Times New Roman" w:hAnsi="Times New Roman" w:cs="Times New Roman"/>
          <w:kern w:val="0"/>
          <w:lang w:val="en-US"/>
          <w14:ligatures w14:val="none"/>
        </w:rPr>
        <w:t xml:space="preserve">, S., Cetin, Y., Alan, M., </w:t>
      </w:r>
      <w:proofErr w:type="spellStart"/>
      <w:r w:rsidRPr="004436FA">
        <w:rPr>
          <w:rFonts w:ascii="Times New Roman" w:eastAsia="Times New Roman" w:hAnsi="Times New Roman" w:cs="Times New Roman"/>
          <w:kern w:val="0"/>
          <w:lang w:val="en-US"/>
          <w14:ligatures w14:val="none"/>
        </w:rPr>
        <w:t>Hadeler</w:t>
      </w:r>
      <w:proofErr w:type="spellEnd"/>
      <w:r w:rsidRPr="004436FA">
        <w:rPr>
          <w:rFonts w:ascii="Times New Roman" w:eastAsia="Times New Roman" w:hAnsi="Times New Roman" w:cs="Times New Roman"/>
          <w:kern w:val="0"/>
          <w:lang w:val="en-US"/>
          <w14:ligatures w14:val="none"/>
        </w:rPr>
        <w:t xml:space="preserve">, K.-G., &amp; Niemann, H. (2008). Effects of </w:t>
      </w:r>
      <w:proofErr w:type="spellStart"/>
      <w:r w:rsidRPr="004436FA">
        <w:rPr>
          <w:rFonts w:ascii="Times New Roman" w:eastAsia="Times New Roman" w:hAnsi="Times New Roman" w:cs="Times New Roman"/>
          <w:kern w:val="0"/>
          <w:lang w:val="en-US"/>
          <w14:ligatures w14:val="none"/>
        </w:rPr>
        <w:t>eCG</w:t>
      </w:r>
      <w:proofErr w:type="spellEnd"/>
      <w:r w:rsidRPr="004436FA">
        <w:rPr>
          <w:rFonts w:ascii="Times New Roman" w:eastAsia="Times New Roman" w:hAnsi="Times New Roman" w:cs="Times New Roman"/>
          <w:kern w:val="0"/>
          <w:lang w:val="en-US"/>
          <w14:ligatures w14:val="none"/>
        </w:rPr>
        <w:t xml:space="preserve"> and FSH on ovarian response, recovery rate and number and quality of oocytes obtained by ovum pick-up in Holstein cows. </w:t>
      </w:r>
      <w:r w:rsidRPr="004436FA">
        <w:rPr>
          <w:rFonts w:ascii="Times New Roman" w:eastAsia="Times New Roman" w:hAnsi="Times New Roman" w:cs="Times New Roman"/>
          <w:i/>
          <w:iCs/>
          <w:kern w:val="0"/>
          <w:lang w:val="en-US"/>
          <w14:ligatures w14:val="none"/>
        </w:rPr>
        <w:t>Animal Reproduction Science, 106</w:t>
      </w:r>
      <w:r w:rsidRPr="004436FA">
        <w:rPr>
          <w:rFonts w:ascii="Times New Roman" w:eastAsia="Times New Roman" w:hAnsi="Times New Roman" w:cs="Times New Roman"/>
          <w:kern w:val="0"/>
          <w:lang w:val="en-US"/>
          <w14:ligatures w14:val="none"/>
        </w:rPr>
        <w:t xml:space="preserve">(1–2), 208–214. </w:t>
      </w:r>
      <w:hyperlink r:id="rId39" w:history="1">
        <w:r w:rsidRPr="004436FA">
          <w:rPr>
            <w:rFonts w:ascii="Times New Roman" w:eastAsia="Times New Roman" w:hAnsi="Times New Roman" w:cs="Times New Roman"/>
            <w:color w:val="0000FF"/>
            <w:kern w:val="0"/>
            <w:u w:val="single"/>
            <w:lang w:val="en-US"/>
            <w14:ligatures w14:val="none"/>
          </w:rPr>
          <w:t>https://doi.org/10.1016/j.anireprosci.2008.01.007</w:t>
        </w:r>
      </w:hyperlink>
    </w:p>
    <w:p w14:paraId="0E00A254"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Van Eenennaam, A. L. (2019). Application of genome editing in farm animals: Cattle. </w:t>
      </w:r>
      <w:r w:rsidRPr="004436FA">
        <w:rPr>
          <w:rFonts w:ascii="Times New Roman" w:eastAsia="Times New Roman" w:hAnsi="Times New Roman" w:cs="Times New Roman"/>
          <w:i/>
          <w:iCs/>
          <w:kern w:val="0"/>
          <w:lang w:val="en-US"/>
          <w14:ligatures w14:val="none"/>
        </w:rPr>
        <w:t>Transgenic Research, 28</w:t>
      </w:r>
      <w:r w:rsidRPr="004436FA">
        <w:rPr>
          <w:rFonts w:ascii="Times New Roman" w:eastAsia="Times New Roman" w:hAnsi="Times New Roman" w:cs="Times New Roman"/>
          <w:kern w:val="0"/>
          <w:lang w:val="en-US"/>
          <w14:ligatures w14:val="none"/>
        </w:rPr>
        <w:t xml:space="preserve">(Suppl. 2), 93–100. </w:t>
      </w:r>
      <w:hyperlink r:id="rId40" w:history="1">
        <w:r w:rsidRPr="004436FA">
          <w:rPr>
            <w:rFonts w:ascii="Times New Roman" w:eastAsia="Times New Roman" w:hAnsi="Times New Roman" w:cs="Times New Roman"/>
            <w:color w:val="0000FF"/>
            <w:kern w:val="0"/>
            <w:u w:val="single"/>
            <w:lang w:val="en-US"/>
            <w14:ligatures w14:val="none"/>
          </w:rPr>
          <w:t>https://doi.org/10.1007/s11248-019-00141-6</w:t>
        </w:r>
      </w:hyperlink>
    </w:p>
    <w:p w14:paraId="49601EBF"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proofErr w:type="spellStart"/>
      <w:r w:rsidRPr="004436FA">
        <w:rPr>
          <w:rFonts w:ascii="Times New Roman" w:eastAsia="Times New Roman" w:hAnsi="Times New Roman" w:cs="Times New Roman"/>
          <w:kern w:val="0"/>
          <w:lang w:val="en-US"/>
          <w14:ligatures w14:val="none"/>
        </w:rPr>
        <w:t>Vennapureddy</w:t>
      </w:r>
      <w:proofErr w:type="spellEnd"/>
      <w:r w:rsidRPr="004436FA">
        <w:rPr>
          <w:rFonts w:ascii="Times New Roman" w:eastAsia="Times New Roman" w:hAnsi="Times New Roman" w:cs="Times New Roman"/>
          <w:kern w:val="0"/>
          <w:lang w:val="en-US"/>
          <w14:ligatures w14:val="none"/>
        </w:rPr>
        <w:t xml:space="preserve">, S., </w:t>
      </w:r>
      <w:proofErr w:type="spellStart"/>
      <w:r w:rsidRPr="004436FA">
        <w:rPr>
          <w:rFonts w:ascii="Times New Roman" w:eastAsia="Times New Roman" w:hAnsi="Times New Roman" w:cs="Times New Roman"/>
          <w:kern w:val="0"/>
          <w:lang w:val="en-US"/>
          <w14:ligatures w14:val="none"/>
        </w:rPr>
        <w:t>Arunakumari</w:t>
      </w:r>
      <w:proofErr w:type="spellEnd"/>
      <w:r w:rsidRPr="004436FA">
        <w:rPr>
          <w:rFonts w:ascii="Times New Roman" w:eastAsia="Times New Roman" w:hAnsi="Times New Roman" w:cs="Times New Roman"/>
          <w:kern w:val="0"/>
          <w:lang w:val="en-US"/>
          <w14:ligatures w14:val="none"/>
        </w:rPr>
        <w:t xml:space="preserve">, G., Reddy, K. C., Reddy, K. R., &amp; Ambica, G. (2024). Effect of FSH stimulation of ovaries on in vitro maturation of Sahiwal oocytes collected by the ovum pick-up method. </w:t>
      </w:r>
      <w:r w:rsidRPr="004436FA">
        <w:rPr>
          <w:rFonts w:ascii="Times New Roman" w:eastAsia="Times New Roman" w:hAnsi="Times New Roman" w:cs="Times New Roman"/>
          <w:i/>
          <w:iCs/>
          <w:kern w:val="0"/>
          <w:lang w:val="en-US"/>
          <w14:ligatures w14:val="none"/>
        </w:rPr>
        <w:t>Indian Journal of Animal Research, 58</w:t>
      </w:r>
      <w:r w:rsidRPr="004436FA">
        <w:rPr>
          <w:rFonts w:ascii="Times New Roman" w:eastAsia="Times New Roman" w:hAnsi="Times New Roman" w:cs="Times New Roman"/>
          <w:kern w:val="0"/>
          <w:lang w:val="en-US"/>
          <w14:ligatures w14:val="none"/>
        </w:rPr>
        <w:t xml:space="preserve">(3), 395–400. </w:t>
      </w:r>
      <w:hyperlink r:id="rId41" w:history="1">
        <w:r w:rsidRPr="004436FA">
          <w:rPr>
            <w:rFonts w:ascii="Times New Roman" w:eastAsia="Times New Roman" w:hAnsi="Times New Roman" w:cs="Times New Roman"/>
            <w:color w:val="0000FF"/>
            <w:kern w:val="0"/>
            <w:u w:val="single"/>
            <w:lang w:val="en-US"/>
            <w14:ligatures w14:val="none"/>
          </w:rPr>
          <w:t>https://doi.org/10.18805/IJAR.B-4483</w:t>
        </w:r>
      </w:hyperlink>
    </w:p>
    <w:p w14:paraId="07886200" w14:textId="2EE8AD3E"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Verma, P. K. (2005). </w:t>
      </w:r>
      <w:r w:rsidRPr="004436FA">
        <w:rPr>
          <w:rFonts w:ascii="Times New Roman" w:eastAsia="Times New Roman" w:hAnsi="Times New Roman" w:cs="Times New Roman"/>
          <w:i/>
          <w:iCs/>
          <w:kern w:val="0"/>
          <w:lang w:val="en-US"/>
          <w14:ligatures w14:val="none"/>
        </w:rPr>
        <w:t>Ultrasound-guided transvaginal follicular aspiration and in vitro embryo production in Sahiwal cows</w:t>
      </w:r>
      <w:r w:rsidRPr="004436FA">
        <w:rPr>
          <w:rFonts w:ascii="Times New Roman" w:eastAsia="Times New Roman" w:hAnsi="Times New Roman" w:cs="Times New Roman"/>
          <w:kern w:val="0"/>
          <w:lang w:val="en-US"/>
          <w14:ligatures w14:val="none"/>
        </w:rPr>
        <w:t xml:space="preserve"> [Doctoral dissertation, G. B. Pant University of Agriculture and Technology]. </w:t>
      </w:r>
    </w:p>
    <w:p w14:paraId="162460F6"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Viana, J. H. M., de Almeida Camargo, L. S., de Moraes Ferreira, A., de Sá, W. F., de Carvalho Fernandes, C. A., &amp; Marques Júnior, A. P. (2004). Short intervals between </w:t>
      </w:r>
      <w:proofErr w:type="spellStart"/>
      <w:r w:rsidRPr="004436FA">
        <w:rPr>
          <w:rFonts w:ascii="Times New Roman" w:eastAsia="Times New Roman" w:hAnsi="Times New Roman" w:cs="Times New Roman"/>
          <w:kern w:val="0"/>
          <w:lang w:val="en-US"/>
          <w14:ligatures w14:val="none"/>
        </w:rPr>
        <w:t>ultrasonographically</w:t>
      </w:r>
      <w:proofErr w:type="spellEnd"/>
      <w:r w:rsidRPr="004436FA">
        <w:rPr>
          <w:rFonts w:ascii="Times New Roman" w:eastAsia="Times New Roman" w:hAnsi="Times New Roman" w:cs="Times New Roman"/>
          <w:kern w:val="0"/>
          <w:lang w:val="en-US"/>
          <w14:ligatures w14:val="none"/>
        </w:rPr>
        <w:t xml:space="preserve"> guided follicle aspiration improve oocyte quality but do not prevent establishment of dominant follicles in the Gir breed (</w:t>
      </w:r>
      <w:r w:rsidRPr="004436FA">
        <w:rPr>
          <w:rFonts w:ascii="Times New Roman" w:eastAsia="Times New Roman" w:hAnsi="Times New Roman" w:cs="Times New Roman"/>
          <w:i/>
          <w:iCs/>
          <w:kern w:val="0"/>
          <w:lang w:val="en-US"/>
          <w14:ligatures w14:val="none"/>
        </w:rPr>
        <w:t>Bos indicus</w:t>
      </w:r>
      <w:r w:rsidRPr="004436FA">
        <w:rPr>
          <w:rFonts w:ascii="Times New Roman" w:eastAsia="Times New Roman" w:hAnsi="Times New Roman" w:cs="Times New Roman"/>
          <w:kern w:val="0"/>
          <w:lang w:val="en-US"/>
          <w14:ligatures w14:val="none"/>
        </w:rPr>
        <w:t xml:space="preserve">) of cattle. </w:t>
      </w:r>
      <w:r w:rsidRPr="004436FA">
        <w:rPr>
          <w:rFonts w:ascii="Times New Roman" w:eastAsia="Times New Roman" w:hAnsi="Times New Roman" w:cs="Times New Roman"/>
          <w:i/>
          <w:iCs/>
          <w:kern w:val="0"/>
          <w:lang w:val="en-US"/>
          <w14:ligatures w14:val="none"/>
        </w:rPr>
        <w:t>Animal Reproduction Science, 84</w:t>
      </w:r>
      <w:r w:rsidRPr="004436FA">
        <w:rPr>
          <w:rFonts w:ascii="Times New Roman" w:eastAsia="Times New Roman" w:hAnsi="Times New Roman" w:cs="Times New Roman"/>
          <w:kern w:val="0"/>
          <w:lang w:val="en-US"/>
          <w14:ligatures w14:val="none"/>
        </w:rPr>
        <w:t xml:space="preserve">(1–2), 1–12. </w:t>
      </w:r>
      <w:hyperlink r:id="rId42" w:history="1">
        <w:r w:rsidRPr="004436FA">
          <w:rPr>
            <w:rFonts w:ascii="Times New Roman" w:eastAsia="Times New Roman" w:hAnsi="Times New Roman" w:cs="Times New Roman"/>
            <w:color w:val="0000FF"/>
            <w:kern w:val="0"/>
            <w:u w:val="single"/>
            <w:lang w:val="en-US"/>
            <w14:ligatures w14:val="none"/>
          </w:rPr>
          <w:t>https://doi.org/10.1016/j.anireprosci.2003.12.002</w:t>
        </w:r>
      </w:hyperlink>
    </w:p>
    <w:p w14:paraId="0CA8715F"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Vieira, L. M., Rodrigues, C. A., Castro Netto, A., Guerreiro, B. M., Silveira, C. R. A., Moreira, R. J. C., Sá Filho, M. F., Bó, G. A., </w:t>
      </w:r>
      <w:proofErr w:type="spellStart"/>
      <w:r w:rsidRPr="004436FA">
        <w:rPr>
          <w:rFonts w:ascii="Times New Roman" w:eastAsia="Times New Roman" w:hAnsi="Times New Roman" w:cs="Times New Roman"/>
          <w:kern w:val="0"/>
          <w:lang w:val="en-US"/>
          <w14:ligatures w14:val="none"/>
        </w:rPr>
        <w:t>Mapletoft</w:t>
      </w:r>
      <w:proofErr w:type="spellEnd"/>
      <w:r w:rsidRPr="004436FA">
        <w:rPr>
          <w:rFonts w:ascii="Times New Roman" w:eastAsia="Times New Roman" w:hAnsi="Times New Roman" w:cs="Times New Roman"/>
          <w:kern w:val="0"/>
          <w:lang w:val="en-US"/>
          <w14:ligatures w14:val="none"/>
        </w:rPr>
        <w:t xml:space="preserve">, R. J., &amp; </w:t>
      </w:r>
      <w:proofErr w:type="spellStart"/>
      <w:r w:rsidRPr="004436FA">
        <w:rPr>
          <w:rFonts w:ascii="Times New Roman" w:eastAsia="Times New Roman" w:hAnsi="Times New Roman" w:cs="Times New Roman"/>
          <w:kern w:val="0"/>
          <w:lang w:val="en-US"/>
          <w14:ligatures w14:val="none"/>
        </w:rPr>
        <w:t>Baruselli</w:t>
      </w:r>
      <w:proofErr w:type="spellEnd"/>
      <w:r w:rsidRPr="004436FA">
        <w:rPr>
          <w:rFonts w:ascii="Times New Roman" w:eastAsia="Times New Roman" w:hAnsi="Times New Roman" w:cs="Times New Roman"/>
          <w:kern w:val="0"/>
          <w:lang w:val="en-US"/>
          <w14:ligatures w14:val="none"/>
        </w:rPr>
        <w:t xml:space="preserve">, P. S. (2014). </w:t>
      </w:r>
      <w:proofErr w:type="spellStart"/>
      <w:r w:rsidRPr="004436FA">
        <w:rPr>
          <w:rFonts w:ascii="Times New Roman" w:eastAsia="Times New Roman" w:hAnsi="Times New Roman" w:cs="Times New Roman"/>
          <w:kern w:val="0"/>
          <w:lang w:val="en-US"/>
          <w14:ligatures w14:val="none"/>
        </w:rPr>
        <w:t>Superstimulation</w:t>
      </w:r>
      <w:proofErr w:type="spellEnd"/>
      <w:r w:rsidRPr="004436FA">
        <w:rPr>
          <w:rFonts w:ascii="Times New Roman" w:eastAsia="Times New Roman" w:hAnsi="Times New Roman" w:cs="Times New Roman"/>
          <w:kern w:val="0"/>
          <w:lang w:val="en-US"/>
          <w14:ligatures w14:val="none"/>
        </w:rPr>
        <w:t xml:space="preserve"> prior to the ovum pick-up to improve in vitro embryo production in </w:t>
      </w:r>
      <w:r w:rsidRPr="004436FA">
        <w:rPr>
          <w:rFonts w:ascii="Times New Roman" w:eastAsia="Times New Roman" w:hAnsi="Times New Roman" w:cs="Times New Roman"/>
          <w:kern w:val="0"/>
          <w:lang w:val="en-US"/>
          <w14:ligatures w14:val="none"/>
        </w:rPr>
        <w:lastRenderedPageBreak/>
        <w:t xml:space="preserve">lactating and non-lactating Holstein cows. </w:t>
      </w:r>
      <w:r w:rsidRPr="004436FA">
        <w:rPr>
          <w:rFonts w:ascii="Times New Roman" w:eastAsia="Times New Roman" w:hAnsi="Times New Roman" w:cs="Times New Roman"/>
          <w:i/>
          <w:iCs/>
          <w:kern w:val="0"/>
          <w:lang w:val="en-US"/>
          <w14:ligatures w14:val="none"/>
        </w:rPr>
        <w:t>Theriogenology, 82</w:t>
      </w:r>
      <w:r w:rsidRPr="004436FA">
        <w:rPr>
          <w:rFonts w:ascii="Times New Roman" w:eastAsia="Times New Roman" w:hAnsi="Times New Roman" w:cs="Times New Roman"/>
          <w:kern w:val="0"/>
          <w:lang w:val="en-US"/>
          <w14:ligatures w14:val="none"/>
        </w:rPr>
        <w:t xml:space="preserve">(2), 318–324. </w:t>
      </w:r>
      <w:hyperlink r:id="rId43" w:history="1">
        <w:r w:rsidRPr="004436FA">
          <w:rPr>
            <w:rFonts w:ascii="Times New Roman" w:eastAsia="Times New Roman" w:hAnsi="Times New Roman" w:cs="Times New Roman"/>
            <w:color w:val="0000FF"/>
            <w:kern w:val="0"/>
            <w:u w:val="single"/>
            <w:lang w:val="en-US"/>
            <w14:ligatures w14:val="none"/>
          </w:rPr>
          <w:t>https://doi.org/10.1016/j.theriogenology.2014.04.013</w:t>
        </w:r>
      </w:hyperlink>
    </w:p>
    <w:p w14:paraId="3511FF3C"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Vieira, L. M., Rodrigues, C. A., Castro Netto, A., Guerreiro, B. M., Silveira, C. R. A., Freitas, B. G., Bragança, L. G. M., Marques, K. N. G., Sá Filho, M. F., Bó, G. A., </w:t>
      </w:r>
      <w:proofErr w:type="spellStart"/>
      <w:r w:rsidRPr="004436FA">
        <w:rPr>
          <w:rFonts w:ascii="Times New Roman" w:eastAsia="Times New Roman" w:hAnsi="Times New Roman" w:cs="Times New Roman"/>
          <w:kern w:val="0"/>
          <w:lang w:val="en-US"/>
          <w14:ligatures w14:val="none"/>
        </w:rPr>
        <w:t>Mapletoft</w:t>
      </w:r>
      <w:proofErr w:type="spellEnd"/>
      <w:r w:rsidRPr="004436FA">
        <w:rPr>
          <w:rFonts w:ascii="Times New Roman" w:eastAsia="Times New Roman" w:hAnsi="Times New Roman" w:cs="Times New Roman"/>
          <w:kern w:val="0"/>
          <w:lang w:val="en-US"/>
          <w14:ligatures w14:val="none"/>
        </w:rPr>
        <w:t xml:space="preserve">, R. J., &amp; </w:t>
      </w:r>
      <w:proofErr w:type="spellStart"/>
      <w:r w:rsidRPr="004436FA">
        <w:rPr>
          <w:rFonts w:ascii="Times New Roman" w:eastAsia="Times New Roman" w:hAnsi="Times New Roman" w:cs="Times New Roman"/>
          <w:kern w:val="0"/>
          <w:lang w:val="en-US"/>
          <w14:ligatures w14:val="none"/>
        </w:rPr>
        <w:t>Baruselli</w:t>
      </w:r>
      <w:proofErr w:type="spellEnd"/>
      <w:r w:rsidRPr="004436FA">
        <w:rPr>
          <w:rFonts w:ascii="Times New Roman" w:eastAsia="Times New Roman" w:hAnsi="Times New Roman" w:cs="Times New Roman"/>
          <w:kern w:val="0"/>
          <w:lang w:val="en-US"/>
          <w14:ligatures w14:val="none"/>
        </w:rPr>
        <w:t xml:space="preserve">, P. S. (2016). Efficacy of a single intramuscular injection of porcine FSH in hyaluronan prior to ovum pick-up in Holstein cattle. </w:t>
      </w:r>
      <w:r w:rsidRPr="004436FA">
        <w:rPr>
          <w:rFonts w:ascii="Times New Roman" w:eastAsia="Times New Roman" w:hAnsi="Times New Roman" w:cs="Times New Roman"/>
          <w:i/>
          <w:iCs/>
          <w:kern w:val="0"/>
          <w:lang w:val="en-US"/>
          <w14:ligatures w14:val="none"/>
        </w:rPr>
        <w:t>Theriogenology, 85</w:t>
      </w:r>
      <w:r w:rsidRPr="004436FA">
        <w:rPr>
          <w:rFonts w:ascii="Times New Roman" w:eastAsia="Times New Roman" w:hAnsi="Times New Roman" w:cs="Times New Roman"/>
          <w:kern w:val="0"/>
          <w:lang w:val="en-US"/>
          <w14:ligatures w14:val="none"/>
        </w:rPr>
        <w:t xml:space="preserve">(5), 877–886. </w:t>
      </w:r>
      <w:hyperlink r:id="rId44" w:history="1">
        <w:r w:rsidRPr="004436FA">
          <w:rPr>
            <w:rFonts w:ascii="Times New Roman" w:eastAsia="Times New Roman" w:hAnsi="Times New Roman" w:cs="Times New Roman"/>
            <w:color w:val="0000FF"/>
            <w:kern w:val="0"/>
            <w:u w:val="single"/>
            <w:lang w:val="en-US"/>
            <w14:ligatures w14:val="none"/>
          </w:rPr>
          <w:t>https://doi.org/10.1016/j.theriogenology.2015.10.036</w:t>
        </w:r>
      </w:hyperlink>
    </w:p>
    <w:p w14:paraId="0E7983B5" w14:textId="77777777" w:rsidR="004436FA" w:rsidRPr="004436FA" w:rsidRDefault="004436FA" w:rsidP="004436FA">
      <w:pPr>
        <w:spacing w:before="100" w:beforeAutospacing="1" w:after="100" w:afterAutospacing="1" w:line="240" w:lineRule="auto"/>
        <w:rPr>
          <w:rFonts w:ascii="Times New Roman" w:eastAsia="Times New Roman" w:hAnsi="Times New Roman" w:cs="Times New Roman"/>
          <w:kern w:val="0"/>
          <w:lang w:val="en-US"/>
          <w14:ligatures w14:val="none"/>
        </w:rPr>
      </w:pPr>
      <w:r w:rsidRPr="004436FA">
        <w:rPr>
          <w:rFonts w:ascii="Times New Roman" w:eastAsia="Times New Roman" w:hAnsi="Times New Roman" w:cs="Times New Roman"/>
          <w:kern w:val="0"/>
          <w:lang w:val="en-US"/>
          <w14:ligatures w14:val="none"/>
        </w:rPr>
        <w:t xml:space="preserve">Yilma, T. (2022). Assisted reproductive technologies and recent developments in in vitro embryo production technology in dairy cattle. </w:t>
      </w:r>
      <w:r w:rsidRPr="004436FA">
        <w:rPr>
          <w:rFonts w:ascii="Times New Roman" w:eastAsia="Times New Roman" w:hAnsi="Times New Roman" w:cs="Times New Roman"/>
          <w:i/>
          <w:iCs/>
          <w:kern w:val="0"/>
          <w:lang w:val="en-US"/>
          <w14:ligatures w14:val="none"/>
        </w:rPr>
        <w:t>Asian Journal of Research in Animal and Veterinary Sciences, 5</w:t>
      </w:r>
      <w:r w:rsidRPr="004436FA">
        <w:rPr>
          <w:rFonts w:ascii="Times New Roman" w:eastAsia="Times New Roman" w:hAnsi="Times New Roman" w:cs="Times New Roman"/>
          <w:kern w:val="0"/>
          <w:lang w:val="en-US"/>
          <w14:ligatures w14:val="none"/>
        </w:rPr>
        <w:t xml:space="preserve">(4), 269–285. </w:t>
      </w:r>
      <w:hyperlink r:id="rId45" w:history="1">
        <w:r w:rsidRPr="004436FA">
          <w:rPr>
            <w:rFonts w:ascii="Times New Roman" w:eastAsia="Times New Roman" w:hAnsi="Times New Roman" w:cs="Times New Roman"/>
            <w:color w:val="0000FF"/>
            <w:kern w:val="0"/>
            <w:u w:val="single"/>
            <w:lang w:val="en-US"/>
            <w14:ligatures w14:val="none"/>
          </w:rPr>
          <w:t>https://doi.org/10.9734/ajravs/2022/v5i4217</w:t>
        </w:r>
      </w:hyperlink>
    </w:p>
    <w:p w14:paraId="64D4CE41" w14:textId="77777777" w:rsidR="004436FA" w:rsidRDefault="004436FA">
      <w:pPr>
        <w:spacing w:after="0" w:line="360" w:lineRule="auto"/>
        <w:ind w:left="851" w:hanging="851"/>
        <w:jc w:val="both"/>
        <w:rPr>
          <w:rFonts w:ascii="Times New Roman" w:hAnsi="Times New Roman" w:cs="Times New Roman"/>
        </w:rPr>
        <w:sectPr w:rsidR="004436FA">
          <w:headerReference w:type="even" r:id="rId46"/>
          <w:headerReference w:type="default" r:id="rId47"/>
          <w:footerReference w:type="even" r:id="rId48"/>
          <w:footerReference w:type="default" r:id="rId49"/>
          <w:headerReference w:type="first" r:id="rId50"/>
          <w:footerReference w:type="first" r:id="rId51"/>
          <w:pgSz w:w="11906" w:h="16838"/>
          <w:pgMar w:top="1440" w:right="1440" w:bottom="1440" w:left="1440" w:header="708" w:footer="708" w:gutter="0"/>
          <w:cols w:space="708"/>
          <w:docGrid w:linePitch="360"/>
        </w:sectPr>
      </w:pPr>
    </w:p>
    <w:p w14:paraId="52F984D4" w14:textId="77777777" w:rsidR="00165501" w:rsidRDefault="00165501" w:rsidP="000F4E3A">
      <w:pPr>
        <w:spacing w:after="0" w:line="240" w:lineRule="auto"/>
        <w:jc w:val="both"/>
        <w:rPr>
          <w:rFonts w:ascii="Times New Roman" w:hAnsi="Times New Roman" w:cs="Times New Roman"/>
        </w:rPr>
      </w:pPr>
    </w:p>
    <w:sectPr w:rsidR="00165501" w:rsidSect="0023660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DFDEC" w14:textId="77777777" w:rsidR="003A3EFB" w:rsidRDefault="003A3EFB" w:rsidP="00940E3F">
      <w:pPr>
        <w:spacing w:after="0" w:line="240" w:lineRule="auto"/>
      </w:pPr>
      <w:r>
        <w:separator/>
      </w:r>
    </w:p>
  </w:endnote>
  <w:endnote w:type="continuationSeparator" w:id="0">
    <w:p w14:paraId="1A54DD7D" w14:textId="77777777" w:rsidR="003A3EFB" w:rsidRDefault="003A3EFB" w:rsidP="00940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473E" w14:textId="77777777" w:rsidR="00940E3F" w:rsidRDefault="00940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CD5D" w14:textId="77777777" w:rsidR="00940E3F" w:rsidRDefault="00940E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4DB57" w14:textId="77777777" w:rsidR="00940E3F" w:rsidRDefault="00940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8585C" w14:textId="77777777" w:rsidR="003A3EFB" w:rsidRDefault="003A3EFB" w:rsidP="00940E3F">
      <w:pPr>
        <w:spacing w:after="0" w:line="240" w:lineRule="auto"/>
      </w:pPr>
      <w:r>
        <w:separator/>
      </w:r>
    </w:p>
  </w:footnote>
  <w:footnote w:type="continuationSeparator" w:id="0">
    <w:p w14:paraId="22D4D3F0" w14:textId="77777777" w:rsidR="003A3EFB" w:rsidRDefault="003A3EFB" w:rsidP="00940E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9A8A5" w14:textId="77777777" w:rsidR="00940E3F" w:rsidRDefault="00000000">
    <w:pPr>
      <w:pStyle w:val="Header"/>
    </w:pPr>
    <w:r>
      <w:rPr>
        <w:noProof/>
      </w:rPr>
      <w:pict w14:anchorId="392BAF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58390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41CC" w14:textId="77777777" w:rsidR="00940E3F" w:rsidRDefault="00000000">
    <w:pPr>
      <w:pStyle w:val="Header"/>
    </w:pPr>
    <w:r>
      <w:rPr>
        <w:noProof/>
      </w:rPr>
      <w:pict w14:anchorId="6CCE3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58390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FB732" w14:textId="77777777" w:rsidR="00940E3F" w:rsidRDefault="00000000">
    <w:pPr>
      <w:pStyle w:val="Header"/>
    </w:pPr>
    <w:r>
      <w:rPr>
        <w:noProof/>
      </w:rPr>
      <w:pict w14:anchorId="40CF5F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58390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612FDB"/>
    <w:multiLevelType w:val="multilevel"/>
    <w:tmpl w:val="604A7D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AF015E8"/>
    <w:multiLevelType w:val="hybridMultilevel"/>
    <w:tmpl w:val="54465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1039095">
    <w:abstractNumId w:val="0"/>
  </w:num>
  <w:num w:numId="2" w16cid:durableId="255406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984"/>
    <w:rsid w:val="0000296C"/>
    <w:rsid w:val="00004076"/>
    <w:rsid w:val="00004A55"/>
    <w:rsid w:val="00005DBB"/>
    <w:rsid w:val="000067F6"/>
    <w:rsid w:val="00007358"/>
    <w:rsid w:val="0000794F"/>
    <w:rsid w:val="00007F5D"/>
    <w:rsid w:val="00012130"/>
    <w:rsid w:val="0002093E"/>
    <w:rsid w:val="00020B16"/>
    <w:rsid w:val="00022CBA"/>
    <w:rsid w:val="00027BA8"/>
    <w:rsid w:val="00030CDB"/>
    <w:rsid w:val="000350B4"/>
    <w:rsid w:val="00036518"/>
    <w:rsid w:val="00042290"/>
    <w:rsid w:val="000461F0"/>
    <w:rsid w:val="000469EB"/>
    <w:rsid w:val="00046D8F"/>
    <w:rsid w:val="0006189A"/>
    <w:rsid w:val="000757CC"/>
    <w:rsid w:val="00084A7E"/>
    <w:rsid w:val="000851AD"/>
    <w:rsid w:val="00087000"/>
    <w:rsid w:val="00093966"/>
    <w:rsid w:val="000A0A9B"/>
    <w:rsid w:val="000A0B4F"/>
    <w:rsid w:val="000A28C2"/>
    <w:rsid w:val="000A319C"/>
    <w:rsid w:val="000B21AA"/>
    <w:rsid w:val="000C44D3"/>
    <w:rsid w:val="000C57CC"/>
    <w:rsid w:val="000C72A7"/>
    <w:rsid w:val="000D031C"/>
    <w:rsid w:val="000D0F8A"/>
    <w:rsid w:val="000D30B8"/>
    <w:rsid w:val="000D43C8"/>
    <w:rsid w:val="000D7AC3"/>
    <w:rsid w:val="000E063A"/>
    <w:rsid w:val="000E0F6D"/>
    <w:rsid w:val="000F4E3A"/>
    <w:rsid w:val="000F7ADA"/>
    <w:rsid w:val="00100024"/>
    <w:rsid w:val="0010325A"/>
    <w:rsid w:val="00103B3C"/>
    <w:rsid w:val="00106A02"/>
    <w:rsid w:val="00107BE8"/>
    <w:rsid w:val="00111280"/>
    <w:rsid w:val="00121FA3"/>
    <w:rsid w:val="0012269C"/>
    <w:rsid w:val="00125B7C"/>
    <w:rsid w:val="0012628F"/>
    <w:rsid w:val="001415AB"/>
    <w:rsid w:val="00143EFF"/>
    <w:rsid w:val="001441F8"/>
    <w:rsid w:val="00146347"/>
    <w:rsid w:val="00151783"/>
    <w:rsid w:val="00165501"/>
    <w:rsid w:val="00166984"/>
    <w:rsid w:val="001676CD"/>
    <w:rsid w:val="001748DC"/>
    <w:rsid w:val="00176A20"/>
    <w:rsid w:val="001906F0"/>
    <w:rsid w:val="00193E9E"/>
    <w:rsid w:val="00195D60"/>
    <w:rsid w:val="0019620A"/>
    <w:rsid w:val="001A0B58"/>
    <w:rsid w:val="001A26F6"/>
    <w:rsid w:val="001B0766"/>
    <w:rsid w:val="001B0984"/>
    <w:rsid w:val="001B3A45"/>
    <w:rsid w:val="001B604C"/>
    <w:rsid w:val="001B6329"/>
    <w:rsid w:val="001C000C"/>
    <w:rsid w:val="001C0258"/>
    <w:rsid w:val="001C08AE"/>
    <w:rsid w:val="001C379B"/>
    <w:rsid w:val="001C3D7A"/>
    <w:rsid w:val="001C5A5F"/>
    <w:rsid w:val="001D110D"/>
    <w:rsid w:val="001D1503"/>
    <w:rsid w:val="001D2667"/>
    <w:rsid w:val="001D30D3"/>
    <w:rsid w:val="001D6807"/>
    <w:rsid w:val="001D7570"/>
    <w:rsid w:val="001E4652"/>
    <w:rsid w:val="001E7231"/>
    <w:rsid w:val="001F53AE"/>
    <w:rsid w:val="00200212"/>
    <w:rsid w:val="00201180"/>
    <w:rsid w:val="00203106"/>
    <w:rsid w:val="00205CBD"/>
    <w:rsid w:val="00206282"/>
    <w:rsid w:val="00214592"/>
    <w:rsid w:val="00215002"/>
    <w:rsid w:val="002156BE"/>
    <w:rsid w:val="00217C7C"/>
    <w:rsid w:val="00222627"/>
    <w:rsid w:val="00233A5B"/>
    <w:rsid w:val="002357FF"/>
    <w:rsid w:val="00235C3E"/>
    <w:rsid w:val="00236606"/>
    <w:rsid w:val="00236CBF"/>
    <w:rsid w:val="00243139"/>
    <w:rsid w:val="0024313C"/>
    <w:rsid w:val="002437C8"/>
    <w:rsid w:val="002446A5"/>
    <w:rsid w:val="002448B1"/>
    <w:rsid w:val="0024549D"/>
    <w:rsid w:val="002502FE"/>
    <w:rsid w:val="00252012"/>
    <w:rsid w:val="00260453"/>
    <w:rsid w:val="00260514"/>
    <w:rsid w:val="00263370"/>
    <w:rsid w:val="00270A38"/>
    <w:rsid w:val="00270FDB"/>
    <w:rsid w:val="0027397A"/>
    <w:rsid w:val="00274B3B"/>
    <w:rsid w:val="00274DDE"/>
    <w:rsid w:val="002815FA"/>
    <w:rsid w:val="0028772E"/>
    <w:rsid w:val="00287FA4"/>
    <w:rsid w:val="00293271"/>
    <w:rsid w:val="00295A46"/>
    <w:rsid w:val="00297010"/>
    <w:rsid w:val="002A0A93"/>
    <w:rsid w:val="002C2766"/>
    <w:rsid w:val="002C7BBE"/>
    <w:rsid w:val="002D224D"/>
    <w:rsid w:val="002F0BD8"/>
    <w:rsid w:val="002F1AFC"/>
    <w:rsid w:val="002F1E01"/>
    <w:rsid w:val="002F44F7"/>
    <w:rsid w:val="002F55C5"/>
    <w:rsid w:val="0030708F"/>
    <w:rsid w:val="00313014"/>
    <w:rsid w:val="00314E91"/>
    <w:rsid w:val="00314F83"/>
    <w:rsid w:val="00315B94"/>
    <w:rsid w:val="00322D85"/>
    <w:rsid w:val="00324783"/>
    <w:rsid w:val="00324E22"/>
    <w:rsid w:val="00327001"/>
    <w:rsid w:val="00327E67"/>
    <w:rsid w:val="00334505"/>
    <w:rsid w:val="00334C18"/>
    <w:rsid w:val="00335AB8"/>
    <w:rsid w:val="00335AF1"/>
    <w:rsid w:val="00335BA6"/>
    <w:rsid w:val="0034006D"/>
    <w:rsid w:val="003424E6"/>
    <w:rsid w:val="003506A1"/>
    <w:rsid w:val="00352D83"/>
    <w:rsid w:val="003543F4"/>
    <w:rsid w:val="00357E53"/>
    <w:rsid w:val="003639E7"/>
    <w:rsid w:val="0036716E"/>
    <w:rsid w:val="00367AA6"/>
    <w:rsid w:val="003724BD"/>
    <w:rsid w:val="00372A79"/>
    <w:rsid w:val="003750F5"/>
    <w:rsid w:val="0038264E"/>
    <w:rsid w:val="00385754"/>
    <w:rsid w:val="00386AC5"/>
    <w:rsid w:val="00393C2A"/>
    <w:rsid w:val="00394444"/>
    <w:rsid w:val="003963C1"/>
    <w:rsid w:val="003A0E23"/>
    <w:rsid w:val="003A1FFD"/>
    <w:rsid w:val="003A3EFB"/>
    <w:rsid w:val="003A6ECB"/>
    <w:rsid w:val="003A705F"/>
    <w:rsid w:val="003B1135"/>
    <w:rsid w:val="003B5D10"/>
    <w:rsid w:val="003B67D8"/>
    <w:rsid w:val="003C4C61"/>
    <w:rsid w:val="003C6C5C"/>
    <w:rsid w:val="003D6308"/>
    <w:rsid w:val="003D79D8"/>
    <w:rsid w:val="003E1B1C"/>
    <w:rsid w:val="003E5D86"/>
    <w:rsid w:val="003E79C5"/>
    <w:rsid w:val="003F127F"/>
    <w:rsid w:val="003F3686"/>
    <w:rsid w:val="003F66B6"/>
    <w:rsid w:val="00401FFA"/>
    <w:rsid w:val="004033D9"/>
    <w:rsid w:val="00406676"/>
    <w:rsid w:val="0040671D"/>
    <w:rsid w:val="00406CD0"/>
    <w:rsid w:val="00411359"/>
    <w:rsid w:val="004125D3"/>
    <w:rsid w:val="004128E9"/>
    <w:rsid w:val="00415934"/>
    <w:rsid w:val="00415BDA"/>
    <w:rsid w:val="0043449B"/>
    <w:rsid w:val="00437B46"/>
    <w:rsid w:val="004436FA"/>
    <w:rsid w:val="0044708A"/>
    <w:rsid w:val="004512FC"/>
    <w:rsid w:val="00451D56"/>
    <w:rsid w:val="004526E3"/>
    <w:rsid w:val="00453691"/>
    <w:rsid w:val="00455908"/>
    <w:rsid w:val="004617B1"/>
    <w:rsid w:val="00462837"/>
    <w:rsid w:val="0046526A"/>
    <w:rsid w:val="00470E9D"/>
    <w:rsid w:val="004800BD"/>
    <w:rsid w:val="0048142B"/>
    <w:rsid w:val="00482EA4"/>
    <w:rsid w:val="00485994"/>
    <w:rsid w:val="00485B25"/>
    <w:rsid w:val="00487156"/>
    <w:rsid w:val="00493431"/>
    <w:rsid w:val="00494989"/>
    <w:rsid w:val="00496A47"/>
    <w:rsid w:val="00497F72"/>
    <w:rsid w:val="004A6CBA"/>
    <w:rsid w:val="004C070F"/>
    <w:rsid w:val="004C0B6F"/>
    <w:rsid w:val="004C17EB"/>
    <w:rsid w:val="004C5E03"/>
    <w:rsid w:val="004D50E8"/>
    <w:rsid w:val="004E16BC"/>
    <w:rsid w:val="004E1B82"/>
    <w:rsid w:val="004E35C4"/>
    <w:rsid w:val="004E7390"/>
    <w:rsid w:val="004F15A6"/>
    <w:rsid w:val="004F370F"/>
    <w:rsid w:val="004F51C0"/>
    <w:rsid w:val="004F567A"/>
    <w:rsid w:val="004F702F"/>
    <w:rsid w:val="00502C75"/>
    <w:rsid w:val="005031CE"/>
    <w:rsid w:val="00506122"/>
    <w:rsid w:val="00507A75"/>
    <w:rsid w:val="00513354"/>
    <w:rsid w:val="005231F2"/>
    <w:rsid w:val="00533DBE"/>
    <w:rsid w:val="00536B17"/>
    <w:rsid w:val="00541BFD"/>
    <w:rsid w:val="00551109"/>
    <w:rsid w:val="00552250"/>
    <w:rsid w:val="00554329"/>
    <w:rsid w:val="00556800"/>
    <w:rsid w:val="00562600"/>
    <w:rsid w:val="00570277"/>
    <w:rsid w:val="005722FF"/>
    <w:rsid w:val="00574167"/>
    <w:rsid w:val="0057461E"/>
    <w:rsid w:val="005762CC"/>
    <w:rsid w:val="005820E4"/>
    <w:rsid w:val="00583459"/>
    <w:rsid w:val="005837E4"/>
    <w:rsid w:val="005915F5"/>
    <w:rsid w:val="00594077"/>
    <w:rsid w:val="00594442"/>
    <w:rsid w:val="00595E74"/>
    <w:rsid w:val="00597012"/>
    <w:rsid w:val="00597857"/>
    <w:rsid w:val="005A2171"/>
    <w:rsid w:val="005A2A26"/>
    <w:rsid w:val="005A4128"/>
    <w:rsid w:val="005A471F"/>
    <w:rsid w:val="005B0A7F"/>
    <w:rsid w:val="005B2323"/>
    <w:rsid w:val="005B2D71"/>
    <w:rsid w:val="005B3877"/>
    <w:rsid w:val="005C5F28"/>
    <w:rsid w:val="005D2AFE"/>
    <w:rsid w:val="005E4CF5"/>
    <w:rsid w:val="005F4C78"/>
    <w:rsid w:val="005F66F7"/>
    <w:rsid w:val="00600F8E"/>
    <w:rsid w:val="00611917"/>
    <w:rsid w:val="00612B38"/>
    <w:rsid w:val="00613D4A"/>
    <w:rsid w:val="00616E68"/>
    <w:rsid w:val="00630E53"/>
    <w:rsid w:val="00630E95"/>
    <w:rsid w:val="006321DA"/>
    <w:rsid w:val="00641FE2"/>
    <w:rsid w:val="00644652"/>
    <w:rsid w:val="00646B19"/>
    <w:rsid w:val="006503DA"/>
    <w:rsid w:val="00654654"/>
    <w:rsid w:val="00662A71"/>
    <w:rsid w:val="0066520D"/>
    <w:rsid w:val="006657C4"/>
    <w:rsid w:val="006726FD"/>
    <w:rsid w:val="00673C3C"/>
    <w:rsid w:val="006753E4"/>
    <w:rsid w:val="006763CB"/>
    <w:rsid w:val="00680A23"/>
    <w:rsid w:val="00681628"/>
    <w:rsid w:val="00682B8C"/>
    <w:rsid w:val="00687010"/>
    <w:rsid w:val="0069045F"/>
    <w:rsid w:val="00691575"/>
    <w:rsid w:val="006937CE"/>
    <w:rsid w:val="006A17CA"/>
    <w:rsid w:val="006A204C"/>
    <w:rsid w:val="006A2D62"/>
    <w:rsid w:val="006A425B"/>
    <w:rsid w:val="006A69AB"/>
    <w:rsid w:val="006B1C2F"/>
    <w:rsid w:val="006B2547"/>
    <w:rsid w:val="006C0894"/>
    <w:rsid w:val="006C1A95"/>
    <w:rsid w:val="006C5591"/>
    <w:rsid w:val="006C761E"/>
    <w:rsid w:val="006D0CB0"/>
    <w:rsid w:val="006D4E0A"/>
    <w:rsid w:val="006D7EFC"/>
    <w:rsid w:val="006E29B0"/>
    <w:rsid w:val="006F393A"/>
    <w:rsid w:val="006F3CE2"/>
    <w:rsid w:val="006F4EBE"/>
    <w:rsid w:val="006F7DD4"/>
    <w:rsid w:val="0070483D"/>
    <w:rsid w:val="007061BE"/>
    <w:rsid w:val="00715154"/>
    <w:rsid w:val="00717C89"/>
    <w:rsid w:val="00720233"/>
    <w:rsid w:val="00731E36"/>
    <w:rsid w:val="00736633"/>
    <w:rsid w:val="00740E12"/>
    <w:rsid w:val="00742015"/>
    <w:rsid w:val="007427D1"/>
    <w:rsid w:val="007440F9"/>
    <w:rsid w:val="00745CF2"/>
    <w:rsid w:val="00751185"/>
    <w:rsid w:val="00751BB0"/>
    <w:rsid w:val="007541F3"/>
    <w:rsid w:val="00757BBC"/>
    <w:rsid w:val="007624CD"/>
    <w:rsid w:val="00767459"/>
    <w:rsid w:val="00770F7F"/>
    <w:rsid w:val="00774F3D"/>
    <w:rsid w:val="00776CA6"/>
    <w:rsid w:val="007833B9"/>
    <w:rsid w:val="00784278"/>
    <w:rsid w:val="00784BFC"/>
    <w:rsid w:val="00784D00"/>
    <w:rsid w:val="0078745E"/>
    <w:rsid w:val="007916D3"/>
    <w:rsid w:val="00793B33"/>
    <w:rsid w:val="007B2CDD"/>
    <w:rsid w:val="007B5B5D"/>
    <w:rsid w:val="007B769B"/>
    <w:rsid w:val="007B790A"/>
    <w:rsid w:val="007C2DD2"/>
    <w:rsid w:val="007C6576"/>
    <w:rsid w:val="007C6C6F"/>
    <w:rsid w:val="007C712B"/>
    <w:rsid w:val="007C7E10"/>
    <w:rsid w:val="007D28D1"/>
    <w:rsid w:val="007E1B00"/>
    <w:rsid w:val="007E45E5"/>
    <w:rsid w:val="007F6D7D"/>
    <w:rsid w:val="00803F8B"/>
    <w:rsid w:val="0080511E"/>
    <w:rsid w:val="008066A3"/>
    <w:rsid w:val="00807157"/>
    <w:rsid w:val="0080770E"/>
    <w:rsid w:val="00810DC6"/>
    <w:rsid w:val="00813CE3"/>
    <w:rsid w:val="00814FC9"/>
    <w:rsid w:val="00822B44"/>
    <w:rsid w:val="0084243C"/>
    <w:rsid w:val="00842B67"/>
    <w:rsid w:val="008502A7"/>
    <w:rsid w:val="00851DE3"/>
    <w:rsid w:val="00855E30"/>
    <w:rsid w:val="00861891"/>
    <w:rsid w:val="00862F95"/>
    <w:rsid w:val="00864D0E"/>
    <w:rsid w:val="0086614C"/>
    <w:rsid w:val="00871FDC"/>
    <w:rsid w:val="008754A1"/>
    <w:rsid w:val="00875FE4"/>
    <w:rsid w:val="0088166F"/>
    <w:rsid w:val="00882EC5"/>
    <w:rsid w:val="008861C8"/>
    <w:rsid w:val="00886B75"/>
    <w:rsid w:val="008900D5"/>
    <w:rsid w:val="00892DF2"/>
    <w:rsid w:val="008A4BA4"/>
    <w:rsid w:val="008A5D12"/>
    <w:rsid w:val="008A62D0"/>
    <w:rsid w:val="008A65DB"/>
    <w:rsid w:val="008B1AFB"/>
    <w:rsid w:val="008B39D4"/>
    <w:rsid w:val="008B420E"/>
    <w:rsid w:val="008B66D2"/>
    <w:rsid w:val="008C1960"/>
    <w:rsid w:val="008C2255"/>
    <w:rsid w:val="008C614A"/>
    <w:rsid w:val="008D52A9"/>
    <w:rsid w:val="008D6D4A"/>
    <w:rsid w:val="008E7834"/>
    <w:rsid w:val="008F02A6"/>
    <w:rsid w:val="008F0464"/>
    <w:rsid w:val="008F22E1"/>
    <w:rsid w:val="0090358B"/>
    <w:rsid w:val="00903C77"/>
    <w:rsid w:val="00906E63"/>
    <w:rsid w:val="0090726E"/>
    <w:rsid w:val="00910801"/>
    <w:rsid w:val="00910B7E"/>
    <w:rsid w:val="009110C3"/>
    <w:rsid w:val="009226FC"/>
    <w:rsid w:val="00922FCE"/>
    <w:rsid w:val="009304E4"/>
    <w:rsid w:val="0093411A"/>
    <w:rsid w:val="0093521E"/>
    <w:rsid w:val="00936717"/>
    <w:rsid w:val="00936B73"/>
    <w:rsid w:val="009370E2"/>
    <w:rsid w:val="0093719A"/>
    <w:rsid w:val="00940E3F"/>
    <w:rsid w:val="009421D3"/>
    <w:rsid w:val="00943C30"/>
    <w:rsid w:val="00952369"/>
    <w:rsid w:val="00954269"/>
    <w:rsid w:val="009556B3"/>
    <w:rsid w:val="00957C62"/>
    <w:rsid w:val="00970B38"/>
    <w:rsid w:val="009773B0"/>
    <w:rsid w:val="00982844"/>
    <w:rsid w:val="0099332C"/>
    <w:rsid w:val="00994ECE"/>
    <w:rsid w:val="009B1290"/>
    <w:rsid w:val="009B12FE"/>
    <w:rsid w:val="009B5470"/>
    <w:rsid w:val="009C0216"/>
    <w:rsid w:val="009C2EAD"/>
    <w:rsid w:val="009C56FF"/>
    <w:rsid w:val="009D4155"/>
    <w:rsid w:val="009D4ECB"/>
    <w:rsid w:val="009D5B3A"/>
    <w:rsid w:val="009D6651"/>
    <w:rsid w:val="009E5A0E"/>
    <w:rsid w:val="009E66C6"/>
    <w:rsid w:val="009F50CA"/>
    <w:rsid w:val="009F5769"/>
    <w:rsid w:val="00A05173"/>
    <w:rsid w:val="00A05DFE"/>
    <w:rsid w:val="00A1116B"/>
    <w:rsid w:val="00A252AC"/>
    <w:rsid w:val="00A26DC5"/>
    <w:rsid w:val="00A27024"/>
    <w:rsid w:val="00A278F3"/>
    <w:rsid w:val="00A304BE"/>
    <w:rsid w:val="00A34793"/>
    <w:rsid w:val="00A35A0C"/>
    <w:rsid w:val="00A35A9F"/>
    <w:rsid w:val="00A37945"/>
    <w:rsid w:val="00A405B6"/>
    <w:rsid w:val="00A41B23"/>
    <w:rsid w:val="00A4200C"/>
    <w:rsid w:val="00A5078E"/>
    <w:rsid w:val="00A5232F"/>
    <w:rsid w:val="00A613F9"/>
    <w:rsid w:val="00A61CE8"/>
    <w:rsid w:val="00A65C98"/>
    <w:rsid w:val="00A6644F"/>
    <w:rsid w:val="00A66C7C"/>
    <w:rsid w:val="00A66DE0"/>
    <w:rsid w:val="00A67E5C"/>
    <w:rsid w:val="00A73E37"/>
    <w:rsid w:val="00A748C4"/>
    <w:rsid w:val="00A83661"/>
    <w:rsid w:val="00A87E3F"/>
    <w:rsid w:val="00A90AE7"/>
    <w:rsid w:val="00A97D42"/>
    <w:rsid w:val="00AA18B8"/>
    <w:rsid w:val="00AC0973"/>
    <w:rsid w:val="00AC3AFE"/>
    <w:rsid w:val="00AC590A"/>
    <w:rsid w:val="00AC5B63"/>
    <w:rsid w:val="00AD1AB3"/>
    <w:rsid w:val="00AE23F9"/>
    <w:rsid w:val="00AE316D"/>
    <w:rsid w:val="00AE340F"/>
    <w:rsid w:val="00AE51EB"/>
    <w:rsid w:val="00AE5B8A"/>
    <w:rsid w:val="00AF01CA"/>
    <w:rsid w:val="00AF309D"/>
    <w:rsid w:val="00AF4DAC"/>
    <w:rsid w:val="00B009F7"/>
    <w:rsid w:val="00B011E2"/>
    <w:rsid w:val="00B07388"/>
    <w:rsid w:val="00B0755E"/>
    <w:rsid w:val="00B1181A"/>
    <w:rsid w:val="00B163B4"/>
    <w:rsid w:val="00B24DB0"/>
    <w:rsid w:val="00B2618B"/>
    <w:rsid w:val="00B40D5E"/>
    <w:rsid w:val="00B4372E"/>
    <w:rsid w:val="00B543D1"/>
    <w:rsid w:val="00B61FA7"/>
    <w:rsid w:val="00B637CF"/>
    <w:rsid w:val="00B64369"/>
    <w:rsid w:val="00B7475A"/>
    <w:rsid w:val="00B74D06"/>
    <w:rsid w:val="00B75A28"/>
    <w:rsid w:val="00B76854"/>
    <w:rsid w:val="00B83DA7"/>
    <w:rsid w:val="00B943AF"/>
    <w:rsid w:val="00B94B90"/>
    <w:rsid w:val="00BA3BF5"/>
    <w:rsid w:val="00BA4498"/>
    <w:rsid w:val="00BB2512"/>
    <w:rsid w:val="00BB34AA"/>
    <w:rsid w:val="00BB3959"/>
    <w:rsid w:val="00BB6CAE"/>
    <w:rsid w:val="00BC2CE5"/>
    <w:rsid w:val="00BC3A7E"/>
    <w:rsid w:val="00BC6EEE"/>
    <w:rsid w:val="00BD1A61"/>
    <w:rsid w:val="00BD2243"/>
    <w:rsid w:val="00BF1B4A"/>
    <w:rsid w:val="00C026EC"/>
    <w:rsid w:val="00C04C9C"/>
    <w:rsid w:val="00C07A03"/>
    <w:rsid w:val="00C21FBE"/>
    <w:rsid w:val="00C24A64"/>
    <w:rsid w:val="00C32CA5"/>
    <w:rsid w:val="00C338AA"/>
    <w:rsid w:val="00C34592"/>
    <w:rsid w:val="00C35FC8"/>
    <w:rsid w:val="00C43418"/>
    <w:rsid w:val="00C44216"/>
    <w:rsid w:val="00C559E7"/>
    <w:rsid w:val="00C64040"/>
    <w:rsid w:val="00C64113"/>
    <w:rsid w:val="00C656C5"/>
    <w:rsid w:val="00C66C8D"/>
    <w:rsid w:val="00C70BF6"/>
    <w:rsid w:val="00C717CB"/>
    <w:rsid w:val="00C71906"/>
    <w:rsid w:val="00C73A25"/>
    <w:rsid w:val="00C763F4"/>
    <w:rsid w:val="00C86139"/>
    <w:rsid w:val="00C938D9"/>
    <w:rsid w:val="00CC0B03"/>
    <w:rsid w:val="00CC66E4"/>
    <w:rsid w:val="00CC792A"/>
    <w:rsid w:val="00CD0308"/>
    <w:rsid w:val="00CD4B78"/>
    <w:rsid w:val="00CE2600"/>
    <w:rsid w:val="00CE6396"/>
    <w:rsid w:val="00CE7414"/>
    <w:rsid w:val="00CE744B"/>
    <w:rsid w:val="00CF0893"/>
    <w:rsid w:val="00D04F97"/>
    <w:rsid w:val="00D1094D"/>
    <w:rsid w:val="00D158C0"/>
    <w:rsid w:val="00D1626D"/>
    <w:rsid w:val="00D16872"/>
    <w:rsid w:val="00D2569E"/>
    <w:rsid w:val="00D30342"/>
    <w:rsid w:val="00D33165"/>
    <w:rsid w:val="00D33AC8"/>
    <w:rsid w:val="00D343DD"/>
    <w:rsid w:val="00D36C59"/>
    <w:rsid w:val="00D4409B"/>
    <w:rsid w:val="00D44927"/>
    <w:rsid w:val="00D52F71"/>
    <w:rsid w:val="00D600AA"/>
    <w:rsid w:val="00D66CF5"/>
    <w:rsid w:val="00D80A88"/>
    <w:rsid w:val="00D81DC1"/>
    <w:rsid w:val="00D87011"/>
    <w:rsid w:val="00D91176"/>
    <w:rsid w:val="00D93C72"/>
    <w:rsid w:val="00DA00D0"/>
    <w:rsid w:val="00DA265E"/>
    <w:rsid w:val="00DA37A4"/>
    <w:rsid w:val="00DA49F0"/>
    <w:rsid w:val="00DA5018"/>
    <w:rsid w:val="00DB06EA"/>
    <w:rsid w:val="00DB47D4"/>
    <w:rsid w:val="00DC1B1A"/>
    <w:rsid w:val="00DC1D04"/>
    <w:rsid w:val="00DC24CD"/>
    <w:rsid w:val="00DC2F0F"/>
    <w:rsid w:val="00DC7DD8"/>
    <w:rsid w:val="00DD0771"/>
    <w:rsid w:val="00DD6833"/>
    <w:rsid w:val="00DD6FD8"/>
    <w:rsid w:val="00DE0753"/>
    <w:rsid w:val="00DE77EA"/>
    <w:rsid w:val="00DF23C1"/>
    <w:rsid w:val="00E0120E"/>
    <w:rsid w:val="00E01E04"/>
    <w:rsid w:val="00E02B64"/>
    <w:rsid w:val="00E02E47"/>
    <w:rsid w:val="00E11EFA"/>
    <w:rsid w:val="00E1350B"/>
    <w:rsid w:val="00E23969"/>
    <w:rsid w:val="00E276D6"/>
    <w:rsid w:val="00E300B4"/>
    <w:rsid w:val="00E318D7"/>
    <w:rsid w:val="00E5400D"/>
    <w:rsid w:val="00E5426B"/>
    <w:rsid w:val="00E61BCC"/>
    <w:rsid w:val="00E6305A"/>
    <w:rsid w:val="00E64A8C"/>
    <w:rsid w:val="00E659E9"/>
    <w:rsid w:val="00E7591F"/>
    <w:rsid w:val="00E75A75"/>
    <w:rsid w:val="00E761EA"/>
    <w:rsid w:val="00E87A02"/>
    <w:rsid w:val="00E92150"/>
    <w:rsid w:val="00E93F3E"/>
    <w:rsid w:val="00E941C3"/>
    <w:rsid w:val="00E9627A"/>
    <w:rsid w:val="00E97825"/>
    <w:rsid w:val="00E97F16"/>
    <w:rsid w:val="00EA251C"/>
    <w:rsid w:val="00EA4550"/>
    <w:rsid w:val="00EB18BA"/>
    <w:rsid w:val="00EB1E27"/>
    <w:rsid w:val="00EB5CC0"/>
    <w:rsid w:val="00EC2253"/>
    <w:rsid w:val="00EC2902"/>
    <w:rsid w:val="00EC56C7"/>
    <w:rsid w:val="00EC59A1"/>
    <w:rsid w:val="00ED0005"/>
    <w:rsid w:val="00ED3C11"/>
    <w:rsid w:val="00EE04D1"/>
    <w:rsid w:val="00EE4A91"/>
    <w:rsid w:val="00EE6276"/>
    <w:rsid w:val="00EE6B17"/>
    <w:rsid w:val="00EF07E8"/>
    <w:rsid w:val="00EF1373"/>
    <w:rsid w:val="00EF14F4"/>
    <w:rsid w:val="00EF31F2"/>
    <w:rsid w:val="00F0467C"/>
    <w:rsid w:val="00F07051"/>
    <w:rsid w:val="00F13437"/>
    <w:rsid w:val="00F13EB8"/>
    <w:rsid w:val="00F14E87"/>
    <w:rsid w:val="00F155B8"/>
    <w:rsid w:val="00F16353"/>
    <w:rsid w:val="00F16709"/>
    <w:rsid w:val="00F22383"/>
    <w:rsid w:val="00F24C24"/>
    <w:rsid w:val="00F266B9"/>
    <w:rsid w:val="00F2712B"/>
    <w:rsid w:val="00F31560"/>
    <w:rsid w:val="00F31BD3"/>
    <w:rsid w:val="00F3461A"/>
    <w:rsid w:val="00F34C0B"/>
    <w:rsid w:val="00F35F53"/>
    <w:rsid w:val="00F360F0"/>
    <w:rsid w:val="00F45D86"/>
    <w:rsid w:val="00F514E4"/>
    <w:rsid w:val="00F5518A"/>
    <w:rsid w:val="00F55959"/>
    <w:rsid w:val="00F55D83"/>
    <w:rsid w:val="00F61446"/>
    <w:rsid w:val="00F61B18"/>
    <w:rsid w:val="00F67B95"/>
    <w:rsid w:val="00F67F6B"/>
    <w:rsid w:val="00F77134"/>
    <w:rsid w:val="00F81675"/>
    <w:rsid w:val="00F81730"/>
    <w:rsid w:val="00F83638"/>
    <w:rsid w:val="00F903D4"/>
    <w:rsid w:val="00F9621C"/>
    <w:rsid w:val="00F964A3"/>
    <w:rsid w:val="00FA3059"/>
    <w:rsid w:val="00FA3CE0"/>
    <w:rsid w:val="00FB083E"/>
    <w:rsid w:val="00FB1C03"/>
    <w:rsid w:val="00FC4561"/>
    <w:rsid w:val="00FD0638"/>
    <w:rsid w:val="00FD69BC"/>
    <w:rsid w:val="00FE0AE5"/>
    <w:rsid w:val="00FE2947"/>
    <w:rsid w:val="00FE40E4"/>
    <w:rsid w:val="00FE7259"/>
    <w:rsid w:val="00FE7FBA"/>
    <w:rsid w:val="00FF2E7D"/>
    <w:rsid w:val="00FF3306"/>
    <w:rsid w:val="00FF3408"/>
    <w:rsid w:val="00FF387C"/>
    <w:rsid w:val="00FF78E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7A70F"/>
  <w15:chartTrackingRefBased/>
  <w15:docId w15:val="{F8CEFE97-E7E2-44BF-842E-C120AAE3C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09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9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9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9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9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9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9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9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9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9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9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9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9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9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9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9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9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984"/>
    <w:rPr>
      <w:rFonts w:eastAsiaTheme="majorEastAsia" w:cstheme="majorBidi"/>
      <w:color w:val="272727" w:themeColor="text1" w:themeTint="D8"/>
    </w:rPr>
  </w:style>
  <w:style w:type="paragraph" w:styleId="Title">
    <w:name w:val="Title"/>
    <w:basedOn w:val="Normal"/>
    <w:next w:val="Normal"/>
    <w:link w:val="TitleChar"/>
    <w:uiPriority w:val="10"/>
    <w:qFormat/>
    <w:rsid w:val="001B0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9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9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9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984"/>
    <w:pPr>
      <w:spacing w:before="160"/>
      <w:jc w:val="center"/>
    </w:pPr>
    <w:rPr>
      <w:i/>
      <w:iCs/>
      <w:color w:val="404040" w:themeColor="text1" w:themeTint="BF"/>
    </w:rPr>
  </w:style>
  <w:style w:type="character" w:customStyle="1" w:styleId="QuoteChar">
    <w:name w:val="Quote Char"/>
    <w:basedOn w:val="DefaultParagraphFont"/>
    <w:link w:val="Quote"/>
    <w:uiPriority w:val="29"/>
    <w:rsid w:val="001B0984"/>
    <w:rPr>
      <w:i/>
      <w:iCs/>
      <w:color w:val="404040" w:themeColor="text1" w:themeTint="BF"/>
    </w:rPr>
  </w:style>
  <w:style w:type="paragraph" w:styleId="ListParagraph">
    <w:name w:val="List Paragraph"/>
    <w:basedOn w:val="Normal"/>
    <w:uiPriority w:val="34"/>
    <w:qFormat/>
    <w:rsid w:val="001B0984"/>
    <w:pPr>
      <w:ind w:left="720"/>
      <w:contextualSpacing/>
    </w:pPr>
  </w:style>
  <w:style w:type="character" w:styleId="IntenseEmphasis">
    <w:name w:val="Intense Emphasis"/>
    <w:basedOn w:val="DefaultParagraphFont"/>
    <w:uiPriority w:val="21"/>
    <w:qFormat/>
    <w:rsid w:val="001B0984"/>
    <w:rPr>
      <w:i/>
      <w:iCs/>
      <w:color w:val="0F4761" w:themeColor="accent1" w:themeShade="BF"/>
    </w:rPr>
  </w:style>
  <w:style w:type="paragraph" w:styleId="IntenseQuote">
    <w:name w:val="Intense Quote"/>
    <w:basedOn w:val="Normal"/>
    <w:next w:val="Normal"/>
    <w:link w:val="IntenseQuoteChar"/>
    <w:uiPriority w:val="30"/>
    <w:qFormat/>
    <w:rsid w:val="001B09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984"/>
    <w:rPr>
      <w:i/>
      <w:iCs/>
      <w:color w:val="0F4761" w:themeColor="accent1" w:themeShade="BF"/>
    </w:rPr>
  </w:style>
  <w:style w:type="character" w:styleId="IntenseReference">
    <w:name w:val="Intense Reference"/>
    <w:basedOn w:val="DefaultParagraphFont"/>
    <w:uiPriority w:val="32"/>
    <w:qFormat/>
    <w:rsid w:val="001B0984"/>
    <w:rPr>
      <w:b/>
      <w:bCs/>
      <w:smallCaps/>
      <w:color w:val="0F4761" w:themeColor="accent1" w:themeShade="BF"/>
      <w:spacing w:val="5"/>
    </w:rPr>
  </w:style>
  <w:style w:type="table" w:styleId="TableGrid">
    <w:name w:val="Table Grid"/>
    <w:basedOn w:val="TableNormal"/>
    <w:uiPriority w:val="59"/>
    <w:rsid w:val="00022CBA"/>
    <w:pPr>
      <w:spacing w:after="0" w:line="240" w:lineRule="auto"/>
    </w:pPr>
    <w:rPr>
      <w:rFonts w:eastAsiaTheme="minorEastAsia"/>
      <w:kern w:val="0"/>
      <w:sz w:val="22"/>
      <w:szCs w:val="20"/>
      <w:lang w:val="en-US"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1Light">
    <w:name w:val="List Table 1 Light"/>
    <w:basedOn w:val="TableNormal"/>
    <w:uiPriority w:val="46"/>
    <w:rsid w:val="0023660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327001"/>
    <w:rPr>
      <w:color w:val="467886" w:themeColor="hyperlink"/>
      <w:u w:val="single"/>
    </w:rPr>
  </w:style>
  <w:style w:type="paragraph" w:styleId="NormalWeb">
    <w:name w:val="Normal (Web)"/>
    <w:basedOn w:val="Normal"/>
    <w:uiPriority w:val="99"/>
    <w:semiHidden/>
    <w:unhideWhenUsed/>
    <w:rsid w:val="001D110D"/>
    <w:pPr>
      <w:spacing w:before="100" w:beforeAutospacing="1" w:after="100" w:afterAutospacing="1" w:line="240" w:lineRule="auto"/>
    </w:pPr>
    <w:rPr>
      <w:rFonts w:ascii="Times New Roman" w:eastAsia="Times New Roman" w:hAnsi="Times New Roman" w:cs="Times New Roman"/>
      <w:kern w:val="0"/>
      <w:lang w:eastAsia="en-IN" w:bidi="hi-IN"/>
      <w14:ligatures w14:val="none"/>
    </w:rPr>
  </w:style>
  <w:style w:type="character" w:styleId="UnresolvedMention">
    <w:name w:val="Unresolved Mention"/>
    <w:basedOn w:val="DefaultParagraphFont"/>
    <w:uiPriority w:val="99"/>
    <w:semiHidden/>
    <w:unhideWhenUsed/>
    <w:rsid w:val="00B163B4"/>
    <w:rPr>
      <w:color w:val="605E5C"/>
      <w:shd w:val="clear" w:color="auto" w:fill="E1DFDD"/>
    </w:rPr>
  </w:style>
  <w:style w:type="paragraph" w:styleId="Header">
    <w:name w:val="header"/>
    <w:basedOn w:val="Normal"/>
    <w:link w:val="HeaderChar"/>
    <w:uiPriority w:val="99"/>
    <w:unhideWhenUsed/>
    <w:rsid w:val="00940E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E3F"/>
  </w:style>
  <w:style w:type="paragraph" w:styleId="Footer">
    <w:name w:val="footer"/>
    <w:basedOn w:val="Normal"/>
    <w:link w:val="FooterChar"/>
    <w:uiPriority w:val="99"/>
    <w:unhideWhenUsed/>
    <w:rsid w:val="00940E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E3F"/>
  </w:style>
  <w:style w:type="table" w:styleId="LightShading">
    <w:name w:val="Light Shading"/>
    <w:basedOn w:val="TableNormal"/>
    <w:uiPriority w:val="60"/>
    <w:rsid w:val="0030708F"/>
    <w:pPr>
      <w:spacing w:after="0" w:line="240" w:lineRule="auto"/>
    </w:pPr>
    <w:rPr>
      <w:rFonts w:eastAsiaTheme="minorEastAsia"/>
      <w:color w:val="000000" w:themeColor="text1" w:themeShade="BF"/>
      <w:kern w:val="0"/>
      <w:sz w:val="22"/>
      <w:szCs w:val="20"/>
      <w:lang w:val="en-US" w:bidi="hi-IN"/>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F16353"/>
    <w:pPr>
      <w:spacing w:after="0" w:line="240" w:lineRule="auto"/>
    </w:pPr>
    <w:rPr>
      <w:rFonts w:ascii="Times New Roman" w:eastAsia="Times New Roman" w:hAnsi="Times New Roman" w:cs="Times New Roman"/>
      <w:kern w:val="0"/>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8805/IJAR.B-5242" TargetMode="External"/><Relationship Id="rId18" Type="http://schemas.openxmlformats.org/officeDocument/2006/relationships/hyperlink" Target="https://doi.org/10.1262/jrd.2018-155" TargetMode="External"/><Relationship Id="rId26" Type="http://schemas.openxmlformats.org/officeDocument/2006/relationships/hyperlink" Target="https://doi.org/10.1136/vr.128.9.208" TargetMode="External"/><Relationship Id="rId39" Type="http://schemas.openxmlformats.org/officeDocument/2006/relationships/hyperlink" Target="https://doi.org/10.1016/j.anireprosci.2008.01.007" TargetMode="External"/><Relationship Id="rId21" Type="http://schemas.openxmlformats.org/officeDocument/2006/relationships/hyperlink" Target="https://doi.org/10.1016/S0378-4320(00)00186-X" TargetMode="External"/><Relationship Id="rId34" Type="http://schemas.openxmlformats.org/officeDocument/2006/relationships/hyperlink" Target="https://doi.org/10.1111/rda.70170" TargetMode="External"/><Relationship Id="rId42" Type="http://schemas.openxmlformats.org/officeDocument/2006/relationships/hyperlink" Target="https://doi.org/10.1016/j.anireprosci.2003.12.002" TargetMode="External"/><Relationship Id="rId47" Type="http://schemas.openxmlformats.org/officeDocument/2006/relationships/header" Target="header2.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theriogenology.2016.11.016" TargetMode="External"/><Relationship Id="rId29" Type="http://schemas.openxmlformats.org/officeDocument/2006/relationships/hyperlink" Target="https://doi.org/10.1016/S0378-4320(02)00241-5" TargetMode="External"/><Relationship Id="rId11" Type="http://schemas.openxmlformats.org/officeDocument/2006/relationships/hyperlink" Target="https://doi.org/10.1002/mrd.1080410109" TargetMode="External"/><Relationship Id="rId24" Type="http://schemas.openxmlformats.org/officeDocument/2006/relationships/hyperlink" Target="https://doi.org/10.9775/kvfd.2010.3598" TargetMode="External"/><Relationship Id="rId32" Type="http://schemas.openxmlformats.org/officeDocument/2006/relationships/hyperlink" Target="https://doi.org/10.1071/RD24143" TargetMode="External"/><Relationship Id="rId37" Type="http://schemas.openxmlformats.org/officeDocument/2006/relationships/hyperlink" Target="https://doi.org/10.1016/j.repbre.2024.09.001" TargetMode="External"/><Relationship Id="rId40" Type="http://schemas.openxmlformats.org/officeDocument/2006/relationships/hyperlink" Target="https://doi.org/10.1007/s11248-019-00141-6" TargetMode="External"/><Relationship Id="rId45" Type="http://schemas.openxmlformats.org/officeDocument/2006/relationships/hyperlink" Target="https://doi.org/10.9734/ajravs/2022/v5i4217"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doi.org/10.1111/rda.12162" TargetMode="External"/><Relationship Id="rId19" Type="http://schemas.openxmlformats.org/officeDocument/2006/relationships/hyperlink" Target="https://doi.org/10.1016/j.theriogenology.2020.01.068" TargetMode="External"/><Relationship Id="rId31" Type="http://schemas.openxmlformats.org/officeDocument/2006/relationships/hyperlink" Target="https://doi.org/10.3390/cells11244073" TargetMode="External"/><Relationship Id="rId44" Type="http://schemas.openxmlformats.org/officeDocument/2006/relationships/hyperlink" Target="https://doi.org/10.1016/j.theriogenology.2015.10.03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9775/kvfd.2009.1365" TargetMode="External"/><Relationship Id="rId14" Type="http://schemas.openxmlformats.org/officeDocument/2006/relationships/hyperlink" Target="https://doi.org/10.1016/j.theriogenology.2006.07.022" TargetMode="External"/><Relationship Id="rId22" Type="http://schemas.openxmlformats.org/officeDocument/2006/relationships/hyperlink" Target="https://doi.org/10.1016/0093-691X(94)00020-U" TargetMode="External"/><Relationship Id="rId27" Type="http://schemas.openxmlformats.org/officeDocument/2006/relationships/hyperlink" Target="https://doi.org/10.3390/ani12091102" TargetMode="External"/><Relationship Id="rId30" Type="http://schemas.openxmlformats.org/officeDocument/2006/relationships/hyperlink" Target="https://doi.org/10.2527/1995.734967x" TargetMode="External"/><Relationship Id="rId35" Type="http://schemas.openxmlformats.org/officeDocument/2006/relationships/hyperlink" Target="https://doi.org/10.4172/1662-100X.1000118" TargetMode="External"/><Relationship Id="rId43" Type="http://schemas.openxmlformats.org/officeDocument/2006/relationships/hyperlink" Target="https://doi.org/10.1016/j.theriogenology.2014.04.013" TargetMode="External"/><Relationship Id="rId48" Type="http://schemas.openxmlformats.org/officeDocument/2006/relationships/footer" Target="footer1.xml"/><Relationship Id="rId8" Type="http://schemas.openxmlformats.org/officeDocument/2006/relationships/chart" Target="charts/chart1.xml"/><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s://doi.org/10.1016/S0093-691X(98)00231-3" TargetMode="External"/><Relationship Id="rId17" Type="http://schemas.openxmlformats.org/officeDocument/2006/relationships/hyperlink" Target="https://dahd.gov.in/node/3282" TargetMode="External"/><Relationship Id="rId25" Type="http://schemas.openxmlformats.org/officeDocument/2006/relationships/hyperlink" Target="https://doi.org/10.3168/jds.S0022-0302(87)80192-3" TargetMode="External"/><Relationship Id="rId33" Type="http://schemas.openxmlformats.org/officeDocument/2006/relationships/hyperlink" Target="https://doi.org/10.1002/dvdy.21278" TargetMode="External"/><Relationship Id="rId38" Type="http://schemas.openxmlformats.org/officeDocument/2006/relationships/hyperlink" Target="https://doi.org/10.1016/j.anireprosci.2020.106590" TargetMode="External"/><Relationship Id="rId46" Type="http://schemas.openxmlformats.org/officeDocument/2006/relationships/header" Target="header1.xml"/><Relationship Id="rId20" Type="http://schemas.openxmlformats.org/officeDocument/2006/relationships/hyperlink" Target="https://doi.org/10.56557/upjoz/2024/v45i244734" TargetMode="External"/><Relationship Id="rId41" Type="http://schemas.openxmlformats.org/officeDocument/2006/relationships/hyperlink" Target="https://doi.org/10.18805/IJAR.B-448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5194/aab-68-101-2025" TargetMode="External"/><Relationship Id="rId23" Type="http://schemas.openxmlformats.org/officeDocument/2006/relationships/hyperlink" Target="https://doi.org/10.3168/jds.2023-23576" TargetMode="External"/><Relationship Id="rId28" Type="http://schemas.openxmlformats.org/officeDocument/2006/relationships/hyperlink" Target="https://doi.org/10.1016/S0093-691X(05)80050-0" TargetMode="External"/><Relationship Id="rId36" Type="http://schemas.openxmlformats.org/officeDocument/2006/relationships/hyperlink" Target="https://doi.org/10.3390/ani15030344" TargetMode="External"/><Relationship Id="rId49"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d8d372317d83f627/Desktop/Rabindra%20Sir%20Data%20(15-07-2026)/Final%20Glutathione%20Analysis/Rabindra%20Sir%20Glutathione%20Raw%20Data.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Sheet1!$B$11</c:f>
              <c:strCache>
                <c:ptCount val="1"/>
                <c:pt idx="0">
                  <c:v>Group I (Control)</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errBars>
            <c:errBarType val="both"/>
            <c:errValType val="cust"/>
            <c:noEndCap val="0"/>
            <c:plus>
              <c:numRef>
                <c:f>Sheet1!$D$12:$D$15</c:f>
                <c:numCache>
                  <c:formatCode>General</c:formatCode>
                  <c:ptCount val="4"/>
                  <c:pt idx="0">
                    <c:v>3.34</c:v>
                  </c:pt>
                  <c:pt idx="1">
                    <c:v>4.0599999999999996</c:v>
                  </c:pt>
                  <c:pt idx="2">
                    <c:v>7.81</c:v>
                  </c:pt>
                  <c:pt idx="3">
                    <c:v>3.26</c:v>
                  </c:pt>
                </c:numCache>
              </c:numRef>
            </c:plus>
            <c:minus>
              <c:numRef>
                <c:f>Sheet1!$D$12:$D$15</c:f>
                <c:numCache>
                  <c:formatCode>General</c:formatCode>
                  <c:ptCount val="4"/>
                  <c:pt idx="0">
                    <c:v>3.34</c:v>
                  </c:pt>
                  <c:pt idx="1">
                    <c:v>4.0599999999999996</c:v>
                  </c:pt>
                  <c:pt idx="2">
                    <c:v>7.81</c:v>
                  </c:pt>
                  <c:pt idx="3">
                    <c:v>3.26</c:v>
                  </c:pt>
                </c:numCache>
              </c:numRef>
            </c:minus>
            <c:spPr>
              <a:noFill/>
              <a:ln w="9525">
                <a:solidFill>
                  <a:schemeClr val="tx1">
                    <a:lumMod val="50000"/>
                    <a:lumOff val="50000"/>
                  </a:schemeClr>
                </a:solidFill>
                <a:round/>
              </a:ln>
              <a:effectLst/>
            </c:spPr>
          </c:errBars>
          <c:cat>
            <c:strRef>
              <c:f>Sheet1!$A$12:$A$15</c:f>
              <c:strCache>
                <c:ptCount val="4"/>
                <c:pt idx="0">
                  <c:v>MR (%)</c:v>
                </c:pt>
                <c:pt idx="1">
                  <c:v>CR (%)</c:v>
                </c:pt>
                <c:pt idx="2">
                  <c:v>Morula (%)</c:v>
                </c:pt>
                <c:pt idx="3">
                  <c:v>BR (%)</c:v>
                </c:pt>
              </c:strCache>
            </c:strRef>
          </c:cat>
          <c:val>
            <c:numRef>
              <c:f>Sheet1!$B$12:$B$15</c:f>
              <c:numCache>
                <c:formatCode>General</c:formatCode>
                <c:ptCount val="4"/>
                <c:pt idx="0">
                  <c:v>54</c:v>
                </c:pt>
                <c:pt idx="1">
                  <c:v>63</c:v>
                </c:pt>
                <c:pt idx="2">
                  <c:v>22</c:v>
                </c:pt>
                <c:pt idx="3">
                  <c:v>6.25</c:v>
                </c:pt>
              </c:numCache>
            </c:numRef>
          </c:val>
          <c:extLst>
            <c:ext xmlns:c16="http://schemas.microsoft.com/office/drawing/2014/chart" uri="{C3380CC4-5D6E-409C-BE32-E72D297353CC}">
              <c16:uniqueId val="{00000000-3A94-43F8-ABD2-8A19D184B3B4}"/>
            </c:ext>
          </c:extLst>
        </c:ser>
        <c:ser>
          <c:idx val="1"/>
          <c:order val="1"/>
          <c:tx>
            <c:strRef>
              <c:f>Sheet1!$C$11</c:f>
              <c:strCache>
                <c:ptCount val="1"/>
                <c:pt idx="0">
                  <c:v>Group II (FSH-treated)</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errBars>
            <c:errBarType val="both"/>
            <c:errValType val="cust"/>
            <c:noEndCap val="0"/>
            <c:plus>
              <c:numRef>
                <c:f>Sheet1!$E$12:$E$15</c:f>
                <c:numCache>
                  <c:formatCode>General</c:formatCode>
                  <c:ptCount val="4"/>
                  <c:pt idx="0">
                    <c:v>3.75</c:v>
                  </c:pt>
                  <c:pt idx="1">
                    <c:v>2.52</c:v>
                  </c:pt>
                  <c:pt idx="2">
                    <c:v>2.89</c:v>
                  </c:pt>
                  <c:pt idx="3">
                    <c:v>5.59</c:v>
                  </c:pt>
                </c:numCache>
              </c:numRef>
            </c:plus>
            <c:minus>
              <c:numRef>
                <c:f>Sheet1!$E$12:$E$15</c:f>
                <c:numCache>
                  <c:formatCode>General</c:formatCode>
                  <c:ptCount val="4"/>
                  <c:pt idx="0">
                    <c:v>3.75</c:v>
                  </c:pt>
                  <c:pt idx="1">
                    <c:v>2.52</c:v>
                  </c:pt>
                  <c:pt idx="2">
                    <c:v>2.89</c:v>
                  </c:pt>
                  <c:pt idx="3">
                    <c:v>5.59</c:v>
                  </c:pt>
                </c:numCache>
              </c:numRef>
            </c:minus>
            <c:spPr>
              <a:noFill/>
              <a:ln w="9525">
                <a:solidFill>
                  <a:schemeClr val="tx1">
                    <a:lumMod val="50000"/>
                    <a:lumOff val="50000"/>
                  </a:schemeClr>
                </a:solidFill>
                <a:round/>
              </a:ln>
              <a:effectLst/>
            </c:spPr>
          </c:errBars>
          <c:cat>
            <c:strRef>
              <c:f>Sheet1!$A$12:$A$15</c:f>
              <c:strCache>
                <c:ptCount val="4"/>
                <c:pt idx="0">
                  <c:v>MR (%)</c:v>
                </c:pt>
                <c:pt idx="1">
                  <c:v>CR (%)</c:v>
                </c:pt>
                <c:pt idx="2">
                  <c:v>Morula (%)</c:v>
                </c:pt>
                <c:pt idx="3">
                  <c:v>BR (%)</c:v>
                </c:pt>
              </c:strCache>
            </c:strRef>
          </c:cat>
          <c:val>
            <c:numRef>
              <c:f>Sheet1!$C$12:$C$15</c:f>
              <c:numCache>
                <c:formatCode>General</c:formatCode>
                <c:ptCount val="4"/>
                <c:pt idx="0">
                  <c:v>69</c:v>
                </c:pt>
                <c:pt idx="1">
                  <c:v>76</c:v>
                </c:pt>
                <c:pt idx="2">
                  <c:v>45</c:v>
                </c:pt>
                <c:pt idx="3">
                  <c:v>27</c:v>
                </c:pt>
              </c:numCache>
            </c:numRef>
          </c:val>
          <c:extLst>
            <c:ext xmlns:c16="http://schemas.microsoft.com/office/drawing/2014/chart" uri="{C3380CC4-5D6E-409C-BE32-E72D297353CC}">
              <c16:uniqueId val="{00000001-3A94-43F8-ABD2-8A19D184B3B4}"/>
            </c:ext>
          </c:extLst>
        </c:ser>
        <c:dLbls>
          <c:showLegendKey val="0"/>
          <c:showVal val="0"/>
          <c:showCatName val="0"/>
          <c:showSerName val="0"/>
          <c:showPercent val="0"/>
          <c:showBubbleSize val="0"/>
        </c:dLbls>
        <c:gapWidth val="164"/>
        <c:overlap val="-22"/>
        <c:axId val="2014958287"/>
        <c:axId val="2016747983"/>
      </c:barChart>
      <c:catAx>
        <c:axId val="2014958287"/>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Agency FB" panose="020B0503020202020204" pitchFamily="34" charset="0"/>
                <a:ea typeface="+mn-ea"/>
                <a:cs typeface="+mn-cs"/>
              </a:defRPr>
            </a:pPr>
            <a:endParaRPr lang="en-US"/>
          </a:p>
        </c:txPr>
        <c:crossAx val="2016747983"/>
        <c:crosses val="autoZero"/>
        <c:auto val="1"/>
        <c:lblAlgn val="ctr"/>
        <c:lblOffset val="100"/>
        <c:noMultiLvlLbl val="0"/>
      </c:catAx>
      <c:valAx>
        <c:axId val="201674798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4958287"/>
        <c:crosses val="autoZero"/>
        <c:crossBetween val="between"/>
      </c:valAx>
      <c:spPr>
        <a:noFill/>
        <a:ln>
          <a:noFill/>
        </a:ln>
        <a:effectLst/>
      </c:spPr>
    </c:plotArea>
    <c:legend>
      <c:legendPos val="t"/>
      <c:layout>
        <c:manualLayout>
          <c:xMode val="edge"/>
          <c:yMode val="edge"/>
          <c:x val="0.15657939632545934"/>
          <c:y val="9.0909090909090912E-2"/>
          <c:w val="0.63887598425196845"/>
          <c:h val="8.0916589971708086E-2"/>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Agency FB" panose="020B050302020202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1B0E4-5B36-4721-B13C-9F6955937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2482</TotalTime>
  <Pages>17</Pages>
  <Words>5783</Words>
  <Characters>32965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Kabir Alam</dc:creator>
  <cp:keywords/>
  <dc:description/>
  <cp:lastModifiedBy>SDI 1087</cp:lastModifiedBy>
  <cp:revision>743</cp:revision>
  <dcterms:created xsi:type="dcterms:W3CDTF">2026-05-12T11:30:00Z</dcterms:created>
  <dcterms:modified xsi:type="dcterms:W3CDTF">2026-07-18T10:59:00Z</dcterms:modified>
</cp:coreProperties>
</file>