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3C4E" w14:textId="77777777" w:rsidR="00417CF1" w:rsidRPr="004F549F" w:rsidRDefault="00417CF1" w:rsidP="00417CF1">
      <w:pPr>
        <w:spacing w:line="360" w:lineRule="auto"/>
        <w:rPr>
          <w:rFonts w:ascii="Times New Roman" w:hAnsi="Times New Roman" w:cs="Times New Roman"/>
          <w:b/>
          <w:color w:val="000000" w:themeColor="text1"/>
          <w:u w:val="single"/>
        </w:rPr>
      </w:pPr>
      <w:r w:rsidRPr="004F549F">
        <w:rPr>
          <w:rFonts w:ascii="Times New Roman" w:hAnsi="Times New Roman" w:cs="Times New Roman"/>
          <w:b/>
          <w:color w:val="000000" w:themeColor="text1"/>
          <w:u w:val="single"/>
        </w:rPr>
        <w:t>Original Research Article</w:t>
      </w:r>
    </w:p>
    <w:p w14:paraId="0ECB5C79" w14:textId="77777777" w:rsidR="004F1629" w:rsidRPr="004F549F" w:rsidRDefault="004F1629" w:rsidP="00F70F71">
      <w:pPr>
        <w:spacing w:line="360" w:lineRule="auto"/>
        <w:jc w:val="center"/>
        <w:rPr>
          <w:rFonts w:ascii="Times New Roman" w:hAnsi="Times New Roman" w:cs="Times New Roman"/>
          <w:b/>
          <w:color w:val="000000" w:themeColor="text1"/>
        </w:rPr>
      </w:pPr>
      <w:r w:rsidRPr="004F549F">
        <w:rPr>
          <w:rFonts w:ascii="Times New Roman" w:hAnsi="Times New Roman" w:cs="Times New Roman"/>
          <w:b/>
          <w:color w:val="000000" w:themeColor="text1"/>
        </w:rPr>
        <w:t xml:space="preserve">MOLECULAR CHARACTERIZATION OF VIRULENCE GENES IN </w:t>
      </w:r>
      <w:r w:rsidRPr="004F549F">
        <w:rPr>
          <w:rFonts w:ascii="Times New Roman" w:hAnsi="Times New Roman" w:cs="Times New Roman"/>
          <w:b/>
          <w:i/>
          <w:iCs/>
          <w:color w:val="000000" w:themeColor="text1"/>
        </w:rPr>
        <w:t>E</w:t>
      </w:r>
      <w:r w:rsidR="008661EF" w:rsidRPr="004F549F">
        <w:rPr>
          <w:rFonts w:ascii="Times New Roman" w:hAnsi="Times New Roman" w:cs="Times New Roman"/>
          <w:b/>
          <w:i/>
          <w:iCs/>
          <w:color w:val="000000" w:themeColor="text1"/>
        </w:rPr>
        <w:t>.</w:t>
      </w:r>
      <w:r w:rsidRPr="004F549F">
        <w:rPr>
          <w:rFonts w:ascii="Times New Roman" w:hAnsi="Times New Roman" w:cs="Times New Roman"/>
          <w:b/>
          <w:i/>
          <w:iCs/>
          <w:color w:val="000000" w:themeColor="text1"/>
        </w:rPr>
        <w:t xml:space="preserve"> COLI</w:t>
      </w:r>
      <w:r w:rsidRPr="004F549F">
        <w:rPr>
          <w:rFonts w:ascii="Times New Roman" w:hAnsi="Times New Roman" w:cs="Times New Roman"/>
          <w:b/>
          <w:color w:val="000000" w:themeColor="text1"/>
        </w:rPr>
        <w:t xml:space="preserve"> ISOLATES FROM BOVINE MASTITIS CASES</w:t>
      </w:r>
    </w:p>
    <w:p w14:paraId="2AA74328" w14:textId="77777777" w:rsidR="00197DDE" w:rsidRPr="004F549F" w:rsidRDefault="00197DDE" w:rsidP="00F70F71">
      <w:pPr>
        <w:spacing w:line="360" w:lineRule="auto"/>
        <w:jc w:val="center"/>
        <w:rPr>
          <w:rFonts w:ascii="Times New Roman" w:hAnsi="Times New Roman" w:cs="Times New Roman"/>
          <w:b/>
          <w:color w:val="000000" w:themeColor="text1"/>
        </w:rPr>
      </w:pPr>
    </w:p>
    <w:p w14:paraId="6DC82E05" w14:textId="77777777" w:rsidR="00EF6994" w:rsidRPr="004F549F" w:rsidRDefault="00EF6994" w:rsidP="00F70F71">
      <w:pPr>
        <w:spacing w:line="360" w:lineRule="auto"/>
        <w:jc w:val="center"/>
        <w:rPr>
          <w:rFonts w:ascii="Times New Roman" w:hAnsi="Times New Roman" w:cs="Times New Roman"/>
          <w:b/>
          <w:color w:val="000000" w:themeColor="text1"/>
        </w:rPr>
      </w:pPr>
    </w:p>
    <w:p w14:paraId="339A6383" w14:textId="77777777" w:rsidR="0041155C" w:rsidRPr="004F549F" w:rsidRDefault="00EF1F51" w:rsidP="00C15D8E">
      <w:pPr>
        <w:rPr>
          <w:rFonts w:ascii="Times New Roman" w:hAnsi="Times New Roman" w:cs="Times New Roman"/>
          <w:b/>
          <w:bCs/>
          <w:color w:val="000000" w:themeColor="text1"/>
          <w:sz w:val="28"/>
          <w:szCs w:val="28"/>
        </w:rPr>
      </w:pPr>
      <w:r w:rsidRPr="004F549F">
        <w:rPr>
          <w:rFonts w:ascii="Times New Roman" w:hAnsi="Times New Roman" w:cs="Times New Roman"/>
          <w:b/>
          <w:bCs/>
          <w:color w:val="000000" w:themeColor="text1"/>
          <w:sz w:val="28"/>
          <w:szCs w:val="28"/>
        </w:rPr>
        <w:t>Abstract</w:t>
      </w:r>
    </w:p>
    <w:p w14:paraId="44E86F6F" w14:textId="77777777" w:rsidR="0041155C" w:rsidRPr="004F549F" w:rsidRDefault="0041155C"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The pathogenicity of </w:t>
      </w:r>
      <w:r w:rsidRPr="004F549F">
        <w:rPr>
          <w:i/>
          <w:color w:val="000000" w:themeColor="text1"/>
        </w:rPr>
        <w:t>Escherichia coli</w:t>
      </w:r>
      <w:r w:rsidRPr="004F549F">
        <w:rPr>
          <w:color w:val="000000" w:themeColor="text1"/>
        </w:rPr>
        <w:t xml:space="preserve"> associated with bovine mastitis is primarily governed by the presence of specific virulence genes. The present study investigated the distribution and combinations of virulence determinants in </w:t>
      </w:r>
      <w:r w:rsidRPr="004F549F">
        <w:rPr>
          <w:i/>
          <w:color w:val="000000" w:themeColor="text1"/>
        </w:rPr>
        <w:t>E. coli</w:t>
      </w:r>
      <w:r w:rsidRPr="004F549F">
        <w:rPr>
          <w:color w:val="000000" w:themeColor="text1"/>
        </w:rPr>
        <w:t xml:space="preserve"> isolates recovered from mastitic milk samples. A total of 36 </w:t>
      </w:r>
      <w:r w:rsidRPr="004F549F">
        <w:rPr>
          <w:i/>
          <w:color w:val="000000" w:themeColor="text1"/>
        </w:rPr>
        <w:t>E. coli</w:t>
      </w:r>
      <w:r w:rsidRPr="004F549F">
        <w:rPr>
          <w:color w:val="000000" w:themeColor="text1"/>
        </w:rPr>
        <w:t xml:space="preserve"> isolates, confirmed by 16S rRNA gene amplification, were analysed for the presence of six virulence-associated genes (</w:t>
      </w:r>
      <w:r w:rsidRPr="004F549F">
        <w:rPr>
          <w:i/>
          <w:color w:val="000000" w:themeColor="text1"/>
        </w:rPr>
        <w:t>Stx1</w:t>
      </w:r>
      <w:r w:rsidRPr="004F549F">
        <w:rPr>
          <w:color w:val="000000" w:themeColor="text1"/>
        </w:rPr>
        <w:t xml:space="preserve">, </w:t>
      </w:r>
      <w:r w:rsidRPr="004F549F">
        <w:rPr>
          <w:i/>
          <w:color w:val="000000" w:themeColor="text1"/>
        </w:rPr>
        <w:t>Stx2</w:t>
      </w:r>
      <w:r w:rsidRPr="004F549F">
        <w:rPr>
          <w:color w:val="000000" w:themeColor="text1"/>
        </w:rPr>
        <w:t xml:space="preserve">, </w:t>
      </w:r>
      <w:r w:rsidRPr="004F549F">
        <w:rPr>
          <w:i/>
          <w:color w:val="000000" w:themeColor="text1"/>
        </w:rPr>
        <w:t>TraT</w:t>
      </w:r>
      <w:r w:rsidRPr="004F549F">
        <w:rPr>
          <w:color w:val="000000" w:themeColor="text1"/>
        </w:rPr>
        <w:t xml:space="preserve">, </w:t>
      </w:r>
      <w:r w:rsidRPr="004F549F">
        <w:rPr>
          <w:i/>
          <w:color w:val="000000" w:themeColor="text1"/>
        </w:rPr>
        <w:t>eaeA</w:t>
      </w:r>
      <w:r w:rsidRPr="004F549F">
        <w:rPr>
          <w:color w:val="000000" w:themeColor="text1"/>
        </w:rPr>
        <w:t xml:space="preserve">, </w:t>
      </w:r>
      <w:r w:rsidRPr="004F549F">
        <w:rPr>
          <w:i/>
          <w:color w:val="000000" w:themeColor="text1"/>
        </w:rPr>
        <w:t>aer</w:t>
      </w:r>
      <w:r w:rsidRPr="004F549F">
        <w:rPr>
          <w:color w:val="000000" w:themeColor="text1"/>
        </w:rPr>
        <w:t xml:space="preserve">, and </w:t>
      </w:r>
      <w:r w:rsidRPr="004F549F">
        <w:rPr>
          <w:i/>
          <w:color w:val="000000" w:themeColor="text1"/>
        </w:rPr>
        <w:t>hly</w:t>
      </w:r>
      <w:r w:rsidRPr="004F549F">
        <w:rPr>
          <w:color w:val="000000" w:themeColor="text1"/>
        </w:rPr>
        <w:t>) using polymerase chain reaction (PCR). Among the tested genes, three virulence determinants (</w:t>
      </w:r>
      <w:r w:rsidRPr="004F549F">
        <w:rPr>
          <w:i/>
          <w:color w:val="000000" w:themeColor="text1"/>
        </w:rPr>
        <w:t>Stx2</w:t>
      </w:r>
      <w:r w:rsidRPr="004F549F">
        <w:rPr>
          <w:color w:val="000000" w:themeColor="text1"/>
        </w:rPr>
        <w:t xml:space="preserve">, </w:t>
      </w:r>
      <w:r w:rsidRPr="004F549F">
        <w:rPr>
          <w:i/>
          <w:color w:val="000000" w:themeColor="text1"/>
        </w:rPr>
        <w:t>TraT</w:t>
      </w:r>
      <w:r w:rsidRPr="004F549F">
        <w:rPr>
          <w:color w:val="000000" w:themeColor="text1"/>
        </w:rPr>
        <w:t xml:space="preserve">, and </w:t>
      </w:r>
      <w:r w:rsidRPr="004F549F">
        <w:rPr>
          <w:i/>
          <w:color w:val="000000" w:themeColor="text1"/>
        </w:rPr>
        <w:t>eaeA</w:t>
      </w:r>
      <w:r w:rsidRPr="004F549F">
        <w:rPr>
          <w:color w:val="000000" w:themeColor="text1"/>
        </w:rPr>
        <w:t xml:space="preserve">) were detected, whereas </w:t>
      </w:r>
      <w:r w:rsidRPr="004F549F">
        <w:rPr>
          <w:i/>
          <w:color w:val="000000" w:themeColor="text1"/>
        </w:rPr>
        <w:t>Stx1</w:t>
      </w:r>
      <w:r w:rsidRPr="004F549F">
        <w:rPr>
          <w:color w:val="000000" w:themeColor="text1"/>
        </w:rPr>
        <w:t xml:space="preserve">, </w:t>
      </w:r>
      <w:r w:rsidRPr="004F549F">
        <w:rPr>
          <w:i/>
          <w:color w:val="000000" w:themeColor="text1"/>
        </w:rPr>
        <w:t>aer</w:t>
      </w:r>
      <w:r w:rsidRPr="004F549F">
        <w:rPr>
          <w:color w:val="000000" w:themeColor="text1"/>
        </w:rPr>
        <w:t xml:space="preserve">, and </w:t>
      </w:r>
      <w:r w:rsidRPr="004F549F">
        <w:rPr>
          <w:i/>
          <w:color w:val="000000" w:themeColor="text1"/>
        </w:rPr>
        <w:t>hly</w:t>
      </w:r>
      <w:r w:rsidRPr="004F549F">
        <w:rPr>
          <w:color w:val="000000" w:themeColor="text1"/>
        </w:rPr>
        <w:t xml:space="preserve"> were absent. The </w:t>
      </w:r>
      <w:r w:rsidRPr="004F549F">
        <w:rPr>
          <w:i/>
          <w:color w:val="000000" w:themeColor="text1"/>
        </w:rPr>
        <w:t>Stx2</w:t>
      </w:r>
      <w:r w:rsidRPr="004F549F">
        <w:rPr>
          <w:color w:val="000000" w:themeColor="text1"/>
        </w:rPr>
        <w:t xml:space="preserve"> gene was the most prevalent, being detected in 58.33% of isolates, followed by </w:t>
      </w:r>
      <w:r w:rsidRPr="004F549F">
        <w:rPr>
          <w:i/>
          <w:color w:val="000000" w:themeColor="text1"/>
        </w:rPr>
        <w:t>TraT</w:t>
      </w:r>
      <w:r w:rsidRPr="004F549F">
        <w:rPr>
          <w:color w:val="000000" w:themeColor="text1"/>
        </w:rPr>
        <w:t xml:space="preserve"> (41.66%) and </w:t>
      </w:r>
      <w:r w:rsidRPr="004F549F">
        <w:rPr>
          <w:i/>
          <w:color w:val="000000" w:themeColor="text1"/>
        </w:rPr>
        <w:t>eaeA</w:t>
      </w:r>
      <w:r w:rsidRPr="004F549F">
        <w:rPr>
          <w:color w:val="000000" w:themeColor="text1"/>
        </w:rPr>
        <w:t xml:space="preserve"> (19.44%). The absence of </w:t>
      </w:r>
      <w:r w:rsidRPr="004F549F">
        <w:rPr>
          <w:i/>
          <w:color w:val="000000" w:themeColor="text1"/>
        </w:rPr>
        <w:t>Stx1</w:t>
      </w:r>
      <w:r w:rsidRPr="004F549F">
        <w:rPr>
          <w:color w:val="000000" w:themeColor="text1"/>
        </w:rPr>
        <w:t xml:space="preserve">, together with the higher frequency of </w:t>
      </w:r>
      <w:r w:rsidRPr="004F549F">
        <w:rPr>
          <w:i/>
          <w:color w:val="000000" w:themeColor="text1"/>
        </w:rPr>
        <w:t>Stx2</w:t>
      </w:r>
      <w:r w:rsidRPr="004F549F">
        <w:rPr>
          <w:color w:val="000000" w:themeColor="text1"/>
        </w:rPr>
        <w:t xml:space="preserve">, indicated a predominance of </w:t>
      </w:r>
      <w:r w:rsidRPr="004F549F">
        <w:rPr>
          <w:i/>
          <w:color w:val="000000" w:themeColor="text1"/>
        </w:rPr>
        <w:t>Stx2</w:t>
      </w:r>
      <w:r w:rsidRPr="004F549F">
        <w:rPr>
          <w:color w:val="000000" w:themeColor="text1"/>
        </w:rPr>
        <w:t xml:space="preserve"> among the Shiga toxin genes examined. Analysis of virulence-gene combinations revealed that </w:t>
      </w:r>
      <w:r w:rsidRPr="004F549F">
        <w:rPr>
          <w:i/>
          <w:color w:val="000000" w:themeColor="text1"/>
        </w:rPr>
        <w:t>Stx2</w:t>
      </w:r>
      <w:r w:rsidRPr="004F549F">
        <w:rPr>
          <w:color w:val="000000" w:themeColor="text1"/>
        </w:rPr>
        <w:t>–</w:t>
      </w:r>
      <w:r w:rsidRPr="004F549F">
        <w:rPr>
          <w:i/>
          <w:color w:val="000000" w:themeColor="text1"/>
        </w:rPr>
        <w:t>TraT</w:t>
      </w:r>
      <w:r w:rsidRPr="004F549F">
        <w:rPr>
          <w:color w:val="000000" w:themeColor="text1"/>
        </w:rPr>
        <w:t xml:space="preserve"> was the most frequent profile (22.22%), followed by </w:t>
      </w:r>
      <w:r w:rsidRPr="004F549F">
        <w:rPr>
          <w:i/>
          <w:color w:val="000000" w:themeColor="text1"/>
        </w:rPr>
        <w:t>Stx2</w:t>
      </w:r>
      <w:r w:rsidRPr="004F549F">
        <w:rPr>
          <w:color w:val="000000" w:themeColor="text1"/>
        </w:rPr>
        <w:t>–</w:t>
      </w:r>
      <w:r w:rsidRPr="004F549F">
        <w:rPr>
          <w:i/>
          <w:color w:val="000000" w:themeColor="text1"/>
        </w:rPr>
        <w:t>eaeA</w:t>
      </w:r>
      <w:r w:rsidRPr="004F549F">
        <w:rPr>
          <w:color w:val="000000" w:themeColor="text1"/>
        </w:rPr>
        <w:t xml:space="preserve"> and </w:t>
      </w:r>
      <w:r w:rsidRPr="004F549F">
        <w:rPr>
          <w:i/>
          <w:color w:val="000000" w:themeColor="text1"/>
        </w:rPr>
        <w:t>TraT</w:t>
      </w:r>
      <w:r w:rsidRPr="004F549F">
        <w:rPr>
          <w:color w:val="000000" w:themeColor="text1"/>
        </w:rPr>
        <w:t>–</w:t>
      </w:r>
      <w:r w:rsidRPr="004F549F">
        <w:rPr>
          <w:i/>
          <w:color w:val="000000" w:themeColor="text1"/>
        </w:rPr>
        <w:t>eaeA</w:t>
      </w:r>
      <w:r w:rsidRPr="004F549F">
        <w:rPr>
          <w:color w:val="000000" w:themeColor="text1"/>
        </w:rPr>
        <w:t xml:space="preserve">. The findings indicated that </w:t>
      </w:r>
      <w:r w:rsidRPr="004F549F">
        <w:rPr>
          <w:i/>
          <w:color w:val="000000" w:themeColor="text1"/>
        </w:rPr>
        <w:t>E. coli</w:t>
      </w:r>
      <w:r w:rsidRPr="004F549F">
        <w:rPr>
          <w:color w:val="000000" w:themeColor="text1"/>
        </w:rPr>
        <w:t xml:space="preserve"> isolates from bovine mastitis harboured multiple virulence determinants associated with adhesion, toxin production, and immune evasion. The predominance of </w:t>
      </w:r>
      <w:r w:rsidRPr="004F549F">
        <w:rPr>
          <w:i/>
          <w:color w:val="000000" w:themeColor="text1"/>
        </w:rPr>
        <w:t>Stx2</w:t>
      </w:r>
      <w:r w:rsidRPr="004F549F">
        <w:rPr>
          <w:color w:val="000000" w:themeColor="text1"/>
        </w:rPr>
        <w:t xml:space="preserve"> and its association with other virulence genes highlighted the potential pathogenic relevance of these isolates. This study provides insights into the virulence-gene profiles of mastitis-associated </w:t>
      </w:r>
      <w:r w:rsidRPr="004F549F">
        <w:rPr>
          <w:i/>
          <w:color w:val="000000" w:themeColor="text1"/>
        </w:rPr>
        <w:t>E. coli</w:t>
      </w:r>
      <w:r w:rsidRPr="004F549F">
        <w:rPr>
          <w:color w:val="000000" w:themeColor="text1"/>
        </w:rPr>
        <w:t xml:space="preserve">, which may contribute to understanding disease pathogenesis and </w:t>
      </w:r>
      <w:r w:rsidRPr="004F549F">
        <w:rPr>
          <w:color w:val="000000" w:themeColor="text1"/>
        </w:rPr>
        <w:lastRenderedPageBreak/>
        <w:t xml:space="preserve">informing targeted control strategies. Further phylogenetic analysis of the selected virulent isolate revealed genetic divergence among the </w:t>
      </w:r>
      <w:r w:rsidRPr="004F549F">
        <w:rPr>
          <w:i/>
          <w:color w:val="000000" w:themeColor="text1"/>
        </w:rPr>
        <w:t>E. coli</w:t>
      </w:r>
      <w:r w:rsidRPr="004F549F">
        <w:rPr>
          <w:color w:val="000000" w:themeColor="text1"/>
        </w:rPr>
        <w:t xml:space="preserve"> sequences, with isolate SQ4647 forming a distinct lineage.</w:t>
      </w:r>
    </w:p>
    <w:p w14:paraId="2407BCCF" w14:textId="20E1AD3C" w:rsidR="0041155C" w:rsidRPr="004F549F" w:rsidRDefault="0041155C" w:rsidP="00401B92">
      <w:pPr>
        <w:spacing w:line="480" w:lineRule="auto"/>
        <w:jc w:val="both"/>
        <w:rPr>
          <w:rFonts w:ascii="Times New Roman" w:hAnsi="Times New Roman" w:cs="Times New Roman"/>
          <w:color w:val="000000" w:themeColor="text1"/>
        </w:rPr>
        <w:sectPr w:rsidR="0041155C" w:rsidRPr="004F549F" w:rsidSect="00BC7F5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sidRPr="004F549F">
        <w:rPr>
          <w:rFonts w:ascii="Times New Roman" w:hAnsi="Times New Roman" w:cs="Times New Roman"/>
          <w:b/>
          <w:bCs/>
          <w:color w:val="000000" w:themeColor="text1"/>
        </w:rPr>
        <w:t>Keywords</w:t>
      </w:r>
      <w:r w:rsidRPr="004F549F">
        <w:rPr>
          <w:rFonts w:ascii="Times New Roman" w:hAnsi="Times New Roman" w:cs="Times New Roman"/>
          <w:color w:val="000000" w:themeColor="text1"/>
        </w:rPr>
        <w:t xml:space="preserve">: </w:t>
      </w:r>
      <w:r w:rsidR="004F549F" w:rsidRPr="004F549F">
        <w:rPr>
          <w:rStyle w:val="Emphasis"/>
          <w:color w:val="000000" w:themeColor="text1"/>
        </w:rPr>
        <w:t>Escherichia coli</w:t>
      </w:r>
      <w:r w:rsidR="004F549F" w:rsidRPr="004F549F">
        <w:rPr>
          <w:color w:val="000000" w:themeColor="text1"/>
        </w:rPr>
        <w:t xml:space="preserve">; bovine mastitis; virulence genes; polymerase chain reaction; </w:t>
      </w:r>
      <w:r w:rsidR="004F549F" w:rsidRPr="004F549F">
        <w:rPr>
          <w:rStyle w:val="Emphasis"/>
          <w:color w:val="000000" w:themeColor="text1"/>
        </w:rPr>
        <w:t>Stx2</w:t>
      </w:r>
      <w:r w:rsidR="004F549F" w:rsidRPr="004F549F">
        <w:rPr>
          <w:color w:val="000000" w:themeColor="text1"/>
        </w:rPr>
        <w:t xml:space="preserve">; </w:t>
      </w:r>
      <w:r w:rsidR="004F549F" w:rsidRPr="004F549F">
        <w:rPr>
          <w:rStyle w:val="Emphasis"/>
          <w:color w:val="000000" w:themeColor="text1"/>
        </w:rPr>
        <w:t>TraT</w:t>
      </w:r>
      <w:r w:rsidR="004F549F" w:rsidRPr="004F549F">
        <w:rPr>
          <w:color w:val="000000" w:themeColor="text1"/>
        </w:rPr>
        <w:t xml:space="preserve">; </w:t>
      </w:r>
      <w:r w:rsidR="004F549F" w:rsidRPr="004F549F">
        <w:rPr>
          <w:rStyle w:val="Emphasis"/>
          <w:color w:val="000000" w:themeColor="text1"/>
        </w:rPr>
        <w:t>eaeA</w:t>
      </w:r>
      <w:r w:rsidR="004F549F" w:rsidRPr="004F549F">
        <w:rPr>
          <w:color w:val="000000" w:themeColor="text1"/>
        </w:rPr>
        <w:t>; molecular characterisation; phylogenetic analysis; dairy cattle</w:t>
      </w:r>
    </w:p>
    <w:p w14:paraId="3CDADFA3" w14:textId="574BABFB" w:rsidR="00C3655F" w:rsidRPr="004F549F" w:rsidRDefault="00095AED" w:rsidP="00401B92">
      <w:pPr>
        <w:spacing w:line="48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w:t>
      </w:r>
    </w:p>
    <w:p w14:paraId="33C255BE" w14:textId="77777777" w:rsidR="00415B87" w:rsidRPr="004F549F" w:rsidRDefault="00C3655F" w:rsidP="00401B92">
      <w:pPr>
        <w:spacing w:line="48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Introduction</w:t>
      </w:r>
    </w:p>
    <w:p w14:paraId="41603895" w14:textId="77777777" w:rsidR="00415B87" w:rsidRPr="004F549F" w:rsidRDefault="00415B87"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Bovine mastitis is a multifactorial disease that significantly affects dairy production worldwide. Among its causative agents, </w:t>
      </w:r>
      <w:r w:rsidRPr="004F549F">
        <w:rPr>
          <w:i/>
          <w:color w:val="000000" w:themeColor="text1"/>
        </w:rPr>
        <w:t>E. coli</w:t>
      </w:r>
      <w:r w:rsidRPr="004F549F">
        <w:rPr>
          <w:color w:val="000000" w:themeColor="text1"/>
        </w:rPr>
        <w:t xml:space="preserve"> is recognised as a major environmental pathogen responsible for both clinical and subclinical mastitis (Azevedo et al., 2016). The severity and outcome of infection largely depend on the virulence characteristics of the infecting strain rather than on the mere presence of the organism. Virulence in </w:t>
      </w:r>
      <w:r w:rsidRPr="004F549F">
        <w:rPr>
          <w:i/>
          <w:color w:val="000000" w:themeColor="text1"/>
        </w:rPr>
        <w:t>E. coli</w:t>
      </w:r>
      <w:r w:rsidRPr="004F549F">
        <w:rPr>
          <w:color w:val="000000" w:themeColor="text1"/>
        </w:rPr>
        <w:t xml:space="preserve"> is mediated by a diverse array of genes encoding toxins, adhesins, invasins, iron-acquisition systems, and serum-resistance factors (Fernandes et al., 2011). These virulence determinants facilitate colonisation of the mammary gland, evasion of host immune responses, and tissue damage. Among these determinants, the Shiga toxin genes (</w:t>
      </w:r>
      <w:r w:rsidRPr="004F549F">
        <w:rPr>
          <w:i/>
          <w:color w:val="000000" w:themeColor="text1"/>
        </w:rPr>
        <w:t>Stx1</w:t>
      </w:r>
      <w:r w:rsidRPr="004F549F">
        <w:rPr>
          <w:color w:val="000000" w:themeColor="text1"/>
        </w:rPr>
        <w:t xml:space="preserve"> and </w:t>
      </w:r>
      <w:r w:rsidRPr="004F549F">
        <w:rPr>
          <w:i/>
          <w:color w:val="000000" w:themeColor="text1"/>
        </w:rPr>
        <w:t>Stx2</w:t>
      </w:r>
      <w:r w:rsidRPr="004F549F">
        <w:rPr>
          <w:color w:val="000000" w:themeColor="text1"/>
        </w:rPr>
        <w:t>), intimin (</w:t>
      </w:r>
      <w:r w:rsidRPr="004F549F">
        <w:rPr>
          <w:i/>
          <w:color w:val="000000" w:themeColor="text1"/>
        </w:rPr>
        <w:t>eaeA</w:t>
      </w:r>
      <w:r w:rsidRPr="004F549F">
        <w:rPr>
          <w:color w:val="000000" w:themeColor="text1"/>
        </w:rPr>
        <w:t>), the serum-resistance gene (</w:t>
      </w:r>
      <w:r w:rsidRPr="004F549F">
        <w:rPr>
          <w:i/>
          <w:color w:val="000000" w:themeColor="text1"/>
        </w:rPr>
        <w:t>TraT</w:t>
      </w:r>
      <w:r w:rsidRPr="004F549F">
        <w:rPr>
          <w:color w:val="000000" w:themeColor="text1"/>
        </w:rPr>
        <w:t xml:space="preserve">), </w:t>
      </w:r>
      <w:r w:rsidRPr="004F549F">
        <w:rPr>
          <w:i/>
          <w:color w:val="000000" w:themeColor="text1"/>
        </w:rPr>
        <w:t>aer</w:t>
      </w:r>
      <w:r w:rsidRPr="004F549F">
        <w:rPr>
          <w:color w:val="000000" w:themeColor="text1"/>
        </w:rPr>
        <w:t>obactin (</w:t>
      </w:r>
      <w:r w:rsidRPr="004F549F">
        <w:rPr>
          <w:i/>
          <w:color w:val="000000" w:themeColor="text1"/>
        </w:rPr>
        <w:t>aer</w:t>
      </w:r>
      <w:r w:rsidRPr="004F549F">
        <w:rPr>
          <w:color w:val="000000" w:themeColor="text1"/>
        </w:rPr>
        <w:t>), and haemolysin (</w:t>
      </w:r>
      <w:r w:rsidRPr="004F549F">
        <w:rPr>
          <w:i/>
          <w:color w:val="000000" w:themeColor="text1"/>
        </w:rPr>
        <w:t>hly</w:t>
      </w:r>
      <w:r w:rsidRPr="004F549F">
        <w:rPr>
          <w:color w:val="000000" w:themeColor="text1"/>
        </w:rPr>
        <w:t xml:space="preserve">) have recognised roles in pathogenesis (Ismail &amp; Abutarbush, 2020). The presence and combinations of these genes define the virulence profile of an isolate and may influence its pathogenic potential (Neher et al., 2015). Recent studies have documented substantial genetic diversity among mastitis-associated </w:t>
      </w:r>
      <w:r w:rsidRPr="004F549F">
        <w:rPr>
          <w:i/>
          <w:color w:val="000000" w:themeColor="text1"/>
        </w:rPr>
        <w:t>E. coli</w:t>
      </w:r>
      <w:r w:rsidRPr="004F549F">
        <w:rPr>
          <w:color w:val="000000" w:themeColor="text1"/>
        </w:rPr>
        <w:t xml:space="preserve"> and variation in virulence-gene profiles </w:t>
      </w:r>
      <w:r w:rsidRPr="004F549F">
        <w:rPr>
          <w:color w:val="000000" w:themeColor="text1"/>
        </w:rPr>
        <w:lastRenderedPageBreak/>
        <w:t xml:space="preserve">across isolates (Orsi et al., 2023; Olson et al., 2024). Comparative analysis of clinical and subclinical mastitis isolates has also shown differences in the distribution of selected virulence genes, including </w:t>
      </w:r>
      <w:r w:rsidRPr="004F549F">
        <w:rPr>
          <w:i/>
          <w:color w:val="000000" w:themeColor="text1"/>
        </w:rPr>
        <w:t>traT</w:t>
      </w:r>
      <w:r w:rsidRPr="004F549F">
        <w:rPr>
          <w:color w:val="000000" w:themeColor="text1"/>
        </w:rPr>
        <w:t xml:space="preserve"> (Zuo et al., 2025). Related work from Cameroon likewise reported heterogeneous phylogenetic groups and virulence-gene profiles among bovine mastitis </w:t>
      </w:r>
      <w:r w:rsidRPr="004F549F">
        <w:rPr>
          <w:i/>
          <w:color w:val="000000" w:themeColor="text1"/>
        </w:rPr>
        <w:t>E. coli</w:t>
      </w:r>
      <w:r w:rsidRPr="004F549F">
        <w:rPr>
          <w:color w:val="000000" w:themeColor="text1"/>
        </w:rPr>
        <w:t xml:space="preserve"> isolates (Abegewi et al., 2024). In addition, a bacteriological survey of subclinical mastitis identified </w:t>
      </w:r>
      <w:r w:rsidRPr="004F549F">
        <w:rPr>
          <w:i/>
          <w:color w:val="000000" w:themeColor="text1"/>
        </w:rPr>
        <w:t>E. coli</w:t>
      </w:r>
      <w:r w:rsidRPr="004F549F">
        <w:rPr>
          <w:color w:val="000000" w:themeColor="text1"/>
        </w:rPr>
        <w:t xml:space="preserve"> among the recovered organisms and emphasised the value of routine screening (Ara et al., 2024). Despite these studies, information on the distribution and combination patterns of virulence genes in </w:t>
      </w:r>
      <w:r w:rsidRPr="004F549F">
        <w:rPr>
          <w:i/>
          <w:color w:val="000000" w:themeColor="text1"/>
        </w:rPr>
        <w:t>E. coli</w:t>
      </w:r>
      <w:r w:rsidRPr="004F549F">
        <w:rPr>
          <w:color w:val="000000" w:themeColor="text1"/>
        </w:rPr>
        <w:t xml:space="preserve"> isolates from bovine mastitis remains limited in the study region. Therefore, the present study aimed to detect and characterise key virulence genes and their combinations in </w:t>
      </w:r>
      <w:r w:rsidRPr="004F549F">
        <w:rPr>
          <w:i/>
          <w:color w:val="000000" w:themeColor="text1"/>
        </w:rPr>
        <w:t>E. coli</w:t>
      </w:r>
      <w:r w:rsidRPr="004F549F">
        <w:rPr>
          <w:color w:val="000000" w:themeColor="text1"/>
        </w:rPr>
        <w:t xml:space="preserve"> isolates.</w:t>
      </w:r>
    </w:p>
    <w:p w14:paraId="23678ED0" w14:textId="77777777" w:rsidR="00CF0A34" w:rsidRPr="004F549F" w:rsidRDefault="00CF0A34" w:rsidP="00401B92">
      <w:pPr>
        <w:spacing w:line="480" w:lineRule="auto"/>
        <w:jc w:val="both"/>
        <w:rPr>
          <w:rFonts w:ascii="Times New Roman" w:hAnsi="Times New Roman" w:cs="Times New Roman"/>
          <w:b/>
          <w:bCs/>
          <w:color w:val="000000" w:themeColor="text1"/>
        </w:rPr>
      </w:pPr>
    </w:p>
    <w:p w14:paraId="56DE7D81" w14:textId="77777777" w:rsidR="007A7B2E" w:rsidRPr="004F549F" w:rsidRDefault="00073D72" w:rsidP="00401B92">
      <w:pPr>
        <w:spacing w:line="48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Material and Methods</w:t>
      </w:r>
    </w:p>
    <w:p w14:paraId="3081A3B1" w14:textId="77777777" w:rsidR="008A52C4" w:rsidRPr="004F549F" w:rsidRDefault="002E3B7C" w:rsidP="00401B92">
      <w:pPr>
        <w:spacing w:line="480" w:lineRule="auto"/>
        <w:jc w:val="both"/>
        <w:rPr>
          <w:rFonts w:ascii="Times New Roman" w:hAnsi="Times New Roman" w:cs="Times New Roman"/>
          <w:b/>
          <w:bCs/>
          <w:color w:val="000000" w:themeColor="text1"/>
        </w:rPr>
      </w:pPr>
      <w:r w:rsidRPr="004F549F">
        <w:rPr>
          <w:b/>
          <w:color w:val="000000" w:themeColor="text1"/>
        </w:rPr>
        <w:t>Collection of Mastitic Milk Samples</w:t>
      </w:r>
    </w:p>
    <w:p w14:paraId="7871915E" w14:textId="77777777" w:rsidR="00082C33" w:rsidRPr="004F549F" w:rsidRDefault="00082C33" w:rsidP="00082C33">
      <w:pPr>
        <w:spacing w:line="480" w:lineRule="auto"/>
        <w:jc w:val="both"/>
        <w:rPr>
          <w:rFonts w:ascii="Times New Roman" w:hAnsi="Times New Roman" w:cs="Times New Roman"/>
          <w:color w:val="000000" w:themeColor="text1"/>
          <w:lang w:val="en-IN"/>
        </w:rPr>
      </w:pPr>
      <w:r w:rsidRPr="004F549F">
        <w:rPr>
          <w:color w:val="000000" w:themeColor="text1"/>
        </w:rPr>
        <w:t>A total of 436 milk samples were collected from 10 dairy farms, comprising 339 cattle milk samples and 97 buffalo milk samples. Among the cattle milk samples, 24 (7.07%) were positive for clinical mastitis, whereas 133 (39.23%) were identified as subclinical mastitis cases. Among the buffalo milk samples, 3 (3.09%) were obtained from animals with clinical mastitis, whereas 40 (41.23%) were obtained from subclinical mastitis cases.</w:t>
      </w:r>
    </w:p>
    <w:p w14:paraId="37E2BBB5" w14:textId="77777777" w:rsidR="00082C33" w:rsidRPr="004F549F" w:rsidRDefault="00082C33" w:rsidP="00082C33">
      <w:pPr>
        <w:spacing w:line="480" w:lineRule="auto"/>
        <w:jc w:val="both"/>
        <w:rPr>
          <w:rFonts w:ascii="Times New Roman" w:hAnsi="Times New Roman" w:cs="Times New Roman"/>
          <w:color w:val="000000" w:themeColor="text1"/>
          <w:lang w:val="en-IN"/>
        </w:rPr>
      </w:pPr>
      <w:r w:rsidRPr="004F549F">
        <w:rPr>
          <w:rFonts w:ascii="Times New Roman" w:hAnsi="Times New Roman" w:cs="Times New Roman"/>
          <w:color w:val="000000" w:themeColor="text1"/>
          <w:lang w:val="en-IN"/>
        </w:rPr>
        <w:t xml:space="preserve">Subclinical mastitis cases were screened using the California Mastitis Test (CMT), and only CMT-positive milk samples were selected for further processing. Thus, a total of 200 mastitic milk </w:t>
      </w:r>
      <w:r w:rsidRPr="004F549F">
        <w:rPr>
          <w:rFonts w:ascii="Times New Roman" w:hAnsi="Times New Roman" w:cs="Times New Roman"/>
          <w:color w:val="000000" w:themeColor="text1"/>
          <w:lang w:val="en-IN"/>
        </w:rPr>
        <w:lastRenderedPageBreak/>
        <w:t>samples, including both clinical and subclinical mastitis cases from cattle and buffaloes, were included in the study.</w:t>
      </w:r>
    </w:p>
    <w:p w14:paraId="1047F2A3" w14:textId="77777777" w:rsidR="00967208" w:rsidRPr="004F549F" w:rsidRDefault="00272F0C" w:rsidP="00401B92">
      <w:pPr>
        <w:spacing w:line="480" w:lineRule="auto"/>
        <w:jc w:val="both"/>
        <w:rPr>
          <w:rFonts w:ascii="Times New Roman" w:hAnsi="Times New Roman" w:cs="Times New Roman"/>
          <w:color w:val="000000" w:themeColor="text1"/>
        </w:rPr>
      </w:pPr>
      <w:r w:rsidRPr="004F549F">
        <w:rPr>
          <w:color w:val="000000" w:themeColor="text1"/>
        </w:rPr>
        <w:t>Milk samples (approximately 5–6 mL) were aseptically collected in duplicate from the affected quarter(s), after discarding the foremilk, and transferred to sterile glass vials. The samples were transported to the laboratory in an insulated ice box containing ice packs for immediate processing. Upon arrival, they were stored at 4 °C until further analysis.</w:t>
      </w:r>
    </w:p>
    <w:p w14:paraId="33340F90" w14:textId="77777777" w:rsidR="007A7B2E" w:rsidRPr="004F549F" w:rsidRDefault="00D149BB" w:rsidP="00401B92">
      <w:pPr>
        <w:spacing w:line="480" w:lineRule="auto"/>
        <w:jc w:val="both"/>
        <w:rPr>
          <w:rFonts w:ascii="Times New Roman" w:hAnsi="Times New Roman" w:cs="Times New Roman"/>
          <w:b/>
          <w:bCs/>
          <w:color w:val="000000" w:themeColor="text1"/>
        </w:rPr>
      </w:pPr>
      <w:r w:rsidRPr="004F549F">
        <w:rPr>
          <w:b/>
          <w:color w:val="000000" w:themeColor="text1"/>
        </w:rPr>
        <w:t xml:space="preserve">Isolation and Identification of </w:t>
      </w:r>
      <w:r w:rsidRPr="004F549F">
        <w:rPr>
          <w:b/>
          <w:i/>
          <w:color w:val="000000" w:themeColor="text1"/>
        </w:rPr>
        <w:t>E. coli</w:t>
      </w:r>
    </w:p>
    <w:p w14:paraId="6F45D190" w14:textId="342FA864" w:rsidR="007E0C68" w:rsidRPr="004F549F" w:rsidRDefault="00C36597"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Initially, a loopful from each of the 200 mastitic milk samples was inoculated separately into a test tube containing 3 mL of sterile nutrient broth and incubated at 37 °C for 12 h. Following incubation, the cultures were subcultured on MacConkey agar and incubated at 37 °C for 24–48 h. Pink, lactose-fermenting colonies presumptively identified as </w:t>
      </w:r>
      <w:r w:rsidRPr="004F549F">
        <w:rPr>
          <w:i/>
          <w:color w:val="000000" w:themeColor="text1"/>
        </w:rPr>
        <w:t>E. coli</w:t>
      </w:r>
      <w:r w:rsidRPr="004F549F">
        <w:rPr>
          <w:color w:val="000000" w:themeColor="text1"/>
        </w:rPr>
        <w:t xml:space="preserve"> were then streaked on eosin methylene blue (EMB) agar and HiCrome </w:t>
      </w:r>
      <w:r w:rsidRPr="004F549F">
        <w:rPr>
          <w:i/>
          <w:color w:val="000000" w:themeColor="text1"/>
        </w:rPr>
        <w:t>E. coli</w:t>
      </w:r>
      <w:r w:rsidRPr="004F549F">
        <w:rPr>
          <w:color w:val="000000" w:themeColor="text1"/>
        </w:rPr>
        <w:t xml:space="preserve"> agar and incubated overnight at 37 °C. All isolates were further identified by Gram staining and biochemical tests, including catalase, indole, methyl red, Voges–Proskauer, and citrate tests (</w:t>
      </w:r>
      <w:r w:rsidR="00EE5DE0" w:rsidRPr="00EE5DE0">
        <w:rPr>
          <w:color w:val="000000" w:themeColor="text1"/>
        </w:rPr>
        <w:t>Barrow</w:t>
      </w:r>
      <w:r w:rsidRPr="004F549F">
        <w:rPr>
          <w:color w:val="000000" w:themeColor="text1"/>
        </w:rPr>
        <w:t>, 1993).</w:t>
      </w:r>
    </w:p>
    <w:p w14:paraId="648581BD" w14:textId="77777777" w:rsidR="00471C07" w:rsidRPr="004F549F" w:rsidRDefault="003F1590" w:rsidP="00401B92">
      <w:pPr>
        <w:spacing w:line="480" w:lineRule="auto"/>
        <w:jc w:val="both"/>
        <w:rPr>
          <w:rFonts w:ascii="Times New Roman" w:hAnsi="Times New Roman" w:cs="Times New Roman"/>
          <w:b/>
          <w:bCs/>
          <w:color w:val="000000" w:themeColor="text1"/>
        </w:rPr>
      </w:pPr>
      <w:r w:rsidRPr="004F549F">
        <w:rPr>
          <w:b/>
          <w:color w:val="000000" w:themeColor="text1"/>
        </w:rPr>
        <w:t>Molecular Detection of Virulence Genes</w:t>
      </w:r>
    </w:p>
    <w:p w14:paraId="70CF1662" w14:textId="77777777" w:rsidR="00B81A3C" w:rsidRPr="004F549F" w:rsidRDefault="00471C07" w:rsidP="00401B92">
      <w:pPr>
        <w:spacing w:line="48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Genomic DNA Extraction</w:t>
      </w:r>
    </w:p>
    <w:p w14:paraId="539AAEED" w14:textId="6B0D7B6C" w:rsidR="00B81A3C" w:rsidRPr="004F549F" w:rsidRDefault="00B81A3C" w:rsidP="00401B92">
      <w:pPr>
        <w:spacing w:line="480" w:lineRule="auto"/>
        <w:jc w:val="both"/>
        <w:rPr>
          <w:rFonts w:ascii="Times New Roman" w:hAnsi="Times New Roman" w:cs="Times New Roman"/>
          <w:color w:val="000000" w:themeColor="text1"/>
        </w:rPr>
      </w:pPr>
      <w:r w:rsidRPr="004F549F">
        <w:rPr>
          <w:i/>
          <w:color w:val="000000" w:themeColor="text1"/>
        </w:rPr>
        <w:t>E. coli</w:t>
      </w:r>
      <w:r w:rsidRPr="004F549F">
        <w:rPr>
          <w:color w:val="000000" w:themeColor="text1"/>
        </w:rPr>
        <w:t xml:space="preserve"> isolates recovered from bovine mastitis milk samples were further processed for genomic DNA extraction (Sambrook &amp; Russell, 200</w:t>
      </w:r>
      <w:r w:rsidR="00EE5DE0">
        <w:rPr>
          <w:color w:val="000000" w:themeColor="text1"/>
        </w:rPr>
        <w:t>6</w:t>
      </w:r>
      <w:r w:rsidRPr="004F549F">
        <w:rPr>
          <w:color w:val="000000" w:themeColor="text1"/>
        </w:rPr>
        <w:t>).</w:t>
      </w:r>
    </w:p>
    <w:p w14:paraId="7035A7B7" w14:textId="77777777" w:rsidR="00471C07" w:rsidRPr="004F549F" w:rsidRDefault="00471C07" w:rsidP="00401B92">
      <w:pPr>
        <w:spacing w:line="480" w:lineRule="auto"/>
        <w:ind w:firstLine="720"/>
        <w:jc w:val="both"/>
        <w:rPr>
          <w:rFonts w:ascii="Times New Roman" w:hAnsi="Times New Roman" w:cs="Times New Roman"/>
          <w:color w:val="000000" w:themeColor="text1"/>
        </w:rPr>
      </w:pPr>
      <w:r w:rsidRPr="004F549F">
        <w:rPr>
          <w:color w:val="000000" w:themeColor="text1"/>
        </w:rPr>
        <w:lastRenderedPageBreak/>
        <w:t xml:space="preserve">Genomic DNA was extracted from overnight </w:t>
      </w:r>
      <w:r w:rsidRPr="004F549F">
        <w:rPr>
          <w:i/>
          <w:color w:val="000000" w:themeColor="text1"/>
        </w:rPr>
        <w:t>E. coli</w:t>
      </w:r>
      <w:r w:rsidRPr="004F549F">
        <w:rPr>
          <w:color w:val="000000" w:themeColor="text1"/>
        </w:rPr>
        <w:t xml:space="preserve"> cultures using the phenol–chloroform method. Briefly, bacterial cells were pelleted by centrifugation and lysed using a lysis buffer containing SDS and proteinase K. An equal volume of phenol:chloroform:isoamyl alcohol (25:24:1) was added, mixed, and centrifuged to separate the phases. The aqueous phase was collected and purified with chloroform:isoamyl alcohol, and the DNA was precipitated using cold ethanol and sodium acetate. The DNA pellet was washed with 70% ethanol, air-dried, and dissolved in nuclease-free water for further use. Species-specific 16S rRNA gene amplification by PCR was performed for molecular confirmation of </w:t>
      </w:r>
      <w:r w:rsidRPr="004F549F">
        <w:rPr>
          <w:i/>
          <w:color w:val="000000" w:themeColor="text1"/>
        </w:rPr>
        <w:t>E. coli</w:t>
      </w:r>
      <w:r w:rsidRPr="004F549F">
        <w:rPr>
          <w:color w:val="000000" w:themeColor="text1"/>
        </w:rPr>
        <w:t xml:space="preserve"> (Wang et al., 2002). PCR was performed in a final reaction volume of 25 µL in 0.2 mL PCR tubes. Each reaction contained 12.5 µL of master mix supplied with Taq DNA polymerase, MgCl2, and dNTPs; 1 µM each of the forward and reverse primers; 3 µL of template DNA; and 7.5 µL of nuclease-free water. PCR was conducted using a ProFlex PCR system (Applied Biosystems) under the standardised cycling conditions and with the specific primers listed in Table 1. Isolates confirmed by 16S rRNA gene amplification were further subjected to virulence-gene analysis.</w:t>
      </w:r>
    </w:p>
    <w:p w14:paraId="55700DB7" w14:textId="77777777" w:rsidR="00AA52FD" w:rsidRPr="004F549F" w:rsidRDefault="00AA52FD" w:rsidP="00AA52FD">
      <w:pPr>
        <w:spacing w:before="100" w:beforeAutospacing="1" w:line="360" w:lineRule="auto"/>
        <w:ind w:left="720" w:hanging="360"/>
        <w:jc w:val="both"/>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Table</w:t>
      </w:r>
      <w:r w:rsidR="00856F84" w:rsidRPr="004F549F">
        <w:rPr>
          <w:rFonts w:ascii="Times New Roman" w:hAnsi="Times New Roman" w:cs="Times New Roman"/>
          <w:b/>
          <w:bCs/>
          <w:color w:val="000000" w:themeColor="text1"/>
          <w:shd w:val="clear" w:color="auto" w:fill="FFFFFF"/>
        </w:rPr>
        <w:t xml:space="preserve"> </w:t>
      </w:r>
      <w:r w:rsidRPr="004F549F">
        <w:rPr>
          <w:rFonts w:ascii="Times New Roman" w:hAnsi="Times New Roman" w:cs="Times New Roman"/>
          <w:b/>
          <w:bCs/>
          <w:color w:val="000000" w:themeColor="text1"/>
          <w:shd w:val="clear" w:color="auto" w:fill="FFFFFF"/>
        </w:rPr>
        <w:t xml:space="preserve">1: Details of primer sequences used for standardization of PCR assay to detect         16S rRNA of </w:t>
      </w:r>
      <w:r w:rsidRPr="004F549F">
        <w:rPr>
          <w:rFonts w:ascii="Times New Roman" w:hAnsi="Times New Roman" w:cs="Times New Roman"/>
          <w:b/>
          <w:bCs/>
          <w:i/>
          <w:iCs/>
          <w:color w:val="000000" w:themeColor="text1"/>
          <w:shd w:val="clear" w:color="auto" w:fill="FFFFFF"/>
        </w:rPr>
        <w:t>E.coli</w:t>
      </w:r>
      <w:r w:rsidRPr="004F549F">
        <w:rPr>
          <w:rFonts w:ascii="Times New Roman" w:hAnsi="Times New Roman" w:cs="Times New Roman"/>
          <w:b/>
          <w:bCs/>
          <w:color w:val="000000" w:themeColor="text1"/>
          <w:shd w:val="clear" w:color="auto" w:fill="FFFFFF"/>
        </w:rPr>
        <w:t xml:space="preserve"> </w:t>
      </w:r>
    </w:p>
    <w:tbl>
      <w:tblPr>
        <w:tblStyle w:val="TableGrid"/>
        <w:tblW w:w="0" w:type="auto"/>
        <w:tblInd w:w="720" w:type="dxa"/>
        <w:tblLook w:val="04A0" w:firstRow="1" w:lastRow="0" w:firstColumn="1" w:lastColumn="0" w:noHBand="0" w:noVBand="1"/>
      </w:tblPr>
      <w:tblGrid>
        <w:gridCol w:w="1685"/>
        <w:gridCol w:w="4111"/>
        <w:gridCol w:w="2834"/>
      </w:tblGrid>
      <w:tr w:rsidR="00AA52FD" w:rsidRPr="004F549F" w14:paraId="44C7C9F9" w14:textId="77777777" w:rsidTr="00403162">
        <w:tc>
          <w:tcPr>
            <w:tcW w:w="1685" w:type="dxa"/>
          </w:tcPr>
          <w:p w14:paraId="46CB1799" w14:textId="77777777" w:rsidR="00AA52FD" w:rsidRPr="004F549F" w:rsidRDefault="00AA52FD" w:rsidP="00403162">
            <w:pPr>
              <w:jc w:val="both"/>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Primer name</w:t>
            </w:r>
          </w:p>
        </w:tc>
        <w:tc>
          <w:tcPr>
            <w:tcW w:w="4111" w:type="dxa"/>
          </w:tcPr>
          <w:p w14:paraId="7855148E" w14:textId="77777777" w:rsidR="00AA52FD" w:rsidRPr="004F549F" w:rsidRDefault="00AA52FD" w:rsidP="00403162">
            <w:pPr>
              <w:jc w:val="both"/>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Nucleotide sequence</w:t>
            </w:r>
            <w:r w:rsidR="009F1019" w:rsidRPr="004F549F">
              <w:rPr>
                <w:rFonts w:ascii="Times New Roman" w:hAnsi="Times New Roman" w:cs="Times New Roman"/>
                <w:b/>
                <w:bCs/>
                <w:color w:val="000000" w:themeColor="text1"/>
                <w:shd w:val="clear" w:color="auto" w:fill="FFFFFF"/>
              </w:rPr>
              <w:t xml:space="preserve"> (5'-3')</w:t>
            </w:r>
          </w:p>
        </w:tc>
        <w:tc>
          <w:tcPr>
            <w:tcW w:w="2834" w:type="dxa"/>
          </w:tcPr>
          <w:p w14:paraId="730292D4" w14:textId="77777777" w:rsidR="00AA52FD" w:rsidRPr="004F549F" w:rsidRDefault="00AA52FD" w:rsidP="00403162">
            <w:pPr>
              <w:jc w:val="both"/>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 xml:space="preserve"> Amplicon</w:t>
            </w:r>
            <w:r w:rsidR="009156B6" w:rsidRPr="004F549F">
              <w:rPr>
                <w:rFonts w:ascii="Times New Roman" w:hAnsi="Times New Roman" w:cs="Times New Roman"/>
                <w:b/>
                <w:bCs/>
                <w:color w:val="000000" w:themeColor="text1"/>
                <w:shd w:val="clear" w:color="auto" w:fill="FFFFFF"/>
              </w:rPr>
              <w:t xml:space="preserve"> </w:t>
            </w:r>
            <w:r w:rsidRPr="004F549F">
              <w:rPr>
                <w:rFonts w:ascii="Times New Roman" w:hAnsi="Times New Roman" w:cs="Times New Roman"/>
                <w:b/>
                <w:bCs/>
                <w:color w:val="000000" w:themeColor="text1"/>
                <w:shd w:val="clear" w:color="auto" w:fill="FFFFFF"/>
              </w:rPr>
              <w:t xml:space="preserve"> size (bp)</w:t>
            </w:r>
          </w:p>
        </w:tc>
      </w:tr>
      <w:tr w:rsidR="00AA52FD" w:rsidRPr="004F549F" w14:paraId="22256FCB" w14:textId="77777777" w:rsidTr="00403162">
        <w:tc>
          <w:tcPr>
            <w:tcW w:w="1685" w:type="dxa"/>
          </w:tcPr>
          <w:p w14:paraId="3F9C3225" w14:textId="77777777" w:rsidR="00AA52FD" w:rsidRPr="004F549F" w:rsidRDefault="00AA52FD" w:rsidP="00403162">
            <w:pPr>
              <w:spacing w:before="100" w:beforeAutospacing="1" w:line="360" w:lineRule="auto"/>
              <w:jc w:val="both"/>
              <w:rPr>
                <w:rFonts w:ascii="Times New Roman" w:hAnsi="Times New Roman" w:cs="Times New Roman"/>
                <w:color w:val="000000" w:themeColor="text1"/>
                <w:shd w:val="clear" w:color="auto" w:fill="FFFFFF"/>
              </w:rPr>
            </w:pPr>
            <w:r w:rsidRPr="004F549F">
              <w:rPr>
                <w:rFonts w:ascii="Times New Roman" w:hAnsi="Times New Roman" w:cs="Times New Roman"/>
                <w:color w:val="000000" w:themeColor="text1"/>
                <w:shd w:val="clear" w:color="auto" w:fill="FFFFFF"/>
              </w:rPr>
              <w:t xml:space="preserve">16S rRNA </w:t>
            </w:r>
          </w:p>
        </w:tc>
        <w:tc>
          <w:tcPr>
            <w:tcW w:w="4111" w:type="dxa"/>
          </w:tcPr>
          <w:p w14:paraId="663C835D" w14:textId="77777777" w:rsidR="00AA52FD" w:rsidRPr="004F549F" w:rsidRDefault="00AA52FD" w:rsidP="00403162">
            <w:pPr>
              <w:spacing w:before="100" w:beforeAutospacing="1" w:line="360" w:lineRule="auto"/>
              <w:jc w:val="both"/>
              <w:rPr>
                <w:rFonts w:ascii="Times New Roman" w:hAnsi="Times New Roman" w:cs="Times New Roman"/>
                <w:color w:val="000000" w:themeColor="text1"/>
                <w:shd w:val="clear" w:color="auto" w:fill="FFFFFF"/>
              </w:rPr>
            </w:pPr>
            <w:r w:rsidRPr="004F549F">
              <w:rPr>
                <w:rFonts w:ascii="Times New Roman" w:hAnsi="Times New Roman" w:cs="Times New Roman"/>
                <w:color w:val="000000" w:themeColor="text1"/>
                <w:shd w:val="clear" w:color="auto" w:fill="FFFFFF"/>
              </w:rPr>
              <w:t>F</w:t>
            </w:r>
            <w:r w:rsidR="00494FB8" w:rsidRPr="004F549F">
              <w:rPr>
                <w:rFonts w:ascii="Times New Roman" w:hAnsi="Times New Roman" w:cs="Times New Roman"/>
                <w:color w:val="000000" w:themeColor="text1"/>
                <w:shd w:val="clear" w:color="auto" w:fill="FFFFFF"/>
              </w:rPr>
              <w:t>:</w:t>
            </w:r>
            <w:r w:rsidRPr="004F549F">
              <w:rPr>
                <w:rFonts w:ascii="Times New Roman" w:hAnsi="Times New Roman" w:cs="Times New Roman"/>
                <w:color w:val="000000" w:themeColor="text1"/>
                <w:shd w:val="clear" w:color="auto" w:fill="FFFFFF"/>
              </w:rPr>
              <w:t xml:space="preserve"> CCCCCTGGACGAAGACTGAC</w:t>
            </w:r>
          </w:p>
        </w:tc>
        <w:tc>
          <w:tcPr>
            <w:tcW w:w="2834" w:type="dxa"/>
            <w:vMerge w:val="restart"/>
          </w:tcPr>
          <w:p w14:paraId="3A888364" w14:textId="77777777" w:rsidR="00AA52FD" w:rsidRPr="004F549F" w:rsidRDefault="00AA52FD" w:rsidP="00403162">
            <w:pPr>
              <w:spacing w:before="100" w:beforeAutospacing="1" w:line="360" w:lineRule="auto"/>
              <w:jc w:val="both"/>
              <w:rPr>
                <w:rFonts w:ascii="Times New Roman" w:hAnsi="Times New Roman" w:cs="Times New Roman"/>
                <w:color w:val="000000" w:themeColor="text1"/>
                <w:shd w:val="clear" w:color="auto" w:fill="FFFFFF"/>
              </w:rPr>
            </w:pPr>
            <w:r w:rsidRPr="004F549F">
              <w:rPr>
                <w:rFonts w:ascii="Times New Roman" w:hAnsi="Times New Roman" w:cs="Times New Roman"/>
                <w:color w:val="000000" w:themeColor="text1"/>
                <w:shd w:val="clear" w:color="auto" w:fill="FFFFFF"/>
              </w:rPr>
              <w:t xml:space="preserve">               401</w:t>
            </w:r>
          </w:p>
        </w:tc>
      </w:tr>
      <w:tr w:rsidR="00AA52FD" w:rsidRPr="004F549F" w14:paraId="3AAC2DB8" w14:textId="77777777" w:rsidTr="00403162">
        <w:tc>
          <w:tcPr>
            <w:tcW w:w="1685" w:type="dxa"/>
          </w:tcPr>
          <w:p w14:paraId="113E77C5" w14:textId="77777777" w:rsidR="00AA52FD" w:rsidRPr="004F549F" w:rsidRDefault="00AA52FD" w:rsidP="00403162">
            <w:pPr>
              <w:spacing w:before="100" w:beforeAutospacing="1" w:line="360" w:lineRule="auto"/>
              <w:jc w:val="both"/>
              <w:rPr>
                <w:rFonts w:ascii="Times New Roman" w:hAnsi="Times New Roman" w:cs="Times New Roman"/>
                <w:color w:val="000000" w:themeColor="text1"/>
                <w:shd w:val="clear" w:color="auto" w:fill="FFFFFF"/>
              </w:rPr>
            </w:pPr>
            <w:r w:rsidRPr="004F549F">
              <w:rPr>
                <w:rFonts w:ascii="Times New Roman" w:hAnsi="Times New Roman" w:cs="Times New Roman"/>
                <w:color w:val="000000" w:themeColor="text1"/>
                <w:shd w:val="clear" w:color="auto" w:fill="FFFFFF"/>
              </w:rPr>
              <w:t xml:space="preserve">16S rRNA </w:t>
            </w:r>
          </w:p>
        </w:tc>
        <w:tc>
          <w:tcPr>
            <w:tcW w:w="4111" w:type="dxa"/>
          </w:tcPr>
          <w:p w14:paraId="24857CD0" w14:textId="77777777" w:rsidR="00AA52FD" w:rsidRPr="004F549F" w:rsidRDefault="00AA52FD" w:rsidP="00403162">
            <w:pPr>
              <w:spacing w:before="100" w:beforeAutospacing="1" w:line="360" w:lineRule="auto"/>
              <w:jc w:val="both"/>
              <w:rPr>
                <w:rFonts w:ascii="Times New Roman" w:hAnsi="Times New Roman" w:cs="Times New Roman"/>
                <w:color w:val="000000" w:themeColor="text1"/>
                <w:shd w:val="clear" w:color="auto" w:fill="FFFFFF"/>
              </w:rPr>
            </w:pPr>
            <w:r w:rsidRPr="004F549F">
              <w:rPr>
                <w:rFonts w:ascii="Times New Roman" w:hAnsi="Times New Roman" w:cs="Times New Roman"/>
                <w:color w:val="000000" w:themeColor="text1"/>
                <w:shd w:val="clear" w:color="auto" w:fill="FFFFFF"/>
              </w:rPr>
              <w:t>R</w:t>
            </w:r>
            <w:r w:rsidR="00494FB8" w:rsidRPr="004F549F">
              <w:rPr>
                <w:rFonts w:ascii="Times New Roman" w:hAnsi="Times New Roman" w:cs="Times New Roman"/>
                <w:color w:val="000000" w:themeColor="text1"/>
                <w:shd w:val="clear" w:color="auto" w:fill="FFFFFF"/>
              </w:rPr>
              <w:t>:</w:t>
            </w:r>
            <w:r w:rsidRPr="004F549F">
              <w:rPr>
                <w:rFonts w:ascii="Times New Roman" w:hAnsi="Times New Roman" w:cs="Times New Roman"/>
                <w:color w:val="000000" w:themeColor="text1"/>
                <w:shd w:val="clear" w:color="auto" w:fill="FFFFFF"/>
              </w:rPr>
              <w:t xml:space="preserve"> ACCGCTGGCAACAAAGGATA</w:t>
            </w:r>
          </w:p>
        </w:tc>
        <w:tc>
          <w:tcPr>
            <w:tcW w:w="2834" w:type="dxa"/>
            <w:vMerge/>
          </w:tcPr>
          <w:p w14:paraId="3011EC8A" w14:textId="77777777" w:rsidR="00AA52FD" w:rsidRPr="004F549F" w:rsidRDefault="00AA52FD" w:rsidP="00403162">
            <w:pPr>
              <w:spacing w:before="100" w:beforeAutospacing="1" w:line="360" w:lineRule="auto"/>
              <w:jc w:val="both"/>
              <w:rPr>
                <w:rFonts w:ascii="Times New Roman" w:hAnsi="Times New Roman" w:cs="Times New Roman"/>
                <w:color w:val="000000" w:themeColor="text1"/>
                <w:shd w:val="clear" w:color="auto" w:fill="FFFFFF"/>
              </w:rPr>
            </w:pPr>
          </w:p>
        </w:tc>
      </w:tr>
    </w:tbl>
    <w:p w14:paraId="7A62BF89" w14:textId="77777777" w:rsidR="00AA52FD" w:rsidRPr="004F549F" w:rsidRDefault="00AA52FD" w:rsidP="00AA52FD">
      <w:pPr>
        <w:spacing w:before="100" w:beforeAutospacing="1" w:line="360" w:lineRule="auto"/>
        <w:ind w:left="720" w:hanging="360"/>
        <w:jc w:val="both"/>
        <w:rPr>
          <w:rFonts w:ascii="Times New Roman" w:hAnsi="Times New Roman" w:cs="Times New Roman"/>
          <w:color w:val="000000" w:themeColor="text1"/>
          <w:shd w:val="clear" w:color="auto" w:fill="FFFFFF"/>
        </w:rPr>
      </w:pPr>
    </w:p>
    <w:p w14:paraId="395AE6DA" w14:textId="77777777" w:rsidR="00AA52FD" w:rsidRPr="004F549F" w:rsidRDefault="00AA52FD" w:rsidP="00401B92">
      <w:pPr>
        <w:spacing w:line="480" w:lineRule="auto"/>
        <w:ind w:firstLine="720"/>
        <w:jc w:val="both"/>
        <w:rPr>
          <w:rFonts w:ascii="Times New Roman" w:hAnsi="Times New Roman" w:cs="Times New Roman"/>
          <w:color w:val="000000" w:themeColor="text1"/>
        </w:rPr>
      </w:pPr>
    </w:p>
    <w:p w14:paraId="6F570B3D" w14:textId="77777777" w:rsidR="007A7B2E" w:rsidRPr="004F549F" w:rsidRDefault="0039251B" w:rsidP="00401B92">
      <w:pPr>
        <w:spacing w:line="480" w:lineRule="auto"/>
        <w:ind w:firstLine="720"/>
        <w:jc w:val="both"/>
        <w:rPr>
          <w:rFonts w:ascii="Times New Roman" w:hAnsi="Times New Roman" w:cs="Times New Roman"/>
          <w:color w:val="000000" w:themeColor="text1"/>
        </w:rPr>
      </w:pPr>
      <w:r w:rsidRPr="004F549F">
        <w:rPr>
          <w:color w:val="000000" w:themeColor="text1"/>
        </w:rPr>
        <w:lastRenderedPageBreak/>
        <w:t>Six virulence-associated genes representing major pathogenic mechanisms were selected, including toxin genes (</w:t>
      </w:r>
      <w:r w:rsidRPr="004F549F">
        <w:rPr>
          <w:i/>
          <w:color w:val="000000" w:themeColor="text1"/>
        </w:rPr>
        <w:t>Stx1</w:t>
      </w:r>
      <w:r w:rsidRPr="004F549F">
        <w:rPr>
          <w:color w:val="000000" w:themeColor="text1"/>
        </w:rPr>
        <w:t xml:space="preserve"> and </w:t>
      </w:r>
      <w:r w:rsidRPr="004F549F">
        <w:rPr>
          <w:i/>
          <w:color w:val="000000" w:themeColor="text1"/>
        </w:rPr>
        <w:t>Stx2</w:t>
      </w:r>
      <w:r w:rsidRPr="004F549F">
        <w:rPr>
          <w:color w:val="000000" w:themeColor="text1"/>
        </w:rPr>
        <w:t>), an adhesion gene (</w:t>
      </w:r>
      <w:r w:rsidRPr="004F549F">
        <w:rPr>
          <w:i/>
          <w:color w:val="000000" w:themeColor="text1"/>
        </w:rPr>
        <w:t>eaeA</w:t>
      </w:r>
      <w:r w:rsidRPr="004F549F">
        <w:rPr>
          <w:color w:val="000000" w:themeColor="text1"/>
        </w:rPr>
        <w:t>), a serum-resistance gene (</w:t>
      </w:r>
      <w:r w:rsidRPr="004F549F">
        <w:rPr>
          <w:i/>
          <w:color w:val="000000" w:themeColor="text1"/>
        </w:rPr>
        <w:t>TraT</w:t>
      </w:r>
      <w:r w:rsidRPr="004F549F">
        <w:rPr>
          <w:color w:val="000000" w:themeColor="text1"/>
        </w:rPr>
        <w:t>), an iron-acquisition gene (</w:t>
      </w:r>
      <w:r w:rsidRPr="004F549F">
        <w:rPr>
          <w:i/>
          <w:color w:val="000000" w:themeColor="text1"/>
        </w:rPr>
        <w:t>aer</w:t>
      </w:r>
      <w:r w:rsidRPr="004F549F">
        <w:rPr>
          <w:color w:val="000000" w:themeColor="text1"/>
        </w:rPr>
        <w:t>), and a haemolysin gene (</w:t>
      </w:r>
      <w:r w:rsidRPr="004F549F">
        <w:rPr>
          <w:i/>
          <w:color w:val="000000" w:themeColor="text1"/>
        </w:rPr>
        <w:t>hly</w:t>
      </w:r>
      <w:r w:rsidRPr="004F549F">
        <w:rPr>
          <w:color w:val="000000" w:themeColor="text1"/>
        </w:rPr>
        <w:t>) (Table 2). These genes were selected on the basis of their established roles in pathogenicity, including toxin production, host-cell adhesion, immune evasion, and survival within the host. PCR was performed to detect these virulence genes using the specific primers shown in Table 2.</w:t>
      </w:r>
    </w:p>
    <w:p w14:paraId="79571F63" w14:textId="77777777" w:rsidR="00AA52FD" w:rsidRPr="004F549F" w:rsidRDefault="00AA52FD" w:rsidP="00AA52FD">
      <w:pPr>
        <w:autoSpaceDE w:val="0"/>
        <w:autoSpaceDN w:val="0"/>
        <w:adjustRightInd w:val="0"/>
        <w:spacing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Table</w:t>
      </w:r>
      <w:r w:rsidR="00F019B2" w:rsidRPr="004F549F">
        <w:rPr>
          <w:rFonts w:ascii="Times New Roman" w:hAnsi="Times New Roman" w:cs="Times New Roman"/>
          <w:b/>
          <w:bCs/>
          <w:color w:val="000000" w:themeColor="text1"/>
        </w:rPr>
        <w:t xml:space="preserve"> </w:t>
      </w:r>
      <w:r w:rsidRPr="004F549F">
        <w:rPr>
          <w:rFonts w:ascii="Times New Roman" w:hAnsi="Times New Roman" w:cs="Times New Roman"/>
          <w:b/>
          <w:bCs/>
          <w:color w:val="000000" w:themeColor="text1"/>
        </w:rPr>
        <w:t xml:space="preserve">2 </w:t>
      </w:r>
      <w:r w:rsidRPr="004F549F">
        <w:rPr>
          <w:rFonts w:ascii="Times New Roman" w:hAnsi="Times New Roman" w:cs="Times New Roman"/>
          <w:b/>
          <w:bCs/>
          <w:color w:val="000000" w:themeColor="text1"/>
          <w:shd w:val="clear" w:color="auto" w:fill="FFFFFF"/>
        </w:rPr>
        <w:t xml:space="preserve">Sequence of primers used for the detection of virulent genes in </w:t>
      </w:r>
      <w:r w:rsidRPr="004F549F">
        <w:rPr>
          <w:rFonts w:ascii="Times New Roman" w:hAnsi="Times New Roman" w:cs="Times New Roman"/>
          <w:b/>
          <w:bCs/>
          <w:i/>
          <w:iCs/>
          <w:color w:val="000000" w:themeColor="text1"/>
          <w:shd w:val="clear" w:color="auto" w:fill="FFFFFF"/>
        </w:rPr>
        <w:t>E.coli</w:t>
      </w:r>
    </w:p>
    <w:tbl>
      <w:tblPr>
        <w:tblStyle w:val="TableGrid"/>
        <w:tblW w:w="9982" w:type="dxa"/>
        <w:tblInd w:w="-113" w:type="dxa"/>
        <w:tblLayout w:type="fixed"/>
        <w:tblLook w:val="04A0" w:firstRow="1" w:lastRow="0" w:firstColumn="1" w:lastColumn="0" w:noHBand="0" w:noVBand="1"/>
      </w:tblPr>
      <w:tblGrid>
        <w:gridCol w:w="589"/>
        <w:gridCol w:w="1105"/>
        <w:gridCol w:w="4936"/>
        <w:gridCol w:w="1397"/>
        <w:gridCol w:w="1955"/>
      </w:tblGrid>
      <w:tr w:rsidR="00AA52FD" w:rsidRPr="004F549F" w14:paraId="68172737" w14:textId="77777777" w:rsidTr="00403162">
        <w:trPr>
          <w:trHeight w:val="863"/>
        </w:trPr>
        <w:tc>
          <w:tcPr>
            <w:tcW w:w="589" w:type="dxa"/>
            <w:tcBorders>
              <w:top w:val="single" w:sz="4" w:space="0" w:color="auto"/>
              <w:left w:val="single" w:sz="4" w:space="0" w:color="auto"/>
              <w:bottom w:val="single" w:sz="4" w:space="0" w:color="auto"/>
              <w:right w:val="single" w:sz="4" w:space="0" w:color="auto"/>
            </w:tcBorders>
            <w:hideMark/>
          </w:tcPr>
          <w:p w14:paraId="1E5C1F77" w14:textId="77777777" w:rsidR="00AA52FD" w:rsidRPr="004F549F"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Sr. No.</w:t>
            </w:r>
          </w:p>
        </w:tc>
        <w:tc>
          <w:tcPr>
            <w:tcW w:w="1105" w:type="dxa"/>
            <w:tcBorders>
              <w:top w:val="single" w:sz="4" w:space="0" w:color="auto"/>
              <w:left w:val="single" w:sz="4" w:space="0" w:color="auto"/>
              <w:bottom w:val="single" w:sz="4" w:space="0" w:color="auto"/>
              <w:right w:val="single" w:sz="4" w:space="0" w:color="auto"/>
            </w:tcBorders>
            <w:hideMark/>
          </w:tcPr>
          <w:p w14:paraId="4F2FCD81" w14:textId="77777777" w:rsidR="00AA52FD" w:rsidRPr="004F549F"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Gene</w:t>
            </w:r>
          </w:p>
        </w:tc>
        <w:tc>
          <w:tcPr>
            <w:tcW w:w="4936" w:type="dxa"/>
            <w:tcBorders>
              <w:top w:val="single" w:sz="4" w:space="0" w:color="auto"/>
              <w:left w:val="single" w:sz="4" w:space="0" w:color="auto"/>
              <w:bottom w:val="single" w:sz="4" w:space="0" w:color="auto"/>
              <w:right w:val="single" w:sz="4" w:space="0" w:color="auto"/>
            </w:tcBorders>
            <w:hideMark/>
          </w:tcPr>
          <w:p w14:paraId="77EBAD52" w14:textId="77777777" w:rsidR="00AA52FD" w:rsidRPr="004F549F"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Oligonucleotide sequence (5’ to 3’)</w:t>
            </w:r>
          </w:p>
        </w:tc>
        <w:tc>
          <w:tcPr>
            <w:tcW w:w="1397" w:type="dxa"/>
            <w:tcBorders>
              <w:top w:val="single" w:sz="4" w:space="0" w:color="auto"/>
              <w:left w:val="single" w:sz="4" w:space="0" w:color="auto"/>
              <w:bottom w:val="single" w:sz="4" w:space="0" w:color="auto"/>
              <w:right w:val="single" w:sz="4" w:space="0" w:color="auto"/>
            </w:tcBorders>
            <w:hideMark/>
          </w:tcPr>
          <w:p w14:paraId="27650C5D" w14:textId="77777777" w:rsidR="00AA52FD" w:rsidRPr="004F549F" w:rsidRDefault="00AA52FD" w:rsidP="00403162">
            <w:pPr>
              <w:autoSpaceDE w:val="0"/>
              <w:autoSpaceDN w:val="0"/>
              <w:adjustRightInd w:val="0"/>
              <w:spacing w:after="160"/>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Amplicon</w:t>
            </w:r>
          </w:p>
          <w:p w14:paraId="6A982313" w14:textId="77777777" w:rsidR="00AA52FD" w:rsidRPr="004F549F" w:rsidRDefault="00AA52FD" w:rsidP="00403162">
            <w:pPr>
              <w:autoSpaceDE w:val="0"/>
              <w:autoSpaceDN w:val="0"/>
              <w:adjustRightInd w:val="0"/>
              <w:spacing w:after="160"/>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Size (bp)</w:t>
            </w:r>
          </w:p>
        </w:tc>
        <w:tc>
          <w:tcPr>
            <w:tcW w:w="1955" w:type="dxa"/>
            <w:tcBorders>
              <w:top w:val="single" w:sz="4" w:space="0" w:color="auto"/>
              <w:left w:val="single" w:sz="4" w:space="0" w:color="auto"/>
              <w:bottom w:val="single" w:sz="4" w:space="0" w:color="auto"/>
              <w:right w:val="single" w:sz="4" w:space="0" w:color="auto"/>
            </w:tcBorders>
            <w:hideMark/>
          </w:tcPr>
          <w:p w14:paraId="69868131" w14:textId="77777777" w:rsidR="00AA52FD" w:rsidRPr="004F549F"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Reference</w:t>
            </w:r>
          </w:p>
        </w:tc>
      </w:tr>
      <w:tr w:rsidR="00AA52FD" w:rsidRPr="004F549F" w14:paraId="7C2BEE2E" w14:textId="77777777" w:rsidTr="00403162">
        <w:trPr>
          <w:trHeight w:val="1021"/>
        </w:trPr>
        <w:tc>
          <w:tcPr>
            <w:tcW w:w="589" w:type="dxa"/>
            <w:tcBorders>
              <w:top w:val="single" w:sz="4" w:space="0" w:color="auto"/>
              <w:left w:val="single" w:sz="4" w:space="0" w:color="auto"/>
              <w:bottom w:val="single" w:sz="4" w:space="0" w:color="auto"/>
              <w:right w:val="single" w:sz="4" w:space="0" w:color="auto"/>
            </w:tcBorders>
            <w:hideMark/>
          </w:tcPr>
          <w:p w14:paraId="5B4850D4"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0051CBC8"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D03674F"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i/>
                <w:iCs/>
                <w:color w:val="000000" w:themeColor="text1"/>
                <w:shd w:val="clear" w:color="auto" w:fill="FFFFFF"/>
              </w:rPr>
              <w:t>eaeA</w:t>
            </w:r>
          </w:p>
        </w:tc>
        <w:tc>
          <w:tcPr>
            <w:tcW w:w="4936" w:type="dxa"/>
            <w:tcBorders>
              <w:top w:val="single" w:sz="4" w:space="0" w:color="auto"/>
              <w:left w:val="single" w:sz="4" w:space="0" w:color="auto"/>
              <w:bottom w:val="single" w:sz="4" w:space="0" w:color="auto"/>
              <w:right w:val="single" w:sz="4" w:space="0" w:color="auto"/>
            </w:tcBorders>
            <w:hideMark/>
          </w:tcPr>
          <w:p w14:paraId="669F2F9E"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F</w:t>
            </w:r>
            <w:r w:rsidR="00292AFD" w:rsidRPr="004F549F">
              <w:rPr>
                <w:rFonts w:ascii="Times New Roman" w:hAnsi="Times New Roman" w:cs="Times New Roman"/>
                <w:bCs/>
                <w:color w:val="000000" w:themeColor="text1"/>
                <w:shd w:val="clear" w:color="auto" w:fill="FFFFFF"/>
              </w:rPr>
              <w:t>:</w:t>
            </w:r>
            <w:r w:rsidRPr="004F549F">
              <w:rPr>
                <w:rFonts w:ascii="Times New Roman" w:hAnsi="Times New Roman" w:cs="Times New Roman"/>
                <w:bCs/>
                <w:color w:val="000000" w:themeColor="text1"/>
                <w:shd w:val="clear" w:color="auto" w:fill="FFFFFF"/>
              </w:rPr>
              <w:t>ATGCTTAGTGCTGGTTTAGG</w:t>
            </w:r>
          </w:p>
          <w:p w14:paraId="03F2BA89"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R</w:t>
            </w:r>
            <w:r w:rsidR="00292AFD" w:rsidRPr="004F549F">
              <w:rPr>
                <w:rFonts w:ascii="Times New Roman" w:hAnsi="Times New Roman" w:cs="Times New Roman"/>
                <w:bCs/>
                <w:color w:val="000000" w:themeColor="text1"/>
                <w:shd w:val="clear" w:color="auto" w:fill="FFFFFF"/>
              </w:rPr>
              <w:t>:</w:t>
            </w:r>
            <w:r w:rsidRPr="004F549F">
              <w:rPr>
                <w:rFonts w:ascii="Times New Roman" w:hAnsi="Times New Roman" w:cs="Times New Roman"/>
                <w:bCs/>
                <w:color w:val="000000" w:themeColor="text1"/>
                <w:shd w:val="clear" w:color="auto" w:fill="FFFFFF"/>
              </w:rPr>
              <w:t xml:space="preserve"> GCCTTCATCATTTCGCTTTC</w:t>
            </w:r>
          </w:p>
        </w:tc>
        <w:tc>
          <w:tcPr>
            <w:tcW w:w="1397" w:type="dxa"/>
            <w:tcBorders>
              <w:top w:val="single" w:sz="4" w:space="0" w:color="auto"/>
              <w:left w:val="single" w:sz="4" w:space="0" w:color="auto"/>
              <w:bottom w:val="single" w:sz="4" w:space="0" w:color="auto"/>
              <w:right w:val="single" w:sz="4" w:space="0" w:color="auto"/>
            </w:tcBorders>
            <w:vAlign w:val="center"/>
            <w:hideMark/>
          </w:tcPr>
          <w:p w14:paraId="11EAD018"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248 </w:t>
            </w:r>
          </w:p>
        </w:tc>
        <w:tc>
          <w:tcPr>
            <w:tcW w:w="1955" w:type="dxa"/>
            <w:tcBorders>
              <w:top w:val="single" w:sz="4" w:space="0" w:color="auto"/>
              <w:left w:val="single" w:sz="4" w:space="0" w:color="auto"/>
              <w:bottom w:val="single" w:sz="4" w:space="0" w:color="auto"/>
              <w:right w:val="single" w:sz="4" w:space="0" w:color="auto"/>
            </w:tcBorders>
            <w:hideMark/>
          </w:tcPr>
          <w:p w14:paraId="783DF6A4"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Bisi </w:t>
            </w:r>
            <w:r w:rsidR="0041665B" w:rsidRPr="004F549F">
              <w:rPr>
                <w:rFonts w:ascii="Times New Roman" w:hAnsi="Times New Roman" w:cs="Times New Roman"/>
                <w:bCs/>
                <w:color w:val="000000" w:themeColor="text1"/>
                <w:shd w:val="clear" w:color="auto" w:fill="FFFFFF"/>
              </w:rPr>
              <w:t>-</w:t>
            </w:r>
            <w:r w:rsidRPr="004F549F">
              <w:rPr>
                <w:rFonts w:ascii="Times New Roman" w:hAnsi="Times New Roman" w:cs="Times New Roman"/>
                <w:bCs/>
                <w:color w:val="000000" w:themeColor="text1"/>
                <w:shd w:val="clear" w:color="auto" w:fill="FFFFFF"/>
              </w:rPr>
              <w:t xml:space="preserve">Johnson </w:t>
            </w:r>
            <w:r w:rsidRPr="004F549F">
              <w:rPr>
                <w:rFonts w:ascii="Times New Roman" w:hAnsi="Times New Roman" w:cs="Times New Roman"/>
                <w:bCs/>
                <w:i/>
                <w:iCs/>
                <w:color w:val="000000" w:themeColor="text1"/>
                <w:shd w:val="clear" w:color="auto" w:fill="FFFFFF"/>
              </w:rPr>
              <w:t>et al</w:t>
            </w:r>
            <w:r w:rsidRPr="004F549F">
              <w:rPr>
                <w:rFonts w:ascii="Times New Roman" w:hAnsi="Times New Roman" w:cs="Times New Roman"/>
                <w:bCs/>
                <w:color w:val="000000" w:themeColor="text1"/>
                <w:shd w:val="clear" w:color="auto" w:fill="FFFFFF"/>
              </w:rPr>
              <w:t>. (2011)</w:t>
            </w:r>
          </w:p>
        </w:tc>
      </w:tr>
      <w:tr w:rsidR="00AA52FD" w:rsidRPr="004F549F" w14:paraId="14EFE9FE" w14:textId="77777777" w:rsidTr="00403162">
        <w:trPr>
          <w:trHeight w:val="346"/>
        </w:trPr>
        <w:tc>
          <w:tcPr>
            <w:tcW w:w="589" w:type="dxa"/>
            <w:tcBorders>
              <w:top w:val="single" w:sz="4" w:space="0" w:color="auto"/>
              <w:left w:val="single" w:sz="4" w:space="0" w:color="auto"/>
              <w:bottom w:val="single" w:sz="4" w:space="0" w:color="auto"/>
              <w:right w:val="single" w:sz="4" w:space="0" w:color="auto"/>
            </w:tcBorders>
            <w:hideMark/>
          </w:tcPr>
          <w:p w14:paraId="3C5D5D9C"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64DD1019"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FBF748A"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4F549F">
              <w:rPr>
                <w:rFonts w:ascii="Times New Roman" w:hAnsi="Times New Roman" w:cs="Times New Roman"/>
                <w:bCs/>
                <w:i/>
                <w:iCs/>
                <w:color w:val="000000" w:themeColor="text1"/>
                <w:shd w:val="clear" w:color="auto" w:fill="FFFFFF"/>
              </w:rPr>
              <w:t>TraT</w:t>
            </w:r>
          </w:p>
        </w:tc>
        <w:tc>
          <w:tcPr>
            <w:tcW w:w="4936" w:type="dxa"/>
            <w:tcBorders>
              <w:top w:val="single" w:sz="4" w:space="0" w:color="auto"/>
              <w:left w:val="single" w:sz="4" w:space="0" w:color="auto"/>
              <w:bottom w:val="single" w:sz="4" w:space="0" w:color="auto"/>
              <w:right w:val="single" w:sz="4" w:space="0" w:color="auto"/>
            </w:tcBorders>
            <w:hideMark/>
          </w:tcPr>
          <w:p w14:paraId="3EE6835C"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F: GATGGCTGAACCGTGGTTATG</w:t>
            </w:r>
          </w:p>
          <w:p w14:paraId="2C4A473A"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R: CACACGGGTCTGGTATTTATGC</w:t>
            </w:r>
          </w:p>
        </w:tc>
        <w:tc>
          <w:tcPr>
            <w:tcW w:w="1397" w:type="dxa"/>
            <w:tcBorders>
              <w:top w:val="single" w:sz="4" w:space="0" w:color="auto"/>
              <w:left w:val="single" w:sz="4" w:space="0" w:color="auto"/>
              <w:bottom w:val="single" w:sz="4" w:space="0" w:color="auto"/>
              <w:right w:val="single" w:sz="4" w:space="0" w:color="auto"/>
            </w:tcBorders>
            <w:vAlign w:val="center"/>
            <w:hideMark/>
          </w:tcPr>
          <w:p w14:paraId="389B37A4"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307 </w:t>
            </w:r>
          </w:p>
        </w:tc>
        <w:tc>
          <w:tcPr>
            <w:tcW w:w="1955" w:type="dxa"/>
            <w:tcBorders>
              <w:top w:val="single" w:sz="4" w:space="0" w:color="auto"/>
              <w:left w:val="single" w:sz="4" w:space="0" w:color="auto"/>
              <w:bottom w:val="single" w:sz="4" w:space="0" w:color="auto"/>
              <w:right w:val="single" w:sz="4" w:space="0" w:color="auto"/>
            </w:tcBorders>
            <w:hideMark/>
          </w:tcPr>
          <w:p w14:paraId="35B25191"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Kaipainen </w:t>
            </w:r>
            <w:r w:rsidRPr="004F549F">
              <w:rPr>
                <w:rFonts w:ascii="Times New Roman" w:hAnsi="Times New Roman" w:cs="Times New Roman"/>
                <w:bCs/>
                <w:i/>
                <w:iCs/>
                <w:color w:val="000000" w:themeColor="text1"/>
                <w:shd w:val="clear" w:color="auto" w:fill="FFFFFF"/>
              </w:rPr>
              <w:t>et al</w:t>
            </w:r>
            <w:r w:rsidRPr="004F549F">
              <w:rPr>
                <w:rFonts w:ascii="Times New Roman" w:hAnsi="Times New Roman" w:cs="Times New Roman"/>
                <w:bCs/>
                <w:color w:val="000000" w:themeColor="text1"/>
                <w:shd w:val="clear" w:color="auto" w:fill="FFFFFF"/>
              </w:rPr>
              <w:t>. (2002)</w:t>
            </w:r>
          </w:p>
        </w:tc>
      </w:tr>
      <w:tr w:rsidR="00AA52FD" w:rsidRPr="004F549F" w14:paraId="3B353BEC" w14:textId="77777777" w:rsidTr="00403162">
        <w:trPr>
          <w:trHeight w:val="327"/>
        </w:trPr>
        <w:tc>
          <w:tcPr>
            <w:tcW w:w="589" w:type="dxa"/>
            <w:tcBorders>
              <w:top w:val="single" w:sz="4" w:space="0" w:color="auto"/>
              <w:left w:val="single" w:sz="4" w:space="0" w:color="auto"/>
              <w:bottom w:val="single" w:sz="4" w:space="0" w:color="auto"/>
              <w:right w:val="single" w:sz="4" w:space="0" w:color="auto"/>
            </w:tcBorders>
            <w:hideMark/>
          </w:tcPr>
          <w:p w14:paraId="52F05F3C"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6A824FD8"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43E0383"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i/>
                <w:iCs/>
                <w:color w:val="000000" w:themeColor="text1"/>
                <w:shd w:val="clear" w:color="auto" w:fill="FFFFFF"/>
              </w:rPr>
              <w:t>aer</w:t>
            </w:r>
          </w:p>
        </w:tc>
        <w:tc>
          <w:tcPr>
            <w:tcW w:w="4936" w:type="dxa"/>
            <w:tcBorders>
              <w:top w:val="single" w:sz="4" w:space="0" w:color="auto"/>
              <w:left w:val="single" w:sz="4" w:space="0" w:color="auto"/>
              <w:bottom w:val="single" w:sz="4" w:space="0" w:color="auto"/>
              <w:right w:val="single" w:sz="4" w:space="0" w:color="auto"/>
            </w:tcBorders>
            <w:hideMark/>
          </w:tcPr>
          <w:p w14:paraId="7A197D98"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F: TACCGGATTGTCATATGCAGACCGT</w:t>
            </w:r>
          </w:p>
          <w:p w14:paraId="3EF43B96"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R: AATATCTTCCTCCAGTCCGGAGAAG</w:t>
            </w:r>
          </w:p>
        </w:tc>
        <w:tc>
          <w:tcPr>
            <w:tcW w:w="1397" w:type="dxa"/>
            <w:tcBorders>
              <w:top w:val="single" w:sz="4" w:space="0" w:color="auto"/>
              <w:left w:val="single" w:sz="4" w:space="0" w:color="auto"/>
              <w:bottom w:val="single" w:sz="4" w:space="0" w:color="auto"/>
              <w:right w:val="single" w:sz="4" w:space="0" w:color="auto"/>
            </w:tcBorders>
            <w:vAlign w:val="center"/>
            <w:hideMark/>
          </w:tcPr>
          <w:p w14:paraId="3A9EBDA3"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602</w:t>
            </w:r>
          </w:p>
        </w:tc>
        <w:tc>
          <w:tcPr>
            <w:tcW w:w="1955" w:type="dxa"/>
            <w:tcBorders>
              <w:top w:val="single" w:sz="4" w:space="0" w:color="auto"/>
              <w:left w:val="single" w:sz="4" w:space="0" w:color="auto"/>
              <w:bottom w:val="single" w:sz="4" w:space="0" w:color="auto"/>
              <w:right w:val="single" w:sz="4" w:space="0" w:color="auto"/>
            </w:tcBorders>
            <w:hideMark/>
          </w:tcPr>
          <w:p w14:paraId="76DDEF60"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Oliveira </w:t>
            </w:r>
            <w:r w:rsidRPr="004F549F">
              <w:rPr>
                <w:rFonts w:ascii="Times New Roman" w:hAnsi="Times New Roman" w:cs="Times New Roman"/>
                <w:bCs/>
                <w:i/>
                <w:iCs/>
                <w:color w:val="000000" w:themeColor="text1"/>
                <w:shd w:val="clear" w:color="auto" w:fill="FFFFFF"/>
              </w:rPr>
              <w:t>et al.</w:t>
            </w:r>
            <w:r w:rsidRPr="004F549F">
              <w:rPr>
                <w:rFonts w:ascii="Times New Roman" w:hAnsi="Times New Roman" w:cs="Times New Roman"/>
                <w:bCs/>
                <w:color w:val="000000" w:themeColor="text1"/>
                <w:shd w:val="clear" w:color="auto" w:fill="FFFFFF"/>
              </w:rPr>
              <w:t xml:space="preserve"> (2011)</w:t>
            </w:r>
          </w:p>
        </w:tc>
      </w:tr>
      <w:tr w:rsidR="00AA52FD" w:rsidRPr="004F549F" w14:paraId="45862C09" w14:textId="77777777" w:rsidTr="00403162">
        <w:trPr>
          <w:trHeight w:val="287"/>
        </w:trPr>
        <w:tc>
          <w:tcPr>
            <w:tcW w:w="589" w:type="dxa"/>
            <w:tcBorders>
              <w:top w:val="single" w:sz="4" w:space="0" w:color="auto"/>
              <w:left w:val="single" w:sz="4" w:space="0" w:color="auto"/>
              <w:bottom w:val="single" w:sz="4" w:space="0" w:color="auto"/>
              <w:right w:val="single" w:sz="4" w:space="0" w:color="auto"/>
            </w:tcBorders>
            <w:hideMark/>
          </w:tcPr>
          <w:p w14:paraId="0448A4EE"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71EBE9EB"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279C3B4"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4F549F">
              <w:rPr>
                <w:rFonts w:ascii="Times New Roman" w:hAnsi="Times New Roman" w:cs="Times New Roman"/>
                <w:bCs/>
                <w:i/>
                <w:iCs/>
                <w:color w:val="000000" w:themeColor="text1"/>
                <w:shd w:val="clear" w:color="auto" w:fill="FFFFFF"/>
              </w:rPr>
              <w:t>hly</w:t>
            </w:r>
          </w:p>
        </w:tc>
        <w:tc>
          <w:tcPr>
            <w:tcW w:w="4936" w:type="dxa"/>
            <w:tcBorders>
              <w:top w:val="single" w:sz="4" w:space="0" w:color="auto"/>
              <w:left w:val="single" w:sz="4" w:space="0" w:color="auto"/>
              <w:bottom w:val="single" w:sz="4" w:space="0" w:color="auto"/>
              <w:right w:val="single" w:sz="4" w:space="0" w:color="auto"/>
            </w:tcBorders>
            <w:hideMark/>
          </w:tcPr>
          <w:p w14:paraId="14557017" w14:textId="77777777" w:rsidR="00292A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F: AACAAGGATAAGCACTGTTCTGGCT </w:t>
            </w:r>
          </w:p>
          <w:p w14:paraId="2CB9CF77"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color w:val="000000" w:themeColor="text1"/>
              </w:rPr>
            </w:pPr>
            <w:r w:rsidRPr="004F549F">
              <w:rPr>
                <w:rFonts w:ascii="Times New Roman" w:hAnsi="Times New Roman" w:cs="Times New Roman"/>
                <w:bCs/>
                <w:color w:val="000000" w:themeColor="text1"/>
                <w:shd w:val="clear" w:color="auto" w:fill="FFFFFF"/>
              </w:rPr>
              <w:t>R:  ACCATATAAGCGGTCATTCCCGTCA</w:t>
            </w:r>
          </w:p>
        </w:tc>
        <w:tc>
          <w:tcPr>
            <w:tcW w:w="1397" w:type="dxa"/>
            <w:tcBorders>
              <w:top w:val="single" w:sz="4" w:space="0" w:color="auto"/>
              <w:left w:val="single" w:sz="4" w:space="0" w:color="auto"/>
              <w:bottom w:val="single" w:sz="4" w:space="0" w:color="auto"/>
              <w:right w:val="single" w:sz="4" w:space="0" w:color="auto"/>
            </w:tcBorders>
            <w:vAlign w:val="center"/>
            <w:hideMark/>
          </w:tcPr>
          <w:p w14:paraId="6F58E00B"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1177 </w:t>
            </w:r>
          </w:p>
        </w:tc>
        <w:tc>
          <w:tcPr>
            <w:tcW w:w="1955" w:type="dxa"/>
            <w:tcBorders>
              <w:top w:val="single" w:sz="4" w:space="0" w:color="auto"/>
              <w:left w:val="single" w:sz="4" w:space="0" w:color="auto"/>
              <w:bottom w:val="single" w:sz="4" w:space="0" w:color="auto"/>
              <w:right w:val="single" w:sz="4" w:space="0" w:color="auto"/>
            </w:tcBorders>
            <w:hideMark/>
          </w:tcPr>
          <w:p w14:paraId="3F9801B4"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Younis </w:t>
            </w:r>
            <w:r w:rsidRPr="004F549F">
              <w:rPr>
                <w:rFonts w:ascii="Times New Roman" w:hAnsi="Times New Roman" w:cs="Times New Roman"/>
                <w:bCs/>
                <w:i/>
                <w:iCs/>
                <w:color w:val="000000" w:themeColor="text1"/>
                <w:shd w:val="clear" w:color="auto" w:fill="FFFFFF"/>
              </w:rPr>
              <w:t>et al.</w:t>
            </w:r>
            <w:r w:rsidRPr="004F549F">
              <w:rPr>
                <w:rFonts w:ascii="Times New Roman" w:hAnsi="Times New Roman" w:cs="Times New Roman"/>
                <w:bCs/>
                <w:color w:val="000000" w:themeColor="text1"/>
                <w:shd w:val="clear" w:color="auto" w:fill="FFFFFF"/>
              </w:rPr>
              <w:t xml:space="preserve"> (2021)</w:t>
            </w:r>
          </w:p>
        </w:tc>
      </w:tr>
      <w:tr w:rsidR="00AA52FD" w:rsidRPr="004F549F" w14:paraId="6DED8BDF" w14:textId="77777777" w:rsidTr="00403162">
        <w:trPr>
          <w:trHeight w:val="297"/>
        </w:trPr>
        <w:tc>
          <w:tcPr>
            <w:tcW w:w="589" w:type="dxa"/>
            <w:tcBorders>
              <w:top w:val="single" w:sz="4" w:space="0" w:color="auto"/>
              <w:left w:val="single" w:sz="4" w:space="0" w:color="auto"/>
              <w:bottom w:val="single" w:sz="4" w:space="0" w:color="auto"/>
              <w:right w:val="single" w:sz="4" w:space="0" w:color="auto"/>
            </w:tcBorders>
            <w:hideMark/>
          </w:tcPr>
          <w:p w14:paraId="47542059"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0169D053"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369B966"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4F549F">
              <w:rPr>
                <w:rFonts w:ascii="Times New Roman" w:hAnsi="Times New Roman" w:cs="Times New Roman"/>
                <w:bCs/>
                <w:i/>
                <w:iCs/>
                <w:color w:val="000000" w:themeColor="text1"/>
                <w:shd w:val="clear" w:color="auto" w:fill="FFFFFF"/>
              </w:rPr>
              <w:t>Stx1</w:t>
            </w:r>
          </w:p>
        </w:tc>
        <w:tc>
          <w:tcPr>
            <w:tcW w:w="4936" w:type="dxa"/>
            <w:tcBorders>
              <w:top w:val="single" w:sz="4" w:space="0" w:color="auto"/>
              <w:left w:val="single" w:sz="4" w:space="0" w:color="auto"/>
              <w:bottom w:val="single" w:sz="4" w:space="0" w:color="auto"/>
              <w:right w:val="single" w:sz="4" w:space="0" w:color="auto"/>
            </w:tcBorders>
            <w:hideMark/>
          </w:tcPr>
          <w:p w14:paraId="19FA4F35"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F: ACACTGGATGATCTCAGTGG</w:t>
            </w:r>
          </w:p>
          <w:p w14:paraId="32BD5855"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R: CTGAAATCCCCCTCCATTATG</w:t>
            </w:r>
          </w:p>
        </w:tc>
        <w:tc>
          <w:tcPr>
            <w:tcW w:w="1397" w:type="dxa"/>
            <w:tcBorders>
              <w:top w:val="single" w:sz="4" w:space="0" w:color="auto"/>
              <w:left w:val="single" w:sz="4" w:space="0" w:color="auto"/>
              <w:bottom w:val="single" w:sz="4" w:space="0" w:color="auto"/>
              <w:right w:val="single" w:sz="4" w:space="0" w:color="auto"/>
            </w:tcBorders>
            <w:vAlign w:val="center"/>
            <w:hideMark/>
          </w:tcPr>
          <w:p w14:paraId="24F27193"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 xml:space="preserve">555 </w:t>
            </w:r>
          </w:p>
        </w:tc>
        <w:tc>
          <w:tcPr>
            <w:tcW w:w="1955" w:type="dxa"/>
            <w:tcBorders>
              <w:top w:val="single" w:sz="4" w:space="0" w:color="auto"/>
              <w:left w:val="single" w:sz="4" w:space="0" w:color="auto"/>
              <w:bottom w:val="single" w:sz="4" w:space="0" w:color="auto"/>
              <w:right w:val="single" w:sz="4" w:space="0" w:color="auto"/>
            </w:tcBorders>
            <w:hideMark/>
          </w:tcPr>
          <w:p w14:paraId="03FBCCD4"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Cs/>
                <w:color w:val="000000" w:themeColor="text1"/>
                <w:shd w:val="clear" w:color="auto" w:fill="FFFFFF"/>
              </w:rPr>
              <w:t>Nguyen</w:t>
            </w:r>
            <w:r w:rsidRPr="004F549F">
              <w:rPr>
                <w:rFonts w:ascii="Times New Roman" w:hAnsi="Times New Roman" w:cs="Times New Roman"/>
                <w:bCs/>
                <w:i/>
                <w:iCs/>
                <w:color w:val="000000" w:themeColor="text1"/>
                <w:shd w:val="clear" w:color="auto" w:fill="FFFFFF"/>
              </w:rPr>
              <w:t xml:space="preserve"> et al. </w:t>
            </w:r>
            <w:r w:rsidRPr="004F549F">
              <w:rPr>
                <w:rFonts w:ascii="Times New Roman" w:hAnsi="Times New Roman" w:cs="Times New Roman"/>
                <w:bCs/>
                <w:color w:val="000000" w:themeColor="text1"/>
                <w:shd w:val="clear" w:color="auto" w:fill="FFFFFF"/>
              </w:rPr>
              <w:t>(2011)</w:t>
            </w:r>
          </w:p>
        </w:tc>
      </w:tr>
      <w:tr w:rsidR="00AA52FD" w:rsidRPr="004F549F" w14:paraId="70E6FD11" w14:textId="77777777" w:rsidTr="00403162">
        <w:trPr>
          <w:trHeight w:val="312"/>
        </w:trPr>
        <w:tc>
          <w:tcPr>
            <w:tcW w:w="589" w:type="dxa"/>
            <w:tcBorders>
              <w:top w:val="single" w:sz="4" w:space="0" w:color="auto"/>
              <w:left w:val="single" w:sz="4" w:space="0" w:color="auto"/>
              <w:bottom w:val="single" w:sz="4" w:space="0" w:color="auto"/>
              <w:right w:val="single" w:sz="4" w:space="0" w:color="auto"/>
            </w:tcBorders>
          </w:tcPr>
          <w:p w14:paraId="4D1BE651"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425F9874"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4F549F">
              <w:rPr>
                <w:rFonts w:ascii="Times New Roman" w:hAnsi="Times New Roman" w:cs="Times New Roman"/>
                <w:b/>
                <w:bCs/>
                <w:color w:val="000000" w:themeColor="text1"/>
                <w:shd w:val="clear" w:color="auto" w:fill="FFFFFF"/>
              </w:rPr>
              <w:t>6</w:t>
            </w:r>
          </w:p>
        </w:tc>
        <w:tc>
          <w:tcPr>
            <w:tcW w:w="1105" w:type="dxa"/>
            <w:tcBorders>
              <w:top w:val="single" w:sz="4" w:space="0" w:color="auto"/>
              <w:left w:val="single" w:sz="4" w:space="0" w:color="auto"/>
              <w:bottom w:val="single" w:sz="4" w:space="0" w:color="auto"/>
              <w:right w:val="single" w:sz="4" w:space="0" w:color="auto"/>
            </w:tcBorders>
            <w:vAlign w:val="center"/>
          </w:tcPr>
          <w:p w14:paraId="68686A9D"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4F549F">
              <w:rPr>
                <w:rFonts w:ascii="Times New Roman" w:hAnsi="Times New Roman" w:cs="Times New Roman"/>
                <w:bCs/>
                <w:i/>
                <w:iCs/>
                <w:color w:val="000000" w:themeColor="text1"/>
                <w:shd w:val="clear" w:color="auto" w:fill="FFFFFF"/>
              </w:rPr>
              <w:t>Stx2</w:t>
            </w:r>
          </w:p>
        </w:tc>
        <w:tc>
          <w:tcPr>
            <w:tcW w:w="4936" w:type="dxa"/>
            <w:tcBorders>
              <w:top w:val="single" w:sz="4" w:space="0" w:color="auto"/>
              <w:left w:val="single" w:sz="4" w:space="0" w:color="auto"/>
              <w:bottom w:val="single" w:sz="4" w:space="0" w:color="auto"/>
              <w:right w:val="single" w:sz="4" w:space="0" w:color="auto"/>
            </w:tcBorders>
          </w:tcPr>
          <w:p w14:paraId="08CEE606"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F: CCATGACAACGGACAGCAGTT</w:t>
            </w:r>
          </w:p>
          <w:p w14:paraId="045B379E"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R: CCTGTCAACTGAGCAGCACTTTG</w:t>
            </w:r>
          </w:p>
        </w:tc>
        <w:tc>
          <w:tcPr>
            <w:tcW w:w="1397" w:type="dxa"/>
            <w:tcBorders>
              <w:top w:val="single" w:sz="4" w:space="0" w:color="auto"/>
              <w:left w:val="single" w:sz="4" w:space="0" w:color="auto"/>
              <w:bottom w:val="single" w:sz="4" w:space="0" w:color="auto"/>
              <w:right w:val="single" w:sz="4" w:space="0" w:color="auto"/>
            </w:tcBorders>
            <w:vAlign w:val="center"/>
          </w:tcPr>
          <w:p w14:paraId="3A716E28"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4F549F">
              <w:rPr>
                <w:rFonts w:ascii="Times New Roman" w:hAnsi="Times New Roman" w:cs="Times New Roman"/>
                <w:bCs/>
                <w:color w:val="000000" w:themeColor="text1"/>
                <w:shd w:val="clear" w:color="auto" w:fill="FFFFFF"/>
              </w:rPr>
              <w:t>118</w:t>
            </w:r>
          </w:p>
        </w:tc>
        <w:tc>
          <w:tcPr>
            <w:tcW w:w="1955" w:type="dxa"/>
            <w:tcBorders>
              <w:top w:val="single" w:sz="4" w:space="0" w:color="auto"/>
              <w:left w:val="single" w:sz="4" w:space="0" w:color="auto"/>
              <w:bottom w:val="single" w:sz="4" w:space="0" w:color="auto"/>
              <w:right w:val="single" w:sz="4" w:space="0" w:color="auto"/>
            </w:tcBorders>
          </w:tcPr>
          <w:p w14:paraId="2C9BD27E" w14:textId="77777777" w:rsidR="00AA52FD" w:rsidRPr="004F549F"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4F549F">
              <w:rPr>
                <w:rFonts w:ascii="Times New Roman" w:hAnsi="Times New Roman" w:cs="Times New Roman"/>
                <w:bCs/>
                <w:color w:val="000000" w:themeColor="text1"/>
                <w:shd w:val="clear" w:color="auto" w:fill="FFFFFF"/>
              </w:rPr>
              <w:t>Nguyen</w:t>
            </w:r>
            <w:r w:rsidRPr="004F549F">
              <w:rPr>
                <w:rFonts w:ascii="Times New Roman" w:hAnsi="Times New Roman" w:cs="Times New Roman"/>
                <w:bCs/>
                <w:i/>
                <w:iCs/>
                <w:color w:val="000000" w:themeColor="text1"/>
                <w:shd w:val="clear" w:color="auto" w:fill="FFFFFF"/>
              </w:rPr>
              <w:t xml:space="preserve"> et al. </w:t>
            </w:r>
            <w:r w:rsidRPr="004F549F">
              <w:rPr>
                <w:rFonts w:ascii="Times New Roman" w:hAnsi="Times New Roman" w:cs="Times New Roman"/>
                <w:bCs/>
                <w:color w:val="000000" w:themeColor="text1"/>
                <w:shd w:val="clear" w:color="auto" w:fill="FFFFFF"/>
              </w:rPr>
              <w:t>(2011)</w:t>
            </w:r>
          </w:p>
        </w:tc>
      </w:tr>
    </w:tbl>
    <w:p w14:paraId="68877873" w14:textId="77777777" w:rsidR="00AA52FD" w:rsidRPr="004F549F" w:rsidRDefault="00AA52FD" w:rsidP="00401B92">
      <w:pPr>
        <w:spacing w:line="480" w:lineRule="auto"/>
        <w:ind w:firstLine="720"/>
        <w:jc w:val="both"/>
        <w:rPr>
          <w:rFonts w:ascii="Times New Roman" w:hAnsi="Times New Roman" w:cs="Times New Roman"/>
          <w:color w:val="000000" w:themeColor="text1"/>
        </w:rPr>
      </w:pPr>
    </w:p>
    <w:p w14:paraId="3024B69C" w14:textId="77777777" w:rsidR="0095529E" w:rsidRPr="004F549F" w:rsidRDefault="00FF0397" w:rsidP="00401B92">
      <w:pPr>
        <w:spacing w:line="480" w:lineRule="auto"/>
        <w:ind w:firstLine="720"/>
        <w:jc w:val="both"/>
        <w:rPr>
          <w:rFonts w:ascii="Times New Roman" w:hAnsi="Times New Roman" w:cs="Times New Roman"/>
          <w:color w:val="000000" w:themeColor="text1"/>
        </w:rPr>
      </w:pPr>
      <w:r w:rsidRPr="004F549F">
        <w:rPr>
          <w:color w:val="000000" w:themeColor="text1"/>
        </w:rPr>
        <w:lastRenderedPageBreak/>
        <w:t>Each reaction was performed in a final volume of 25 µL containing 12.5 µL of PCR master mix, 1 µL each of the forward and reverse primers, 2 µL of template DNA, and 8.5 µL of nuclease-free water. Amplification was conducted in a thermal cycler under the optimised cycling conditions shown in Table 3.</w:t>
      </w:r>
    </w:p>
    <w:p w14:paraId="0B7E488E" w14:textId="77777777" w:rsidR="00B1282E" w:rsidRPr="004F549F" w:rsidRDefault="00B1282E" w:rsidP="00401B92">
      <w:pPr>
        <w:spacing w:line="480" w:lineRule="auto"/>
        <w:jc w:val="both"/>
        <w:rPr>
          <w:rFonts w:ascii="Times New Roman" w:hAnsi="Times New Roman" w:cs="Times New Roman"/>
          <w:b/>
          <w:bCs/>
          <w:color w:val="000000" w:themeColor="text1"/>
        </w:rPr>
      </w:pPr>
    </w:p>
    <w:p w14:paraId="06B226D0" w14:textId="77777777" w:rsidR="00AA52FD" w:rsidRPr="004F549F" w:rsidRDefault="00AA52FD" w:rsidP="00AA52FD">
      <w:pPr>
        <w:spacing w:line="360" w:lineRule="auto"/>
        <w:jc w:val="both"/>
        <w:rPr>
          <w:rFonts w:ascii="Times New Roman" w:hAnsi="Times New Roman" w:cs="Times New Roman"/>
          <w:b/>
          <w:i/>
          <w:iCs/>
          <w:color w:val="000000" w:themeColor="text1"/>
          <w:lang w:bidi="th-TH"/>
        </w:rPr>
      </w:pPr>
      <w:r w:rsidRPr="004F549F">
        <w:rPr>
          <w:rFonts w:ascii="Times New Roman" w:hAnsi="Times New Roman" w:cs="Times New Roman"/>
          <w:b/>
          <w:bCs/>
          <w:iCs/>
          <w:color w:val="000000" w:themeColor="text1"/>
          <w:lang w:bidi="th-TH"/>
        </w:rPr>
        <w:t>Table</w:t>
      </w:r>
      <w:r w:rsidR="00D315ED" w:rsidRPr="004F549F">
        <w:rPr>
          <w:rFonts w:ascii="Times New Roman" w:hAnsi="Times New Roman" w:cs="Times New Roman"/>
          <w:b/>
          <w:bCs/>
          <w:iCs/>
          <w:color w:val="000000" w:themeColor="text1"/>
          <w:lang w:bidi="th-TH"/>
        </w:rPr>
        <w:t xml:space="preserve"> </w:t>
      </w:r>
      <w:r w:rsidRPr="004F549F">
        <w:rPr>
          <w:rFonts w:ascii="Times New Roman" w:hAnsi="Times New Roman" w:cs="Times New Roman"/>
          <w:b/>
          <w:bCs/>
          <w:iCs/>
          <w:color w:val="000000" w:themeColor="text1"/>
          <w:lang w:bidi="th-TH"/>
        </w:rPr>
        <w:t>3</w:t>
      </w:r>
      <w:r w:rsidRPr="004F549F">
        <w:rPr>
          <w:rFonts w:ascii="Times New Roman" w:hAnsi="Times New Roman" w:cs="Times New Roman"/>
          <w:bCs/>
          <w:iCs/>
          <w:color w:val="000000" w:themeColor="text1"/>
          <w:lang w:bidi="th-TH"/>
        </w:rPr>
        <w:t xml:space="preserve"> </w:t>
      </w:r>
      <w:r w:rsidRPr="004F549F">
        <w:rPr>
          <w:rFonts w:ascii="Times New Roman" w:hAnsi="Times New Roman" w:cs="Times New Roman"/>
          <w:b/>
          <w:bCs/>
          <w:color w:val="000000" w:themeColor="text1"/>
          <w:lang w:bidi="th-TH"/>
        </w:rPr>
        <w:t>PCR protocol for detection of virulent genes</w:t>
      </w:r>
      <w:r w:rsidR="00AA0C08" w:rsidRPr="004F549F">
        <w:rPr>
          <w:rFonts w:ascii="Times New Roman" w:hAnsi="Times New Roman" w:cs="Times New Roman"/>
          <w:b/>
          <w:bCs/>
          <w:color w:val="000000" w:themeColor="text1"/>
          <w:lang w:bidi="th-TH"/>
        </w:rPr>
        <w:t xml:space="preserve"> in </w:t>
      </w:r>
      <w:r w:rsidR="00AA0C08" w:rsidRPr="004F549F">
        <w:rPr>
          <w:rFonts w:ascii="Times New Roman" w:hAnsi="Times New Roman" w:cs="Times New Roman"/>
          <w:b/>
          <w:bCs/>
          <w:i/>
          <w:iCs/>
          <w:color w:val="000000" w:themeColor="text1"/>
          <w:lang w:bidi="th-TH"/>
        </w:rPr>
        <w:t>E.</w:t>
      </w:r>
      <w:r w:rsidR="00432D78" w:rsidRPr="004F549F">
        <w:rPr>
          <w:rFonts w:ascii="Times New Roman" w:hAnsi="Times New Roman" w:cs="Times New Roman"/>
          <w:b/>
          <w:bCs/>
          <w:i/>
          <w:iCs/>
          <w:color w:val="000000" w:themeColor="text1"/>
          <w:lang w:bidi="th-TH"/>
        </w:rPr>
        <w:t xml:space="preserve"> </w:t>
      </w:r>
      <w:r w:rsidR="00AA0C08" w:rsidRPr="004F549F">
        <w:rPr>
          <w:rFonts w:ascii="Times New Roman" w:hAnsi="Times New Roman" w:cs="Times New Roman"/>
          <w:b/>
          <w:bCs/>
          <w:i/>
          <w:iCs/>
          <w:color w:val="000000" w:themeColor="text1"/>
          <w:lang w:bidi="th-TH"/>
        </w:rPr>
        <w:t>coli</w:t>
      </w:r>
    </w:p>
    <w:tbl>
      <w:tblPr>
        <w:tblStyle w:val="TableGrid"/>
        <w:tblW w:w="9303" w:type="dxa"/>
        <w:tblInd w:w="-95" w:type="dxa"/>
        <w:tblLook w:val="04A0" w:firstRow="1" w:lastRow="0" w:firstColumn="1" w:lastColumn="0" w:noHBand="0" w:noVBand="1"/>
      </w:tblPr>
      <w:tblGrid>
        <w:gridCol w:w="1812"/>
        <w:gridCol w:w="1237"/>
        <w:gridCol w:w="1257"/>
        <w:gridCol w:w="1266"/>
        <w:gridCol w:w="1266"/>
        <w:gridCol w:w="1199"/>
        <w:gridCol w:w="1266"/>
      </w:tblGrid>
      <w:tr w:rsidR="00AA52FD" w:rsidRPr="004F549F" w14:paraId="11A28096"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7B87A804" w14:textId="77777777" w:rsidR="00AA52FD" w:rsidRPr="004F549F" w:rsidRDefault="00AA52FD" w:rsidP="00403162">
            <w:pPr>
              <w:spacing w:after="160" w:line="360" w:lineRule="auto"/>
              <w:jc w:val="center"/>
              <w:rPr>
                <w:rFonts w:ascii="Times New Roman" w:hAnsi="Times New Roman" w:cs="Times New Roman"/>
                <w:b/>
                <w:bCs/>
                <w:color w:val="000000" w:themeColor="text1"/>
                <w:lang w:bidi="th-TH"/>
              </w:rPr>
            </w:pPr>
            <w:r w:rsidRPr="004F549F">
              <w:rPr>
                <w:rFonts w:ascii="Times New Roman" w:hAnsi="Times New Roman" w:cs="Times New Roman"/>
                <w:b/>
                <w:bCs/>
                <w:color w:val="000000" w:themeColor="text1"/>
                <w:lang w:bidi="th-TH"/>
              </w:rPr>
              <w:t>Step name/gene targeted</w:t>
            </w:r>
          </w:p>
        </w:tc>
        <w:tc>
          <w:tcPr>
            <w:tcW w:w="1237" w:type="dxa"/>
            <w:tcBorders>
              <w:top w:val="single" w:sz="4" w:space="0" w:color="auto"/>
              <w:left w:val="single" w:sz="4" w:space="0" w:color="auto"/>
              <w:bottom w:val="single" w:sz="4" w:space="0" w:color="auto"/>
              <w:right w:val="single" w:sz="4" w:space="0" w:color="auto"/>
            </w:tcBorders>
          </w:tcPr>
          <w:p w14:paraId="1E4592F9" w14:textId="77777777" w:rsidR="00AA52FD" w:rsidRPr="004F549F" w:rsidRDefault="00AA52FD" w:rsidP="00403162">
            <w:pPr>
              <w:spacing w:after="160" w:line="360" w:lineRule="auto"/>
              <w:jc w:val="center"/>
              <w:rPr>
                <w:rFonts w:ascii="Times New Roman" w:hAnsi="Times New Roman" w:cs="Times New Roman"/>
                <w:b/>
                <w:bCs/>
                <w:i/>
                <w:iCs/>
                <w:color w:val="000000" w:themeColor="text1"/>
                <w:lang w:bidi="th-TH"/>
              </w:rPr>
            </w:pPr>
            <w:r w:rsidRPr="004F549F">
              <w:rPr>
                <w:rFonts w:ascii="Times New Roman" w:hAnsi="Times New Roman" w:cs="Times New Roman"/>
                <w:b/>
                <w:bCs/>
                <w:i/>
                <w:iCs/>
                <w:color w:val="000000" w:themeColor="text1"/>
                <w:lang w:bidi="th-TH"/>
              </w:rPr>
              <w:t>Stx1</w:t>
            </w:r>
          </w:p>
        </w:tc>
        <w:tc>
          <w:tcPr>
            <w:tcW w:w="1257" w:type="dxa"/>
            <w:tcBorders>
              <w:top w:val="single" w:sz="4" w:space="0" w:color="auto"/>
              <w:left w:val="single" w:sz="4" w:space="0" w:color="auto"/>
              <w:bottom w:val="single" w:sz="4" w:space="0" w:color="auto"/>
              <w:right w:val="single" w:sz="4" w:space="0" w:color="auto"/>
            </w:tcBorders>
          </w:tcPr>
          <w:p w14:paraId="6E241520" w14:textId="77777777" w:rsidR="00AA52FD" w:rsidRPr="004F549F" w:rsidRDefault="00AA52FD" w:rsidP="00403162">
            <w:pPr>
              <w:spacing w:after="160" w:line="360" w:lineRule="auto"/>
              <w:jc w:val="center"/>
              <w:rPr>
                <w:rFonts w:ascii="Times New Roman" w:hAnsi="Times New Roman" w:cs="Times New Roman"/>
                <w:b/>
                <w:bCs/>
                <w:i/>
                <w:iCs/>
                <w:color w:val="000000" w:themeColor="text1"/>
                <w:lang w:bidi="th-TH"/>
              </w:rPr>
            </w:pPr>
            <w:r w:rsidRPr="004F549F">
              <w:rPr>
                <w:rFonts w:ascii="Times New Roman" w:hAnsi="Times New Roman" w:cs="Times New Roman"/>
                <w:b/>
                <w:bCs/>
                <w:i/>
                <w:iCs/>
                <w:color w:val="000000" w:themeColor="text1"/>
                <w:lang w:bidi="th-TH"/>
              </w:rPr>
              <w:t>Stx2</w:t>
            </w:r>
          </w:p>
        </w:tc>
        <w:tc>
          <w:tcPr>
            <w:tcW w:w="1266" w:type="dxa"/>
            <w:tcBorders>
              <w:top w:val="single" w:sz="4" w:space="0" w:color="auto"/>
              <w:left w:val="single" w:sz="4" w:space="0" w:color="auto"/>
              <w:bottom w:val="single" w:sz="4" w:space="0" w:color="auto"/>
              <w:right w:val="single" w:sz="4" w:space="0" w:color="auto"/>
            </w:tcBorders>
          </w:tcPr>
          <w:p w14:paraId="794B4F14" w14:textId="77777777" w:rsidR="00AA52FD" w:rsidRPr="004F549F" w:rsidRDefault="00AA52FD" w:rsidP="00403162">
            <w:pPr>
              <w:spacing w:after="160" w:line="360" w:lineRule="auto"/>
              <w:jc w:val="center"/>
              <w:rPr>
                <w:rFonts w:ascii="Times New Roman" w:hAnsi="Times New Roman" w:cs="Times New Roman"/>
                <w:b/>
                <w:bCs/>
                <w:i/>
                <w:iCs/>
                <w:color w:val="000000" w:themeColor="text1"/>
                <w:lang w:bidi="th-TH"/>
              </w:rPr>
            </w:pPr>
            <w:r w:rsidRPr="004F549F">
              <w:rPr>
                <w:rFonts w:ascii="Times New Roman" w:hAnsi="Times New Roman" w:cs="Times New Roman"/>
                <w:b/>
                <w:bCs/>
                <w:i/>
                <w:iCs/>
                <w:color w:val="000000" w:themeColor="text1"/>
                <w:lang w:bidi="th-TH"/>
              </w:rPr>
              <w:t>aer</w:t>
            </w:r>
          </w:p>
        </w:tc>
        <w:tc>
          <w:tcPr>
            <w:tcW w:w="1266" w:type="dxa"/>
            <w:tcBorders>
              <w:top w:val="single" w:sz="4" w:space="0" w:color="auto"/>
              <w:left w:val="single" w:sz="4" w:space="0" w:color="auto"/>
              <w:bottom w:val="single" w:sz="4" w:space="0" w:color="auto"/>
              <w:right w:val="single" w:sz="4" w:space="0" w:color="auto"/>
            </w:tcBorders>
          </w:tcPr>
          <w:p w14:paraId="5925A62E" w14:textId="77777777" w:rsidR="00AA52FD" w:rsidRPr="004F549F" w:rsidRDefault="00AA52FD" w:rsidP="00403162">
            <w:pPr>
              <w:spacing w:after="160" w:line="360" w:lineRule="auto"/>
              <w:jc w:val="center"/>
              <w:rPr>
                <w:rFonts w:ascii="Times New Roman" w:hAnsi="Times New Roman" w:cs="Times New Roman"/>
                <w:b/>
                <w:bCs/>
                <w:i/>
                <w:iCs/>
                <w:color w:val="000000" w:themeColor="text1"/>
                <w:lang w:bidi="th-TH"/>
              </w:rPr>
            </w:pPr>
            <w:r w:rsidRPr="004F549F">
              <w:rPr>
                <w:rFonts w:ascii="Times New Roman" w:hAnsi="Times New Roman" w:cs="Times New Roman"/>
                <w:b/>
                <w:bCs/>
                <w:i/>
                <w:iCs/>
                <w:color w:val="000000" w:themeColor="text1"/>
                <w:lang w:bidi="th-TH"/>
              </w:rPr>
              <w:t>eaeA</w:t>
            </w:r>
          </w:p>
        </w:tc>
        <w:tc>
          <w:tcPr>
            <w:tcW w:w="1199" w:type="dxa"/>
            <w:tcBorders>
              <w:top w:val="single" w:sz="4" w:space="0" w:color="auto"/>
              <w:left w:val="single" w:sz="4" w:space="0" w:color="auto"/>
              <w:bottom w:val="single" w:sz="4" w:space="0" w:color="auto"/>
              <w:right w:val="single" w:sz="4" w:space="0" w:color="auto"/>
            </w:tcBorders>
          </w:tcPr>
          <w:p w14:paraId="14650C8E" w14:textId="77777777" w:rsidR="00AA52FD" w:rsidRPr="004F549F" w:rsidRDefault="00AA52FD" w:rsidP="00403162">
            <w:pPr>
              <w:spacing w:after="160" w:line="360" w:lineRule="auto"/>
              <w:jc w:val="center"/>
              <w:rPr>
                <w:rFonts w:ascii="Times New Roman" w:hAnsi="Times New Roman" w:cs="Times New Roman"/>
                <w:b/>
                <w:bCs/>
                <w:i/>
                <w:iCs/>
                <w:color w:val="000000" w:themeColor="text1"/>
                <w:lang w:bidi="th-TH"/>
              </w:rPr>
            </w:pPr>
            <w:r w:rsidRPr="004F549F">
              <w:rPr>
                <w:rFonts w:ascii="Times New Roman" w:hAnsi="Times New Roman" w:cs="Times New Roman"/>
                <w:b/>
                <w:bCs/>
                <w:i/>
                <w:iCs/>
                <w:color w:val="000000" w:themeColor="text1"/>
                <w:lang w:bidi="th-TH"/>
              </w:rPr>
              <w:t>hly</w:t>
            </w:r>
          </w:p>
        </w:tc>
        <w:tc>
          <w:tcPr>
            <w:tcW w:w="1266" w:type="dxa"/>
            <w:tcBorders>
              <w:top w:val="single" w:sz="4" w:space="0" w:color="auto"/>
              <w:left w:val="single" w:sz="4" w:space="0" w:color="auto"/>
              <w:bottom w:val="single" w:sz="4" w:space="0" w:color="auto"/>
              <w:right w:val="single" w:sz="4" w:space="0" w:color="auto"/>
            </w:tcBorders>
          </w:tcPr>
          <w:p w14:paraId="039F4EE6" w14:textId="77777777" w:rsidR="00AA52FD" w:rsidRPr="004F549F" w:rsidRDefault="00AA52FD" w:rsidP="00403162">
            <w:pPr>
              <w:spacing w:after="160" w:line="360" w:lineRule="auto"/>
              <w:jc w:val="center"/>
              <w:rPr>
                <w:rFonts w:ascii="Times New Roman" w:hAnsi="Times New Roman" w:cs="Times New Roman"/>
                <w:b/>
                <w:bCs/>
                <w:i/>
                <w:iCs/>
                <w:color w:val="000000" w:themeColor="text1"/>
                <w:lang w:bidi="th-TH"/>
              </w:rPr>
            </w:pPr>
            <w:r w:rsidRPr="004F549F">
              <w:rPr>
                <w:rFonts w:ascii="Times New Roman" w:hAnsi="Times New Roman" w:cs="Times New Roman"/>
                <w:b/>
                <w:bCs/>
                <w:i/>
                <w:iCs/>
                <w:color w:val="000000" w:themeColor="text1"/>
                <w:lang w:bidi="th-TH"/>
              </w:rPr>
              <w:t>TraT</w:t>
            </w:r>
          </w:p>
        </w:tc>
      </w:tr>
      <w:tr w:rsidR="00AA52FD" w:rsidRPr="004F549F" w14:paraId="35016435" w14:textId="77777777" w:rsidTr="00403162">
        <w:trPr>
          <w:trHeight w:val="371"/>
        </w:trPr>
        <w:tc>
          <w:tcPr>
            <w:tcW w:w="1812" w:type="dxa"/>
            <w:tcBorders>
              <w:top w:val="single" w:sz="4" w:space="0" w:color="auto"/>
              <w:left w:val="single" w:sz="4" w:space="0" w:color="auto"/>
              <w:bottom w:val="single" w:sz="4" w:space="0" w:color="auto"/>
              <w:right w:val="single" w:sz="4" w:space="0" w:color="auto"/>
            </w:tcBorders>
            <w:hideMark/>
          </w:tcPr>
          <w:p w14:paraId="222BA25B" w14:textId="77777777" w:rsidR="00AA52FD" w:rsidRPr="004F549F" w:rsidRDefault="00AA52FD" w:rsidP="00403162">
            <w:pPr>
              <w:spacing w:after="160" w:line="360" w:lineRule="auto"/>
              <w:jc w:val="center"/>
              <w:rPr>
                <w:rFonts w:ascii="Times New Roman" w:hAnsi="Times New Roman" w:cs="Times New Roman"/>
                <w:b/>
                <w:bCs/>
                <w:color w:val="000000" w:themeColor="text1"/>
                <w:lang w:bidi="th-TH"/>
              </w:rPr>
            </w:pPr>
            <w:r w:rsidRPr="004F549F">
              <w:rPr>
                <w:rFonts w:ascii="Times New Roman" w:hAnsi="Times New Roman" w:cs="Times New Roman"/>
                <w:bCs/>
                <w:color w:val="000000" w:themeColor="text1"/>
                <w:lang w:bidi="th-TH"/>
              </w:rPr>
              <w:t>Initial denaturation</w:t>
            </w:r>
          </w:p>
        </w:tc>
        <w:tc>
          <w:tcPr>
            <w:tcW w:w="1237" w:type="dxa"/>
            <w:tcBorders>
              <w:top w:val="single" w:sz="4" w:space="0" w:color="auto"/>
              <w:left w:val="single" w:sz="4" w:space="0" w:color="auto"/>
              <w:bottom w:val="single" w:sz="4" w:space="0" w:color="auto"/>
              <w:right w:val="single" w:sz="4" w:space="0" w:color="auto"/>
            </w:tcBorders>
          </w:tcPr>
          <w:p w14:paraId="7F0048CF"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48F61F8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10 min</w:t>
            </w:r>
          </w:p>
        </w:tc>
        <w:tc>
          <w:tcPr>
            <w:tcW w:w="1257" w:type="dxa"/>
            <w:tcBorders>
              <w:top w:val="single" w:sz="4" w:space="0" w:color="auto"/>
              <w:left w:val="single" w:sz="4" w:space="0" w:color="auto"/>
              <w:bottom w:val="single" w:sz="4" w:space="0" w:color="auto"/>
              <w:right w:val="single" w:sz="4" w:space="0" w:color="auto"/>
            </w:tcBorders>
          </w:tcPr>
          <w:p w14:paraId="2524D22B"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109F77B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50C074E1"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0250CDEF" w14:textId="77777777" w:rsidR="00AA52FD" w:rsidRPr="004F549F" w:rsidRDefault="00AA52FD" w:rsidP="00403162">
            <w:pPr>
              <w:spacing w:after="160" w:line="360" w:lineRule="auto"/>
              <w:jc w:val="center"/>
              <w:rPr>
                <w:rFonts w:ascii="Times New Roman" w:hAnsi="Times New Roman" w:cs="Times New Roman"/>
                <w:color w:val="000000" w:themeColor="text1"/>
                <w:lang w:bidi="th-TH"/>
              </w:rPr>
            </w:pPr>
            <w:r w:rsidRPr="004F549F">
              <w:rPr>
                <w:rFonts w:ascii="Times New Roman" w:hAnsi="Times New Roman" w:cs="Times New Roman"/>
                <w:bCs/>
                <w:color w:val="000000" w:themeColor="text1"/>
                <w:lang w:bidi="th-TH"/>
              </w:rPr>
              <w:t>1 min</w:t>
            </w:r>
          </w:p>
        </w:tc>
        <w:tc>
          <w:tcPr>
            <w:tcW w:w="1266" w:type="dxa"/>
            <w:tcBorders>
              <w:top w:val="single" w:sz="4" w:space="0" w:color="auto"/>
              <w:left w:val="single" w:sz="4" w:space="0" w:color="auto"/>
              <w:bottom w:val="single" w:sz="4" w:space="0" w:color="auto"/>
              <w:right w:val="single" w:sz="4" w:space="0" w:color="auto"/>
            </w:tcBorders>
          </w:tcPr>
          <w:p w14:paraId="70F8F667"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95°C</w:t>
            </w:r>
          </w:p>
          <w:p w14:paraId="1A11D08C"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 min</w:t>
            </w:r>
          </w:p>
        </w:tc>
        <w:tc>
          <w:tcPr>
            <w:tcW w:w="1199" w:type="dxa"/>
            <w:tcBorders>
              <w:top w:val="single" w:sz="4" w:space="0" w:color="auto"/>
              <w:left w:val="single" w:sz="4" w:space="0" w:color="auto"/>
              <w:bottom w:val="single" w:sz="4" w:space="0" w:color="auto"/>
              <w:right w:val="single" w:sz="4" w:space="0" w:color="auto"/>
            </w:tcBorders>
          </w:tcPr>
          <w:p w14:paraId="387A507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476DDB9E"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 min</w:t>
            </w:r>
          </w:p>
        </w:tc>
        <w:tc>
          <w:tcPr>
            <w:tcW w:w="1266" w:type="dxa"/>
            <w:tcBorders>
              <w:top w:val="single" w:sz="4" w:space="0" w:color="auto"/>
              <w:left w:val="single" w:sz="4" w:space="0" w:color="auto"/>
              <w:bottom w:val="single" w:sz="4" w:space="0" w:color="auto"/>
              <w:right w:val="single" w:sz="4" w:space="0" w:color="auto"/>
            </w:tcBorders>
          </w:tcPr>
          <w:p w14:paraId="5C8F15F0"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78497459"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10 min</w:t>
            </w:r>
          </w:p>
        </w:tc>
      </w:tr>
      <w:tr w:rsidR="00AA52FD" w:rsidRPr="004F549F" w14:paraId="6DB804B1"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116E120F" w14:textId="77777777" w:rsidR="00AA52FD" w:rsidRPr="004F549F" w:rsidRDefault="00AA52FD" w:rsidP="00403162">
            <w:pPr>
              <w:spacing w:after="160" w:line="360" w:lineRule="auto"/>
              <w:jc w:val="center"/>
              <w:rPr>
                <w:rFonts w:ascii="Times New Roman" w:hAnsi="Times New Roman" w:cs="Times New Roman"/>
                <w:b/>
                <w:bCs/>
                <w:color w:val="000000" w:themeColor="text1"/>
                <w:lang w:bidi="th-TH"/>
              </w:rPr>
            </w:pPr>
            <w:r w:rsidRPr="004F549F">
              <w:rPr>
                <w:rFonts w:ascii="Times New Roman" w:hAnsi="Times New Roman" w:cs="Times New Roman"/>
                <w:bCs/>
                <w:color w:val="000000" w:themeColor="text1"/>
                <w:lang w:bidi="th-TH"/>
              </w:rPr>
              <w:t>Denaturation</w:t>
            </w:r>
          </w:p>
        </w:tc>
        <w:tc>
          <w:tcPr>
            <w:tcW w:w="1237" w:type="dxa"/>
            <w:tcBorders>
              <w:top w:val="single" w:sz="4" w:space="0" w:color="auto"/>
              <w:left w:val="single" w:sz="4" w:space="0" w:color="auto"/>
              <w:bottom w:val="single" w:sz="4" w:space="0" w:color="auto"/>
              <w:right w:val="single" w:sz="4" w:space="0" w:color="auto"/>
            </w:tcBorders>
          </w:tcPr>
          <w:p w14:paraId="46B783E5"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094BB5BF"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30 sec</w:t>
            </w:r>
          </w:p>
        </w:tc>
        <w:tc>
          <w:tcPr>
            <w:tcW w:w="1257" w:type="dxa"/>
            <w:tcBorders>
              <w:top w:val="single" w:sz="4" w:space="0" w:color="auto"/>
              <w:left w:val="single" w:sz="4" w:space="0" w:color="auto"/>
              <w:bottom w:val="single" w:sz="4" w:space="0" w:color="auto"/>
              <w:right w:val="single" w:sz="4" w:space="0" w:color="auto"/>
            </w:tcBorders>
          </w:tcPr>
          <w:p w14:paraId="388813C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576BF716"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63F2E480"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7834F6B6"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 min</w:t>
            </w:r>
          </w:p>
        </w:tc>
        <w:tc>
          <w:tcPr>
            <w:tcW w:w="1266" w:type="dxa"/>
            <w:tcBorders>
              <w:top w:val="single" w:sz="4" w:space="0" w:color="auto"/>
              <w:left w:val="single" w:sz="4" w:space="0" w:color="auto"/>
              <w:bottom w:val="single" w:sz="4" w:space="0" w:color="auto"/>
              <w:right w:val="single" w:sz="4" w:space="0" w:color="auto"/>
            </w:tcBorders>
          </w:tcPr>
          <w:p w14:paraId="22E999C2"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76BC61D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30 sec</w:t>
            </w:r>
          </w:p>
        </w:tc>
        <w:tc>
          <w:tcPr>
            <w:tcW w:w="1199" w:type="dxa"/>
            <w:tcBorders>
              <w:top w:val="single" w:sz="4" w:space="0" w:color="auto"/>
              <w:left w:val="single" w:sz="4" w:space="0" w:color="auto"/>
              <w:bottom w:val="single" w:sz="4" w:space="0" w:color="auto"/>
              <w:right w:val="single" w:sz="4" w:space="0" w:color="auto"/>
            </w:tcBorders>
          </w:tcPr>
          <w:p w14:paraId="3402886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94°C</w:t>
            </w:r>
          </w:p>
          <w:p w14:paraId="6038288B"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657834C2"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95°C</w:t>
            </w:r>
          </w:p>
          <w:p w14:paraId="4F8CF5A1"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2 min</w:t>
            </w:r>
          </w:p>
        </w:tc>
      </w:tr>
      <w:tr w:rsidR="00AA52FD" w:rsidRPr="004F549F" w14:paraId="76861A54" w14:textId="77777777" w:rsidTr="00403162">
        <w:trPr>
          <w:trHeight w:val="854"/>
        </w:trPr>
        <w:tc>
          <w:tcPr>
            <w:tcW w:w="1812" w:type="dxa"/>
            <w:tcBorders>
              <w:top w:val="single" w:sz="4" w:space="0" w:color="auto"/>
              <w:left w:val="single" w:sz="4" w:space="0" w:color="auto"/>
              <w:bottom w:val="single" w:sz="4" w:space="0" w:color="auto"/>
              <w:right w:val="single" w:sz="4" w:space="0" w:color="auto"/>
            </w:tcBorders>
            <w:hideMark/>
          </w:tcPr>
          <w:p w14:paraId="4798E706" w14:textId="77777777" w:rsidR="00AA52FD" w:rsidRPr="004F549F" w:rsidRDefault="00AA52FD" w:rsidP="00403162">
            <w:pPr>
              <w:spacing w:after="160" w:line="360" w:lineRule="auto"/>
              <w:jc w:val="center"/>
              <w:rPr>
                <w:rFonts w:ascii="Times New Roman" w:hAnsi="Times New Roman" w:cs="Times New Roman"/>
                <w:b/>
                <w:bCs/>
                <w:color w:val="000000" w:themeColor="text1"/>
                <w:lang w:bidi="th-TH"/>
              </w:rPr>
            </w:pPr>
            <w:r w:rsidRPr="004F549F">
              <w:rPr>
                <w:rFonts w:ascii="Times New Roman" w:hAnsi="Times New Roman" w:cs="Times New Roman"/>
                <w:bCs/>
                <w:color w:val="000000" w:themeColor="text1"/>
                <w:lang w:bidi="th-TH"/>
              </w:rPr>
              <w:t>Annealing</w:t>
            </w:r>
          </w:p>
        </w:tc>
        <w:tc>
          <w:tcPr>
            <w:tcW w:w="1237" w:type="dxa"/>
            <w:tcBorders>
              <w:top w:val="single" w:sz="4" w:space="0" w:color="auto"/>
              <w:left w:val="single" w:sz="4" w:space="0" w:color="auto"/>
              <w:bottom w:val="single" w:sz="4" w:space="0" w:color="auto"/>
              <w:right w:val="single" w:sz="4" w:space="0" w:color="auto"/>
            </w:tcBorders>
          </w:tcPr>
          <w:p w14:paraId="4FE39A3C"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50°C</w:t>
            </w:r>
          </w:p>
          <w:p w14:paraId="69A0CD74"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45 sec</w:t>
            </w:r>
          </w:p>
        </w:tc>
        <w:tc>
          <w:tcPr>
            <w:tcW w:w="1257" w:type="dxa"/>
            <w:tcBorders>
              <w:top w:val="single" w:sz="4" w:space="0" w:color="auto"/>
              <w:left w:val="single" w:sz="4" w:space="0" w:color="auto"/>
              <w:bottom w:val="single" w:sz="4" w:space="0" w:color="auto"/>
              <w:right w:val="single" w:sz="4" w:space="0" w:color="auto"/>
            </w:tcBorders>
          </w:tcPr>
          <w:p w14:paraId="58F6DD4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50°C</w:t>
            </w:r>
          </w:p>
          <w:p w14:paraId="11944D4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45 sec</w:t>
            </w:r>
          </w:p>
        </w:tc>
        <w:tc>
          <w:tcPr>
            <w:tcW w:w="1266" w:type="dxa"/>
            <w:tcBorders>
              <w:top w:val="single" w:sz="4" w:space="0" w:color="auto"/>
              <w:left w:val="single" w:sz="4" w:space="0" w:color="auto"/>
              <w:bottom w:val="single" w:sz="4" w:space="0" w:color="auto"/>
              <w:right w:val="single" w:sz="4" w:space="0" w:color="auto"/>
            </w:tcBorders>
          </w:tcPr>
          <w:p w14:paraId="01657E21"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63°C</w:t>
            </w:r>
          </w:p>
          <w:p w14:paraId="2DA4699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1773A924"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51°C</w:t>
            </w:r>
          </w:p>
          <w:p w14:paraId="4B2C7C8B"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30 sec</w:t>
            </w:r>
          </w:p>
        </w:tc>
        <w:tc>
          <w:tcPr>
            <w:tcW w:w="1199" w:type="dxa"/>
            <w:tcBorders>
              <w:top w:val="single" w:sz="4" w:space="0" w:color="auto"/>
              <w:left w:val="single" w:sz="4" w:space="0" w:color="auto"/>
              <w:bottom w:val="single" w:sz="4" w:space="0" w:color="auto"/>
              <w:right w:val="single" w:sz="4" w:space="0" w:color="auto"/>
            </w:tcBorders>
          </w:tcPr>
          <w:p w14:paraId="04B2B402"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54°C</w:t>
            </w:r>
          </w:p>
          <w:p w14:paraId="56B061E1"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40 sec</w:t>
            </w:r>
          </w:p>
        </w:tc>
        <w:tc>
          <w:tcPr>
            <w:tcW w:w="1266" w:type="dxa"/>
            <w:tcBorders>
              <w:top w:val="single" w:sz="4" w:space="0" w:color="auto"/>
              <w:left w:val="single" w:sz="4" w:space="0" w:color="auto"/>
              <w:bottom w:val="single" w:sz="4" w:space="0" w:color="auto"/>
              <w:right w:val="single" w:sz="4" w:space="0" w:color="auto"/>
            </w:tcBorders>
          </w:tcPr>
          <w:p w14:paraId="47A7D492"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55°C</w:t>
            </w:r>
          </w:p>
          <w:p w14:paraId="0C92CB1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 min</w:t>
            </w:r>
          </w:p>
        </w:tc>
      </w:tr>
      <w:tr w:rsidR="00AA52FD" w:rsidRPr="004F549F" w14:paraId="6016CA09" w14:textId="77777777" w:rsidTr="00AA52FD">
        <w:trPr>
          <w:trHeight w:val="1344"/>
        </w:trPr>
        <w:tc>
          <w:tcPr>
            <w:tcW w:w="1812" w:type="dxa"/>
            <w:tcBorders>
              <w:top w:val="single" w:sz="4" w:space="0" w:color="auto"/>
              <w:left w:val="single" w:sz="4" w:space="0" w:color="auto"/>
              <w:bottom w:val="single" w:sz="4" w:space="0" w:color="auto"/>
              <w:right w:val="single" w:sz="4" w:space="0" w:color="auto"/>
            </w:tcBorders>
            <w:hideMark/>
          </w:tcPr>
          <w:p w14:paraId="11ACF4B7"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Extension</w:t>
            </w:r>
          </w:p>
        </w:tc>
        <w:tc>
          <w:tcPr>
            <w:tcW w:w="1237" w:type="dxa"/>
            <w:tcBorders>
              <w:top w:val="single" w:sz="4" w:space="0" w:color="auto"/>
              <w:left w:val="single" w:sz="4" w:space="0" w:color="auto"/>
              <w:bottom w:val="single" w:sz="4" w:space="0" w:color="auto"/>
              <w:right w:val="single" w:sz="4" w:space="0" w:color="auto"/>
            </w:tcBorders>
          </w:tcPr>
          <w:p w14:paraId="3334CF0C"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70°C</w:t>
            </w:r>
          </w:p>
          <w:p w14:paraId="0BF7CC8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90 sec</w:t>
            </w:r>
          </w:p>
        </w:tc>
        <w:tc>
          <w:tcPr>
            <w:tcW w:w="1257" w:type="dxa"/>
            <w:tcBorders>
              <w:top w:val="single" w:sz="4" w:space="0" w:color="auto"/>
              <w:left w:val="single" w:sz="4" w:space="0" w:color="auto"/>
              <w:bottom w:val="single" w:sz="4" w:space="0" w:color="auto"/>
              <w:right w:val="single" w:sz="4" w:space="0" w:color="auto"/>
            </w:tcBorders>
          </w:tcPr>
          <w:p w14:paraId="3C6E810E"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70°C</w:t>
            </w:r>
          </w:p>
          <w:p w14:paraId="7659D564"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90 sec</w:t>
            </w:r>
          </w:p>
        </w:tc>
        <w:tc>
          <w:tcPr>
            <w:tcW w:w="1266" w:type="dxa"/>
            <w:tcBorders>
              <w:top w:val="single" w:sz="4" w:space="0" w:color="auto"/>
              <w:left w:val="single" w:sz="4" w:space="0" w:color="auto"/>
              <w:bottom w:val="single" w:sz="4" w:space="0" w:color="auto"/>
              <w:right w:val="single" w:sz="4" w:space="0" w:color="auto"/>
            </w:tcBorders>
          </w:tcPr>
          <w:p w14:paraId="6F5C5F53"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70°C</w:t>
            </w:r>
          </w:p>
          <w:p w14:paraId="45C1F90D"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90 sec</w:t>
            </w:r>
          </w:p>
        </w:tc>
        <w:tc>
          <w:tcPr>
            <w:tcW w:w="1266" w:type="dxa"/>
            <w:tcBorders>
              <w:top w:val="single" w:sz="4" w:space="0" w:color="auto"/>
              <w:left w:val="single" w:sz="4" w:space="0" w:color="auto"/>
              <w:bottom w:val="single" w:sz="4" w:space="0" w:color="auto"/>
              <w:right w:val="single" w:sz="4" w:space="0" w:color="auto"/>
            </w:tcBorders>
          </w:tcPr>
          <w:p w14:paraId="3D7C31F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60961DE2"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30 sec</w:t>
            </w:r>
          </w:p>
          <w:p w14:paraId="7A054DAD"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p>
        </w:tc>
        <w:tc>
          <w:tcPr>
            <w:tcW w:w="1199" w:type="dxa"/>
            <w:tcBorders>
              <w:top w:val="single" w:sz="4" w:space="0" w:color="auto"/>
              <w:left w:val="single" w:sz="4" w:space="0" w:color="auto"/>
              <w:bottom w:val="single" w:sz="4" w:space="0" w:color="auto"/>
              <w:right w:val="single" w:sz="4" w:space="0" w:color="auto"/>
            </w:tcBorders>
          </w:tcPr>
          <w:p w14:paraId="3881D93D"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6877C882"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45 sec</w:t>
            </w:r>
          </w:p>
          <w:p w14:paraId="56540AC7"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p>
        </w:tc>
        <w:tc>
          <w:tcPr>
            <w:tcW w:w="1266" w:type="dxa"/>
            <w:tcBorders>
              <w:top w:val="single" w:sz="4" w:space="0" w:color="auto"/>
              <w:left w:val="single" w:sz="4" w:space="0" w:color="auto"/>
              <w:bottom w:val="single" w:sz="4" w:space="0" w:color="auto"/>
              <w:right w:val="single" w:sz="4" w:space="0" w:color="auto"/>
            </w:tcBorders>
          </w:tcPr>
          <w:p w14:paraId="712E4F2E"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18A07E37"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 min</w:t>
            </w:r>
          </w:p>
        </w:tc>
      </w:tr>
      <w:tr w:rsidR="00AA52FD" w:rsidRPr="004F549F" w14:paraId="70DBD8DE"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6551B51A" w14:textId="77777777" w:rsidR="00AA52FD" w:rsidRPr="004F549F" w:rsidRDefault="00AA52FD" w:rsidP="00403162">
            <w:pPr>
              <w:spacing w:after="160" w:line="360" w:lineRule="auto"/>
              <w:jc w:val="center"/>
              <w:rPr>
                <w:rFonts w:ascii="Times New Roman" w:hAnsi="Times New Roman" w:cs="Times New Roman"/>
                <w:b/>
                <w:bCs/>
                <w:color w:val="000000" w:themeColor="text1"/>
                <w:lang w:bidi="th-TH"/>
              </w:rPr>
            </w:pPr>
            <w:r w:rsidRPr="004F549F">
              <w:rPr>
                <w:rFonts w:ascii="Times New Roman" w:hAnsi="Times New Roman" w:cs="Times New Roman"/>
                <w:bCs/>
                <w:color w:val="000000" w:themeColor="text1"/>
                <w:lang w:bidi="th-TH"/>
              </w:rPr>
              <w:t>Final extension</w:t>
            </w:r>
          </w:p>
        </w:tc>
        <w:tc>
          <w:tcPr>
            <w:tcW w:w="1237" w:type="dxa"/>
            <w:tcBorders>
              <w:top w:val="single" w:sz="4" w:space="0" w:color="auto"/>
              <w:left w:val="single" w:sz="4" w:space="0" w:color="auto"/>
              <w:bottom w:val="single" w:sz="4" w:space="0" w:color="auto"/>
              <w:right w:val="single" w:sz="4" w:space="0" w:color="auto"/>
            </w:tcBorders>
          </w:tcPr>
          <w:p w14:paraId="0A9D8DA0"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594EEB2C"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10 min</w:t>
            </w:r>
          </w:p>
        </w:tc>
        <w:tc>
          <w:tcPr>
            <w:tcW w:w="1257" w:type="dxa"/>
            <w:tcBorders>
              <w:top w:val="single" w:sz="4" w:space="0" w:color="auto"/>
              <w:left w:val="single" w:sz="4" w:space="0" w:color="auto"/>
              <w:bottom w:val="single" w:sz="4" w:space="0" w:color="auto"/>
              <w:right w:val="single" w:sz="4" w:space="0" w:color="auto"/>
            </w:tcBorders>
          </w:tcPr>
          <w:p w14:paraId="43A0CBB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0AB4891F"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4AFD28FA"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6D19D9EE"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5 min</w:t>
            </w:r>
          </w:p>
        </w:tc>
        <w:tc>
          <w:tcPr>
            <w:tcW w:w="1266" w:type="dxa"/>
            <w:tcBorders>
              <w:top w:val="single" w:sz="4" w:space="0" w:color="auto"/>
              <w:left w:val="single" w:sz="4" w:space="0" w:color="auto"/>
              <w:bottom w:val="single" w:sz="4" w:space="0" w:color="auto"/>
              <w:right w:val="single" w:sz="4" w:space="0" w:color="auto"/>
            </w:tcBorders>
          </w:tcPr>
          <w:p w14:paraId="13CA7ADF"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59D876C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 min</w:t>
            </w:r>
          </w:p>
        </w:tc>
        <w:tc>
          <w:tcPr>
            <w:tcW w:w="1199" w:type="dxa"/>
            <w:tcBorders>
              <w:top w:val="single" w:sz="4" w:space="0" w:color="auto"/>
              <w:left w:val="single" w:sz="4" w:space="0" w:color="auto"/>
              <w:bottom w:val="single" w:sz="4" w:space="0" w:color="auto"/>
              <w:right w:val="single" w:sz="4" w:space="0" w:color="auto"/>
            </w:tcBorders>
          </w:tcPr>
          <w:p w14:paraId="6051B238"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72°C</w:t>
            </w:r>
          </w:p>
          <w:p w14:paraId="392EE6D6"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575A6713"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70°C</w:t>
            </w:r>
          </w:p>
          <w:p w14:paraId="42311ABF" w14:textId="77777777" w:rsidR="00AA52FD" w:rsidRPr="004F549F" w:rsidRDefault="00AA52FD" w:rsidP="00403162">
            <w:pPr>
              <w:spacing w:after="160" w:line="360" w:lineRule="auto"/>
              <w:jc w:val="center"/>
              <w:rPr>
                <w:rFonts w:ascii="Times New Roman" w:hAnsi="Times New Roman" w:cs="Times New Roman"/>
                <w:bCs/>
                <w:color w:val="000000" w:themeColor="text1"/>
                <w:lang w:bidi="th-TH"/>
              </w:rPr>
            </w:pPr>
            <w:r w:rsidRPr="004F549F">
              <w:rPr>
                <w:rFonts w:ascii="Times New Roman" w:hAnsi="Times New Roman" w:cs="Times New Roman"/>
                <w:bCs/>
                <w:color w:val="000000" w:themeColor="text1"/>
                <w:lang w:bidi="th-TH"/>
              </w:rPr>
              <w:t>10 min</w:t>
            </w:r>
          </w:p>
        </w:tc>
      </w:tr>
    </w:tbl>
    <w:p w14:paraId="3D1BA16D" w14:textId="77777777" w:rsidR="00B1282E" w:rsidRPr="004F549F" w:rsidRDefault="00B1282E" w:rsidP="00401B92">
      <w:pPr>
        <w:spacing w:line="480" w:lineRule="auto"/>
        <w:jc w:val="both"/>
        <w:rPr>
          <w:rFonts w:ascii="Times New Roman" w:hAnsi="Times New Roman" w:cs="Times New Roman"/>
          <w:b/>
          <w:bCs/>
          <w:color w:val="000000" w:themeColor="text1"/>
        </w:rPr>
      </w:pPr>
    </w:p>
    <w:p w14:paraId="680CB846" w14:textId="77777777" w:rsidR="0008273D" w:rsidRPr="004F549F" w:rsidRDefault="0008273D" w:rsidP="00401B92">
      <w:pPr>
        <w:spacing w:line="480" w:lineRule="auto"/>
        <w:jc w:val="both"/>
        <w:rPr>
          <w:rFonts w:ascii="Times New Roman" w:hAnsi="Times New Roman" w:cs="Times New Roman"/>
          <w:b/>
          <w:bCs/>
          <w:color w:val="000000" w:themeColor="text1"/>
        </w:rPr>
      </w:pPr>
      <w:r w:rsidRPr="004F549F">
        <w:rPr>
          <w:b/>
          <w:color w:val="000000" w:themeColor="text1"/>
        </w:rPr>
        <w:t xml:space="preserve">Sequencing and Phylogenetic Analysis of Virulent </w:t>
      </w:r>
      <w:r w:rsidRPr="004F549F">
        <w:rPr>
          <w:b/>
          <w:i/>
          <w:color w:val="000000" w:themeColor="text1"/>
        </w:rPr>
        <w:t>E. coli</w:t>
      </w:r>
      <w:r w:rsidRPr="004F549F">
        <w:rPr>
          <w:b/>
          <w:color w:val="000000" w:themeColor="text1"/>
        </w:rPr>
        <w:t xml:space="preserve"> Isolates</w:t>
      </w:r>
    </w:p>
    <w:p w14:paraId="4B0641ED" w14:textId="77777777" w:rsidR="006E1711" w:rsidRPr="004F549F" w:rsidRDefault="004C7258" w:rsidP="00401B92">
      <w:pPr>
        <w:spacing w:line="480" w:lineRule="auto"/>
        <w:ind w:firstLine="720"/>
        <w:jc w:val="both"/>
        <w:rPr>
          <w:rFonts w:ascii="Times New Roman" w:hAnsi="Times New Roman" w:cs="Times New Roman"/>
          <w:color w:val="000000" w:themeColor="text1"/>
        </w:rPr>
      </w:pPr>
      <w:r w:rsidRPr="004F549F">
        <w:rPr>
          <w:color w:val="000000" w:themeColor="text1"/>
        </w:rPr>
        <w:lastRenderedPageBreak/>
        <w:t xml:space="preserve">The </w:t>
      </w:r>
      <w:r w:rsidRPr="004F549F">
        <w:rPr>
          <w:i/>
          <w:color w:val="000000" w:themeColor="text1"/>
        </w:rPr>
        <w:t>E. coli</w:t>
      </w:r>
      <w:r w:rsidRPr="004F549F">
        <w:rPr>
          <w:color w:val="000000" w:themeColor="text1"/>
        </w:rPr>
        <w:t xml:space="preserve"> isolate that harboured the maximum number of three virulence genes (</w:t>
      </w:r>
      <w:r w:rsidRPr="004F549F">
        <w:rPr>
          <w:i/>
          <w:color w:val="000000" w:themeColor="text1"/>
        </w:rPr>
        <w:t>Stx2</w:t>
      </w:r>
      <w:r w:rsidRPr="004F549F">
        <w:rPr>
          <w:color w:val="000000" w:themeColor="text1"/>
        </w:rPr>
        <w:t xml:space="preserve">, </w:t>
      </w:r>
      <w:r w:rsidRPr="004F549F">
        <w:rPr>
          <w:i/>
          <w:color w:val="000000" w:themeColor="text1"/>
        </w:rPr>
        <w:t>TraT</w:t>
      </w:r>
      <w:r w:rsidRPr="004F549F">
        <w:rPr>
          <w:color w:val="000000" w:themeColor="text1"/>
        </w:rPr>
        <w:t xml:space="preserve">, and </w:t>
      </w:r>
      <w:r w:rsidRPr="004F549F">
        <w:rPr>
          <w:i/>
          <w:color w:val="000000" w:themeColor="text1"/>
        </w:rPr>
        <w:t>eaeA</w:t>
      </w:r>
      <w:r w:rsidRPr="004F549F">
        <w:rPr>
          <w:color w:val="000000" w:themeColor="text1"/>
        </w:rPr>
        <w:t>) was selected for sequencing and phylogenetic analysis. Nucleotide sequencing was performed by Genomic Sequencing Services, Pune Pvt. Ltd., India, using the same primers as those used for amplification. Sequences were edited and aligned using the EMBOSS Merger web tool, and global sequence comparisons were performed using the Basic Local Alignment Search Tool (BLAST) hosted by the National Center for Biotechnology Information (NCBI).</w:t>
      </w:r>
    </w:p>
    <w:p w14:paraId="4A1BFB89" w14:textId="77777777" w:rsidR="00365BCF" w:rsidRPr="004F549F" w:rsidRDefault="00365BCF" w:rsidP="00401B92">
      <w:pPr>
        <w:spacing w:line="480" w:lineRule="auto"/>
        <w:ind w:firstLine="720"/>
        <w:jc w:val="both"/>
        <w:rPr>
          <w:rFonts w:ascii="Times New Roman" w:hAnsi="Times New Roman" w:cs="Times New Roman"/>
          <w:color w:val="000000" w:themeColor="text1"/>
        </w:rPr>
      </w:pPr>
      <w:r w:rsidRPr="004F549F">
        <w:rPr>
          <w:color w:val="000000" w:themeColor="text1"/>
        </w:rPr>
        <w:t>The evolutionary history was inferred using the maximum-likelihood method and Kimura two-parameter model (Kimura, 1980). Evolutionary analyses were conducted using MEGA11 (Tamura et al., 2021).</w:t>
      </w:r>
    </w:p>
    <w:p w14:paraId="2E8D99D3" w14:textId="77777777" w:rsidR="00C3405D" w:rsidRPr="004F549F" w:rsidRDefault="00C3405D" w:rsidP="00401B92">
      <w:pPr>
        <w:spacing w:line="480" w:lineRule="auto"/>
        <w:jc w:val="both"/>
        <w:rPr>
          <w:rFonts w:ascii="Times New Roman" w:hAnsi="Times New Roman" w:cs="Times New Roman"/>
          <w:b/>
          <w:bCs/>
          <w:color w:val="000000" w:themeColor="text1"/>
        </w:rPr>
      </w:pPr>
    </w:p>
    <w:p w14:paraId="09531271" w14:textId="77777777" w:rsidR="000E5D3B" w:rsidRPr="004F549F" w:rsidRDefault="00073D72" w:rsidP="00401B92">
      <w:pPr>
        <w:spacing w:line="48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Results and Discussion</w:t>
      </w:r>
    </w:p>
    <w:p w14:paraId="52F723E9" w14:textId="77777777" w:rsidR="00693C8C" w:rsidRPr="004F549F" w:rsidRDefault="00636216" w:rsidP="00401B92">
      <w:pPr>
        <w:spacing w:line="480" w:lineRule="auto"/>
        <w:ind w:firstLine="720"/>
        <w:jc w:val="both"/>
        <w:rPr>
          <w:rFonts w:ascii="Times New Roman" w:hAnsi="Times New Roman" w:cs="Times New Roman"/>
          <w:b/>
          <w:bCs/>
          <w:color w:val="000000" w:themeColor="text1"/>
        </w:rPr>
      </w:pPr>
      <w:r w:rsidRPr="004F549F">
        <w:rPr>
          <w:color w:val="000000" w:themeColor="text1"/>
        </w:rPr>
        <w:t xml:space="preserve">Of the 200 mastitic milk samples, comprising 27 clinical and 173 subclinical cases, 36 (18%) were positive for </w:t>
      </w:r>
      <w:r w:rsidRPr="004F549F">
        <w:rPr>
          <w:i/>
          <w:color w:val="000000" w:themeColor="text1"/>
        </w:rPr>
        <w:t>E. coli</w:t>
      </w:r>
      <w:r w:rsidRPr="004F549F">
        <w:rPr>
          <w:color w:val="000000" w:themeColor="text1"/>
        </w:rPr>
        <w:t xml:space="preserve">. Of these positive samples, 23 (11.5% of all samples) were obtained from cattle, whereas 13 (6.50% of all samples) originated from buffaloes. Presumptive </w:t>
      </w:r>
      <w:r w:rsidRPr="004F549F">
        <w:rPr>
          <w:i/>
          <w:color w:val="000000" w:themeColor="text1"/>
        </w:rPr>
        <w:t>E. coli</w:t>
      </w:r>
      <w:r w:rsidRPr="004F549F">
        <w:rPr>
          <w:color w:val="000000" w:themeColor="text1"/>
        </w:rPr>
        <w:t xml:space="preserve"> colonies showed characteristic pink coloration and were further subcultured on eosin methylene blue (EMB) agar and HiCrome </w:t>
      </w:r>
      <w:r w:rsidRPr="004F549F">
        <w:rPr>
          <w:i/>
          <w:color w:val="000000" w:themeColor="text1"/>
        </w:rPr>
        <w:t>E. coli</w:t>
      </w:r>
      <w:r w:rsidRPr="004F549F">
        <w:rPr>
          <w:color w:val="000000" w:themeColor="text1"/>
        </w:rPr>
        <w:t xml:space="preserve"> agar. Colonies with a distinctive metallic-green sheen were observed on EMB agar, whereas bluish colonies were observed on HiCrome </w:t>
      </w:r>
      <w:r w:rsidRPr="004F549F">
        <w:rPr>
          <w:i/>
          <w:color w:val="000000" w:themeColor="text1"/>
        </w:rPr>
        <w:t>E. coli</w:t>
      </w:r>
      <w:r w:rsidRPr="004F549F">
        <w:rPr>
          <w:color w:val="000000" w:themeColor="text1"/>
        </w:rPr>
        <w:t xml:space="preserve"> agar, consistent with </w:t>
      </w:r>
      <w:r w:rsidRPr="004F549F">
        <w:rPr>
          <w:i/>
          <w:color w:val="000000" w:themeColor="text1"/>
        </w:rPr>
        <w:t>E. coli</w:t>
      </w:r>
      <w:r w:rsidRPr="004F549F">
        <w:rPr>
          <w:color w:val="000000" w:themeColor="text1"/>
        </w:rPr>
        <w:t xml:space="preserve">. On Gram staining, all isolates appeared as Gram-negative coccobacillary rods. The isolates were further confirmed using biochemical tests. They showed positive reactions in the indole and methyl red tests, </w:t>
      </w:r>
      <w:r w:rsidRPr="004F549F">
        <w:rPr>
          <w:color w:val="000000" w:themeColor="text1"/>
        </w:rPr>
        <w:lastRenderedPageBreak/>
        <w:t>indicated by the development of a red colour. In contrast, the isolates were negative in the Voges–Proskauer and citrate-utilisation tests, with no colour change, corresponding to an IMViC pattern of ++−−. Furthermore, in the triple sugar iron (TSI) agar test, the isolates produced a yellow slant and butt without gas formation.</w:t>
      </w:r>
    </w:p>
    <w:p w14:paraId="6E297796" w14:textId="77777777" w:rsidR="00843C09" w:rsidRPr="004F549F" w:rsidRDefault="005106EF"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All isolates (n = 36) presumptively identified as </w:t>
      </w:r>
      <w:r w:rsidRPr="004F549F">
        <w:rPr>
          <w:i/>
          <w:color w:val="000000" w:themeColor="text1"/>
        </w:rPr>
        <w:t>E. coli</w:t>
      </w:r>
      <w:r w:rsidRPr="004F549F">
        <w:rPr>
          <w:color w:val="000000" w:themeColor="text1"/>
        </w:rPr>
        <w:t xml:space="preserve"> on the basis of cultural and biochemical characteristics were further subjected to molecular characterisation by PCR targeting the </w:t>
      </w:r>
      <w:r w:rsidRPr="004F549F">
        <w:rPr>
          <w:i/>
          <w:color w:val="000000" w:themeColor="text1"/>
        </w:rPr>
        <w:t>E. coli</w:t>
      </w:r>
      <w:r w:rsidRPr="004F549F">
        <w:rPr>
          <w:color w:val="000000" w:themeColor="text1"/>
        </w:rPr>
        <w:t xml:space="preserve">-specific 16S rRNA gene. The 16S rRNA gene was amplified in all 36 isolates, thereby confirming their identity as </w:t>
      </w:r>
      <w:r w:rsidRPr="004F549F">
        <w:rPr>
          <w:i/>
          <w:color w:val="000000" w:themeColor="text1"/>
        </w:rPr>
        <w:t>E. coli</w:t>
      </w:r>
      <w:r w:rsidRPr="004F549F">
        <w:rPr>
          <w:color w:val="000000" w:themeColor="text1"/>
        </w:rPr>
        <w:t xml:space="preserve"> (Fig. 1).</w:t>
      </w:r>
    </w:p>
    <w:p w14:paraId="47DD9C72" w14:textId="77777777" w:rsidR="00843C09" w:rsidRPr="004F549F" w:rsidRDefault="00843C09" w:rsidP="00843C09">
      <w:pPr>
        <w:spacing w:before="100" w:beforeAutospacing="1" w:line="360" w:lineRule="auto"/>
        <w:ind w:left="720" w:hanging="360"/>
        <w:jc w:val="both"/>
        <w:rPr>
          <w:rFonts w:ascii="Times New Roman" w:hAnsi="Times New Roman" w:cs="Times New Roman"/>
          <w:color w:val="000000" w:themeColor="text1"/>
        </w:rPr>
      </w:pPr>
    </w:p>
    <w:p w14:paraId="1BC78B12" w14:textId="77777777" w:rsidR="00843C09" w:rsidRPr="004F549F" w:rsidRDefault="00843C09" w:rsidP="00843C09">
      <w:pPr>
        <w:jc w:val="center"/>
        <w:rPr>
          <w:rFonts w:ascii="Times New Roman" w:hAnsi="Times New Roman" w:cs="Times New Roman"/>
          <w:b/>
          <w:bCs/>
          <w:color w:val="000000" w:themeColor="text1"/>
        </w:rPr>
      </w:pPr>
      <w:r w:rsidRPr="004F549F">
        <w:rPr>
          <w:rFonts w:ascii="Times New Roman" w:hAnsi="Times New Roman" w:cs="Times New Roman"/>
          <w:b/>
          <w:bCs/>
          <w:noProof/>
          <w:color w:val="000000" w:themeColor="text1"/>
        </w:rPr>
        <w:drawing>
          <wp:inline distT="0" distB="0" distL="0" distR="0" wp14:anchorId="79D31C7F" wp14:editId="32F934A4">
            <wp:extent cx="4143375" cy="2562225"/>
            <wp:effectExtent l="0" t="0" r="9525" b="9525"/>
            <wp:docPr id="966970842" name="Picture 16"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17263" name="Picture 16" descr="A close-up of a dna tes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43375" cy="2562225"/>
                    </a:xfrm>
                    <a:prstGeom prst="rect">
                      <a:avLst/>
                    </a:prstGeom>
                  </pic:spPr>
                </pic:pic>
              </a:graphicData>
            </a:graphic>
          </wp:inline>
        </w:drawing>
      </w:r>
    </w:p>
    <w:p w14:paraId="512EFA38" w14:textId="77777777" w:rsidR="00843C09" w:rsidRPr="004F549F" w:rsidRDefault="00843C09" w:rsidP="00843C09">
      <w:pPr>
        <w:spacing w:line="24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Fig. 1 Agarose gel electrophoresis showing amplification of </w:t>
      </w:r>
      <w:r w:rsidRPr="004F549F">
        <w:rPr>
          <w:rFonts w:ascii="Times New Roman" w:hAnsi="Times New Roman" w:cs="Times New Roman"/>
          <w:b/>
          <w:bCs/>
          <w:i/>
          <w:iCs/>
          <w:color w:val="000000" w:themeColor="text1"/>
        </w:rPr>
        <w:t xml:space="preserve">16S rRNA   </w:t>
      </w:r>
      <w:r w:rsidRPr="004F549F">
        <w:rPr>
          <w:rFonts w:ascii="Times New Roman" w:hAnsi="Times New Roman" w:cs="Times New Roman"/>
          <w:b/>
          <w:bCs/>
          <w:color w:val="000000" w:themeColor="text1"/>
        </w:rPr>
        <w:t xml:space="preserve">gene of    </w:t>
      </w:r>
    </w:p>
    <w:p w14:paraId="12421787" w14:textId="77777777" w:rsidR="00843C09" w:rsidRPr="004F549F" w:rsidRDefault="00843C09" w:rsidP="00843C09">
      <w:pPr>
        <w:spacing w:line="24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w:t>
      </w:r>
      <w:r w:rsidRPr="004F549F">
        <w:rPr>
          <w:rFonts w:ascii="Times New Roman" w:hAnsi="Times New Roman" w:cs="Times New Roman"/>
          <w:b/>
          <w:bCs/>
          <w:i/>
          <w:iCs/>
          <w:color w:val="000000" w:themeColor="text1"/>
        </w:rPr>
        <w:t>E.coli</w:t>
      </w:r>
      <w:r w:rsidRPr="004F549F">
        <w:rPr>
          <w:rFonts w:ascii="Times New Roman" w:hAnsi="Times New Roman" w:cs="Times New Roman"/>
          <w:b/>
          <w:bCs/>
          <w:color w:val="000000" w:themeColor="text1"/>
        </w:rPr>
        <w:t xml:space="preserve"> - 401 bp</w:t>
      </w:r>
    </w:p>
    <w:p w14:paraId="0C8D6013" w14:textId="77777777" w:rsidR="00843C09" w:rsidRPr="004F549F" w:rsidRDefault="00843C09" w:rsidP="00843C09">
      <w:pPr>
        <w:spacing w:line="240" w:lineRule="auto"/>
        <w:jc w:val="both"/>
        <w:rPr>
          <w:color w:val="000000" w:themeColor="text1"/>
        </w:rPr>
      </w:pPr>
      <w:r w:rsidRPr="004F549F">
        <w:rPr>
          <w:rFonts w:ascii="Times New Roman" w:hAnsi="Times New Roman" w:cs="Times New Roman"/>
          <w:b/>
          <w:bCs/>
          <w:color w:val="000000" w:themeColor="text1"/>
        </w:rPr>
        <w:t xml:space="preserve">               L- Ladder</w:t>
      </w:r>
    </w:p>
    <w:p w14:paraId="26AB7E10" w14:textId="77777777" w:rsidR="00843C09" w:rsidRPr="004F549F" w:rsidRDefault="00843C09" w:rsidP="00843C09">
      <w:pPr>
        <w:spacing w:line="24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1, 2, 3, 4, 5 and 6 - Positive samples</w:t>
      </w:r>
    </w:p>
    <w:p w14:paraId="1C0FF864" w14:textId="77777777" w:rsidR="00843C09" w:rsidRPr="004F549F" w:rsidRDefault="00843C09" w:rsidP="00843C09">
      <w:pPr>
        <w:spacing w:line="24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7- Negative control</w:t>
      </w:r>
    </w:p>
    <w:p w14:paraId="2BB8E03B" w14:textId="77777777" w:rsidR="004B1ABE" w:rsidRPr="004F549F" w:rsidRDefault="004B1ABE" w:rsidP="00401B92">
      <w:pPr>
        <w:spacing w:line="480" w:lineRule="auto"/>
        <w:ind w:firstLine="720"/>
        <w:jc w:val="both"/>
        <w:rPr>
          <w:rFonts w:ascii="Times New Roman" w:hAnsi="Times New Roman" w:cs="Times New Roman"/>
          <w:color w:val="000000" w:themeColor="text1"/>
        </w:rPr>
      </w:pPr>
    </w:p>
    <w:p w14:paraId="6E7F1158" w14:textId="77777777" w:rsidR="005106EF" w:rsidRPr="004F549F" w:rsidRDefault="00F71AFC" w:rsidP="00401B92">
      <w:pPr>
        <w:spacing w:line="480" w:lineRule="auto"/>
        <w:ind w:firstLine="720"/>
        <w:jc w:val="both"/>
        <w:rPr>
          <w:rFonts w:ascii="Times New Roman" w:hAnsi="Times New Roman" w:cs="Times New Roman"/>
          <w:color w:val="000000" w:themeColor="text1"/>
        </w:rPr>
      </w:pPr>
      <w:r w:rsidRPr="004F549F">
        <w:rPr>
          <w:color w:val="000000" w:themeColor="text1"/>
        </w:rPr>
        <w:lastRenderedPageBreak/>
        <w:t xml:space="preserve">Earlier studies by Dowidar and Khalifa (2023) and Parveen et al. (2021) similarly reported molecular identification of </w:t>
      </w:r>
      <w:r w:rsidRPr="004F549F">
        <w:rPr>
          <w:i/>
          <w:color w:val="000000" w:themeColor="text1"/>
        </w:rPr>
        <w:t>E. coli</w:t>
      </w:r>
      <w:r w:rsidRPr="004F549F">
        <w:rPr>
          <w:color w:val="000000" w:themeColor="text1"/>
        </w:rPr>
        <w:t xml:space="preserve"> isolates from milk or related biological samples.</w:t>
      </w:r>
    </w:p>
    <w:p w14:paraId="1BC95BFA" w14:textId="77777777" w:rsidR="00E233A5" w:rsidRPr="004F549F" w:rsidRDefault="001D1932"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Molecular analysis of the 36 </w:t>
      </w:r>
      <w:r w:rsidRPr="004F549F">
        <w:rPr>
          <w:i/>
          <w:color w:val="000000" w:themeColor="text1"/>
        </w:rPr>
        <w:t>E. coli</w:t>
      </w:r>
      <w:r w:rsidRPr="004F549F">
        <w:rPr>
          <w:color w:val="000000" w:themeColor="text1"/>
        </w:rPr>
        <w:t xml:space="preserve"> isolates revealed a selective distribution of virulence genes. Of the six genes investigated, only </w:t>
      </w:r>
      <w:r w:rsidRPr="004F549F">
        <w:rPr>
          <w:i/>
          <w:color w:val="000000" w:themeColor="text1"/>
        </w:rPr>
        <w:t>Stx2</w:t>
      </w:r>
      <w:r w:rsidRPr="004F549F">
        <w:rPr>
          <w:color w:val="000000" w:themeColor="text1"/>
        </w:rPr>
        <w:t xml:space="preserve">, </w:t>
      </w:r>
      <w:r w:rsidRPr="004F549F">
        <w:rPr>
          <w:i/>
          <w:color w:val="000000" w:themeColor="text1"/>
        </w:rPr>
        <w:t>TraT</w:t>
      </w:r>
      <w:r w:rsidRPr="004F549F">
        <w:rPr>
          <w:color w:val="000000" w:themeColor="text1"/>
        </w:rPr>
        <w:t xml:space="preserve">, and </w:t>
      </w:r>
      <w:r w:rsidRPr="004F549F">
        <w:rPr>
          <w:i/>
          <w:color w:val="000000" w:themeColor="text1"/>
        </w:rPr>
        <w:t>eaeA</w:t>
      </w:r>
      <w:r w:rsidRPr="004F549F">
        <w:rPr>
          <w:color w:val="000000" w:themeColor="text1"/>
        </w:rPr>
        <w:t xml:space="preserve"> were detected, whereas </w:t>
      </w:r>
      <w:r w:rsidRPr="004F549F">
        <w:rPr>
          <w:i/>
          <w:color w:val="000000" w:themeColor="text1"/>
        </w:rPr>
        <w:t>Stx1</w:t>
      </w:r>
      <w:r w:rsidRPr="004F549F">
        <w:rPr>
          <w:color w:val="000000" w:themeColor="text1"/>
        </w:rPr>
        <w:t xml:space="preserve">, </w:t>
      </w:r>
      <w:r w:rsidRPr="004F549F">
        <w:rPr>
          <w:i/>
          <w:color w:val="000000" w:themeColor="text1"/>
        </w:rPr>
        <w:t>aer</w:t>
      </w:r>
      <w:r w:rsidRPr="004F549F">
        <w:rPr>
          <w:color w:val="000000" w:themeColor="text1"/>
        </w:rPr>
        <w:t xml:space="preserve">, and </w:t>
      </w:r>
      <w:r w:rsidRPr="004F549F">
        <w:rPr>
          <w:i/>
          <w:color w:val="000000" w:themeColor="text1"/>
        </w:rPr>
        <w:t>hly</w:t>
      </w:r>
      <w:r w:rsidRPr="004F549F">
        <w:rPr>
          <w:color w:val="000000" w:themeColor="text1"/>
        </w:rPr>
        <w:t xml:space="preserve"> were absent from all isolates (Figs. 2–4).</w:t>
      </w:r>
    </w:p>
    <w:p w14:paraId="16DA34CE" w14:textId="77777777" w:rsidR="00E233A5" w:rsidRPr="004F549F" w:rsidRDefault="00E233A5" w:rsidP="00E233A5">
      <w:pPr>
        <w:spacing w:before="100" w:beforeAutospacing="1" w:line="360" w:lineRule="auto"/>
        <w:ind w:left="720" w:hanging="360"/>
        <w:jc w:val="both"/>
        <w:rPr>
          <w:rFonts w:ascii="Times New Roman" w:hAnsi="Times New Roman" w:cs="Times New Roman"/>
          <w:color w:val="000000" w:themeColor="text1"/>
          <w:shd w:val="clear" w:color="auto" w:fill="FFFFFF"/>
        </w:rPr>
      </w:pPr>
    </w:p>
    <w:p w14:paraId="4C28720A" w14:textId="77777777" w:rsidR="00E233A5" w:rsidRPr="004F549F" w:rsidRDefault="00E233A5" w:rsidP="00E233A5">
      <w:pPr>
        <w:jc w:val="center"/>
        <w:rPr>
          <w:rFonts w:ascii="Times New Roman" w:hAnsi="Times New Roman" w:cs="Times New Roman"/>
          <w:b/>
          <w:bCs/>
          <w:color w:val="000000" w:themeColor="text1"/>
        </w:rPr>
      </w:pPr>
      <w:r w:rsidRPr="004F549F">
        <w:rPr>
          <w:rFonts w:ascii="Times New Roman" w:hAnsi="Times New Roman" w:cs="Times New Roman"/>
          <w:b/>
          <w:bCs/>
          <w:noProof/>
          <w:color w:val="000000" w:themeColor="text1"/>
        </w:rPr>
        <w:drawing>
          <wp:inline distT="0" distB="0" distL="0" distR="0" wp14:anchorId="30E2ECE2" wp14:editId="0CA655F9">
            <wp:extent cx="4467225" cy="2552700"/>
            <wp:effectExtent l="0" t="0" r="9525" b="0"/>
            <wp:docPr id="1747458586" name="Picture 17" descr="A close-up of a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87744" name="Picture 17" descr="A close-up of a fil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7225" cy="2552700"/>
                    </a:xfrm>
                    <a:prstGeom prst="rect">
                      <a:avLst/>
                    </a:prstGeom>
                  </pic:spPr>
                </pic:pic>
              </a:graphicData>
            </a:graphic>
          </wp:inline>
        </w:drawing>
      </w:r>
    </w:p>
    <w:p w14:paraId="46ABD41B" w14:textId="77777777" w:rsidR="00E233A5" w:rsidRPr="004F549F" w:rsidRDefault="00E233A5" w:rsidP="00E233A5">
      <w:pPr>
        <w:spacing w:after="0" w:line="24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Fig. 2 Agarose gel electrophoresis showing amplification of                      </w:t>
      </w:r>
    </w:p>
    <w:p w14:paraId="48F4EDEB" w14:textId="77777777" w:rsidR="00E233A5" w:rsidRPr="004F549F" w:rsidRDefault="00E233A5" w:rsidP="00E233A5">
      <w:pPr>
        <w:spacing w:after="0" w:line="24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w:t>
      </w:r>
      <w:r w:rsidRPr="004F549F">
        <w:rPr>
          <w:rFonts w:ascii="Times New Roman" w:hAnsi="Times New Roman" w:cs="Times New Roman"/>
          <w:b/>
          <w:bCs/>
          <w:i/>
          <w:iCs/>
          <w:color w:val="000000" w:themeColor="text1"/>
        </w:rPr>
        <w:t>Stx2</w:t>
      </w:r>
      <w:r w:rsidRPr="004F549F">
        <w:rPr>
          <w:rFonts w:ascii="Times New Roman" w:hAnsi="Times New Roman" w:cs="Times New Roman"/>
          <w:b/>
          <w:bCs/>
          <w:color w:val="000000" w:themeColor="text1"/>
        </w:rPr>
        <w:t xml:space="preserve"> gene - 118 bp</w:t>
      </w:r>
    </w:p>
    <w:p w14:paraId="77582F9A" w14:textId="77777777" w:rsidR="00E233A5" w:rsidRPr="004F549F" w:rsidRDefault="00E233A5" w:rsidP="00E233A5">
      <w:pPr>
        <w:spacing w:after="0"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 – Ladder</w:t>
      </w:r>
    </w:p>
    <w:p w14:paraId="0D2721FB" w14:textId="77777777" w:rsidR="00E233A5" w:rsidRPr="004F549F" w:rsidRDefault="00E233A5" w:rsidP="00E233A5">
      <w:pPr>
        <w:spacing w:after="0" w:line="240" w:lineRule="auto"/>
        <w:ind w:firstLine="720"/>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1, 2, 3, 4, and 5 – Positive samples</w:t>
      </w:r>
    </w:p>
    <w:p w14:paraId="314F578D" w14:textId="77777777" w:rsidR="00E233A5" w:rsidRPr="004F549F" w:rsidRDefault="00E233A5" w:rsidP="00E233A5">
      <w:pPr>
        <w:spacing w:after="0" w:line="240" w:lineRule="auto"/>
        <w:ind w:firstLine="720"/>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6 – Negative control</w:t>
      </w:r>
    </w:p>
    <w:p w14:paraId="4BDE8CFF" w14:textId="77777777" w:rsidR="00BB0027" w:rsidRPr="004F549F" w:rsidRDefault="00BB0027" w:rsidP="00E233A5">
      <w:pPr>
        <w:spacing w:after="0" w:line="240" w:lineRule="auto"/>
        <w:ind w:firstLine="720"/>
        <w:rPr>
          <w:rFonts w:ascii="Times New Roman" w:hAnsi="Times New Roman" w:cs="Times New Roman"/>
          <w:b/>
          <w:bCs/>
          <w:color w:val="000000" w:themeColor="text1"/>
        </w:rPr>
      </w:pPr>
    </w:p>
    <w:p w14:paraId="33D3E522" w14:textId="77777777" w:rsidR="00BB0027" w:rsidRPr="004F549F" w:rsidRDefault="00BB0027" w:rsidP="00E233A5">
      <w:pPr>
        <w:spacing w:after="0" w:line="240" w:lineRule="auto"/>
        <w:ind w:firstLine="720"/>
        <w:rPr>
          <w:rFonts w:ascii="Times New Roman" w:hAnsi="Times New Roman" w:cs="Times New Roman"/>
          <w:b/>
          <w:bCs/>
          <w:color w:val="000000" w:themeColor="text1"/>
        </w:rPr>
      </w:pPr>
    </w:p>
    <w:p w14:paraId="630A22AA" w14:textId="77777777" w:rsidR="00BB0027" w:rsidRPr="004F549F" w:rsidRDefault="00BB0027" w:rsidP="00E233A5">
      <w:pPr>
        <w:spacing w:after="0" w:line="240" w:lineRule="auto"/>
        <w:ind w:firstLine="720"/>
        <w:rPr>
          <w:rFonts w:ascii="Times New Roman" w:hAnsi="Times New Roman" w:cs="Times New Roman"/>
          <w:b/>
          <w:bCs/>
          <w:color w:val="000000" w:themeColor="text1"/>
        </w:rPr>
      </w:pPr>
    </w:p>
    <w:p w14:paraId="16E0C161" w14:textId="77777777" w:rsidR="00BB0027" w:rsidRPr="004F549F" w:rsidRDefault="00BB0027" w:rsidP="00E233A5">
      <w:pPr>
        <w:spacing w:after="0" w:line="240" w:lineRule="auto"/>
        <w:ind w:firstLine="720"/>
        <w:rPr>
          <w:rFonts w:ascii="Times New Roman" w:hAnsi="Times New Roman" w:cs="Times New Roman"/>
          <w:b/>
          <w:bCs/>
          <w:color w:val="000000" w:themeColor="text1"/>
        </w:rPr>
      </w:pPr>
    </w:p>
    <w:p w14:paraId="4767761D" w14:textId="77777777" w:rsidR="00BB0027" w:rsidRPr="004F549F" w:rsidRDefault="00BB0027" w:rsidP="00BB0027">
      <w:pPr>
        <w:spacing w:after="0" w:line="240" w:lineRule="auto"/>
        <w:ind w:firstLine="720"/>
        <w:rPr>
          <w:rFonts w:ascii="Times New Roman" w:hAnsi="Times New Roman" w:cs="Times New Roman"/>
          <w:b/>
          <w:bCs/>
          <w:color w:val="000000" w:themeColor="text1"/>
        </w:rPr>
      </w:pPr>
    </w:p>
    <w:p w14:paraId="672B0223" w14:textId="77777777" w:rsidR="00BB0027" w:rsidRPr="004F549F" w:rsidRDefault="00BB0027" w:rsidP="00BB0027">
      <w:pPr>
        <w:jc w:val="center"/>
        <w:rPr>
          <w:color w:val="000000" w:themeColor="text1"/>
        </w:rPr>
      </w:pPr>
      <w:r w:rsidRPr="004F549F">
        <w:rPr>
          <w:rFonts w:ascii="Times New Roman" w:hAnsi="Times New Roman" w:cs="Times New Roman"/>
          <w:b/>
          <w:bCs/>
          <w:noProof/>
          <w:color w:val="000000" w:themeColor="text1"/>
        </w:rPr>
        <w:lastRenderedPageBreak/>
        <w:drawing>
          <wp:inline distT="0" distB="0" distL="0" distR="0" wp14:anchorId="7D6DD80A" wp14:editId="7A05E061">
            <wp:extent cx="4223385" cy="2019300"/>
            <wp:effectExtent l="0" t="0" r="5715" b="0"/>
            <wp:docPr id="1548900303" name="Picture 18" descr="A close-up of a dn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63733" name="Picture 18" descr="A close-up of a dna te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23385" cy="2019300"/>
                    </a:xfrm>
                    <a:prstGeom prst="rect">
                      <a:avLst/>
                    </a:prstGeom>
                  </pic:spPr>
                </pic:pic>
              </a:graphicData>
            </a:graphic>
          </wp:inline>
        </w:drawing>
      </w:r>
    </w:p>
    <w:p w14:paraId="77FDDD1E" w14:textId="77777777" w:rsidR="00BB0027" w:rsidRPr="004F549F" w:rsidRDefault="00BB0027" w:rsidP="00BB0027">
      <w:pPr>
        <w:spacing w:after="0" w:line="24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Fig. 3 Agarose gel electrophoresis showing amplification of                        </w:t>
      </w:r>
    </w:p>
    <w:p w14:paraId="6118B105" w14:textId="77777777" w:rsidR="00BB0027" w:rsidRPr="004F549F" w:rsidRDefault="00BB0027" w:rsidP="00BB0027">
      <w:pPr>
        <w:spacing w:after="0" w:line="24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w:t>
      </w:r>
      <w:r w:rsidRPr="004F549F">
        <w:rPr>
          <w:rFonts w:ascii="Times New Roman" w:hAnsi="Times New Roman" w:cs="Times New Roman"/>
          <w:b/>
          <w:bCs/>
          <w:i/>
          <w:iCs/>
          <w:color w:val="000000" w:themeColor="text1"/>
        </w:rPr>
        <w:t>eaeA</w:t>
      </w:r>
      <w:r w:rsidRPr="004F549F">
        <w:rPr>
          <w:rFonts w:ascii="Times New Roman" w:hAnsi="Times New Roman" w:cs="Times New Roman"/>
          <w:b/>
          <w:bCs/>
          <w:color w:val="000000" w:themeColor="text1"/>
        </w:rPr>
        <w:t xml:space="preserve"> gene - 248 bp</w:t>
      </w:r>
    </w:p>
    <w:p w14:paraId="0B4C0707" w14:textId="77777777" w:rsidR="00BB0027" w:rsidRPr="004F549F" w:rsidRDefault="00BB0027" w:rsidP="00BB0027">
      <w:pPr>
        <w:spacing w:after="0"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 – Ladder</w:t>
      </w:r>
    </w:p>
    <w:p w14:paraId="7EB654D5" w14:textId="77777777" w:rsidR="00BB0027" w:rsidRPr="004F549F" w:rsidRDefault="00BB0027" w:rsidP="00BB0027">
      <w:pPr>
        <w:spacing w:after="0"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1, 2, 3, 4, and 5 – Positive samples      </w:t>
      </w:r>
    </w:p>
    <w:p w14:paraId="33E15F8C" w14:textId="77777777" w:rsidR="00BB0027" w:rsidRPr="004F549F" w:rsidRDefault="00BB0027" w:rsidP="00BB0027">
      <w:pPr>
        <w:spacing w:after="0"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6 – Negative control </w:t>
      </w:r>
    </w:p>
    <w:p w14:paraId="681B548D" w14:textId="77777777" w:rsidR="00BB0027" w:rsidRPr="004F549F" w:rsidRDefault="00BB0027" w:rsidP="00BB0027">
      <w:pPr>
        <w:spacing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w:t>
      </w:r>
    </w:p>
    <w:p w14:paraId="7B878521" w14:textId="77777777" w:rsidR="00BB0027" w:rsidRPr="004F549F" w:rsidRDefault="00BB0027" w:rsidP="00BB0027">
      <w:pPr>
        <w:spacing w:line="240" w:lineRule="auto"/>
        <w:jc w:val="center"/>
        <w:rPr>
          <w:rFonts w:ascii="Times New Roman" w:hAnsi="Times New Roman" w:cs="Times New Roman"/>
          <w:b/>
          <w:bCs/>
          <w:color w:val="000000" w:themeColor="text1"/>
        </w:rPr>
      </w:pPr>
      <w:r w:rsidRPr="004F549F">
        <w:rPr>
          <w:rFonts w:ascii="Times New Roman" w:hAnsi="Times New Roman" w:cs="Times New Roman"/>
          <w:b/>
          <w:bCs/>
          <w:noProof/>
          <w:color w:val="000000" w:themeColor="text1"/>
        </w:rPr>
        <w:drawing>
          <wp:inline distT="0" distB="0" distL="0" distR="0" wp14:anchorId="4E7DE70B" wp14:editId="4F558ED7">
            <wp:extent cx="4352925" cy="2766060"/>
            <wp:effectExtent l="0" t="0" r="9525" b="0"/>
            <wp:docPr id="2138533527" name="Picture 19" descr="A close-up of a dn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31443" name="Picture 19" descr="A close-up of a dna te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52925" cy="2766060"/>
                    </a:xfrm>
                    <a:prstGeom prst="rect">
                      <a:avLst/>
                    </a:prstGeom>
                  </pic:spPr>
                </pic:pic>
              </a:graphicData>
            </a:graphic>
          </wp:inline>
        </w:drawing>
      </w:r>
    </w:p>
    <w:p w14:paraId="190B3003" w14:textId="77777777" w:rsidR="00BB0027" w:rsidRPr="004F549F" w:rsidRDefault="00BB0027" w:rsidP="00BB0027">
      <w:pPr>
        <w:spacing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Fig. 4 Agarose gel electrophoresis showing amplification of                        </w:t>
      </w:r>
    </w:p>
    <w:p w14:paraId="5D3DA1A7" w14:textId="77777777" w:rsidR="00BB0027" w:rsidRPr="004F549F" w:rsidRDefault="00BB0027" w:rsidP="00BB0027">
      <w:pPr>
        <w:spacing w:line="24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w:t>
      </w:r>
      <w:r w:rsidRPr="004F549F">
        <w:rPr>
          <w:rFonts w:ascii="Times New Roman" w:hAnsi="Times New Roman" w:cs="Times New Roman"/>
          <w:b/>
          <w:bCs/>
          <w:i/>
          <w:iCs/>
          <w:color w:val="000000" w:themeColor="text1"/>
        </w:rPr>
        <w:t>TraT</w:t>
      </w:r>
      <w:r w:rsidRPr="004F549F">
        <w:rPr>
          <w:rFonts w:ascii="Times New Roman" w:hAnsi="Times New Roman" w:cs="Times New Roman"/>
          <w:b/>
          <w:bCs/>
          <w:color w:val="000000" w:themeColor="text1"/>
        </w:rPr>
        <w:t xml:space="preserve"> gene - 307 bp</w:t>
      </w:r>
    </w:p>
    <w:p w14:paraId="206F7736" w14:textId="77777777" w:rsidR="00BB0027" w:rsidRPr="004F549F" w:rsidRDefault="00BB0027" w:rsidP="00BB0027">
      <w:pPr>
        <w:spacing w:after="0"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 – Ladder</w:t>
      </w:r>
    </w:p>
    <w:p w14:paraId="6F3D0989" w14:textId="77777777" w:rsidR="00BB0027" w:rsidRPr="004F549F" w:rsidRDefault="00BB0027" w:rsidP="00BB0027">
      <w:pPr>
        <w:spacing w:after="0"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1, 2, 3, 4, 5 and 6 – Positive samples</w:t>
      </w:r>
    </w:p>
    <w:p w14:paraId="13A3D272" w14:textId="77777777" w:rsidR="00BB0027" w:rsidRPr="004F549F" w:rsidRDefault="00BB0027" w:rsidP="00BB0027">
      <w:pPr>
        <w:spacing w:after="0" w:line="240" w:lineRule="auto"/>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                       Lane 7 – Negative control </w:t>
      </w:r>
    </w:p>
    <w:p w14:paraId="0ECD14B1" w14:textId="77777777" w:rsidR="00BB0027" w:rsidRPr="004F549F" w:rsidRDefault="00BB0027" w:rsidP="00BB0027">
      <w:pPr>
        <w:jc w:val="center"/>
        <w:rPr>
          <w:color w:val="000000" w:themeColor="text1"/>
        </w:rPr>
      </w:pPr>
    </w:p>
    <w:p w14:paraId="6C9F8365" w14:textId="77777777" w:rsidR="00BB0027" w:rsidRPr="004F549F" w:rsidRDefault="00BB0027" w:rsidP="00E233A5">
      <w:pPr>
        <w:spacing w:after="0" w:line="240" w:lineRule="auto"/>
        <w:ind w:firstLine="720"/>
        <w:rPr>
          <w:rFonts w:ascii="Times New Roman" w:hAnsi="Times New Roman" w:cs="Times New Roman"/>
          <w:b/>
          <w:bCs/>
          <w:color w:val="000000" w:themeColor="text1"/>
        </w:rPr>
      </w:pPr>
    </w:p>
    <w:p w14:paraId="3E80A344" w14:textId="77777777" w:rsidR="00E233A5" w:rsidRPr="004F549F" w:rsidRDefault="00E233A5" w:rsidP="00E233A5">
      <w:pPr>
        <w:spacing w:after="0" w:line="240" w:lineRule="auto"/>
        <w:ind w:firstLine="720"/>
        <w:rPr>
          <w:rFonts w:ascii="Times New Roman" w:hAnsi="Times New Roman" w:cs="Times New Roman"/>
          <w:b/>
          <w:bCs/>
          <w:color w:val="000000" w:themeColor="text1"/>
        </w:rPr>
      </w:pPr>
    </w:p>
    <w:p w14:paraId="68043EFE" w14:textId="77777777" w:rsidR="00AA52FD" w:rsidRPr="004F549F" w:rsidRDefault="001D1932" w:rsidP="00401B92">
      <w:pPr>
        <w:spacing w:line="480" w:lineRule="auto"/>
        <w:ind w:firstLine="720"/>
        <w:jc w:val="both"/>
        <w:rPr>
          <w:rFonts w:ascii="Times New Roman" w:hAnsi="Times New Roman" w:cs="Times New Roman"/>
          <w:color w:val="000000" w:themeColor="text1"/>
        </w:rPr>
      </w:pPr>
      <w:r w:rsidRPr="004F549F">
        <w:rPr>
          <w:i/>
          <w:color w:val="000000" w:themeColor="text1"/>
        </w:rPr>
        <w:lastRenderedPageBreak/>
        <w:t>Stx2</w:t>
      </w:r>
      <w:r w:rsidRPr="004F549F">
        <w:rPr>
          <w:color w:val="000000" w:themeColor="text1"/>
        </w:rPr>
        <w:t xml:space="preserve"> was the most prevalent gene (58.33%), followed by </w:t>
      </w:r>
      <w:r w:rsidRPr="004F549F">
        <w:rPr>
          <w:i/>
          <w:color w:val="000000" w:themeColor="text1"/>
        </w:rPr>
        <w:t>TraT</w:t>
      </w:r>
      <w:r w:rsidRPr="004F549F">
        <w:rPr>
          <w:color w:val="000000" w:themeColor="text1"/>
        </w:rPr>
        <w:t xml:space="preserve"> (41.66%) and </w:t>
      </w:r>
      <w:r w:rsidRPr="004F549F">
        <w:rPr>
          <w:i/>
          <w:color w:val="000000" w:themeColor="text1"/>
        </w:rPr>
        <w:t>eaeA</w:t>
      </w:r>
      <w:r w:rsidRPr="004F549F">
        <w:rPr>
          <w:color w:val="000000" w:themeColor="text1"/>
        </w:rPr>
        <w:t xml:space="preserve"> (19.44%) (Table 4).</w:t>
      </w:r>
    </w:p>
    <w:p w14:paraId="05F18792" w14:textId="77777777" w:rsidR="00AA52FD" w:rsidRPr="004F549F" w:rsidRDefault="00AA52FD" w:rsidP="00AA52FD">
      <w:pPr>
        <w:spacing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Table</w:t>
      </w:r>
      <w:r w:rsidR="00BE6CAE" w:rsidRPr="004F549F">
        <w:rPr>
          <w:rFonts w:ascii="Times New Roman" w:hAnsi="Times New Roman" w:cs="Times New Roman"/>
          <w:b/>
          <w:bCs/>
          <w:color w:val="000000" w:themeColor="text1"/>
        </w:rPr>
        <w:t xml:space="preserve"> </w:t>
      </w:r>
      <w:r w:rsidRPr="004F549F">
        <w:rPr>
          <w:rFonts w:ascii="Times New Roman" w:hAnsi="Times New Roman" w:cs="Times New Roman"/>
          <w:b/>
          <w:bCs/>
          <w:color w:val="000000" w:themeColor="text1"/>
        </w:rPr>
        <w:t xml:space="preserve">4 Distribution of virulent genes in </w:t>
      </w:r>
      <w:r w:rsidRPr="004F549F">
        <w:rPr>
          <w:rFonts w:ascii="Times New Roman" w:hAnsi="Times New Roman" w:cs="Times New Roman"/>
          <w:b/>
          <w:bCs/>
          <w:i/>
          <w:iCs/>
          <w:color w:val="000000" w:themeColor="text1"/>
        </w:rPr>
        <w:t>E.coli</w:t>
      </w:r>
      <w:r w:rsidRPr="004F549F">
        <w:rPr>
          <w:rFonts w:ascii="Times New Roman" w:hAnsi="Times New Roman" w:cs="Times New Roman"/>
          <w:b/>
          <w:bCs/>
          <w:color w:val="000000" w:themeColor="text1"/>
        </w:rPr>
        <w:t xml:space="preserve"> isolates</w:t>
      </w:r>
    </w:p>
    <w:tbl>
      <w:tblPr>
        <w:tblStyle w:val="TableGrid"/>
        <w:tblW w:w="0" w:type="auto"/>
        <w:tblInd w:w="-5" w:type="dxa"/>
        <w:tblLook w:val="04A0" w:firstRow="1" w:lastRow="0" w:firstColumn="1" w:lastColumn="0" w:noHBand="0" w:noVBand="1"/>
      </w:tblPr>
      <w:tblGrid>
        <w:gridCol w:w="1638"/>
        <w:gridCol w:w="1642"/>
        <w:gridCol w:w="1629"/>
        <w:gridCol w:w="1641"/>
        <w:gridCol w:w="1332"/>
      </w:tblGrid>
      <w:tr w:rsidR="00AA52FD" w:rsidRPr="004F549F" w14:paraId="42EE7B6D" w14:textId="77777777" w:rsidTr="00403162">
        <w:trPr>
          <w:trHeight w:val="277"/>
        </w:trPr>
        <w:tc>
          <w:tcPr>
            <w:tcW w:w="1638" w:type="dxa"/>
          </w:tcPr>
          <w:p w14:paraId="1DEA91BB" w14:textId="77777777" w:rsidR="00AA52FD" w:rsidRPr="004F549F" w:rsidRDefault="00AA52FD" w:rsidP="00403162">
            <w:pPr>
              <w:spacing w:after="160" w:line="36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Sr. No</w:t>
            </w:r>
          </w:p>
        </w:tc>
        <w:tc>
          <w:tcPr>
            <w:tcW w:w="1642" w:type="dxa"/>
          </w:tcPr>
          <w:p w14:paraId="4AE5746C" w14:textId="77777777" w:rsidR="00AA52FD" w:rsidRPr="004F549F" w:rsidRDefault="00AA52FD" w:rsidP="00403162">
            <w:pPr>
              <w:spacing w:after="160" w:line="36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Virulent genes</w:t>
            </w:r>
          </w:p>
        </w:tc>
        <w:tc>
          <w:tcPr>
            <w:tcW w:w="1629" w:type="dxa"/>
          </w:tcPr>
          <w:p w14:paraId="5FB023A1" w14:textId="77777777" w:rsidR="00AA52FD" w:rsidRPr="004F549F" w:rsidRDefault="00AA52FD" w:rsidP="00403162">
            <w:pPr>
              <w:spacing w:after="160" w:line="36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Total samples</w:t>
            </w:r>
          </w:p>
        </w:tc>
        <w:tc>
          <w:tcPr>
            <w:tcW w:w="1641" w:type="dxa"/>
          </w:tcPr>
          <w:p w14:paraId="0353D3E0" w14:textId="77777777" w:rsidR="00AA52FD" w:rsidRPr="004F549F" w:rsidRDefault="00AA52FD" w:rsidP="00403162">
            <w:pPr>
              <w:spacing w:after="160" w:line="36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+Ve Samples</w:t>
            </w:r>
          </w:p>
        </w:tc>
        <w:tc>
          <w:tcPr>
            <w:tcW w:w="1322" w:type="dxa"/>
          </w:tcPr>
          <w:p w14:paraId="41F3D992" w14:textId="77777777" w:rsidR="00AA52FD" w:rsidRPr="004F549F" w:rsidRDefault="00AA52FD" w:rsidP="00403162">
            <w:pPr>
              <w:spacing w:after="160" w:line="360" w:lineRule="auto"/>
              <w:jc w:val="center"/>
              <w:rPr>
                <w:rFonts w:ascii="Times New Roman" w:hAnsi="Times New Roman" w:cs="Times New Roman"/>
                <w:b/>
                <w:bCs/>
                <w:color w:val="000000" w:themeColor="text1"/>
              </w:rPr>
            </w:pPr>
            <w:r w:rsidRPr="004F549F">
              <w:rPr>
                <w:rFonts w:ascii="Times New Roman" w:hAnsi="Times New Roman" w:cs="Times New Roman"/>
                <w:b/>
                <w:bCs/>
                <w:color w:val="000000" w:themeColor="text1"/>
              </w:rPr>
              <w:t>Prevalence</w:t>
            </w:r>
          </w:p>
        </w:tc>
      </w:tr>
      <w:tr w:rsidR="00AA52FD" w:rsidRPr="004F549F" w14:paraId="276C3755" w14:textId="77777777" w:rsidTr="00403162">
        <w:trPr>
          <w:trHeight w:val="277"/>
        </w:trPr>
        <w:tc>
          <w:tcPr>
            <w:tcW w:w="1638" w:type="dxa"/>
          </w:tcPr>
          <w:p w14:paraId="5201D6B8"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1</w:t>
            </w:r>
          </w:p>
        </w:tc>
        <w:tc>
          <w:tcPr>
            <w:tcW w:w="1642" w:type="dxa"/>
          </w:tcPr>
          <w:p w14:paraId="2B972DAE"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i/>
                <w:iCs/>
                <w:color w:val="000000" w:themeColor="text1"/>
              </w:rPr>
              <w:t>Stx1</w:t>
            </w:r>
          </w:p>
        </w:tc>
        <w:tc>
          <w:tcPr>
            <w:tcW w:w="1629" w:type="dxa"/>
          </w:tcPr>
          <w:p w14:paraId="61C04812"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36</w:t>
            </w:r>
          </w:p>
        </w:tc>
        <w:tc>
          <w:tcPr>
            <w:tcW w:w="1641" w:type="dxa"/>
          </w:tcPr>
          <w:p w14:paraId="2899CEE8"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00</w:t>
            </w:r>
          </w:p>
        </w:tc>
        <w:tc>
          <w:tcPr>
            <w:tcW w:w="1322" w:type="dxa"/>
          </w:tcPr>
          <w:p w14:paraId="2FA35121"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00</w:t>
            </w:r>
          </w:p>
        </w:tc>
      </w:tr>
      <w:tr w:rsidR="00AA52FD" w:rsidRPr="004F549F" w14:paraId="4F622210" w14:textId="77777777" w:rsidTr="00403162">
        <w:trPr>
          <w:trHeight w:val="265"/>
        </w:trPr>
        <w:tc>
          <w:tcPr>
            <w:tcW w:w="1638" w:type="dxa"/>
          </w:tcPr>
          <w:p w14:paraId="7D937145"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2</w:t>
            </w:r>
          </w:p>
        </w:tc>
        <w:tc>
          <w:tcPr>
            <w:tcW w:w="1642" w:type="dxa"/>
          </w:tcPr>
          <w:p w14:paraId="1C6D6984"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i/>
                <w:iCs/>
                <w:color w:val="000000" w:themeColor="text1"/>
              </w:rPr>
              <w:t>Stx2</w:t>
            </w:r>
          </w:p>
        </w:tc>
        <w:tc>
          <w:tcPr>
            <w:tcW w:w="1629" w:type="dxa"/>
          </w:tcPr>
          <w:p w14:paraId="2C75B3C3"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36</w:t>
            </w:r>
          </w:p>
        </w:tc>
        <w:tc>
          <w:tcPr>
            <w:tcW w:w="1641" w:type="dxa"/>
          </w:tcPr>
          <w:p w14:paraId="3A7E0C44"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21</w:t>
            </w:r>
          </w:p>
        </w:tc>
        <w:tc>
          <w:tcPr>
            <w:tcW w:w="1322" w:type="dxa"/>
          </w:tcPr>
          <w:p w14:paraId="10A97109"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58.33%</w:t>
            </w:r>
          </w:p>
        </w:tc>
      </w:tr>
      <w:tr w:rsidR="00AA52FD" w:rsidRPr="004F549F" w14:paraId="51FE097A" w14:textId="77777777" w:rsidTr="00403162">
        <w:trPr>
          <w:trHeight w:val="277"/>
        </w:trPr>
        <w:tc>
          <w:tcPr>
            <w:tcW w:w="1638" w:type="dxa"/>
          </w:tcPr>
          <w:p w14:paraId="02C197B5"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3</w:t>
            </w:r>
          </w:p>
        </w:tc>
        <w:tc>
          <w:tcPr>
            <w:tcW w:w="1642" w:type="dxa"/>
            <w:vAlign w:val="center"/>
          </w:tcPr>
          <w:p w14:paraId="57E5B0B3"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i/>
                <w:iCs/>
                <w:color w:val="000000" w:themeColor="text1"/>
                <w:shd w:val="clear" w:color="auto" w:fill="FFFFFF"/>
              </w:rPr>
              <w:t>eaeA</w:t>
            </w:r>
          </w:p>
        </w:tc>
        <w:tc>
          <w:tcPr>
            <w:tcW w:w="1629" w:type="dxa"/>
          </w:tcPr>
          <w:p w14:paraId="21B8BAD8"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36</w:t>
            </w:r>
          </w:p>
        </w:tc>
        <w:tc>
          <w:tcPr>
            <w:tcW w:w="1641" w:type="dxa"/>
          </w:tcPr>
          <w:p w14:paraId="46E4A598"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07</w:t>
            </w:r>
          </w:p>
        </w:tc>
        <w:tc>
          <w:tcPr>
            <w:tcW w:w="1322" w:type="dxa"/>
          </w:tcPr>
          <w:p w14:paraId="4CB189BE"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19.44%</w:t>
            </w:r>
          </w:p>
        </w:tc>
      </w:tr>
      <w:tr w:rsidR="00AA52FD" w:rsidRPr="004F549F" w14:paraId="5347DAB6" w14:textId="77777777" w:rsidTr="00403162">
        <w:trPr>
          <w:trHeight w:val="277"/>
        </w:trPr>
        <w:tc>
          <w:tcPr>
            <w:tcW w:w="1638" w:type="dxa"/>
          </w:tcPr>
          <w:p w14:paraId="19BE63CA"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4</w:t>
            </w:r>
          </w:p>
        </w:tc>
        <w:tc>
          <w:tcPr>
            <w:tcW w:w="1642" w:type="dxa"/>
            <w:vAlign w:val="center"/>
          </w:tcPr>
          <w:p w14:paraId="38070763"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i/>
                <w:iCs/>
                <w:color w:val="000000" w:themeColor="text1"/>
                <w:shd w:val="clear" w:color="auto" w:fill="FFFFFF"/>
              </w:rPr>
              <w:t>TraT</w:t>
            </w:r>
          </w:p>
        </w:tc>
        <w:tc>
          <w:tcPr>
            <w:tcW w:w="1629" w:type="dxa"/>
          </w:tcPr>
          <w:p w14:paraId="00B333FD"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36</w:t>
            </w:r>
          </w:p>
        </w:tc>
        <w:tc>
          <w:tcPr>
            <w:tcW w:w="1641" w:type="dxa"/>
          </w:tcPr>
          <w:p w14:paraId="75DE2E46"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15</w:t>
            </w:r>
          </w:p>
        </w:tc>
        <w:tc>
          <w:tcPr>
            <w:tcW w:w="1322" w:type="dxa"/>
          </w:tcPr>
          <w:p w14:paraId="67A22A91"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41.66%</w:t>
            </w:r>
          </w:p>
        </w:tc>
      </w:tr>
      <w:tr w:rsidR="00AA52FD" w:rsidRPr="004F549F" w14:paraId="3EB2BC28" w14:textId="77777777" w:rsidTr="00403162">
        <w:trPr>
          <w:trHeight w:val="277"/>
        </w:trPr>
        <w:tc>
          <w:tcPr>
            <w:tcW w:w="1638" w:type="dxa"/>
          </w:tcPr>
          <w:p w14:paraId="069E5063"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5</w:t>
            </w:r>
          </w:p>
        </w:tc>
        <w:tc>
          <w:tcPr>
            <w:tcW w:w="1642" w:type="dxa"/>
            <w:vAlign w:val="center"/>
          </w:tcPr>
          <w:p w14:paraId="027E9865"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i/>
                <w:iCs/>
                <w:color w:val="000000" w:themeColor="text1"/>
                <w:shd w:val="clear" w:color="auto" w:fill="FFFFFF"/>
              </w:rPr>
              <w:t>aer</w:t>
            </w:r>
          </w:p>
        </w:tc>
        <w:tc>
          <w:tcPr>
            <w:tcW w:w="1629" w:type="dxa"/>
          </w:tcPr>
          <w:p w14:paraId="4DA91788"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36</w:t>
            </w:r>
          </w:p>
        </w:tc>
        <w:tc>
          <w:tcPr>
            <w:tcW w:w="1641" w:type="dxa"/>
          </w:tcPr>
          <w:p w14:paraId="6AF8A921"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00</w:t>
            </w:r>
          </w:p>
        </w:tc>
        <w:tc>
          <w:tcPr>
            <w:tcW w:w="1322" w:type="dxa"/>
          </w:tcPr>
          <w:p w14:paraId="607D36F8"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00</w:t>
            </w:r>
          </w:p>
        </w:tc>
      </w:tr>
      <w:tr w:rsidR="00AA52FD" w:rsidRPr="004F549F" w14:paraId="4A60BEA5" w14:textId="77777777" w:rsidTr="00403162">
        <w:trPr>
          <w:trHeight w:val="277"/>
        </w:trPr>
        <w:tc>
          <w:tcPr>
            <w:tcW w:w="1638" w:type="dxa"/>
          </w:tcPr>
          <w:p w14:paraId="69E9323B"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6</w:t>
            </w:r>
          </w:p>
        </w:tc>
        <w:tc>
          <w:tcPr>
            <w:tcW w:w="1642" w:type="dxa"/>
            <w:vAlign w:val="center"/>
          </w:tcPr>
          <w:p w14:paraId="3238EA42"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i/>
                <w:iCs/>
                <w:color w:val="000000" w:themeColor="text1"/>
                <w:shd w:val="clear" w:color="auto" w:fill="FFFFFF"/>
              </w:rPr>
              <w:t>hly</w:t>
            </w:r>
          </w:p>
        </w:tc>
        <w:tc>
          <w:tcPr>
            <w:tcW w:w="1629" w:type="dxa"/>
          </w:tcPr>
          <w:p w14:paraId="4C7FC43C"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36</w:t>
            </w:r>
          </w:p>
        </w:tc>
        <w:tc>
          <w:tcPr>
            <w:tcW w:w="1641" w:type="dxa"/>
          </w:tcPr>
          <w:p w14:paraId="5C981EF7"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00</w:t>
            </w:r>
          </w:p>
        </w:tc>
        <w:tc>
          <w:tcPr>
            <w:tcW w:w="1322" w:type="dxa"/>
          </w:tcPr>
          <w:p w14:paraId="52E8DC85" w14:textId="77777777" w:rsidR="00AA52FD" w:rsidRPr="004F549F" w:rsidRDefault="00AA52FD" w:rsidP="00403162">
            <w:pPr>
              <w:spacing w:after="160" w:line="360" w:lineRule="auto"/>
              <w:jc w:val="center"/>
              <w:rPr>
                <w:rFonts w:ascii="Times New Roman" w:hAnsi="Times New Roman" w:cs="Times New Roman"/>
                <w:color w:val="000000" w:themeColor="text1"/>
              </w:rPr>
            </w:pPr>
            <w:r w:rsidRPr="004F549F">
              <w:rPr>
                <w:rFonts w:ascii="Times New Roman" w:hAnsi="Times New Roman" w:cs="Times New Roman"/>
                <w:color w:val="000000" w:themeColor="text1"/>
              </w:rPr>
              <w:t>00</w:t>
            </w:r>
          </w:p>
        </w:tc>
      </w:tr>
    </w:tbl>
    <w:p w14:paraId="7C7EA218" w14:textId="0683D010" w:rsidR="001D1932" w:rsidRPr="004F549F" w:rsidRDefault="001D1932"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The absence of </w:t>
      </w:r>
      <w:r w:rsidRPr="004F549F">
        <w:rPr>
          <w:i/>
          <w:color w:val="000000" w:themeColor="text1"/>
        </w:rPr>
        <w:t>Stx1</w:t>
      </w:r>
      <w:r w:rsidRPr="004F549F">
        <w:rPr>
          <w:color w:val="000000" w:themeColor="text1"/>
        </w:rPr>
        <w:t xml:space="preserve"> and the higher prevalence of </w:t>
      </w:r>
      <w:r w:rsidRPr="004F549F">
        <w:rPr>
          <w:i/>
          <w:color w:val="000000" w:themeColor="text1"/>
        </w:rPr>
        <w:t>Stx2</w:t>
      </w:r>
      <w:r w:rsidRPr="004F549F">
        <w:rPr>
          <w:color w:val="000000" w:themeColor="text1"/>
        </w:rPr>
        <w:t xml:space="preserve"> indicated that </w:t>
      </w:r>
      <w:r w:rsidRPr="004F549F">
        <w:rPr>
          <w:i/>
          <w:color w:val="000000" w:themeColor="text1"/>
        </w:rPr>
        <w:t>Stx2</w:t>
      </w:r>
      <w:r w:rsidRPr="004F549F">
        <w:rPr>
          <w:color w:val="000000" w:themeColor="text1"/>
        </w:rPr>
        <w:t xml:space="preserve"> was the predominant Shiga toxin gene detected in these isolates, consistent with an earlier report (Younis et al., 2021), although variation has been observed in other studies (Neher et al., 2015; </w:t>
      </w:r>
      <w:r w:rsidR="00EE5DE0" w:rsidRPr="00EE5DE0">
        <w:rPr>
          <w:color w:val="000000" w:themeColor="text1"/>
        </w:rPr>
        <w:t>Cengiz</w:t>
      </w:r>
      <w:r w:rsidRPr="004F549F">
        <w:rPr>
          <w:color w:val="000000" w:themeColor="text1"/>
        </w:rPr>
        <w:t xml:space="preserve"> et al., 2014).</w:t>
      </w:r>
    </w:p>
    <w:p w14:paraId="211D70FA" w14:textId="4ABAFD39" w:rsidR="001D1932" w:rsidRPr="004F549F" w:rsidRDefault="001D1932"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The presence of </w:t>
      </w:r>
      <w:r w:rsidRPr="004F549F">
        <w:rPr>
          <w:i/>
          <w:color w:val="000000" w:themeColor="text1"/>
        </w:rPr>
        <w:t>eaeA</w:t>
      </w:r>
      <w:r w:rsidRPr="004F549F">
        <w:rPr>
          <w:color w:val="000000" w:themeColor="text1"/>
        </w:rPr>
        <w:t xml:space="preserve"> suggested that certain isolates possessed an adhesion-associated determinant, whereas </w:t>
      </w:r>
      <w:r w:rsidRPr="004F549F">
        <w:rPr>
          <w:i/>
          <w:color w:val="000000" w:themeColor="text1"/>
        </w:rPr>
        <w:t>TraT</w:t>
      </w:r>
      <w:r w:rsidRPr="004F549F">
        <w:rPr>
          <w:color w:val="000000" w:themeColor="text1"/>
        </w:rPr>
        <w:t xml:space="preserve"> indicated the presence of a serum-resistance-associated determinant. Together, these genes may contribute to colonisation and immune evasion. The absence of </w:t>
      </w:r>
      <w:r w:rsidRPr="004F549F">
        <w:rPr>
          <w:i/>
          <w:color w:val="000000" w:themeColor="text1"/>
        </w:rPr>
        <w:t>aer</w:t>
      </w:r>
      <w:r w:rsidRPr="004F549F">
        <w:rPr>
          <w:color w:val="000000" w:themeColor="text1"/>
        </w:rPr>
        <w:t xml:space="preserve"> and </w:t>
      </w:r>
      <w:r w:rsidRPr="004F549F">
        <w:rPr>
          <w:i/>
          <w:color w:val="000000" w:themeColor="text1"/>
        </w:rPr>
        <w:t>hly</w:t>
      </w:r>
      <w:r w:rsidRPr="004F549F">
        <w:rPr>
          <w:color w:val="000000" w:themeColor="text1"/>
        </w:rPr>
        <w:t xml:space="preserve"> indicates that these specific iron-acquisition and haemolysin determinants were not detected in the studied isolates, reflecting variability in virulence-gene profiles (</w:t>
      </w:r>
      <w:r w:rsidR="00EE5DE0" w:rsidRPr="00EE5DE0">
        <w:rPr>
          <w:color w:val="000000" w:themeColor="text1"/>
        </w:rPr>
        <w:t>Cengiz</w:t>
      </w:r>
      <w:r w:rsidRPr="004F549F">
        <w:rPr>
          <w:color w:val="000000" w:themeColor="text1"/>
        </w:rPr>
        <w:t xml:space="preserve"> et al., 2014).</w:t>
      </w:r>
    </w:p>
    <w:p w14:paraId="0183DCD9" w14:textId="77777777" w:rsidR="00AA52FD" w:rsidRPr="004F549F" w:rsidRDefault="001D1932" w:rsidP="00401B92">
      <w:pPr>
        <w:spacing w:line="480" w:lineRule="auto"/>
        <w:ind w:firstLine="720"/>
        <w:jc w:val="both"/>
        <w:rPr>
          <w:rFonts w:ascii="Times New Roman" w:hAnsi="Times New Roman" w:cs="Times New Roman"/>
          <w:color w:val="000000" w:themeColor="text1"/>
        </w:rPr>
      </w:pPr>
      <w:r w:rsidRPr="004F549F">
        <w:rPr>
          <w:color w:val="000000" w:themeColor="text1"/>
        </w:rPr>
        <w:lastRenderedPageBreak/>
        <w:t xml:space="preserve">Analysis of virulence-gene combinations showed that </w:t>
      </w:r>
      <w:r w:rsidRPr="004F549F">
        <w:rPr>
          <w:i/>
          <w:color w:val="000000" w:themeColor="text1"/>
        </w:rPr>
        <w:t>Stx2</w:t>
      </w:r>
      <w:r w:rsidRPr="004F549F">
        <w:rPr>
          <w:color w:val="000000" w:themeColor="text1"/>
        </w:rPr>
        <w:t>–</w:t>
      </w:r>
      <w:r w:rsidRPr="004F549F">
        <w:rPr>
          <w:i/>
          <w:color w:val="000000" w:themeColor="text1"/>
        </w:rPr>
        <w:t>TraT</w:t>
      </w:r>
      <w:r w:rsidRPr="004F549F">
        <w:rPr>
          <w:color w:val="000000" w:themeColor="text1"/>
        </w:rPr>
        <w:t xml:space="preserve"> was the most prevalent profile (22.22%), followed by </w:t>
      </w:r>
      <w:r w:rsidRPr="004F549F">
        <w:rPr>
          <w:i/>
          <w:color w:val="000000" w:themeColor="text1"/>
        </w:rPr>
        <w:t>Stx2</w:t>
      </w:r>
      <w:r w:rsidRPr="004F549F">
        <w:rPr>
          <w:color w:val="000000" w:themeColor="text1"/>
        </w:rPr>
        <w:t>–</w:t>
      </w:r>
      <w:r w:rsidRPr="004F549F">
        <w:rPr>
          <w:i/>
          <w:color w:val="000000" w:themeColor="text1"/>
        </w:rPr>
        <w:t>eaeA</w:t>
      </w:r>
      <w:r w:rsidRPr="004F549F">
        <w:rPr>
          <w:color w:val="000000" w:themeColor="text1"/>
        </w:rPr>
        <w:t xml:space="preserve"> and </w:t>
      </w:r>
      <w:r w:rsidRPr="004F549F">
        <w:rPr>
          <w:i/>
          <w:color w:val="000000" w:themeColor="text1"/>
        </w:rPr>
        <w:t>TraT</w:t>
      </w:r>
      <w:r w:rsidRPr="004F549F">
        <w:rPr>
          <w:color w:val="000000" w:themeColor="text1"/>
        </w:rPr>
        <w:t>–</w:t>
      </w:r>
      <w:r w:rsidRPr="004F549F">
        <w:rPr>
          <w:i/>
          <w:color w:val="000000" w:themeColor="text1"/>
        </w:rPr>
        <w:t>eaeA</w:t>
      </w:r>
      <w:r w:rsidRPr="004F549F">
        <w:rPr>
          <w:color w:val="000000" w:themeColor="text1"/>
        </w:rPr>
        <w:t xml:space="preserve"> (Table 5).</w:t>
      </w:r>
    </w:p>
    <w:p w14:paraId="3ABC22E3" w14:textId="77777777" w:rsidR="001742CF" w:rsidRPr="004F549F" w:rsidRDefault="001742CF" w:rsidP="00AA52FD">
      <w:pPr>
        <w:spacing w:line="360" w:lineRule="auto"/>
        <w:jc w:val="both"/>
        <w:rPr>
          <w:rFonts w:ascii="Times New Roman" w:hAnsi="Times New Roman" w:cs="Times New Roman"/>
          <w:b/>
          <w:bCs/>
          <w:color w:val="000000" w:themeColor="text1"/>
        </w:rPr>
      </w:pPr>
    </w:p>
    <w:p w14:paraId="5E931ED4" w14:textId="77777777" w:rsidR="00AA52FD" w:rsidRPr="004F549F" w:rsidRDefault="00AA52FD" w:rsidP="00AA52FD">
      <w:pPr>
        <w:spacing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Table.5 Gene combination profiles of virulent genes in </w:t>
      </w:r>
      <w:r w:rsidRPr="004F549F">
        <w:rPr>
          <w:rFonts w:ascii="Times New Roman" w:hAnsi="Times New Roman" w:cs="Times New Roman"/>
          <w:b/>
          <w:bCs/>
          <w:i/>
          <w:iCs/>
          <w:color w:val="000000" w:themeColor="text1"/>
        </w:rPr>
        <w:t>E.</w:t>
      </w:r>
      <w:r w:rsidR="00A71534" w:rsidRPr="004F549F">
        <w:rPr>
          <w:rFonts w:ascii="Times New Roman" w:hAnsi="Times New Roman" w:cs="Times New Roman"/>
          <w:b/>
          <w:bCs/>
          <w:i/>
          <w:iCs/>
          <w:color w:val="000000" w:themeColor="text1"/>
        </w:rPr>
        <w:t xml:space="preserve"> </w:t>
      </w:r>
      <w:r w:rsidRPr="004F549F">
        <w:rPr>
          <w:rFonts w:ascii="Times New Roman" w:hAnsi="Times New Roman" w:cs="Times New Roman"/>
          <w:b/>
          <w:bCs/>
          <w:i/>
          <w:iCs/>
          <w:color w:val="000000" w:themeColor="text1"/>
        </w:rPr>
        <w:t>coli</w:t>
      </w:r>
      <w:r w:rsidRPr="004F549F">
        <w:rPr>
          <w:rFonts w:ascii="Times New Roman" w:hAnsi="Times New Roman" w:cs="Times New Roman"/>
          <w:b/>
          <w:bCs/>
          <w:color w:val="000000" w:themeColor="text1"/>
        </w:rPr>
        <w:t xml:space="preserve"> isolates</w:t>
      </w:r>
    </w:p>
    <w:tbl>
      <w:tblPr>
        <w:tblStyle w:val="TableGrid"/>
        <w:tblW w:w="7740" w:type="dxa"/>
        <w:tblInd w:w="-5" w:type="dxa"/>
        <w:tblLook w:val="04A0" w:firstRow="1" w:lastRow="0" w:firstColumn="1" w:lastColumn="0" w:noHBand="0" w:noVBand="1"/>
      </w:tblPr>
      <w:tblGrid>
        <w:gridCol w:w="1793"/>
        <w:gridCol w:w="2257"/>
        <w:gridCol w:w="1980"/>
        <w:gridCol w:w="1710"/>
      </w:tblGrid>
      <w:tr w:rsidR="00AA52FD" w:rsidRPr="004F549F" w14:paraId="6A54387B" w14:textId="77777777" w:rsidTr="00403162">
        <w:tc>
          <w:tcPr>
            <w:tcW w:w="1793" w:type="dxa"/>
          </w:tcPr>
          <w:p w14:paraId="4D129171" w14:textId="77777777" w:rsidR="00AA52FD" w:rsidRPr="004F549F" w:rsidRDefault="00AA52FD" w:rsidP="00403162">
            <w:pPr>
              <w:spacing w:after="160"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Total </w:t>
            </w:r>
            <w:r w:rsidR="00D62AFE" w:rsidRPr="004F549F">
              <w:rPr>
                <w:rFonts w:ascii="Times New Roman" w:hAnsi="Times New Roman" w:cs="Times New Roman"/>
                <w:b/>
                <w:bCs/>
                <w:color w:val="000000" w:themeColor="text1"/>
              </w:rPr>
              <w:t>isolates</w:t>
            </w:r>
          </w:p>
        </w:tc>
        <w:tc>
          <w:tcPr>
            <w:tcW w:w="2257" w:type="dxa"/>
          </w:tcPr>
          <w:p w14:paraId="5C628181" w14:textId="77777777" w:rsidR="00AA52FD" w:rsidRPr="004F549F" w:rsidRDefault="00AA52FD" w:rsidP="00403162">
            <w:pPr>
              <w:spacing w:after="160"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Gene combination</w:t>
            </w:r>
          </w:p>
        </w:tc>
        <w:tc>
          <w:tcPr>
            <w:tcW w:w="1980" w:type="dxa"/>
          </w:tcPr>
          <w:p w14:paraId="4A0F0974" w14:textId="77777777" w:rsidR="00AA52FD" w:rsidRPr="004F549F" w:rsidRDefault="00AA52FD" w:rsidP="00403162">
            <w:pPr>
              <w:spacing w:after="160"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No of isolates</w:t>
            </w:r>
          </w:p>
        </w:tc>
        <w:tc>
          <w:tcPr>
            <w:tcW w:w="1710" w:type="dxa"/>
          </w:tcPr>
          <w:p w14:paraId="3DEA8DF1" w14:textId="77777777" w:rsidR="00AA52FD" w:rsidRPr="004F549F" w:rsidRDefault="00AA52FD" w:rsidP="00403162">
            <w:pPr>
              <w:spacing w:after="160"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Prevalence</w:t>
            </w:r>
          </w:p>
        </w:tc>
      </w:tr>
      <w:tr w:rsidR="00AA52FD" w:rsidRPr="004F549F" w14:paraId="361212B2" w14:textId="77777777" w:rsidTr="00403162">
        <w:tc>
          <w:tcPr>
            <w:tcW w:w="1793" w:type="dxa"/>
            <w:vMerge w:val="restart"/>
          </w:tcPr>
          <w:p w14:paraId="3C07B009" w14:textId="77777777" w:rsidR="00AA52FD" w:rsidRPr="004F549F" w:rsidRDefault="00AA52FD" w:rsidP="00403162">
            <w:pPr>
              <w:spacing w:after="160" w:line="360" w:lineRule="auto"/>
              <w:jc w:val="both"/>
              <w:rPr>
                <w:rFonts w:ascii="Times New Roman" w:hAnsi="Times New Roman" w:cs="Times New Roman"/>
                <w:color w:val="000000" w:themeColor="text1"/>
              </w:rPr>
            </w:pPr>
          </w:p>
          <w:p w14:paraId="0DF90B96" w14:textId="77777777" w:rsidR="00AA52FD" w:rsidRPr="004F549F" w:rsidRDefault="00AA52FD" w:rsidP="00403162">
            <w:pPr>
              <w:spacing w:after="160" w:line="360" w:lineRule="auto"/>
              <w:jc w:val="both"/>
              <w:rPr>
                <w:rFonts w:ascii="Times New Roman" w:hAnsi="Times New Roman" w:cs="Times New Roman"/>
                <w:i/>
                <w:iCs/>
                <w:color w:val="000000" w:themeColor="text1"/>
              </w:rPr>
            </w:pPr>
            <w:r w:rsidRPr="004F549F">
              <w:rPr>
                <w:rFonts w:ascii="Times New Roman" w:hAnsi="Times New Roman" w:cs="Times New Roman"/>
                <w:color w:val="000000" w:themeColor="text1"/>
              </w:rPr>
              <w:t xml:space="preserve">      36</w:t>
            </w:r>
          </w:p>
        </w:tc>
        <w:tc>
          <w:tcPr>
            <w:tcW w:w="2257" w:type="dxa"/>
          </w:tcPr>
          <w:p w14:paraId="263E2374" w14:textId="77777777" w:rsidR="00AA52FD" w:rsidRPr="004F549F" w:rsidRDefault="00AA52FD" w:rsidP="00403162">
            <w:pPr>
              <w:spacing w:after="160" w:line="360" w:lineRule="auto"/>
              <w:jc w:val="both"/>
              <w:rPr>
                <w:rFonts w:ascii="Times New Roman" w:hAnsi="Times New Roman" w:cs="Times New Roman"/>
                <w:i/>
                <w:iCs/>
                <w:color w:val="000000" w:themeColor="text1"/>
              </w:rPr>
            </w:pPr>
            <w:r w:rsidRPr="004F549F">
              <w:rPr>
                <w:rFonts w:ascii="Times New Roman" w:hAnsi="Times New Roman" w:cs="Times New Roman"/>
                <w:i/>
                <w:iCs/>
                <w:color w:val="000000" w:themeColor="text1"/>
              </w:rPr>
              <w:t xml:space="preserve">Stx2 - </w:t>
            </w:r>
            <w:r w:rsidRPr="004F549F">
              <w:rPr>
                <w:rFonts w:ascii="Times New Roman" w:hAnsi="Times New Roman" w:cs="Times New Roman"/>
                <w:i/>
                <w:iCs/>
                <w:color w:val="000000" w:themeColor="text1"/>
                <w:shd w:val="clear" w:color="auto" w:fill="FFFFFF"/>
              </w:rPr>
              <w:t>eaeA</w:t>
            </w:r>
          </w:p>
        </w:tc>
        <w:tc>
          <w:tcPr>
            <w:tcW w:w="1980" w:type="dxa"/>
          </w:tcPr>
          <w:p w14:paraId="38E2E831"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color w:val="000000" w:themeColor="text1"/>
              </w:rPr>
              <w:t>03</w:t>
            </w:r>
          </w:p>
        </w:tc>
        <w:tc>
          <w:tcPr>
            <w:tcW w:w="1710" w:type="dxa"/>
          </w:tcPr>
          <w:p w14:paraId="73F26B7A"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color w:val="000000" w:themeColor="text1"/>
              </w:rPr>
              <w:t>8.33%</w:t>
            </w:r>
          </w:p>
        </w:tc>
      </w:tr>
      <w:tr w:rsidR="00AA52FD" w:rsidRPr="004F549F" w14:paraId="0BD92371" w14:textId="77777777" w:rsidTr="00403162">
        <w:tc>
          <w:tcPr>
            <w:tcW w:w="1793" w:type="dxa"/>
            <w:vMerge/>
          </w:tcPr>
          <w:p w14:paraId="6E63F560" w14:textId="77777777" w:rsidR="00AA52FD" w:rsidRPr="004F549F" w:rsidRDefault="00AA52FD" w:rsidP="00403162">
            <w:pPr>
              <w:spacing w:after="160" w:line="360" w:lineRule="auto"/>
              <w:jc w:val="both"/>
              <w:rPr>
                <w:rFonts w:ascii="Times New Roman" w:hAnsi="Times New Roman" w:cs="Times New Roman"/>
                <w:i/>
                <w:iCs/>
                <w:color w:val="000000" w:themeColor="text1"/>
              </w:rPr>
            </w:pPr>
          </w:p>
        </w:tc>
        <w:tc>
          <w:tcPr>
            <w:tcW w:w="2257" w:type="dxa"/>
          </w:tcPr>
          <w:p w14:paraId="0BC9655B" w14:textId="77777777" w:rsidR="00AA52FD" w:rsidRPr="004F549F" w:rsidRDefault="00AA52FD" w:rsidP="00403162">
            <w:pPr>
              <w:spacing w:after="160" w:line="360" w:lineRule="auto"/>
              <w:jc w:val="both"/>
              <w:rPr>
                <w:rFonts w:ascii="Times New Roman" w:hAnsi="Times New Roman" w:cs="Times New Roman"/>
                <w:i/>
                <w:iCs/>
                <w:color w:val="000000" w:themeColor="text1"/>
              </w:rPr>
            </w:pPr>
            <w:r w:rsidRPr="004F549F">
              <w:rPr>
                <w:rFonts w:ascii="Times New Roman" w:hAnsi="Times New Roman" w:cs="Times New Roman"/>
                <w:i/>
                <w:iCs/>
                <w:color w:val="000000" w:themeColor="text1"/>
              </w:rPr>
              <w:t xml:space="preserve">Stx2 - </w:t>
            </w:r>
            <w:r w:rsidRPr="004F549F">
              <w:rPr>
                <w:rFonts w:ascii="Times New Roman" w:hAnsi="Times New Roman" w:cs="Times New Roman"/>
                <w:i/>
                <w:iCs/>
                <w:color w:val="000000" w:themeColor="text1"/>
                <w:shd w:val="clear" w:color="auto" w:fill="FFFFFF"/>
              </w:rPr>
              <w:t>TraT</w:t>
            </w:r>
          </w:p>
        </w:tc>
        <w:tc>
          <w:tcPr>
            <w:tcW w:w="1980" w:type="dxa"/>
          </w:tcPr>
          <w:p w14:paraId="484202BD"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color w:val="000000" w:themeColor="text1"/>
              </w:rPr>
              <w:t>08</w:t>
            </w:r>
          </w:p>
        </w:tc>
        <w:tc>
          <w:tcPr>
            <w:tcW w:w="1710" w:type="dxa"/>
          </w:tcPr>
          <w:p w14:paraId="276FECB8" w14:textId="77777777" w:rsidR="00AA52FD" w:rsidRPr="004F549F" w:rsidRDefault="00AA52FD" w:rsidP="00403162">
            <w:pPr>
              <w:spacing w:after="160" w:line="360" w:lineRule="auto"/>
              <w:jc w:val="center"/>
              <w:rPr>
                <w:rFonts w:ascii="Times New Roman" w:hAnsi="Times New Roman" w:cs="Times New Roman"/>
                <w:i/>
                <w:iCs/>
                <w:color w:val="000000" w:themeColor="text1"/>
              </w:rPr>
            </w:pPr>
            <w:r w:rsidRPr="004F549F">
              <w:rPr>
                <w:rFonts w:ascii="Times New Roman" w:hAnsi="Times New Roman" w:cs="Times New Roman"/>
                <w:color w:val="000000" w:themeColor="text1"/>
              </w:rPr>
              <w:t>22.22%</w:t>
            </w:r>
          </w:p>
        </w:tc>
      </w:tr>
      <w:tr w:rsidR="00AA52FD" w:rsidRPr="004F549F" w14:paraId="1942D791" w14:textId="77777777" w:rsidTr="00403162">
        <w:tc>
          <w:tcPr>
            <w:tcW w:w="1793" w:type="dxa"/>
            <w:vMerge/>
          </w:tcPr>
          <w:p w14:paraId="24315C4D" w14:textId="77777777" w:rsidR="00AA52FD" w:rsidRPr="004F549F" w:rsidRDefault="00AA52FD" w:rsidP="00403162">
            <w:pPr>
              <w:spacing w:after="160" w:line="360" w:lineRule="auto"/>
              <w:jc w:val="both"/>
              <w:rPr>
                <w:rFonts w:ascii="Times New Roman" w:hAnsi="Times New Roman" w:cs="Times New Roman"/>
                <w:i/>
                <w:iCs/>
                <w:color w:val="000000" w:themeColor="text1"/>
                <w:shd w:val="clear" w:color="auto" w:fill="FFFFFF"/>
              </w:rPr>
            </w:pPr>
          </w:p>
        </w:tc>
        <w:tc>
          <w:tcPr>
            <w:tcW w:w="2257" w:type="dxa"/>
          </w:tcPr>
          <w:p w14:paraId="14AEBCEF" w14:textId="77777777" w:rsidR="00AA52FD" w:rsidRPr="004F549F" w:rsidRDefault="00AA52FD" w:rsidP="00403162">
            <w:pPr>
              <w:spacing w:after="160" w:line="360" w:lineRule="auto"/>
              <w:jc w:val="both"/>
              <w:rPr>
                <w:rFonts w:ascii="Times New Roman" w:hAnsi="Times New Roman" w:cs="Times New Roman"/>
                <w:i/>
                <w:iCs/>
                <w:color w:val="000000" w:themeColor="text1"/>
                <w:shd w:val="clear" w:color="auto" w:fill="FFFFFF"/>
              </w:rPr>
            </w:pPr>
            <w:r w:rsidRPr="004F549F">
              <w:rPr>
                <w:rFonts w:ascii="Times New Roman" w:hAnsi="Times New Roman" w:cs="Times New Roman"/>
                <w:i/>
                <w:iCs/>
                <w:color w:val="000000" w:themeColor="text1"/>
                <w:shd w:val="clear" w:color="auto" w:fill="FFFFFF"/>
              </w:rPr>
              <w:t>TraT - eaeA</w:t>
            </w:r>
          </w:p>
        </w:tc>
        <w:tc>
          <w:tcPr>
            <w:tcW w:w="1980" w:type="dxa"/>
          </w:tcPr>
          <w:p w14:paraId="0E92D0D4" w14:textId="77777777" w:rsidR="00AA52FD" w:rsidRPr="004F549F" w:rsidRDefault="00AA52FD" w:rsidP="00403162">
            <w:pPr>
              <w:spacing w:after="160" w:line="360" w:lineRule="auto"/>
              <w:jc w:val="center"/>
              <w:rPr>
                <w:rFonts w:ascii="Times New Roman" w:hAnsi="Times New Roman" w:cs="Times New Roman"/>
                <w:i/>
                <w:iCs/>
                <w:color w:val="000000" w:themeColor="text1"/>
                <w:shd w:val="clear" w:color="auto" w:fill="FFFFFF"/>
              </w:rPr>
            </w:pPr>
            <w:r w:rsidRPr="004F549F">
              <w:rPr>
                <w:rFonts w:ascii="Times New Roman" w:hAnsi="Times New Roman" w:cs="Times New Roman"/>
                <w:color w:val="000000" w:themeColor="text1"/>
              </w:rPr>
              <w:t>02</w:t>
            </w:r>
          </w:p>
        </w:tc>
        <w:tc>
          <w:tcPr>
            <w:tcW w:w="1710" w:type="dxa"/>
          </w:tcPr>
          <w:p w14:paraId="31620ABE" w14:textId="77777777" w:rsidR="00AA52FD" w:rsidRPr="004F549F" w:rsidRDefault="00AA52FD" w:rsidP="00403162">
            <w:pPr>
              <w:spacing w:after="160" w:line="360" w:lineRule="auto"/>
              <w:jc w:val="center"/>
              <w:rPr>
                <w:rFonts w:ascii="Times New Roman" w:hAnsi="Times New Roman" w:cs="Times New Roman"/>
                <w:i/>
                <w:iCs/>
                <w:color w:val="000000" w:themeColor="text1"/>
                <w:shd w:val="clear" w:color="auto" w:fill="FFFFFF"/>
              </w:rPr>
            </w:pPr>
            <w:r w:rsidRPr="004F549F">
              <w:rPr>
                <w:rFonts w:ascii="Times New Roman" w:hAnsi="Times New Roman" w:cs="Times New Roman"/>
                <w:color w:val="000000" w:themeColor="text1"/>
              </w:rPr>
              <w:t>5.55%</w:t>
            </w:r>
          </w:p>
        </w:tc>
      </w:tr>
    </w:tbl>
    <w:p w14:paraId="3454A686" w14:textId="77777777" w:rsidR="00AA52FD" w:rsidRPr="004F549F" w:rsidRDefault="00AA52FD" w:rsidP="00401B92">
      <w:pPr>
        <w:spacing w:line="480" w:lineRule="auto"/>
        <w:ind w:firstLine="720"/>
        <w:jc w:val="both"/>
        <w:rPr>
          <w:rFonts w:ascii="Times New Roman" w:hAnsi="Times New Roman" w:cs="Times New Roman"/>
          <w:color w:val="000000" w:themeColor="text1"/>
        </w:rPr>
      </w:pPr>
    </w:p>
    <w:p w14:paraId="2E853C25" w14:textId="77777777" w:rsidR="001D1932" w:rsidRPr="004F549F" w:rsidRDefault="004C5B3F"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These combinations represented the co-occurrence of determinants associated with toxin production, adhesion, and immune evasion. The findings support the view that the virulence profile of </w:t>
      </w:r>
      <w:r w:rsidRPr="004F549F">
        <w:rPr>
          <w:i/>
          <w:color w:val="000000" w:themeColor="text1"/>
        </w:rPr>
        <w:t>E. coli</w:t>
      </w:r>
      <w:r w:rsidRPr="004F549F">
        <w:rPr>
          <w:color w:val="000000" w:themeColor="text1"/>
        </w:rPr>
        <w:t xml:space="preserve"> may reflect combinations of genes rather than individual determinants alone.</w:t>
      </w:r>
    </w:p>
    <w:p w14:paraId="48612CA2" w14:textId="77777777" w:rsidR="001D1932" w:rsidRPr="004F549F" w:rsidRDefault="001D1932"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Overall, the study demonstrated that </w:t>
      </w:r>
      <w:r w:rsidRPr="004F549F">
        <w:rPr>
          <w:i/>
          <w:color w:val="000000" w:themeColor="text1"/>
        </w:rPr>
        <w:t>E. coli</w:t>
      </w:r>
      <w:r w:rsidRPr="004F549F">
        <w:rPr>
          <w:color w:val="000000" w:themeColor="text1"/>
        </w:rPr>
        <w:t xml:space="preserve"> isolates associated with bovine mastitis possessed diverse virulence profiles, with </w:t>
      </w:r>
      <w:r w:rsidRPr="004F549F">
        <w:rPr>
          <w:i/>
          <w:color w:val="000000" w:themeColor="text1"/>
        </w:rPr>
        <w:t>Stx2</w:t>
      </w:r>
      <w:r w:rsidRPr="004F549F">
        <w:rPr>
          <w:color w:val="000000" w:themeColor="text1"/>
        </w:rPr>
        <w:t xml:space="preserve"> being the most frequently detected gene. The variability in gene distribution highlighted the multifactorial nature of pathogenicity and the value of continued molecular surveillance.</w:t>
      </w:r>
    </w:p>
    <w:p w14:paraId="52FA30D8" w14:textId="77777777" w:rsidR="008F7A97" w:rsidRPr="004F549F" w:rsidRDefault="00CE29C2"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In the constructed phylogenetic tree, sequence SQ4647 formed a separate clade from the cluster containing the other reference sequences. The sequences MG817335.1, MG817336.1, MG197876.1, MF043881.1, MG966417.1, MG736060.1, and MG952583.1 grouped within the same major lineage, indicating closer genetic similarity. The independent </w:t>
      </w:r>
      <w:r w:rsidRPr="004F549F">
        <w:rPr>
          <w:color w:val="000000" w:themeColor="text1"/>
        </w:rPr>
        <w:lastRenderedPageBreak/>
        <w:t>placement of SQ4647 based on the 16S rRNA sequence suggests sequence divergence from the other sequences included in the analysis. This divergence may reflect variation within the analysed gene region (Fig. 5).</w:t>
      </w:r>
    </w:p>
    <w:p w14:paraId="6330C12F" w14:textId="77777777" w:rsidR="00B70B78" w:rsidRPr="004F549F" w:rsidRDefault="00B70B78" w:rsidP="00B70B78">
      <w:pPr>
        <w:spacing w:line="36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 xml:space="preserve">Fig. 5 Phylogenetic analysis of virulent </w:t>
      </w:r>
      <w:r w:rsidRPr="004F549F">
        <w:rPr>
          <w:rFonts w:ascii="Times New Roman" w:hAnsi="Times New Roman" w:cs="Times New Roman"/>
          <w:b/>
          <w:bCs/>
          <w:i/>
          <w:iCs/>
          <w:color w:val="000000" w:themeColor="text1"/>
        </w:rPr>
        <w:t>E.</w:t>
      </w:r>
      <w:r w:rsidR="007A2870" w:rsidRPr="004F549F">
        <w:rPr>
          <w:rFonts w:ascii="Times New Roman" w:hAnsi="Times New Roman" w:cs="Times New Roman"/>
          <w:b/>
          <w:bCs/>
          <w:i/>
          <w:iCs/>
          <w:color w:val="000000" w:themeColor="text1"/>
        </w:rPr>
        <w:t xml:space="preserve"> </w:t>
      </w:r>
      <w:r w:rsidRPr="004F549F">
        <w:rPr>
          <w:rFonts w:ascii="Times New Roman" w:hAnsi="Times New Roman" w:cs="Times New Roman"/>
          <w:b/>
          <w:bCs/>
          <w:i/>
          <w:iCs/>
          <w:color w:val="000000" w:themeColor="text1"/>
        </w:rPr>
        <w:t>coli</w:t>
      </w:r>
      <w:r w:rsidRPr="004F549F">
        <w:rPr>
          <w:rFonts w:ascii="Times New Roman" w:hAnsi="Times New Roman" w:cs="Times New Roman"/>
          <w:b/>
          <w:bCs/>
          <w:color w:val="000000" w:themeColor="text1"/>
        </w:rPr>
        <w:t xml:space="preserve"> isolates</w:t>
      </w:r>
    </w:p>
    <w:p w14:paraId="6070056F" w14:textId="77777777" w:rsidR="00B70B78" w:rsidRPr="004F549F" w:rsidRDefault="00B70B78" w:rsidP="00B70B78">
      <w:pPr>
        <w:jc w:val="center"/>
        <w:rPr>
          <w:color w:val="000000" w:themeColor="text1"/>
        </w:rPr>
      </w:pPr>
    </w:p>
    <w:p w14:paraId="448D599A" w14:textId="77777777" w:rsidR="00B70B78" w:rsidRPr="004F549F" w:rsidRDefault="000118FF" w:rsidP="00B70B78">
      <w:pPr>
        <w:jc w:val="center"/>
        <w:rPr>
          <w:color w:val="000000" w:themeColor="text1"/>
        </w:rPr>
      </w:pPr>
      <w:r w:rsidRPr="004F549F">
        <w:rPr>
          <w:noProof/>
          <w:color w:val="000000" w:themeColor="text1"/>
        </w:rPr>
        <w:drawing>
          <wp:inline distT="0" distB="0" distL="0" distR="0" wp14:anchorId="3B4B359D" wp14:editId="009615BF">
            <wp:extent cx="5943600" cy="5453380"/>
            <wp:effectExtent l="0" t="0" r="0" b="0"/>
            <wp:docPr id="1187550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453380"/>
                    </a:xfrm>
                    <a:prstGeom prst="rect">
                      <a:avLst/>
                    </a:prstGeom>
                    <a:noFill/>
                    <a:ln>
                      <a:noFill/>
                    </a:ln>
                  </pic:spPr>
                </pic:pic>
              </a:graphicData>
            </a:graphic>
          </wp:inline>
        </w:drawing>
      </w:r>
    </w:p>
    <w:p w14:paraId="7DB34075" w14:textId="77777777" w:rsidR="009E2737" w:rsidRPr="004F549F" w:rsidRDefault="009E2737" w:rsidP="009E2737">
      <w:pPr>
        <w:spacing w:line="480" w:lineRule="auto"/>
        <w:ind w:firstLine="720"/>
        <w:jc w:val="both"/>
        <w:rPr>
          <w:rFonts w:ascii="Times New Roman" w:hAnsi="Times New Roman" w:cs="Times New Roman"/>
          <w:color w:val="000000" w:themeColor="text1"/>
          <w:lang w:val="en-IN"/>
        </w:rPr>
      </w:pPr>
      <w:r w:rsidRPr="004F549F">
        <w:rPr>
          <w:rFonts w:ascii="Times New Roman" w:hAnsi="Times New Roman" w:cs="Times New Roman"/>
          <w:b/>
          <w:bCs/>
          <w:color w:val="000000" w:themeColor="text1"/>
          <w:lang w:val="en-IN"/>
        </w:rPr>
        <w:t>Evolutionary analysis by Maximum Likelihood method </w:t>
      </w:r>
    </w:p>
    <w:p w14:paraId="60BCCEB3" w14:textId="77777777" w:rsidR="009E2737" w:rsidRPr="004F549F" w:rsidRDefault="009E2737" w:rsidP="009E2737">
      <w:pPr>
        <w:spacing w:line="480" w:lineRule="auto"/>
        <w:ind w:firstLine="720"/>
        <w:jc w:val="both"/>
        <w:rPr>
          <w:rFonts w:ascii="Times New Roman" w:hAnsi="Times New Roman" w:cs="Times New Roman"/>
          <w:color w:val="000000" w:themeColor="text1"/>
          <w:lang w:val="en-IN"/>
        </w:rPr>
      </w:pPr>
      <w:r w:rsidRPr="004F549F">
        <w:rPr>
          <w:color w:val="000000" w:themeColor="text1"/>
        </w:rPr>
        <w:lastRenderedPageBreak/>
        <w:t xml:space="preserve">The phylogenetic tree targeted the 16S rRNA gene. Isolate SQ4647, obtained from Satara, Maharashtra, India, showed 98–99% sequence identity with global </w:t>
      </w:r>
      <w:r w:rsidRPr="004F549F">
        <w:rPr>
          <w:i/>
          <w:color w:val="000000" w:themeColor="text1"/>
        </w:rPr>
        <w:t>E. coli</w:t>
      </w:r>
      <w:r w:rsidRPr="004F549F">
        <w:rPr>
          <w:color w:val="000000" w:themeColor="text1"/>
        </w:rPr>
        <w:t xml:space="preserve"> isolates (Neamah et al., 2022).</w:t>
      </w:r>
    </w:p>
    <w:p w14:paraId="46528F28" w14:textId="77777777" w:rsidR="009E2737" w:rsidRPr="004F549F" w:rsidRDefault="009E2737" w:rsidP="009E2737">
      <w:pPr>
        <w:spacing w:line="480" w:lineRule="auto"/>
        <w:ind w:firstLine="720"/>
        <w:jc w:val="both"/>
        <w:rPr>
          <w:rFonts w:ascii="Times New Roman" w:hAnsi="Times New Roman" w:cs="Times New Roman"/>
          <w:color w:val="000000" w:themeColor="text1"/>
          <w:lang w:val="en-IN"/>
        </w:rPr>
      </w:pPr>
      <w:r w:rsidRPr="004F549F">
        <w:rPr>
          <w:color w:val="000000" w:themeColor="text1"/>
        </w:rPr>
        <w:t>The evolutionary history was inferred using the maximum-likelihood method and Kimura two-parameter model. The tree with the highest log-likelihood value (−2447.80) is shown. Initial trees for the heuristic search were obtained automatically by applying the neighbour-joining and BioNJ algorithms to a matrix of pairwise distances estimated using the maximum composite likelihood (MCL) approach, after which the topology with the superior log-likelihood value was selected. A discrete gamma distribution was used to model differences in evolutionary rates among sites (five categories; +G, parameter = 0.1000). The tree is drawn to scale, with branch lengths measured as the number of substitutions per site and shown next to the branches. This analysis involved eight nucleotide sequences and a total of 1,454 positions in the final dataset. Evolutionary analyses were conducted using MEGA11 (Tamura et al., 2021).</w:t>
      </w:r>
    </w:p>
    <w:p w14:paraId="684ABB1C" w14:textId="77777777" w:rsidR="00B70B78" w:rsidRPr="004F549F" w:rsidRDefault="00B70B78" w:rsidP="00401B92">
      <w:pPr>
        <w:spacing w:line="480" w:lineRule="auto"/>
        <w:ind w:firstLine="720"/>
        <w:jc w:val="both"/>
        <w:rPr>
          <w:rFonts w:ascii="Times New Roman" w:hAnsi="Times New Roman" w:cs="Times New Roman"/>
          <w:color w:val="000000" w:themeColor="text1"/>
        </w:rPr>
      </w:pPr>
    </w:p>
    <w:p w14:paraId="15F90940" w14:textId="77777777" w:rsidR="00DC6343" w:rsidRPr="004F549F" w:rsidRDefault="00DC6343" w:rsidP="00401B92">
      <w:pPr>
        <w:spacing w:line="480" w:lineRule="auto"/>
        <w:ind w:firstLine="720"/>
        <w:jc w:val="both"/>
        <w:rPr>
          <w:rFonts w:ascii="Times New Roman" w:hAnsi="Times New Roman" w:cs="Times New Roman"/>
          <w:color w:val="000000" w:themeColor="text1"/>
        </w:rPr>
      </w:pPr>
      <w:r w:rsidRPr="004F549F">
        <w:rPr>
          <w:color w:val="000000" w:themeColor="text1"/>
        </w:rPr>
        <w:t xml:space="preserve">Overall, the phylogenetic analysis showed that SQ4647 formed a distinct lineage relative to the other sequences included in the analysis. This pattern indicated sequence divergence within the dataset and may contribute to understanding genetic variability and evolutionary relationships among the </w:t>
      </w:r>
      <w:r w:rsidRPr="004F549F">
        <w:rPr>
          <w:i/>
          <w:color w:val="000000" w:themeColor="text1"/>
        </w:rPr>
        <w:t>E. coli</w:t>
      </w:r>
      <w:r w:rsidRPr="004F549F">
        <w:rPr>
          <w:color w:val="000000" w:themeColor="text1"/>
        </w:rPr>
        <w:t xml:space="preserve"> sequences analysed in this study.</w:t>
      </w:r>
    </w:p>
    <w:p w14:paraId="0DE49B31" w14:textId="77777777" w:rsidR="00EC3D87" w:rsidRPr="004F549F" w:rsidRDefault="00EC3D87" w:rsidP="00EC3D87">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8"/>
          <w:szCs w:val="28"/>
          <w14:ligatures w14:val="none"/>
        </w:rPr>
      </w:pPr>
      <w:r w:rsidRPr="004F549F">
        <w:rPr>
          <w:rFonts w:ascii="Times New Roman" w:eastAsia="Times New Roman" w:hAnsi="Times New Roman" w:cs="Times New Roman"/>
          <w:b/>
          <w:bCs/>
          <w:color w:val="000000" w:themeColor="text1"/>
          <w:kern w:val="0"/>
          <w:sz w:val="28"/>
          <w:szCs w:val="28"/>
          <w14:ligatures w14:val="none"/>
        </w:rPr>
        <w:t>Conclusion</w:t>
      </w:r>
    </w:p>
    <w:p w14:paraId="0BC0EFE6" w14:textId="77777777" w:rsidR="004F549F" w:rsidRPr="004F549F" w:rsidRDefault="004F549F" w:rsidP="004F549F">
      <w:pPr>
        <w:pStyle w:val="pdq2pgselectionanchorcontainer"/>
        <w:jc w:val="both"/>
      </w:pPr>
      <w:r w:rsidRPr="004F549F">
        <w:lastRenderedPageBreak/>
        <w:t xml:space="preserve">The study identified a heterogeneous distribution of virulence-associated genes among </w:t>
      </w:r>
      <w:r w:rsidRPr="004F549F">
        <w:rPr>
          <w:rStyle w:val="Emphasis"/>
        </w:rPr>
        <w:t>Escherichia coli</w:t>
      </w:r>
      <w:r w:rsidRPr="004F549F">
        <w:t xml:space="preserve"> isolates recovered from bovine mastitis cases. Of the six genes examined, </w:t>
      </w:r>
      <w:r w:rsidRPr="004F549F">
        <w:rPr>
          <w:rStyle w:val="Emphasis"/>
        </w:rPr>
        <w:t>Stx2</w:t>
      </w:r>
      <w:r w:rsidRPr="004F549F">
        <w:t xml:space="preserve"> was detected most frequently, followed by </w:t>
      </w:r>
      <w:r w:rsidRPr="004F549F">
        <w:rPr>
          <w:rStyle w:val="Emphasis"/>
        </w:rPr>
        <w:t>TraT</w:t>
      </w:r>
      <w:r w:rsidRPr="004F549F">
        <w:t xml:space="preserve"> and </w:t>
      </w:r>
      <w:r w:rsidRPr="004F549F">
        <w:rPr>
          <w:rStyle w:val="Emphasis"/>
        </w:rPr>
        <w:t>eaeA</w:t>
      </w:r>
      <w:r w:rsidRPr="004F549F">
        <w:t xml:space="preserve">, whereas </w:t>
      </w:r>
      <w:r w:rsidRPr="004F549F">
        <w:rPr>
          <w:rStyle w:val="Emphasis"/>
        </w:rPr>
        <w:t>Stx1</w:t>
      </w:r>
      <w:r w:rsidRPr="004F549F">
        <w:t xml:space="preserve">, </w:t>
      </w:r>
      <w:r w:rsidRPr="004F549F">
        <w:rPr>
          <w:rStyle w:val="Emphasis"/>
        </w:rPr>
        <w:t>aer</w:t>
      </w:r>
      <w:r w:rsidRPr="004F549F">
        <w:t xml:space="preserve">, and </w:t>
      </w:r>
      <w:r w:rsidRPr="004F549F">
        <w:rPr>
          <w:rStyle w:val="Emphasis"/>
        </w:rPr>
        <w:t>hly</w:t>
      </w:r>
      <w:r w:rsidRPr="004F549F">
        <w:t xml:space="preserve"> were not detected. The predominance of </w:t>
      </w:r>
      <w:r w:rsidRPr="004F549F">
        <w:rPr>
          <w:rStyle w:val="Emphasis"/>
        </w:rPr>
        <w:t>Stx2</w:t>
      </w:r>
      <w:r w:rsidRPr="004F549F">
        <w:t xml:space="preserve"> among the Shiga toxin genes screened and its frequent co-occurrence with </w:t>
      </w:r>
      <w:r w:rsidRPr="004F549F">
        <w:rPr>
          <w:rStyle w:val="Emphasis"/>
        </w:rPr>
        <w:t>TraT</w:t>
      </w:r>
      <w:r w:rsidRPr="004F549F">
        <w:t xml:space="preserve"> indicate that toxin-associated and serum-resistance determinants were present together in a subset of isolates. The additional detection of </w:t>
      </w:r>
      <w:r w:rsidRPr="004F549F">
        <w:rPr>
          <w:rStyle w:val="Emphasis"/>
        </w:rPr>
        <w:t>eaeA</w:t>
      </w:r>
      <w:r w:rsidRPr="004F549F">
        <w:t xml:space="preserve"> suggests that adhesion-associated potential was also represented. </w:t>
      </w:r>
      <w:r w:rsidRPr="004F549F">
        <w:rPr>
          <w:rStyle w:val="Emphasis"/>
        </w:rPr>
        <w:t>Stx2–TraT</w:t>
      </w:r>
      <w:r w:rsidRPr="004F549F">
        <w:t xml:space="preserve"> was the most common gene combination, followed by </w:t>
      </w:r>
      <w:r w:rsidRPr="004F549F">
        <w:rPr>
          <w:rStyle w:val="Emphasis"/>
        </w:rPr>
        <w:t>Stx2–eaeA</w:t>
      </w:r>
      <w:r w:rsidRPr="004F549F">
        <w:t xml:space="preserve"> and </w:t>
      </w:r>
      <w:r w:rsidRPr="004F549F">
        <w:rPr>
          <w:rStyle w:val="Emphasis"/>
        </w:rPr>
        <w:t>TraT–eaeA</w:t>
      </w:r>
      <w:r w:rsidRPr="004F549F">
        <w:t xml:space="preserve">. The 16S rRNA-based phylogenetic analysis placed isolate SQ4647 in a separate lineage relative to the reference sequences analysed, indicating sequence divergence within the dataset. Overall, the results provide a molecular description of selected virulence determinants in mastitis-associated </w:t>
      </w:r>
      <w:r w:rsidRPr="004F549F">
        <w:rPr>
          <w:rStyle w:val="Emphasis"/>
        </w:rPr>
        <w:t>E. coli</w:t>
      </w:r>
      <w:r w:rsidRPr="004F549F">
        <w:t xml:space="preserve"> from the study area. However, the presence of these genes alone does not establish their expression or clinical effect. Broader genomic, phenotypic, and epidemiological investigations are therefore needed before firm conclusions about pathogenicity or disease severity can be drawn.</w:t>
      </w:r>
    </w:p>
    <w:p w14:paraId="4241012F" w14:textId="77777777" w:rsidR="00EC3D87" w:rsidRPr="004F549F" w:rsidRDefault="00EC3D87" w:rsidP="00EC3D87">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36"/>
          <w:szCs w:val="36"/>
          <w14:ligatures w14:val="none"/>
        </w:rPr>
      </w:pPr>
      <w:r w:rsidRPr="004F549F">
        <w:rPr>
          <w:rFonts w:ascii="Times New Roman" w:eastAsia="Times New Roman" w:hAnsi="Times New Roman" w:cs="Times New Roman"/>
          <w:b/>
          <w:bCs/>
          <w:color w:val="000000" w:themeColor="text1"/>
          <w:kern w:val="0"/>
          <w:sz w:val="36"/>
          <w:szCs w:val="36"/>
          <w14:ligatures w14:val="none"/>
        </w:rPr>
        <w:t>Limitation</w:t>
      </w:r>
    </w:p>
    <w:p w14:paraId="28223302" w14:textId="11B62861" w:rsidR="00EC3D87" w:rsidRPr="004F549F" w:rsidRDefault="004F549F" w:rsidP="004F549F">
      <w:pPr>
        <w:spacing w:after="200" w:line="276" w:lineRule="auto"/>
        <w:jc w:val="both"/>
        <w:rPr>
          <w:rFonts w:ascii="Calibri" w:eastAsia="Calibri" w:hAnsi="Calibri" w:cs="Times New Roman"/>
          <w:color w:val="000000" w:themeColor="text1"/>
          <w:kern w:val="0"/>
          <w:sz w:val="22"/>
          <w:szCs w:val="22"/>
          <w:lang w:val="en-GB"/>
        </w:rPr>
      </w:pPr>
      <w:r w:rsidRPr="004F549F">
        <w:t xml:space="preserve">The study included only 36 </w:t>
      </w:r>
      <w:r w:rsidRPr="004F549F">
        <w:rPr>
          <w:rStyle w:val="Emphasis"/>
        </w:rPr>
        <w:t>Escherichia coli</w:t>
      </w:r>
      <w:r w:rsidRPr="004F549F">
        <w:t xml:space="preserve"> isolates recovered from 200 mastitic milk samples collected in western Maharashtra. Screening was limited to six virulence-associated genes, and neither gene expression nor toxin production was assessed. Negative PCR findings require cautious interpretation in the absence of documented positive-control results. The phylogenetic analysis relied on limited 16S rRNA sequence information and therefore offers restricted strain-level resolution. Antimicrobial-resistance profiling, serotyping, whole-genome analysis, and correlation with clinical outcomes were not undertaken, limiting the broader epidemiological interpretation of the findings.</w:t>
      </w:r>
    </w:p>
    <w:p w14:paraId="430B98E3" w14:textId="77777777" w:rsidR="00094CCD" w:rsidRPr="004F549F" w:rsidRDefault="00094CCD" w:rsidP="00094CCD">
      <w:pPr>
        <w:spacing w:after="0" w:line="240" w:lineRule="auto"/>
        <w:rPr>
          <w:rFonts w:ascii="Times New Roman" w:eastAsia="Calibri" w:hAnsi="Times New Roman" w:cs="Times New Roman"/>
          <w:b/>
          <w:color w:val="000000" w:themeColor="text1"/>
          <w:kern w:val="0"/>
          <w:sz w:val="22"/>
          <w:szCs w:val="22"/>
          <w14:ligatures w14:val="none"/>
        </w:rPr>
      </w:pPr>
      <w:r w:rsidRPr="004F549F">
        <w:rPr>
          <w:rFonts w:ascii="Times New Roman" w:eastAsia="Calibri" w:hAnsi="Times New Roman" w:cs="Times New Roman"/>
          <w:b/>
          <w:color w:val="000000" w:themeColor="text1"/>
          <w:kern w:val="0"/>
          <w:sz w:val="22"/>
          <w:szCs w:val="22"/>
          <w14:ligatures w14:val="none"/>
        </w:rPr>
        <w:t>Declaration of AI Use</w:t>
      </w:r>
    </w:p>
    <w:p w14:paraId="2EF5090B" w14:textId="77777777" w:rsidR="00094CCD" w:rsidRPr="004F549F" w:rsidRDefault="00094CCD" w:rsidP="00094CCD">
      <w:pPr>
        <w:spacing w:after="0" w:line="240" w:lineRule="auto"/>
        <w:rPr>
          <w:rFonts w:ascii="Times New Roman" w:eastAsia="Calibri" w:hAnsi="Times New Roman" w:cs="Times New Roman"/>
          <w:color w:val="000000" w:themeColor="text1"/>
          <w:kern w:val="0"/>
          <w:sz w:val="22"/>
          <w:szCs w:val="22"/>
          <w14:ligatures w14:val="none"/>
        </w:rPr>
      </w:pPr>
    </w:p>
    <w:p w14:paraId="0968B6E7" w14:textId="77777777" w:rsidR="00094CCD" w:rsidRPr="004F549F" w:rsidRDefault="00094CCD" w:rsidP="00094CCD">
      <w:pPr>
        <w:spacing w:after="0" w:line="240" w:lineRule="auto"/>
        <w:jc w:val="both"/>
        <w:rPr>
          <w:rFonts w:ascii="Times New Roman" w:eastAsia="Calibri" w:hAnsi="Times New Roman" w:cs="Times New Roman"/>
          <w:color w:val="000000" w:themeColor="text1"/>
          <w:kern w:val="0"/>
          <w:sz w:val="22"/>
          <w:szCs w:val="22"/>
          <w14:ligatures w14:val="none"/>
        </w:rPr>
      </w:pPr>
      <w:r w:rsidRPr="004F549F">
        <w:rPr>
          <w:rFonts w:ascii="Times New Roman" w:eastAsia="Calibri" w:hAnsi="Times New Roman" w:cs="Times New Roman"/>
          <w:color w:val="000000" w:themeColor="text1"/>
          <w:kern w:val="0"/>
          <w:sz w:val="22"/>
          <w:szCs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13D6F79" w14:textId="77777777" w:rsidR="00094CCD" w:rsidRPr="004F549F" w:rsidRDefault="00094CCD" w:rsidP="003E08FC">
      <w:pPr>
        <w:spacing w:line="480" w:lineRule="auto"/>
        <w:jc w:val="both"/>
        <w:rPr>
          <w:rFonts w:ascii="Times New Roman" w:hAnsi="Times New Roman" w:cs="Times New Roman"/>
          <w:b/>
          <w:bCs/>
          <w:color w:val="000000" w:themeColor="text1"/>
        </w:rPr>
      </w:pPr>
    </w:p>
    <w:p w14:paraId="09147A45" w14:textId="0FABDD4D" w:rsidR="00D02285" w:rsidRPr="004F549F" w:rsidRDefault="00D02285" w:rsidP="00D02285">
      <w:pPr>
        <w:spacing w:after="200" w:line="276" w:lineRule="auto"/>
        <w:rPr>
          <w:rFonts w:ascii="Arial" w:eastAsia="Times New Roman" w:hAnsi="Arial" w:cs="Arial"/>
          <w:b/>
          <w:bCs/>
          <w:color w:val="000000" w:themeColor="text1"/>
          <w:kern w:val="0"/>
          <w:sz w:val="22"/>
          <w:szCs w:val="22"/>
          <w:lang w:val="en-GB" w:eastAsia="en-GB"/>
          <w14:ligatures w14:val="none"/>
        </w:rPr>
      </w:pPr>
      <w:r w:rsidRPr="004F549F">
        <w:rPr>
          <w:rFonts w:ascii="Arial" w:eastAsia="Times New Roman" w:hAnsi="Arial" w:cs="Arial"/>
          <w:b/>
          <w:bCs/>
          <w:color w:val="000000" w:themeColor="text1"/>
          <w:kern w:val="0"/>
          <w:sz w:val="22"/>
          <w:szCs w:val="22"/>
          <w:lang w:val="en-GB" w:eastAsia="en-GB"/>
          <w14:ligatures w14:val="none"/>
        </w:rPr>
        <w:t>COMPETING INTERESTS:</w:t>
      </w:r>
    </w:p>
    <w:p w14:paraId="71A35832" w14:textId="77777777" w:rsidR="00D02285" w:rsidRPr="004F549F" w:rsidRDefault="00D02285" w:rsidP="00D02285">
      <w:pPr>
        <w:spacing w:after="200" w:line="276" w:lineRule="auto"/>
        <w:rPr>
          <w:rFonts w:ascii="Calibri" w:eastAsia="Times New Roman" w:hAnsi="Calibri" w:cs="Times New Roman"/>
          <w:color w:val="000000" w:themeColor="text1"/>
          <w:kern w:val="0"/>
          <w:sz w:val="22"/>
          <w:szCs w:val="22"/>
          <w:lang w:val="en-GB" w:eastAsia="en-GB"/>
          <w14:ligatures w14:val="none"/>
        </w:rPr>
      </w:pPr>
      <w:r w:rsidRPr="004F549F">
        <w:rPr>
          <w:rFonts w:ascii="Arial" w:eastAsia="Times New Roman" w:hAnsi="Arial" w:cs="Arial"/>
          <w:color w:val="000000" w:themeColor="text1"/>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227B59AC" w14:textId="77777777" w:rsidR="00D02285" w:rsidRPr="004F549F" w:rsidRDefault="00D02285" w:rsidP="00401B92">
      <w:pPr>
        <w:spacing w:line="480" w:lineRule="auto"/>
        <w:jc w:val="both"/>
        <w:rPr>
          <w:rFonts w:ascii="Times New Roman" w:hAnsi="Times New Roman" w:cs="Times New Roman"/>
          <w:b/>
          <w:bCs/>
          <w:color w:val="000000" w:themeColor="text1"/>
        </w:rPr>
      </w:pPr>
    </w:p>
    <w:p w14:paraId="712BD759" w14:textId="77777777" w:rsidR="00D02285" w:rsidRPr="004F549F" w:rsidRDefault="00D02285" w:rsidP="00401B92">
      <w:pPr>
        <w:spacing w:line="480" w:lineRule="auto"/>
        <w:jc w:val="both"/>
        <w:rPr>
          <w:rFonts w:ascii="Times New Roman" w:hAnsi="Times New Roman" w:cs="Times New Roman"/>
          <w:b/>
          <w:bCs/>
          <w:color w:val="000000" w:themeColor="text1"/>
        </w:rPr>
      </w:pPr>
    </w:p>
    <w:p w14:paraId="39F1768E" w14:textId="77777777" w:rsidR="00D02285" w:rsidRPr="004F549F" w:rsidRDefault="00D02285" w:rsidP="00401B92">
      <w:pPr>
        <w:spacing w:line="480" w:lineRule="auto"/>
        <w:jc w:val="both"/>
        <w:rPr>
          <w:rFonts w:ascii="Times New Roman" w:hAnsi="Times New Roman" w:cs="Times New Roman"/>
          <w:b/>
          <w:bCs/>
          <w:color w:val="000000" w:themeColor="text1"/>
        </w:rPr>
      </w:pPr>
    </w:p>
    <w:p w14:paraId="7F5DFDEC" w14:textId="77777777" w:rsidR="0060324D" w:rsidRDefault="0060324D" w:rsidP="00401B92">
      <w:pPr>
        <w:spacing w:line="480" w:lineRule="auto"/>
        <w:jc w:val="both"/>
        <w:rPr>
          <w:rFonts w:ascii="Times New Roman" w:hAnsi="Times New Roman" w:cs="Times New Roman"/>
          <w:b/>
          <w:bCs/>
          <w:color w:val="000000" w:themeColor="text1"/>
        </w:rPr>
      </w:pPr>
      <w:r w:rsidRPr="004F549F">
        <w:rPr>
          <w:rFonts w:ascii="Times New Roman" w:hAnsi="Times New Roman" w:cs="Times New Roman"/>
          <w:b/>
          <w:bCs/>
          <w:color w:val="000000" w:themeColor="text1"/>
        </w:rPr>
        <w:t>RE</w:t>
      </w:r>
      <w:r w:rsidR="000176B4" w:rsidRPr="004F549F">
        <w:rPr>
          <w:rFonts w:ascii="Times New Roman" w:hAnsi="Times New Roman" w:cs="Times New Roman"/>
          <w:b/>
          <w:bCs/>
          <w:color w:val="000000" w:themeColor="text1"/>
        </w:rPr>
        <w:t>FERENCES</w:t>
      </w:r>
    </w:p>
    <w:p w14:paraId="7C7DA5E3" w14:textId="77777777" w:rsidR="00EE5DE0" w:rsidRPr="00EE5DE0" w:rsidRDefault="00EE5DE0" w:rsidP="00EE5DE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Abegewi, U. A., Esemu, S. N., Ndip, R. N., &amp; Ndip, L. M. (2024). Phylogenetic group and virulence gene profile of bovine mastitis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isolates from North West Cameroon. </w:t>
      </w:r>
      <w:r w:rsidRPr="00EE5DE0">
        <w:rPr>
          <w:rFonts w:ascii="Times New Roman" w:eastAsia="Times New Roman" w:hAnsi="Times New Roman" w:cs="Times New Roman"/>
          <w:i/>
          <w:iCs/>
          <w:kern w:val="0"/>
          <w14:ligatures w14:val="none"/>
        </w:rPr>
        <w:t>International Journal of Tropical Disease &amp; Health, 45</w:t>
      </w:r>
      <w:r w:rsidRPr="00EE5DE0">
        <w:rPr>
          <w:rFonts w:ascii="Times New Roman" w:eastAsia="Times New Roman" w:hAnsi="Times New Roman" w:cs="Times New Roman"/>
          <w:kern w:val="0"/>
          <w14:ligatures w14:val="none"/>
        </w:rPr>
        <w:t xml:space="preserve">(6), 190–205. </w:t>
      </w:r>
      <w:hyperlink r:id="rId18" w:history="1">
        <w:r w:rsidRPr="00EE5DE0">
          <w:rPr>
            <w:rFonts w:ascii="Times New Roman" w:eastAsia="Times New Roman" w:hAnsi="Times New Roman" w:cs="Times New Roman"/>
            <w:color w:val="0000FF"/>
            <w:kern w:val="0"/>
            <w:u w:val="single"/>
            <w14:ligatures w14:val="none"/>
          </w:rPr>
          <w:t>https://doi.org/10.9734/ijtdh/2024/v45i61551</w:t>
        </w:r>
      </w:hyperlink>
    </w:p>
    <w:p w14:paraId="7B51DF5B" w14:textId="77777777" w:rsidR="00EE5DE0" w:rsidRPr="00EE5DE0" w:rsidRDefault="00EE5DE0" w:rsidP="00EE5DE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Ara, J., Chowdhury, S., &amp; Chowdhury, G. M. (2024). Prevalence of bovine subclinical mastitis and antibiogram pattern of isolated organisms from mastitic milk in Chattagram, Bangladesh. </w:t>
      </w:r>
      <w:r w:rsidRPr="00EE5DE0">
        <w:rPr>
          <w:rFonts w:ascii="Times New Roman" w:eastAsia="Times New Roman" w:hAnsi="Times New Roman" w:cs="Times New Roman"/>
          <w:i/>
          <w:iCs/>
          <w:kern w:val="0"/>
          <w14:ligatures w14:val="none"/>
        </w:rPr>
        <w:t>Asian Journal of Advances in Research, 7</w:t>
      </w:r>
      <w:r w:rsidRPr="00EE5DE0">
        <w:rPr>
          <w:rFonts w:ascii="Times New Roman" w:eastAsia="Times New Roman" w:hAnsi="Times New Roman" w:cs="Times New Roman"/>
          <w:kern w:val="0"/>
          <w14:ligatures w14:val="none"/>
        </w:rPr>
        <w:t xml:space="preserve">(1), 681–690. </w:t>
      </w:r>
      <w:hyperlink r:id="rId19" w:history="1">
        <w:r w:rsidRPr="00EE5DE0">
          <w:rPr>
            <w:rFonts w:ascii="Times New Roman" w:eastAsia="Times New Roman" w:hAnsi="Times New Roman" w:cs="Times New Roman"/>
            <w:color w:val="0000FF"/>
            <w:kern w:val="0"/>
            <w:u w:val="single"/>
            <w14:ligatures w14:val="none"/>
          </w:rPr>
          <w:t>https://doi.org/10.56557/ajoair/2024/v7i1495</w:t>
        </w:r>
      </w:hyperlink>
    </w:p>
    <w:p w14:paraId="0EF2916F" w14:textId="77777777" w:rsidR="00EE5DE0" w:rsidRPr="00EE5DE0" w:rsidRDefault="00EE5DE0" w:rsidP="00EE5DE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Azevedo, C., Pacheco, D., Soares, L., Romão, R., Moitoso, M., Maldonado, J., Guix, R., &amp; Simões, J. (2016). Prevalence of contagious and environmental mastitis-causing bacteria in bulk tank milk and its relationships with milking practices of dairy cattle herds in São Miguel Island (Azores). </w:t>
      </w:r>
      <w:r w:rsidRPr="00EE5DE0">
        <w:rPr>
          <w:rFonts w:ascii="Times New Roman" w:eastAsia="Times New Roman" w:hAnsi="Times New Roman" w:cs="Times New Roman"/>
          <w:i/>
          <w:iCs/>
          <w:kern w:val="0"/>
          <w14:ligatures w14:val="none"/>
        </w:rPr>
        <w:t>Tropical Animal Health and Production, 48</w:t>
      </w:r>
      <w:r w:rsidRPr="00EE5DE0">
        <w:rPr>
          <w:rFonts w:ascii="Times New Roman" w:eastAsia="Times New Roman" w:hAnsi="Times New Roman" w:cs="Times New Roman"/>
          <w:kern w:val="0"/>
          <w14:ligatures w14:val="none"/>
        </w:rPr>
        <w:t xml:space="preserve">(2), 451–459. </w:t>
      </w:r>
      <w:hyperlink r:id="rId20" w:history="1">
        <w:r w:rsidRPr="00EE5DE0">
          <w:rPr>
            <w:rFonts w:ascii="Times New Roman" w:eastAsia="Times New Roman" w:hAnsi="Times New Roman" w:cs="Times New Roman"/>
            <w:color w:val="0000FF"/>
            <w:kern w:val="0"/>
            <w:u w:val="single"/>
            <w14:ligatures w14:val="none"/>
          </w:rPr>
          <w:t>https://doi.org/10.1007/s11250-015-0973-6</w:t>
        </w:r>
      </w:hyperlink>
    </w:p>
    <w:p w14:paraId="0AC20E0B" w14:textId="77777777" w:rsidR="00EE5DE0" w:rsidRPr="00EE5DE0" w:rsidRDefault="00EE5DE0" w:rsidP="00EE5DE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Bisi-Johnson, M. A., Obi, C. L., Vasaikar, S. D., Baba, K. A., &amp; Hattori, T. (2011). Molecular basis of virulence in clinical isolates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and </w:t>
      </w:r>
      <w:r w:rsidRPr="00EE5DE0">
        <w:rPr>
          <w:rFonts w:ascii="Times New Roman" w:eastAsia="Times New Roman" w:hAnsi="Times New Roman" w:cs="Times New Roman"/>
          <w:i/>
          <w:iCs/>
          <w:kern w:val="0"/>
          <w14:ligatures w14:val="none"/>
        </w:rPr>
        <w:t>Salmonella</w:t>
      </w:r>
      <w:r w:rsidRPr="00EE5DE0">
        <w:rPr>
          <w:rFonts w:ascii="Times New Roman" w:eastAsia="Times New Roman" w:hAnsi="Times New Roman" w:cs="Times New Roman"/>
          <w:kern w:val="0"/>
          <w14:ligatures w14:val="none"/>
        </w:rPr>
        <w:t xml:space="preserve"> species from a tertiary hospital in the Eastern Cape, South Africa. </w:t>
      </w:r>
      <w:r w:rsidRPr="00EE5DE0">
        <w:rPr>
          <w:rFonts w:ascii="Times New Roman" w:eastAsia="Times New Roman" w:hAnsi="Times New Roman" w:cs="Times New Roman"/>
          <w:i/>
          <w:iCs/>
          <w:kern w:val="0"/>
          <w14:ligatures w14:val="none"/>
        </w:rPr>
        <w:t>Gut Pathogens, 3</w:t>
      </w:r>
      <w:r w:rsidRPr="00EE5DE0">
        <w:rPr>
          <w:rFonts w:ascii="Times New Roman" w:eastAsia="Times New Roman" w:hAnsi="Times New Roman" w:cs="Times New Roman"/>
          <w:kern w:val="0"/>
          <w14:ligatures w14:val="none"/>
        </w:rPr>
        <w:t xml:space="preserve">, Article 9. </w:t>
      </w:r>
      <w:hyperlink r:id="rId21" w:history="1">
        <w:r w:rsidRPr="00EE5DE0">
          <w:rPr>
            <w:rFonts w:ascii="Times New Roman" w:eastAsia="Times New Roman" w:hAnsi="Times New Roman" w:cs="Times New Roman"/>
            <w:color w:val="0000FF"/>
            <w:kern w:val="0"/>
            <w:u w:val="single"/>
            <w14:ligatures w14:val="none"/>
          </w:rPr>
          <w:t>https://doi.org/10.1186/1757-4749-3-9</w:t>
        </w:r>
      </w:hyperlink>
    </w:p>
    <w:p w14:paraId="51A170BF" w14:textId="77777777" w:rsidR="00EE5DE0" w:rsidRPr="00EE5DE0" w:rsidRDefault="00EE5DE0" w:rsidP="00EE5DE0">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Barrow, G. I., &amp; Feltham, R. K. A. (Eds.). (1993). </w:t>
      </w:r>
      <w:r w:rsidRPr="00EE5DE0">
        <w:rPr>
          <w:rFonts w:ascii="Times New Roman" w:eastAsia="Times New Roman" w:hAnsi="Times New Roman" w:cs="Times New Roman"/>
          <w:i/>
          <w:iCs/>
          <w:kern w:val="0"/>
          <w14:ligatures w14:val="none"/>
        </w:rPr>
        <w:t>Cowan and Steel’s manual for the identification of medical bacteria</w:t>
      </w:r>
      <w:r w:rsidRPr="00EE5DE0">
        <w:rPr>
          <w:rFonts w:ascii="Times New Roman" w:eastAsia="Times New Roman" w:hAnsi="Times New Roman" w:cs="Times New Roman"/>
          <w:kern w:val="0"/>
          <w14:ligatures w14:val="none"/>
        </w:rPr>
        <w:t xml:space="preserve"> (3rd ed.). Cambridge University Press. </w:t>
      </w:r>
      <w:hyperlink r:id="rId22" w:history="1">
        <w:r w:rsidRPr="00EE5DE0">
          <w:rPr>
            <w:rFonts w:ascii="Times New Roman" w:eastAsia="Times New Roman" w:hAnsi="Times New Roman" w:cs="Times New Roman"/>
            <w:color w:val="0000FF"/>
            <w:kern w:val="0"/>
            <w:u w:val="single"/>
            <w14:ligatures w14:val="none"/>
          </w:rPr>
          <w:t>https://doi.org/10.1017/CBO9780511527104</w:t>
        </w:r>
      </w:hyperlink>
    </w:p>
    <w:p w14:paraId="77D57004"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Dowidar, H. A., &amp; Khalifa, M. I. (2023). Molecular isolation and identification of multidrug-resistant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from milk, meat, and product samples. </w:t>
      </w:r>
      <w:r w:rsidRPr="00EE5DE0">
        <w:rPr>
          <w:rFonts w:ascii="Times New Roman" w:eastAsia="Times New Roman" w:hAnsi="Times New Roman" w:cs="Times New Roman"/>
          <w:i/>
          <w:iCs/>
          <w:kern w:val="0"/>
          <w14:ligatures w14:val="none"/>
        </w:rPr>
        <w:t>Journal of Advanced Veterinary Research, 13</w:t>
      </w:r>
      <w:r w:rsidRPr="00EE5DE0">
        <w:rPr>
          <w:rFonts w:ascii="Times New Roman" w:eastAsia="Times New Roman" w:hAnsi="Times New Roman" w:cs="Times New Roman"/>
          <w:kern w:val="0"/>
          <w14:ligatures w14:val="none"/>
        </w:rPr>
        <w:t xml:space="preserve">(4), 643–646. </w:t>
      </w:r>
      <w:hyperlink r:id="rId23" w:history="1">
        <w:r w:rsidRPr="00EE5DE0">
          <w:rPr>
            <w:rFonts w:ascii="Times New Roman" w:eastAsia="Times New Roman" w:hAnsi="Times New Roman" w:cs="Times New Roman"/>
            <w:color w:val="0000FF"/>
            <w:kern w:val="0"/>
            <w:u w:val="single"/>
            <w14:ligatures w14:val="none"/>
          </w:rPr>
          <w:t>https://www.advetresearch.com/index.php/AVR/article/view/1267</w:t>
        </w:r>
      </w:hyperlink>
    </w:p>
    <w:p w14:paraId="52374469"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Fernandes, J. B. C., Zanardo, L. G., Galvão, N. N., Carvalho, I. A., Nero, L. A., &amp; Moreira, M. A. S. (2011).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from clinical mastitis: Serotypes and virulence factors. </w:t>
      </w:r>
      <w:r w:rsidRPr="00EE5DE0">
        <w:rPr>
          <w:rFonts w:ascii="Times New Roman" w:eastAsia="Times New Roman" w:hAnsi="Times New Roman" w:cs="Times New Roman"/>
          <w:i/>
          <w:iCs/>
          <w:kern w:val="0"/>
          <w14:ligatures w14:val="none"/>
        </w:rPr>
        <w:t>Journal of Veterinary Diagnostic Investigation, 23</w:t>
      </w:r>
      <w:r w:rsidRPr="00EE5DE0">
        <w:rPr>
          <w:rFonts w:ascii="Times New Roman" w:eastAsia="Times New Roman" w:hAnsi="Times New Roman" w:cs="Times New Roman"/>
          <w:kern w:val="0"/>
          <w14:ligatures w14:val="none"/>
        </w:rPr>
        <w:t xml:space="preserve">(6), 1146–1152. </w:t>
      </w:r>
      <w:hyperlink r:id="rId24" w:history="1">
        <w:r w:rsidRPr="00EE5DE0">
          <w:rPr>
            <w:rFonts w:ascii="Times New Roman" w:eastAsia="Times New Roman" w:hAnsi="Times New Roman" w:cs="Times New Roman"/>
            <w:color w:val="0000FF"/>
            <w:kern w:val="0"/>
            <w:u w:val="single"/>
            <w14:ligatures w14:val="none"/>
          </w:rPr>
          <w:t>https://doi.org/10.1177/1040638711425581</w:t>
        </w:r>
      </w:hyperlink>
    </w:p>
    <w:p w14:paraId="2D484CD5"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Ismail, Z. B., &amp; Abutarbush, S. M. (2020). Molecular characterization of antimicrobial resistance and virulence genes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isolates from bovine mastitis. </w:t>
      </w:r>
      <w:r w:rsidRPr="00EE5DE0">
        <w:rPr>
          <w:rFonts w:ascii="Times New Roman" w:eastAsia="Times New Roman" w:hAnsi="Times New Roman" w:cs="Times New Roman"/>
          <w:i/>
          <w:iCs/>
          <w:kern w:val="0"/>
          <w14:ligatures w14:val="none"/>
        </w:rPr>
        <w:t>Veterinary World, 13</w:t>
      </w:r>
      <w:r w:rsidRPr="00EE5DE0">
        <w:rPr>
          <w:rFonts w:ascii="Times New Roman" w:eastAsia="Times New Roman" w:hAnsi="Times New Roman" w:cs="Times New Roman"/>
          <w:kern w:val="0"/>
          <w14:ligatures w14:val="none"/>
        </w:rPr>
        <w:t xml:space="preserve">(8), 1588–1593. </w:t>
      </w:r>
      <w:hyperlink r:id="rId25" w:history="1">
        <w:r w:rsidRPr="00EE5DE0">
          <w:rPr>
            <w:rFonts w:ascii="Times New Roman" w:eastAsia="Times New Roman" w:hAnsi="Times New Roman" w:cs="Times New Roman"/>
            <w:color w:val="0000FF"/>
            <w:kern w:val="0"/>
            <w:u w:val="single"/>
            <w14:ligatures w14:val="none"/>
          </w:rPr>
          <w:t>https://doi.org/10.14202/vetworld.2020.1588-1593</w:t>
        </w:r>
      </w:hyperlink>
    </w:p>
    <w:p w14:paraId="49B8554E"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Neher, S., Hazarika, A. K., Sharma, R. K., Barkalita, L. M., Bora, M., &amp; Deka, P. (2015). Detection of Shiga-toxigenic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in milk samples of cattle by PCR. </w:t>
      </w:r>
      <w:r w:rsidRPr="00EE5DE0">
        <w:rPr>
          <w:rFonts w:ascii="Times New Roman" w:eastAsia="Times New Roman" w:hAnsi="Times New Roman" w:cs="Times New Roman"/>
          <w:i/>
          <w:iCs/>
          <w:kern w:val="0"/>
          <w14:ligatures w14:val="none"/>
        </w:rPr>
        <w:t>IOSR Journal of Agriculture and Veterinary Science, 8</w:t>
      </w:r>
      <w:r w:rsidRPr="00EE5DE0">
        <w:rPr>
          <w:rFonts w:ascii="Times New Roman" w:eastAsia="Times New Roman" w:hAnsi="Times New Roman" w:cs="Times New Roman"/>
          <w:kern w:val="0"/>
          <w14:ligatures w14:val="none"/>
        </w:rPr>
        <w:t xml:space="preserve">(5), 75–78. </w:t>
      </w:r>
      <w:hyperlink r:id="rId26" w:history="1">
        <w:r w:rsidRPr="00EE5DE0">
          <w:rPr>
            <w:rFonts w:ascii="Times New Roman" w:eastAsia="Times New Roman" w:hAnsi="Times New Roman" w:cs="Times New Roman"/>
            <w:color w:val="0000FF"/>
            <w:kern w:val="0"/>
            <w:u w:val="single"/>
            <w14:ligatures w14:val="none"/>
          </w:rPr>
          <w:t>https://doi.org/10.9790/2380-08517578</w:t>
        </w:r>
      </w:hyperlink>
    </w:p>
    <w:p w14:paraId="3FAD6794"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lastRenderedPageBreak/>
        <w:t xml:space="preserve">Kaipainen, T., Pohjanvirta, T., Shpigel, N. Y., Shwimmer, A., Pyörälä, S., &amp; Pelkonen, S. (2002). Virulence factors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isolated from bovine clinical mastitis. </w:t>
      </w:r>
      <w:r w:rsidRPr="00EE5DE0">
        <w:rPr>
          <w:rFonts w:ascii="Times New Roman" w:eastAsia="Times New Roman" w:hAnsi="Times New Roman" w:cs="Times New Roman"/>
          <w:i/>
          <w:iCs/>
          <w:kern w:val="0"/>
          <w14:ligatures w14:val="none"/>
        </w:rPr>
        <w:t>Veterinary Microbiology, 85</w:t>
      </w:r>
      <w:r w:rsidRPr="00EE5DE0">
        <w:rPr>
          <w:rFonts w:ascii="Times New Roman" w:eastAsia="Times New Roman" w:hAnsi="Times New Roman" w:cs="Times New Roman"/>
          <w:kern w:val="0"/>
          <w14:ligatures w14:val="none"/>
        </w:rPr>
        <w:t xml:space="preserve">(1), 37–46. </w:t>
      </w:r>
      <w:hyperlink r:id="rId27" w:history="1">
        <w:r w:rsidRPr="00EE5DE0">
          <w:rPr>
            <w:rFonts w:ascii="Times New Roman" w:eastAsia="Times New Roman" w:hAnsi="Times New Roman" w:cs="Times New Roman"/>
            <w:color w:val="0000FF"/>
            <w:kern w:val="0"/>
            <w:u w:val="single"/>
            <w14:ligatures w14:val="none"/>
          </w:rPr>
          <w:t>https://doi.org/10.1016/S0378-1135(01)00483-7</w:t>
        </w:r>
      </w:hyperlink>
    </w:p>
    <w:p w14:paraId="7A6B7539"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Kimura, M. (1980). A simple method for estimating evolutionary rates of base substitutions through comparative studies of nucleotide sequences. </w:t>
      </w:r>
      <w:r w:rsidRPr="00EE5DE0">
        <w:rPr>
          <w:rFonts w:ascii="Times New Roman" w:eastAsia="Times New Roman" w:hAnsi="Times New Roman" w:cs="Times New Roman"/>
          <w:i/>
          <w:iCs/>
          <w:kern w:val="0"/>
          <w14:ligatures w14:val="none"/>
        </w:rPr>
        <w:t>Journal of Molecular Evolution, 16</w:t>
      </w:r>
      <w:r w:rsidRPr="00EE5DE0">
        <w:rPr>
          <w:rFonts w:ascii="Times New Roman" w:eastAsia="Times New Roman" w:hAnsi="Times New Roman" w:cs="Times New Roman"/>
          <w:kern w:val="0"/>
          <w14:ligatures w14:val="none"/>
        </w:rPr>
        <w:t xml:space="preserve">(2), 111–120. </w:t>
      </w:r>
      <w:hyperlink r:id="rId28" w:history="1">
        <w:r w:rsidRPr="00EE5DE0">
          <w:rPr>
            <w:rFonts w:ascii="Times New Roman" w:eastAsia="Times New Roman" w:hAnsi="Times New Roman" w:cs="Times New Roman"/>
            <w:color w:val="0000FF"/>
            <w:kern w:val="0"/>
            <w:u w:val="single"/>
            <w14:ligatures w14:val="none"/>
          </w:rPr>
          <w:t>https://doi.org/10.1007/BF01731581</w:t>
        </w:r>
      </w:hyperlink>
    </w:p>
    <w:p w14:paraId="077D1175"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Neamah, A. A., Fahad, K. H., Sadeq, J. N., &amp; Al-Fatlawi, M. A. (2022). Molecular characterization and phylogenetic analysis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isolated from milk of cattle affected by mastitis. </w:t>
      </w:r>
      <w:r w:rsidRPr="00EE5DE0">
        <w:rPr>
          <w:rFonts w:ascii="Times New Roman" w:eastAsia="Times New Roman" w:hAnsi="Times New Roman" w:cs="Times New Roman"/>
          <w:i/>
          <w:iCs/>
          <w:kern w:val="0"/>
          <w14:ligatures w14:val="none"/>
        </w:rPr>
        <w:t>Iraqi Journal of Veterinary Sciences, 36</w:t>
      </w:r>
      <w:r w:rsidRPr="00EE5DE0">
        <w:rPr>
          <w:rFonts w:ascii="Times New Roman" w:eastAsia="Times New Roman" w:hAnsi="Times New Roman" w:cs="Times New Roman"/>
          <w:kern w:val="0"/>
          <w14:ligatures w14:val="none"/>
        </w:rPr>
        <w:t xml:space="preserve">(1), 251–254. </w:t>
      </w:r>
      <w:hyperlink r:id="rId29" w:history="1">
        <w:r w:rsidRPr="00EE5DE0">
          <w:rPr>
            <w:rFonts w:ascii="Times New Roman" w:eastAsia="Times New Roman" w:hAnsi="Times New Roman" w:cs="Times New Roman"/>
            <w:color w:val="0000FF"/>
            <w:kern w:val="0"/>
            <w:u w:val="single"/>
            <w14:ligatures w14:val="none"/>
          </w:rPr>
          <w:t>https://doi.org/10.33899/ijvs.2021.129934.1702</w:t>
        </w:r>
      </w:hyperlink>
    </w:p>
    <w:p w14:paraId="641371D2"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Neher, S., Hazarika, A. K., Sharma, R. K., Barkalita, L. M., Bora, M., &amp; Deka, P. (2015). Detection of Shiga-toxigenic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in milk samples of cattle by PCR. </w:t>
      </w:r>
      <w:r w:rsidRPr="00EE5DE0">
        <w:rPr>
          <w:rFonts w:ascii="Times New Roman" w:eastAsia="Times New Roman" w:hAnsi="Times New Roman" w:cs="Times New Roman"/>
          <w:i/>
          <w:iCs/>
          <w:kern w:val="0"/>
          <w14:ligatures w14:val="none"/>
        </w:rPr>
        <w:t>IOSR Journal of Agriculture and Veterinary Science, 8</w:t>
      </w:r>
      <w:r w:rsidRPr="00EE5DE0">
        <w:rPr>
          <w:rFonts w:ascii="Times New Roman" w:eastAsia="Times New Roman" w:hAnsi="Times New Roman" w:cs="Times New Roman"/>
          <w:kern w:val="0"/>
          <w14:ligatures w14:val="none"/>
        </w:rPr>
        <w:t xml:space="preserve">(5), 75–78. </w:t>
      </w:r>
      <w:hyperlink r:id="rId30" w:history="1">
        <w:r w:rsidRPr="00EE5DE0">
          <w:rPr>
            <w:rFonts w:ascii="Times New Roman" w:eastAsia="Times New Roman" w:hAnsi="Times New Roman" w:cs="Times New Roman"/>
            <w:color w:val="0000FF"/>
            <w:kern w:val="0"/>
            <w:u w:val="single"/>
            <w14:ligatures w14:val="none"/>
          </w:rPr>
          <w:t>https://doi.org/10.9790/2380-08517578</w:t>
        </w:r>
      </w:hyperlink>
    </w:p>
    <w:p w14:paraId="59026798"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Nguyen, T. D., Vo, T. T., &amp; Vu-Khac, H. (2011). Virulence factors in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isolated from calves with diarrhoea in Vietnam. </w:t>
      </w:r>
      <w:r w:rsidRPr="00EE5DE0">
        <w:rPr>
          <w:rFonts w:ascii="Times New Roman" w:eastAsia="Times New Roman" w:hAnsi="Times New Roman" w:cs="Times New Roman"/>
          <w:i/>
          <w:iCs/>
          <w:kern w:val="0"/>
          <w14:ligatures w14:val="none"/>
        </w:rPr>
        <w:t>Journal of Veterinary Science, 12</w:t>
      </w:r>
      <w:r w:rsidRPr="00EE5DE0">
        <w:rPr>
          <w:rFonts w:ascii="Times New Roman" w:eastAsia="Times New Roman" w:hAnsi="Times New Roman" w:cs="Times New Roman"/>
          <w:kern w:val="0"/>
          <w14:ligatures w14:val="none"/>
        </w:rPr>
        <w:t xml:space="preserve">(2), 159–164. </w:t>
      </w:r>
      <w:hyperlink r:id="rId31" w:history="1">
        <w:r w:rsidRPr="00EE5DE0">
          <w:rPr>
            <w:rFonts w:ascii="Times New Roman" w:eastAsia="Times New Roman" w:hAnsi="Times New Roman" w:cs="Times New Roman"/>
            <w:color w:val="0000FF"/>
            <w:kern w:val="0"/>
            <w:u w:val="single"/>
            <w14:ligatures w14:val="none"/>
          </w:rPr>
          <w:t>https://doi.org/10.4142/jvs.2011.12.2.159</w:t>
        </w:r>
      </w:hyperlink>
    </w:p>
    <w:p w14:paraId="4C4D180C"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Oliveira, F. A., Paludo, K. S., Arend, L. N. V. S., Farah, S. M. S. S., Pedrosa, F. O., Souza, E. M., Surek, M., Picheth, G., &amp; Fadel-Picheth, C. M. T. (2011). Virulence characteristics and antimicrobial susceptibility of uropathogenic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strains. </w:t>
      </w:r>
      <w:r w:rsidRPr="00EE5DE0">
        <w:rPr>
          <w:rFonts w:ascii="Times New Roman" w:eastAsia="Times New Roman" w:hAnsi="Times New Roman" w:cs="Times New Roman"/>
          <w:i/>
          <w:iCs/>
          <w:kern w:val="0"/>
          <w14:ligatures w14:val="none"/>
        </w:rPr>
        <w:t>Genetics and Molecular Research, 10</w:t>
      </w:r>
      <w:r w:rsidRPr="00EE5DE0">
        <w:rPr>
          <w:rFonts w:ascii="Times New Roman" w:eastAsia="Times New Roman" w:hAnsi="Times New Roman" w:cs="Times New Roman"/>
          <w:kern w:val="0"/>
          <w14:ligatures w14:val="none"/>
        </w:rPr>
        <w:t xml:space="preserve">(4), 4114–4125. </w:t>
      </w:r>
      <w:hyperlink r:id="rId32" w:history="1">
        <w:r w:rsidRPr="00EE5DE0">
          <w:rPr>
            <w:rFonts w:ascii="Times New Roman" w:eastAsia="Times New Roman" w:hAnsi="Times New Roman" w:cs="Times New Roman"/>
            <w:color w:val="0000FF"/>
            <w:kern w:val="0"/>
            <w:u w:val="single"/>
            <w14:ligatures w14:val="none"/>
          </w:rPr>
          <w:t>https://doi.org/10.4238/2011.October.31.5</w:t>
        </w:r>
      </w:hyperlink>
    </w:p>
    <w:p w14:paraId="44A0586E"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Olson, M. A., Cullimore, C., Hutchison, W. D., Grimsrud, A., Nobrega, D., De Buck, J., Barkema, H. W., Wilson, E., Pickett, B. E., &amp; Erickson, D. L. (2024). Genes associated with fitness and disease severity in the pan-genome of mastitis-associated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w:t>
      </w:r>
      <w:r w:rsidRPr="00EE5DE0">
        <w:rPr>
          <w:rFonts w:ascii="Times New Roman" w:eastAsia="Times New Roman" w:hAnsi="Times New Roman" w:cs="Times New Roman"/>
          <w:i/>
          <w:iCs/>
          <w:kern w:val="0"/>
          <w14:ligatures w14:val="none"/>
        </w:rPr>
        <w:t>Frontiers in Microbiology, 15</w:t>
      </w:r>
      <w:r w:rsidRPr="00EE5DE0">
        <w:rPr>
          <w:rFonts w:ascii="Times New Roman" w:eastAsia="Times New Roman" w:hAnsi="Times New Roman" w:cs="Times New Roman"/>
          <w:kern w:val="0"/>
          <w14:ligatures w14:val="none"/>
        </w:rPr>
        <w:t xml:space="preserve">, Article 1452007. </w:t>
      </w:r>
      <w:hyperlink r:id="rId33" w:history="1">
        <w:r w:rsidRPr="00EE5DE0">
          <w:rPr>
            <w:rFonts w:ascii="Times New Roman" w:eastAsia="Times New Roman" w:hAnsi="Times New Roman" w:cs="Times New Roman"/>
            <w:color w:val="0000FF"/>
            <w:kern w:val="0"/>
            <w:u w:val="single"/>
            <w14:ligatures w14:val="none"/>
          </w:rPr>
          <w:t>https://doi.org/10.3389/fmicb.2024.1452007</w:t>
        </w:r>
      </w:hyperlink>
    </w:p>
    <w:p w14:paraId="566D4628"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Orsi, H., Guimarães, F. F., Leite, D. S., Guerra, S. T., Joaquim, S. F., Pantoja, J. C. F., Hernandes, R. T., Lucheis, S. B., Ribeiro, M. G., Langoni, H., &amp; Rall, V. L. M. (2023). Characterization of mammary pathogenic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reveals the diversity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isolates associated with bovine clinical mastitis in Brazil. </w:t>
      </w:r>
      <w:r w:rsidRPr="00EE5DE0">
        <w:rPr>
          <w:rFonts w:ascii="Times New Roman" w:eastAsia="Times New Roman" w:hAnsi="Times New Roman" w:cs="Times New Roman"/>
          <w:i/>
          <w:iCs/>
          <w:kern w:val="0"/>
          <w14:ligatures w14:val="none"/>
        </w:rPr>
        <w:t>Journal of Dairy Science, 106</w:t>
      </w:r>
      <w:r w:rsidRPr="00EE5DE0">
        <w:rPr>
          <w:rFonts w:ascii="Times New Roman" w:eastAsia="Times New Roman" w:hAnsi="Times New Roman" w:cs="Times New Roman"/>
          <w:kern w:val="0"/>
          <w14:ligatures w14:val="none"/>
        </w:rPr>
        <w:t xml:space="preserve">(2), 1403–1413. </w:t>
      </w:r>
      <w:hyperlink r:id="rId34" w:history="1">
        <w:r w:rsidRPr="00EE5DE0">
          <w:rPr>
            <w:rFonts w:ascii="Times New Roman" w:eastAsia="Times New Roman" w:hAnsi="Times New Roman" w:cs="Times New Roman"/>
            <w:color w:val="0000FF"/>
            <w:kern w:val="0"/>
            <w:u w:val="single"/>
            <w14:ligatures w14:val="none"/>
          </w:rPr>
          <w:t>https://doi.org/10.3168/jds.2022-22126</w:t>
        </w:r>
      </w:hyperlink>
    </w:p>
    <w:p w14:paraId="39295056" w14:textId="77777777"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Parveen, B., Junejo, Y., Safdar, M., &amp; Özaslan, M. (2021). Molecular characterization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isolated from raw cow milk samples collected from district Bahawalpur, Pakistan. </w:t>
      </w:r>
      <w:r w:rsidRPr="00EE5DE0">
        <w:rPr>
          <w:rFonts w:ascii="Times New Roman" w:eastAsia="Times New Roman" w:hAnsi="Times New Roman" w:cs="Times New Roman"/>
          <w:i/>
          <w:iCs/>
          <w:kern w:val="0"/>
          <w14:ligatures w14:val="none"/>
        </w:rPr>
        <w:t>Zeugma Biological Science, 2</w:t>
      </w:r>
      <w:r w:rsidRPr="00EE5DE0">
        <w:rPr>
          <w:rFonts w:ascii="Times New Roman" w:eastAsia="Times New Roman" w:hAnsi="Times New Roman" w:cs="Times New Roman"/>
          <w:kern w:val="0"/>
          <w14:ligatures w14:val="none"/>
        </w:rPr>
        <w:t xml:space="preserve">(2), 1–13. </w:t>
      </w:r>
      <w:hyperlink r:id="rId35" w:history="1">
        <w:r w:rsidRPr="00EE5DE0">
          <w:rPr>
            <w:rFonts w:ascii="Times New Roman" w:eastAsia="Times New Roman" w:hAnsi="Times New Roman" w:cs="Times New Roman"/>
            <w:color w:val="0000FF"/>
            <w:kern w:val="0"/>
            <w:u w:val="single"/>
            <w14:ligatures w14:val="none"/>
          </w:rPr>
          <w:t>https://dergipark.org.tr/en/pub/zbs/article/913301</w:t>
        </w:r>
      </w:hyperlink>
    </w:p>
    <w:p w14:paraId="56A6F3EC" w14:textId="758429CE" w:rsidR="00EE5DE0" w:rsidRPr="00EE5DE0" w:rsidRDefault="00EE5DE0" w:rsidP="00EE5DE0">
      <w:pPr>
        <w:numPr>
          <w:ilvl w:val="0"/>
          <w:numId w:val="5"/>
        </w:numPr>
        <w:spacing w:before="100" w:beforeAutospacing="1" w:after="100" w:afterAutospacing="1" w:line="240" w:lineRule="auto"/>
        <w:rPr>
          <w:rFonts w:ascii="Times New Roman" w:eastAsia="Times New Roman" w:hAnsi="Times New Roman" w:cs="Times New Roman"/>
          <w:b/>
          <w:bCs/>
          <w:kern w:val="0"/>
          <w14:ligatures w14:val="none"/>
        </w:rPr>
      </w:pPr>
      <w:r w:rsidRPr="00EE5DE0">
        <w:rPr>
          <w:rFonts w:ascii="Times New Roman" w:eastAsia="Times New Roman" w:hAnsi="Times New Roman" w:cs="Times New Roman"/>
          <w:kern w:val="0"/>
          <w14:ligatures w14:val="none"/>
        </w:rPr>
        <w:t xml:space="preserve">Sambrook, J., &amp; Russell, D. W. (2006). Detection of DNA in agarose gels. </w:t>
      </w:r>
      <w:r w:rsidRPr="00EE5DE0">
        <w:rPr>
          <w:rFonts w:ascii="Times New Roman" w:eastAsia="Times New Roman" w:hAnsi="Times New Roman" w:cs="Times New Roman"/>
          <w:i/>
          <w:iCs/>
          <w:kern w:val="0"/>
          <w14:ligatures w14:val="none"/>
        </w:rPr>
        <w:t>Cold Spring Harbor Protocols, 2006</w:t>
      </w:r>
      <w:r w:rsidRPr="00EE5DE0">
        <w:rPr>
          <w:rFonts w:ascii="Times New Roman" w:eastAsia="Times New Roman" w:hAnsi="Times New Roman" w:cs="Times New Roman"/>
          <w:kern w:val="0"/>
          <w14:ligatures w14:val="none"/>
        </w:rPr>
        <w:t xml:space="preserve">(1), Article pdb.prot4022. </w:t>
      </w:r>
      <w:hyperlink r:id="rId36" w:history="1">
        <w:r w:rsidRPr="00EE5DE0">
          <w:rPr>
            <w:rFonts w:ascii="Times New Roman" w:eastAsia="Times New Roman" w:hAnsi="Times New Roman" w:cs="Times New Roman"/>
            <w:color w:val="0000FF"/>
            <w:kern w:val="0"/>
            <w:u w:val="single"/>
            <w14:ligatures w14:val="none"/>
          </w:rPr>
          <w:t>https://doi.org/10.1101/pdb.prot4022</w:t>
        </w:r>
      </w:hyperlink>
    </w:p>
    <w:p w14:paraId="2AAA6DBA" w14:textId="77777777" w:rsidR="00EE5DE0" w:rsidRPr="00EE5DE0" w:rsidRDefault="00EE5DE0" w:rsidP="00EE5DE0">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Cengiz, S., Dinç, G., &amp; Söğüt, M. Ü. (2014). Detection of several virulence properties, antibiotic resistance and phylogenetic relationship in </w:t>
      </w:r>
      <w:r w:rsidRPr="00EE5DE0">
        <w:rPr>
          <w:rFonts w:ascii="Times New Roman" w:eastAsia="Times New Roman" w:hAnsi="Times New Roman" w:cs="Times New Roman"/>
          <w:i/>
          <w:iCs/>
          <w:kern w:val="0"/>
          <w14:ligatures w14:val="none"/>
        </w:rPr>
        <w:t>E. coli</w:t>
      </w:r>
      <w:r w:rsidRPr="00EE5DE0">
        <w:rPr>
          <w:rFonts w:ascii="Times New Roman" w:eastAsia="Times New Roman" w:hAnsi="Times New Roman" w:cs="Times New Roman"/>
          <w:kern w:val="0"/>
          <w14:ligatures w14:val="none"/>
        </w:rPr>
        <w:t xml:space="preserve"> isolates originated from cow mastitis. </w:t>
      </w:r>
      <w:r w:rsidRPr="00EE5DE0">
        <w:rPr>
          <w:rFonts w:ascii="Times New Roman" w:eastAsia="Times New Roman" w:hAnsi="Times New Roman" w:cs="Times New Roman"/>
          <w:i/>
          <w:iCs/>
          <w:kern w:val="0"/>
          <w14:ligatures w14:val="none"/>
        </w:rPr>
        <w:t>Acta Veterinaria, 64</w:t>
      </w:r>
      <w:r w:rsidRPr="00EE5DE0">
        <w:rPr>
          <w:rFonts w:ascii="Times New Roman" w:eastAsia="Times New Roman" w:hAnsi="Times New Roman" w:cs="Times New Roman"/>
          <w:kern w:val="0"/>
          <w14:ligatures w14:val="none"/>
        </w:rPr>
        <w:t xml:space="preserve">(4), 413–425. </w:t>
      </w:r>
      <w:hyperlink r:id="rId37" w:history="1">
        <w:r w:rsidRPr="00EE5DE0">
          <w:rPr>
            <w:rFonts w:ascii="Times New Roman" w:eastAsia="Times New Roman" w:hAnsi="Times New Roman" w:cs="Times New Roman"/>
            <w:color w:val="0000FF"/>
            <w:kern w:val="0"/>
            <w:u w:val="single"/>
            <w14:ligatures w14:val="none"/>
          </w:rPr>
          <w:t>https://doi.org/10.2478/acve-2014-0039</w:t>
        </w:r>
      </w:hyperlink>
    </w:p>
    <w:p w14:paraId="254B09FF" w14:textId="77777777" w:rsidR="00EE5DE0" w:rsidRPr="00EE5DE0" w:rsidRDefault="00EE5DE0" w:rsidP="00EE5DE0">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Tamura, K., Stecher, G., &amp; Kumar, S. (2021). MEGA11: Molecular evolutionary genetics analysis version 11. </w:t>
      </w:r>
      <w:r w:rsidRPr="00EE5DE0">
        <w:rPr>
          <w:rFonts w:ascii="Times New Roman" w:eastAsia="Times New Roman" w:hAnsi="Times New Roman" w:cs="Times New Roman"/>
          <w:i/>
          <w:iCs/>
          <w:kern w:val="0"/>
          <w14:ligatures w14:val="none"/>
        </w:rPr>
        <w:t>Molecular Biology and Evolution, 38</w:t>
      </w:r>
      <w:r w:rsidRPr="00EE5DE0">
        <w:rPr>
          <w:rFonts w:ascii="Times New Roman" w:eastAsia="Times New Roman" w:hAnsi="Times New Roman" w:cs="Times New Roman"/>
          <w:kern w:val="0"/>
          <w14:ligatures w14:val="none"/>
        </w:rPr>
        <w:t xml:space="preserve">(7), 3022–3027. </w:t>
      </w:r>
      <w:hyperlink r:id="rId38" w:history="1">
        <w:r w:rsidRPr="00EE5DE0">
          <w:rPr>
            <w:rFonts w:ascii="Times New Roman" w:eastAsia="Times New Roman" w:hAnsi="Times New Roman" w:cs="Times New Roman"/>
            <w:color w:val="0000FF"/>
            <w:kern w:val="0"/>
            <w:u w:val="single"/>
            <w14:ligatures w14:val="none"/>
          </w:rPr>
          <w:t>https://doi.org/10.1093/molbev/msab120</w:t>
        </w:r>
      </w:hyperlink>
    </w:p>
    <w:p w14:paraId="4ACB48BD" w14:textId="77777777" w:rsidR="00EE5DE0" w:rsidRPr="00EE5DE0" w:rsidRDefault="00EE5DE0" w:rsidP="00EE5DE0">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lastRenderedPageBreak/>
        <w:t xml:space="preserve">Wang, G., Clark, C. G., &amp; Rodgers, F. G. (2002). Detection in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of the genes encoding the major virulence factors, the genes defining the O157 serotype, and components of the type 2 Shiga toxin family by multiplex PCR. </w:t>
      </w:r>
      <w:r w:rsidRPr="00EE5DE0">
        <w:rPr>
          <w:rFonts w:ascii="Times New Roman" w:eastAsia="Times New Roman" w:hAnsi="Times New Roman" w:cs="Times New Roman"/>
          <w:i/>
          <w:iCs/>
          <w:kern w:val="0"/>
          <w14:ligatures w14:val="none"/>
        </w:rPr>
        <w:t>Journal of Clinical Microbiology, 40</w:t>
      </w:r>
      <w:r w:rsidRPr="00EE5DE0">
        <w:rPr>
          <w:rFonts w:ascii="Times New Roman" w:eastAsia="Times New Roman" w:hAnsi="Times New Roman" w:cs="Times New Roman"/>
          <w:kern w:val="0"/>
          <w14:ligatures w14:val="none"/>
        </w:rPr>
        <w:t xml:space="preserve">(10), 3613–3619. </w:t>
      </w:r>
      <w:hyperlink r:id="rId39" w:history="1">
        <w:r w:rsidRPr="00EE5DE0">
          <w:rPr>
            <w:rFonts w:ascii="Times New Roman" w:eastAsia="Times New Roman" w:hAnsi="Times New Roman" w:cs="Times New Roman"/>
            <w:color w:val="0000FF"/>
            <w:kern w:val="0"/>
            <w:u w:val="single"/>
            <w14:ligatures w14:val="none"/>
          </w:rPr>
          <w:t>https://doi.org/10.1128/JCM.40.10.3613-3619.2002</w:t>
        </w:r>
      </w:hyperlink>
    </w:p>
    <w:p w14:paraId="73B250FA" w14:textId="77777777" w:rsidR="00EE5DE0" w:rsidRPr="00EE5DE0" w:rsidRDefault="00EE5DE0" w:rsidP="00EE5DE0">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Younis, W., Hassan, S., &amp; Mohamed, H. M. A. (2021). Molecular characterization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isolated from milk samples with regard to virulence factors and antibiotic resistance. </w:t>
      </w:r>
      <w:r w:rsidRPr="00EE5DE0">
        <w:rPr>
          <w:rFonts w:ascii="Times New Roman" w:eastAsia="Times New Roman" w:hAnsi="Times New Roman" w:cs="Times New Roman"/>
          <w:i/>
          <w:iCs/>
          <w:kern w:val="0"/>
          <w14:ligatures w14:val="none"/>
        </w:rPr>
        <w:t>Veterinary World, 14</w:t>
      </w:r>
      <w:r w:rsidRPr="00EE5DE0">
        <w:rPr>
          <w:rFonts w:ascii="Times New Roman" w:eastAsia="Times New Roman" w:hAnsi="Times New Roman" w:cs="Times New Roman"/>
          <w:kern w:val="0"/>
          <w14:ligatures w14:val="none"/>
        </w:rPr>
        <w:t xml:space="preserve">(9), 2410–2418. </w:t>
      </w:r>
      <w:hyperlink r:id="rId40" w:history="1">
        <w:r w:rsidRPr="00EE5DE0">
          <w:rPr>
            <w:rFonts w:ascii="Times New Roman" w:eastAsia="Times New Roman" w:hAnsi="Times New Roman" w:cs="Times New Roman"/>
            <w:color w:val="0000FF"/>
            <w:kern w:val="0"/>
            <w:u w:val="single"/>
            <w14:ligatures w14:val="none"/>
          </w:rPr>
          <w:t>https://doi.org/10.14202/vetworld.2021.2410-2418</w:t>
        </w:r>
      </w:hyperlink>
    </w:p>
    <w:p w14:paraId="1AD96A41" w14:textId="77777777" w:rsidR="00EE5DE0" w:rsidRPr="00EE5DE0" w:rsidRDefault="00EE5DE0" w:rsidP="00EE5DE0">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E5DE0">
        <w:rPr>
          <w:rFonts w:ascii="Times New Roman" w:eastAsia="Times New Roman" w:hAnsi="Times New Roman" w:cs="Times New Roman"/>
          <w:kern w:val="0"/>
          <w14:ligatures w14:val="none"/>
        </w:rPr>
        <w:t xml:space="preserve">Zuo, J., Lv, Z., Lian, L., Wu, Z., Fu, S., Zhang, H., Wu, J., Pan, Z., Yu, Y., Chen, W., Jiang, W., Yin, H., Chen, Z., Yi, Y., Han, X., &amp; Miao, J. (2025). Difference analysis on virulence genes, biofilms and antimicrobial susceptibility of </w:t>
      </w:r>
      <w:r w:rsidRPr="00EE5DE0">
        <w:rPr>
          <w:rFonts w:ascii="Times New Roman" w:eastAsia="Times New Roman" w:hAnsi="Times New Roman" w:cs="Times New Roman"/>
          <w:i/>
          <w:iCs/>
          <w:kern w:val="0"/>
          <w14:ligatures w14:val="none"/>
        </w:rPr>
        <w:t>Escherichia coli</w:t>
      </w:r>
      <w:r w:rsidRPr="00EE5DE0">
        <w:rPr>
          <w:rFonts w:ascii="Times New Roman" w:eastAsia="Times New Roman" w:hAnsi="Times New Roman" w:cs="Times New Roman"/>
          <w:kern w:val="0"/>
          <w14:ligatures w14:val="none"/>
        </w:rPr>
        <w:t xml:space="preserve"> from clinical and subclinical bovine mastitis. </w:t>
      </w:r>
      <w:r w:rsidRPr="00EE5DE0">
        <w:rPr>
          <w:rFonts w:ascii="Times New Roman" w:eastAsia="Times New Roman" w:hAnsi="Times New Roman" w:cs="Times New Roman"/>
          <w:i/>
          <w:iCs/>
          <w:kern w:val="0"/>
          <w14:ligatures w14:val="none"/>
        </w:rPr>
        <w:t>Veterinary Sciences, 12</w:t>
      </w:r>
      <w:r w:rsidRPr="00EE5DE0">
        <w:rPr>
          <w:rFonts w:ascii="Times New Roman" w:eastAsia="Times New Roman" w:hAnsi="Times New Roman" w:cs="Times New Roman"/>
          <w:kern w:val="0"/>
          <w14:ligatures w14:val="none"/>
        </w:rPr>
        <w:t xml:space="preserve">(2), Article 132. </w:t>
      </w:r>
      <w:hyperlink r:id="rId41" w:history="1">
        <w:r w:rsidRPr="00EE5DE0">
          <w:rPr>
            <w:rFonts w:ascii="Times New Roman" w:eastAsia="Times New Roman" w:hAnsi="Times New Roman" w:cs="Times New Roman"/>
            <w:color w:val="0000FF"/>
            <w:kern w:val="0"/>
            <w:u w:val="single"/>
            <w14:ligatures w14:val="none"/>
          </w:rPr>
          <w:t>https://doi.org/10.3390/vetsci12020132</w:t>
        </w:r>
      </w:hyperlink>
    </w:p>
    <w:p w14:paraId="5BDC2227" w14:textId="77777777" w:rsidR="00EE5DE0" w:rsidRPr="004F549F" w:rsidRDefault="00EE5DE0" w:rsidP="00401B92">
      <w:pPr>
        <w:spacing w:line="480" w:lineRule="auto"/>
        <w:jc w:val="both"/>
        <w:rPr>
          <w:rFonts w:ascii="Times New Roman" w:hAnsi="Times New Roman" w:cs="Times New Roman"/>
          <w:b/>
          <w:bCs/>
          <w:color w:val="000000" w:themeColor="text1"/>
        </w:rPr>
      </w:pPr>
    </w:p>
    <w:sectPr w:rsidR="00EE5DE0" w:rsidRPr="004F549F" w:rsidSect="00BC7F5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8340" w14:textId="77777777" w:rsidR="0070307E" w:rsidRDefault="0070307E" w:rsidP="00586A2C">
      <w:pPr>
        <w:spacing w:after="0" w:line="240" w:lineRule="auto"/>
      </w:pPr>
      <w:r>
        <w:separator/>
      </w:r>
    </w:p>
  </w:endnote>
  <w:endnote w:type="continuationSeparator" w:id="0">
    <w:p w14:paraId="4412B19B" w14:textId="77777777" w:rsidR="0070307E" w:rsidRDefault="0070307E" w:rsidP="0058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22D6" w14:textId="77777777" w:rsidR="00BC7F5E" w:rsidRDefault="00BC7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972248"/>
      <w:docPartObj>
        <w:docPartGallery w:val="Page Numbers (Bottom of Page)"/>
        <w:docPartUnique/>
      </w:docPartObj>
    </w:sdtPr>
    <w:sdtEndPr>
      <w:rPr>
        <w:noProof/>
      </w:rPr>
    </w:sdtEndPr>
    <w:sdtContent>
      <w:p w14:paraId="583AB781" w14:textId="77777777" w:rsidR="009B4E62" w:rsidRDefault="009B4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9EBE28" w14:textId="77777777" w:rsidR="009B4E62" w:rsidRDefault="009B4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F264" w14:textId="77777777" w:rsidR="00BC7F5E" w:rsidRDefault="00BC7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CE283" w14:textId="77777777" w:rsidR="0070307E" w:rsidRDefault="0070307E" w:rsidP="00586A2C">
      <w:pPr>
        <w:spacing w:after="0" w:line="240" w:lineRule="auto"/>
      </w:pPr>
      <w:r>
        <w:separator/>
      </w:r>
    </w:p>
  </w:footnote>
  <w:footnote w:type="continuationSeparator" w:id="0">
    <w:p w14:paraId="16194F7C" w14:textId="77777777" w:rsidR="0070307E" w:rsidRDefault="0070307E" w:rsidP="00586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100E" w14:textId="77777777" w:rsidR="00BC7F5E" w:rsidRDefault="00000000">
    <w:pPr>
      <w:pStyle w:val="Header"/>
    </w:pPr>
    <w:r>
      <w:rPr>
        <w:noProof/>
      </w:rPr>
      <w:pict w14:anchorId="071722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6F63" w14:textId="77777777" w:rsidR="00BC7F5E" w:rsidRDefault="00000000">
    <w:pPr>
      <w:pStyle w:val="Header"/>
    </w:pPr>
    <w:r>
      <w:rPr>
        <w:noProof/>
      </w:rPr>
      <w:pict w14:anchorId="7D2A64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9B5A" w14:textId="77777777" w:rsidR="00BC7F5E" w:rsidRDefault="00000000">
    <w:pPr>
      <w:pStyle w:val="Header"/>
    </w:pPr>
    <w:r>
      <w:rPr>
        <w:noProof/>
      </w:rPr>
      <w:pict w14:anchorId="16D89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B1A33"/>
    <w:multiLevelType w:val="multilevel"/>
    <w:tmpl w:val="B3160B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E0205E"/>
    <w:multiLevelType w:val="multilevel"/>
    <w:tmpl w:val="BC72FEA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7049D9"/>
    <w:multiLevelType w:val="multilevel"/>
    <w:tmpl w:val="AA7C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164B8"/>
    <w:multiLevelType w:val="multilevel"/>
    <w:tmpl w:val="5E404BD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17350C"/>
    <w:multiLevelType w:val="hybridMultilevel"/>
    <w:tmpl w:val="8C261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9F5B47"/>
    <w:multiLevelType w:val="multilevel"/>
    <w:tmpl w:val="E59C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F54618"/>
    <w:multiLevelType w:val="multilevel"/>
    <w:tmpl w:val="77E4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648167">
    <w:abstractNumId w:val="2"/>
  </w:num>
  <w:num w:numId="2" w16cid:durableId="1882328408">
    <w:abstractNumId w:val="6"/>
  </w:num>
  <w:num w:numId="3" w16cid:durableId="828643287">
    <w:abstractNumId w:val="4"/>
  </w:num>
  <w:num w:numId="4" w16cid:durableId="1697656291">
    <w:abstractNumId w:val="5"/>
  </w:num>
  <w:num w:numId="5" w16cid:durableId="1465805841">
    <w:abstractNumId w:val="0"/>
  </w:num>
  <w:num w:numId="6" w16cid:durableId="1651791375">
    <w:abstractNumId w:val="1"/>
  </w:num>
  <w:num w:numId="7" w16cid:durableId="1258320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0NTcxNjA0NTYwMzFR0lEKTi0uzszPAykwrAUAiTPkQCwAAAA="/>
  </w:docVars>
  <w:rsids>
    <w:rsidRoot w:val="0054177B"/>
    <w:rsid w:val="00002A14"/>
    <w:rsid w:val="000076A7"/>
    <w:rsid w:val="000103A5"/>
    <w:rsid w:val="000118FF"/>
    <w:rsid w:val="00012B2F"/>
    <w:rsid w:val="00014188"/>
    <w:rsid w:val="000163D0"/>
    <w:rsid w:val="000176B4"/>
    <w:rsid w:val="000177C5"/>
    <w:rsid w:val="000221B4"/>
    <w:rsid w:val="00022D55"/>
    <w:rsid w:val="0002483A"/>
    <w:rsid w:val="0004751E"/>
    <w:rsid w:val="000479EF"/>
    <w:rsid w:val="0005189F"/>
    <w:rsid w:val="00052A51"/>
    <w:rsid w:val="00052B6B"/>
    <w:rsid w:val="0005651E"/>
    <w:rsid w:val="0005654B"/>
    <w:rsid w:val="00070F5B"/>
    <w:rsid w:val="00071C3C"/>
    <w:rsid w:val="00071C86"/>
    <w:rsid w:val="00073358"/>
    <w:rsid w:val="00073D72"/>
    <w:rsid w:val="0008273D"/>
    <w:rsid w:val="00082C33"/>
    <w:rsid w:val="000841B1"/>
    <w:rsid w:val="00094CCD"/>
    <w:rsid w:val="00095AED"/>
    <w:rsid w:val="000A3A46"/>
    <w:rsid w:val="000A4101"/>
    <w:rsid w:val="000A42B3"/>
    <w:rsid w:val="000B2FF4"/>
    <w:rsid w:val="000B3A8C"/>
    <w:rsid w:val="000D2667"/>
    <w:rsid w:val="000D29AB"/>
    <w:rsid w:val="000D38E7"/>
    <w:rsid w:val="000E5D3B"/>
    <w:rsid w:val="000F3A8D"/>
    <w:rsid w:val="000F5107"/>
    <w:rsid w:val="001040EE"/>
    <w:rsid w:val="0011586F"/>
    <w:rsid w:val="00136628"/>
    <w:rsid w:val="0014055B"/>
    <w:rsid w:val="0014168D"/>
    <w:rsid w:val="00144B74"/>
    <w:rsid w:val="001465EB"/>
    <w:rsid w:val="00147392"/>
    <w:rsid w:val="001479CF"/>
    <w:rsid w:val="00167559"/>
    <w:rsid w:val="001742CF"/>
    <w:rsid w:val="001878A3"/>
    <w:rsid w:val="00190824"/>
    <w:rsid w:val="00197DDE"/>
    <w:rsid w:val="001A60A8"/>
    <w:rsid w:val="001A7904"/>
    <w:rsid w:val="001A7F69"/>
    <w:rsid w:val="001B0B47"/>
    <w:rsid w:val="001B54B7"/>
    <w:rsid w:val="001C1749"/>
    <w:rsid w:val="001C1C64"/>
    <w:rsid w:val="001C4806"/>
    <w:rsid w:val="001D1932"/>
    <w:rsid w:val="001D45D9"/>
    <w:rsid w:val="001E7CE8"/>
    <w:rsid w:val="001F65F1"/>
    <w:rsid w:val="00215377"/>
    <w:rsid w:val="0023376B"/>
    <w:rsid w:val="00235745"/>
    <w:rsid w:val="00242350"/>
    <w:rsid w:val="0024568F"/>
    <w:rsid w:val="0024714A"/>
    <w:rsid w:val="002475F7"/>
    <w:rsid w:val="00251E94"/>
    <w:rsid w:val="00257086"/>
    <w:rsid w:val="0026240E"/>
    <w:rsid w:val="00271546"/>
    <w:rsid w:val="00272F0C"/>
    <w:rsid w:val="002768AF"/>
    <w:rsid w:val="002859BA"/>
    <w:rsid w:val="00292AFD"/>
    <w:rsid w:val="00293279"/>
    <w:rsid w:val="00293E88"/>
    <w:rsid w:val="002A0283"/>
    <w:rsid w:val="002A2EA1"/>
    <w:rsid w:val="002A4C68"/>
    <w:rsid w:val="002B0CF3"/>
    <w:rsid w:val="002C718C"/>
    <w:rsid w:val="002D04BE"/>
    <w:rsid w:val="002D1564"/>
    <w:rsid w:val="002D4A27"/>
    <w:rsid w:val="002D6A8D"/>
    <w:rsid w:val="002E0546"/>
    <w:rsid w:val="002E3B7C"/>
    <w:rsid w:val="002E48BF"/>
    <w:rsid w:val="002E7A84"/>
    <w:rsid w:val="002F2609"/>
    <w:rsid w:val="002F28C1"/>
    <w:rsid w:val="002F7AB3"/>
    <w:rsid w:val="00301D09"/>
    <w:rsid w:val="00302E1E"/>
    <w:rsid w:val="00306F2C"/>
    <w:rsid w:val="003100DF"/>
    <w:rsid w:val="003104A2"/>
    <w:rsid w:val="003208F7"/>
    <w:rsid w:val="0032133D"/>
    <w:rsid w:val="0032140D"/>
    <w:rsid w:val="00327B44"/>
    <w:rsid w:val="00334EAB"/>
    <w:rsid w:val="00350392"/>
    <w:rsid w:val="0035055A"/>
    <w:rsid w:val="00350EB4"/>
    <w:rsid w:val="00351DA2"/>
    <w:rsid w:val="00361ABC"/>
    <w:rsid w:val="00364E9C"/>
    <w:rsid w:val="00365BCF"/>
    <w:rsid w:val="00375BA4"/>
    <w:rsid w:val="00381BC8"/>
    <w:rsid w:val="003823BA"/>
    <w:rsid w:val="00384980"/>
    <w:rsid w:val="00385211"/>
    <w:rsid w:val="00385244"/>
    <w:rsid w:val="00392078"/>
    <w:rsid w:val="0039251B"/>
    <w:rsid w:val="003B0056"/>
    <w:rsid w:val="003B089C"/>
    <w:rsid w:val="003B199C"/>
    <w:rsid w:val="003B325F"/>
    <w:rsid w:val="003C01C3"/>
    <w:rsid w:val="003D1716"/>
    <w:rsid w:val="003D2801"/>
    <w:rsid w:val="003D438B"/>
    <w:rsid w:val="003D7CF9"/>
    <w:rsid w:val="003E08FC"/>
    <w:rsid w:val="003E5B82"/>
    <w:rsid w:val="003F157A"/>
    <w:rsid w:val="003F1590"/>
    <w:rsid w:val="003F7744"/>
    <w:rsid w:val="00401B92"/>
    <w:rsid w:val="00404E3B"/>
    <w:rsid w:val="0041155C"/>
    <w:rsid w:val="0041362F"/>
    <w:rsid w:val="00415B87"/>
    <w:rsid w:val="0041665B"/>
    <w:rsid w:val="00416E34"/>
    <w:rsid w:val="00417CF1"/>
    <w:rsid w:val="00420BD5"/>
    <w:rsid w:val="0042147C"/>
    <w:rsid w:val="00422253"/>
    <w:rsid w:val="004257C4"/>
    <w:rsid w:val="00432D78"/>
    <w:rsid w:val="004442FF"/>
    <w:rsid w:val="00450975"/>
    <w:rsid w:val="004515AC"/>
    <w:rsid w:val="00452945"/>
    <w:rsid w:val="004575A1"/>
    <w:rsid w:val="004623A5"/>
    <w:rsid w:val="004667C3"/>
    <w:rsid w:val="00467AE1"/>
    <w:rsid w:val="00471AC3"/>
    <w:rsid w:val="00471C07"/>
    <w:rsid w:val="00477EF6"/>
    <w:rsid w:val="004806E4"/>
    <w:rsid w:val="0048087D"/>
    <w:rsid w:val="00483DA5"/>
    <w:rsid w:val="00483F85"/>
    <w:rsid w:val="0048765A"/>
    <w:rsid w:val="0048785B"/>
    <w:rsid w:val="00487F53"/>
    <w:rsid w:val="00494FB8"/>
    <w:rsid w:val="004954F0"/>
    <w:rsid w:val="00497F4F"/>
    <w:rsid w:val="004B1ABE"/>
    <w:rsid w:val="004C5B3F"/>
    <w:rsid w:val="004C7258"/>
    <w:rsid w:val="004C7D97"/>
    <w:rsid w:val="004D2E74"/>
    <w:rsid w:val="004E1F98"/>
    <w:rsid w:val="004F1629"/>
    <w:rsid w:val="004F549F"/>
    <w:rsid w:val="005007B2"/>
    <w:rsid w:val="00500CA1"/>
    <w:rsid w:val="005106EF"/>
    <w:rsid w:val="00517807"/>
    <w:rsid w:val="00531592"/>
    <w:rsid w:val="0053271E"/>
    <w:rsid w:val="005362A0"/>
    <w:rsid w:val="00536A49"/>
    <w:rsid w:val="0054177B"/>
    <w:rsid w:val="00542D74"/>
    <w:rsid w:val="00543BAB"/>
    <w:rsid w:val="00553B90"/>
    <w:rsid w:val="005573C0"/>
    <w:rsid w:val="00570163"/>
    <w:rsid w:val="00570DA6"/>
    <w:rsid w:val="0058400B"/>
    <w:rsid w:val="00586A2C"/>
    <w:rsid w:val="00587073"/>
    <w:rsid w:val="00590DBB"/>
    <w:rsid w:val="005963D9"/>
    <w:rsid w:val="005A22CC"/>
    <w:rsid w:val="005A279A"/>
    <w:rsid w:val="005B2E74"/>
    <w:rsid w:val="005C0D86"/>
    <w:rsid w:val="005C7298"/>
    <w:rsid w:val="005E0609"/>
    <w:rsid w:val="005E1D19"/>
    <w:rsid w:val="005E4459"/>
    <w:rsid w:val="005F508C"/>
    <w:rsid w:val="005F7749"/>
    <w:rsid w:val="0060324D"/>
    <w:rsid w:val="006045F8"/>
    <w:rsid w:val="0061505D"/>
    <w:rsid w:val="006169EA"/>
    <w:rsid w:val="0062481F"/>
    <w:rsid w:val="00636216"/>
    <w:rsid w:val="00636929"/>
    <w:rsid w:val="0064004B"/>
    <w:rsid w:val="006401D6"/>
    <w:rsid w:val="00663695"/>
    <w:rsid w:val="006758EE"/>
    <w:rsid w:val="00687D30"/>
    <w:rsid w:val="0069182E"/>
    <w:rsid w:val="00693C8C"/>
    <w:rsid w:val="0069507D"/>
    <w:rsid w:val="006A1514"/>
    <w:rsid w:val="006B5B51"/>
    <w:rsid w:val="006B7D57"/>
    <w:rsid w:val="006C04D7"/>
    <w:rsid w:val="006C258B"/>
    <w:rsid w:val="006C263F"/>
    <w:rsid w:val="006D76FC"/>
    <w:rsid w:val="006E0844"/>
    <w:rsid w:val="006E1711"/>
    <w:rsid w:val="006F3CB7"/>
    <w:rsid w:val="00702684"/>
    <w:rsid w:val="0070307E"/>
    <w:rsid w:val="0071364A"/>
    <w:rsid w:val="007217AA"/>
    <w:rsid w:val="00721A91"/>
    <w:rsid w:val="00725F99"/>
    <w:rsid w:val="00726EBF"/>
    <w:rsid w:val="00727200"/>
    <w:rsid w:val="007358C6"/>
    <w:rsid w:val="00736552"/>
    <w:rsid w:val="0074056C"/>
    <w:rsid w:val="0074238F"/>
    <w:rsid w:val="007457A0"/>
    <w:rsid w:val="00755F8F"/>
    <w:rsid w:val="007601B6"/>
    <w:rsid w:val="0076198C"/>
    <w:rsid w:val="00762236"/>
    <w:rsid w:val="0076516C"/>
    <w:rsid w:val="00777113"/>
    <w:rsid w:val="00780DC6"/>
    <w:rsid w:val="00786E10"/>
    <w:rsid w:val="00797E53"/>
    <w:rsid w:val="007A2870"/>
    <w:rsid w:val="007A7B2E"/>
    <w:rsid w:val="007B26A0"/>
    <w:rsid w:val="007B7315"/>
    <w:rsid w:val="007B74B1"/>
    <w:rsid w:val="007C6FE2"/>
    <w:rsid w:val="007C7CF5"/>
    <w:rsid w:val="007D175C"/>
    <w:rsid w:val="007D3FB1"/>
    <w:rsid w:val="007D49A3"/>
    <w:rsid w:val="007D6D31"/>
    <w:rsid w:val="007E0C68"/>
    <w:rsid w:val="007F06C4"/>
    <w:rsid w:val="007F7704"/>
    <w:rsid w:val="007F7AE6"/>
    <w:rsid w:val="00800573"/>
    <w:rsid w:val="0080099B"/>
    <w:rsid w:val="0080322C"/>
    <w:rsid w:val="00816068"/>
    <w:rsid w:val="00827A6F"/>
    <w:rsid w:val="00833D7F"/>
    <w:rsid w:val="00843C09"/>
    <w:rsid w:val="00847A52"/>
    <w:rsid w:val="00855495"/>
    <w:rsid w:val="00856F84"/>
    <w:rsid w:val="00862008"/>
    <w:rsid w:val="00865275"/>
    <w:rsid w:val="008661EF"/>
    <w:rsid w:val="00870310"/>
    <w:rsid w:val="00873E34"/>
    <w:rsid w:val="00874642"/>
    <w:rsid w:val="00874747"/>
    <w:rsid w:val="00877FCA"/>
    <w:rsid w:val="00880713"/>
    <w:rsid w:val="008832FD"/>
    <w:rsid w:val="0088390F"/>
    <w:rsid w:val="0089068D"/>
    <w:rsid w:val="00891482"/>
    <w:rsid w:val="008A02C5"/>
    <w:rsid w:val="008A52C4"/>
    <w:rsid w:val="008A710D"/>
    <w:rsid w:val="008B1FD3"/>
    <w:rsid w:val="008B3A92"/>
    <w:rsid w:val="008B53A4"/>
    <w:rsid w:val="008C28B3"/>
    <w:rsid w:val="008C58DC"/>
    <w:rsid w:val="008D7582"/>
    <w:rsid w:val="008E2BCE"/>
    <w:rsid w:val="008E2E81"/>
    <w:rsid w:val="008E36B5"/>
    <w:rsid w:val="008E7CB3"/>
    <w:rsid w:val="008F1A40"/>
    <w:rsid w:val="008F3930"/>
    <w:rsid w:val="008F3E52"/>
    <w:rsid w:val="008F609A"/>
    <w:rsid w:val="008F65AF"/>
    <w:rsid w:val="008F7A97"/>
    <w:rsid w:val="009041C6"/>
    <w:rsid w:val="00913C66"/>
    <w:rsid w:val="009156B6"/>
    <w:rsid w:val="00920CF7"/>
    <w:rsid w:val="00925E83"/>
    <w:rsid w:val="00927FEB"/>
    <w:rsid w:val="0093028A"/>
    <w:rsid w:val="00934A7A"/>
    <w:rsid w:val="0095529E"/>
    <w:rsid w:val="00961885"/>
    <w:rsid w:val="00967208"/>
    <w:rsid w:val="00967F28"/>
    <w:rsid w:val="00977F6C"/>
    <w:rsid w:val="009966BD"/>
    <w:rsid w:val="009A3A64"/>
    <w:rsid w:val="009B4E62"/>
    <w:rsid w:val="009D1668"/>
    <w:rsid w:val="009D3B99"/>
    <w:rsid w:val="009D709E"/>
    <w:rsid w:val="009E2737"/>
    <w:rsid w:val="009F1019"/>
    <w:rsid w:val="009F1BBD"/>
    <w:rsid w:val="009F2DB8"/>
    <w:rsid w:val="009F3FA6"/>
    <w:rsid w:val="00A00449"/>
    <w:rsid w:val="00A01C9E"/>
    <w:rsid w:val="00A05B03"/>
    <w:rsid w:val="00A06775"/>
    <w:rsid w:val="00A13A95"/>
    <w:rsid w:val="00A20482"/>
    <w:rsid w:val="00A243A0"/>
    <w:rsid w:val="00A26F6D"/>
    <w:rsid w:val="00A46069"/>
    <w:rsid w:val="00A5114F"/>
    <w:rsid w:val="00A565A6"/>
    <w:rsid w:val="00A56723"/>
    <w:rsid w:val="00A67E1F"/>
    <w:rsid w:val="00A71534"/>
    <w:rsid w:val="00A760BE"/>
    <w:rsid w:val="00A77435"/>
    <w:rsid w:val="00A81B8B"/>
    <w:rsid w:val="00A84051"/>
    <w:rsid w:val="00A91EBC"/>
    <w:rsid w:val="00AA0C08"/>
    <w:rsid w:val="00AA0DB8"/>
    <w:rsid w:val="00AA16F4"/>
    <w:rsid w:val="00AA4AF3"/>
    <w:rsid w:val="00AA52FD"/>
    <w:rsid w:val="00AB3A39"/>
    <w:rsid w:val="00AC12E3"/>
    <w:rsid w:val="00AC1FAE"/>
    <w:rsid w:val="00AC5367"/>
    <w:rsid w:val="00AC6FD2"/>
    <w:rsid w:val="00AD10D7"/>
    <w:rsid w:val="00AE0A01"/>
    <w:rsid w:val="00AE68A8"/>
    <w:rsid w:val="00AF357C"/>
    <w:rsid w:val="00AF5FC2"/>
    <w:rsid w:val="00B00427"/>
    <w:rsid w:val="00B01A7C"/>
    <w:rsid w:val="00B05D5B"/>
    <w:rsid w:val="00B10A58"/>
    <w:rsid w:val="00B1282E"/>
    <w:rsid w:val="00B37B93"/>
    <w:rsid w:val="00B37F06"/>
    <w:rsid w:val="00B41372"/>
    <w:rsid w:val="00B54C65"/>
    <w:rsid w:val="00B6385B"/>
    <w:rsid w:val="00B63D5E"/>
    <w:rsid w:val="00B6699D"/>
    <w:rsid w:val="00B70524"/>
    <w:rsid w:val="00B70B78"/>
    <w:rsid w:val="00B80941"/>
    <w:rsid w:val="00B81A3C"/>
    <w:rsid w:val="00B84E1D"/>
    <w:rsid w:val="00B900AA"/>
    <w:rsid w:val="00BA72B3"/>
    <w:rsid w:val="00BA7BB1"/>
    <w:rsid w:val="00BB0027"/>
    <w:rsid w:val="00BB2897"/>
    <w:rsid w:val="00BB332C"/>
    <w:rsid w:val="00BB62EF"/>
    <w:rsid w:val="00BC7F5E"/>
    <w:rsid w:val="00BD02A4"/>
    <w:rsid w:val="00BD04C7"/>
    <w:rsid w:val="00BE0F1F"/>
    <w:rsid w:val="00BE6CAE"/>
    <w:rsid w:val="00BE733B"/>
    <w:rsid w:val="00BF2D06"/>
    <w:rsid w:val="00BF3BCF"/>
    <w:rsid w:val="00C15D8E"/>
    <w:rsid w:val="00C276A0"/>
    <w:rsid w:val="00C3014F"/>
    <w:rsid w:val="00C3405D"/>
    <w:rsid w:val="00C3655F"/>
    <w:rsid w:val="00C36597"/>
    <w:rsid w:val="00C43BC5"/>
    <w:rsid w:val="00C47195"/>
    <w:rsid w:val="00C504F3"/>
    <w:rsid w:val="00C60228"/>
    <w:rsid w:val="00C701CE"/>
    <w:rsid w:val="00C70DED"/>
    <w:rsid w:val="00C83DC5"/>
    <w:rsid w:val="00C910DA"/>
    <w:rsid w:val="00C91F20"/>
    <w:rsid w:val="00CA25E5"/>
    <w:rsid w:val="00CA4C07"/>
    <w:rsid w:val="00CA72FF"/>
    <w:rsid w:val="00CB4728"/>
    <w:rsid w:val="00CB5927"/>
    <w:rsid w:val="00CB5ABA"/>
    <w:rsid w:val="00CC0C92"/>
    <w:rsid w:val="00CC1B3C"/>
    <w:rsid w:val="00CC78A9"/>
    <w:rsid w:val="00CD4EDA"/>
    <w:rsid w:val="00CD5E66"/>
    <w:rsid w:val="00CD6820"/>
    <w:rsid w:val="00CE1C96"/>
    <w:rsid w:val="00CE29C2"/>
    <w:rsid w:val="00CF0A34"/>
    <w:rsid w:val="00CF6752"/>
    <w:rsid w:val="00D00491"/>
    <w:rsid w:val="00D02285"/>
    <w:rsid w:val="00D122F9"/>
    <w:rsid w:val="00D149BB"/>
    <w:rsid w:val="00D167C7"/>
    <w:rsid w:val="00D315ED"/>
    <w:rsid w:val="00D3505D"/>
    <w:rsid w:val="00D44F27"/>
    <w:rsid w:val="00D477BF"/>
    <w:rsid w:val="00D51C0B"/>
    <w:rsid w:val="00D62AFE"/>
    <w:rsid w:val="00D73FC2"/>
    <w:rsid w:val="00D833B7"/>
    <w:rsid w:val="00DB441F"/>
    <w:rsid w:val="00DB4B74"/>
    <w:rsid w:val="00DC1BC3"/>
    <w:rsid w:val="00DC49AC"/>
    <w:rsid w:val="00DC5814"/>
    <w:rsid w:val="00DC6343"/>
    <w:rsid w:val="00DC77BC"/>
    <w:rsid w:val="00DE1B5E"/>
    <w:rsid w:val="00DE2EDD"/>
    <w:rsid w:val="00DE760B"/>
    <w:rsid w:val="00DF4560"/>
    <w:rsid w:val="00DF5004"/>
    <w:rsid w:val="00DF51F9"/>
    <w:rsid w:val="00DF65CC"/>
    <w:rsid w:val="00DF7E9C"/>
    <w:rsid w:val="00E16DC0"/>
    <w:rsid w:val="00E2284C"/>
    <w:rsid w:val="00E233A5"/>
    <w:rsid w:val="00E31693"/>
    <w:rsid w:val="00E3651A"/>
    <w:rsid w:val="00E37210"/>
    <w:rsid w:val="00E42C36"/>
    <w:rsid w:val="00E520F0"/>
    <w:rsid w:val="00E5339D"/>
    <w:rsid w:val="00E57C05"/>
    <w:rsid w:val="00E7221F"/>
    <w:rsid w:val="00E72BEC"/>
    <w:rsid w:val="00E73527"/>
    <w:rsid w:val="00E74D19"/>
    <w:rsid w:val="00E93884"/>
    <w:rsid w:val="00EA6B77"/>
    <w:rsid w:val="00EB1FD4"/>
    <w:rsid w:val="00EB6C0F"/>
    <w:rsid w:val="00EC3D87"/>
    <w:rsid w:val="00ED6196"/>
    <w:rsid w:val="00ED6D86"/>
    <w:rsid w:val="00EE223D"/>
    <w:rsid w:val="00EE5DE0"/>
    <w:rsid w:val="00EE6140"/>
    <w:rsid w:val="00EF1F51"/>
    <w:rsid w:val="00EF6994"/>
    <w:rsid w:val="00F00F66"/>
    <w:rsid w:val="00F019B2"/>
    <w:rsid w:val="00F0270F"/>
    <w:rsid w:val="00F06FBB"/>
    <w:rsid w:val="00F10A94"/>
    <w:rsid w:val="00F15A81"/>
    <w:rsid w:val="00F2479E"/>
    <w:rsid w:val="00F27EC2"/>
    <w:rsid w:val="00F33FA4"/>
    <w:rsid w:val="00F34B1D"/>
    <w:rsid w:val="00F40465"/>
    <w:rsid w:val="00F40F1C"/>
    <w:rsid w:val="00F413D8"/>
    <w:rsid w:val="00F52465"/>
    <w:rsid w:val="00F607DF"/>
    <w:rsid w:val="00F70F71"/>
    <w:rsid w:val="00F71AFC"/>
    <w:rsid w:val="00F76EC2"/>
    <w:rsid w:val="00F8000F"/>
    <w:rsid w:val="00F81BEA"/>
    <w:rsid w:val="00F85208"/>
    <w:rsid w:val="00F94747"/>
    <w:rsid w:val="00FA3790"/>
    <w:rsid w:val="00FB0E98"/>
    <w:rsid w:val="00FC1628"/>
    <w:rsid w:val="00FC265D"/>
    <w:rsid w:val="00FC49A1"/>
    <w:rsid w:val="00FC583D"/>
    <w:rsid w:val="00FC61F6"/>
    <w:rsid w:val="00FD21C2"/>
    <w:rsid w:val="00FE1BB4"/>
    <w:rsid w:val="00FF0397"/>
    <w:rsid w:val="00FF05B3"/>
    <w:rsid w:val="00FF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6D6F"/>
  <w15:chartTrackingRefBased/>
  <w15:docId w15:val="{2C7EAA69-5363-4EDF-A239-59DB8216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77B"/>
    <w:rPr>
      <w:rFonts w:eastAsiaTheme="majorEastAsia" w:cstheme="majorBidi"/>
      <w:color w:val="272727" w:themeColor="text1" w:themeTint="D8"/>
    </w:rPr>
  </w:style>
  <w:style w:type="paragraph" w:styleId="Title">
    <w:name w:val="Title"/>
    <w:basedOn w:val="Normal"/>
    <w:next w:val="Normal"/>
    <w:link w:val="TitleChar"/>
    <w:uiPriority w:val="10"/>
    <w:qFormat/>
    <w:rsid w:val="00541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77B"/>
    <w:pPr>
      <w:spacing w:before="160"/>
      <w:jc w:val="center"/>
    </w:pPr>
    <w:rPr>
      <w:i/>
      <w:iCs/>
      <w:color w:val="404040" w:themeColor="text1" w:themeTint="BF"/>
    </w:rPr>
  </w:style>
  <w:style w:type="character" w:customStyle="1" w:styleId="QuoteChar">
    <w:name w:val="Quote Char"/>
    <w:basedOn w:val="DefaultParagraphFont"/>
    <w:link w:val="Quote"/>
    <w:uiPriority w:val="29"/>
    <w:rsid w:val="0054177B"/>
    <w:rPr>
      <w:i/>
      <w:iCs/>
      <w:color w:val="404040" w:themeColor="text1" w:themeTint="BF"/>
    </w:rPr>
  </w:style>
  <w:style w:type="paragraph" w:styleId="ListParagraph">
    <w:name w:val="List Paragraph"/>
    <w:basedOn w:val="Normal"/>
    <w:uiPriority w:val="34"/>
    <w:qFormat/>
    <w:rsid w:val="0054177B"/>
    <w:pPr>
      <w:ind w:left="720"/>
      <w:contextualSpacing/>
    </w:pPr>
  </w:style>
  <w:style w:type="character" w:styleId="IntenseEmphasis">
    <w:name w:val="Intense Emphasis"/>
    <w:basedOn w:val="DefaultParagraphFont"/>
    <w:uiPriority w:val="21"/>
    <w:qFormat/>
    <w:rsid w:val="0054177B"/>
    <w:rPr>
      <w:i/>
      <w:iCs/>
      <w:color w:val="0F4761" w:themeColor="accent1" w:themeShade="BF"/>
    </w:rPr>
  </w:style>
  <w:style w:type="paragraph" w:styleId="IntenseQuote">
    <w:name w:val="Intense Quote"/>
    <w:basedOn w:val="Normal"/>
    <w:next w:val="Normal"/>
    <w:link w:val="IntenseQuoteChar"/>
    <w:uiPriority w:val="30"/>
    <w:qFormat/>
    <w:rsid w:val="00541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77B"/>
    <w:rPr>
      <w:i/>
      <w:iCs/>
      <w:color w:val="0F4761" w:themeColor="accent1" w:themeShade="BF"/>
    </w:rPr>
  </w:style>
  <w:style w:type="character" w:styleId="IntenseReference">
    <w:name w:val="Intense Reference"/>
    <w:basedOn w:val="DefaultParagraphFont"/>
    <w:uiPriority w:val="32"/>
    <w:qFormat/>
    <w:rsid w:val="0054177B"/>
    <w:rPr>
      <w:b/>
      <w:bCs/>
      <w:smallCaps/>
      <w:color w:val="0F4761" w:themeColor="accent1" w:themeShade="BF"/>
      <w:spacing w:val="5"/>
    </w:rPr>
  </w:style>
  <w:style w:type="table" w:styleId="TableGrid">
    <w:name w:val="Table Grid"/>
    <w:basedOn w:val="TableNormal"/>
    <w:uiPriority w:val="39"/>
    <w:rsid w:val="0076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6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A2C"/>
  </w:style>
  <w:style w:type="paragraph" w:styleId="Footer">
    <w:name w:val="footer"/>
    <w:basedOn w:val="Normal"/>
    <w:link w:val="FooterChar"/>
    <w:uiPriority w:val="99"/>
    <w:unhideWhenUsed/>
    <w:rsid w:val="00586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A2C"/>
  </w:style>
  <w:style w:type="character" w:styleId="LineNumber">
    <w:name w:val="line number"/>
    <w:basedOn w:val="DefaultParagraphFont"/>
    <w:uiPriority w:val="99"/>
    <w:semiHidden/>
    <w:unhideWhenUsed/>
    <w:rsid w:val="00DF7E9C"/>
  </w:style>
  <w:style w:type="character" w:styleId="Hyperlink">
    <w:name w:val="Hyperlink"/>
    <w:basedOn w:val="DefaultParagraphFont"/>
    <w:uiPriority w:val="99"/>
    <w:unhideWhenUsed/>
    <w:rsid w:val="00B63D5E"/>
    <w:rPr>
      <w:color w:val="467886" w:themeColor="hyperlink"/>
      <w:u w:val="single"/>
    </w:rPr>
  </w:style>
  <w:style w:type="character" w:styleId="UnresolvedMention">
    <w:name w:val="Unresolved Mention"/>
    <w:basedOn w:val="DefaultParagraphFont"/>
    <w:uiPriority w:val="99"/>
    <w:semiHidden/>
    <w:unhideWhenUsed/>
    <w:rsid w:val="00B63D5E"/>
    <w:rPr>
      <w:color w:val="605E5C"/>
      <w:shd w:val="clear" w:color="auto" w:fill="E1DFDD"/>
    </w:rPr>
  </w:style>
  <w:style w:type="paragraph" w:styleId="NormalWeb">
    <w:name w:val="Normal (Web)"/>
    <w:basedOn w:val="Normal"/>
    <w:uiPriority w:val="99"/>
    <w:semiHidden/>
    <w:unhideWhenUsed/>
    <w:rsid w:val="00BB2897"/>
    <w:rPr>
      <w:rFonts w:ascii="Times New Roman" w:hAnsi="Times New Roman" w:cs="Times New Roman"/>
    </w:rPr>
  </w:style>
  <w:style w:type="character" w:styleId="Emphasis">
    <w:name w:val="Emphasis"/>
    <w:basedOn w:val="DefaultParagraphFont"/>
    <w:uiPriority w:val="20"/>
    <w:qFormat/>
    <w:rsid w:val="004F549F"/>
    <w:rPr>
      <w:i/>
      <w:iCs/>
    </w:rPr>
  </w:style>
  <w:style w:type="paragraph" w:customStyle="1" w:styleId="pdq2pgselectionanchorcontainer">
    <w:name w:val="pdq2pg_selectionanchorcontainer"/>
    <w:basedOn w:val="Normal"/>
    <w:rsid w:val="004F549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7763">
      <w:bodyDiv w:val="1"/>
      <w:marLeft w:val="0"/>
      <w:marRight w:val="0"/>
      <w:marTop w:val="0"/>
      <w:marBottom w:val="0"/>
      <w:divBdr>
        <w:top w:val="none" w:sz="0" w:space="0" w:color="auto"/>
        <w:left w:val="none" w:sz="0" w:space="0" w:color="auto"/>
        <w:bottom w:val="none" w:sz="0" w:space="0" w:color="auto"/>
        <w:right w:val="none" w:sz="0" w:space="0" w:color="auto"/>
      </w:divBdr>
    </w:div>
    <w:div w:id="237905635">
      <w:bodyDiv w:val="1"/>
      <w:marLeft w:val="0"/>
      <w:marRight w:val="0"/>
      <w:marTop w:val="0"/>
      <w:marBottom w:val="0"/>
      <w:divBdr>
        <w:top w:val="none" w:sz="0" w:space="0" w:color="auto"/>
        <w:left w:val="none" w:sz="0" w:space="0" w:color="auto"/>
        <w:bottom w:val="none" w:sz="0" w:space="0" w:color="auto"/>
        <w:right w:val="none" w:sz="0" w:space="0" w:color="auto"/>
      </w:divBdr>
    </w:div>
    <w:div w:id="583296546">
      <w:bodyDiv w:val="1"/>
      <w:marLeft w:val="0"/>
      <w:marRight w:val="0"/>
      <w:marTop w:val="0"/>
      <w:marBottom w:val="0"/>
      <w:divBdr>
        <w:top w:val="none" w:sz="0" w:space="0" w:color="auto"/>
        <w:left w:val="none" w:sz="0" w:space="0" w:color="auto"/>
        <w:bottom w:val="none" w:sz="0" w:space="0" w:color="auto"/>
        <w:right w:val="none" w:sz="0" w:space="0" w:color="auto"/>
      </w:divBdr>
    </w:div>
    <w:div w:id="606277029">
      <w:bodyDiv w:val="1"/>
      <w:marLeft w:val="0"/>
      <w:marRight w:val="0"/>
      <w:marTop w:val="0"/>
      <w:marBottom w:val="0"/>
      <w:divBdr>
        <w:top w:val="none" w:sz="0" w:space="0" w:color="auto"/>
        <w:left w:val="none" w:sz="0" w:space="0" w:color="auto"/>
        <w:bottom w:val="none" w:sz="0" w:space="0" w:color="auto"/>
        <w:right w:val="none" w:sz="0" w:space="0" w:color="auto"/>
      </w:divBdr>
    </w:div>
    <w:div w:id="806896716">
      <w:bodyDiv w:val="1"/>
      <w:marLeft w:val="0"/>
      <w:marRight w:val="0"/>
      <w:marTop w:val="0"/>
      <w:marBottom w:val="0"/>
      <w:divBdr>
        <w:top w:val="none" w:sz="0" w:space="0" w:color="auto"/>
        <w:left w:val="none" w:sz="0" w:space="0" w:color="auto"/>
        <w:bottom w:val="none" w:sz="0" w:space="0" w:color="auto"/>
        <w:right w:val="none" w:sz="0" w:space="0" w:color="auto"/>
      </w:divBdr>
    </w:div>
    <w:div w:id="900483395">
      <w:bodyDiv w:val="1"/>
      <w:marLeft w:val="0"/>
      <w:marRight w:val="0"/>
      <w:marTop w:val="0"/>
      <w:marBottom w:val="0"/>
      <w:divBdr>
        <w:top w:val="none" w:sz="0" w:space="0" w:color="auto"/>
        <w:left w:val="none" w:sz="0" w:space="0" w:color="auto"/>
        <w:bottom w:val="none" w:sz="0" w:space="0" w:color="auto"/>
        <w:right w:val="none" w:sz="0" w:space="0" w:color="auto"/>
      </w:divBdr>
    </w:div>
    <w:div w:id="1027487863">
      <w:bodyDiv w:val="1"/>
      <w:marLeft w:val="0"/>
      <w:marRight w:val="0"/>
      <w:marTop w:val="0"/>
      <w:marBottom w:val="0"/>
      <w:divBdr>
        <w:top w:val="none" w:sz="0" w:space="0" w:color="auto"/>
        <w:left w:val="none" w:sz="0" w:space="0" w:color="auto"/>
        <w:bottom w:val="none" w:sz="0" w:space="0" w:color="auto"/>
        <w:right w:val="none" w:sz="0" w:space="0" w:color="auto"/>
      </w:divBdr>
    </w:div>
    <w:div w:id="1112282575">
      <w:bodyDiv w:val="1"/>
      <w:marLeft w:val="0"/>
      <w:marRight w:val="0"/>
      <w:marTop w:val="0"/>
      <w:marBottom w:val="0"/>
      <w:divBdr>
        <w:top w:val="none" w:sz="0" w:space="0" w:color="auto"/>
        <w:left w:val="none" w:sz="0" w:space="0" w:color="auto"/>
        <w:bottom w:val="none" w:sz="0" w:space="0" w:color="auto"/>
        <w:right w:val="none" w:sz="0" w:space="0" w:color="auto"/>
      </w:divBdr>
    </w:div>
    <w:div w:id="1301031885">
      <w:bodyDiv w:val="1"/>
      <w:marLeft w:val="0"/>
      <w:marRight w:val="0"/>
      <w:marTop w:val="0"/>
      <w:marBottom w:val="0"/>
      <w:divBdr>
        <w:top w:val="none" w:sz="0" w:space="0" w:color="auto"/>
        <w:left w:val="none" w:sz="0" w:space="0" w:color="auto"/>
        <w:bottom w:val="none" w:sz="0" w:space="0" w:color="auto"/>
        <w:right w:val="none" w:sz="0" w:space="0" w:color="auto"/>
      </w:divBdr>
    </w:div>
    <w:div w:id="1374381230">
      <w:bodyDiv w:val="1"/>
      <w:marLeft w:val="0"/>
      <w:marRight w:val="0"/>
      <w:marTop w:val="0"/>
      <w:marBottom w:val="0"/>
      <w:divBdr>
        <w:top w:val="none" w:sz="0" w:space="0" w:color="auto"/>
        <w:left w:val="none" w:sz="0" w:space="0" w:color="auto"/>
        <w:bottom w:val="none" w:sz="0" w:space="0" w:color="auto"/>
        <w:right w:val="none" w:sz="0" w:space="0" w:color="auto"/>
      </w:divBdr>
    </w:div>
    <w:div w:id="1479422697">
      <w:bodyDiv w:val="1"/>
      <w:marLeft w:val="0"/>
      <w:marRight w:val="0"/>
      <w:marTop w:val="0"/>
      <w:marBottom w:val="0"/>
      <w:divBdr>
        <w:top w:val="none" w:sz="0" w:space="0" w:color="auto"/>
        <w:left w:val="none" w:sz="0" w:space="0" w:color="auto"/>
        <w:bottom w:val="none" w:sz="0" w:space="0" w:color="auto"/>
        <w:right w:val="none" w:sz="0" w:space="0" w:color="auto"/>
      </w:divBdr>
    </w:div>
    <w:div w:id="1549687208">
      <w:bodyDiv w:val="1"/>
      <w:marLeft w:val="0"/>
      <w:marRight w:val="0"/>
      <w:marTop w:val="0"/>
      <w:marBottom w:val="0"/>
      <w:divBdr>
        <w:top w:val="none" w:sz="0" w:space="0" w:color="auto"/>
        <w:left w:val="none" w:sz="0" w:space="0" w:color="auto"/>
        <w:bottom w:val="none" w:sz="0" w:space="0" w:color="auto"/>
        <w:right w:val="none" w:sz="0" w:space="0" w:color="auto"/>
      </w:divBdr>
    </w:div>
    <w:div w:id="1661077988">
      <w:bodyDiv w:val="1"/>
      <w:marLeft w:val="0"/>
      <w:marRight w:val="0"/>
      <w:marTop w:val="0"/>
      <w:marBottom w:val="0"/>
      <w:divBdr>
        <w:top w:val="none" w:sz="0" w:space="0" w:color="auto"/>
        <w:left w:val="none" w:sz="0" w:space="0" w:color="auto"/>
        <w:bottom w:val="none" w:sz="0" w:space="0" w:color="auto"/>
        <w:right w:val="none" w:sz="0" w:space="0" w:color="auto"/>
      </w:divBdr>
    </w:div>
    <w:div w:id="1833446419">
      <w:bodyDiv w:val="1"/>
      <w:marLeft w:val="0"/>
      <w:marRight w:val="0"/>
      <w:marTop w:val="0"/>
      <w:marBottom w:val="0"/>
      <w:divBdr>
        <w:top w:val="none" w:sz="0" w:space="0" w:color="auto"/>
        <w:left w:val="none" w:sz="0" w:space="0" w:color="auto"/>
        <w:bottom w:val="none" w:sz="0" w:space="0" w:color="auto"/>
        <w:right w:val="none" w:sz="0" w:space="0" w:color="auto"/>
      </w:divBdr>
    </w:div>
    <w:div w:id="1857385198">
      <w:bodyDiv w:val="1"/>
      <w:marLeft w:val="0"/>
      <w:marRight w:val="0"/>
      <w:marTop w:val="0"/>
      <w:marBottom w:val="0"/>
      <w:divBdr>
        <w:top w:val="none" w:sz="0" w:space="0" w:color="auto"/>
        <w:left w:val="none" w:sz="0" w:space="0" w:color="auto"/>
        <w:bottom w:val="none" w:sz="0" w:space="0" w:color="auto"/>
        <w:right w:val="none" w:sz="0" w:space="0" w:color="auto"/>
      </w:divBdr>
    </w:div>
    <w:div w:id="20416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doi.org/10.9734/ijtdh/2024/v45i61551" TargetMode="External"/><Relationship Id="rId26" Type="http://schemas.openxmlformats.org/officeDocument/2006/relationships/hyperlink" Target="https://doi.org/10.9790/2380-08517578" TargetMode="External"/><Relationship Id="rId39" Type="http://schemas.openxmlformats.org/officeDocument/2006/relationships/hyperlink" Target="https://doi.org/10.1128/JCM.40.10.3613-3619.2002" TargetMode="External"/><Relationship Id="rId21" Type="http://schemas.openxmlformats.org/officeDocument/2006/relationships/hyperlink" Target="https://doi.org/10.1186/1757-4749-3-9" TargetMode="External"/><Relationship Id="rId34" Type="http://schemas.openxmlformats.org/officeDocument/2006/relationships/hyperlink" Target="https://doi.org/10.3168/jds.2022-22126" TargetMode="Externa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doi.org/10.1007/s11250-015-0973-6" TargetMode="External"/><Relationship Id="rId29" Type="http://schemas.openxmlformats.org/officeDocument/2006/relationships/hyperlink" Target="https://doi.org/10.33899/ijvs.2021.129934.1702" TargetMode="External"/><Relationship Id="rId41" Type="http://schemas.openxmlformats.org/officeDocument/2006/relationships/hyperlink" Target="https://doi.org/10.3390/vetsci120201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1177/1040638711425581" TargetMode="External"/><Relationship Id="rId32" Type="http://schemas.openxmlformats.org/officeDocument/2006/relationships/hyperlink" Target="https://doi.org/10.4238/2011.October.31.5" TargetMode="External"/><Relationship Id="rId37" Type="http://schemas.openxmlformats.org/officeDocument/2006/relationships/hyperlink" Target="https://doi.org/10.2478/acve-2014-0039" TargetMode="External"/><Relationship Id="rId40" Type="http://schemas.openxmlformats.org/officeDocument/2006/relationships/hyperlink" Target="https://doi.org/10.14202/vetworld.2021.2410-2418"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www.advetresearch.com/index.php/AVR/article/view/1267" TargetMode="External"/><Relationship Id="rId28" Type="http://schemas.openxmlformats.org/officeDocument/2006/relationships/hyperlink" Target="https://doi.org/10.1007/BF01731581" TargetMode="External"/><Relationship Id="rId36" Type="http://schemas.openxmlformats.org/officeDocument/2006/relationships/hyperlink" Target="https://doi.org/10.1101/pdb.prot4022" TargetMode="External"/><Relationship Id="rId10" Type="http://schemas.openxmlformats.org/officeDocument/2006/relationships/footer" Target="footer2.xml"/><Relationship Id="rId19" Type="http://schemas.openxmlformats.org/officeDocument/2006/relationships/hyperlink" Target="https://doi.org/10.56557/ajoair/2024/v7i1495" TargetMode="External"/><Relationship Id="rId31" Type="http://schemas.openxmlformats.org/officeDocument/2006/relationships/hyperlink" Target="https://doi.org/10.4142/jvs.2011.12.2.159"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s://doi.org/10.1017/CBO9780511527104" TargetMode="External"/><Relationship Id="rId27" Type="http://schemas.openxmlformats.org/officeDocument/2006/relationships/hyperlink" Target="https://doi.org/10.1016/S0378-1135(01)00483-7" TargetMode="External"/><Relationship Id="rId30" Type="http://schemas.openxmlformats.org/officeDocument/2006/relationships/hyperlink" Target="https://doi.org/10.9790/2380-08517578" TargetMode="External"/><Relationship Id="rId35" Type="http://schemas.openxmlformats.org/officeDocument/2006/relationships/hyperlink" Target="https://dergipark.org.tr/en/pub/zbs/article/913301" TargetMode="External"/><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hyperlink" Target="https://doi.org/10.14202/vetworld.2020.1588-1593" TargetMode="External"/><Relationship Id="rId33" Type="http://schemas.openxmlformats.org/officeDocument/2006/relationships/hyperlink" Target="https://doi.org/10.3389/fmicb.2024.1452007" TargetMode="External"/><Relationship Id="rId38" Type="http://schemas.openxmlformats.org/officeDocument/2006/relationships/hyperlink" Target="https://doi.org/10.1093/molbev/msab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538</TotalTime>
  <Pages>19</Pages>
  <Words>4321</Words>
  <Characters>24631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dinkardarade1998@gmail.com</dc:creator>
  <cp:keywords/>
  <dc:description/>
  <cp:lastModifiedBy>SDI CPU 1117</cp:lastModifiedBy>
  <cp:revision>339</cp:revision>
  <dcterms:created xsi:type="dcterms:W3CDTF">2026-04-22T09:22:00Z</dcterms:created>
  <dcterms:modified xsi:type="dcterms:W3CDTF">2026-07-11T12:36:00Z</dcterms:modified>
</cp:coreProperties>
</file>