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51E0" w14:textId="77777777" w:rsidR="009F2EB1" w:rsidRPr="00F919C7" w:rsidRDefault="00000000" w:rsidP="00F919C7">
      <w:pPr>
        <w:spacing w:after="0" w:line="240" w:lineRule="auto"/>
        <w:jc w:val="both"/>
      </w:pPr>
      <w:r w:rsidRPr="00F919C7">
        <w:rPr>
          <w:rFonts w:ascii="Times New Roman" w:hAnsi="Times New Roman" w:cs="Times New Roman"/>
          <w:b/>
          <w:sz w:val="28"/>
          <w:szCs w:val="28"/>
        </w:rPr>
        <w:t>Assessment of Ichthyofaunal Diversity of a stretch of Ghaghara River flowing through district Ambedkar Nagar of Uttar Pradesh, India</w:t>
      </w:r>
    </w:p>
    <w:p w14:paraId="1693EAA6" w14:textId="77777777" w:rsidR="009F2EB1" w:rsidRPr="00F919C7" w:rsidRDefault="009F2EB1" w:rsidP="00F919C7">
      <w:pPr>
        <w:spacing w:after="0" w:line="240" w:lineRule="auto"/>
        <w:jc w:val="both"/>
        <w:rPr>
          <w:rFonts w:ascii="Times New Roman" w:hAnsi="Times New Roman" w:cs="Times New Roman"/>
          <w:b/>
          <w:bCs/>
          <w:sz w:val="28"/>
          <w:szCs w:val="28"/>
        </w:rPr>
      </w:pPr>
    </w:p>
    <w:p w14:paraId="439DA7EA" w14:textId="77777777" w:rsidR="009F2EB1" w:rsidRPr="00F919C7" w:rsidRDefault="009F2EB1" w:rsidP="00F919C7">
      <w:pPr>
        <w:spacing w:after="0" w:line="240" w:lineRule="auto"/>
        <w:jc w:val="both"/>
        <w:rPr>
          <w:rFonts w:ascii="Times New Roman" w:hAnsi="Times New Roman" w:cs="Times New Roman"/>
          <w:b/>
          <w:bCs/>
          <w:sz w:val="24"/>
          <w:szCs w:val="24"/>
        </w:rPr>
      </w:pPr>
    </w:p>
    <w:p w14:paraId="123F8C09" w14:textId="77777777" w:rsidR="009F2EB1" w:rsidRPr="00F919C7" w:rsidRDefault="00000000" w:rsidP="00F919C7">
      <w:pPr>
        <w:spacing w:before="280" w:after="280" w:line="240" w:lineRule="auto"/>
        <w:jc w:val="both"/>
        <w:rPr>
          <w:rFonts w:ascii="Times New Roman" w:eastAsia="Times New Roman" w:hAnsi="Times New Roman" w:cs="Times New Roman"/>
          <w:sz w:val="24"/>
          <w:szCs w:val="24"/>
          <w:lang w:val="en-IN" w:eastAsia="en-IN" w:bidi="hi-IN"/>
        </w:rPr>
      </w:pPr>
      <w:r w:rsidRPr="00F919C7">
        <w:rPr>
          <w:rFonts w:ascii="Times New Roman" w:eastAsia="Times New Roman" w:hAnsi="Times New Roman" w:cs="Times New Roman"/>
          <w:b/>
          <w:bCs/>
          <w:sz w:val="24"/>
          <w:szCs w:val="24"/>
          <w:lang w:val="en-IN" w:eastAsia="en-IN" w:bidi="hi-IN"/>
        </w:rPr>
        <w:t>Abstract</w:t>
      </w:r>
    </w:p>
    <w:p w14:paraId="2AEBE872" w14:textId="77777777" w:rsidR="009F2EB1" w:rsidRPr="00F919C7" w:rsidRDefault="00000000" w:rsidP="00F919C7">
      <w:pPr>
        <w:ind w:right="26" w:firstLine="720"/>
        <w:jc w:val="both"/>
        <w:rPr>
          <w:rFonts w:ascii="Times New Roman" w:hAnsi="Times New Roman" w:cs="Times New Roman"/>
          <w:b/>
          <w:bCs/>
          <w:sz w:val="24"/>
          <w:szCs w:val="24"/>
        </w:rPr>
      </w:pPr>
      <w:r w:rsidRPr="00F919C7">
        <w:rPr>
          <w:rFonts w:ascii="Times New Roman" w:eastAsia="Times New Roman" w:hAnsi="Times New Roman" w:cs="Times New Roman"/>
          <w:sz w:val="24"/>
          <w:szCs w:val="24"/>
          <w:lang w:val="en-IN" w:eastAsia="en-IN" w:bidi="hi-IN"/>
        </w:rPr>
        <w:t>The present investigation was conducted to assess the ichthyofaunal diversity of the Ghaghara River, a tributary of the Ganga River, at three sites in Ambedkar Nagar District, Uttar Pradesh: (</w:t>
      </w:r>
      <w:r w:rsidRPr="00F919C7">
        <w:rPr>
          <w:rStyle w:val="Strong"/>
          <w:rFonts w:ascii="Times New Roman" w:hAnsi="Times New Roman" w:cs="Times New Roman"/>
          <w:sz w:val="24"/>
          <w:szCs w:val="24"/>
        </w:rPr>
        <w:t xml:space="preserve">Site I </w:t>
      </w:r>
      <w:r w:rsidRPr="00F919C7">
        <w:rPr>
          <w:rFonts w:ascii="Times New Roman" w:hAnsi="Times New Roman" w:cs="Times New Roman"/>
          <w:b/>
          <w:spacing w:val="-4"/>
          <w:sz w:val="24"/>
          <w:szCs w:val="24"/>
          <w:lang w:bidi="hi-IN"/>
        </w:rPr>
        <w:t>Ausan</w:t>
      </w:r>
      <w:r w:rsidRPr="00F919C7">
        <w:rPr>
          <w:rFonts w:ascii="Times New Roman" w:hAnsi="Times New Roman" w:cs="Times New Roman"/>
          <w:bCs/>
          <w:spacing w:val="-4"/>
          <w:sz w:val="24"/>
          <w:szCs w:val="24"/>
          <w:lang w:bidi="hi-IN"/>
        </w:rPr>
        <w:t xml:space="preserve"> P</w:t>
      </w:r>
      <w:r w:rsidRPr="00F919C7">
        <w:rPr>
          <w:rFonts w:ascii="Times New Roman" w:hAnsi="Times New Roman" w:cs="Times New Roman"/>
          <w:b/>
          <w:spacing w:val="-4"/>
          <w:sz w:val="24"/>
          <w:szCs w:val="24"/>
          <w:lang w:bidi="hi-IN"/>
        </w:rPr>
        <w:t>ur</w:t>
      </w:r>
      <w:r w:rsidRPr="00F919C7">
        <w:rPr>
          <w:rStyle w:val="Strong"/>
          <w:rFonts w:ascii="Times New Roman" w:hAnsi="Times New Roman" w:cs="Times New Roman"/>
          <w:sz w:val="24"/>
          <w:szCs w:val="24"/>
        </w:rPr>
        <w:t xml:space="preserve"> </w:t>
      </w:r>
      <w:r w:rsidRPr="00F919C7">
        <w:rPr>
          <w:rFonts w:ascii="Times New Roman" w:hAnsi="Times New Roman" w:cs="Times New Roman"/>
          <w:sz w:val="24"/>
          <w:szCs w:val="24"/>
        </w:rPr>
        <w:t>26°38'03.3"N 82°30'31.3"E); (Site II</w:t>
      </w:r>
      <w:r w:rsidRPr="00F919C7">
        <w:rPr>
          <w:rFonts w:ascii="Times New Roman" w:hAnsi="Times New Roman" w:cs="Times New Roman"/>
          <w:b/>
          <w:spacing w:val="-4"/>
          <w:sz w:val="24"/>
          <w:szCs w:val="24"/>
          <w:lang w:bidi="hi-IN"/>
        </w:rPr>
        <w:t xml:space="preserve"> Kewtala </w:t>
      </w:r>
      <w:r w:rsidRPr="00F919C7">
        <w:rPr>
          <w:rFonts w:ascii="Times New Roman" w:hAnsi="Times New Roman" w:cs="Times New Roman"/>
          <w:sz w:val="24"/>
          <w:szCs w:val="24"/>
        </w:rPr>
        <w:t>26°26'34.8"N 83°02'01.4"E); and (Site III</w:t>
      </w:r>
      <w:r w:rsidRPr="00F919C7">
        <w:rPr>
          <w:rFonts w:ascii="Times New Roman" w:hAnsi="Times New Roman" w:cs="Times New Roman"/>
          <w:b/>
          <w:spacing w:val="-4"/>
          <w:sz w:val="24"/>
          <w:szCs w:val="24"/>
          <w:lang w:bidi="hi-IN"/>
        </w:rPr>
        <w:t xml:space="preserve"> Kamariya Ghat</w:t>
      </w:r>
      <w:r w:rsidRPr="00F919C7">
        <w:rPr>
          <w:rStyle w:val="Strong"/>
          <w:rFonts w:ascii="Times New Roman" w:hAnsi="Times New Roman" w:cs="Times New Roman"/>
          <w:sz w:val="24"/>
          <w:szCs w:val="24"/>
        </w:rPr>
        <w:t xml:space="preserve"> </w:t>
      </w:r>
      <w:r w:rsidRPr="00F919C7">
        <w:rPr>
          <w:rFonts w:ascii="Times New Roman" w:hAnsi="Times New Roman" w:cs="Times New Roman"/>
          <w:sz w:val="24"/>
          <w:szCs w:val="24"/>
        </w:rPr>
        <w:t>26°24'03.8"N 83°04'31.8"E)</w:t>
      </w:r>
      <w:r w:rsidRPr="00F919C7">
        <w:rPr>
          <w:rFonts w:ascii="Times New Roman" w:eastAsia="Times New Roman" w:hAnsi="Times New Roman" w:cs="Times New Roman"/>
          <w:sz w:val="24"/>
          <w:szCs w:val="24"/>
          <w:lang w:val="en-IN" w:eastAsia="en-IN" w:bidi="hi-IN"/>
        </w:rPr>
        <w:t xml:space="preserve"> from September 2025 to May 2026. A total of 39 fish species belonging to 16 families and 8 orders in the class </w:t>
      </w:r>
      <w:r w:rsidRPr="00F919C7">
        <w:rPr>
          <w:rFonts w:ascii="Times New Roman" w:eastAsia="Times New Roman" w:hAnsi="Times New Roman" w:cs="Times New Roman"/>
          <w:i/>
          <w:iCs/>
          <w:sz w:val="24"/>
          <w:szCs w:val="24"/>
          <w:lang w:val="en-IN" w:eastAsia="en-IN" w:bidi="hi-IN"/>
        </w:rPr>
        <w:t>Actinopterygii</w:t>
      </w:r>
      <w:r w:rsidRPr="00F919C7">
        <w:rPr>
          <w:rFonts w:ascii="Times New Roman" w:eastAsia="Times New Roman" w:hAnsi="Times New Roman" w:cs="Times New Roman"/>
          <w:sz w:val="24"/>
          <w:szCs w:val="24"/>
          <w:lang w:val="en-IN" w:eastAsia="en-IN" w:bidi="hi-IN"/>
        </w:rPr>
        <w:t xml:space="preserve"> were recorded. Among the orders, </w:t>
      </w:r>
      <w:r w:rsidRPr="00F919C7">
        <w:rPr>
          <w:rFonts w:ascii="Times New Roman" w:eastAsia="Times New Roman" w:hAnsi="Times New Roman" w:cs="Times New Roman"/>
          <w:i/>
          <w:iCs/>
          <w:sz w:val="24"/>
          <w:szCs w:val="24"/>
          <w:lang w:val="en-IN" w:eastAsia="en-IN" w:bidi="hi-IN"/>
        </w:rPr>
        <w:t>Cypriniformes</w:t>
      </w:r>
      <w:r w:rsidRPr="00F919C7">
        <w:rPr>
          <w:rFonts w:ascii="Times New Roman" w:eastAsia="Times New Roman" w:hAnsi="Times New Roman" w:cs="Times New Roman"/>
          <w:sz w:val="24"/>
          <w:szCs w:val="24"/>
          <w:lang w:val="en-IN" w:eastAsia="en-IN" w:bidi="hi-IN"/>
        </w:rPr>
        <w:t xml:space="preserve"> and </w:t>
      </w:r>
      <w:r w:rsidRPr="00F919C7">
        <w:rPr>
          <w:rFonts w:ascii="Times New Roman" w:eastAsia="Times New Roman" w:hAnsi="Times New Roman" w:cs="Times New Roman"/>
          <w:i/>
          <w:iCs/>
          <w:sz w:val="24"/>
          <w:szCs w:val="24"/>
          <w:lang w:val="en-IN" w:eastAsia="en-IN" w:bidi="hi-IN"/>
        </w:rPr>
        <w:t>Siluriformes</w:t>
      </w:r>
      <w:r w:rsidRPr="00F919C7">
        <w:rPr>
          <w:rFonts w:ascii="Times New Roman" w:eastAsia="Times New Roman" w:hAnsi="Times New Roman" w:cs="Times New Roman"/>
          <w:sz w:val="24"/>
          <w:szCs w:val="24"/>
          <w:lang w:val="en-IN" w:eastAsia="en-IN" w:bidi="hi-IN"/>
        </w:rPr>
        <w:t xml:space="preserve"> were dominant, each contributing 11 species (28.21%), while the family </w:t>
      </w:r>
      <w:r w:rsidRPr="00F919C7">
        <w:rPr>
          <w:rFonts w:ascii="Times New Roman" w:eastAsia="Times New Roman" w:hAnsi="Times New Roman" w:cs="Times New Roman"/>
          <w:i/>
          <w:iCs/>
          <w:sz w:val="24"/>
          <w:szCs w:val="24"/>
          <w:lang w:val="en-IN" w:eastAsia="en-IN" w:bidi="hi-IN"/>
        </w:rPr>
        <w:t>Cyprinidae</w:t>
      </w:r>
      <w:r w:rsidRPr="00F919C7">
        <w:rPr>
          <w:rFonts w:ascii="Times New Roman" w:eastAsia="Times New Roman" w:hAnsi="Times New Roman" w:cs="Times New Roman"/>
          <w:sz w:val="24"/>
          <w:szCs w:val="24"/>
          <w:lang w:val="en-IN" w:eastAsia="en-IN" w:bidi="hi-IN"/>
        </w:rPr>
        <w:t xml:space="preserve"> showed the highest representation (23.08%), followed by </w:t>
      </w:r>
      <w:r w:rsidRPr="00F919C7">
        <w:rPr>
          <w:rFonts w:ascii="Times New Roman" w:eastAsia="Times New Roman" w:hAnsi="Times New Roman" w:cs="Times New Roman"/>
          <w:i/>
          <w:iCs/>
          <w:sz w:val="24"/>
          <w:szCs w:val="24"/>
          <w:lang w:val="en-IN" w:eastAsia="en-IN" w:bidi="hi-IN"/>
        </w:rPr>
        <w:t>Bagridae</w:t>
      </w:r>
      <w:r w:rsidRPr="00F919C7">
        <w:rPr>
          <w:rFonts w:ascii="Times New Roman" w:eastAsia="Times New Roman" w:hAnsi="Times New Roman" w:cs="Times New Roman"/>
          <w:sz w:val="24"/>
          <w:szCs w:val="24"/>
          <w:lang w:val="en-IN" w:eastAsia="en-IN" w:bidi="hi-IN"/>
        </w:rPr>
        <w:t xml:space="preserve"> with five species. Conservation status analysis revealed that 31 species (79.49%) belonged to the Least Concern category, seven species (17.95%) were categorised as Near Threatened, and one species (2.56%) was classified as Vulnerable. Seasonal variation in fish diversity was evident, with the highest species richness recorded during the monsoon season (38 species), followed by the post-monsoon (30 species) and pre-monsoon seasons (25 species). The Shannon–Wiener diversity index ranged from 2.89 to 3.43, while Simpson’s diversity index varied from 0.9269 to 0.9602, indicating a diverse and relatively stable fish community structure. Bray–Curtis similarity analysis revealed clear seasonal grouping of fish assemblages, with the highest similarity observed between December 2025 and January 2026 (90.27%). The low stress value (0.01) associated with the multidimensional scaling (MDS) plot indicated excellent ordination of the samples. Seasonal variations significantly influenced fish diversity, abundance, and community structure, with the monsoon season supporting the highest species richness and abundance due to favourable habitat and breeding conditions. The occurrence of Near Threatened and Vulnerable species highlights the conservation significance of the Ghaghara River ecosystem and emphasises the need for effective management strategies for the sustainable conservation of riverine fish biodiversity in eastern Uttar Pradesh.</w:t>
      </w:r>
    </w:p>
    <w:p w14:paraId="37413994" w14:textId="77777777" w:rsidR="009F2EB1" w:rsidRPr="00F919C7" w:rsidRDefault="00000000" w:rsidP="00F919C7">
      <w:pPr>
        <w:spacing w:before="280" w:after="280" w:line="240" w:lineRule="auto"/>
        <w:jc w:val="both"/>
        <w:rPr>
          <w:rFonts w:ascii="Times New Roman" w:eastAsia="Times New Roman" w:hAnsi="Times New Roman" w:cs="Times New Roman"/>
          <w:sz w:val="24"/>
          <w:szCs w:val="24"/>
          <w:lang w:val="en-IN" w:eastAsia="en-IN" w:bidi="hi-IN"/>
        </w:rPr>
      </w:pPr>
      <w:r w:rsidRPr="00F919C7">
        <w:rPr>
          <w:rFonts w:ascii="Times New Roman" w:eastAsia="Times New Roman" w:hAnsi="Times New Roman" w:cs="Times New Roman"/>
          <w:b/>
          <w:bCs/>
          <w:sz w:val="24"/>
          <w:szCs w:val="24"/>
          <w:lang w:val="en-IN" w:eastAsia="en-IN" w:bidi="hi-IN"/>
        </w:rPr>
        <w:t>Keywords:</w:t>
      </w:r>
      <w:r w:rsidRPr="00F919C7">
        <w:rPr>
          <w:rFonts w:ascii="Times New Roman" w:eastAsia="Times New Roman" w:hAnsi="Times New Roman" w:cs="Times New Roman"/>
          <w:sz w:val="24"/>
          <w:szCs w:val="24"/>
          <w:lang w:val="en-IN" w:eastAsia="en-IN" w:bidi="hi-IN"/>
        </w:rPr>
        <w:t xml:space="preserve"> Ichthyofaunal diversity, fish assemblage, Ghaghara River, fish conservation, Uttar Pradesh.</w:t>
      </w:r>
    </w:p>
    <w:p w14:paraId="5C4AA646" w14:textId="77777777" w:rsidR="009F2EB1" w:rsidRPr="00F919C7" w:rsidRDefault="00000000" w:rsidP="00F919C7">
      <w:pPr>
        <w:spacing w:after="0" w:line="240" w:lineRule="auto"/>
        <w:jc w:val="both"/>
        <w:rPr>
          <w:rFonts w:ascii="Times New Roman" w:hAnsi="Times New Roman" w:cs="Times New Roman"/>
          <w:b/>
          <w:bCs/>
          <w:sz w:val="24"/>
          <w:szCs w:val="24"/>
        </w:rPr>
      </w:pPr>
      <w:r w:rsidRPr="00F919C7">
        <w:rPr>
          <w:rFonts w:ascii="Times New Roman" w:hAnsi="Times New Roman" w:cs="Times New Roman"/>
          <w:b/>
          <w:bCs/>
          <w:sz w:val="24"/>
          <w:szCs w:val="24"/>
        </w:rPr>
        <w:t>Introduction</w:t>
      </w:r>
    </w:p>
    <w:p w14:paraId="36D9BE85" w14:textId="77777777" w:rsidR="009F2EB1" w:rsidRPr="00F919C7" w:rsidRDefault="00000000" w:rsidP="00F919C7">
      <w:pPr>
        <w:pStyle w:val="NormalWeb"/>
        <w:ind w:firstLine="720"/>
        <w:jc w:val="both"/>
      </w:pPr>
      <w:r>
        <w:t xml:space="preserve">Biodiversity plays a vital role in maintaining ecosystem stability and supporting economic and social development through processes such as nutrient cycling, decomposition, energy flow, and food web regulation </w:t>
      </w:r>
      <w:r>
        <w:rPr>
          <w:b/>
          <w:i w:val="0"/>
        </w:rPr>
        <w:t xml:space="preserve">(Cardinale </w:t>
      </w:r>
      <w:r>
        <w:rPr>
          <w:b/>
          <w:i/>
        </w:rPr>
        <w:t>et al.,</w:t>
      </w:r>
      <w:r>
        <w:rPr>
          <w:b/>
          <w:i w:val="0"/>
        </w:rPr>
        <w:t xml:space="preserve"> 2012)</w:t>
      </w:r>
      <w:r>
        <w:t xml:space="preserve">. Fish diversity constitutes the largest component of vertebrate biodiversity, with freshwater fishes accounting for nearly half of the world's fish fauna. According to the July 2026 edition of Eschmeyer’s Catalog of Fishes, 19,307 of the 37,678 valid fish species are associated with freshwater habitats </w:t>
      </w:r>
      <w:r>
        <w:rPr>
          <w:b/>
          <w:i w:val="0"/>
        </w:rPr>
        <w:t xml:space="preserve">(Fricke </w:t>
      </w:r>
      <w:r>
        <w:rPr>
          <w:b/>
          <w:i/>
        </w:rPr>
        <w:t>et al.,</w:t>
      </w:r>
      <w:r>
        <w:rPr>
          <w:b/>
          <w:i w:val="0"/>
        </w:rPr>
        <w:t xml:space="preserve"> 2026)</w:t>
      </w:r>
      <w:r>
        <w:t>.</w:t>
      </w:r>
    </w:p>
    <w:p w14:paraId="5A6ECE27" w14:textId="77777777" w:rsidR="009F2EB1" w:rsidRPr="00F919C7" w:rsidRDefault="00000000" w:rsidP="00F919C7">
      <w:pPr>
        <w:pStyle w:val="NormalWeb"/>
        <w:ind w:firstLine="720"/>
        <w:jc w:val="both"/>
        <w:rPr>
          <w:b/>
          <w:bCs/>
        </w:rPr>
      </w:pPr>
      <w:r>
        <w:t xml:space="preserve">India is recognised as one of the world's megadiverse countries, harbouring approximately 7–8% of global biodiversity </w:t>
      </w:r>
      <w:r>
        <w:rPr>
          <w:b/>
          <w:i w:val="0"/>
        </w:rPr>
        <w:t>(Ministry of Environment and Forests, 2014)</w:t>
      </w:r>
      <w:r>
        <w:t xml:space="preserve">. National syntheses have documented at least 1,027 freshwater fish species and 3,523 fish species overall in India, underscoring the country’s high fish diversity </w:t>
      </w:r>
      <w:r>
        <w:rPr>
          <w:b/>
          <w:i w:val="0"/>
        </w:rPr>
        <w:t xml:space="preserve">(Gopi </w:t>
      </w:r>
      <w:r>
        <w:rPr>
          <w:b/>
          <w:i/>
        </w:rPr>
        <w:t>et al.,</w:t>
      </w:r>
      <w:r>
        <w:rPr>
          <w:b/>
          <w:i w:val="0"/>
        </w:rPr>
        <w:t xml:space="preserve"> 2017; Kosygin </w:t>
      </w:r>
      <w:r>
        <w:rPr>
          <w:b/>
          <w:i/>
        </w:rPr>
        <w:t>et al.,</w:t>
      </w:r>
      <w:r>
        <w:rPr>
          <w:b/>
          <w:i w:val="0"/>
        </w:rPr>
        <w:t xml:space="preserve"> 2024)</w:t>
      </w:r>
      <w:r>
        <w:t xml:space="preserve">. Uttar Pradesh forms an important part of the Indo-Gangetic biodiversity region and supports rich aquatic resources through major river systems such as the Ganga, Yamuna, Gomti, and Ghaghara. Available databases and river-basin assessments document substantial fish diversity in these systems, while pollution, habitat degradation, overexploitation, invasive species, and hydrological alteration continue to threaten freshwater ecosystems </w:t>
      </w:r>
      <w:r>
        <w:rPr>
          <w:b/>
          <w:i w:val="0"/>
        </w:rPr>
        <w:t xml:space="preserve">(Pathak </w:t>
      </w:r>
      <w:r>
        <w:rPr>
          <w:b/>
          <w:i/>
        </w:rPr>
        <w:t>et al.,</w:t>
      </w:r>
      <w:r>
        <w:rPr>
          <w:b/>
          <w:i w:val="0"/>
        </w:rPr>
        <w:t xml:space="preserve"> 2019; Sarkar </w:t>
      </w:r>
      <w:r>
        <w:rPr>
          <w:b/>
          <w:i/>
        </w:rPr>
        <w:t>et al.,</w:t>
      </w:r>
      <w:r>
        <w:rPr>
          <w:b/>
          <w:i w:val="0"/>
        </w:rPr>
        <w:t xml:space="preserve"> 2012)</w:t>
      </w:r>
      <w:r>
        <w:t>.</w:t>
      </w:r>
    </w:p>
    <w:p w14:paraId="67E7A633" w14:textId="77777777" w:rsidR="009F2EB1" w:rsidRPr="00F919C7" w:rsidRDefault="00000000" w:rsidP="00F919C7">
      <w:pPr>
        <w:pStyle w:val="NormalWeb"/>
        <w:ind w:firstLine="720"/>
        <w:jc w:val="both"/>
      </w:pPr>
      <w:r w:rsidRPr="00F919C7">
        <w:t xml:space="preserve">The Ghaghara River has a total length of 1,080 km. It originates in the Mapchachungo Glacier, located near </w:t>
      </w:r>
      <w:r w:rsidRPr="00F919C7">
        <w:rPr>
          <w:rStyle w:val="Strong"/>
          <w:b w:val="0"/>
          <w:bCs w:val="0"/>
        </w:rPr>
        <w:t>Lake Manasarovar</w:t>
      </w:r>
      <w:r w:rsidRPr="00F919C7">
        <w:t xml:space="preserve"> on the Tibetan Plateau at an elevation of approximately </w:t>
      </w:r>
      <w:r w:rsidRPr="00F919C7">
        <w:rPr>
          <w:rStyle w:val="Strong"/>
          <w:b w:val="0"/>
          <w:bCs w:val="0"/>
        </w:rPr>
        <w:t>4,800 m above mean sea level</w:t>
      </w:r>
      <w:r w:rsidRPr="00F919C7">
        <w:t xml:space="preserve">. </w:t>
      </w:r>
      <w:r w:rsidRPr="00F919C7">
        <w:rPr>
          <w:b/>
        </w:rPr>
        <w:t xml:space="preserve">Kumar </w:t>
      </w:r>
      <w:r w:rsidRPr="00F919C7">
        <w:rPr>
          <w:b/>
          <w:i/>
          <w:iCs/>
        </w:rPr>
        <w:t>et al</w:t>
      </w:r>
      <w:r w:rsidRPr="00F919C7">
        <w:rPr>
          <w:b/>
        </w:rPr>
        <w:t xml:space="preserve">. (2020) </w:t>
      </w:r>
      <w:r w:rsidRPr="00F919C7">
        <w:rPr>
          <w:bCs/>
        </w:rPr>
        <w:t>identified a total of 71 fish species representing 25 families and 49 genera; the catch composition showed that fishes of the family</w:t>
      </w:r>
      <w:r w:rsidRPr="00F919C7">
        <w:t xml:space="preserve"> Cyprinidae accounted for 35% of the total, followed by Bagridae (10%) and Channidae (6%). According to the IUCN Red List (IUCN, 2026), two species were classified as Vulnerable (VU), five as Near Threatened (NT), and the golden mahseer (</w:t>
      </w:r>
      <w:r w:rsidRPr="00F919C7">
        <w:rPr>
          <w:i/>
          <w:iCs/>
        </w:rPr>
        <w:t>Tor putitora</w:t>
      </w:r>
      <w:r w:rsidRPr="00F919C7">
        <w:t xml:space="preserve">) was classified as Endangered (EN). </w:t>
      </w:r>
    </w:p>
    <w:p w14:paraId="3CDFF248" w14:textId="77777777" w:rsidR="009F2EB1" w:rsidRPr="00F919C7" w:rsidRDefault="00000000" w:rsidP="00F919C7">
      <w:pPr>
        <w:pStyle w:val="NormalWeb"/>
        <w:jc w:val="both"/>
      </w:pPr>
      <w:r w:rsidRPr="00F919C7">
        <w:t>Recent documentation from a Ganga-connected channel in Bihar recorded substantial fish richness alongside habitat degradation and pollution pressures, underscoring the value of site-specific surveys in the middle Gangetic region (Choudhary &amp; Sagar, 2025). Riverine breeding habitats are also vulnerable to anthropogenic disturbance, and regular monitoring is important for conserving sensitive fishes (Tiwari et al., 2024).</w:t>
      </w:r>
    </w:p>
    <w:p w14:paraId="765E8261" w14:textId="77777777" w:rsidR="009F2EB1" w:rsidRPr="00F919C7" w:rsidRDefault="00000000" w:rsidP="00F919C7">
      <w:pPr>
        <w:pStyle w:val="NormalWeb"/>
        <w:jc w:val="both"/>
      </w:pPr>
      <w:r w:rsidRPr="00F919C7">
        <w:t>Recent spatio-temporal assessments have shown that freshwater fish assemblages are closely associated with hydrological and physicochemical habitat conditions, supporting seasonal and multi-site monitoring approaches (Nimasow et al., 2025). River surveys in northeastern India have likewise documented the coexistence of cyprinid dominance and conservation-priority taxa, demonstrating the value of integrating diversity indices with conservation-status assessment (Kechu &amp; Pankaj, 2025).</w:t>
      </w:r>
    </w:p>
    <w:p w14:paraId="22BCB55B" w14:textId="77777777" w:rsidR="009F2EB1" w:rsidRPr="00F919C7" w:rsidRDefault="00000000" w:rsidP="00F919C7">
      <w:pPr>
        <w:pStyle w:val="NormalWeb"/>
        <w:jc w:val="both"/>
      </w:pPr>
      <w:r w:rsidRPr="00F919C7">
        <w:t>However, information on the seasonal structure and conservation status of fish assemblages along the Ghaghara River within Ambedkar Nagar District remains limited. In particular, integrated evidence combining species composition, diversity indices, seasonal similarity, and environmental associations is lacking for this river stretch.</w:t>
      </w:r>
    </w:p>
    <w:p w14:paraId="3C86301D" w14:textId="77777777" w:rsidR="009F2EB1" w:rsidRPr="00F919C7" w:rsidRDefault="00000000" w:rsidP="00F919C7">
      <w:pPr>
        <w:pStyle w:val="NormalWeb"/>
        <w:jc w:val="both"/>
      </w:pPr>
      <w:r w:rsidRPr="00F919C7">
        <w:t>Therefore, the present study was undertaken to assess fish diversity, community structure, and seasonal variation in ichthyofaunal assemblages of the Ghaghara River and to provide baseline information for conservation and sustainable fisheries management.</w:t>
      </w:r>
    </w:p>
    <w:p w14:paraId="02F08A07" w14:textId="77777777" w:rsidR="009F2EB1" w:rsidRPr="00F919C7" w:rsidRDefault="00000000" w:rsidP="00F919C7">
      <w:pPr>
        <w:spacing w:before="240" w:after="0" w:line="240" w:lineRule="auto"/>
        <w:jc w:val="both"/>
      </w:pPr>
      <w:r w:rsidRPr="00F919C7">
        <w:rPr>
          <w:rFonts w:ascii="Times New Roman" w:hAnsi="Times New Roman" w:cs="Times New Roman"/>
          <w:b/>
          <w:sz w:val="24"/>
          <w:szCs w:val="24"/>
        </w:rPr>
        <w:t>2. Materials and Methods</w:t>
      </w:r>
    </w:p>
    <w:p w14:paraId="60EBD893" w14:textId="77777777" w:rsidR="009F2EB1" w:rsidRPr="00F919C7" w:rsidRDefault="00000000" w:rsidP="00F919C7">
      <w:pPr>
        <w:pStyle w:val="isselectedend"/>
        <w:ind w:firstLine="720"/>
        <w:jc w:val="both"/>
      </w:pPr>
      <w:r>
        <w:t xml:space="preserve">Fish sampling was carried out using different gears, including a gill net with a 44 mm mesh size, a drag net, and hook and line, to obtain a representative assemblage of riverine species. Specimens were collected directly from the Ghaghara River with the assistance of local fishers and from nearby fish landing and collection centres at each sampling site. Sampling was conducted fortnightly from September 2025 to May 2026 to account for seasonal variations in fish diversity and abundance. The study covered three designated sampling sites (Site 1, Site 2, and Site 3) along a 73 km stretch of the Ghaghara River in Ambedkar Nagar District, Uttar Pradesh (Table 1). The distance between Ausanpur and Kewtala was approximately 45 km, whereas the distance between Kewtala and Kamariya Ghat was approximately 28 km. Fish specimens were identified from fresh or preserved specimens following standard taxonomic keys and reference literature, including </w:t>
      </w:r>
      <w:r>
        <w:rPr>
          <w:b/>
          <w:i w:val="0"/>
        </w:rPr>
        <w:t>Day (1878),</w:t>
      </w:r>
      <w:r>
        <w:t xml:space="preserve"> </w:t>
      </w:r>
      <w:r>
        <w:rPr>
          <w:b/>
          <w:i w:val="0"/>
        </w:rPr>
        <w:t>Talwar and Jhingran (1991),</w:t>
      </w:r>
      <w:r>
        <w:t xml:space="preserve"> the FAO Species Identification Sheets </w:t>
      </w:r>
      <w:r>
        <w:rPr>
          <w:b/>
          <w:i w:val="0"/>
        </w:rPr>
        <w:t>(Fischer &amp; Bianchi, 1984),</w:t>
      </w:r>
      <w:r>
        <w:t xml:space="preserve"> the Integrated Taxonomic Information System (ITIS, 2026), and FishBase </w:t>
      </w:r>
      <w:r>
        <w:rPr>
          <w:b/>
          <w:i w:val="0"/>
        </w:rPr>
        <w:t>(Froese &amp; Pauly, 2026)</w:t>
      </w:r>
      <w:r>
        <w:t>. Identification was carried out to the species level.</w:t>
      </w:r>
    </w:p>
    <w:p w14:paraId="52E07BC9" w14:textId="77777777" w:rsidR="009F2EB1" w:rsidRPr="00F919C7" w:rsidRDefault="00000000" w:rsidP="00F919C7">
      <w:pPr>
        <w:pStyle w:val="Heading3"/>
        <w:spacing w:before="0" w:line="360" w:lineRule="auto"/>
        <w:ind w:right="26"/>
        <w:jc w:val="both"/>
        <w:rPr>
          <w:color w:val="auto"/>
        </w:rPr>
      </w:pPr>
      <w:r w:rsidRPr="00F919C7">
        <w:rPr>
          <w:rStyle w:val="Emphasis"/>
          <w:rFonts w:ascii="Times New Roman" w:hAnsi="Times New Roman"/>
          <w:b w:val="0"/>
          <w:bCs w:val="0"/>
          <w:color w:val="auto"/>
          <w:sz w:val="24"/>
          <w:szCs w:val="24"/>
        </w:rPr>
        <w:t>Table 1: Description of Sampling Sites</w:t>
      </w:r>
    </w:p>
    <w:tbl>
      <w:tblPr>
        <w:tblW w:w="5525" w:type="dxa"/>
        <w:jc w:val="center"/>
        <w:tblLayout w:type="fixed"/>
        <w:tblLook w:val="04A0" w:firstRow="1" w:lastRow="0" w:firstColumn="1" w:lastColumn="0" w:noHBand="0" w:noVBand="1"/>
      </w:tblPr>
      <w:tblGrid>
        <w:gridCol w:w="2446"/>
        <w:gridCol w:w="1553"/>
        <w:gridCol w:w="1526"/>
      </w:tblGrid>
      <w:tr w:rsidR="009F2EB1" w:rsidRPr="00F919C7" w14:paraId="084D1FAD" w14:textId="77777777">
        <w:trPr>
          <w:trHeight w:val="265"/>
          <w:jc w:val="center"/>
        </w:trPr>
        <w:tc>
          <w:tcPr>
            <w:tcW w:w="2446" w:type="dxa"/>
            <w:tcBorders>
              <w:top w:val="single" w:sz="4" w:space="0" w:color="000000"/>
              <w:left w:val="single" w:sz="4" w:space="0" w:color="000000"/>
              <w:bottom w:val="single" w:sz="4" w:space="0" w:color="000000"/>
              <w:right w:val="single" w:sz="4" w:space="0" w:color="000000"/>
            </w:tcBorders>
          </w:tcPr>
          <w:p w14:paraId="08F9AC95"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Sampling Location</w:t>
            </w:r>
          </w:p>
        </w:tc>
        <w:tc>
          <w:tcPr>
            <w:tcW w:w="1553" w:type="dxa"/>
            <w:tcBorders>
              <w:top w:val="single" w:sz="4" w:space="0" w:color="000000"/>
              <w:left w:val="single" w:sz="4" w:space="0" w:color="000000"/>
              <w:bottom w:val="single" w:sz="4" w:space="0" w:color="000000"/>
              <w:right w:val="single" w:sz="4" w:space="0" w:color="000000"/>
            </w:tcBorders>
          </w:tcPr>
          <w:p w14:paraId="6D5E8C72"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 xml:space="preserve">Latitude </w:t>
            </w:r>
          </w:p>
        </w:tc>
        <w:tc>
          <w:tcPr>
            <w:tcW w:w="1526" w:type="dxa"/>
            <w:tcBorders>
              <w:top w:val="single" w:sz="4" w:space="0" w:color="000000"/>
              <w:left w:val="single" w:sz="4" w:space="0" w:color="000000"/>
              <w:bottom w:val="single" w:sz="4" w:space="0" w:color="000000"/>
              <w:right w:val="single" w:sz="4" w:space="0" w:color="000000"/>
            </w:tcBorders>
          </w:tcPr>
          <w:p w14:paraId="5F3ED3B8"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 xml:space="preserve">Longitude </w:t>
            </w:r>
          </w:p>
        </w:tc>
      </w:tr>
      <w:tr w:rsidR="009F2EB1" w:rsidRPr="00F919C7" w14:paraId="4413649C" w14:textId="77777777">
        <w:trPr>
          <w:trHeight w:val="559"/>
          <w:jc w:val="center"/>
        </w:trPr>
        <w:tc>
          <w:tcPr>
            <w:tcW w:w="2446" w:type="dxa"/>
            <w:tcBorders>
              <w:top w:val="single" w:sz="4" w:space="0" w:color="000000"/>
              <w:left w:val="single" w:sz="4" w:space="0" w:color="000000"/>
              <w:bottom w:val="single" w:sz="4" w:space="0" w:color="000000"/>
              <w:right w:val="single" w:sz="4" w:space="0" w:color="000000"/>
            </w:tcBorders>
          </w:tcPr>
          <w:p w14:paraId="11C4DD8F" w14:textId="77777777" w:rsidR="009F2EB1" w:rsidRPr="00F919C7" w:rsidRDefault="00000000" w:rsidP="00F919C7">
            <w:pPr>
              <w:ind w:right="26"/>
              <w:jc w:val="both"/>
              <w:rPr>
                <w:rFonts w:ascii="Times New Roman" w:hAnsi="Times New Roman" w:cs="Times New Roman"/>
                <w:b/>
                <w:bCs/>
                <w:sz w:val="24"/>
                <w:szCs w:val="24"/>
              </w:rPr>
            </w:pPr>
            <w:r w:rsidRPr="00F919C7">
              <w:rPr>
                <w:rStyle w:val="Strong"/>
                <w:rFonts w:ascii="Times New Roman" w:hAnsi="Times New Roman" w:cs="Times New Roman"/>
                <w:sz w:val="24"/>
                <w:szCs w:val="24"/>
              </w:rPr>
              <w:t>Site I</w:t>
            </w:r>
            <w:r w:rsidRPr="00F919C7">
              <w:rPr>
                <w:rFonts w:ascii="Times New Roman" w:hAnsi="Times New Roman" w:cs="Times New Roman"/>
                <w:b/>
                <w:spacing w:val="-4"/>
                <w:sz w:val="24"/>
                <w:szCs w:val="24"/>
                <w:lang w:bidi="hi-IN"/>
              </w:rPr>
              <w:t xml:space="preserve"> Ausan</w:t>
            </w:r>
            <w:r w:rsidRPr="00F919C7">
              <w:rPr>
                <w:rFonts w:ascii="Times New Roman" w:hAnsi="Times New Roman" w:cs="Times New Roman"/>
                <w:bCs/>
                <w:spacing w:val="-4"/>
                <w:sz w:val="24"/>
                <w:szCs w:val="24"/>
                <w:lang w:bidi="hi-IN"/>
              </w:rPr>
              <w:t xml:space="preserve"> P</w:t>
            </w:r>
            <w:r w:rsidRPr="00F919C7">
              <w:rPr>
                <w:rFonts w:ascii="Times New Roman" w:hAnsi="Times New Roman" w:cs="Times New Roman"/>
                <w:b/>
                <w:spacing w:val="-4"/>
                <w:sz w:val="24"/>
                <w:szCs w:val="24"/>
                <w:lang w:bidi="hi-IN"/>
              </w:rPr>
              <w:t>ur</w:t>
            </w:r>
          </w:p>
        </w:tc>
        <w:tc>
          <w:tcPr>
            <w:tcW w:w="1553" w:type="dxa"/>
            <w:tcBorders>
              <w:top w:val="single" w:sz="4" w:space="0" w:color="000000"/>
              <w:left w:val="single" w:sz="4" w:space="0" w:color="000000"/>
              <w:bottom w:val="single" w:sz="4" w:space="0" w:color="000000"/>
              <w:right w:val="single" w:sz="4" w:space="0" w:color="000000"/>
            </w:tcBorders>
          </w:tcPr>
          <w:p w14:paraId="487462C8"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26°38'03.3"N</w:t>
            </w:r>
          </w:p>
        </w:tc>
        <w:tc>
          <w:tcPr>
            <w:tcW w:w="1526" w:type="dxa"/>
            <w:tcBorders>
              <w:top w:val="single" w:sz="4" w:space="0" w:color="000000"/>
              <w:left w:val="single" w:sz="4" w:space="0" w:color="000000"/>
              <w:bottom w:val="single" w:sz="4" w:space="0" w:color="000000"/>
              <w:right w:val="single" w:sz="4" w:space="0" w:color="000000"/>
            </w:tcBorders>
          </w:tcPr>
          <w:p w14:paraId="33FE7676"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82°30'31.3"E</w:t>
            </w:r>
          </w:p>
        </w:tc>
      </w:tr>
      <w:tr w:rsidR="009F2EB1" w:rsidRPr="00F919C7" w14:paraId="7B95A530" w14:textId="77777777">
        <w:trPr>
          <w:trHeight w:val="411"/>
          <w:jc w:val="center"/>
        </w:trPr>
        <w:tc>
          <w:tcPr>
            <w:tcW w:w="2446" w:type="dxa"/>
            <w:tcBorders>
              <w:top w:val="single" w:sz="4" w:space="0" w:color="000000"/>
              <w:left w:val="single" w:sz="4" w:space="0" w:color="000000"/>
              <w:bottom w:val="single" w:sz="4" w:space="0" w:color="000000"/>
              <w:right w:val="single" w:sz="4" w:space="0" w:color="000000"/>
            </w:tcBorders>
          </w:tcPr>
          <w:p w14:paraId="3707830C" w14:textId="77777777" w:rsidR="009F2EB1" w:rsidRPr="00F919C7" w:rsidRDefault="00000000" w:rsidP="00F919C7">
            <w:pPr>
              <w:ind w:right="26"/>
              <w:jc w:val="both"/>
              <w:rPr>
                <w:rStyle w:val="Strong"/>
                <w:rFonts w:ascii="Times New Roman" w:hAnsi="Times New Roman" w:cs="Times New Roman"/>
                <w:sz w:val="24"/>
                <w:szCs w:val="24"/>
              </w:rPr>
            </w:pPr>
            <w:r w:rsidRPr="00F919C7">
              <w:rPr>
                <w:rStyle w:val="Strong"/>
                <w:rFonts w:ascii="Times New Roman" w:hAnsi="Times New Roman" w:cs="Times New Roman"/>
                <w:sz w:val="24"/>
                <w:szCs w:val="24"/>
              </w:rPr>
              <w:t>Site II</w:t>
            </w:r>
            <w:r w:rsidRPr="00F919C7">
              <w:rPr>
                <w:rFonts w:ascii="Times New Roman" w:hAnsi="Times New Roman" w:cs="Times New Roman"/>
                <w:b/>
                <w:spacing w:val="-4"/>
                <w:sz w:val="24"/>
                <w:szCs w:val="24"/>
                <w:lang w:bidi="hi-IN"/>
              </w:rPr>
              <w:t xml:space="preserve"> Kewtala</w:t>
            </w:r>
          </w:p>
          <w:p w14:paraId="363B3D0D" w14:textId="77777777" w:rsidR="009F2EB1" w:rsidRPr="00F919C7" w:rsidRDefault="009F2EB1" w:rsidP="00F919C7">
            <w:pPr>
              <w:ind w:right="26"/>
              <w:jc w:val="both"/>
              <w:rPr>
                <w:rStyle w:val="Strong"/>
                <w:rFonts w:ascii="Times New Roman" w:hAnsi="Times New Roman" w:cs="Times New Roman"/>
                <w:sz w:val="24"/>
                <w:szCs w:val="24"/>
              </w:rPr>
            </w:pPr>
          </w:p>
        </w:tc>
        <w:tc>
          <w:tcPr>
            <w:tcW w:w="1553" w:type="dxa"/>
            <w:tcBorders>
              <w:top w:val="single" w:sz="4" w:space="0" w:color="000000"/>
              <w:left w:val="single" w:sz="4" w:space="0" w:color="000000"/>
              <w:bottom w:val="single" w:sz="4" w:space="0" w:color="000000"/>
              <w:right w:val="single" w:sz="4" w:space="0" w:color="000000"/>
            </w:tcBorders>
          </w:tcPr>
          <w:p w14:paraId="19A1DF76"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26°26'34.8"N</w:t>
            </w:r>
          </w:p>
        </w:tc>
        <w:tc>
          <w:tcPr>
            <w:tcW w:w="1526" w:type="dxa"/>
            <w:tcBorders>
              <w:top w:val="single" w:sz="4" w:space="0" w:color="000000"/>
              <w:left w:val="single" w:sz="4" w:space="0" w:color="000000"/>
              <w:bottom w:val="single" w:sz="4" w:space="0" w:color="000000"/>
              <w:right w:val="single" w:sz="4" w:space="0" w:color="000000"/>
            </w:tcBorders>
          </w:tcPr>
          <w:p w14:paraId="72066D22"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83°02'01.4"E</w:t>
            </w:r>
          </w:p>
        </w:tc>
      </w:tr>
      <w:tr w:rsidR="009F2EB1" w:rsidRPr="00F919C7" w14:paraId="587E7CEB" w14:textId="77777777">
        <w:trPr>
          <w:trHeight w:val="305"/>
          <w:jc w:val="center"/>
        </w:trPr>
        <w:tc>
          <w:tcPr>
            <w:tcW w:w="2446" w:type="dxa"/>
            <w:tcBorders>
              <w:top w:val="single" w:sz="4" w:space="0" w:color="000000"/>
              <w:left w:val="single" w:sz="4" w:space="0" w:color="000000"/>
              <w:bottom w:val="single" w:sz="4" w:space="0" w:color="000000"/>
              <w:right w:val="single" w:sz="4" w:space="0" w:color="000000"/>
            </w:tcBorders>
          </w:tcPr>
          <w:p w14:paraId="36EF1BBF" w14:textId="77777777" w:rsidR="009F2EB1" w:rsidRPr="00F919C7" w:rsidRDefault="00000000" w:rsidP="00F919C7">
            <w:pPr>
              <w:ind w:right="26"/>
              <w:jc w:val="both"/>
              <w:rPr>
                <w:rStyle w:val="Strong"/>
                <w:rFonts w:ascii="Times New Roman" w:hAnsi="Times New Roman" w:cs="Times New Roman"/>
                <w:sz w:val="24"/>
                <w:szCs w:val="24"/>
              </w:rPr>
            </w:pPr>
            <w:r w:rsidRPr="00F919C7">
              <w:rPr>
                <w:rStyle w:val="Strong"/>
                <w:rFonts w:ascii="Times New Roman" w:hAnsi="Times New Roman" w:cs="Times New Roman"/>
                <w:sz w:val="24"/>
                <w:szCs w:val="24"/>
              </w:rPr>
              <w:t>Site III</w:t>
            </w:r>
            <w:r w:rsidRPr="00F919C7">
              <w:rPr>
                <w:rFonts w:ascii="Times New Roman" w:hAnsi="Times New Roman" w:cs="Times New Roman"/>
                <w:b/>
                <w:spacing w:val="-4"/>
                <w:sz w:val="24"/>
                <w:szCs w:val="24"/>
                <w:lang w:bidi="hi-IN"/>
              </w:rPr>
              <w:t xml:space="preserve"> Kamariya Ghat</w:t>
            </w:r>
          </w:p>
          <w:p w14:paraId="0E084B3A" w14:textId="77777777" w:rsidR="009F2EB1" w:rsidRPr="00F919C7" w:rsidRDefault="009F2EB1" w:rsidP="00F919C7">
            <w:pPr>
              <w:ind w:right="26"/>
              <w:jc w:val="both"/>
              <w:rPr>
                <w:rStyle w:val="Strong"/>
                <w:rFonts w:ascii="Times New Roman" w:hAnsi="Times New Roman" w:cs="Times New Roman"/>
                <w:sz w:val="24"/>
                <w:szCs w:val="24"/>
              </w:rPr>
            </w:pPr>
          </w:p>
        </w:tc>
        <w:tc>
          <w:tcPr>
            <w:tcW w:w="1553" w:type="dxa"/>
            <w:tcBorders>
              <w:top w:val="single" w:sz="4" w:space="0" w:color="000000"/>
              <w:left w:val="single" w:sz="4" w:space="0" w:color="000000"/>
              <w:bottom w:val="single" w:sz="4" w:space="0" w:color="000000"/>
              <w:right w:val="single" w:sz="4" w:space="0" w:color="000000"/>
            </w:tcBorders>
          </w:tcPr>
          <w:p w14:paraId="6F3AA591"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26°24'03.8"N</w:t>
            </w:r>
          </w:p>
        </w:tc>
        <w:tc>
          <w:tcPr>
            <w:tcW w:w="1526" w:type="dxa"/>
            <w:tcBorders>
              <w:top w:val="single" w:sz="4" w:space="0" w:color="000000"/>
              <w:left w:val="single" w:sz="4" w:space="0" w:color="000000"/>
              <w:bottom w:val="single" w:sz="4" w:space="0" w:color="000000"/>
              <w:right w:val="single" w:sz="4" w:space="0" w:color="000000"/>
            </w:tcBorders>
          </w:tcPr>
          <w:p w14:paraId="37EEA00A" w14:textId="77777777" w:rsidR="009F2EB1" w:rsidRPr="00F919C7" w:rsidRDefault="00000000" w:rsidP="00F919C7">
            <w:pPr>
              <w:ind w:right="26"/>
              <w:jc w:val="both"/>
              <w:rPr>
                <w:rFonts w:ascii="Times New Roman" w:hAnsi="Times New Roman" w:cs="Times New Roman"/>
                <w:sz w:val="24"/>
                <w:szCs w:val="24"/>
              </w:rPr>
            </w:pPr>
            <w:r w:rsidRPr="00F919C7">
              <w:rPr>
                <w:rFonts w:ascii="Times New Roman" w:hAnsi="Times New Roman" w:cs="Times New Roman"/>
                <w:sz w:val="24"/>
                <w:szCs w:val="24"/>
              </w:rPr>
              <w:t>83°04'31.8"E</w:t>
            </w:r>
          </w:p>
        </w:tc>
      </w:tr>
    </w:tbl>
    <w:p w14:paraId="078B22AF" w14:textId="77777777" w:rsidR="009F2EB1" w:rsidRPr="00F919C7" w:rsidRDefault="00000000" w:rsidP="00F919C7">
      <w:pPr>
        <w:pStyle w:val="isselectedend"/>
        <w:ind w:firstLine="720"/>
        <w:jc w:val="both"/>
      </w:pPr>
      <w:r>
        <w:t xml:space="preserve">Multivariate statistical analyses were performed to evaluate spatial and temporal variations in fish community structure. Species abundance data were square-root transformed prior to analysis to reduce the influence of highly abundant species </w:t>
      </w:r>
      <w:r>
        <w:rPr>
          <w:b/>
          <w:i w:val="0"/>
        </w:rPr>
        <w:t xml:space="preserve">(Bharti </w:t>
      </w:r>
      <w:r>
        <w:rPr>
          <w:b/>
          <w:i/>
        </w:rPr>
        <w:t>et al.,</w:t>
      </w:r>
      <w:r>
        <w:rPr>
          <w:b/>
          <w:i w:val="0"/>
        </w:rPr>
        <w:t xml:space="preserve"> 2025; Khan </w:t>
      </w:r>
      <w:r>
        <w:rPr>
          <w:b/>
          <w:i/>
        </w:rPr>
        <w:t>et al.,</w:t>
      </w:r>
      <w:r>
        <w:rPr>
          <w:b/>
          <w:i w:val="0"/>
        </w:rPr>
        <w:t xml:space="preserve"> 2005)</w:t>
      </w:r>
      <w:r>
        <w:t xml:space="preserve">. Similarity in species composition among samples was assessed using the Bray–Curtis similarity coefficient </w:t>
      </w:r>
      <w:r>
        <w:rPr>
          <w:b/>
          <w:i w:val="0"/>
        </w:rPr>
        <w:t>(Bray &amp; Curtis, 1957)</w:t>
      </w:r>
      <w:r>
        <w:t xml:space="preserve">, followed by cluster analysis to identify patterns in community assemblages </w:t>
      </w:r>
      <w:r>
        <w:rPr>
          <w:b/>
          <w:i w:val="0"/>
        </w:rPr>
        <w:t xml:space="preserve">(Clarke </w:t>
      </w:r>
      <w:r>
        <w:rPr>
          <w:b/>
          <w:i/>
        </w:rPr>
        <w:t>et al.,</w:t>
      </w:r>
      <w:r>
        <w:rPr>
          <w:b/>
          <w:i w:val="0"/>
        </w:rPr>
        <w:t xml:space="preserve"> 2008)</w:t>
      </w:r>
      <w:r>
        <w:t xml:space="preserve">. Non-metric multidimensional scaling (MDS) based on Bray–Curtis similarity matrices was employed to visualise relationships among samples. The goodness-of-fit of the ordination was evaluated using stress values, with lower stress values indicating a better representation of the similarity relationships among samples. Taxonomic distinctness analyses, including variation in taxonomic distinctness, were used to assess the taxonomic structure of fish assemblages. Funnel and ellipse plots were generated to examine deviations from expected taxonomic distributions and to evaluate variability among samples </w:t>
      </w:r>
      <w:r>
        <w:rPr>
          <w:b/>
          <w:i w:val="0"/>
        </w:rPr>
        <w:t xml:space="preserve">(Khan </w:t>
      </w:r>
      <w:r>
        <w:rPr>
          <w:b/>
          <w:i/>
        </w:rPr>
        <w:t>et al.,</w:t>
      </w:r>
      <w:r>
        <w:rPr>
          <w:b/>
          <w:i w:val="0"/>
        </w:rPr>
        <w:t xml:space="preserve"> 2005)</w:t>
      </w:r>
      <w:r>
        <w:t xml:space="preserve">. All diversity and multivariate analyses were performed using the PRIMER-E software package (Version 6) </w:t>
      </w:r>
      <w:r>
        <w:rPr>
          <w:b/>
          <w:i w:val="0"/>
        </w:rPr>
        <w:t>(Clarke &amp; Gorley, 2006; Clarke &amp; Warwick, 2001)</w:t>
      </w:r>
      <w:r>
        <w:t>. The computation of matrices of similarities for pairs of samples was based on the Bray–Curtis similarity measure.</w:t>
      </w:r>
    </w:p>
    <w:p w14:paraId="7FBE48D8" w14:textId="1D78A622" w:rsidR="009F2EB1" w:rsidRPr="00F919C7" w:rsidRDefault="00000000" w:rsidP="00F919C7">
      <w:pPr>
        <w:autoSpaceDE w:val="0"/>
        <w:spacing w:after="0" w:line="240" w:lineRule="auto"/>
        <w:ind w:left="142" w:firstLine="709"/>
        <w:jc w:val="both"/>
        <w:rPr>
          <w:rFonts w:ascii="Times New Roman" w:hAnsi="Times New Roman" w:cs="Times New Roman"/>
          <w:bCs/>
          <w:sz w:val="24"/>
          <w:szCs w:val="24"/>
        </w:rPr>
      </w:pPr>
      <w:r>
        <w:rPr>
          <w:noProof/>
        </w:rPr>
        <w:pict w14:anchorId="677F8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i1025" type="#_x0000_t75" style="width:189pt;height:54.75pt;visibility:visible;mso-wrap-style:square">
            <v:imagedata r:id="rId7" o:title="" croptop="-34f" cropbottom="-34f" cropleft="-10f" cropright="-10f"/>
          </v:shape>
        </w:pict>
      </w:r>
    </w:p>
    <w:p w14:paraId="41FD8C4A" w14:textId="77777777" w:rsidR="009F2EB1" w:rsidRPr="00F919C7" w:rsidRDefault="009F2EB1" w:rsidP="00F919C7">
      <w:pPr>
        <w:spacing w:after="0" w:line="240" w:lineRule="auto"/>
        <w:ind w:left="90"/>
        <w:jc w:val="both"/>
        <w:rPr>
          <w:rFonts w:ascii="Times New Roman" w:hAnsi="Times New Roman" w:cs="Times New Roman"/>
          <w:bCs/>
          <w:sz w:val="24"/>
          <w:szCs w:val="24"/>
        </w:rPr>
      </w:pPr>
    </w:p>
    <w:p w14:paraId="36FBDC9C" w14:textId="77777777" w:rsidR="009F2EB1" w:rsidRPr="00F919C7" w:rsidRDefault="00000000" w:rsidP="00F919C7">
      <w:pPr>
        <w:spacing w:before="120" w:after="0" w:line="240" w:lineRule="auto"/>
        <w:jc w:val="both"/>
        <w:outlineLvl w:val="0"/>
        <w:rPr>
          <w:rFonts w:ascii="Times New Roman" w:hAnsi="Times New Roman" w:cs="Times New Roman"/>
          <w:sz w:val="24"/>
          <w:szCs w:val="24"/>
          <w:lang w:eastAsia="en-SG"/>
        </w:rPr>
      </w:pPr>
      <w:r w:rsidRPr="00F919C7">
        <w:rPr>
          <w:rFonts w:ascii="Times New Roman" w:hAnsi="Times New Roman" w:cs="Times New Roman"/>
          <w:sz w:val="24"/>
          <w:szCs w:val="24"/>
          <w:lang w:eastAsia="en-SG"/>
        </w:rPr>
        <w:t>The goodness-of-fit of the MDS was evaluated by calculating the stress value using the following formula.</w:t>
      </w:r>
    </w:p>
    <w:p w14:paraId="774B0B75" w14:textId="4567DDBC" w:rsidR="009F2EB1" w:rsidRPr="00F919C7" w:rsidRDefault="00BF61DF" w:rsidP="00F919C7">
      <w:pPr>
        <w:spacing w:after="0" w:line="240" w:lineRule="auto"/>
        <w:ind w:left="142" w:firstLine="709"/>
        <w:jc w:val="both"/>
        <w:rPr>
          <w:rFonts w:ascii="Times New Roman" w:hAnsi="Times New Roman" w:cs="Times New Roman"/>
          <w:i/>
          <w:sz w:val="24"/>
          <w:szCs w:val="24"/>
          <w:lang w:eastAsia="en-SG"/>
        </w:rPr>
      </w:pPr>
      <w:r>
        <w:rPr>
          <w:noProof/>
        </w:rPr>
        <w:pict w14:anchorId="7F044B19">
          <v:shape id="Image2" o:spid="_x0000_i1026" type="#_x0000_t75" style="width:237pt;height:30pt;visibility:visible;mso-wrap-style:square">
            <v:imagedata r:id="rId8" o:title="" croptop="-62f" cropbottom="-62f" cropleft="-8f" cropright="-8f"/>
          </v:shape>
        </w:pict>
      </w:r>
    </w:p>
    <w:p w14:paraId="15038FF4" w14:textId="77777777" w:rsidR="009F2EB1" w:rsidRPr="00F919C7" w:rsidRDefault="009F2EB1" w:rsidP="00F919C7">
      <w:pPr>
        <w:spacing w:after="0" w:line="240" w:lineRule="auto"/>
        <w:jc w:val="both"/>
        <w:rPr>
          <w:rFonts w:ascii="Times New Roman" w:hAnsi="Times New Roman" w:cs="Times New Roman"/>
          <w:b/>
          <w:i/>
          <w:sz w:val="24"/>
          <w:szCs w:val="24"/>
          <w:lang w:eastAsia="en-SG"/>
        </w:rPr>
      </w:pPr>
    </w:p>
    <w:p w14:paraId="44B62E46" w14:textId="77777777" w:rsidR="009F2EB1" w:rsidRPr="00F919C7" w:rsidRDefault="00000000" w:rsidP="00F919C7">
      <w:pPr>
        <w:spacing w:after="0" w:line="240" w:lineRule="auto"/>
        <w:jc w:val="both"/>
        <w:rPr>
          <w:rFonts w:ascii="Times New Roman" w:hAnsi="Times New Roman" w:cs="Times New Roman"/>
          <w:b/>
          <w:sz w:val="24"/>
          <w:szCs w:val="24"/>
        </w:rPr>
      </w:pPr>
      <w:r w:rsidRPr="00F919C7">
        <w:rPr>
          <w:rFonts w:ascii="Times New Roman" w:hAnsi="Times New Roman" w:cs="Times New Roman"/>
          <w:b/>
          <w:sz w:val="24"/>
          <w:szCs w:val="24"/>
        </w:rPr>
        <w:t>Results and Discussion</w:t>
      </w:r>
    </w:p>
    <w:p w14:paraId="1C1A1AD5" w14:textId="77777777" w:rsidR="009F2EB1" w:rsidRPr="00F919C7" w:rsidRDefault="00000000" w:rsidP="00F919C7">
      <w:pPr>
        <w:pStyle w:val="NormalWeb"/>
        <w:ind w:firstLine="720"/>
        <w:jc w:val="both"/>
      </w:pPr>
      <w:r w:rsidRPr="00F919C7">
        <w:t xml:space="preserve">During the present investigation, 39 fish species representing 16 families and 8 orders under the class </w:t>
      </w:r>
      <w:r w:rsidRPr="00F919C7">
        <w:rPr>
          <w:rStyle w:val="Emphasis"/>
        </w:rPr>
        <w:t>Actinopterygii</w:t>
      </w:r>
      <w:r w:rsidRPr="00F919C7">
        <w:t xml:space="preserve"> were documented from the Ghaghara River stretch in Ambedkar </w:t>
      </w:r>
      <w:r w:rsidRPr="00F919C7">
        <w:lastRenderedPageBreak/>
        <w:t xml:space="preserve">Nagar District. Among the recorded orders, </w:t>
      </w:r>
      <w:r w:rsidRPr="00F919C7">
        <w:rPr>
          <w:rStyle w:val="Emphasis"/>
        </w:rPr>
        <w:t>Cypriniformes</w:t>
      </w:r>
      <w:r w:rsidRPr="00F919C7">
        <w:t xml:space="preserve"> and </w:t>
      </w:r>
      <w:r w:rsidRPr="00F919C7">
        <w:rPr>
          <w:rStyle w:val="Emphasis"/>
        </w:rPr>
        <w:t>Siluriformes</w:t>
      </w:r>
      <w:r w:rsidRPr="00F919C7">
        <w:t xml:space="preserve"> constituted the major components of the ichthyofauna, each contributing 11 species (28.21%). Collectively, these two orders represented more than half of the total species richness recorded during the study. The family </w:t>
      </w:r>
      <w:r w:rsidRPr="00F919C7">
        <w:rPr>
          <w:rStyle w:val="Emphasis"/>
        </w:rPr>
        <w:t>Cyprinidae</w:t>
      </w:r>
      <w:r w:rsidRPr="00F919C7">
        <w:t xml:space="preserve"> dominated the assemblage with nine species (23.08%), followed by </w:t>
      </w:r>
      <w:r w:rsidRPr="00F919C7">
        <w:rPr>
          <w:rStyle w:val="Emphasis"/>
        </w:rPr>
        <w:t>Bagridae</w:t>
      </w:r>
      <w:r w:rsidRPr="00F919C7">
        <w:t xml:space="preserve"> with five species. The predominance of cyprinids is consistent with observations from many Indian river systems where members of this family contribute substantially to inland fisheries production. Marked temporal fluctuations in species abundance were observed throughout the sampling period, indicating the influence of seasonal environmental changes on fish distribution. In September 2025, </w:t>
      </w:r>
      <w:r w:rsidRPr="00F919C7">
        <w:rPr>
          <w:rStyle w:val="Emphasis"/>
        </w:rPr>
        <w:t>Mystus vittatus</w:t>
      </w:r>
      <w:r w:rsidRPr="00F919C7">
        <w:t xml:space="preserve"> represented the highest proportion of the catch (11.04%), followed by </w:t>
      </w:r>
      <w:r w:rsidRPr="00F919C7">
        <w:rPr>
          <w:rStyle w:val="Emphasis"/>
        </w:rPr>
        <w:t>Puntius sophore</w:t>
      </w:r>
      <w:r w:rsidRPr="00F919C7">
        <w:t xml:space="preserve"> (5.57%), </w:t>
      </w:r>
      <w:r w:rsidRPr="00F919C7">
        <w:rPr>
          <w:rStyle w:val="Emphasis"/>
        </w:rPr>
        <w:t>Parambassis ranga</w:t>
      </w:r>
      <w:r w:rsidRPr="00F919C7">
        <w:t xml:space="preserve"> (5.44%), </w:t>
      </w:r>
      <w:r w:rsidRPr="00F919C7">
        <w:rPr>
          <w:rStyle w:val="Emphasis"/>
        </w:rPr>
        <w:t>Eutropiichthys vacha</w:t>
      </w:r>
      <w:r w:rsidRPr="00F919C7">
        <w:t xml:space="preserve"> (5.19%), </w:t>
      </w:r>
      <w:r w:rsidRPr="00F919C7">
        <w:rPr>
          <w:rStyle w:val="Emphasis"/>
        </w:rPr>
        <w:t>Mystus tengara</w:t>
      </w:r>
      <w:r w:rsidRPr="00F919C7">
        <w:t xml:space="preserve"> (4.85%), and </w:t>
      </w:r>
      <w:r w:rsidRPr="00F919C7">
        <w:rPr>
          <w:rStyle w:val="Emphasis"/>
        </w:rPr>
        <w:t>Heteropneustes fossilis</w:t>
      </w:r>
      <w:r w:rsidRPr="00F919C7">
        <w:t xml:space="preserve"> (4.61%). The increased abundance of these species contributed to the elevated diversity values recorded during the monsoon season.</w:t>
      </w:r>
    </w:p>
    <w:p w14:paraId="30842A55" w14:textId="77777777" w:rsidR="009F2EB1" w:rsidRPr="00F919C7" w:rsidRDefault="00000000" w:rsidP="00F919C7">
      <w:pPr>
        <w:pStyle w:val="NormalWeb"/>
        <w:ind w:firstLine="720"/>
        <w:jc w:val="both"/>
      </w:pPr>
      <w:r w:rsidRPr="00F919C7">
        <w:t>The Margalef richness index varied between 3.54 and 4.79 during the investigation, with the highest value recorded in September 2025, corresponding with the period of maximum fish abundance (Table 2). Seasonal comparisons revealed the greatest species richness during the monsoon season (38 species), followed by the post-monsoon (30 species) and pre-monsoon (25 species) periods (Table 3). Margalef's richness index followed a similar pattern, with values of 4.79, 4.28, and 3.58 recorded for monsoon, post-monsoon, and pre-monsoon seasons, respectively. The enhanced habitat connectivity, increased water volume, and favourable breeding conditions associated with monsoon flooding likely promoted higher diversity and recruitment. Comparable observations have been reported from the Ghaghara River by Kumar et al. (2020).</w:t>
      </w:r>
    </w:p>
    <w:p w14:paraId="5958C742" w14:textId="77777777" w:rsidR="009F2EB1" w:rsidRPr="00F919C7" w:rsidRDefault="00000000" w:rsidP="00F919C7">
      <w:pPr>
        <w:pStyle w:val="NormalWeb"/>
        <w:ind w:firstLine="720"/>
        <w:jc w:val="both"/>
      </w:pPr>
      <w:r>
        <w:t xml:space="preserve">The K-dominance plots provided additional insights into community structure and species evenness. The curve corresponding to September 2025 occupied a lower position and extended further along the horizontal axis, indicating a more equitable distribution of individuals among species and lower dominance by a few taxa (Fig. 1). According to </w:t>
      </w:r>
      <w:r>
        <w:rPr>
          <w:b/>
          <w:i w:val="0"/>
        </w:rPr>
        <w:t>Clarke and Warwick (2001)</w:t>
      </w:r>
      <w:r>
        <w:t xml:space="preserve">, such patterns are characteristic of highly diverse and stable communities. Seasonal K-dominance analysis further demonstrated that the monsoon period supported the highest abundance and diversity of fishes compared with subsequent seasons (Fig. 2). Similar seasonal trends were reported by </w:t>
      </w:r>
      <w:r>
        <w:rPr>
          <w:b/>
          <w:i w:val="0"/>
        </w:rPr>
        <w:t xml:space="preserve">Wanjari </w:t>
      </w:r>
      <w:r>
        <w:rPr>
          <w:b/>
          <w:i/>
        </w:rPr>
        <w:t>et al.</w:t>
      </w:r>
      <w:r>
        <w:rPr>
          <w:b/>
          <w:i w:val="0"/>
        </w:rPr>
        <w:t xml:space="preserve"> (2025)</w:t>
      </w:r>
      <w:r>
        <w:t xml:space="preserve"> and </w:t>
      </w:r>
      <w:r>
        <w:rPr>
          <w:b/>
          <w:i w:val="0"/>
        </w:rPr>
        <w:t xml:space="preserve">Das </w:t>
      </w:r>
      <w:r>
        <w:rPr>
          <w:b/>
          <w:i/>
        </w:rPr>
        <w:t>et al.</w:t>
      </w:r>
      <w:r>
        <w:rPr>
          <w:b/>
          <w:i w:val="0"/>
        </w:rPr>
        <w:t xml:space="preserve"> (2024)</w:t>
      </w:r>
      <w:r>
        <w:t>.</w:t>
      </w:r>
    </w:p>
    <w:p w14:paraId="3DE11AA6" w14:textId="77777777" w:rsidR="009F2EB1" w:rsidRPr="00F919C7" w:rsidRDefault="00000000" w:rsidP="00F919C7">
      <w:pPr>
        <w:pStyle w:val="NormalWeb"/>
        <w:ind w:firstLine="720"/>
        <w:jc w:val="both"/>
      </w:pPr>
      <w:r>
        <w:t xml:space="preserve">Cluster analysis based on Bray-Curtis similarity coefficients demonstrated pronounced temporal structuring of fish assemblages (Table 4 and Fig. 3). The highest similarity value (90.27%) was observed between December 2025 and January 2026, while April and May 2026 exhibited 90.17% similarity. Another highly similar pair comprised November and December 2025 with 89.44% similarity. In contrast, the lowest similarity (45.07%) was observed between October 2025 and April 2026, reflecting considerable seasonal shifts in community composition. Similar temporal patterns in riverine fish assemblages have previously been documented by </w:t>
      </w:r>
      <w:r>
        <w:rPr>
          <w:b/>
          <w:i w:val="0"/>
        </w:rPr>
        <w:t xml:space="preserve">Lakra </w:t>
      </w:r>
      <w:r>
        <w:rPr>
          <w:b/>
          <w:i/>
        </w:rPr>
        <w:t>et al.</w:t>
      </w:r>
      <w:r>
        <w:rPr>
          <w:b/>
          <w:i w:val="0"/>
        </w:rPr>
        <w:t xml:space="preserve"> (2010)</w:t>
      </w:r>
      <w:r>
        <w:t xml:space="preserve"> and </w:t>
      </w:r>
      <w:r>
        <w:rPr>
          <w:b/>
          <w:i w:val="0"/>
        </w:rPr>
        <w:t>Mondal and Bhat (2020)</w:t>
      </w:r>
      <w:r>
        <w:t xml:space="preserve">. Seasonal comparisons revealed Bray-Curtis similarity values ranging from 49.50% to 55.90% (Table 5 and Fig. 4). The post-monsoon and pre-monsoon seasons shared the greatest resemblance in species composition (55.90%), whereas the monsoon and pre-monsoon seasons displayed the lowest similarity (49.50%). These findings indicate that hydrological variability and seasonal habitat changes exert strong influences on fish community organisation. Comparable observations have been reported from eastern Indian aquatic ecosystems by </w:t>
      </w:r>
      <w:r>
        <w:rPr>
          <w:b/>
          <w:i w:val="0"/>
        </w:rPr>
        <w:t xml:space="preserve">Lianthuamluaia </w:t>
      </w:r>
      <w:r>
        <w:rPr>
          <w:b/>
          <w:i/>
        </w:rPr>
        <w:t>et al.</w:t>
      </w:r>
      <w:r>
        <w:rPr>
          <w:b/>
          <w:i w:val="0"/>
        </w:rPr>
        <w:t xml:space="preserve"> (2019)</w:t>
      </w:r>
      <w:r>
        <w:t xml:space="preserve"> and </w:t>
      </w:r>
      <w:r>
        <w:rPr>
          <w:b/>
          <w:i w:val="0"/>
        </w:rPr>
        <w:t xml:space="preserve">Das </w:t>
      </w:r>
      <w:r>
        <w:rPr>
          <w:b/>
          <w:i/>
        </w:rPr>
        <w:t>et al.</w:t>
      </w:r>
      <w:r>
        <w:rPr>
          <w:b/>
          <w:i w:val="0"/>
        </w:rPr>
        <w:t xml:space="preserve"> (2024)</w:t>
      </w:r>
      <w:r>
        <w:t>.</w:t>
      </w:r>
    </w:p>
    <w:p w14:paraId="7FC82CD1" w14:textId="77777777" w:rsidR="009F2EB1" w:rsidRPr="00F919C7" w:rsidRDefault="00000000" w:rsidP="00F919C7">
      <w:pPr>
        <w:pStyle w:val="NormalWeb"/>
        <w:ind w:firstLine="720"/>
        <w:jc w:val="both"/>
      </w:pPr>
      <w:r w:rsidRPr="00F919C7">
        <w:lastRenderedPageBreak/>
        <w:t xml:space="preserve">Species-based clustering showed that </w:t>
      </w:r>
      <w:r w:rsidRPr="00F919C7">
        <w:rPr>
          <w:rStyle w:val="Emphasis"/>
        </w:rPr>
        <w:t>Hypophthalmichthys molitrix</w:t>
      </w:r>
      <w:r w:rsidRPr="00F919C7">
        <w:t xml:space="preserve"> and </w:t>
      </w:r>
      <w:r w:rsidRPr="00F919C7">
        <w:rPr>
          <w:rStyle w:val="Emphasis"/>
        </w:rPr>
        <w:t>Labeo calbasu</w:t>
      </w:r>
      <w:r w:rsidRPr="00F919C7">
        <w:t xml:space="preserve"> exhibited the highest similarity value (91.93%), suggesting comparable occurrence patterns within the study area (Fig. 5). Several additional species groups also displayed strong associations, whereas </w:t>
      </w:r>
      <w:r w:rsidRPr="00F919C7">
        <w:rPr>
          <w:rStyle w:val="Emphasis"/>
        </w:rPr>
        <w:t>Channa marulius</w:t>
      </w:r>
      <w:r w:rsidRPr="00F919C7">
        <w:t xml:space="preserve"> remained relatively isolated within the dendrogram, indicating differences in ecological requirements and habitat utilization. Similar interpretations have been provided by </w:t>
      </w:r>
      <w:r w:rsidRPr="00F919C7">
        <w:rPr>
          <w:b/>
          <w:bCs/>
        </w:rPr>
        <w:t>Clarke and Warwick (2001).</w:t>
      </w:r>
    </w:p>
    <w:p w14:paraId="3D6C37F3" w14:textId="77777777" w:rsidR="009F2EB1" w:rsidRPr="00F919C7" w:rsidRDefault="00000000" w:rsidP="00F919C7">
      <w:pPr>
        <w:pStyle w:val="NormalWeb"/>
        <w:ind w:firstLine="720"/>
        <w:jc w:val="both"/>
      </w:pPr>
      <w:r w:rsidRPr="00F919C7">
        <w:t xml:space="preserve">The multidimensional scaling ordination generated a stress value of 0.01, indicating excellent representation of the similarity relationships among samples and confirming the robustness of the clustering pattern (Fig. 6). Clarke (1993) suggested that stress values below 0.05 represent highly reliable ordinations with minimal risk of misinterpretation. Taxonomic distinctness analysis showed that all Lambda+ values were contained within the 95% confidence funnel, indicating no significant departure from the expected taxonomic structure of the fish assemblage (Fig. 7). </w:t>
      </w:r>
    </w:p>
    <w:p w14:paraId="7BAB4003" w14:textId="77777777" w:rsidR="009F2EB1" w:rsidRPr="00F919C7" w:rsidRDefault="00000000" w:rsidP="00F919C7">
      <w:pPr>
        <w:pStyle w:val="NormalWeb"/>
        <w:ind w:firstLine="720"/>
        <w:jc w:val="both"/>
      </w:pPr>
      <w:r w:rsidRPr="00F919C7">
        <w:t>Assessment of conservation status based on the IUCN Red List (IUCN, 2026) indicated that 31 species (79.49%) belonged to the Least Concern category, whereas seven species (17.95%) were classified as Near Threatened and one species (2.56%) as Vulnerable (Table 7). Although the fish assemblage was largely composed of widely distributed and stable species, the presence of conservation-priority taxa emphasises the ecological significance of the river ecosystem and highlights the necessity for effective conservation strategies.</w:t>
      </w:r>
    </w:p>
    <w:p w14:paraId="73C3B204" w14:textId="77777777" w:rsidR="009F2EB1" w:rsidRPr="00F919C7" w:rsidRDefault="00000000" w:rsidP="00F919C7">
      <w:pPr>
        <w:pStyle w:val="NormalWeb"/>
        <w:ind w:firstLine="720"/>
        <w:jc w:val="both"/>
      </w:pPr>
      <w:r w:rsidRPr="00F919C7">
        <w:t xml:space="preserve">Canonical Correspondence Analysis identified water quality variables as important determinants of fish distribution patterns (Fig. 8). Temperature, dissolved oxygen, and pH exerted the strongest influence on community structure, whereas total dissolved solids and alkalinity showed comparatively moderate effects. Electrical conductivity and ammonia contributed less to the observed variation in species distribution. The species </w:t>
      </w:r>
      <w:r w:rsidRPr="00F919C7">
        <w:rPr>
          <w:rStyle w:val="Emphasis"/>
        </w:rPr>
        <w:t>Puntius sophore</w:t>
      </w:r>
      <w:r w:rsidRPr="00F919C7">
        <w:t xml:space="preserve"> were positively associated with favourable environmental conditions characterized by suitable temperature, dissolved oxygen concentration, and pH. Other species, including </w:t>
      </w:r>
      <w:r w:rsidRPr="00F919C7">
        <w:rPr>
          <w:rStyle w:val="Emphasis"/>
        </w:rPr>
        <w:t>Parambassis ranga</w:t>
      </w:r>
      <w:r w:rsidRPr="00F919C7">
        <w:t xml:space="preserve">, </w:t>
      </w:r>
      <w:r w:rsidRPr="00F919C7">
        <w:rPr>
          <w:rStyle w:val="Emphasis"/>
        </w:rPr>
        <w:t>Xenentodon cancila</w:t>
      </w:r>
      <w:r w:rsidRPr="00F919C7">
        <w:t xml:space="preserve">, </w:t>
      </w:r>
      <w:r w:rsidRPr="00F919C7">
        <w:rPr>
          <w:rStyle w:val="Emphasis"/>
        </w:rPr>
        <w:t>Mystus cavasius</w:t>
      </w:r>
      <w:r w:rsidRPr="00F919C7">
        <w:t xml:space="preserve">, and </w:t>
      </w:r>
      <w:r w:rsidRPr="00F919C7">
        <w:rPr>
          <w:rStyle w:val="Emphasis"/>
        </w:rPr>
        <w:t>Sperata seenghala</w:t>
      </w:r>
      <w:r w:rsidRPr="00F919C7">
        <w:t xml:space="preserve"> were associated with environmental gradients represented along the second canonical axis. In contrast, </w:t>
      </w:r>
      <w:r w:rsidRPr="00F919C7">
        <w:rPr>
          <w:rStyle w:val="Emphasis"/>
        </w:rPr>
        <w:t>Eutropiichthys murius</w:t>
      </w:r>
      <w:r w:rsidRPr="00F919C7">
        <w:t xml:space="preserve">, </w:t>
      </w:r>
      <w:r w:rsidRPr="00F919C7">
        <w:rPr>
          <w:rStyle w:val="Emphasis"/>
        </w:rPr>
        <w:t>Hypophthalmichthys molitrix</w:t>
      </w:r>
      <w:r w:rsidRPr="00F919C7">
        <w:t xml:space="preserve">, and </w:t>
      </w:r>
      <w:r w:rsidRPr="00F919C7">
        <w:rPr>
          <w:rStyle w:val="Emphasis"/>
        </w:rPr>
        <w:t>Cirrhinus reba</w:t>
      </w:r>
      <w:r w:rsidRPr="00F919C7">
        <w:t xml:space="preserve"> occupied relatively distinct positions within the ordination space, indicating different ecological preferences. The first canonical axis explained 99.80% of the total variation (p = 0.001), demonstrating that fish assemblage composition was strongly influenced by a dominant environmental gradient.</w:t>
      </w:r>
    </w:p>
    <w:p w14:paraId="35913844" w14:textId="77777777" w:rsidR="009F2EB1" w:rsidRPr="00F919C7" w:rsidRDefault="00000000" w:rsidP="00F919C7">
      <w:pPr>
        <w:pStyle w:val="NormalWeb"/>
        <w:ind w:firstLine="720"/>
        <w:jc w:val="both"/>
      </w:pPr>
      <w:r w:rsidRPr="00F919C7">
        <w:t>Normal probability plots showed that most physicochemical parameters closely approximated normal distributions, with correlation coefficients reaching 0.9795 (Fig. 8). Among the measured variables, pH exhibited the closest fit to normality, whereas ammonia displayed minor deviations. Overall, the results indicate that the aquatic environment remained relatively stable throughout the study period.</w:t>
      </w:r>
    </w:p>
    <w:p w14:paraId="1F286970" w14:textId="77777777" w:rsidR="009F2EB1" w:rsidRPr="00F919C7" w:rsidRDefault="00000000" w:rsidP="00F919C7">
      <w:pPr>
        <w:spacing w:after="0" w:line="240" w:lineRule="auto"/>
        <w:jc w:val="both"/>
        <w:rPr>
          <w:rFonts w:ascii="Times New Roman" w:hAnsi="Times New Roman" w:cs="Times New Roman"/>
          <w:b/>
          <w:bCs/>
          <w:sz w:val="24"/>
          <w:szCs w:val="24"/>
        </w:rPr>
      </w:pPr>
      <w:r w:rsidRPr="00F919C7">
        <w:rPr>
          <w:rFonts w:ascii="Times New Roman" w:hAnsi="Times New Roman" w:cs="Times New Roman"/>
          <w:b/>
          <w:bCs/>
          <w:sz w:val="24"/>
          <w:szCs w:val="24"/>
        </w:rPr>
        <w:t>Table 2: Variation in different indices based on species abundance (Month wise)</w:t>
      </w:r>
    </w:p>
    <w:tbl>
      <w:tblPr>
        <w:tblW w:w="4850" w:type="pct"/>
        <w:tblInd w:w="108" w:type="dxa"/>
        <w:tblLayout w:type="fixed"/>
        <w:tblLook w:val="04A0" w:firstRow="1" w:lastRow="0" w:firstColumn="1" w:lastColumn="0" w:noHBand="0" w:noVBand="1"/>
      </w:tblPr>
      <w:tblGrid>
        <w:gridCol w:w="1378"/>
        <w:gridCol w:w="531"/>
        <w:gridCol w:w="1167"/>
        <w:gridCol w:w="831"/>
        <w:gridCol w:w="831"/>
        <w:gridCol w:w="1181"/>
        <w:gridCol w:w="1464"/>
        <w:gridCol w:w="961"/>
        <w:gridCol w:w="883"/>
      </w:tblGrid>
      <w:tr w:rsidR="009F2EB1" w:rsidRPr="00F919C7" w14:paraId="7E445365"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6C61B444"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Months</w:t>
            </w:r>
          </w:p>
        </w:tc>
        <w:tc>
          <w:tcPr>
            <w:tcW w:w="519" w:type="dxa"/>
            <w:tcBorders>
              <w:top w:val="single" w:sz="4" w:space="0" w:color="000000"/>
              <w:left w:val="single" w:sz="4" w:space="0" w:color="000000"/>
              <w:bottom w:val="single" w:sz="4" w:space="0" w:color="000000"/>
              <w:right w:val="single" w:sz="4" w:space="0" w:color="000000"/>
            </w:tcBorders>
          </w:tcPr>
          <w:p w14:paraId="7B4D98F3"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S</w:t>
            </w:r>
          </w:p>
        </w:tc>
        <w:tc>
          <w:tcPr>
            <w:tcW w:w="1140" w:type="dxa"/>
            <w:tcBorders>
              <w:top w:val="single" w:sz="4" w:space="0" w:color="000000"/>
              <w:left w:val="single" w:sz="4" w:space="0" w:color="000000"/>
              <w:bottom w:val="single" w:sz="4" w:space="0" w:color="000000"/>
              <w:right w:val="single" w:sz="4" w:space="0" w:color="000000"/>
            </w:tcBorders>
          </w:tcPr>
          <w:p w14:paraId="6AF1930B"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N</w:t>
            </w:r>
          </w:p>
        </w:tc>
        <w:tc>
          <w:tcPr>
            <w:tcW w:w="812" w:type="dxa"/>
            <w:tcBorders>
              <w:top w:val="single" w:sz="4" w:space="0" w:color="000000"/>
              <w:left w:val="single" w:sz="4" w:space="0" w:color="000000"/>
              <w:bottom w:val="single" w:sz="4" w:space="0" w:color="000000"/>
              <w:right w:val="single" w:sz="4" w:space="0" w:color="000000"/>
            </w:tcBorders>
          </w:tcPr>
          <w:p w14:paraId="50A2F51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d</w:t>
            </w:r>
          </w:p>
        </w:tc>
        <w:tc>
          <w:tcPr>
            <w:tcW w:w="812" w:type="dxa"/>
            <w:tcBorders>
              <w:top w:val="single" w:sz="4" w:space="0" w:color="000000"/>
              <w:left w:val="single" w:sz="4" w:space="0" w:color="000000"/>
              <w:bottom w:val="single" w:sz="4" w:space="0" w:color="000000"/>
              <w:right w:val="single" w:sz="4" w:space="0" w:color="000000"/>
            </w:tcBorders>
          </w:tcPr>
          <w:p w14:paraId="16A098EB"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J'</w:t>
            </w:r>
          </w:p>
        </w:tc>
        <w:tc>
          <w:tcPr>
            <w:tcW w:w="1154" w:type="dxa"/>
            <w:tcBorders>
              <w:top w:val="single" w:sz="4" w:space="0" w:color="000000"/>
              <w:left w:val="single" w:sz="4" w:space="0" w:color="000000"/>
              <w:bottom w:val="single" w:sz="4" w:space="0" w:color="000000"/>
              <w:right w:val="single" w:sz="4" w:space="0" w:color="000000"/>
            </w:tcBorders>
          </w:tcPr>
          <w:p w14:paraId="2A173FFF"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H'(loge)</w:t>
            </w:r>
          </w:p>
        </w:tc>
        <w:tc>
          <w:tcPr>
            <w:tcW w:w="1431" w:type="dxa"/>
            <w:tcBorders>
              <w:top w:val="single" w:sz="4" w:space="0" w:color="000000"/>
              <w:left w:val="single" w:sz="4" w:space="0" w:color="000000"/>
              <w:bottom w:val="single" w:sz="4" w:space="0" w:color="000000"/>
              <w:right w:val="single" w:sz="4" w:space="0" w:color="000000"/>
            </w:tcBorders>
          </w:tcPr>
          <w:p w14:paraId="58FEDE3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1-Lambda'</w:t>
            </w:r>
          </w:p>
        </w:tc>
        <w:tc>
          <w:tcPr>
            <w:tcW w:w="939" w:type="dxa"/>
            <w:tcBorders>
              <w:top w:val="single" w:sz="4" w:space="0" w:color="000000"/>
              <w:left w:val="single" w:sz="4" w:space="0" w:color="000000"/>
              <w:bottom w:val="single" w:sz="4" w:space="0" w:color="000000"/>
              <w:right w:val="single" w:sz="4" w:space="0" w:color="000000"/>
            </w:tcBorders>
          </w:tcPr>
          <w:p w14:paraId="449F05B9"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N1</w:t>
            </w:r>
          </w:p>
        </w:tc>
        <w:tc>
          <w:tcPr>
            <w:tcW w:w="863" w:type="dxa"/>
            <w:tcBorders>
              <w:top w:val="single" w:sz="4" w:space="0" w:color="000000"/>
              <w:left w:val="single" w:sz="4" w:space="0" w:color="000000"/>
              <w:bottom w:val="single" w:sz="4" w:space="0" w:color="000000"/>
              <w:right w:val="single" w:sz="4" w:space="0" w:color="000000"/>
            </w:tcBorders>
          </w:tcPr>
          <w:p w14:paraId="23AB50B7"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N2</w:t>
            </w:r>
          </w:p>
        </w:tc>
      </w:tr>
      <w:tr w:rsidR="009F2EB1" w:rsidRPr="00F919C7" w14:paraId="746A78FD"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1E403E8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Sep.2025</w:t>
            </w:r>
          </w:p>
        </w:tc>
        <w:tc>
          <w:tcPr>
            <w:tcW w:w="519" w:type="dxa"/>
            <w:tcBorders>
              <w:top w:val="single" w:sz="4" w:space="0" w:color="000000"/>
              <w:left w:val="single" w:sz="4" w:space="0" w:color="000000"/>
              <w:bottom w:val="single" w:sz="4" w:space="0" w:color="000000"/>
              <w:right w:val="single" w:sz="4" w:space="0" w:color="000000"/>
            </w:tcBorders>
          </w:tcPr>
          <w:p w14:paraId="21AABB99"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38</w:t>
            </w:r>
          </w:p>
        </w:tc>
        <w:tc>
          <w:tcPr>
            <w:tcW w:w="1140" w:type="dxa"/>
            <w:tcBorders>
              <w:top w:val="single" w:sz="4" w:space="0" w:color="000000"/>
              <w:left w:val="single" w:sz="4" w:space="0" w:color="000000"/>
              <w:bottom w:val="single" w:sz="4" w:space="0" w:color="000000"/>
              <w:right w:val="single" w:sz="4" w:space="0" w:color="000000"/>
            </w:tcBorders>
          </w:tcPr>
          <w:p w14:paraId="2DEBA32A"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2275.4</w:t>
            </w:r>
          </w:p>
        </w:tc>
        <w:tc>
          <w:tcPr>
            <w:tcW w:w="812" w:type="dxa"/>
            <w:tcBorders>
              <w:top w:val="single" w:sz="4" w:space="0" w:color="000000"/>
              <w:left w:val="single" w:sz="4" w:space="0" w:color="000000"/>
              <w:bottom w:val="single" w:sz="4" w:space="0" w:color="000000"/>
              <w:right w:val="single" w:sz="4" w:space="0" w:color="000000"/>
            </w:tcBorders>
            <w:vAlign w:val="center"/>
          </w:tcPr>
          <w:p w14:paraId="43DF6025"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hAnsi="Times New Roman" w:cs="Times New Roman"/>
                <w:b/>
                <w:bCs/>
                <w:sz w:val="24"/>
                <w:szCs w:val="24"/>
              </w:rPr>
              <w:t>4.787</w:t>
            </w:r>
          </w:p>
        </w:tc>
        <w:tc>
          <w:tcPr>
            <w:tcW w:w="812" w:type="dxa"/>
            <w:tcBorders>
              <w:top w:val="single" w:sz="4" w:space="0" w:color="000000"/>
              <w:left w:val="single" w:sz="4" w:space="0" w:color="000000"/>
              <w:bottom w:val="single" w:sz="4" w:space="0" w:color="000000"/>
              <w:right w:val="single" w:sz="4" w:space="0" w:color="000000"/>
            </w:tcBorders>
            <w:vAlign w:val="center"/>
          </w:tcPr>
          <w:p w14:paraId="6B7835C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0.944</w:t>
            </w:r>
          </w:p>
        </w:tc>
        <w:tc>
          <w:tcPr>
            <w:tcW w:w="1154" w:type="dxa"/>
            <w:tcBorders>
              <w:top w:val="single" w:sz="4" w:space="0" w:color="000000"/>
              <w:left w:val="single" w:sz="4" w:space="0" w:color="000000"/>
              <w:bottom w:val="single" w:sz="4" w:space="0" w:color="000000"/>
              <w:right w:val="single" w:sz="4" w:space="0" w:color="000000"/>
            </w:tcBorders>
            <w:vAlign w:val="center"/>
          </w:tcPr>
          <w:p w14:paraId="7DB3A798"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3.433</w:t>
            </w:r>
          </w:p>
        </w:tc>
        <w:tc>
          <w:tcPr>
            <w:tcW w:w="1431" w:type="dxa"/>
            <w:tcBorders>
              <w:top w:val="single" w:sz="4" w:space="0" w:color="000000"/>
              <w:left w:val="single" w:sz="4" w:space="0" w:color="000000"/>
              <w:bottom w:val="single" w:sz="4" w:space="0" w:color="000000"/>
              <w:right w:val="single" w:sz="4" w:space="0" w:color="000000"/>
            </w:tcBorders>
            <w:vAlign w:val="center"/>
          </w:tcPr>
          <w:p w14:paraId="70317B1C"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hAnsi="Times New Roman" w:cs="Times New Roman"/>
                <w:b/>
                <w:bCs/>
                <w:sz w:val="24"/>
                <w:szCs w:val="24"/>
              </w:rPr>
              <w:t>0.960</w:t>
            </w:r>
          </w:p>
        </w:tc>
        <w:tc>
          <w:tcPr>
            <w:tcW w:w="939" w:type="dxa"/>
            <w:tcBorders>
              <w:top w:val="single" w:sz="4" w:space="0" w:color="000000"/>
              <w:left w:val="single" w:sz="4" w:space="0" w:color="000000"/>
              <w:bottom w:val="single" w:sz="4" w:space="0" w:color="000000"/>
              <w:right w:val="single" w:sz="4" w:space="0" w:color="000000"/>
            </w:tcBorders>
            <w:vAlign w:val="center"/>
          </w:tcPr>
          <w:p w14:paraId="354CDBF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30.957</w:t>
            </w:r>
          </w:p>
        </w:tc>
        <w:tc>
          <w:tcPr>
            <w:tcW w:w="863" w:type="dxa"/>
            <w:tcBorders>
              <w:top w:val="single" w:sz="4" w:space="0" w:color="000000"/>
              <w:left w:val="single" w:sz="4" w:space="0" w:color="000000"/>
              <w:bottom w:val="single" w:sz="4" w:space="0" w:color="000000"/>
              <w:right w:val="single" w:sz="4" w:space="0" w:color="000000"/>
            </w:tcBorders>
            <w:vAlign w:val="center"/>
          </w:tcPr>
          <w:p w14:paraId="609FFAEE"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24.891</w:t>
            </w:r>
          </w:p>
        </w:tc>
      </w:tr>
      <w:tr w:rsidR="009F2EB1" w:rsidRPr="00F919C7" w14:paraId="531EA70F"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33B07DC5"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Oct.2025</w:t>
            </w:r>
          </w:p>
        </w:tc>
        <w:tc>
          <w:tcPr>
            <w:tcW w:w="519" w:type="dxa"/>
            <w:tcBorders>
              <w:top w:val="single" w:sz="4" w:space="0" w:color="000000"/>
              <w:left w:val="single" w:sz="4" w:space="0" w:color="000000"/>
              <w:bottom w:val="single" w:sz="4" w:space="0" w:color="000000"/>
              <w:right w:val="single" w:sz="4" w:space="0" w:color="000000"/>
            </w:tcBorders>
          </w:tcPr>
          <w:p w14:paraId="14D5ABC9"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29</w:t>
            </w:r>
          </w:p>
        </w:tc>
        <w:tc>
          <w:tcPr>
            <w:tcW w:w="1140" w:type="dxa"/>
            <w:tcBorders>
              <w:top w:val="single" w:sz="4" w:space="0" w:color="000000"/>
              <w:left w:val="single" w:sz="4" w:space="0" w:color="000000"/>
              <w:bottom w:val="single" w:sz="4" w:space="0" w:color="000000"/>
              <w:right w:val="single" w:sz="4" w:space="0" w:color="000000"/>
            </w:tcBorders>
          </w:tcPr>
          <w:p w14:paraId="642C00D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1089.32</w:t>
            </w:r>
          </w:p>
        </w:tc>
        <w:tc>
          <w:tcPr>
            <w:tcW w:w="812" w:type="dxa"/>
            <w:tcBorders>
              <w:top w:val="single" w:sz="4" w:space="0" w:color="000000"/>
              <w:left w:val="single" w:sz="4" w:space="0" w:color="000000"/>
              <w:bottom w:val="single" w:sz="4" w:space="0" w:color="000000"/>
              <w:right w:val="single" w:sz="4" w:space="0" w:color="000000"/>
            </w:tcBorders>
            <w:vAlign w:val="center"/>
          </w:tcPr>
          <w:p w14:paraId="0729AC4D"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4.004</w:t>
            </w:r>
          </w:p>
        </w:tc>
        <w:tc>
          <w:tcPr>
            <w:tcW w:w="812" w:type="dxa"/>
            <w:tcBorders>
              <w:top w:val="single" w:sz="4" w:space="0" w:color="000000"/>
              <w:left w:val="single" w:sz="4" w:space="0" w:color="000000"/>
              <w:bottom w:val="single" w:sz="4" w:space="0" w:color="000000"/>
              <w:right w:val="single" w:sz="4" w:space="0" w:color="000000"/>
            </w:tcBorders>
            <w:vAlign w:val="center"/>
          </w:tcPr>
          <w:p w14:paraId="64C3B82C"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0.916</w:t>
            </w:r>
          </w:p>
        </w:tc>
        <w:tc>
          <w:tcPr>
            <w:tcW w:w="1154" w:type="dxa"/>
            <w:tcBorders>
              <w:top w:val="single" w:sz="4" w:space="0" w:color="000000"/>
              <w:left w:val="single" w:sz="4" w:space="0" w:color="000000"/>
              <w:bottom w:val="single" w:sz="4" w:space="0" w:color="000000"/>
              <w:right w:val="single" w:sz="4" w:space="0" w:color="000000"/>
            </w:tcBorders>
            <w:vAlign w:val="center"/>
          </w:tcPr>
          <w:p w14:paraId="437D64A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3.085</w:t>
            </w:r>
          </w:p>
        </w:tc>
        <w:tc>
          <w:tcPr>
            <w:tcW w:w="1431" w:type="dxa"/>
            <w:tcBorders>
              <w:top w:val="single" w:sz="4" w:space="0" w:color="000000"/>
              <w:left w:val="single" w:sz="4" w:space="0" w:color="000000"/>
              <w:bottom w:val="single" w:sz="4" w:space="0" w:color="000000"/>
              <w:right w:val="single" w:sz="4" w:space="0" w:color="000000"/>
            </w:tcBorders>
            <w:vAlign w:val="center"/>
          </w:tcPr>
          <w:p w14:paraId="3C8B0707"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0.945</w:t>
            </w:r>
          </w:p>
        </w:tc>
        <w:tc>
          <w:tcPr>
            <w:tcW w:w="939" w:type="dxa"/>
            <w:tcBorders>
              <w:top w:val="single" w:sz="4" w:space="0" w:color="000000"/>
              <w:left w:val="single" w:sz="4" w:space="0" w:color="000000"/>
              <w:bottom w:val="single" w:sz="4" w:space="0" w:color="000000"/>
              <w:right w:val="single" w:sz="4" w:space="0" w:color="000000"/>
            </w:tcBorders>
            <w:vAlign w:val="center"/>
          </w:tcPr>
          <w:p w14:paraId="3C995F6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21.859</w:t>
            </w:r>
          </w:p>
        </w:tc>
        <w:tc>
          <w:tcPr>
            <w:tcW w:w="863" w:type="dxa"/>
            <w:tcBorders>
              <w:top w:val="single" w:sz="4" w:space="0" w:color="000000"/>
              <w:left w:val="single" w:sz="4" w:space="0" w:color="000000"/>
              <w:bottom w:val="single" w:sz="4" w:space="0" w:color="000000"/>
              <w:right w:val="single" w:sz="4" w:space="0" w:color="000000"/>
            </w:tcBorders>
            <w:vAlign w:val="center"/>
          </w:tcPr>
          <w:p w14:paraId="62EDAD4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17.834</w:t>
            </w:r>
          </w:p>
        </w:tc>
      </w:tr>
      <w:tr w:rsidR="009F2EB1" w:rsidRPr="00F919C7" w14:paraId="723E6295"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59FBD1D9"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Nov. 2025</w:t>
            </w:r>
          </w:p>
        </w:tc>
        <w:tc>
          <w:tcPr>
            <w:tcW w:w="519" w:type="dxa"/>
            <w:tcBorders>
              <w:top w:val="single" w:sz="4" w:space="0" w:color="000000"/>
              <w:left w:val="single" w:sz="4" w:space="0" w:color="000000"/>
              <w:bottom w:val="single" w:sz="4" w:space="0" w:color="000000"/>
              <w:right w:val="single" w:sz="4" w:space="0" w:color="000000"/>
            </w:tcBorders>
          </w:tcPr>
          <w:p w14:paraId="2CAE652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28</w:t>
            </w:r>
          </w:p>
        </w:tc>
        <w:tc>
          <w:tcPr>
            <w:tcW w:w="1140" w:type="dxa"/>
            <w:tcBorders>
              <w:top w:val="single" w:sz="4" w:space="0" w:color="000000"/>
              <w:left w:val="single" w:sz="4" w:space="0" w:color="000000"/>
              <w:bottom w:val="single" w:sz="4" w:space="0" w:color="000000"/>
              <w:right w:val="single" w:sz="4" w:space="0" w:color="000000"/>
            </w:tcBorders>
          </w:tcPr>
          <w:p w14:paraId="396B2B30"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780.001</w:t>
            </w:r>
          </w:p>
        </w:tc>
        <w:tc>
          <w:tcPr>
            <w:tcW w:w="812" w:type="dxa"/>
            <w:tcBorders>
              <w:top w:val="single" w:sz="4" w:space="0" w:color="000000"/>
              <w:left w:val="single" w:sz="4" w:space="0" w:color="000000"/>
              <w:bottom w:val="single" w:sz="4" w:space="0" w:color="000000"/>
              <w:right w:val="single" w:sz="4" w:space="0" w:color="000000"/>
            </w:tcBorders>
            <w:vAlign w:val="center"/>
          </w:tcPr>
          <w:p w14:paraId="5F6495B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4.054</w:t>
            </w:r>
          </w:p>
        </w:tc>
        <w:tc>
          <w:tcPr>
            <w:tcW w:w="812" w:type="dxa"/>
            <w:tcBorders>
              <w:top w:val="single" w:sz="4" w:space="0" w:color="000000"/>
              <w:left w:val="single" w:sz="4" w:space="0" w:color="000000"/>
              <w:bottom w:val="single" w:sz="4" w:space="0" w:color="000000"/>
              <w:right w:val="single" w:sz="4" w:space="0" w:color="000000"/>
            </w:tcBorders>
            <w:vAlign w:val="center"/>
          </w:tcPr>
          <w:p w14:paraId="30D19AE7"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0.919</w:t>
            </w:r>
          </w:p>
        </w:tc>
        <w:tc>
          <w:tcPr>
            <w:tcW w:w="1154" w:type="dxa"/>
            <w:tcBorders>
              <w:top w:val="single" w:sz="4" w:space="0" w:color="000000"/>
              <w:left w:val="single" w:sz="4" w:space="0" w:color="000000"/>
              <w:bottom w:val="single" w:sz="4" w:space="0" w:color="000000"/>
              <w:right w:val="single" w:sz="4" w:space="0" w:color="000000"/>
            </w:tcBorders>
            <w:vAlign w:val="center"/>
          </w:tcPr>
          <w:p w14:paraId="7430539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3.064</w:t>
            </w:r>
          </w:p>
        </w:tc>
        <w:tc>
          <w:tcPr>
            <w:tcW w:w="1431" w:type="dxa"/>
            <w:tcBorders>
              <w:top w:val="single" w:sz="4" w:space="0" w:color="000000"/>
              <w:left w:val="single" w:sz="4" w:space="0" w:color="000000"/>
              <w:bottom w:val="single" w:sz="4" w:space="0" w:color="000000"/>
              <w:right w:val="single" w:sz="4" w:space="0" w:color="000000"/>
            </w:tcBorders>
            <w:vAlign w:val="center"/>
          </w:tcPr>
          <w:p w14:paraId="7D032F6D"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0.944</w:t>
            </w:r>
          </w:p>
        </w:tc>
        <w:tc>
          <w:tcPr>
            <w:tcW w:w="939" w:type="dxa"/>
            <w:tcBorders>
              <w:top w:val="single" w:sz="4" w:space="0" w:color="000000"/>
              <w:left w:val="single" w:sz="4" w:space="0" w:color="000000"/>
              <w:bottom w:val="single" w:sz="4" w:space="0" w:color="000000"/>
              <w:right w:val="single" w:sz="4" w:space="0" w:color="000000"/>
            </w:tcBorders>
            <w:vAlign w:val="center"/>
          </w:tcPr>
          <w:p w14:paraId="7E3F60B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21.411</w:t>
            </w:r>
          </w:p>
        </w:tc>
        <w:tc>
          <w:tcPr>
            <w:tcW w:w="863" w:type="dxa"/>
            <w:tcBorders>
              <w:top w:val="single" w:sz="4" w:space="0" w:color="000000"/>
              <w:left w:val="single" w:sz="4" w:space="0" w:color="000000"/>
              <w:bottom w:val="single" w:sz="4" w:space="0" w:color="000000"/>
              <w:right w:val="single" w:sz="4" w:space="0" w:color="000000"/>
            </w:tcBorders>
            <w:vAlign w:val="center"/>
          </w:tcPr>
          <w:p w14:paraId="606DE02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17.487</w:t>
            </w:r>
          </w:p>
        </w:tc>
      </w:tr>
      <w:tr w:rsidR="009F2EB1" w:rsidRPr="00F919C7" w14:paraId="58AF26D7"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5E58E377"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Dec. 2025</w:t>
            </w:r>
          </w:p>
        </w:tc>
        <w:tc>
          <w:tcPr>
            <w:tcW w:w="519" w:type="dxa"/>
            <w:tcBorders>
              <w:top w:val="single" w:sz="4" w:space="0" w:color="000000"/>
              <w:left w:val="single" w:sz="4" w:space="0" w:color="000000"/>
              <w:bottom w:val="single" w:sz="4" w:space="0" w:color="000000"/>
              <w:right w:val="single" w:sz="4" w:space="0" w:color="000000"/>
            </w:tcBorders>
          </w:tcPr>
          <w:p w14:paraId="131B377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28</w:t>
            </w:r>
          </w:p>
        </w:tc>
        <w:tc>
          <w:tcPr>
            <w:tcW w:w="1140" w:type="dxa"/>
            <w:tcBorders>
              <w:top w:val="single" w:sz="4" w:space="0" w:color="000000"/>
              <w:left w:val="single" w:sz="4" w:space="0" w:color="000000"/>
              <w:bottom w:val="single" w:sz="4" w:space="0" w:color="000000"/>
              <w:right w:val="single" w:sz="4" w:space="0" w:color="000000"/>
            </w:tcBorders>
          </w:tcPr>
          <w:p w14:paraId="162B343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775.51</w:t>
            </w:r>
          </w:p>
        </w:tc>
        <w:tc>
          <w:tcPr>
            <w:tcW w:w="812" w:type="dxa"/>
            <w:tcBorders>
              <w:top w:val="single" w:sz="4" w:space="0" w:color="000000"/>
              <w:left w:val="single" w:sz="4" w:space="0" w:color="000000"/>
              <w:bottom w:val="single" w:sz="4" w:space="0" w:color="000000"/>
              <w:right w:val="single" w:sz="4" w:space="0" w:color="000000"/>
            </w:tcBorders>
            <w:vAlign w:val="center"/>
          </w:tcPr>
          <w:p w14:paraId="127EB1A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4.058</w:t>
            </w:r>
          </w:p>
        </w:tc>
        <w:tc>
          <w:tcPr>
            <w:tcW w:w="812" w:type="dxa"/>
            <w:tcBorders>
              <w:top w:val="single" w:sz="4" w:space="0" w:color="000000"/>
              <w:left w:val="single" w:sz="4" w:space="0" w:color="000000"/>
              <w:bottom w:val="single" w:sz="4" w:space="0" w:color="000000"/>
              <w:right w:val="single" w:sz="4" w:space="0" w:color="000000"/>
            </w:tcBorders>
            <w:vAlign w:val="center"/>
          </w:tcPr>
          <w:p w14:paraId="2171B8F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0.927</w:t>
            </w:r>
          </w:p>
        </w:tc>
        <w:tc>
          <w:tcPr>
            <w:tcW w:w="1154" w:type="dxa"/>
            <w:tcBorders>
              <w:top w:val="single" w:sz="4" w:space="0" w:color="000000"/>
              <w:left w:val="single" w:sz="4" w:space="0" w:color="000000"/>
              <w:bottom w:val="single" w:sz="4" w:space="0" w:color="000000"/>
              <w:right w:val="single" w:sz="4" w:space="0" w:color="000000"/>
            </w:tcBorders>
            <w:vAlign w:val="center"/>
          </w:tcPr>
          <w:p w14:paraId="22D2CF0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3.090</w:t>
            </w:r>
          </w:p>
        </w:tc>
        <w:tc>
          <w:tcPr>
            <w:tcW w:w="1431" w:type="dxa"/>
            <w:tcBorders>
              <w:top w:val="single" w:sz="4" w:space="0" w:color="000000"/>
              <w:left w:val="single" w:sz="4" w:space="0" w:color="000000"/>
              <w:bottom w:val="single" w:sz="4" w:space="0" w:color="000000"/>
              <w:right w:val="single" w:sz="4" w:space="0" w:color="000000"/>
            </w:tcBorders>
            <w:vAlign w:val="center"/>
          </w:tcPr>
          <w:p w14:paraId="0C5C0DF7"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0.948</w:t>
            </w:r>
          </w:p>
        </w:tc>
        <w:tc>
          <w:tcPr>
            <w:tcW w:w="939" w:type="dxa"/>
            <w:tcBorders>
              <w:top w:val="single" w:sz="4" w:space="0" w:color="000000"/>
              <w:left w:val="single" w:sz="4" w:space="0" w:color="000000"/>
              <w:bottom w:val="single" w:sz="4" w:space="0" w:color="000000"/>
              <w:right w:val="single" w:sz="4" w:space="0" w:color="000000"/>
            </w:tcBorders>
            <w:vAlign w:val="center"/>
          </w:tcPr>
          <w:p w14:paraId="429083D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21.983</w:t>
            </w:r>
          </w:p>
        </w:tc>
        <w:tc>
          <w:tcPr>
            <w:tcW w:w="863" w:type="dxa"/>
            <w:tcBorders>
              <w:top w:val="single" w:sz="4" w:space="0" w:color="000000"/>
              <w:left w:val="single" w:sz="4" w:space="0" w:color="000000"/>
              <w:bottom w:val="single" w:sz="4" w:space="0" w:color="000000"/>
              <w:right w:val="single" w:sz="4" w:space="0" w:color="000000"/>
            </w:tcBorders>
            <w:vAlign w:val="center"/>
          </w:tcPr>
          <w:p w14:paraId="3D1E910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18.632</w:t>
            </w:r>
          </w:p>
        </w:tc>
      </w:tr>
      <w:tr w:rsidR="009F2EB1" w:rsidRPr="00F919C7" w14:paraId="5D12DFFD"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5271E9C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Jan. 2026</w:t>
            </w:r>
          </w:p>
        </w:tc>
        <w:tc>
          <w:tcPr>
            <w:tcW w:w="519" w:type="dxa"/>
            <w:tcBorders>
              <w:top w:val="single" w:sz="4" w:space="0" w:color="000000"/>
              <w:left w:val="single" w:sz="4" w:space="0" w:color="000000"/>
              <w:bottom w:val="single" w:sz="4" w:space="0" w:color="000000"/>
              <w:right w:val="single" w:sz="4" w:space="0" w:color="000000"/>
            </w:tcBorders>
          </w:tcPr>
          <w:p w14:paraId="7721A7A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28</w:t>
            </w:r>
          </w:p>
        </w:tc>
        <w:tc>
          <w:tcPr>
            <w:tcW w:w="1140" w:type="dxa"/>
            <w:tcBorders>
              <w:top w:val="single" w:sz="4" w:space="0" w:color="000000"/>
              <w:left w:val="single" w:sz="4" w:space="0" w:color="000000"/>
              <w:bottom w:val="single" w:sz="4" w:space="0" w:color="000000"/>
              <w:right w:val="single" w:sz="4" w:space="0" w:color="000000"/>
            </w:tcBorders>
          </w:tcPr>
          <w:p w14:paraId="61293B8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852.18</w:t>
            </w:r>
          </w:p>
        </w:tc>
        <w:tc>
          <w:tcPr>
            <w:tcW w:w="812" w:type="dxa"/>
            <w:tcBorders>
              <w:top w:val="single" w:sz="4" w:space="0" w:color="000000"/>
              <w:left w:val="single" w:sz="4" w:space="0" w:color="000000"/>
              <w:bottom w:val="single" w:sz="4" w:space="0" w:color="000000"/>
              <w:right w:val="single" w:sz="4" w:space="0" w:color="000000"/>
            </w:tcBorders>
            <w:vAlign w:val="center"/>
          </w:tcPr>
          <w:p w14:paraId="05DEB5E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4.001</w:t>
            </w:r>
          </w:p>
        </w:tc>
        <w:tc>
          <w:tcPr>
            <w:tcW w:w="812" w:type="dxa"/>
            <w:tcBorders>
              <w:top w:val="single" w:sz="4" w:space="0" w:color="000000"/>
              <w:left w:val="single" w:sz="4" w:space="0" w:color="000000"/>
              <w:bottom w:val="single" w:sz="4" w:space="0" w:color="000000"/>
              <w:right w:val="single" w:sz="4" w:space="0" w:color="000000"/>
            </w:tcBorders>
            <w:vAlign w:val="center"/>
          </w:tcPr>
          <w:p w14:paraId="4BF4B69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0.939</w:t>
            </w:r>
          </w:p>
        </w:tc>
        <w:tc>
          <w:tcPr>
            <w:tcW w:w="1154" w:type="dxa"/>
            <w:tcBorders>
              <w:top w:val="single" w:sz="4" w:space="0" w:color="000000"/>
              <w:left w:val="single" w:sz="4" w:space="0" w:color="000000"/>
              <w:bottom w:val="single" w:sz="4" w:space="0" w:color="000000"/>
              <w:right w:val="single" w:sz="4" w:space="0" w:color="000000"/>
            </w:tcBorders>
            <w:vAlign w:val="center"/>
          </w:tcPr>
          <w:p w14:paraId="060E3CC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3.128</w:t>
            </w:r>
          </w:p>
        </w:tc>
        <w:tc>
          <w:tcPr>
            <w:tcW w:w="1431" w:type="dxa"/>
            <w:tcBorders>
              <w:top w:val="single" w:sz="4" w:space="0" w:color="000000"/>
              <w:left w:val="single" w:sz="4" w:space="0" w:color="000000"/>
              <w:bottom w:val="single" w:sz="4" w:space="0" w:color="000000"/>
              <w:right w:val="single" w:sz="4" w:space="0" w:color="000000"/>
            </w:tcBorders>
            <w:vAlign w:val="center"/>
          </w:tcPr>
          <w:p w14:paraId="6B3EDB1C"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0.951</w:t>
            </w:r>
          </w:p>
        </w:tc>
        <w:tc>
          <w:tcPr>
            <w:tcW w:w="939" w:type="dxa"/>
            <w:tcBorders>
              <w:top w:val="single" w:sz="4" w:space="0" w:color="000000"/>
              <w:left w:val="single" w:sz="4" w:space="0" w:color="000000"/>
              <w:bottom w:val="single" w:sz="4" w:space="0" w:color="000000"/>
              <w:right w:val="single" w:sz="4" w:space="0" w:color="000000"/>
            </w:tcBorders>
            <w:vAlign w:val="center"/>
          </w:tcPr>
          <w:p w14:paraId="6568B72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22.830</w:t>
            </w:r>
          </w:p>
        </w:tc>
        <w:tc>
          <w:tcPr>
            <w:tcW w:w="863" w:type="dxa"/>
            <w:tcBorders>
              <w:top w:val="single" w:sz="4" w:space="0" w:color="000000"/>
              <w:left w:val="single" w:sz="4" w:space="0" w:color="000000"/>
              <w:bottom w:val="single" w:sz="4" w:space="0" w:color="000000"/>
              <w:right w:val="single" w:sz="4" w:space="0" w:color="000000"/>
            </w:tcBorders>
            <w:vAlign w:val="center"/>
          </w:tcPr>
          <w:p w14:paraId="7D48633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19.948</w:t>
            </w:r>
          </w:p>
        </w:tc>
      </w:tr>
      <w:tr w:rsidR="009F2EB1" w:rsidRPr="00F919C7" w14:paraId="1E910116"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3827D0F1"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Feb. 2026</w:t>
            </w:r>
          </w:p>
        </w:tc>
        <w:tc>
          <w:tcPr>
            <w:tcW w:w="519" w:type="dxa"/>
            <w:tcBorders>
              <w:top w:val="single" w:sz="4" w:space="0" w:color="000000"/>
              <w:left w:val="single" w:sz="4" w:space="0" w:color="000000"/>
              <w:bottom w:val="single" w:sz="4" w:space="0" w:color="000000"/>
              <w:right w:val="single" w:sz="4" w:space="0" w:color="000000"/>
            </w:tcBorders>
          </w:tcPr>
          <w:p w14:paraId="6A8773D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25</w:t>
            </w:r>
          </w:p>
        </w:tc>
        <w:tc>
          <w:tcPr>
            <w:tcW w:w="1140" w:type="dxa"/>
            <w:tcBorders>
              <w:top w:val="single" w:sz="4" w:space="0" w:color="000000"/>
              <w:left w:val="single" w:sz="4" w:space="0" w:color="000000"/>
              <w:bottom w:val="single" w:sz="4" w:space="0" w:color="000000"/>
              <w:right w:val="single" w:sz="4" w:space="0" w:color="000000"/>
            </w:tcBorders>
          </w:tcPr>
          <w:p w14:paraId="69739AC0"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772.65</w:t>
            </w:r>
          </w:p>
        </w:tc>
        <w:tc>
          <w:tcPr>
            <w:tcW w:w="812" w:type="dxa"/>
            <w:tcBorders>
              <w:top w:val="single" w:sz="4" w:space="0" w:color="000000"/>
              <w:left w:val="single" w:sz="4" w:space="0" w:color="000000"/>
              <w:bottom w:val="single" w:sz="4" w:space="0" w:color="000000"/>
              <w:right w:val="single" w:sz="4" w:space="0" w:color="000000"/>
            </w:tcBorders>
            <w:vAlign w:val="center"/>
          </w:tcPr>
          <w:p w14:paraId="1304B8EE"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3.609</w:t>
            </w:r>
          </w:p>
        </w:tc>
        <w:tc>
          <w:tcPr>
            <w:tcW w:w="812" w:type="dxa"/>
            <w:tcBorders>
              <w:top w:val="single" w:sz="4" w:space="0" w:color="000000"/>
              <w:left w:val="single" w:sz="4" w:space="0" w:color="000000"/>
              <w:bottom w:val="single" w:sz="4" w:space="0" w:color="000000"/>
              <w:right w:val="single" w:sz="4" w:space="0" w:color="000000"/>
            </w:tcBorders>
            <w:vAlign w:val="center"/>
          </w:tcPr>
          <w:p w14:paraId="37373BA2"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0.896</w:t>
            </w:r>
          </w:p>
        </w:tc>
        <w:tc>
          <w:tcPr>
            <w:tcW w:w="1154" w:type="dxa"/>
            <w:tcBorders>
              <w:top w:val="single" w:sz="4" w:space="0" w:color="000000"/>
              <w:left w:val="single" w:sz="4" w:space="0" w:color="000000"/>
              <w:bottom w:val="single" w:sz="4" w:space="0" w:color="000000"/>
              <w:right w:val="single" w:sz="4" w:space="0" w:color="000000"/>
            </w:tcBorders>
            <w:vAlign w:val="center"/>
          </w:tcPr>
          <w:p w14:paraId="5CF78007"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2.885</w:t>
            </w:r>
          </w:p>
        </w:tc>
        <w:tc>
          <w:tcPr>
            <w:tcW w:w="1431" w:type="dxa"/>
            <w:tcBorders>
              <w:top w:val="single" w:sz="4" w:space="0" w:color="000000"/>
              <w:left w:val="single" w:sz="4" w:space="0" w:color="000000"/>
              <w:bottom w:val="single" w:sz="4" w:space="0" w:color="000000"/>
              <w:right w:val="single" w:sz="4" w:space="0" w:color="000000"/>
            </w:tcBorders>
            <w:vAlign w:val="center"/>
          </w:tcPr>
          <w:p w14:paraId="1DF7860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0.927</w:t>
            </w:r>
          </w:p>
        </w:tc>
        <w:tc>
          <w:tcPr>
            <w:tcW w:w="939" w:type="dxa"/>
            <w:tcBorders>
              <w:top w:val="single" w:sz="4" w:space="0" w:color="000000"/>
              <w:left w:val="single" w:sz="4" w:space="0" w:color="000000"/>
              <w:bottom w:val="single" w:sz="4" w:space="0" w:color="000000"/>
              <w:right w:val="single" w:sz="4" w:space="0" w:color="000000"/>
            </w:tcBorders>
            <w:vAlign w:val="center"/>
          </w:tcPr>
          <w:p w14:paraId="3BDC98B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17.898</w:t>
            </w:r>
          </w:p>
        </w:tc>
        <w:tc>
          <w:tcPr>
            <w:tcW w:w="863" w:type="dxa"/>
            <w:tcBorders>
              <w:top w:val="single" w:sz="4" w:space="0" w:color="000000"/>
              <w:left w:val="single" w:sz="4" w:space="0" w:color="000000"/>
              <w:bottom w:val="single" w:sz="4" w:space="0" w:color="000000"/>
              <w:right w:val="single" w:sz="4" w:space="0" w:color="000000"/>
            </w:tcBorders>
            <w:vAlign w:val="center"/>
          </w:tcPr>
          <w:p w14:paraId="18DAD7A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13.456</w:t>
            </w:r>
          </w:p>
        </w:tc>
      </w:tr>
      <w:tr w:rsidR="009F2EB1" w:rsidRPr="00F919C7" w14:paraId="65DA5956"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3BE3586C"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lastRenderedPageBreak/>
              <w:t>Mar. 2026</w:t>
            </w:r>
          </w:p>
        </w:tc>
        <w:tc>
          <w:tcPr>
            <w:tcW w:w="519" w:type="dxa"/>
            <w:tcBorders>
              <w:top w:val="single" w:sz="4" w:space="0" w:color="000000"/>
              <w:left w:val="single" w:sz="4" w:space="0" w:color="000000"/>
              <w:bottom w:val="single" w:sz="4" w:space="0" w:color="000000"/>
              <w:right w:val="single" w:sz="4" w:space="0" w:color="000000"/>
            </w:tcBorders>
          </w:tcPr>
          <w:p w14:paraId="1BC40040"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25</w:t>
            </w:r>
          </w:p>
        </w:tc>
        <w:tc>
          <w:tcPr>
            <w:tcW w:w="1140" w:type="dxa"/>
            <w:tcBorders>
              <w:top w:val="single" w:sz="4" w:space="0" w:color="000000"/>
              <w:left w:val="single" w:sz="4" w:space="0" w:color="000000"/>
              <w:bottom w:val="single" w:sz="4" w:space="0" w:color="000000"/>
              <w:right w:val="single" w:sz="4" w:space="0" w:color="000000"/>
            </w:tcBorders>
          </w:tcPr>
          <w:p w14:paraId="494A68F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759.83</w:t>
            </w:r>
          </w:p>
        </w:tc>
        <w:tc>
          <w:tcPr>
            <w:tcW w:w="812" w:type="dxa"/>
            <w:tcBorders>
              <w:top w:val="single" w:sz="4" w:space="0" w:color="000000"/>
              <w:left w:val="single" w:sz="4" w:space="0" w:color="000000"/>
              <w:bottom w:val="single" w:sz="4" w:space="0" w:color="000000"/>
              <w:right w:val="single" w:sz="4" w:space="0" w:color="000000"/>
            </w:tcBorders>
            <w:vAlign w:val="center"/>
          </w:tcPr>
          <w:p w14:paraId="46AADEF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3.618</w:t>
            </w:r>
          </w:p>
        </w:tc>
        <w:tc>
          <w:tcPr>
            <w:tcW w:w="812" w:type="dxa"/>
            <w:tcBorders>
              <w:top w:val="single" w:sz="4" w:space="0" w:color="000000"/>
              <w:left w:val="single" w:sz="4" w:space="0" w:color="000000"/>
              <w:bottom w:val="single" w:sz="4" w:space="0" w:color="000000"/>
              <w:right w:val="single" w:sz="4" w:space="0" w:color="000000"/>
            </w:tcBorders>
            <w:vAlign w:val="center"/>
          </w:tcPr>
          <w:p w14:paraId="2439A6BE"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0.920</w:t>
            </w:r>
          </w:p>
        </w:tc>
        <w:tc>
          <w:tcPr>
            <w:tcW w:w="1154" w:type="dxa"/>
            <w:tcBorders>
              <w:top w:val="single" w:sz="4" w:space="0" w:color="000000"/>
              <w:left w:val="single" w:sz="4" w:space="0" w:color="000000"/>
              <w:bottom w:val="single" w:sz="4" w:space="0" w:color="000000"/>
              <w:right w:val="single" w:sz="4" w:space="0" w:color="000000"/>
            </w:tcBorders>
            <w:vAlign w:val="center"/>
          </w:tcPr>
          <w:p w14:paraId="52BE932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2.962</w:t>
            </w:r>
          </w:p>
        </w:tc>
        <w:tc>
          <w:tcPr>
            <w:tcW w:w="1431" w:type="dxa"/>
            <w:tcBorders>
              <w:top w:val="single" w:sz="4" w:space="0" w:color="000000"/>
              <w:left w:val="single" w:sz="4" w:space="0" w:color="000000"/>
              <w:bottom w:val="single" w:sz="4" w:space="0" w:color="000000"/>
              <w:right w:val="single" w:sz="4" w:space="0" w:color="000000"/>
            </w:tcBorders>
            <w:vAlign w:val="center"/>
          </w:tcPr>
          <w:p w14:paraId="7420079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0.938</w:t>
            </w:r>
          </w:p>
        </w:tc>
        <w:tc>
          <w:tcPr>
            <w:tcW w:w="939" w:type="dxa"/>
            <w:tcBorders>
              <w:top w:val="single" w:sz="4" w:space="0" w:color="000000"/>
              <w:left w:val="single" w:sz="4" w:space="0" w:color="000000"/>
              <w:bottom w:val="single" w:sz="4" w:space="0" w:color="000000"/>
              <w:right w:val="single" w:sz="4" w:space="0" w:color="000000"/>
            </w:tcBorders>
            <w:vAlign w:val="center"/>
          </w:tcPr>
          <w:p w14:paraId="0BD15168"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19.338</w:t>
            </w:r>
          </w:p>
        </w:tc>
        <w:tc>
          <w:tcPr>
            <w:tcW w:w="863" w:type="dxa"/>
            <w:tcBorders>
              <w:top w:val="single" w:sz="4" w:space="0" w:color="000000"/>
              <w:left w:val="single" w:sz="4" w:space="0" w:color="000000"/>
              <w:bottom w:val="single" w:sz="4" w:space="0" w:color="000000"/>
              <w:right w:val="single" w:sz="4" w:space="0" w:color="000000"/>
            </w:tcBorders>
            <w:vAlign w:val="center"/>
          </w:tcPr>
          <w:p w14:paraId="782CB2F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15.795</w:t>
            </w:r>
          </w:p>
        </w:tc>
      </w:tr>
      <w:tr w:rsidR="009F2EB1" w:rsidRPr="00F919C7" w14:paraId="3B9A8FE2"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04A22DA9"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Apr. 2026</w:t>
            </w:r>
          </w:p>
        </w:tc>
        <w:tc>
          <w:tcPr>
            <w:tcW w:w="519" w:type="dxa"/>
            <w:tcBorders>
              <w:top w:val="single" w:sz="4" w:space="0" w:color="000000"/>
              <w:left w:val="single" w:sz="4" w:space="0" w:color="000000"/>
              <w:bottom w:val="single" w:sz="4" w:space="0" w:color="000000"/>
              <w:right w:val="single" w:sz="4" w:space="0" w:color="000000"/>
            </w:tcBorders>
          </w:tcPr>
          <w:p w14:paraId="5CBE51B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25</w:t>
            </w:r>
          </w:p>
        </w:tc>
        <w:tc>
          <w:tcPr>
            <w:tcW w:w="1140" w:type="dxa"/>
            <w:tcBorders>
              <w:top w:val="single" w:sz="4" w:space="0" w:color="000000"/>
              <w:left w:val="single" w:sz="4" w:space="0" w:color="000000"/>
              <w:bottom w:val="single" w:sz="4" w:space="0" w:color="000000"/>
              <w:right w:val="single" w:sz="4" w:space="0" w:color="000000"/>
            </w:tcBorders>
          </w:tcPr>
          <w:p w14:paraId="0C51782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882.165</w:t>
            </w:r>
          </w:p>
        </w:tc>
        <w:tc>
          <w:tcPr>
            <w:tcW w:w="812" w:type="dxa"/>
            <w:tcBorders>
              <w:top w:val="single" w:sz="4" w:space="0" w:color="000000"/>
              <w:left w:val="single" w:sz="4" w:space="0" w:color="000000"/>
              <w:bottom w:val="single" w:sz="4" w:space="0" w:color="000000"/>
              <w:right w:val="single" w:sz="4" w:space="0" w:color="000000"/>
            </w:tcBorders>
            <w:vAlign w:val="center"/>
          </w:tcPr>
          <w:p w14:paraId="2C7A48A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3.539</w:t>
            </w:r>
          </w:p>
        </w:tc>
        <w:tc>
          <w:tcPr>
            <w:tcW w:w="812" w:type="dxa"/>
            <w:tcBorders>
              <w:top w:val="single" w:sz="4" w:space="0" w:color="000000"/>
              <w:left w:val="single" w:sz="4" w:space="0" w:color="000000"/>
              <w:bottom w:val="single" w:sz="4" w:space="0" w:color="000000"/>
              <w:right w:val="single" w:sz="4" w:space="0" w:color="000000"/>
            </w:tcBorders>
            <w:vAlign w:val="center"/>
          </w:tcPr>
          <w:p w14:paraId="6A411CA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0.919</w:t>
            </w:r>
          </w:p>
        </w:tc>
        <w:tc>
          <w:tcPr>
            <w:tcW w:w="1154" w:type="dxa"/>
            <w:tcBorders>
              <w:top w:val="single" w:sz="4" w:space="0" w:color="000000"/>
              <w:left w:val="single" w:sz="4" w:space="0" w:color="000000"/>
              <w:bottom w:val="single" w:sz="4" w:space="0" w:color="000000"/>
              <w:right w:val="single" w:sz="4" w:space="0" w:color="000000"/>
            </w:tcBorders>
            <w:vAlign w:val="center"/>
          </w:tcPr>
          <w:p w14:paraId="5EF44C0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2.957</w:t>
            </w:r>
          </w:p>
        </w:tc>
        <w:tc>
          <w:tcPr>
            <w:tcW w:w="1431" w:type="dxa"/>
            <w:tcBorders>
              <w:top w:val="single" w:sz="4" w:space="0" w:color="000000"/>
              <w:left w:val="single" w:sz="4" w:space="0" w:color="000000"/>
              <w:bottom w:val="single" w:sz="4" w:space="0" w:color="000000"/>
              <w:right w:val="single" w:sz="4" w:space="0" w:color="000000"/>
            </w:tcBorders>
            <w:vAlign w:val="center"/>
          </w:tcPr>
          <w:p w14:paraId="5D15152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0.935</w:t>
            </w:r>
          </w:p>
        </w:tc>
        <w:tc>
          <w:tcPr>
            <w:tcW w:w="939" w:type="dxa"/>
            <w:tcBorders>
              <w:top w:val="single" w:sz="4" w:space="0" w:color="000000"/>
              <w:left w:val="single" w:sz="4" w:space="0" w:color="000000"/>
              <w:bottom w:val="single" w:sz="4" w:space="0" w:color="000000"/>
              <w:right w:val="single" w:sz="4" w:space="0" w:color="000000"/>
            </w:tcBorders>
            <w:vAlign w:val="center"/>
          </w:tcPr>
          <w:p w14:paraId="0CD8B7D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19.241</w:t>
            </w:r>
          </w:p>
        </w:tc>
        <w:tc>
          <w:tcPr>
            <w:tcW w:w="863" w:type="dxa"/>
            <w:tcBorders>
              <w:top w:val="single" w:sz="4" w:space="0" w:color="000000"/>
              <w:left w:val="single" w:sz="4" w:space="0" w:color="000000"/>
              <w:bottom w:val="single" w:sz="4" w:space="0" w:color="000000"/>
              <w:right w:val="single" w:sz="4" w:space="0" w:color="000000"/>
            </w:tcBorders>
            <w:vAlign w:val="center"/>
          </w:tcPr>
          <w:p w14:paraId="7111313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15.232</w:t>
            </w:r>
          </w:p>
        </w:tc>
      </w:tr>
      <w:tr w:rsidR="009F2EB1" w:rsidRPr="00F919C7" w14:paraId="77406CDE" w14:textId="77777777">
        <w:trPr>
          <w:trHeight w:val="200"/>
        </w:trPr>
        <w:tc>
          <w:tcPr>
            <w:tcW w:w="1347" w:type="dxa"/>
            <w:tcBorders>
              <w:top w:val="single" w:sz="4" w:space="0" w:color="000000"/>
              <w:left w:val="single" w:sz="4" w:space="0" w:color="000000"/>
              <w:bottom w:val="single" w:sz="4" w:space="0" w:color="000000"/>
              <w:right w:val="single" w:sz="4" w:space="0" w:color="000000"/>
            </w:tcBorders>
          </w:tcPr>
          <w:p w14:paraId="338E96DC"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May. 2026</w:t>
            </w:r>
          </w:p>
        </w:tc>
        <w:tc>
          <w:tcPr>
            <w:tcW w:w="519" w:type="dxa"/>
            <w:tcBorders>
              <w:top w:val="single" w:sz="4" w:space="0" w:color="000000"/>
              <w:left w:val="single" w:sz="4" w:space="0" w:color="000000"/>
              <w:bottom w:val="single" w:sz="4" w:space="0" w:color="000000"/>
              <w:right w:val="single" w:sz="4" w:space="0" w:color="000000"/>
            </w:tcBorders>
          </w:tcPr>
          <w:p w14:paraId="003E53E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25</w:t>
            </w:r>
          </w:p>
        </w:tc>
        <w:tc>
          <w:tcPr>
            <w:tcW w:w="1140" w:type="dxa"/>
            <w:tcBorders>
              <w:top w:val="single" w:sz="4" w:space="0" w:color="000000"/>
              <w:left w:val="single" w:sz="4" w:space="0" w:color="000000"/>
              <w:bottom w:val="single" w:sz="4" w:space="0" w:color="000000"/>
              <w:right w:val="single" w:sz="4" w:space="0" w:color="000000"/>
            </w:tcBorders>
          </w:tcPr>
          <w:p w14:paraId="7224D66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867.17</w:t>
            </w:r>
          </w:p>
        </w:tc>
        <w:tc>
          <w:tcPr>
            <w:tcW w:w="812" w:type="dxa"/>
            <w:tcBorders>
              <w:top w:val="single" w:sz="4" w:space="0" w:color="000000"/>
              <w:left w:val="single" w:sz="4" w:space="0" w:color="000000"/>
              <w:bottom w:val="single" w:sz="4" w:space="0" w:color="000000"/>
              <w:right w:val="single" w:sz="4" w:space="0" w:color="000000"/>
            </w:tcBorders>
            <w:vAlign w:val="center"/>
          </w:tcPr>
          <w:p w14:paraId="0A41E3F9"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3.548</w:t>
            </w:r>
          </w:p>
        </w:tc>
        <w:tc>
          <w:tcPr>
            <w:tcW w:w="812" w:type="dxa"/>
            <w:tcBorders>
              <w:top w:val="single" w:sz="4" w:space="0" w:color="000000"/>
              <w:left w:val="single" w:sz="4" w:space="0" w:color="000000"/>
              <w:bottom w:val="single" w:sz="4" w:space="0" w:color="000000"/>
              <w:right w:val="single" w:sz="4" w:space="0" w:color="000000"/>
            </w:tcBorders>
            <w:vAlign w:val="center"/>
          </w:tcPr>
          <w:p w14:paraId="1CD36BF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0.932</w:t>
            </w:r>
          </w:p>
        </w:tc>
        <w:tc>
          <w:tcPr>
            <w:tcW w:w="1154" w:type="dxa"/>
            <w:tcBorders>
              <w:top w:val="single" w:sz="4" w:space="0" w:color="000000"/>
              <w:left w:val="single" w:sz="4" w:space="0" w:color="000000"/>
              <w:bottom w:val="single" w:sz="4" w:space="0" w:color="000000"/>
              <w:right w:val="single" w:sz="4" w:space="0" w:color="000000"/>
            </w:tcBorders>
            <w:vAlign w:val="center"/>
          </w:tcPr>
          <w:p w14:paraId="75E10E5C"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2.999</w:t>
            </w:r>
          </w:p>
        </w:tc>
        <w:tc>
          <w:tcPr>
            <w:tcW w:w="1431" w:type="dxa"/>
            <w:tcBorders>
              <w:top w:val="single" w:sz="4" w:space="0" w:color="000000"/>
              <w:left w:val="single" w:sz="4" w:space="0" w:color="000000"/>
              <w:bottom w:val="single" w:sz="4" w:space="0" w:color="000000"/>
              <w:right w:val="single" w:sz="4" w:space="0" w:color="000000"/>
            </w:tcBorders>
            <w:vAlign w:val="center"/>
          </w:tcPr>
          <w:p w14:paraId="55F0CB6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0.941</w:t>
            </w:r>
          </w:p>
        </w:tc>
        <w:tc>
          <w:tcPr>
            <w:tcW w:w="939" w:type="dxa"/>
            <w:tcBorders>
              <w:top w:val="single" w:sz="4" w:space="0" w:color="000000"/>
              <w:left w:val="single" w:sz="4" w:space="0" w:color="000000"/>
              <w:bottom w:val="single" w:sz="4" w:space="0" w:color="000000"/>
              <w:right w:val="single" w:sz="4" w:space="0" w:color="000000"/>
            </w:tcBorders>
            <w:vAlign w:val="center"/>
          </w:tcPr>
          <w:p w14:paraId="11B7B1C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20.069</w:t>
            </w:r>
          </w:p>
        </w:tc>
        <w:tc>
          <w:tcPr>
            <w:tcW w:w="863" w:type="dxa"/>
            <w:tcBorders>
              <w:top w:val="single" w:sz="4" w:space="0" w:color="000000"/>
              <w:left w:val="single" w:sz="4" w:space="0" w:color="000000"/>
              <w:bottom w:val="single" w:sz="4" w:space="0" w:color="000000"/>
              <w:right w:val="single" w:sz="4" w:space="0" w:color="000000"/>
            </w:tcBorders>
            <w:vAlign w:val="center"/>
          </w:tcPr>
          <w:p w14:paraId="4F2C72E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hAnsi="Times New Roman" w:cs="Times New Roman"/>
                <w:sz w:val="24"/>
                <w:szCs w:val="24"/>
              </w:rPr>
              <w:t>16.563</w:t>
            </w:r>
          </w:p>
        </w:tc>
      </w:tr>
    </w:tbl>
    <w:p w14:paraId="7D9D6AE5" w14:textId="77777777" w:rsidR="009F2EB1" w:rsidRPr="00F919C7" w:rsidRDefault="009F2EB1" w:rsidP="00F919C7">
      <w:pPr>
        <w:spacing w:after="0" w:line="240" w:lineRule="auto"/>
        <w:jc w:val="both"/>
        <w:rPr>
          <w:rFonts w:ascii="Times New Roman" w:hAnsi="Times New Roman" w:cs="Times New Roman"/>
          <w:b/>
          <w:bCs/>
          <w:sz w:val="24"/>
          <w:szCs w:val="24"/>
        </w:rPr>
      </w:pPr>
    </w:p>
    <w:p w14:paraId="1B1AC2E9" w14:textId="77777777" w:rsidR="009F2EB1" w:rsidRPr="00F919C7" w:rsidRDefault="00000000" w:rsidP="00F919C7">
      <w:pPr>
        <w:spacing w:after="0" w:line="240" w:lineRule="auto"/>
        <w:jc w:val="both"/>
        <w:rPr>
          <w:rFonts w:ascii="Times New Roman" w:hAnsi="Times New Roman" w:cs="Times New Roman"/>
          <w:b/>
          <w:bCs/>
          <w:sz w:val="24"/>
          <w:szCs w:val="24"/>
        </w:rPr>
      </w:pPr>
      <w:r w:rsidRPr="00F919C7">
        <w:rPr>
          <w:rFonts w:ascii="Times New Roman" w:hAnsi="Times New Roman" w:cs="Times New Roman"/>
          <w:b/>
          <w:bCs/>
          <w:sz w:val="24"/>
          <w:szCs w:val="24"/>
        </w:rPr>
        <w:t>Table 3: Variation in different indices based on species abundance (season wise)</w:t>
      </w:r>
    </w:p>
    <w:tbl>
      <w:tblPr>
        <w:tblW w:w="4850" w:type="pct"/>
        <w:tblInd w:w="108" w:type="dxa"/>
        <w:tblLayout w:type="fixed"/>
        <w:tblLook w:val="04A0" w:firstRow="1" w:lastRow="0" w:firstColumn="1" w:lastColumn="0" w:noHBand="0" w:noVBand="1"/>
      </w:tblPr>
      <w:tblGrid>
        <w:gridCol w:w="1346"/>
        <w:gridCol w:w="575"/>
        <w:gridCol w:w="1116"/>
        <w:gridCol w:w="907"/>
        <w:gridCol w:w="907"/>
        <w:gridCol w:w="1059"/>
        <w:gridCol w:w="1213"/>
        <w:gridCol w:w="1058"/>
        <w:gridCol w:w="1046"/>
      </w:tblGrid>
      <w:tr w:rsidR="009F2EB1" w:rsidRPr="00F919C7" w14:paraId="38C05E9A" w14:textId="77777777">
        <w:trPr>
          <w:trHeight w:val="203"/>
        </w:trPr>
        <w:tc>
          <w:tcPr>
            <w:tcW w:w="1316" w:type="dxa"/>
            <w:tcBorders>
              <w:top w:val="single" w:sz="4" w:space="0" w:color="000000"/>
              <w:left w:val="single" w:sz="4" w:space="0" w:color="000000"/>
              <w:bottom w:val="single" w:sz="4" w:space="0" w:color="000000"/>
              <w:right w:val="single" w:sz="4" w:space="0" w:color="000000"/>
            </w:tcBorders>
          </w:tcPr>
          <w:p w14:paraId="6CB437E3"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Seasons</w:t>
            </w:r>
          </w:p>
        </w:tc>
        <w:tc>
          <w:tcPr>
            <w:tcW w:w="562" w:type="dxa"/>
            <w:tcBorders>
              <w:top w:val="single" w:sz="4" w:space="0" w:color="000000"/>
              <w:left w:val="single" w:sz="4" w:space="0" w:color="000000"/>
              <w:bottom w:val="single" w:sz="4" w:space="0" w:color="000000"/>
              <w:right w:val="single" w:sz="4" w:space="0" w:color="000000"/>
            </w:tcBorders>
          </w:tcPr>
          <w:p w14:paraId="58D0F819"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S</w:t>
            </w:r>
          </w:p>
        </w:tc>
        <w:tc>
          <w:tcPr>
            <w:tcW w:w="1091" w:type="dxa"/>
            <w:tcBorders>
              <w:top w:val="single" w:sz="4" w:space="0" w:color="000000"/>
              <w:left w:val="single" w:sz="4" w:space="0" w:color="000000"/>
              <w:bottom w:val="single" w:sz="4" w:space="0" w:color="000000"/>
              <w:right w:val="single" w:sz="4" w:space="0" w:color="000000"/>
            </w:tcBorders>
          </w:tcPr>
          <w:p w14:paraId="63CAC201"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N</w:t>
            </w:r>
          </w:p>
        </w:tc>
        <w:tc>
          <w:tcPr>
            <w:tcW w:w="886" w:type="dxa"/>
            <w:tcBorders>
              <w:top w:val="single" w:sz="4" w:space="0" w:color="000000"/>
              <w:left w:val="single" w:sz="4" w:space="0" w:color="000000"/>
              <w:bottom w:val="single" w:sz="4" w:space="0" w:color="000000"/>
              <w:right w:val="single" w:sz="4" w:space="0" w:color="000000"/>
            </w:tcBorders>
          </w:tcPr>
          <w:p w14:paraId="748181EB"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d</w:t>
            </w:r>
          </w:p>
        </w:tc>
        <w:tc>
          <w:tcPr>
            <w:tcW w:w="886" w:type="dxa"/>
            <w:tcBorders>
              <w:top w:val="single" w:sz="4" w:space="0" w:color="000000"/>
              <w:left w:val="single" w:sz="4" w:space="0" w:color="000000"/>
              <w:bottom w:val="single" w:sz="4" w:space="0" w:color="000000"/>
              <w:right w:val="single" w:sz="4" w:space="0" w:color="000000"/>
            </w:tcBorders>
          </w:tcPr>
          <w:p w14:paraId="2762013E"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J'</w:t>
            </w:r>
          </w:p>
        </w:tc>
        <w:tc>
          <w:tcPr>
            <w:tcW w:w="1035" w:type="dxa"/>
            <w:tcBorders>
              <w:top w:val="single" w:sz="4" w:space="0" w:color="000000"/>
              <w:left w:val="single" w:sz="4" w:space="0" w:color="000000"/>
              <w:bottom w:val="single" w:sz="4" w:space="0" w:color="000000"/>
              <w:right w:val="single" w:sz="4" w:space="0" w:color="000000"/>
            </w:tcBorders>
          </w:tcPr>
          <w:p w14:paraId="75D67E83" w14:textId="77777777" w:rsidR="009F2EB1" w:rsidRPr="00F919C7" w:rsidRDefault="00000000" w:rsidP="00F919C7">
            <w:pPr>
              <w:spacing w:after="0" w:line="240" w:lineRule="auto"/>
              <w:ind w:left="-152" w:firstLine="152"/>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H'(log)</w:t>
            </w:r>
          </w:p>
        </w:tc>
        <w:tc>
          <w:tcPr>
            <w:tcW w:w="1185" w:type="dxa"/>
            <w:tcBorders>
              <w:top w:val="single" w:sz="4" w:space="0" w:color="000000"/>
              <w:left w:val="single" w:sz="4" w:space="0" w:color="000000"/>
              <w:bottom w:val="single" w:sz="4" w:space="0" w:color="000000"/>
              <w:right w:val="single" w:sz="4" w:space="0" w:color="000000"/>
            </w:tcBorders>
          </w:tcPr>
          <w:p w14:paraId="40C0635F" w14:textId="77777777" w:rsidR="009F2EB1" w:rsidRPr="00F919C7" w:rsidRDefault="00000000" w:rsidP="00F919C7">
            <w:pPr>
              <w:spacing w:after="0" w:line="240" w:lineRule="auto"/>
              <w:ind w:left="-61" w:right="-94"/>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1-Lambda'</w:t>
            </w:r>
          </w:p>
        </w:tc>
        <w:tc>
          <w:tcPr>
            <w:tcW w:w="1034" w:type="dxa"/>
            <w:tcBorders>
              <w:top w:val="single" w:sz="4" w:space="0" w:color="000000"/>
              <w:left w:val="single" w:sz="4" w:space="0" w:color="000000"/>
              <w:bottom w:val="single" w:sz="4" w:space="0" w:color="000000"/>
              <w:right w:val="single" w:sz="4" w:space="0" w:color="000000"/>
            </w:tcBorders>
          </w:tcPr>
          <w:p w14:paraId="2FB1100D"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N1</w:t>
            </w:r>
          </w:p>
        </w:tc>
        <w:tc>
          <w:tcPr>
            <w:tcW w:w="1022" w:type="dxa"/>
            <w:tcBorders>
              <w:top w:val="single" w:sz="4" w:space="0" w:color="000000"/>
              <w:left w:val="single" w:sz="4" w:space="0" w:color="000000"/>
              <w:bottom w:val="single" w:sz="4" w:space="0" w:color="000000"/>
              <w:right w:val="single" w:sz="4" w:space="0" w:color="000000"/>
            </w:tcBorders>
          </w:tcPr>
          <w:p w14:paraId="36C182B6"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N2</w:t>
            </w:r>
          </w:p>
        </w:tc>
      </w:tr>
      <w:tr w:rsidR="009F2EB1" w:rsidRPr="00F919C7" w14:paraId="16759573" w14:textId="77777777">
        <w:trPr>
          <w:trHeight w:val="203"/>
        </w:trPr>
        <w:tc>
          <w:tcPr>
            <w:tcW w:w="1316" w:type="dxa"/>
            <w:tcBorders>
              <w:top w:val="single" w:sz="4" w:space="0" w:color="000000"/>
              <w:left w:val="single" w:sz="4" w:space="0" w:color="000000"/>
              <w:bottom w:val="single" w:sz="4" w:space="0" w:color="000000"/>
              <w:right w:val="single" w:sz="4" w:space="0" w:color="000000"/>
            </w:tcBorders>
          </w:tcPr>
          <w:p w14:paraId="46FA15A8"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Monsoon</w:t>
            </w:r>
          </w:p>
        </w:tc>
        <w:tc>
          <w:tcPr>
            <w:tcW w:w="562" w:type="dxa"/>
            <w:tcBorders>
              <w:top w:val="single" w:sz="4" w:space="0" w:color="000000"/>
              <w:left w:val="single" w:sz="4" w:space="0" w:color="000000"/>
              <w:bottom w:val="single" w:sz="4" w:space="0" w:color="000000"/>
              <w:right w:val="single" w:sz="4" w:space="0" w:color="000000"/>
            </w:tcBorders>
          </w:tcPr>
          <w:p w14:paraId="031DB47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38</w:t>
            </w:r>
          </w:p>
        </w:tc>
        <w:tc>
          <w:tcPr>
            <w:tcW w:w="1091" w:type="dxa"/>
            <w:tcBorders>
              <w:top w:val="single" w:sz="4" w:space="0" w:color="000000"/>
              <w:left w:val="single" w:sz="4" w:space="0" w:color="000000"/>
              <w:bottom w:val="single" w:sz="4" w:space="0" w:color="000000"/>
              <w:right w:val="single" w:sz="4" w:space="0" w:color="000000"/>
            </w:tcBorders>
          </w:tcPr>
          <w:p w14:paraId="25A0D1F5" w14:textId="77777777" w:rsidR="009F2EB1" w:rsidRPr="00F919C7" w:rsidRDefault="00000000" w:rsidP="00F919C7">
            <w:pPr>
              <w:tabs>
                <w:tab w:val="left" w:pos="695"/>
              </w:tabs>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2275.4</w:t>
            </w:r>
          </w:p>
        </w:tc>
        <w:tc>
          <w:tcPr>
            <w:tcW w:w="886" w:type="dxa"/>
            <w:tcBorders>
              <w:top w:val="single" w:sz="4" w:space="0" w:color="000000"/>
              <w:left w:val="single" w:sz="4" w:space="0" w:color="000000"/>
              <w:bottom w:val="single" w:sz="4" w:space="0" w:color="000000"/>
              <w:right w:val="single" w:sz="4" w:space="0" w:color="000000"/>
            </w:tcBorders>
          </w:tcPr>
          <w:p w14:paraId="25A37B99" w14:textId="77777777" w:rsidR="009F2EB1" w:rsidRPr="00F919C7" w:rsidRDefault="00000000" w:rsidP="00F919C7">
            <w:pPr>
              <w:spacing w:after="0" w:line="240" w:lineRule="auto"/>
              <w:ind w:right="-191"/>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4.7866</w:t>
            </w:r>
          </w:p>
        </w:tc>
        <w:tc>
          <w:tcPr>
            <w:tcW w:w="886" w:type="dxa"/>
            <w:tcBorders>
              <w:top w:val="single" w:sz="4" w:space="0" w:color="000000"/>
              <w:left w:val="single" w:sz="4" w:space="0" w:color="000000"/>
              <w:bottom w:val="single" w:sz="4" w:space="0" w:color="000000"/>
              <w:right w:val="single" w:sz="4" w:space="0" w:color="000000"/>
            </w:tcBorders>
          </w:tcPr>
          <w:p w14:paraId="0BC97407" w14:textId="77777777" w:rsidR="009F2EB1" w:rsidRPr="00F919C7" w:rsidRDefault="00000000" w:rsidP="00F919C7">
            <w:pPr>
              <w:spacing w:after="0" w:line="240" w:lineRule="auto"/>
              <w:ind w:right="-62"/>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0.9436</w:t>
            </w:r>
          </w:p>
        </w:tc>
        <w:tc>
          <w:tcPr>
            <w:tcW w:w="1035" w:type="dxa"/>
            <w:tcBorders>
              <w:top w:val="single" w:sz="4" w:space="0" w:color="000000"/>
              <w:left w:val="single" w:sz="4" w:space="0" w:color="000000"/>
              <w:bottom w:val="single" w:sz="4" w:space="0" w:color="000000"/>
              <w:right w:val="single" w:sz="4" w:space="0" w:color="000000"/>
            </w:tcBorders>
          </w:tcPr>
          <w:p w14:paraId="4A74E30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3.4326</w:t>
            </w:r>
          </w:p>
        </w:tc>
        <w:tc>
          <w:tcPr>
            <w:tcW w:w="1185" w:type="dxa"/>
            <w:tcBorders>
              <w:top w:val="single" w:sz="4" w:space="0" w:color="000000"/>
              <w:left w:val="single" w:sz="4" w:space="0" w:color="000000"/>
              <w:bottom w:val="single" w:sz="4" w:space="0" w:color="000000"/>
              <w:right w:val="single" w:sz="4" w:space="0" w:color="000000"/>
            </w:tcBorders>
          </w:tcPr>
          <w:p w14:paraId="0137072C"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0.9602</w:t>
            </w:r>
          </w:p>
        </w:tc>
        <w:tc>
          <w:tcPr>
            <w:tcW w:w="1034" w:type="dxa"/>
            <w:tcBorders>
              <w:top w:val="single" w:sz="4" w:space="0" w:color="000000"/>
              <w:left w:val="single" w:sz="4" w:space="0" w:color="000000"/>
              <w:bottom w:val="single" w:sz="4" w:space="0" w:color="000000"/>
              <w:right w:val="single" w:sz="4" w:space="0" w:color="000000"/>
            </w:tcBorders>
          </w:tcPr>
          <w:p w14:paraId="371AE539"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30.957</w:t>
            </w:r>
          </w:p>
        </w:tc>
        <w:tc>
          <w:tcPr>
            <w:tcW w:w="1022" w:type="dxa"/>
            <w:tcBorders>
              <w:top w:val="single" w:sz="4" w:space="0" w:color="000000"/>
              <w:left w:val="single" w:sz="4" w:space="0" w:color="000000"/>
              <w:bottom w:val="single" w:sz="4" w:space="0" w:color="000000"/>
              <w:right w:val="single" w:sz="4" w:space="0" w:color="000000"/>
            </w:tcBorders>
          </w:tcPr>
          <w:p w14:paraId="1DD8851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24.891</w:t>
            </w:r>
          </w:p>
        </w:tc>
      </w:tr>
      <w:tr w:rsidR="009F2EB1" w:rsidRPr="00F919C7" w14:paraId="34C9EB93" w14:textId="77777777">
        <w:trPr>
          <w:trHeight w:val="203"/>
        </w:trPr>
        <w:tc>
          <w:tcPr>
            <w:tcW w:w="1316" w:type="dxa"/>
            <w:tcBorders>
              <w:top w:val="single" w:sz="4" w:space="0" w:color="000000"/>
              <w:left w:val="single" w:sz="4" w:space="0" w:color="000000"/>
              <w:bottom w:val="single" w:sz="4" w:space="0" w:color="000000"/>
              <w:right w:val="single" w:sz="4" w:space="0" w:color="000000"/>
            </w:tcBorders>
          </w:tcPr>
          <w:p w14:paraId="37F32010" w14:textId="77777777" w:rsidR="009F2EB1" w:rsidRPr="00F919C7" w:rsidRDefault="00000000" w:rsidP="00F919C7">
            <w:pPr>
              <w:spacing w:after="0" w:line="240" w:lineRule="auto"/>
              <w:ind w:left="-107" w:right="-110"/>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Post monsoon</w:t>
            </w:r>
          </w:p>
        </w:tc>
        <w:tc>
          <w:tcPr>
            <w:tcW w:w="562" w:type="dxa"/>
            <w:tcBorders>
              <w:top w:val="single" w:sz="4" w:space="0" w:color="000000"/>
              <w:left w:val="single" w:sz="4" w:space="0" w:color="000000"/>
              <w:bottom w:val="single" w:sz="4" w:space="0" w:color="000000"/>
              <w:right w:val="single" w:sz="4" w:space="0" w:color="000000"/>
            </w:tcBorders>
          </w:tcPr>
          <w:p w14:paraId="0521E400"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30</w:t>
            </w:r>
          </w:p>
        </w:tc>
        <w:tc>
          <w:tcPr>
            <w:tcW w:w="1091" w:type="dxa"/>
            <w:tcBorders>
              <w:top w:val="single" w:sz="4" w:space="0" w:color="000000"/>
              <w:left w:val="single" w:sz="4" w:space="0" w:color="000000"/>
              <w:bottom w:val="single" w:sz="4" w:space="0" w:color="000000"/>
              <w:right w:val="single" w:sz="4" w:space="0" w:color="000000"/>
            </w:tcBorders>
          </w:tcPr>
          <w:p w14:paraId="003493D8" w14:textId="77777777" w:rsidR="009F2EB1" w:rsidRPr="00F919C7" w:rsidRDefault="00000000" w:rsidP="00F919C7">
            <w:pPr>
              <w:spacing w:after="0" w:line="240" w:lineRule="auto"/>
              <w:ind w:right="-140"/>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874.2528</w:t>
            </w:r>
          </w:p>
        </w:tc>
        <w:tc>
          <w:tcPr>
            <w:tcW w:w="886" w:type="dxa"/>
            <w:tcBorders>
              <w:top w:val="single" w:sz="4" w:space="0" w:color="000000"/>
              <w:left w:val="single" w:sz="4" w:space="0" w:color="000000"/>
              <w:bottom w:val="single" w:sz="4" w:space="0" w:color="000000"/>
              <w:right w:val="single" w:sz="4" w:space="0" w:color="000000"/>
            </w:tcBorders>
          </w:tcPr>
          <w:p w14:paraId="7C186FA6" w14:textId="77777777" w:rsidR="009F2EB1" w:rsidRPr="00F919C7" w:rsidRDefault="00000000" w:rsidP="00F919C7">
            <w:pPr>
              <w:spacing w:after="0" w:line="240" w:lineRule="auto"/>
              <w:ind w:right="-191"/>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sz w:val="24"/>
                <w:szCs w:val="24"/>
                <w:lang w:bidi="hi-IN"/>
              </w:rPr>
              <w:t>4.2814</w:t>
            </w:r>
          </w:p>
        </w:tc>
        <w:tc>
          <w:tcPr>
            <w:tcW w:w="886" w:type="dxa"/>
            <w:tcBorders>
              <w:top w:val="single" w:sz="4" w:space="0" w:color="000000"/>
              <w:left w:val="single" w:sz="4" w:space="0" w:color="000000"/>
              <w:bottom w:val="single" w:sz="4" w:space="0" w:color="000000"/>
              <w:right w:val="single" w:sz="4" w:space="0" w:color="000000"/>
            </w:tcBorders>
          </w:tcPr>
          <w:p w14:paraId="50803DA0" w14:textId="77777777" w:rsidR="009F2EB1" w:rsidRPr="00F919C7" w:rsidRDefault="00000000" w:rsidP="00F919C7">
            <w:pPr>
              <w:spacing w:after="0" w:line="240" w:lineRule="auto"/>
              <w:ind w:right="-62"/>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0.9329</w:t>
            </w:r>
          </w:p>
        </w:tc>
        <w:tc>
          <w:tcPr>
            <w:tcW w:w="1035" w:type="dxa"/>
            <w:tcBorders>
              <w:top w:val="single" w:sz="4" w:space="0" w:color="000000"/>
              <w:left w:val="single" w:sz="4" w:space="0" w:color="000000"/>
              <w:bottom w:val="single" w:sz="4" w:space="0" w:color="000000"/>
              <w:right w:val="single" w:sz="4" w:space="0" w:color="000000"/>
            </w:tcBorders>
          </w:tcPr>
          <w:p w14:paraId="62C8F0D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3.1731</w:t>
            </w:r>
          </w:p>
        </w:tc>
        <w:tc>
          <w:tcPr>
            <w:tcW w:w="1185" w:type="dxa"/>
            <w:tcBorders>
              <w:top w:val="single" w:sz="4" w:space="0" w:color="000000"/>
              <w:left w:val="single" w:sz="4" w:space="0" w:color="000000"/>
              <w:bottom w:val="single" w:sz="4" w:space="0" w:color="000000"/>
              <w:right w:val="single" w:sz="4" w:space="0" w:color="000000"/>
            </w:tcBorders>
          </w:tcPr>
          <w:p w14:paraId="51CBB65A"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sz w:val="24"/>
                <w:szCs w:val="24"/>
                <w:lang w:bidi="hi-IN"/>
              </w:rPr>
              <w:t>0.9516</w:t>
            </w:r>
          </w:p>
        </w:tc>
        <w:tc>
          <w:tcPr>
            <w:tcW w:w="1034" w:type="dxa"/>
            <w:tcBorders>
              <w:top w:val="single" w:sz="4" w:space="0" w:color="000000"/>
              <w:left w:val="single" w:sz="4" w:space="0" w:color="000000"/>
              <w:bottom w:val="single" w:sz="4" w:space="0" w:color="000000"/>
              <w:right w:val="single" w:sz="4" w:space="0" w:color="000000"/>
            </w:tcBorders>
          </w:tcPr>
          <w:p w14:paraId="0F1F838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23.882</w:t>
            </w:r>
          </w:p>
        </w:tc>
        <w:tc>
          <w:tcPr>
            <w:tcW w:w="1022" w:type="dxa"/>
            <w:tcBorders>
              <w:top w:val="single" w:sz="4" w:space="0" w:color="000000"/>
              <w:left w:val="single" w:sz="4" w:space="0" w:color="000000"/>
              <w:bottom w:val="single" w:sz="4" w:space="0" w:color="000000"/>
              <w:right w:val="single" w:sz="4" w:space="0" w:color="000000"/>
            </w:tcBorders>
          </w:tcPr>
          <w:p w14:paraId="4705639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20.227</w:t>
            </w:r>
          </w:p>
        </w:tc>
      </w:tr>
      <w:tr w:rsidR="009F2EB1" w:rsidRPr="00F919C7" w14:paraId="4A690A29" w14:textId="77777777">
        <w:trPr>
          <w:trHeight w:val="203"/>
        </w:trPr>
        <w:tc>
          <w:tcPr>
            <w:tcW w:w="1316" w:type="dxa"/>
            <w:tcBorders>
              <w:top w:val="single" w:sz="4" w:space="0" w:color="000000"/>
              <w:left w:val="single" w:sz="4" w:space="0" w:color="000000"/>
              <w:bottom w:val="single" w:sz="4" w:space="0" w:color="000000"/>
              <w:right w:val="single" w:sz="4" w:space="0" w:color="000000"/>
            </w:tcBorders>
          </w:tcPr>
          <w:p w14:paraId="415F32D4"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Pre monsoon</w:t>
            </w:r>
          </w:p>
        </w:tc>
        <w:tc>
          <w:tcPr>
            <w:tcW w:w="562" w:type="dxa"/>
            <w:tcBorders>
              <w:top w:val="single" w:sz="4" w:space="0" w:color="000000"/>
              <w:left w:val="single" w:sz="4" w:space="0" w:color="000000"/>
              <w:bottom w:val="single" w:sz="4" w:space="0" w:color="000000"/>
              <w:right w:val="single" w:sz="4" w:space="0" w:color="000000"/>
            </w:tcBorders>
          </w:tcPr>
          <w:p w14:paraId="7C2DD357"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25</w:t>
            </w:r>
          </w:p>
        </w:tc>
        <w:tc>
          <w:tcPr>
            <w:tcW w:w="1091" w:type="dxa"/>
            <w:tcBorders>
              <w:top w:val="single" w:sz="4" w:space="0" w:color="000000"/>
              <w:left w:val="single" w:sz="4" w:space="0" w:color="000000"/>
              <w:bottom w:val="single" w:sz="4" w:space="0" w:color="000000"/>
              <w:right w:val="single" w:sz="4" w:space="0" w:color="000000"/>
            </w:tcBorders>
          </w:tcPr>
          <w:p w14:paraId="0511B921" w14:textId="77777777" w:rsidR="009F2EB1" w:rsidRPr="00F919C7" w:rsidRDefault="00000000" w:rsidP="00F919C7">
            <w:pPr>
              <w:spacing w:after="0" w:line="240" w:lineRule="auto"/>
              <w:ind w:right="-140"/>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820.4538</w:t>
            </w:r>
          </w:p>
        </w:tc>
        <w:tc>
          <w:tcPr>
            <w:tcW w:w="886" w:type="dxa"/>
            <w:tcBorders>
              <w:top w:val="single" w:sz="4" w:space="0" w:color="000000"/>
              <w:left w:val="single" w:sz="4" w:space="0" w:color="000000"/>
              <w:bottom w:val="single" w:sz="4" w:space="0" w:color="000000"/>
              <w:right w:val="single" w:sz="4" w:space="0" w:color="000000"/>
            </w:tcBorders>
          </w:tcPr>
          <w:p w14:paraId="13F7D8AB" w14:textId="77777777" w:rsidR="009F2EB1" w:rsidRPr="00F919C7" w:rsidRDefault="00000000" w:rsidP="00F919C7">
            <w:pPr>
              <w:spacing w:after="0" w:line="240" w:lineRule="auto"/>
              <w:ind w:right="-191"/>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3.5768</w:t>
            </w:r>
          </w:p>
        </w:tc>
        <w:tc>
          <w:tcPr>
            <w:tcW w:w="886" w:type="dxa"/>
            <w:tcBorders>
              <w:top w:val="single" w:sz="4" w:space="0" w:color="000000"/>
              <w:left w:val="single" w:sz="4" w:space="0" w:color="000000"/>
              <w:bottom w:val="single" w:sz="4" w:space="0" w:color="000000"/>
              <w:right w:val="single" w:sz="4" w:space="0" w:color="000000"/>
            </w:tcBorders>
          </w:tcPr>
          <w:p w14:paraId="263FDC02" w14:textId="77777777" w:rsidR="009F2EB1" w:rsidRPr="00F919C7" w:rsidRDefault="00000000" w:rsidP="00F919C7">
            <w:pPr>
              <w:spacing w:after="0" w:line="240" w:lineRule="auto"/>
              <w:ind w:right="-62"/>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0.9246</w:t>
            </w:r>
          </w:p>
        </w:tc>
        <w:tc>
          <w:tcPr>
            <w:tcW w:w="1035" w:type="dxa"/>
            <w:tcBorders>
              <w:top w:val="single" w:sz="4" w:space="0" w:color="000000"/>
              <w:left w:val="single" w:sz="4" w:space="0" w:color="000000"/>
              <w:bottom w:val="single" w:sz="4" w:space="0" w:color="000000"/>
              <w:right w:val="single" w:sz="4" w:space="0" w:color="000000"/>
            </w:tcBorders>
          </w:tcPr>
          <w:p w14:paraId="7AE801EE"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2.9764</w:t>
            </w:r>
          </w:p>
        </w:tc>
        <w:tc>
          <w:tcPr>
            <w:tcW w:w="1185" w:type="dxa"/>
            <w:tcBorders>
              <w:top w:val="single" w:sz="4" w:space="0" w:color="000000"/>
              <w:left w:val="single" w:sz="4" w:space="0" w:color="000000"/>
              <w:bottom w:val="single" w:sz="4" w:space="0" w:color="000000"/>
              <w:right w:val="single" w:sz="4" w:space="0" w:color="000000"/>
            </w:tcBorders>
          </w:tcPr>
          <w:p w14:paraId="319EF30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0.9375</w:t>
            </w:r>
          </w:p>
        </w:tc>
        <w:tc>
          <w:tcPr>
            <w:tcW w:w="1034" w:type="dxa"/>
            <w:tcBorders>
              <w:top w:val="single" w:sz="4" w:space="0" w:color="000000"/>
              <w:left w:val="single" w:sz="4" w:space="0" w:color="000000"/>
              <w:bottom w:val="single" w:sz="4" w:space="0" w:color="000000"/>
              <w:right w:val="single" w:sz="4" w:space="0" w:color="000000"/>
            </w:tcBorders>
          </w:tcPr>
          <w:p w14:paraId="39DF59F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19.618</w:t>
            </w:r>
          </w:p>
        </w:tc>
        <w:tc>
          <w:tcPr>
            <w:tcW w:w="1022" w:type="dxa"/>
            <w:tcBorders>
              <w:top w:val="single" w:sz="4" w:space="0" w:color="000000"/>
              <w:left w:val="single" w:sz="4" w:space="0" w:color="000000"/>
              <w:bottom w:val="single" w:sz="4" w:space="0" w:color="000000"/>
              <w:right w:val="single" w:sz="4" w:space="0" w:color="000000"/>
            </w:tcBorders>
          </w:tcPr>
          <w:p w14:paraId="488C536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15.713</w:t>
            </w:r>
          </w:p>
        </w:tc>
      </w:tr>
    </w:tbl>
    <w:p w14:paraId="3AB79C04" w14:textId="77777777" w:rsidR="009F2EB1" w:rsidRPr="00F919C7" w:rsidRDefault="009F2EB1" w:rsidP="00F919C7">
      <w:pPr>
        <w:spacing w:after="0" w:line="240" w:lineRule="auto"/>
        <w:ind w:firstLine="720"/>
        <w:jc w:val="both"/>
        <w:rPr>
          <w:rFonts w:ascii="Times New Roman" w:hAnsi="Times New Roman" w:cs="Times New Roman"/>
          <w:sz w:val="24"/>
          <w:szCs w:val="24"/>
        </w:rPr>
      </w:pPr>
    </w:p>
    <w:p w14:paraId="30E9061E" w14:textId="5BD8EF57" w:rsidR="009F2EB1" w:rsidRPr="00F919C7" w:rsidRDefault="00BF61DF" w:rsidP="00F919C7">
      <w:pPr>
        <w:spacing w:after="0" w:line="240" w:lineRule="auto"/>
        <w:jc w:val="both"/>
        <w:rPr>
          <w:rFonts w:ascii="Times New Roman" w:hAnsi="Times New Roman" w:cs="Times New Roman"/>
          <w:b/>
          <w:bCs/>
          <w:sz w:val="24"/>
          <w:szCs w:val="24"/>
        </w:rPr>
      </w:pPr>
      <w:r>
        <w:rPr>
          <w:rFonts w:ascii="Times New Roman" w:hAnsi="Times New Roman" w:cs="Times New Roman"/>
          <w:b/>
          <w:noProof/>
          <w:sz w:val="24"/>
          <w:szCs w:val="24"/>
          <w:lang w:val="en-IN" w:eastAsia="en-US" w:bidi="hi-IN"/>
        </w:rPr>
        <w:pict w14:anchorId="7BEE9B6A">
          <v:shape id="Picture 1" o:spid="_x0000_i1027" type="#_x0000_t75" style="width:395.25pt;height:267pt;visibility:visible;mso-wrap-style:square">
            <v:imagedata r:id="rId9" o:title="" croptop="-3f" cropbottom="-3f" cropleft="-3f" cropright="-3f"/>
          </v:shape>
        </w:pict>
      </w:r>
    </w:p>
    <w:p w14:paraId="769C7D5E" w14:textId="77777777" w:rsidR="009F2EB1" w:rsidRPr="00F919C7" w:rsidRDefault="00000000" w:rsidP="00F919C7">
      <w:pPr>
        <w:spacing w:line="240" w:lineRule="auto"/>
        <w:jc w:val="both"/>
      </w:pPr>
      <w:r w:rsidRPr="00F919C7">
        <w:rPr>
          <w:rFonts w:ascii="Times New Roman" w:hAnsi="Times New Roman" w:cs="Times New Roman"/>
          <w:b/>
          <w:bCs/>
          <w:sz w:val="24"/>
          <w:szCs w:val="24"/>
        </w:rPr>
        <w:t>Fig.1:</w:t>
      </w:r>
      <w:r w:rsidRPr="00F919C7">
        <w:rPr>
          <w:rFonts w:ascii="Times New Roman" w:hAnsi="Times New Roman" w:cs="Times New Roman"/>
          <w:sz w:val="24"/>
          <w:szCs w:val="24"/>
        </w:rPr>
        <w:t xml:space="preserve"> K-dominance curve for species biomass during the study period (Month wise) during the study period</w:t>
      </w:r>
    </w:p>
    <w:p w14:paraId="6C82827F" w14:textId="77777777" w:rsidR="009F2EB1" w:rsidRPr="00F919C7" w:rsidRDefault="009F2EB1" w:rsidP="00F919C7">
      <w:pPr>
        <w:spacing w:after="0" w:line="240" w:lineRule="auto"/>
        <w:ind w:firstLine="477"/>
        <w:jc w:val="both"/>
        <w:rPr>
          <w:rStyle w:val="Strong"/>
          <w:rFonts w:ascii="Times New Roman" w:eastAsia="Times New Roman" w:hAnsi="Times New Roman" w:cs="Times New Roman"/>
          <w:sz w:val="24"/>
          <w:szCs w:val="24"/>
        </w:rPr>
      </w:pPr>
    </w:p>
    <w:p w14:paraId="65D52C02" w14:textId="7BCBE4B8" w:rsidR="009F2EB1" w:rsidRPr="00F919C7" w:rsidRDefault="00BF61DF" w:rsidP="00F919C7">
      <w:pPr>
        <w:spacing w:after="0" w:line="240" w:lineRule="auto"/>
        <w:ind w:firstLine="477"/>
        <w:jc w:val="both"/>
        <w:rPr>
          <w:rFonts w:ascii="Times New Roman" w:eastAsia="Times New Roman" w:hAnsi="Times New Roman" w:cs="Times New Roman"/>
          <w:sz w:val="24"/>
          <w:szCs w:val="24"/>
        </w:rPr>
      </w:pPr>
      <w:r>
        <w:rPr>
          <w:b/>
          <w:noProof/>
          <w:lang w:val="en-IN" w:eastAsia="en-US" w:bidi="hi-IN"/>
        </w:rPr>
        <w:lastRenderedPageBreak/>
        <w:pict w14:anchorId="5B1939F3">
          <v:shape id="Picture 5" o:spid="_x0000_i1028" type="#_x0000_t75" style="width:362.25pt;height:225pt;visibility:visible;mso-wrap-style:square">
            <v:imagedata r:id="rId10" o:title="" croptop="-3f" cropbottom="-3f" cropleft="-3f" cropright="-3f"/>
          </v:shape>
        </w:pict>
      </w:r>
      <w:r w:rsidR="00B309B6" w:rsidRPr="00F919C7">
        <w:rPr>
          <w:rFonts w:ascii="Times New Roman" w:eastAsia="Times New Roman" w:hAnsi="Times New Roman" w:cs="Times New Roman"/>
          <w:vanish/>
          <w:sz w:val="24"/>
          <w:szCs w:val="24"/>
        </w:rPr>
        <w:t>Top of Form</w:t>
      </w:r>
    </w:p>
    <w:p w14:paraId="3E063BE4" w14:textId="77777777" w:rsidR="009F2EB1" w:rsidRPr="00F919C7" w:rsidRDefault="00000000" w:rsidP="00F919C7">
      <w:pPr>
        <w:spacing w:after="0" w:line="240" w:lineRule="auto"/>
        <w:jc w:val="both"/>
        <w:rPr>
          <w:rFonts w:ascii="Times New Roman" w:hAnsi="Times New Roman" w:cs="Times New Roman"/>
          <w:sz w:val="24"/>
          <w:szCs w:val="24"/>
        </w:rPr>
      </w:pPr>
      <w:r w:rsidRPr="00F919C7">
        <w:rPr>
          <w:rFonts w:ascii="Times New Roman" w:hAnsi="Times New Roman" w:cs="Times New Roman"/>
          <w:b/>
          <w:bCs/>
          <w:sz w:val="24"/>
          <w:szCs w:val="24"/>
        </w:rPr>
        <w:t xml:space="preserve">Fig. 2: </w:t>
      </w:r>
      <w:r w:rsidRPr="00F919C7">
        <w:rPr>
          <w:rFonts w:ascii="Times New Roman" w:hAnsi="Times New Roman" w:cs="Times New Roman"/>
          <w:sz w:val="24"/>
          <w:szCs w:val="24"/>
        </w:rPr>
        <w:t xml:space="preserve">K-dominance curve for species biomass during the study period (Season wise) </w:t>
      </w:r>
      <w:r w:rsidRPr="00F919C7">
        <w:rPr>
          <w:b/>
          <w:bCs/>
          <w:vanish/>
          <w:lang w:val="en-IN"/>
        </w:rPr>
        <w:t>Bottom of Form</w:t>
      </w:r>
    </w:p>
    <w:p w14:paraId="10347AA4" w14:textId="77777777" w:rsidR="009F2EB1" w:rsidRPr="00F919C7" w:rsidRDefault="00000000" w:rsidP="00F919C7">
      <w:pPr>
        <w:spacing w:before="240" w:after="0" w:line="240" w:lineRule="auto"/>
        <w:jc w:val="both"/>
        <w:rPr>
          <w:rFonts w:ascii="Times New Roman" w:hAnsi="Times New Roman" w:cs="Times New Roman"/>
          <w:b/>
          <w:bCs/>
          <w:sz w:val="24"/>
          <w:szCs w:val="24"/>
        </w:rPr>
      </w:pPr>
      <w:r w:rsidRPr="00F919C7">
        <w:rPr>
          <w:rFonts w:ascii="Times New Roman" w:hAnsi="Times New Roman" w:cs="Times New Roman"/>
          <w:b/>
          <w:bCs/>
          <w:sz w:val="24"/>
          <w:szCs w:val="24"/>
        </w:rPr>
        <w:t>Table 4: Bray-Curtis similarity matrix between months during the study period</w:t>
      </w:r>
    </w:p>
    <w:tbl>
      <w:tblPr>
        <w:tblW w:w="9629" w:type="dxa"/>
        <w:tblInd w:w="108" w:type="dxa"/>
        <w:tblLayout w:type="fixed"/>
        <w:tblLook w:val="04A0" w:firstRow="1" w:lastRow="0" w:firstColumn="1" w:lastColumn="0" w:noHBand="0" w:noVBand="1"/>
      </w:tblPr>
      <w:tblGrid>
        <w:gridCol w:w="1078"/>
        <w:gridCol w:w="956"/>
        <w:gridCol w:w="1016"/>
        <w:gridCol w:w="813"/>
        <w:gridCol w:w="1016"/>
        <w:gridCol w:w="1016"/>
        <w:gridCol w:w="813"/>
        <w:gridCol w:w="1016"/>
        <w:gridCol w:w="1016"/>
        <w:gridCol w:w="889"/>
      </w:tblGrid>
      <w:tr w:rsidR="009F2EB1" w:rsidRPr="00F919C7" w14:paraId="665E95A0"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48518CC4" w14:textId="77777777" w:rsidR="009F2EB1" w:rsidRPr="00F919C7" w:rsidRDefault="00000000" w:rsidP="00F919C7">
            <w:pPr>
              <w:spacing w:after="0" w:line="240" w:lineRule="auto"/>
              <w:ind w:left="-105" w:right="-105"/>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Months</w:t>
            </w:r>
          </w:p>
        </w:tc>
        <w:tc>
          <w:tcPr>
            <w:tcW w:w="956" w:type="dxa"/>
            <w:tcBorders>
              <w:top w:val="single" w:sz="4" w:space="0" w:color="000000"/>
              <w:left w:val="single" w:sz="4" w:space="0" w:color="000000"/>
              <w:bottom w:val="single" w:sz="4" w:space="0" w:color="000000"/>
              <w:right w:val="single" w:sz="4" w:space="0" w:color="000000"/>
            </w:tcBorders>
          </w:tcPr>
          <w:p w14:paraId="7B9214F7"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Sep.</w:t>
            </w:r>
          </w:p>
          <w:p w14:paraId="2E3B38CC"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2025</w:t>
            </w:r>
          </w:p>
        </w:tc>
        <w:tc>
          <w:tcPr>
            <w:tcW w:w="1016" w:type="dxa"/>
            <w:tcBorders>
              <w:top w:val="single" w:sz="4" w:space="0" w:color="000000"/>
              <w:left w:val="single" w:sz="4" w:space="0" w:color="000000"/>
              <w:bottom w:val="single" w:sz="4" w:space="0" w:color="000000"/>
              <w:right w:val="single" w:sz="4" w:space="0" w:color="000000"/>
            </w:tcBorders>
          </w:tcPr>
          <w:p w14:paraId="30FEC7B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Oct.</w:t>
            </w:r>
          </w:p>
          <w:p w14:paraId="393FCC7C"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2025</w:t>
            </w:r>
          </w:p>
        </w:tc>
        <w:tc>
          <w:tcPr>
            <w:tcW w:w="813" w:type="dxa"/>
            <w:tcBorders>
              <w:top w:val="single" w:sz="4" w:space="0" w:color="000000"/>
              <w:left w:val="single" w:sz="4" w:space="0" w:color="000000"/>
              <w:bottom w:val="single" w:sz="4" w:space="0" w:color="000000"/>
              <w:right w:val="single" w:sz="4" w:space="0" w:color="000000"/>
            </w:tcBorders>
          </w:tcPr>
          <w:p w14:paraId="5F947C33"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 xml:space="preserve">Nov. </w:t>
            </w:r>
          </w:p>
          <w:p w14:paraId="5E6D917C"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2025</w:t>
            </w:r>
          </w:p>
        </w:tc>
        <w:tc>
          <w:tcPr>
            <w:tcW w:w="1016" w:type="dxa"/>
            <w:tcBorders>
              <w:top w:val="single" w:sz="4" w:space="0" w:color="000000"/>
              <w:left w:val="single" w:sz="4" w:space="0" w:color="000000"/>
              <w:bottom w:val="single" w:sz="4" w:space="0" w:color="000000"/>
              <w:right w:val="single" w:sz="4" w:space="0" w:color="000000"/>
            </w:tcBorders>
          </w:tcPr>
          <w:p w14:paraId="2C731D89"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 xml:space="preserve">Dec. </w:t>
            </w:r>
          </w:p>
          <w:p w14:paraId="5740E24A"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2025</w:t>
            </w:r>
          </w:p>
        </w:tc>
        <w:tc>
          <w:tcPr>
            <w:tcW w:w="1016" w:type="dxa"/>
            <w:tcBorders>
              <w:top w:val="single" w:sz="4" w:space="0" w:color="000000"/>
              <w:left w:val="single" w:sz="4" w:space="0" w:color="000000"/>
              <w:bottom w:val="single" w:sz="4" w:space="0" w:color="000000"/>
              <w:right w:val="single" w:sz="4" w:space="0" w:color="000000"/>
            </w:tcBorders>
          </w:tcPr>
          <w:p w14:paraId="6F3622B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 xml:space="preserve">Jan. </w:t>
            </w:r>
          </w:p>
          <w:p w14:paraId="0ADE0380"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2026</w:t>
            </w:r>
          </w:p>
        </w:tc>
        <w:tc>
          <w:tcPr>
            <w:tcW w:w="813" w:type="dxa"/>
            <w:tcBorders>
              <w:top w:val="single" w:sz="4" w:space="0" w:color="000000"/>
              <w:left w:val="single" w:sz="4" w:space="0" w:color="000000"/>
              <w:bottom w:val="single" w:sz="4" w:space="0" w:color="000000"/>
              <w:right w:val="single" w:sz="4" w:space="0" w:color="000000"/>
            </w:tcBorders>
          </w:tcPr>
          <w:p w14:paraId="0238EA4B"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 xml:space="preserve">Feb. </w:t>
            </w:r>
          </w:p>
          <w:p w14:paraId="5C80F9D7"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2026</w:t>
            </w:r>
          </w:p>
        </w:tc>
        <w:tc>
          <w:tcPr>
            <w:tcW w:w="1016" w:type="dxa"/>
            <w:tcBorders>
              <w:top w:val="single" w:sz="4" w:space="0" w:color="000000"/>
              <w:left w:val="single" w:sz="4" w:space="0" w:color="000000"/>
              <w:bottom w:val="single" w:sz="4" w:space="0" w:color="000000"/>
              <w:right w:val="single" w:sz="4" w:space="0" w:color="000000"/>
            </w:tcBorders>
          </w:tcPr>
          <w:p w14:paraId="5AFD8898"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 xml:space="preserve">Mar. </w:t>
            </w:r>
          </w:p>
          <w:p w14:paraId="4B6E17BE"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2026</w:t>
            </w:r>
          </w:p>
        </w:tc>
        <w:tc>
          <w:tcPr>
            <w:tcW w:w="1016" w:type="dxa"/>
            <w:tcBorders>
              <w:top w:val="single" w:sz="4" w:space="0" w:color="000000"/>
              <w:left w:val="single" w:sz="4" w:space="0" w:color="000000"/>
              <w:bottom w:val="single" w:sz="4" w:space="0" w:color="000000"/>
              <w:right w:val="single" w:sz="4" w:space="0" w:color="000000"/>
            </w:tcBorders>
          </w:tcPr>
          <w:p w14:paraId="5991BCC6"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 xml:space="preserve">Apr. </w:t>
            </w:r>
          </w:p>
          <w:p w14:paraId="4703CF39"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2026</w:t>
            </w:r>
          </w:p>
        </w:tc>
        <w:tc>
          <w:tcPr>
            <w:tcW w:w="889" w:type="dxa"/>
            <w:tcBorders>
              <w:top w:val="single" w:sz="4" w:space="0" w:color="000000"/>
              <w:left w:val="single" w:sz="4" w:space="0" w:color="000000"/>
              <w:bottom w:val="single" w:sz="4" w:space="0" w:color="000000"/>
              <w:right w:val="single" w:sz="4" w:space="0" w:color="000000"/>
            </w:tcBorders>
          </w:tcPr>
          <w:p w14:paraId="783188A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May.</w:t>
            </w:r>
          </w:p>
          <w:p w14:paraId="1F53A145"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 xml:space="preserve"> 2026</w:t>
            </w:r>
          </w:p>
        </w:tc>
      </w:tr>
      <w:tr w:rsidR="009F2EB1" w:rsidRPr="00F919C7" w14:paraId="3CA40706"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559F18DB"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Sep.</w:t>
            </w:r>
          </w:p>
          <w:p w14:paraId="53895B74"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2025</w:t>
            </w:r>
          </w:p>
        </w:tc>
        <w:tc>
          <w:tcPr>
            <w:tcW w:w="956" w:type="dxa"/>
            <w:tcBorders>
              <w:top w:val="single" w:sz="4" w:space="0" w:color="000000"/>
              <w:left w:val="single" w:sz="4" w:space="0" w:color="000000"/>
              <w:bottom w:val="single" w:sz="4" w:space="0" w:color="000000"/>
              <w:right w:val="single" w:sz="4" w:space="0" w:color="000000"/>
            </w:tcBorders>
          </w:tcPr>
          <w:p w14:paraId="57865F6F" w14:textId="77777777" w:rsidR="009F2EB1" w:rsidRPr="00F919C7" w:rsidRDefault="009F2EB1" w:rsidP="00F919C7">
            <w:pPr>
              <w:snapToGrid w:val="0"/>
              <w:spacing w:after="0" w:line="240" w:lineRule="auto"/>
              <w:jc w:val="both"/>
              <w:rPr>
                <w:rFonts w:ascii="Times New Roman" w:eastAsia="Times New Roman" w:hAnsi="Times New Roman" w:cs="Times New Roman"/>
                <w:b/>
                <w:bCs/>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59080D8C"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13" w:type="dxa"/>
            <w:tcBorders>
              <w:top w:val="single" w:sz="4" w:space="0" w:color="000000"/>
              <w:left w:val="single" w:sz="4" w:space="0" w:color="000000"/>
              <w:bottom w:val="single" w:sz="4" w:space="0" w:color="000000"/>
              <w:right w:val="single" w:sz="4" w:space="0" w:color="000000"/>
            </w:tcBorders>
          </w:tcPr>
          <w:p w14:paraId="24FCA71A"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0BA351DC"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13882E5B"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13" w:type="dxa"/>
            <w:tcBorders>
              <w:top w:val="single" w:sz="4" w:space="0" w:color="000000"/>
              <w:left w:val="single" w:sz="4" w:space="0" w:color="000000"/>
              <w:bottom w:val="single" w:sz="4" w:space="0" w:color="000000"/>
              <w:right w:val="single" w:sz="4" w:space="0" w:color="000000"/>
            </w:tcBorders>
          </w:tcPr>
          <w:p w14:paraId="6A670CD5"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0E6434ED"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354F3101"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89" w:type="dxa"/>
            <w:tcBorders>
              <w:top w:val="single" w:sz="4" w:space="0" w:color="000000"/>
              <w:left w:val="single" w:sz="4" w:space="0" w:color="000000"/>
              <w:bottom w:val="single" w:sz="4" w:space="0" w:color="000000"/>
              <w:right w:val="single" w:sz="4" w:space="0" w:color="000000"/>
            </w:tcBorders>
          </w:tcPr>
          <w:p w14:paraId="3A17C316"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r w:rsidR="009F2EB1" w:rsidRPr="00F919C7" w14:paraId="07FD5EBF"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7BAE3776"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Oct.</w:t>
            </w:r>
          </w:p>
          <w:p w14:paraId="6592923E"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2025</w:t>
            </w:r>
          </w:p>
        </w:tc>
        <w:tc>
          <w:tcPr>
            <w:tcW w:w="956" w:type="dxa"/>
            <w:tcBorders>
              <w:top w:val="single" w:sz="4" w:space="0" w:color="000000"/>
              <w:left w:val="single" w:sz="4" w:space="0" w:color="000000"/>
              <w:bottom w:val="single" w:sz="4" w:space="0" w:color="000000"/>
              <w:right w:val="single" w:sz="4" w:space="0" w:color="000000"/>
            </w:tcBorders>
          </w:tcPr>
          <w:p w14:paraId="43012F69"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61.95998</w:t>
            </w:r>
          </w:p>
        </w:tc>
        <w:tc>
          <w:tcPr>
            <w:tcW w:w="1016" w:type="dxa"/>
            <w:tcBorders>
              <w:top w:val="single" w:sz="4" w:space="0" w:color="000000"/>
              <w:left w:val="single" w:sz="4" w:space="0" w:color="000000"/>
              <w:bottom w:val="single" w:sz="4" w:space="0" w:color="000000"/>
              <w:right w:val="single" w:sz="4" w:space="0" w:color="000000"/>
            </w:tcBorders>
          </w:tcPr>
          <w:p w14:paraId="1F84B5A6"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13" w:type="dxa"/>
            <w:tcBorders>
              <w:top w:val="single" w:sz="4" w:space="0" w:color="000000"/>
              <w:left w:val="single" w:sz="4" w:space="0" w:color="000000"/>
              <w:bottom w:val="single" w:sz="4" w:space="0" w:color="000000"/>
              <w:right w:val="single" w:sz="4" w:space="0" w:color="000000"/>
            </w:tcBorders>
          </w:tcPr>
          <w:p w14:paraId="4139675D"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523F2E41"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5CDE5ACA"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13" w:type="dxa"/>
            <w:tcBorders>
              <w:top w:val="single" w:sz="4" w:space="0" w:color="000000"/>
              <w:left w:val="single" w:sz="4" w:space="0" w:color="000000"/>
              <w:bottom w:val="single" w:sz="4" w:space="0" w:color="000000"/>
              <w:right w:val="single" w:sz="4" w:space="0" w:color="000000"/>
            </w:tcBorders>
          </w:tcPr>
          <w:p w14:paraId="594DD5CB"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1A0FA17E"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64B322F5"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89" w:type="dxa"/>
            <w:tcBorders>
              <w:top w:val="single" w:sz="4" w:space="0" w:color="000000"/>
              <w:left w:val="single" w:sz="4" w:space="0" w:color="000000"/>
              <w:bottom w:val="single" w:sz="4" w:space="0" w:color="000000"/>
              <w:right w:val="single" w:sz="4" w:space="0" w:color="000000"/>
            </w:tcBorders>
          </w:tcPr>
          <w:p w14:paraId="4750F615"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r w:rsidR="009F2EB1" w:rsidRPr="00F919C7" w14:paraId="17586417"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1E28741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Nov. 2025</w:t>
            </w:r>
          </w:p>
        </w:tc>
        <w:tc>
          <w:tcPr>
            <w:tcW w:w="956" w:type="dxa"/>
            <w:tcBorders>
              <w:top w:val="single" w:sz="4" w:space="0" w:color="000000"/>
              <w:left w:val="single" w:sz="4" w:space="0" w:color="000000"/>
              <w:bottom w:val="single" w:sz="4" w:space="0" w:color="000000"/>
              <w:right w:val="single" w:sz="4" w:space="0" w:color="000000"/>
            </w:tcBorders>
          </w:tcPr>
          <w:p w14:paraId="10F9903D"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47.45695</w:t>
            </w:r>
          </w:p>
        </w:tc>
        <w:tc>
          <w:tcPr>
            <w:tcW w:w="1016" w:type="dxa"/>
            <w:tcBorders>
              <w:top w:val="single" w:sz="4" w:space="0" w:color="000000"/>
              <w:left w:val="single" w:sz="4" w:space="0" w:color="000000"/>
              <w:bottom w:val="single" w:sz="4" w:space="0" w:color="000000"/>
              <w:right w:val="single" w:sz="4" w:space="0" w:color="000000"/>
            </w:tcBorders>
          </w:tcPr>
          <w:p w14:paraId="511F226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69.57831</w:t>
            </w:r>
          </w:p>
        </w:tc>
        <w:tc>
          <w:tcPr>
            <w:tcW w:w="813" w:type="dxa"/>
            <w:tcBorders>
              <w:top w:val="single" w:sz="4" w:space="0" w:color="000000"/>
              <w:left w:val="single" w:sz="4" w:space="0" w:color="000000"/>
              <w:bottom w:val="single" w:sz="4" w:space="0" w:color="000000"/>
              <w:right w:val="single" w:sz="4" w:space="0" w:color="000000"/>
            </w:tcBorders>
          </w:tcPr>
          <w:p w14:paraId="327732F1"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21EA0E83"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2B3B6B97"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13" w:type="dxa"/>
            <w:tcBorders>
              <w:top w:val="single" w:sz="4" w:space="0" w:color="000000"/>
              <w:left w:val="single" w:sz="4" w:space="0" w:color="000000"/>
              <w:bottom w:val="single" w:sz="4" w:space="0" w:color="000000"/>
              <w:right w:val="single" w:sz="4" w:space="0" w:color="000000"/>
            </w:tcBorders>
          </w:tcPr>
          <w:p w14:paraId="219B5BF2"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60230F74"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3C14CC5A"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89" w:type="dxa"/>
            <w:tcBorders>
              <w:top w:val="single" w:sz="4" w:space="0" w:color="000000"/>
              <w:left w:val="single" w:sz="4" w:space="0" w:color="000000"/>
              <w:bottom w:val="single" w:sz="4" w:space="0" w:color="000000"/>
              <w:right w:val="single" w:sz="4" w:space="0" w:color="000000"/>
            </w:tcBorders>
          </w:tcPr>
          <w:p w14:paraId="04F0722A"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r w:rsidR="009F2EB1" w:rsidRPr="00F919C7" w14:paraId="258AF8DB"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35048DFD"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Dec. 2025</w:t>
            </w:r>
          </w:p>
        </w:tc>
        <w:tc>
          <w:tcPr>
            <w:tcW w:w="956" w:type="dxa"/>
            <w:tcBorders>
              <w:top w:val="single" w:sz="4" w:space="0" w:color="000000"/>
              <w:left w:val="single" w:sz="4" w:space="0" w:color="000000"/>
              <w:bottom w:val="single" w:sz="4" w:space="0" w:color="000000"/>
              <w:right w:val="single" w:sz="4" w:space="0" w:color="000000"/>
            </w:tcBorders>
          </w:tcPr>
          <w:p w14:paraId="0AC7EF4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48.25708</w:t>
            </w:r>
          </w:p>
        </w:tc>
        <w:tc>
          <w:tcPr>
            <w:tcW w:w="1016" w:type="dxa"/>
            <w:tcBorders>
              <w:top w:val="single" w:sz="4" w:space="0" w:color="000000"/>
              <w:left w:val="single" w:sz="4" w:space="0" w:color="000000"/>
              <w:bottom w:val="single" w:sz="4" w:space="0" w:color="000000"/>
              <w:right w:val="single" w:sz="4" w:space="0" w:color="000000"/>
            </w:tcBorders>
          </w:tcPr>
          <w:p w14:paraId="3332BAB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69.67391</w:t>
            </w:r>
          </w:p>
        </w:tc>
        <w:tc>
          <w:tcPr>
            <w:tcW w:w="813" w:type="dxa"/>
            <w:tcBorders>
              <w:top w:val="single" w:sz="4" w:space="0" w:color="000000"/>
              <w:left w:val="single" w:sz="4" w:space="0" w:color="000000"/>
              <w:bottom w:val="single" w:sz="4" w:space="0" w:color="000000"/>
              <w:right w:val="single" w:sz="4" w:space="0" w:color="000000"/>
            </w:tcBorders>
          </w:tcPr>
          <w:p w14:paraId="3C314B4E"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89.44456</w:t>
            </w:r>
          </w:p>
        </w:tc>
        <w:tc>
          <w:tcPr>
            <w:tcW w:w="1016" w:type="dxa"/>
            <w:tcBorders>
              <w:top w:val="single" w:sz="4" w:space="0" w:color="000000"/>
              <w:left w:val="single" w:sz="4" w:space="0" w:color="000000"/>
              <w:bottom w:val="single" w:sz="4" w:space="0" w:color="000000"/>
              <w:right w:val="single" w:sz="4" w:space="0" w:color="000000"/>
            </w:tcBorders>
          </w:tcPr>
          <w:p w14:paraId="4A22C6DA"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33337908"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13" w:type="dxa"/>
            <w:tcBorders>
              <w:top w:val="single" w:sz="4" w:space="0" w:color="000000"/>
              <w:left w:val="single" w:sz="4" w:space="0" w:color="000000"/>
              <w:bottom w:val="single" w:sz="4" w:space="0" w:color="000000"/>
              <w:right w:val="single" w:sz="4" w:space="0" w:color="000000"/>
            </w:tcBorders>
          </w:tcPr>
          <w:p w14:paraId="58B6E798"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7BDF9B31"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4C5192FF"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89" w:type="dxa"/>
            <w:tcBorders>
              <w:top w:val="single" w:sz="4" w:space="0" w:color="000000"/>
              <w:left w:val="single" w:sz="4" w:space="0" w:color="000000"/>
              <w:bottom w:val="single" w:sz="4" w:space="0" w:color="000000"/>
              <w:right w:val="single" w:sz="4" w:space="0" w:color="000000"/>
            </w:tcBorders>
          </w:tcPr>
          <w:p w14:paraId="70812590"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r w:rsidR="009F2EB1" w:rsidRPr="00F919C7" w14:paraId="7B8CEED2"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5F79A0A1"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Jan. 2026</w:t>
            </w:r>
          </w:p>
        </w:tc>
        <w:tc>
          <w:tcPr>
            <w:tcW w:w="956" w:type="dxa"/>
            <w:tcBorders>
              <w:top w:val="single" w:sz="4" w:space="0" w:color="000000"/>
              <w:left w:val="single" w:sz="4" w:space="0" w:color="000000"/>
              <w:bottom w:val="single" w:sz="4" w:space="0" w:color="000000"/>
              <w:right w:val="single" w:sz="4" w:space="0" w:color="000000"/>
            </w:tcBorders>
          </w:tcPr>
          <w:p w14:paraId="58142DBC"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51.33746</w:t>
            </w:r>
          </w:p>
        </w:tc>
        <w:tc>
          <w:tcPr>
            <w:tcW w:w="1016" w:type="dxa"/>
            <w:tcBorders>
              <w:top w:val="single" w:sz="4" w:space="0" w:color="000000"/>
              <w:left w:val="single" w:sz="4" w:space="0" w:color="000000"/>
              <w:bottom w:val="single" w:sz="4" w:space="0" w:color="000000"/>
              <w:right w:val="single" w:sz="4" w:space="0" w:color="000000"/>
            </w:tcBorders>
          </w:tcPr>
          <w:p w14:paraId="192B58B2"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68.79423</w:t>
            </w:r>
          </w:p>
        </w:tc>
        <w:tc>
          <w:tcPr>
            <w:tcW w:w="813" w:type="dxa"/>
            <w:tcBorders>
              <w:top w:val="single" w:sz="4" w:space="0" w:color="000000"/>
              <w:left w:val="single" w:sz="4" w:space="0" w:color="000000"/>
              <w:bottom w:val="single" w:sz="4" w:space="0" w:color="000000"/>
              <w:right w:val="single" w:sz="4" w:space="0" w:color="000000"/>
            </w:tcBorders>
          </w:tcPr>
          <w:p w14:paraId="2EF65E8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83.77355</w:t>
            </w:r>
          </w:p>
        </w:tc>
        <w:tc>
          <w:tcPr>
            <w:tcW w:w="1016" w:type="dxa"/>
            <w:tcBorders>
              <w:top w:val="single" w:sz="4" w:space="0" w:color="000000"/>
              <w:left w:val="single" w:sz="4" w:space="0" w:color="000000"/>
              <w:bottom w:val="single" w:sz="4" w:space="0" w:color="000000"/>
              <w:right w:val="single" w:sz="4" w:space="0" w:color="000000"/>
            </w:tcBorders>
          </w:tcPr>
          <w:p w14:paraId="3C9483C2"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90.27149</w:t>
            </w:r>
          </w:p>
        </w:tc>
        <w:tc>
          <w:tcPr>
            <w:tcW w:w="1016" w:type="dxa"/>
            <w:tcBorders>
              <w:top w:val="single" w:sz="4" w:space="0" w:color="000000"/>
              <w:left w:val="single" w:sz="4" w:space="0" w:color="000000"/>
              <w:bottom w:val="single" w:sz="4" w:space="0" w:color="000000"/>
              <w:right w:val="single" w:sz="4" w:space="0" w:color="000000"/>
            </w:tcBorders>
          </w:tcPr>
          <w:p w14:paraId="288F7DD9"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13" w:type="dxa"/>
            <w:tcBorders>
              <w:top w:val="single" w:sz="4" w:space="0" w:color="000000"/>
              <w:left w:val="single" w:sz="4" w:space="0" w:color="000000"/>
              <w:bottom w:val="single" w:sz="4" w:space="0" w:color="000000"/>
              <w:right w:val="single" w:sz="4" w:space="0" w:color="000000"/>
            </w:tcBorders>
          </w:tcPr>
          <w:p w14:paraId="23DBB58A"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3ED04274"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56923561"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89" w:type="dxa"/>
            <w:tcBorders>
              <w:top w:val="single" w:sz="4" w:space="0" w:color="000000"/>
              <w:left w:val="single" w:sz="4" w:space="0" w:color="000000"/>
              <w:bottom w:val="single" w:sz="4" w:space="0" w:color="000000"/>
              <w:right w:val="single" w:sz="4" w:space="0" w:color="000000"/>
            </w:tcBorders>
          </w:tcPr>
          <w:p w14:paraId="4216B0E4"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r w:rsidR="009F2EB1" w:rsidRPr="00F919C7" w14:paraId="771BEA51"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68B2DFE1"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Feb. 2026</w:t>
            </w:r>
          </w:p>
        </w:tc>
        <w:tc>
          <w:tcPr>
            <w:tcW w:w="956" w:type="dxa"/>
            <w:tcBorders>
              <w:top w:val="single" w:sz="4" w:space="0" w:color="000000"/>
              <w:left w:val="single" w:sz="4" w:space="0" w:color="000000"/>
              <w:bottom w:val="single" w:sz="4" w:space="0" w:color="000000"/>
              <w:right w:val="single" w:sz="4" w:space="0" w:color="000000"/>
            </w:tcBorders>
          </w:tcPr>
          <w:p w14:paraId="3143A2AA"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45.90607</w:t>
            </w:r>
          </w:p>
        </w:tc>
        <w:tc>
          <w:tcPr>
            <w:tcW w:w="1016" w:type="dxa"/>
            <w:tcBorders>
              <w:top w:val="single" w:sz="4" w:space="0" w:color="000000"/>
              <w:left w:val="single" w:sz="4" w:space="0" w:color="000000"/>
              <w:bottom w:val="single" w:sz="4" w:space="0" w:color="000000"/>
              <w:right w:val="single" w:sz="4" w:space="0" w:color="000000"/>
            </w:tcBorders>
          </w:tcPr>
          <w:p w14:paraId="0AC42B2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47.34878</w:t>
            </w:r>
          </w:p>
        </w:tc>
        <w:tc>
          <w:tcPr>
            <w:tcW w:w="813" w:type="dxa"/>
            <w:tcBorders>
              <w:top w:val="single" w:sz="4" w:space="0" w:color="000000"/>
              <w:left w:val="single" w:sz="4" w:space="0" w:color="000000"/>
              <w:bottom w:val="single" w:sz="4" w:space="0" w:color="000000"/>
              <w:right w:val="single" w:sz="4" w:space="0" w:color="000000"/>
            </w:tcBorders>
          </w:tcPr>
          <w:p w14:paraId="22B73C8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53.52059</w:t>
            </w:r>
          </w:p>
        </w:tc>
        <w:tc>
          <w:tcPr>
            <w:tcW w:w="1016" w:type="dxa"/>
            <w:tcBorders>
              <w:top w:val="single" w:sz="4" w:space="0" w:color="000000"/>
              <w:left w:val="single" w:sz="4" w:space="0" w:color="000000"/>
              <w:bottom w:val="single" w:sz="4" w:space="0" w:color="000000"/>
              <w:right w:val="single" w:sz="4" w:space="0" w:color="000000"/>
            </w:tcBorders>
          </w:tcPr>
          <w:p w14:paraId="6A99A89C"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56.281</w:t>
            </w:r>
          </w:p>
        </w:tc>
        <w:tc>
          <w:tcPr>
            <w:tcW w:w="1016" w:type="dxa"/>
            <w:tcBorders>
              <w:top w:val="single" w:sz="4" w:space="0" w:color="000000"/>
              <w:left w:val="single" w:sz="4" w:space="0" w:color="000000"/>
              <w:bottom w:val="single" w:sz="4" w:space="0" w:color="000000"/>
              <w:right w:val="single" w:sz="4" w:space="0" w:color="000000"/>
            </w:tcBorders>
          </w:tcPr>
          <w:p w14:paraId="23E650E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57.19614</w:t>
            </w:r>
          </w:p>
        </w:tc>
        <w:tc>
          <w:tcPr>
            <w:tcW w:w="813" w:type="dxa"/>
            <w:tcBorders>
              <w:top w:val="single" w:sz="4" w:space="0" w:color="000000"/>
              <w:left w:val="single" w:sz="4" w:space="0" w:color="000000"/>
              <w:bottom w:val="single" w:sz="4" w:space="0" w:color="000000"/>
              <w:right w:val="single" w:sz="4" w:space="0" w:color="000000"/>
            </w:tcBorders>
          </w:tcPr>
          <w:p w14:paraId="55BA546E"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6845E7BC"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5CD80717"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89" w:type="dxa"/>
            <w:tcBorders>
              <w:top w:val="single" w:sz="4" w:space="0" w:color="000000"/>
              <w:left w:val="single" w:sz="4" w:space="0" w:color="000000"/>
              <w:bottom w:val="single" w:sz="4" w:space="0" w:color="000000"/>
              <w:right w:val="single" w:sz="4" w:space="0" w:color="000000"/>
            </w:tcBorders>
          </w:tcPr>
          <w:p w14:paraId="6694D77E"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r w:rsidR="009F2EB1" w:rsidRPr="00F919C7" w14:paraId="7BE4B41C"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04F914B3"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Mar. 2026</w:t>
            </w:r>
          </w:p>
        </w:tc>
        <w:tc>
          <w:tcPr>
            <w:tcW w:w="956" w:type="dxa"/>
            <w:tcBorders>
              <w:top w:val="single" w:sz="4" w:space="0" w:color="000000"/>
              <w:left w:val="single" w:sz="4" w:space="0" w:color="000000"/>
              <w:bottom w:val="single" w:sz="4" w:space="0" w:color="000000"/>
              <w:right w:val="single" w:sz="4" w:space="0" w:color="000000"/>
            </w:tcBorders>
          </w:tcPr>
          <w:p w14:paraId="629BC07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46.40834</w:t>
            </w:r>
          </w:p>
        </w:tc>
        <w:tc>
          <w:tcPr>
            <w:tcW w:w="1016" w:type="dxa"/>
            <w:tcBorders>
              <w:top w:val="single" w:sz="4" w:space="0" w:color="000000"/>
              <w:left w:val="single" w:sz="4" w:space="0" w:color="000000"/>
              <w:bottom w:val="single" w:sz="4" w:space="0" w:color="000000"/>
              <w:right w:val="single" w:sz="4" w:space="0" w:color="000000"/>
            </w:tcBorders>
          </w:tcPr>
          <w:p w14:paraId="0C3359DE"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45.38842</w:t>
            </w:r>
          </w:p>
        </w:tc>
        <w:tc>
          <w:tcPr>
            <w:tcW w:w="813" w:type="dxa"/>
            <w:tcBorders>
              <w:top w:val="single" w:sz="4" w:space="0" w:color="000000"/>
              <w:left w:val="single" w:sz="4" w:space="0" w:color="000000"/>
              <w:bottom w:val="single" w:sz="4" w:space="0" w:color="000000"/>
              <w:right w:val="single" w:sz="4" w:space="0" w:color="000000"/>
            </w:tcBorders>
          </w:tcPr>
          <w:p w14:paraId="290B5BD0"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53.5125</w:t>
            </w:r>
          </w:p>
        </w:tc>
        <w:tc>
          <w:tcPr>
            <w:tcW w:w="1016" w:type="dxa"/>
            <w:tcBorders>
              <w:top w:val="single" w:sz="4" w:space="0" w:color="000000"/>
              <w:left w:val="single" w:sz="4" w:space="0" w:color="000000"/>
              <w:bottom w:val="single" w:sz="4" w:space="0" w:color="000000"/>
              <w:right w:val="single" w:sz="4" w:space="0" w:color="000000"/>
            </w:tcBorders>
          </w:tcPr>
          <w:p w14:paraId="33CDFCF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56.1869</w:t>
            </w:r>
          </w:p>
        </w:tc>
        <w:tc>
          <w:tcPr>
            <w:tcW w:w="1016" w:type="dxa"/>
            <w:tcBorders>
              <w:top w:val="single" w:sz="4" w:space="0" w:color="000000"/>
              <w:left w:val="single" w:sz="4" w:space="0" w:color="000000"/>
              <w:bottom w:val="single" w:sz="4" w:space="0" w:color="000000"/>
              <w:right w:val="single" w:sz="4" w:space="0" w:color="000000"/>
            </w:tcBorders>
          </w:tcPr>
          <w:p w14:paraId="006DCD9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56.39047</w:t>
            </w:r>
          </w:p>
        </w:tc>
        <w:tc>
          <w:tcPr>
            <w:tcW w:w="813" w:type="dxa"/>
            <w:tcBorders>
              <w:top w:val="single" w:sz="4" w:space="0" w:color="000000"/>
              <w:left w:val="single" w:sz="4" w:space="0" w:color="000000"/>
              <w:bottom w:val="single" w:sz="4" w:space="0" w:color="000000"/>
              <w:right w:val="single" w:sz="4" w:space="0" w:color="000000"/>
            </w:tcBorders>
          </w:tcPr>
          <w:p w14:paraId="0F7424F8"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81.30351</w:t>
            </w:r>
          </w:p>
        </w:tc>
        <w:tc>
          <w:tcPr>
            <w:tcW w:w="1016" w:type="dxa"/>
            <w:tcBorders>
              <w:top w:val="single" w:sz="4" w:space="0" w:color="000000"/>
              <w:left w:val="single" w:sz="4" w:space="0" w:color="000000"/>
              <w:bottom w:val="single" w:sz="4" w:space="0" w:color="000000"/>
              <w:right w:val="single" w:sz="4" w:space="0" w:color="000000"/>
            </w:tcBorders>
          </w:tcPr>
          <w:p w14:paraId="75BB0A25"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1016" w:type="dxa"/>
            <w:tcBorders>
              <w:top w:val="single" w:sz="4" w:space="0" w:color="000000"/>
              <w:left w:val="single" w:sz="4" w:space="0" w:color="000000"/>
              <w:bottom w:val="single" w:sz="4" w:space="0" w:color="000000"/>
              <w:right w:val="single" w:sz="4" w:space="0" w:color="000000"/>
            </w:tcBorders>
          </w:tcPr>
          <w:p w14:paraId="238120CC"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89" w:type="dxa"/>
            <w:tcBorders>
              <w:top w:val="single" w:sz="4" w:space="0" w:color="000000"/>
              <w:left w:val="single" w:sz="4" w:space="0" w:color="000000"/>
              <w:bottom w:val="single" w:sz="4" w:space="0" w:color="000000"/>
              <w:right w:val="single" w:sz="4" w:space="0" w:color="000000"/>
            </w:tcBorders>
          </w:tcPr>
          <w:p w14:paraId="2BD3EAD5"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r w:rsidR="009F2EB1" w:rsidRPr="00F919C7" w14:paraId="0DF95305"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0FDE81FF"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Apr. 2026</w:t>
            </w:r>
          </w:p>
        </w:tc>
        <w:tc>
          <w:tcPr>
            <w:tcW w:w="956" w:type="dxa"/>
            <w:tcBorders>
              <w:top w:val="single" w:sz="4" w:space="0" w:color="000000"/>
              <w:left w:val="single" w:sz="4" w:space="0" w:color="000000"/>
              <w:bottom w:val="single" w:sz="4" w:space="0" w:color="000000"/>
              <w:right w:val="single" w:sz="4" w:space="0" w:color="000000"/>
            </w:tcBorders>
          </w:tcPr>
          <w:p w14:paraId="662DD5CC"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50.52197</w:t>
            </w:r>
          </w:p>
        </w:tc>
        <w:tc>
          <w:tcPr>
            <w:tcW w:w="1016" w:type="dxa"/>
            <w:tcBorders>
              <w:top w:val="single" w:sz="4" w:space="0" w:color="000000"/>
              <w:left w:val="single" w:sz="4" w:space="0" w:color="000000"/>
              <w:bottom w:val="single" w:sz="4" w:space="0" w:color="000000"/>
              <w:right w:val="single" w:sz="4" w:space="0" w:color="000000"/>
            </w:tcBorders>
          </w:tcPr>
          <w:p w14:paraId="076FDBDD"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45.07425</w:t>
            </w:r>
          </w:p>
        </w:tc>
        <w:tc>
          <w:tcPr>
            <w:tcW w:w="813" w:type="dxa"/>
            <w:tcBorders>
              <w:top w:val="single" w:sz="4" w:space="0" w:color="000000"/>
              <w:left w:val="single" w:sz="4" w:space="0" w:color="000000"/>
              <w:bottom w:val="single" w:sz="4" w:space="0" w:color="000000"/>
              <w:right w:val="single" w:sz="4" w:space="0" w:color="000000"/>
            </w:tcBorders>
          </w:tcPr>
          <w:p w14:paraId="69525E3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49.11266</w:t>
            </w:r>
          </w:p>
        </w:tc>
        <w:tc>
          <w:tcPr>
            <w:tcW w:w="1016" w:type="dxa"/>
            <w:tcBorders>
              <w:top w:val="single" w:sz="4" w:space="0" w:color="000000"/>
              <w:left w:val="single" w:sz="4" w:space="0" w:color="000000"/>
              <w:bottom w:val="single" w:sz="4" w:space="0" w:color="000000"/>
              <w:right w:val="single" w:sz="4" w:space="0" w:color="000000"/>
            </w:tcBorders>
          </w:tcPr>
          <w:p w14:paraId="17F52EE9"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51.71858</w:t>
            </w:r>
          </w:p>
        </w:tc>
        <w:tc>
          <w:tcPr>
            <w:tcW w:w="1016" w:type="dxa"/>
            <w:tcBorders>
              <w:top w:val="single" w:sz="4" w:space="0" w:color="000000"/>
              <w:left w:val="single" w:sz="4" w:space="0" w:color="000000"/>
              <w:bottom w:val="single" w:sz="4" w:space="0" w:color="000000"/>
              <w:right w:val="single" w:sz="4" w:space="0" w:color="000000"/>
            </w:tcBorders>
          </w:tcPr>
          <w:p w14:paraId="34156CB3"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56.40965</w:t>
            </w:r>
          </w:p>
        </w:tc>
        <w:tc>
          <w:tcPr>
            <w:tcW w:w="813" w:type="dxa"/>
            <w:tcBorders>
              <w:top w:val="single" w:sz="4" w:space="0" w:color="000000"/>
              <w:left w:val="single" w:sz="4" w:space="0" w:color="000000"/>
              <w:bottom w:val="single" w:sz="4" w:space="0" w:color="000000"/>
              <w:right w:val="single" w:sz="4" w:space="0" w:color="000000"/>
            </w:tcBorders>
          </w:tcPr>
          <w:p w14:paraId="34F7D08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86.17108</w:t>
            </w:r>
          </w:p>
        </w:tc>
        <w:tc>
          <w:tcPr>
            <w:tcW w:w="1016" w:type="dxa"/>
            <w:tcBorders>
              <w:top w:val="single" w:sz="4" w:space="0" w:color="000000"/>
              <w:left w:val="single" w:sz="4" w:space="0" w:color="000000"/>
              <w:bottom w:val="single" w:sz="4" w:space="0" w:color="000000"/>
              <w:right w:val="single" w:sz="4" w:space="0" w:color="000000"/>
            </w:tcBorders>
          </w:tcPr>
          <w:p w14:paraId="2207285A"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82.15604</w:t>
            </w:r>
          </w:p>
        </w:tc>
        <w:tc>
          <w:tcPr>
            <w:tcW w:w="1016" w:type="dxa"/>
            <w:tcBorders>
              <w:top w:val="single" w:sz="4" w:space="0" w:color="000000"/>
              <w:left w:val="single" w:sz="4" w:space="0" w:color="000000"/>
              <w:bottom w:val="single" w:sz="4" w:space="0" w:color="000000"/>
              <w:right w:val="single" w:sz="4" w:space="0" w:color="000000"/>
            </w:tcBorders>
          </w:tcPr>
          <w:p w14:paraId="07A3DAB7"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c>
          <w:tcPr>
            <w:tcW w:w="889" w:type="dxa"/>
            <w:tcBorders>
              <w:top w:val="single" w:sz="4" w:space="0" w:color="000000"/>
              <w:left w:val="single" w:sz="4" w:space="0" w:color="000000"/>
              <w:bottom w:val="single" w:sz="4" w:space="0" w:color="000000"/>
              <w:right w:val="single" w:sz="4" w:space="0" w:color="000000"/>
            </w:tcBorders>
          </w:tcPr>
          <w:p w14:paraId="340A660A"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r w:rsidR="009F2EB1" w:rsidRPr="00F919C7" w14:paraId="10973B3A" w14:textId="77777777">
        <w:trPr>
          <w:trHeight w:val="143"/>
        </w:trPr>
        <w:tc>
          <w:tcPr>
            <w:tcW w:w="1078" w:type="dxa"/>
            <w:tcBorders>
              <w:top w:val="single" w:sz="4" w:space="0" w:color="000000"/>
              <w:left w:val="single" w:sz="4" w:space="0" w:color="000000"/>
              <w:bottom w:val="single" w:sz="4" w:space="0" w:color="000000"/>
              <w:right w:val="single" w:sz="4" w:space="0" w:color="000000"/>
            </w:tcBorders>
          </w:tcPr>
          <w:p w14:paraId="30F2A1F0"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May. 2026</w:t>
            </w:r>
          </w:p>
        </w:tc>
        <w:tc>
          <w:tcPr>
            <w:tcW w:w="956" w:type="dxa"/>
            <w:tcBorders>
              <w:top w:val="single" w:sz="4" w:space="0" w:color="000000"/>
              <w:left w:val="single" w:sz="4" w:space="0" w:color="000000"/>
              <w:bottom w:val="single" w:sz="4" w:space="0" w:color="000000"/>
              <w:right w:val="single" w:sz="4" w:space="0" w:color="000000"/>
            </w:tcBorders>
          </w:tcPr>
          <w:p w14:paraId="673B33BA"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50.51662</w:t>
            </w:r>
          </w:p>
        </w:tc>
        <w:tc>
          <w:tcPr>
            <w:tcW w:w="1016" w:type="dxa"/>
            <w:tcBorders>
              <w:top w:val="single" w:sz="4" w:space="0" w:color="000000"/>
              <w:left w:val="single" w:sz="4" w:space="0" w:color="000000"/>
              <w:bottom w:val="single" w:sz="4" w:space="0" w:color="000000"/>
              <w:right w:val="single" w:sz="4" w:space="0" w:color="000000"/>
            </w:tcBorders>
          </w:tcPr>
          <w:p w14:paraId="653C419B"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47.26014</w:t>
            </w:r>
          </w:p>
        </w:tc>
        <w:tc>
          <w:tcPr>
            <w:tcW w:w="813" w:type="dxa"/>
            <w:tcBorders>
              <w:top w:val="single" w:sz="4" w:space="0" w:color="000000"/>
              <w:left w:val="single" w:sz="4" w:space="0" w:color="000000"/>
              <w:bottom w:val="single" w:sz="4" w:space="0" w:color="000000"/>
              <w:right w:val="single" w:sz="4" w:space="0" w:color="000000"/>
            </w:tcBorders>
          </w:tcPr>
          <w:p w14:paraId="53ADCBB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51.74618</w:t>
            </w:r>
          </w:p>
        </w:tc>
        <w:tc>
          <w:tcPr>
            <w:tcW w:w="1016" w:type="dxa"/>
            <w:tcBorders>
              <w:top w:val="single" w:sz="4" w:space="0" w:color="000000"/>
              <w:left w:val="single" w:sz="4" w:space="0" w:color="000000"/>
              <w:bottom w:val="single" w:sz="4" w:space="0" w:color="000000"/>
              <w:right w:val="single" w:sz="4" w:space="0" w:color="000000"/>
            </w:tcBorders>
          </w:tcPr>
          <w:p w14:paraId="4D6E429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54.44396</w:t>
            </w:r>
          </w:p>
        </w:tc>
        <w:tc>
          <w:tcPr>
            <w:tcW w:w="1016" w:type="dxa"/>
            <w:tcBorders>
              <w:top w:val="single" w:sz="4" w:space="0" w:color="000000"/>
              <w:left w:val="single" w:sz="4" w:space="0" w:color="000000"/>
              <w:bottom w:val="single" w:sz="4" w:space="0" w:color="000000"/>
              <w:right w:val="single" w:sz="4" w:space="0" w:color="000000"/>
            </w:tcBorders>
          </w:tcPr>
          <w:p w14:paraId="19FC88E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56.88429</w:t>
            </w:r>
          </w:p>
        </w:tc>
        <w:tc>
          <w:tcPr>
            <w:tcW w:w="813" w:type="dxa"/>
            <w:tcBorders>
              <w:top w:val="single" w:sz="4" w:space="0" w:color="000000"/>
              <w:left w:val="single" w:sz="4" w:space="0" w:color="000000"/>
              <w:bottom w:val="single" w:sz="4" w:space="0" w:color="000000"/>
              <w:right w:val="single" w:sz="4" w:space="0" w:color="000000"/>
            </w:tcBorders>
          </w:tcPr>
          <w:p w14:paraId="081C995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87.32666</w:t>
            </w:r>
          </w:p>
        </w:tc>
        <w:tc>
          <w:tcPr>
            <w:tcW w:w="1016" w:type="dxa"/>
            <w:tcBorders>
              <w:top w:val="single" w:sz="4" w:space="0" w:color="000000"/>
              <w:left w:val="single" w:sz="4" w:space="0" w:color="000000"/>
              <w:bottom w:val="single" w:sz="4" w:space="0" w:color="000000"/>
              <w:right w:val="single" w:sz="4" w:space="0" w:color="000000"/>
            </w:tcBorders>
          </w:tcPr>
          <w:p w14:paraId="4C32E0B7"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88.19914</w:t>
            </w:r>
          </w:p>
        </w:tc>
        <w:tc>
          <w:tcPr>
            <w:tcW w:w="1016" w:type="dxa"/>
            <w:tcBorders>
              <w:top w:val="single" w:sz="4" w:space="0" w:color="000000"/>
              <w:left w:val="single" w:sz="4" w:space="0" w:color="000000"/>
              <w:bottom w:val="single" w:sz="4" w:space="0" w:color="000000"/>
              <w:right w:val="single" w:sz="4" w:space="0" w:color="000000"/>
            </w:tcBorders>
          </w:tcPr>
          <w:p w14:paraId="56E3A4F8"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90.16855</w:t>
            </w:r>
          </w:p>
        </w:tc>
        <w:tc>
          <w:tcPr>
            <w:tcW w:w="889" w:type="dxa"/>
            <w:tcBorders>
              <w:top w:val="single" w:sz="4" w:space="0" w:color="000000"/>
              <w:left w:val="single" w:sz="4" w:space="0" w:color="000000"/>
              <w:bottom w:val="single" w:sz="4" w:space="0" w:color="000000"/>
              <w:right w:val="single" w:sz="4" w:space="0" w:color="000000"/>
            </w:tcBorders>
          </w:tcPr>
          <w:p w14:paraId="763CABC9" w14:textId="77777777" w:rsidR="009F2EB1" w:rsidRPr="00F919C7" w:rsidRDefault="009F2EB1" w:rsidP="00F919C7">
            <w:pPr>
              <w:snapToGrid w:val="0"/>
              <w:spacing w:after="0" w:line="240" w:lineRule="auto"/>
              <w:jc w:val="both"/>
              <w:rPr>
                <w:rFonts w:ascii="Times New Roman" w:eastAsia="Times New Roman" w:hAnsi="Times New Roman" w:cs="Times New Roman"/>
                <w:sz w:val="24"/>
                <w:szCs w:val="24"/>
                <w:lang w:bidi="hi-IN"/>
              </w:rPr>
            </w:pPr>
          </w:p>
        </w:tc>
      </w:tr>
    </w:tbl>
    <w:p w14:paraId="14C7E7A1" w14:textId="77777777" w:rsidR="009F2EB1" w:rsidRPr="00F919C7" w:rsidRDefault="009F2EB1" w:rsidP="00F919C7">
      <w:pPr>
        <w:spacing w:after="0" w:line="240" w:lineRule="auto"/>
        <w:jc w:val="both"/>
        <w:rPr>
          <w:rFonts w:ascii="Times New Roman" w:hAnsi="Times New Roman" w:cs="Times New Roman"/>
          <w:sz w:val="24"/>
          <w:szCs w:val="24"/>
        </w:rPr>
      </w:pPr>
    </w:p>
    <w:p w14:paraId="540DD0DF" w14:textId="4A6875FC" w:rsidR="009F2EB1" w:rsidRPr="00F919C7" w:rsidRDefault="00BF61DF" w:rsidP="00F919C7">
      <w:pPr>
        <w:pStyle w:val="NormalWeb"/>
        <w:spacing w:before="0" w:after="0"/>
        <w:ind w:firstLine="360"/>
        <w:jc w:val="both"/>
        <w:rPr>
          <w:rStyle w:val="Strong"/>
          <w:lang w:val="en-IN" w:eastAsia="en-US"/>
        </w:rPr>
      </w:pPr>
      <w:r>
        <w:rPr>
          <w:noProof/>
          <w:lang w:val="en-IN" w:eastAsia="en-US"/>
        </w:rPr>
        <w:lastRenderedPageBreak/>
        <w:pict w14:anchorId="1798540E">
          <v:shape id="Picture 1302698499" o:spid="_x0000_i1029" type="#_x0000_t75" style="width:405.75pt;height:223.5pt;visibility:visible;mso-wrap-style:square" o:bordertopcolor="silver" o:borderleftcolor="silver" o:borderbottomcolor="silver" o:borderrightcolor="silver">
            <v:imagedata r:id="rId11" o:title=""/>
            <w10:bordertop type="single" width="6"/>
            <w10:borderleft type="single" width="6"/>
            <w10:borderbottom type="single" width="6"/>
            <w10:borderright type="single" width="6"/>
          </v:shape>
        </w:pict>
      </w:r>
    </w:p>
    <w:p w14:paraId="3112DC7F" w14:textId="77777777" w:rsidR="009F2EB1" w:rsidRPr="00F919C7" w:rsidRDefault="00000000" w:rsidP="00F919C7">
      <w:pPr>
        <w:pStyle w:val="NormalWeb"/>
        <w:spacing w:before="0" w:after="0"/>
        <w:jc w:val="both"/>
      </w:pPr>
      <w:r w:rsidRPr="00F919C7">
        <w:rPr>
          <w:b/>
          <w:bCs/>
        </w:rPr>
        <w:t xml:space="preserve">Fig. 3: </w:t>
      </w:r>
      <w:r w:rsidRPr="00F919C7">
        <w:rPr>
          <w:lang w:eastAsia="en-SG"/>
        </w:rPr>
        <w:t>H</w:t>
      </w:r>
      <w:r w:rsidRPr="00F919C7">
        <w:t>ierarchical clustering from Bray-Curtis similarity matrix with group average</w:t>
      </w:r>
    </w:p>
    <w:p w14:paraId="3BA1B3AD" w14:textId="77777777" w:rsidR="009F2EB1" w:rsidRPr="00F919C7" w:rsidRDefault="00000000" w:rsidP="00F919C7">
      <w:pPr>
        <w:pStyle w:val="NormalWeb"/>
        <w:spacing w:before="0" w:after="0"/>
        <w:jc w:val="both"/>
      </w:pPr>
      <w:r w:rsidRPr="00F919C7">
        <w:t xml:space="preserve"> linking during the study period (month wise)</w:t>
      </w:r>
    </w:p>
    <w:p w14:paraId="4576CEE3" w14:textId="77777777" w:rsidR="009F2EB1" w:rsidRPr="00F919C7" w:rsidRDefault="009F2EB1" w:rsidP="00F919C7">
      <w:pPr>
        <w:pStyle w:val="NormalWeb"/>
        <w:spacing w:before="0" w:after="0"/>
        <w:ind w:firstLine="360"/>
        <w:jc w:val="both"/>
        <w:rPr>
          <w:rStyle w:val="Strong"/>
        </w:rPr>
      </w:pPr>
    </w:p>
    <w:p w14:paraId="79EBA889" w14:textId="77777777" w:rsidR="009F2EB1" w:rsidRPr="00F919C7" w:rsidRDefault="009F2EB1" w:rsidP="00F919C7">
      <w:pPr>
        <w:pStyle w:val="NormalWeb"/>
        <w:spacing w:before="0" w:after="0"/>
        <w:ind w:firstLine="360"/>
        <w:jc w:val="both"/>
        <w:rPr>
          <w:rStyle w:val="Strong"/>
        </w:rPr>
      </w:pPr>
    </w:p>
    <w:p w14:paraId="60AD9A4F" w14:textId="179E29A8" w:rsidR="009F2EB1" w:rsidRPr="00F919C7" w:rsidRDefault="00BF61DF" w:rsidP="00F919C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IN" w:eastAsia="en-US" w:bidi="hi-IN"/>
        </w:rPr>
        <w:pict w14:anchorId="786B8A7E">
          <v:shape id="Picture 8" o:spid="_x0000_i1030" type="#_x0000_t75" style="width:401.25pt;height:218.25pt;visibility:visible;mso-wrap-style:square" o:bordertopcolor="silver" o:borderleftcolor="silver" o:borderbottomcolor="silver" o:borderrightcolor="silver">
            <v:imagedata r:id="rId12" o:title=""/>
            <w10:bordertop type="single" width="6"/>
            <w10:borderleft type="single" width="6"/>
            <w10:borderbottom type="single" width="6"/>
            <w10:borderright type="single" width="6"/>
          </v:shape>
        </w:pict>
      </w:r>
    </w:p>
    <w:p w14:paraId="7F05C35A" w14:textId="77777777" w:rsidR="009F2EB1" w:rsidRPr="00F919C7" w:rsidRDefault="00000000" w:rsidP="00F919C7">
      <w:pPr>
        <w:spacing w:after="0" w:line="240" w:lineRule="auto"/>
        <w:jc w:val="both"/>
        <w:rPr>
          <w:rFonts w:ascii="Times New Roman" w:hAnsi="Times New Roman" w:cs="Times New Roman"/>
          <w:b/>
          <w:bCs/>
          <w:sz w:val="24"/>
          <w:szCs w:val="24"/>
        </w:rPr>
      </w:pPr>
      <w:r w:rsidRPr="00F919C7">
        <w:rPr>
          <w:rFonts w:ascii="Times New Roman" w:hAnsi="Times New Roman" w:cs="Times New Roman"/>
          <w:b/>
          <w:bCs/>
          <w:sz w:val="24"/>
          <w:szCs w:val="24"/>
        </w:rPr>
        <w:t xml:space="preserve">Fig.4: </w:t>
      </w:r>
      <w:r w:rsidRPr="00F919C7">
        <w:rPr>
          <w:rFonts w:ascii="Times New Roman" w:hAnsi="Times New Roman" w:cs="Times New Roman"/>
          <w:sz w:val="24"/>
          <w:szCs w:val="24"/>
          <w:lang w:eastAsia="en-SG"/>
        </w:rPr>
        <w:t>H</w:t>
      </w:r>
      <w:r w:rsidRPr="00F919C7">
        <w:rPr>
          <w:rFonts w:ascii="Times New Roman" w:hAnsi="Times New Roman" w:cs="Times New Roman"/>
          <w:sz w:val="24"/>
          <w:szCs w:val="24"/>
        </w:rPr>
        <w:t>ierarchical clustering from Bray-Curtis similarity matrix with group average linking during the study period (Season wise)</w:t>
      </w:r>
    </w:p>
    <w:p w14:paraId="1B24612A" w14:textId="51F2D559" w:rsidR="009F2EB1" w:rsidRPr="00F919C7" w:rsidRDefault="00BF61DF" w:rsidP="00F919C7">
      <w:pPr>
        <w:spacing w:after="0" w:line="240" w:lineRule="auto"/>
        <w:ind w:firstLine="630"/>
        <w:jc w:val="both"/>
        <w:rPr>
          <w:rFonts w:ascii="Times New Roman" w:hAnsi="Times New Roman" w:cs="Times New Roman"/>
          <w:sz w:val="24"/>
          <w:szCs w:val="24"/>
        </w:rPr>
      </w:pPr>
      <w:r>
        <w:rPr>
          <w:rFonts w:ascii="Times New Roman" w:hAnsi="Times New Roman" w:cs="Times New Roman"/>
          <w:noProof/>
          <w:sz w:val="24"/>
          <w:szCs w:val="24"/>
          <w:lang w:val="en-IN" w:eastAsia="en-US" w:bidi="hi-IN"/>
        </w:rPr>
        <w:lastRenderedPageBreak/>
        <w:pict w14:anchorId="013ED2B1">
          <v:shape id="Picture 7" o:spid="_x0000_i1031" type="#_x0000_t75" style="width:381.75pt;height:257.25pt;visibility:visible;mso-wrap-style:square" o:bordertopcolor="silver" o:borderleftcolor="silver" o:borderbottomcolor="silver" o:borderrightcolor="silver">
            <v:imagedata r:id="rId13" o:title=""/>
            <w10:bordertop type="single" width="6"/>
            <w10:borderleft type="single" width="6"/>
            <w10:borderbottom type="single" width="6"/>
            <w10:borderright type="single" width="6"/>
          </v:shape>
        </w:pict>
      </w:r>
    </w:p>
    <w:p w14:paraId="5DB03956" w14:textId="77777777" w:rsidR="009F2EB1" w:rsidRPr="00F919C7" w:rsidRDefault="00000000" w:rsidP="00F919C7">
      <w:pPr>
        <w:spacing w:after="0" w:line="240" w:lineRule="auto"/>
        <w:jc w:val="both"/>
        <w:rPr>
          <w:rFonts w:ascii="Times New Roman" w:hAnsi="Times New Roman" w:cs="Times New Roman"/>
          <w:b/>
          <w:bCs/>
          <w:sz w:val="24"/>
          <w:szCs w:val="24"/>
        </w:rPr>
      </w:pPr>
      <w:r w:rsidRPr="00F919C7">
        <w:rPr>
          <w:rFonts w:ascii="Times New Roman" w:hAnsi="Times New Roman" w:cs="Times New Roman"/>
          <w:b/>
          <w:bCs/>
          <w:sz w:val="24"/>
          <w:szCs w:val="24"/>
        </w:rPr>
        <w:t xml:space="preserve">Fig. 5: </w:t>
      </w:r>
      <w:r w:rsidRPr="00F919C7">
        <w:rPr>
          <w:rFonts w:ascii="Times New Roman" w:hAnsi="Times New Roman" w:cs="Times New Roman"/>
          <w:sz w:val="24"/>
          <w:szCs w:val="24"/>
          <w:lang w:eastAsia="en-SG"/>
        </w:rPr>
        <w:t>H</w:t>
      </w:r>
      <w:r w:rsidRPr="00F919C7">
        <w:rPr>
          <w:rFonts w:ascii="Times New Roman" w:hAnsi="Times New Roman" w:cs="Times New Roman"/>
          <w:sz w:val="24"/>
          <w:szCs w:val="24"/>
        </w:rPr>
        <w:t>ierarchical clustering from Bray-Curtis similarity matrix with group average linking during the study period (Species wise)</w:t>
      </w:r>
    </w:p>
    <w:p w14:paraId="4C94711B" w14:textId="77777777" w:rsidR="009F2EB1" w:rsidRPr="00F919C7" w:rsidRDefault="009F2EB1" w:rsidP="00F919C7">
      <w:pPr>
        <w:spacing w:after="0" w:line="240" w:lineRule="auto"/>
        <w:jc w:val="both"/>
        <w:rPr>
          <w:rFonts w:ascii="Times New Roman" w:hAnsi="Times New Roman" w:cs="Times New Roman"/>
          <w:b/>
          <w:bCs/>
          <w:sz w:val="24"/>
          <w:szCs w:val="24"/>
        </w:rPr>
      </w:pPr>
    </w:p>
    <w:p w14:paraId="75C402FB" w14:textId="6BDC5C81" w:rsidR="009F2EB1" w:rsidRPr="00F919C7" w:rsidRDefault="00BF61DF" w:rsidP="00F919C7">
      <w:pPr>
        <w:spacing w:after="0" w:line="240" w:lineRule="auto"/>
        <w:jc w:val="both"/>
        <w:rPr>
          <w:rFonts w:ascii="Times New Roman" w:hAnsi="Times New Roman" w:cs="Times New Roman"/>
          <w:sz w:val="24"/>
          <w:szCs w:val="24"/>
          <w:lang w:eastAsia="en-SG"/>
        </w:rPr>
      </w:pPr>
      <w:r>
        <w:rPr>
          <w:rFonts w:ascii="Times New Roman" w:hAnsi="Times New Roman" w:cs="Times New Roman"/>
          <w:noProof/>
          <w:sz w:val="24"/>
          <w:szCs w:val="24"/>
          <w:lang w:val="en-IN" w:eastAsia="en-US" w:bidi="hi-IN"/>
        </w:rPr>
        <w:pict w14:anchorId="44E44785">
          <v:shape id="Picture 13" o:spid="_x0000_i1032" type="#_x0000_t75" style="width:279pt;height:210pt;visibility:visible;mso-wrap-style:square">
            <v:imagedata r:id="rId14" o:title="" croptop="-3f" cropbottom="-3f" cropleft="-3f" cropright="-3f"/>
          </v:shape>
        </w:pict>
      </w:r>
    </w:p>
    <w:p w14:paraId="7BB33FC8" w14:textId="77777777" w:rsidR="009F2EB1" w:rsidRPr="00F919C7" w:rsidRDefault="00000000" w:rsidP="00F919C7">
      <w:pPr>
        <w:spacing w:after="0" w:line="240" w:lineRule="auto"/>
        <w:jc w:val="both"/>
        <w:rPr>
          <w:rFonts w:ascii="Times New Roman" w:hAnsi="Times New Roman" w:cs="Times New Roman"/>
          <w:b/>
          <w:bCs/>
          <w:sz w:val="24"/>
          <w:szCs w:val="24"/>
        </w:rPr>
      </w:pPr>
      <w:r w:rsidRPr="00F919C7">
        <w:rPr>
          <w:rFonts w:ascii="Times New Roman" w:hAnsi="Times New Roman" w:cs="Times New Roman"/>
          <w:b/>
          <w:bCs/>
          <w:sz w:val="24"/>
          <w:szCs w:val="24"/>
        </w:rPr>
        <w:t xml:space="preserve">Fig.6: </w:t>
      </w:r>
      <w:r w:rsidRPr="00F919C7">
        <w:rPr>
          <w:rFonts w:ascii="Times New Roman" w:hAnsi="Times New Roman" w:cs="Times New Roman"/>
          <w:sz w:val="24"/>
          <w:szCs w:val="24"/>
        </w:rPr>
        <w:t>Fitted 95% probability contours of average taxonomic distinctness (delta+) and variation in taxonomic distinctness (lambda+)</w:t>
      </w:r>
    </w:p>
    <w:p w14:paraId="26A2CB60" w14:textId="21955CC7" w:rsidR="009F2EB1" w:rsidRPr="00F919C7" w:rsidRDefault="00BF61DF" w:rsidP="00F919C7">
      <w:pPr>
        <w:autoSpaceDE w:val="0"/>
        <w:spacing w:after="0" w:line="240" w:lineRule="auto"/>
        <w:ind w:firstLine="284"/>
        <w:jc w:val="both"/>
        <w:rPr>
          <w:rFonts w:ascii="Times New Roman" w:hAnsi="Times New Roman" w:cs="Times New Roman"/>
          <w:b/>
          <w:sz w:val="24"/>
          <w:szCs w:val="24"/>
        </w:rPr>
      </w:pPr>
      <w:r>
        <w:rPr>
          <w:rFonts w:ascii="Times New Roman" w:eastAsia="MS Gothic;ＭＳ ゴシック" w:hAnsi="Times New Roman" w:cs="Times New Roman"/>
          <w:noProof/>
          <w:kern w:val="2"/>
          <w:sz w:val="24"/>
          <w:szCs w:val="24"/>
          <w:lang w:val="en-IN" w:eastAsia="en-US" w:bidi="hi-IN"/>
        </w:rPr>
        <w:lastRenderedPageBreak/>
        <w:pict w14:anchorId="298371C2">
          <v:shape id="Picture 77" o:spid="_x0000_i1033" type="#_x0000_t75" style="width:405pt;height:300.75pt;visibility:visible;mso-wrap-style:square">
            <v:imagedata r:id="rId15" o:title="" croptop="4790f" cropbottom="1961f" cropleft="-8f" cropright="2948f"/>
          </v:shape>
        </w:pict>
      </w:r>
    </w:p>
    <w:p w14:paraId="4E60F51F" w14:textId="77777777" w:rsidR="009F2EB1" w:rsidRPr="00F919C7" w:rsidRDefault="00000000" w:rsidP="00F919C7">
      <w:pPr>
        <w:autoSpaceDE w:val="0"/>
        <w:spacing w:after="0" w:line="240" w:lineRule="auto"/>
        <w:ind w:firstLine="284"/>
        <w:jc w:val="both"/>
        <w:rPr>
          <w:rFonts w:ascii="Times New Roman" w:hAnsi="Times New Roman" w:cs="Times New Roman"/>
          <w:b/>
          <w:sz w:val="24"/>
          <w:szCs w:val="24"/>
        </w:rPr>
      </w:pPr>
      <w:r w:rsidRPr="00F919C7">
        <w:rPr>
          <w:rFonts w:ascii="Times New Roman" w:hAnsi="Times New Roman" w:cs="Times New Roman"/>
          <w:b/>
          <w:sz w:val="24"/>
          <w:szCs w:val="24"/>
        </w:rPr>
        <w:t xml:space="preserve">Fig.  7: </w:t>
      </w:r>
      <w:r w:rsidRPr="00F919C7">
        <w:rPr>
          <w:rFonts w:ascii="Times New Roman" w:hAnsi="Times New Roman" w:cs="Times New Roman"/>
          <w:sz w:val="24"/>
          <w:szCs w:val="24"/>
        </w:rPr>
        <w:t>Canonical Correspondence Analysis (CCA) of Fish Species and Environmental Variables</w:t>
      </w:r>
    </w:p>
    <w:p w14:paraId="78A87888" w14:textId="77777777" w:rsidR="009F2EB1" w:rsidRPr="00F919C7" w:rsidRDefault="00000000" w:rsidP="00F919C7">
      <w:pPr>
        <w:spacing w:after="0" w:line="240" w:lineRule="auto"/>
        <w:jc w:val="both"/>
      </w:pPr>
      <w:r w:rsidRPr="00F919C7">
        <w:rPr>
          <w:rStyle w:val="Strong"/>
          <w:rFonts w:ascii="Times New Roman" w:hAnsi="Times New Roman" w:cs="Times New Roman"/>
          <w:i/>
          <w:iCs/>
          <w:sz w:val="24"/>
          <w:szCs w:val="24"/>
        </w:rPr>
        <w:t>Axis 1 (horizontal axis)</w:t>
      </w:r>
      <w:r w:rsidRPr="00F919C7">
        <w:rPr>
          <w:rFonts w:ascii="Times New Roman" w:hAnsi="Times New Roman" w:cs="Times New Roman"/>
          <w:i/>
          <w:iCs/>
          <w:sz w:val="24"/>
          <w:szCs w:val="24"/>
        </w:rPr>
        <w:t xml:space="preserve"> represents the primary environmental gradient influencing fish distribution, </w:t>
      </w:r>
    </w:p>
    <w:p w14:paraId="7224E42D" w14:textId="77777777" w:rsidR="009F2EB1" w:rsidRPr="00F919C7" w:rsidRDefault="00000000" w:rsidP="00F919C7">
      <w:pPr>
        <w:spacing w:after="0" w:line="240" w:lineRule="auto"/>
        <w:jc w:val="both"/>
      </w:pPr>
      <w:r w:rsidRPr="00F919C7">
        <w:rPr>
          <w:rStyle w:val="Strong"/>
          <w:rFonts w:ascii="Times New Roman" w:hAnsi="Times New Roman" w:cs="Times New Roman"/>
          <w:i/>
          <w:iCs/>
          <w:sz w:val="24"/>
          <w:szCs w:val="24"/>
        </w:rPr>
        <w:t>Axis 2 (vertical axis)</w:t>
      </w:r>
      <w:r w:rsidRPr="00F919C7">
        <w:rPr>
          <w:rFonts w:ascii="Times New Roman" w:hAnsi="Times New Roman" w:cs="Times New Roman"/>
          <w:i/>
          <w:iCs/>
          <w:sz w:val="24"/>
          <w:szCs w:val="24"/>
        </w:rPr>
        <w:t xml:space="preserve"> represents the secondary gradient. Together, these axes explain the major variation in fish assemblage structure in relation to water quality parameters</w:t>
      </w:r>
      <w:r w:rsidRPr="00F919C7">
        <w:rPr>
          <w:rFonts w:ascii="Times New Roman" w:hAnsi="Times New Roman" w:cs="Times New Roman"/>
          <w:sz w:val="24"/>
          <w:szCs w:val="24"/>
        </w:rPr>
        <w:t>.</w:t>
      </w:r>
    </w:p>
    <w:p w14:paraId="0C528C69" w14:textId="77777777" w:rsidR="009F2EB1" w:rsidRPr="00F919C7" w:rsidRDefault="00000000" w:rsidP="00F919C7">
      <w:pPr>
        <w:pStyle w:val="NormalWeb"/>
        <w:spacing w:before="0" w:after="0"/>
        <w:jc w:val="both"/>
      </w:pPr>
      <w:r w:rsidRPr="00F919C7">
        <w:rPr>
          <w:rStyle w:val="Strong"/>
        </w:rPr>
        <w:t xml:space="preserve">Table 5: </w:t>
      </w:r>
      <w:r w:rsidRPr="00F919C7">
        <w:rPr>
          <w:b/>
          <w:bCs/>
        </w:rPr>
        <w:t>Eigenvalue Analysis</w:t>
      </w:r>
    </w:p>
    <w:tbl>
      <w:tblPr>
        <w:tblW w:w="4730" w:type="dxa"/>
        <w:jc w:val="center"/>
        <w:tblLayout w:type="fixed"/>
        <w:tblLook w:val="04A0" w:firstRow="1" w:lastRow="0" w:firstColumn="1" w:lastColumn="0" w:noHBand="0" w:noVBand="1"/>
      </w:tblPr>
      <w:tblGrid>
        <w:gridCol w:w="670"/>
        <w:gridCol w:w="1350"/>
        <w:gridCol w:w="2710"/>
      </w:tblGrid>
      <w:tr w:rsidR="009F2EB1" w:rsidRPr="00F919C7" w14:paraId="1C9C02C2" w14:textId="77777777">
        <w:trPr>
          <w:trHeight w:val="388"/>
          <w:jc w:val="center"/>
        </w:trPr>
        <w:tc>
          <w:tcPr>
            <w:tcW w:w="670" w:type="dxa"/>
            <w:tcBorders>
              <w:top w:val="single" w:sz="4" w:space="0" w:color="000000"/>
              <w:left w:val="single" w:sz="4" w:space="0" w:color="000000"/>
              <w:bottom w:val="single" w:sz="4" w:space="0" w:color="000000"/>
              <w:right w:val="single" w:sz="4" w:space="0" w:color="000000"/>
            </w:tcBorders>
          </w:tcPr>
          <w:p w14:paraId="55E14793"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Axis</w:t>
            </w:r>
          </w:p>
        </w:tc>
        <w:tc>
          <w:tcPr>
            <w:tcW w:w="1350" w:type="dxa"/>
            <w:tcBorders>
              <w:top w:val="single" w:sz="4" w:space="0" w:color="000000"/>
              <w:left w:val="single" w:sz="4" w:space="0" w:color="000000"/>
              <w:bottom w:val="single" w:sz="4" w:space="0" w:color="000000"/>
              <w:right w:val="single" w:sz="4" w:space="0" w:color="000000"/>
            </w:tcBorders>
          </w:tcPr>
          <w:p w14:paraId="3E83AB6B"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Eigenvalue</w:t>
            </w:r>
          </w:p>
        </w:tc>
        <w:tc>
          <w:tcPr>
            <w:tcW w:w="2710" w:type="dxa"/>
            <w:tcBorders>
              <w:top w:val="single" w:sz="4" w:space="0" w:color="000000"/>
              <w:left w:val="single" w:sz="4" w:space="0" w:color="000000"/>
              <w:bottom w:val="single" w:sz="4" w:space="0" w:color="000000"/>
              <w:right w:val="single" w:sz="4" w:space="0" w:color="000000"/>
            </w:tcBorders>
          </w:tcPr>
          <w:p w14:paraId="5C53F99E"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Variance Explained (%)</w:t>
            </w:r>
          </w:p>
        </w:tc>
      </w:tr>
      <w:tr w:rsidR="009F2EB1" w:rsidRPr="00F919C7" w14:paraId="5CF2F89A" w14:textId="77777777">
        <w:trPr>
          <w:trHeight w:val="376"/>
          <w:jc w:val="center"/>
        </w:trPr>
        <w:tc>
          <w:tcPr>
            <w:tcW w:w="670" w:type="dxa"/>
            <w:tcBorders>
              <w:top w:val="single" w:sz="4" w:space="0" w:color="000000"/>
              <w:left w:val="single" w:sz="4" w:space="0" w:color="000000"/>
              <w:bottom w:val="single" w:sz="4" w:space="0" w:color="000000"/>
              <w:right w:val="single" w:sz="4" w:space="0" w:color="000000"/>
            </w:tcBorders>
          </w:tcPr>
          <w:p w14:paraId="28229695"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1</w:t>
            </w:r>
          </w:p>
        </w:tc>
        <w:tc>
          <w:tcPr>
            <w:tcW w:w="1350" w:type="dxa"/>
            <w:tcBorders>
              <w:top w:val="single" w:sz="4" w:space="0" w:color="000000"/>
              <w:left w:val="single" w:sz="4" w:space="0" w:color="000000"/>
              <w:bottom w:val="single" w:sz="4" w:space="0" w:color="000000"/>
              <w:right w:val="single" w:sz="4" w:space="0" w:color="000000"/>
            </w:tcBorders>
          </w:tcPr>
          <w:p w14:paraId="51F79E41"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0.028746</w:t>
            </w:r>
          </w:p>
        </w:tc>
        <w:tc>
          <w:tcPr>
            <w:tcW w:w="2710" w:type="dxa"/>
            <w:tcBorders>
              <w:top w:val="single" w:sz="4" w:space="0" w:color="000000"/>
              <w:left w:val="single" w:sz="4" w:space="0" w:color="000000"/>
              <w:bottom w:val="single" w:sz="4" w:space="0" w:color="000000"/>
              <w:right w:val="single" w:sz="4" w:space="0" w:color="000000"/>
            </w:tcBorders>
          </w:tcPr>
          <w:p w14:paraId="237F126F"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99.80</w:t>
            </w:r>
          </w:p>
        </w:tc>
      </w:tr>
      <w:tr w:rsidR="009F2EB1" w:rsidRPr="00F919C7" w14:paraId="64BEF732" w14:textId="77777777">
        <w:trPr>
          <w:trHeight w:val="388"/>
          <w:jc w:val="center"/>
        </w:trPr>
        <w:tc>
          <w:tcPr>
            <w:tcW w:w="670" w:type="dxa"/>
            <w:tcBorders>
              <w:top w:val="single" w:sz="4" w:space="0" w:color="000000"/>
              <w:left w:val="single" w:sz="4" w:space="0" w:color="000000"/>
              <w:bottom w:val="single" w:sz="4" w:space="0" w:color="000000"/>
              <w:right w:val="single" w:sz="4" w:space="0" w:color="000000"/>
            </w:tcBorders>
          </w:tcPr>
          <w:p w14:paraId="70380256"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2</w:t>
            </w:r>
          </w:p>
        </w:tc>
        <w:tc>
          <w:tcPr>
            <w:tcW w:w="1350" w:type="dxa"/>
            <w:tcBorders>
              <w:top w:val="single" w:sz="4" w:space="0" w:color="000000"/>
              <w:left w:val="single" w:sz="4" w:space="0" w:color="000000"/>
              <w:bottom w:val="single" w:sz="4" w:space="0" w:color="000000"/>
              <w:right w:val="single" w:sz="4" w:space="0" w:color="000000"/>
            </w:tcBorders>
          </w:tcPr>
          <w:p w14:paraId="2FBE87A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4.1614E-05</w:t>
            </w:r>
          </w:p>
        </w:tc>
        <w:tc>
          <w:tcPr>
            <w:tcW w:w="2710" w:type="dxa"/>
            <w:tcBorders>
              <w:top w:val="single" w:sz="4" w:space="0" w:color="000000"/>
              <w:left w:val="single" w:sz="4" w:space="0" w:color="000000"/>
              <w:bottom w:val="single" w:sz="4" w:space="0" w:color="000000"/>
              <w:right w:val="single" w:sz="4" w:space="0" w:color="000000"/>
            </w:tcBorders>
          </w:tcPr>
          <w:p w14:paraId="3B6675B8"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0.1445</w:t>
            </w:r>
          </w:p>
        </w:tc>
      </w:tr>
      <w:tr w:rsidR="009F2EB1" w:rsidRPr="00F919C7" w14:paraId="71009B6E" w14:textId="77777777">
        <w:trPr>
          <w:trHeight w:val="376"/>
          <w:jc w:val="center"/>
        </w:trPr>
        <w:tc>
          <w:tcPr>
            <w:tcW w:w="670" w:type="dxa"/>
            <w:tcBorders>
              <w:top w:val="single" w:sz="4" w:space="0" w:color="000000"/>
              <w:left w:val="single" w:sz="4" w:space="0" w:color="000000"/>
              <w:bottom w:val="single" w:sz="4" w:space="0" w:color="000000"/>
              <w:right w:val="single" w:sz="4" w:space="0" w:color="000000"/>
            </w:tcBorders>
          </w:tcPr>
          <w:p w14:paraId="0D1E33D3"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3</w:t>
            </w:r>
          </w:p>
        </w:tc>
        <w:tc>
          <w:tcPr>
            <w:tcW w:w="1350" w:type="dxa"/>
            <w:tcBorders>
              <w:top w:val="single" w:sz="4" w:space="0" w:color="000000"/>
              <w:left w:val="single" w:sz="4" w:space="0" w:color="000000"/>
              <w:bottom w:val="single" w:sz="4" w:space="0" w:color="000000"/>
              <w:right w:val="single" w:sz="4" w:space="0" w:color="000000"/>
            </w:tcBorders>
          </w:tcPr>
          <w:p w14:paraId="5AB6E66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1.0119E-05</w:t>
            </w:r>
          </w:p>
        </w:tc>
        <w:tc>
          <w:tcPr>
            <w:tcW w:w="2710" w:type="dxa"/>
            <w:tcBorders>
              <w:top w:val="single" w:sz="4" w:space="0" w:color="000000"/>
              <w:left w:val="single" w:sz="4" w:space="0" w:color="000000"/>
              <w:bottom w:val="single" w:sz="4" w:space="0" w:color="000000"/>
              <w:right w:val="single" w:sz="4" w:space="0" w:color="000000"/>
            </w:tcBorders>
          </w:tcPr>
          <w:p w14:paraId="35B161C5"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0.0351</w:t>
            </w:r>
          </w:p>
        </w:tc>
      </w:tr>
      <w:tr w:rsidR="009F2EB1" w:rsidRPr="00F919C7" w14:paraId="39DD51B3" w14:textId="77777777">
        <w:trPr>
          <w:trHeight w:val="388"/>
          <w:jc w:val="center"/>
        </w:trPr>
        <w:tc>
          <w:tcPr>
            <w:tcW w:w="670" w:type="dxa"/>
            <w:tcBorders>
              <w:top w:val="single" w:sz="4" w:space="0" w:color="000000"/>
              <w:left w:val="single" w:sz="4" w:space="0" w:color="000000"/>
              <w:bottom w:val="single" w:sz="4" w:space="0" w:color="000000"/>
              <w:right w:val="single" w:sz="4" w:space="0" w:color="000000"/>
            </w:tcBorders>
          </w:tcPr>
          <w:p w14:paraId="3F57B522"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4</w:t>
            </w:r>
          </w:p>
        </w:tc>
        <w:tc>
          <w:tcPr>
            <w:tcW w:w="1350" w:type="dxa"/>
            <w:tcBorders>
              <w:top w:val="single" w:sz="4" w:space="0" w:color="000000"/>
              <w:left w:val="single" w:sz="4" w:space="0" w:color="000000"/>
              <w:bottom w:val="single" w:sz="4" w:space="0" w:color="000000"/>
              <w:right w:val="single" w:sz="4" w:space="0" w:color="000000"/>
            </w:tcBorders>
          </w:tcPr>
          <w:p w14:paraId="22CCC207"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6.2594E-06</w:t>
            </w:r>
          </w:p>
        </w:tc>
        <w:tc>
          <w:tcPr>
            <w:tcW w:w="2710" w:type="dxa"/>
            <w:tcBorders>
              <w:top w:val="single" w:sz="4" w:space="0" w:color="000000"/>
              <w:left w:val="single" w:sz="4" w:space="0" w:color="000000"/>
              <w:bottom w:val="single" w:sz="4" w:space="0" w:color="000000"/>
              <w:right w:val="single" w:sz="4" w:space="0" w:color="000000"/>
            </w:tcBorders>
          </w:tcPr>
          <w:p w14:paraId="243C56DE"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0.0217</w:t>
            </w:r>
          </w:p>
        </w:tc>
      </w:tr>
      <w:tr w:rsidR="009F2EB1" w:rsidRPr="00F919C7" w14:paraId="39ECD67C" w14:textId="77777777">
        <w:trPr>
          <w:trHeight w:val="376"/>
          <w:jc w:val="center"/>
        </w:trPr>
        <w:tc>
          <w:tcPr>
            <w:tcW w:w="670" w:type="dxa"/>
            <w:tcBorders>
              <w:top w:val="single" w:sz="4" w:space="0" w:color="000000"/>
              <w:left w:val="single" w:sz="4" w:space="0" w:color="000000"/>
              <w:bottom w:val="single" w:sz="4" w:space="0" w:color="000000"/>
              <w:right w:val="single" w:sz="4" w:space="0" w:color="000000"/>
            </w:tcBorders>
          </w:tcPr>
          <w:p w14:paraId="7A940BB4"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5</w:t>
            </w:r>
          </w:p>
        </w:tc>
        <w:tc>
          <w:tcPr>
            <w:tcW w:w="1350" w:type="dxa"/>
            <w:tcBorders>
              <w:top w:val="single" w:sz="4" w:space="0" w:color="000000"/>
              <w:left w:val="single" w:sz="4" w:space="0" w:color="000000"/>
              <w:bottom w:val="single" w:sz="4" w:space="0" w:color="000000"/>
              <w:right w:val="single" w:sz="4" w:space="0" w:color="000000"/>
            </w:tcBorders>
          </w:tcPr>
          <w:p w14:paraId="1C91E3C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4.4484E-07</w:t>
            </w:r>
          </w:p>
        </w:tc>
        <w:tc>
          <w:tcPr>
            <w:tcW w:w="2710" w:type="dxa"/>
            <w:tcBorders>
              <w:top w:val="single" w:sz="4" w:space="0" w:color="000000"/>
              <w:left w:val="single" w:sz="4" w:space="0" w:color="000000"/>
              <w:bottom w:val="single" w:sz="4" w:space="0" w:color="000000"/>
              <w:right w:val="single" w:sz="4" w:space="0" w:color="000000"/>
            </w:tcBorders>
          </w:tcPr>
          <w:p w14:paraId="23DB94EC"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0.0015</w:t>
            </w:r>
          </w:p>
        </w:tc>
      </w:tr>
      <w:tr w:rsidR="009F2EB1" w:rsidRPr="00F919C7" w14:paraId="76E5670E" w14:textId="77777777">
        <w:trPr>
          <w:trHeight w:val="388"/>
          <w:jc w:val="center"/>
        </w:trPr>
        <w:tc>
          <w:tcPr>
            <w:tcW w:w="670" w:type="dxa"/>
            <w:tcBorders>
              <w:top w:val="single" w:sz="4" w:space="0" w:color="000000"/>
              <w:left w:val="single" w:sz="4" w:space="0" w:color="000000"/>
              <w:bottom w:val="single" w:sz="4" w:space="0" w:color="000000"/>
              <w:right w:val="single" w:sz="4" w:space="0" w:color="000000"/>
            </w:tcBorders>
          </w:tcPr>
          <w:p w14:paraId="4DED2817"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6</w:t>
            </w:r>
          </w:p>
        </w:tc>
        <w:tc>
          <w:tcPr>
            <w:tcW w:w="1350" w:type="dxa"/>
            <w:tcBorders>
              <w:top w:val="single" w:sz="4" w:space="0" w:color="000000"/>
              <w:left w:val="single" w:sz="4" w:space="0" w:color="000000"/>
              <w:bottom w:val="single" w:sz="4" w:space="0" w:color="000000"/>
              <w:right w:val="single" w:sz="4" w:space="0" w:color="000000"/>
            </w:tcBorders>
          </w:tcPr>
          <w:p w14:paraId="1E27DA6A"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8.7683E-09</w:t>
            </w:r>
          </w:p>
        </w:tc>
        <w:tc>
          <w:tcPr>
            <w:tcW w:w="2710" w:type="dxa"/>
            <w:tcBorders>
              <w:top w:val="single" w:sz="4" w:space="0" w:color="000000"/>
              <w:left w:val="single" w:sz="4" w:space="0" w:color="000000"/>
              <w:bottom w:val="single" w:sz="4" w:space="0" w:color="000000"/>
              <w:right w:val="single" w:sz="4" w:space="0" w:color="000000"/>
            </w:tcBorders>
          </w:tcPr>
          <w:p w14:paraId="79F2E919"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0.00003</w:t>
            </w:r>
          </w:p>
        </w:tc>
      </w:tr>
      <w:tr w:rsidR="009F2EB1" w:rsidRPr="00F919C7" w14:paraId="661A17D6" w14:textId="77777777">
        <w:trPr>
          <w:trHeight w:val="376"/>
          <w:jc w:val="center"/>
        </w:trPr>
        <w:tc>
          <w:tcPr>
            <w:tcW w:w="670" w:type="dxa"/>
            <w:tcBorders>
              <w:top w:val="single" w:sz="4" w:space="0" w:color="000000"/>
              <w:left w:val="single" w:sz="4" w:space="0" w:color="000000"/>
              <w:bottom w:val="single" w:sz="4" w:space="0" w:color="000000"/>
              <w:right w:val="single" w:sz="4" w:space="0" w:color="000000"/>
            </w:tcBorders>
          </w:tcPr>
          <w:p w14:paraId="59AF7168"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7</w:t>
            </w:r>
          </w:p>
        </w:tc>
        <w:tc>
          <w:tcPr>
            <w:tcW w:w="1350" w:type="dxa"/>
            <w:tcBorders>
              <w:top w:val="single" w:sz="4" w:space="0" w:color="000000"/>
              <w:left w:val="single" w:sz="4" w:space="0" w:color="000000"/>
              <w:bottom w:val="single" w:sz="4" w:space="0" w:color="000000"/>
              <w:right w:val="single" w:sz="4" w:space="0" w:color="000000"/>
            </w:tcBorders>
          </w:tcPr>
          <w:p w14:paraId="3A9E7D38"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3.5693E-09</w:t>
            </w:r>
          </w:p>
        </w:tc>
        <w:tc>
          <w:tcPr>
            <w:tcW w:w="2710" w:type="dxa"/>
            <w:tcBorders>
              <w:top w:val="single" w:sz="4" w:space="0" w:color="000000"/>
              <w:left w:val="single" w:sz="4" w:space="0" w:color="000000"/>
              <w:bottom w:val="single" w:sz="4" w:space="0" w:color="000000"/>
              <w:right w:val="single" w:sz="4" w:space="0" w:color="000000"/>
            </w:tcBorders>
          </w:tcPr>
          <w:p w14:paraId="6D36B066"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0.00001</w:t>
            </w:r>
          </w:p>
        </w:tc>
      </w:tr>
      <w:tr w:rsidR="009F2EB1" w:rsidRPr="00F919C7" w14:paraId="791BB535" w14:textId="77777777">
        <w:trPr>
          <w:trHeight w:val="388"/>
          <w:jc w:val="center"/>
        </w:trPr>
        <w:tc>
          <w:tcPr>
            <w:tcW w:w="670" w:type="dxa"/>
            <w:tcBorders>
              <w:top w:val="single" w:sz="4" w:space="0" w:color="000000"/>
              <w:left w:val="single" w:sz="4" w:space="0" w:color="000000"/>
              <w:bottom w:val="single" w:sz="4" w:space="0" w:color="000000"/>
              <w:right w:val="single" w:sz="4" w:space="0" w:color="000000"/>
            </w:tcBorders>
          </w:tcPr>
          <w:p w14:paraId="12116468" w14:textId="77777777" w:rsidR="009F2EB1" w:rsidRPr="00F919C7" w:rsidRDefault="00000000" w:rsidP="00F919C7">
            <w:pPr>
              <w:spacing w:after="0" w:line="240" w:lineRule="auto"/>
              <w:jc w:val="both"/>
              <w:rPr>
                <w:rFonts w:ascii="Times New Roman" w:eastAsia="Times New Roman" w:hAnsi="Times New Roman" w:cs="Times New Roman"/>
                <w:b/>
                <w:bCs/>
                <w:sz w:val="24"/>
                <w:szCs w:val="24"/>
                <w:lang w:bidi="hi-IN"/>
              </w:rPr>
            </w:pPr>
            <w:r w:rsidRPr="00F919C7">
              <w:rPr>
                <w:rFonts w:ascii="Times New Roman" w:eastAsia="Times New Roman" w:hAnsi="Times New Roman" w:cs="Times New Roman"/>
                <w:b/>
                <w:bCs/>
                <w:sz w:val="24"/>
                <w:szCs w:val="24"/>
                <w:lang w:bidi="hi-IN"/>
              </w:rPr>
              <w:t>8</w:t>
            </w:r>
          </w:p>
        </w:tc>
        <w:tc>
          <w:tcPr>
            <w:tcW w:w="1350" w:type="dxa"/>
            <w:tcBorders>
              <w:top w:val="single" w:sz="4" w:space="0" w:color="000000"/>
              <w:left w:val="single" w:sz="4" w:space="0" w:color="000000"/>
              <w:bottom w:val="single" w:sz="4" w:space="0" w:color="000000"/>
              <w:right w:val="single" w:sz="4" w:space="0" w:color="000000"/>
            </w:tcBorders>
          </w:tcPr>
          <w:p w14:paraId="4045A054"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4.4797E-11</w:t>
            </w:r>
          </w:p>
        </w:tc>
        <w:tc>
          <w:tcPr>
            <w:tcW w:w="2710" w:type="dxa"/>
            <w:tcBorders>
              <w:top w:val="single" w:sz="4" w:space="0" w:color="000000"/>
              <w:left w:val="single" w:sz="4" w:space="0" w:color="000000"/>
              <w:bottom w:val="single" w:sz="4" w:space="0" w:color="000000"/>
              <w:right w:val="single" w:sz="4" w:space="0" w:color="000000"/>
            </w:tcBorders>
          </w:tcPr>
          <w:p w14:paraId="4A249959" w14:textId="77777777" w:rsidR="009F2EB1" w:rsidRPr="00F919C7" w:rsidRDefault="00000000" w:rsidP="00F919C7">
            <w:pPr>
              <w:spacing w:after="0" w:line="240" w:lineRule="auto"/>
              <w:jc w:val="both"/>
              <w:rPr>
                <w:rFonts w:ascii="Times New Roman" w:eastAsia="Times New Roman" w:hAnsi="Times New Roman" w:cs="Times New Roman"/>
                <w:sz w:val="24"/>
                <w:szCs w:val="24"/>
                <w:lang w:bidi="hi-IN"/>
              </w:rPr>
            </w:pPr>
            <w:r w:rsidRPr="00F919C7">
              <w:rPr>
                <w:rFonts w:ascii="Times New Roman" w:eastAsia="Times New Roman" w:hAnsi="Times New Roman" w:cs="Times New Roman"/>
                <w:sz w:val="24"/>
                <w:szCs w:val="24"/>
                <w:lang w:bidi="hi-IN"/>
              </w:rPr>
              <w:t>0.0000002</w:t>
            </w:r>
          </w:p>
        </w:tc>
      </w:tr>
    </w:tbl>
    <w:p w14:paraId="3703B634" w14:textId="77777777" w:rsidR="009F2EB1" w:rsidRPr="00F919C7" w:rsidRDefault="009F2EB1" w:rsidP="00F919C7">
      <w:pPr>
        <w:spacing w:after="0" w:line="240" w:lineRule="auto"/>
        <w:ind w:firstLine="720"/>
        <w:jc w:val="both"/>
        <w:rPr>
          <w:rFonts w:ascii="Times New Roman" w:hAnsi="Times New Roman" w:cs="Times New Roman"/>
          <w:sz w:val="24"/>
          <w:szCs w:val="24"/>
        </w:rPr>
      </w:pPr>
    </w:p>
    <w:p w14:paraId="2471BDC9" w14:textId="1B232186" w:rsidR="009F2EB1" w:rsidRPr="00F919C7" w:rsidRDefault="00BF61DF" w:rsidP="00F919C7">
      <w:pPr>
        <w:spacing w:after="0" w:line="240" w:lineRule="auto"/>
        <w:ind w:firstLine="720"/>
        <w:jc w:val="both"/>
        <w:rPr>
          <w:rFonts w:ascii="Times New Roman" w:hAnsi="Times New Roman" w:cs="Times New Roman"/>
          <w:sz w:val="24"/>
          <w:szCs w:val="24"/>
        </w:rPr>
      </w:pPr>
      <w:r>
        <w:rPr>
          <w:rFonts w:ascii="Times New Roman" w:hAnsi="Times New Roman" w:cs="Times New Roman"/>
          <w:b/>
          <w:noProof/>
          <w:sz w:val="24"/>
          <w:szCs w:val="24"/>
          <w:lang w:val="en-IN" w:eastAsia="en-US" w:bidi="hi-IN"/>
        </w:rPr>
        <w:lastRenderedPageBreak/>
        <w:pict w14:anchorId="5971F75E">
          <v:shape id="Picture 1128301282" o:spid="_x0000_i1034" type="#_x0000_t75" style="width:6in;height:203.25pt;visibility:visible;mso-wrap-style:square">
            <v:imagedata r:id="rId16" o:title="" croptop="-5f" cropbottom="-5f" cropleft="-3f" cropright="-3f"/>
          </v:shape>
        </w:pict>
      </w:r>
    </w:p>
    <w:p w14:paraId="3A8A9A24" w14:textId="77777777" w:rsidR="009F2EB1" w:rsidRPr="00F919C7" w:rsidRDefault="00000000" w:rsidP="00F919C7">
      <w:pPr>
        <w:spacing w:after="0" w:line="240" w:lineRule="auto"/>
        <w:jc w:val="both"/>
        <w:rPr>
          <w:rStyle w:val="Strong"/>
          <w:rFonts w:ascii="Times New Roman" w:hAnsi="Times New Roman" w:cs="Times New Roman"/>
          <w:sz w:val="24"/>
          <w:szCs w:val="24"/>
          <w:lang w:eastAsia="en-SG"/>
        </w:rPr>
      </w:pPr>
      <w:r w:rsidRPr="00F919C7">
        <w:rPr>
          <w:rStyle w:val="Strong"/>
          <w:rFonts w:ascii="Times New Roman" w:eastAsia="Times New Roman" w:hAnsi="Times New Roman" w:cs="Times New Roman"/>
          <w:sz w:val="24"/>
          <w:szCs w:val="24"/>
        </w:rPr>
        <w:t>Fig.8:</w:t>
      </w:r>
      <w:r w:rsidRPr="00F919C7">
        <w:rPr>
          <w:rFonts w:ascii="Times New Roman" w:hAnsi="Times New Roman" w:cs="Times New Roman"/>
          <w:sz w:val="24"/>
          <w:szCs w:val="24"/>
        </w:rPr>
        <w:t xml:space="preserve"> Normal Probability Plots of the measured physico-chemical parameters</w:t>
      </w:r>
    </w:p>
    <w:p w14:paraId="724833E9" w14:textId="77777777" w:rsidR="009F2EB1" w:rsidRPr="00F919C7" w:rsidRDefault="009F2EB1" w:rsidP="00F919C7">
      <w:pPr>
        <w:spacing w:after="0" w:line="240" w:lineRule="auto"/>
        <w:jc w:val="both"/>
        <w:rPr>
          <w:rStyle w:val="Strong"/>
          <w:rFonts w:ascii="Times New Roman" w:eastAsia="Times New Roman" w:hAnsi="Times New Roman" w:cs="Times New Roman"/>
          <w:sz w:val="24"/>
          <w:szCs w:val="24"/>
          <w:lang w:eastAsia="en-SG"/>
        </w:rPr>
      </w:pPr>
    </w:p>
    <w:p w14:paraId="56FC73DE" w14:textId="77777777" w:rsidR="009F2EB1" w:rsidRPr="00F919C7" w:rsidRDefault="00000000" w:rsidP="00F919C7">
      <w:pPr>
        <w:spacing w:before="280" w:after="280" w:line="240" w:lineRule="auto"/>
        <w:jc w:val="both"/>
        <w:outlineLvl w:val="1"/>
        <w:rPr>
          <w:rFonts w:ascii="Times New Roman" w:eastAsia="Times New Roman" w:hAnsi="Times New Roman" w:cs="Times New Roman"/>
          <w:b/>
          <w:bCs/>
          <w:sz w:val="28"/>
          <w:szCs w:val="28"/>
        </w:rPr>
      </w:pPr>
      <w:r w:rsidRPr="00F919C7">
        <w:rPr>
          <w:rFonts w:ascii="Times New Roman" w:eastAsia="Times New Roman" w:hAnsi="Times New Roman" w:cs="Times New Roman"/>
          <w:b/>
          <w:bCs/>
          <w:sz w:val="28"/>
          <w:szCs w:val="28"/>
        </w:rPr>
        <w:t>Conclusion</w:t>
      </w:r>
    </w:p>
    <w:p w14:paraId="67DB50CC" w14:textId="77777777" w:rsidR="00F919C7" w:rsidRPr="00F919C7" w:rsidRDefault="00F919C7" w:rsidP="00F919C7">
      <w:pPr>
        <w:spacing w:before="280" w:after="280" w:line="240" w:lineRule="auto"/>
        <w:jc w:val="both"/>
        <w:outlineLvl w:val="1"/>
      </w:pPr>
      <w:r w:rsidRPr="00F919C7">
        <w:t>The investigation recorded 39 fish species representing 16 families and eight orders along the studied Ghaghara River stretch in Ambedkar Nagar District. Cypriniformes and Siluriformes were the dominant orders, and Cyprinidae contained the greatest number of species. Seasonal differences were evident across the sampling period. The monsoon season supported the highest species richness, abundance, and diversity, whereas lower values occurred during the post-monsoon and pre-monsoon periods. Diversity indices indicated a comparatively diverse fish assemblage, and Bray–Curtis analysis showed clear temporal structuring, including high similarity between some consecutive months. The low stress value obtained from multidimensional scaling supported the representation of monthly assemblage relationships. Water-quality variables, particularly temperature, dissolved oxygen, and pH, were associated with the observed distribution patterns. Most recorded species were classified as Least Concern; however, the presence of Near Threatened and Vulnerable taxa increases the conservation relevance of the river stretch. The study therefore provides baseline information for ecological monitoring, fish-biodiversity conservation, and the sustainable management of riverine fisheries in eastern Uttar Pradesh.</w:t>
      </w:r>
    </w:p>
    <w:p w14:paraId="5171100B" w14:textId="63B78730" w:rsidR="009F2EB1" w:rsidRPr="00F919C7" w:rsidRDefault="00000000" w:rsidP="00F919C7">
      <w:pPr>
        <w:spacing w:before="280" w:after="280" w:line="240" w:lineRule="auto"/>
        <w:jc w:val="both"/>
        <w:outlineLvl w:val="1"/>
        <w:rPr>
          <w:rFonts w:ascii="Times New Roman" w:eastAsia="Times New Roman" w:hAnsi="Times New Roman" w:cs="Times New Roman"/>
          <w:b/>
          <w:bCs/>
          <w:sz w:val="36"/>
          <w:szCs w:val="36"/>
        </w:rPr>
      </w:pPr>
      <w:r w:rsidRPr="00F919C7">
        <w:rPr>
          <w:rFonts w:ascii="Times New Roman" w:eastAsia="Times New Roman" w:hAnsi="Times New Roman" w:cs="Times New Roman"/>
          <w:b/>
          <w:bCs/>
          <w:sz w:val="36"/>
          <w:szCs w:val="36"/>
        </w:rPr>
        <w:t>Limitations</w:t>
      </w:r>
    </w:p>
    <w:p w14:paraId="3BD36A0C" w14:textId="77777777" w:rsidR="00F919C7" w:rsidRPr="00F919C7" w:rsidRDefault="00F919C7" w:rsidP="00F919C7">
      <w:pPr>
        <w:spacing w:after="0" w:line="240" w:lineRule="auto"/>
        <w:jc w:val="both"/>
      </w:pPr>
      <w:r w:rsidRPr="00F919C7">
        <w:t>The study covered three sites along a 73 km river stretch and a nine-month sampling period. Fish were obtained through direct river sampling and nearby landing centres, and variation in fishing effort or gear selectivity may have influenced species representation. Although site coordinates and principal gear types were provided, the detailed standardisation of sampling effort and physicochemical procedures was limited. Broader spatial coverage, year-round sampling, and fully standardised collection methods would improve the comparability and long-term interpretation of fish-diversity patterns.</w:t>
      </w:r>
    </w:p>
    <w:p w14:paraId="422DE879" w14:textId="77777777" w:rsidR="00F919C7" w:rsidRPr="00F919C7" w:rsidRDefault="00F919C7" w:rsidP="00F919C7">
      <w:pPr>
        <w:spacing w:after="0" w:line="240" w:lineRule="auto"/>
        <w:jc w:val="both"/>
      </w:pPr>
    </w:p>
    <w:p w14:paraId="6F6AE739" w14:textId="389834CA" w:rsidR="009F2EB1" w:rsidRPr="00F919C7" w:rsidRDefault="00000000" w:rsidP="00F919C7">
      <w:pPr>
        <w:spacing w:after="0" w:line="240" w:lineRule="auto"/>
        <w:jc w:val="both"/>
        <w:rPr>
          <w:rFonts w:ascii="Times New Roman" w:hAnsi="Times New Roman" w:cs="Times New Roman"/>
          <w:b/>
        </w:rPr>
      </w:pPr>
      <w:r w:rsidRPr="00F919C7">
        <w:rPr>
          <w:rFonts w:ascii="Times New Roman" w:hAnsi="Times New Roman" w:cs="Times New Roman"/>
          <w:b/>
        </w:rPr>
        <w:t>Declaration of AI Use</w:t>
      </w:r>
    </w:p>
    <w:p w14:paraId="7335741C" w14:textId="77777777" w:rsidR="009F2EB1" w:rsidRPr="00F919C7" w:rsidRDefault="009F2EB1" w:rsidP="00F919C7">
      <w:pPr>
        <w:spacing w:after="0" w:line="240" w:lineRule="auto"/>
        <w:jc w:val="both"/>
        <w:rPr>
          <w:rFonts w:ascii="Times New Roman" w:hAnsi="Times New Roman" w:cs="Times New Roman"/>
          <w:b/>
        </w:rPr>
      </w:pPr>
    </w:p>
    <w:p w14:paraId="64B4407E" w14:textId="77777777" w:rsidR="009F2EB1" w:rsidRPr="00F919C7" w:rsidRDefault="00000000" w:rsidP="00F919C7">
      <w:pPr>
        <w:spacing w:line="240" w:lineRule="auto"/>
        <w:jc w:val="both"/>
        <w:rPr>
          <w:rFonts w:ascii="Times New Roman" w:hAnsi="Times New Roman" w:cs="Times New Roman"/>
        </w:rPr>
      </w:pPr>
      <w:r w:rsidRPr="00F919C7">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w:t>
      </w:r>
      <w:r w:rsidRPr="00F919C7">
        <w:rPr>
          <w:rFonts w:ascii="Times New Roman" w:hAnsi="Times New Roman" w:cs="Times New Roman"/>
        </w:rPr>
        <w:lastRenderedPageBreak/>
        <w:t>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21B1862" w14:textId="4DBC5B89" w:rsidR="009F2EB1" w:rsidRPr="00F919C7" w:rsidRDefault="00000000" w:rsidP="00F919C7">
      <w:pPr>
        <w:jc w:val="both"/>
        <w:rPr>
          <w:rFonts w:ascii="Arial" w:eastAsia="Times New Roman" w:hAnsi="Arial" w:cs="Arial"/>
          <w:b/>
          <w:bCs/>
          <w:lang w:val="en-GB" w:eastAsia="en-GB"/>
        </w:rPr>
      </w:pPr>
      <w:r w:rsidRPr="00F919C7">
        <w:rPr>
          <w:rFonts w:ascii="Arial" w:eastAsia="Times New Roman" w:hAnsi="Arial" w:cs="Arial"/>
          <w:b/>
          <w:bCs/>
          <w:lang w:val="en-GB" w:eastAsia="en-GB"/>
        </w:rPr>
        <w:t>COMPETING INTERESTS:</w:t>
      </w:r>
    </w:p>
    <w:p w14:paraId="1483560D" w14:textId="77777777" w:rsidR="009F2EB1" w:rsidRPr="00F919C7" w:rsidRDefault="00000000" w:rsidP="00F919C7">
      <w:pPr>
        <w:jc w:val="both"/>
        <w:rPr>
          <w:rFonts w:eastAsia="Times New Roman" w:cs="Times New Roman"/>
          <w:lang w:val="en-GB" w:eastAsia="en-GB"/>
        </w:rPr>
      </w:pPr>
      <w:r w:rsidRPr="00F919C7">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0D88DA50" w14:textId="77777777" w:rsidR="009F2EB1" w:rsidRPr="00F919C7" w:rsidRDefault="009F2EB1" w:rsidP="00F919C7">
      <w:pPr>
        <w:spacing w:before="280" w:after="280" w:line="240" w:lineRule="auto"/>
        <w:ind w:firstLine="720"/>
        <w:jc w:val="both"/>
        <w:rPr>
          <w:rFonts w:ascii="Times New Roman" w:eastAsia="Times New Roman" w:hAnsi="Times New Roman" w:cs="Times New Roman"/>
          <w:sz w:val="24"/>
          <w:szCs w:val="24"/>
          <w:lang w:val="en-IN" w:eastAsia="en-IN" w:bidi="hi-IN"/>
        </w:rPr>
      </w:pPr>
    </w:p>
    <w:p w14:paraId="562BDB45" w14:textId="77777777" w:rsidR="009F2EB1" w:rsidRPr="00F919C7" w:rsidRDefault="00000000" w:rsidP="00F919C7">
      <w:pPr>
        <w:spacing w:after="0" w:line="240" w:lineRule="auto"/>
        <w:jc w:val="both"/>
        <w:rPr>
          <w:rFonts w:ascii="Times New Roman" w:hAnsi="Times New Roman" w:cs="Times New Roman"/>
          <w:b/>
          <w:sz w:val="24"/>
          <w:szCs w:val="24"/>
        </w:rPr>
      </w:pPr>
      <w:r w:rsidRPr="00F919C7">
        <w:rPr>
          <w:rFonts w:ascii="Times New Roman" w:hAnsi="Times New Roman" w:cs="Times New Roman"/>
          <w:b/>
          <w:sz w:val="24"/>
          <w:szCs w:val="24"/>
        </w:rPr>
        <w:t xml:space="preserve">References </w:t>
      </w:r>
    </w:p>
    <w:p w14:paraId="6B87C659" w14:textId="77777777" w:rsidR="009F2EB1" w:rsidRPr="00F919C7" w:rsidRDefault="00000000" w:rsidP="00BF61DF">
      <w:pPr>
        <w:numPr>
          <w:ilvl w:val="0"/>
          <w:numId w:val="2"/>
        </w:numPr>
        <w:spacing w:after="0" w:before="0" w:line="240" w:lineRule="auto"/>
        <w:jc w:val="left"/>
      </w:pPr>
      <w:r>
        <w:rPr>
          <w:i w:val="0"/>
        </w:rPr>
        <w:t xml:space="preserve">Bharti, V., Kumar, T., Sarma, K., Singh, J., Ahirwal, S. K., Saurabh, K., Kumari, S., &amp; Kumar, A. (2025). Multivariate analysis of ichthyofaunal diversity in the Kasaraiya Dhar Wetland, Bihar, India. </w:t>
      </w:r>
      <w:r>
        <w:rPr>
          <w:i/>
        </w:rPr>
        <w:t>Indian Journal of Fisheries, 72</w:t>
      </w:r>
      <w:r>
        <w:rPr>
          <w:i w:val="0"/>
        </w:rPr>
        <w:t xml:space="preserve">(2), 19–26. </w:t>
      </w:r>
      <w:hyperlink r:id="rId31">
        <w:r>
          <w:rPr>
            <w:color w:val="000000"/>
            <w:u w:val="single"/>
          </w:rPr>
          <w:t xml:space="preserve">https://doi.org/10.21077/ijf.2025.72.2.150451-03</w:t>
        </w:r>
      </w:hyperlink>
    </w:p>
    <w:p w14:paraId="52D12DD5" w14:textId="77777777" w:rsidR="009F2EB1" w:rsidRPr="00F919C7" w:rsidRDefault="00000000" w:rsidP="00BF61DF">
      <w:pPr>
        <w:numPr>
          <w:ilvl w:val="0"/>
          <w:numId w:val="2"/>
        </w:numPr>
        <w:spacing w:after="0" w:before="0" w:line="240" w:lineRule="auto"/>
        <w:jc w:val="left"/>
      </w:pPr>
      <w:r>
        <w:rPr>
          <w:i w:val="0"/>
        </w:rPr>
        <w:t xml:space="preserve">Bray, J. R., &amp; Curtis, J. T. (1957). An ordination of the upland forest communities of southern Wisconsin. </w:t>
      </w:r>
      <w:r>
        <w:rPr>
          <w:i/>
        </w:rPr>
        <w:t>Ecological Monographs, 27</w:t>
      </w:r>
      <w:r>
        <w:rPr>
          <w:i w:val="0"/>
        </w:rPr>
        <w:t xml:space="preserve">(4), 325–349. </w:t>
      </w:r>
      <w:hyperlink r:id="rId17">
        <w:r>
          <w:rPr>
            <w:color w:val="000000"/>
            <w:u w:val="single"/>
          </w:rPr>
          <w:t xml:space="preserve">https://doi.org/10.2307/1942268</w:t>
        </w:r>
      </w:hyperlink>
    </w:p>
    <w:p w14:paraId="3DD814A1" w14:textId="77777777" w:rsidR="009F2EB1" w:rsidRPr="00F919C7" w:rsidRDefault="00000000" w:rsidP="00BF61DF">
      <w:pPr>
        <w:numPr>
          <w:ilvl w:val="0"/>
          <w:numId w:val="2"/>
        </w:numPr>
        <w:spacing w:after="0" w:before="0" w:line="240" w:lineRule="auto"/>
        <w:jc w:val="left"/>
      </w:pPr>
      <w:r>
        <w:rPr>
          <w:i w:val="0"/>
        </w:rPr>
        <w:t xml:space="preserve">Cardinale, B. J., Duffy, J. E., Gonzalez, A., Hooper, D. U., Perrings, C., Venail, P., Narwani, A., Mace, G. M., Tilman, D., Wardle, D. A., Kinzig, A. P., Daily, G. C., Loreau, M., Grace, J. B., Larigauderie, A., Srivastava, D. S., &amp; Naeem, S. (2012). Biodiversity loss and its impact on humanity. </w:t>
      </w:r>
      <w:r>
        <w:rPr>
          <w:i/>
        </w:rPr>
        <w:t>Nature, 486</w:t>
      </w:r>
      <w:r>
        <w:rPr>
          <w:i w:val="0"/>
        </w:rPr>
        <w:t xml:space="preserve">, 59–67. </w:t>
      </w:r>
      <w:hyperlink r:id="rId18">
        <w:r>
          <w:rPr>
            <w:color w:val="000000"/>
            <w:u w:val="single"/>
          </w:rPr>
          <w:t xml:space="preserve">https://doi.org/10.1038/nature11148</w:t>
        </w:r>
      </w:hyperlink>
    </w:p>
    <w:p w14:paraId="259C2C92" w14:textId="77777777" w:rsidR="009F2EB1" w:rsidRPr="00F919C7" w:rsidRDefault="00000000" w:rsidP="00BF61DF">
      <w:pPr>
        <w:numPr>
          <w:ilvl w:val="0"/>
          <w:numId w:val="2"/>
        </w:numPr>
        <w:spacing w:after="0" w:before="0" w:line="240" w:lineRule="auto"/>
        <w:jc w:val="left"/>
      </w:pPr>
      <w:r>
        <w:rPr>
          <w:i w:val="0"/>
        </w:rPr>
        <w:t xml:space="preserve">Choudhary, D. N., &amp; Sagar, P. (2025). First record of ichthyofaunal diversity in Champanala, Bhagalpur, Bihar, India. </w:t>
      </w:r>
      <w:r>
        <w:rPr>
          <w:i/>
        </w:rPr>
        <w:t>Asian Journal of Fisheries and Aquatic Research, 27</w:t>
      </w:r>
      <w:r>
        <w:rPr>
          <w:i w:val="0"/>
        </w:rPr>
        <w:t xml:space="preserve">(8), 100–113. </w:t>
      </w:r>
      <w:hyperlink r:id="rId19">
        <w:r>
          <w:rPr>
            <w:color w:val="000000"/>
            <w:u w:val="single"/>
          </w:rPr>
          <w:t xml:space="preserve">https://doi.org/10.9734/ajfar/2025/v27i8980</w:t>
        </w:r>
      </w:hyperlink>
    </w:p>
    <w:p w14:paraId="7366ACD6" w14:textId="77777777" w:rsidR="009F2EB1" w:rsidRPr="00F919C7" w:rsidRDefault="00000000" w:rsidP="00BF61DF">
      <w:pPr>
        <w:numPr>
          <w:ilvl w:val="0"/>
          <w:numId w:val="2"/>
        </w:numPr>
        <w:spacing w:after="0" w:before="0" w:line="240" w:lineRule="auto"/>
        <w:jc w:val="left"/>
      </w:pPr>
      <w:r>
        <w:rPr>
          <w:i w:val="0"/>
        </w:rPr>
        <w:t xml:space="preserve">Clarke, K. R. (1993). Non-parametric multivariate analyses of changes in community structure. </w:t>
      </w:r>
      <w:r>
        <w:rPr>
          <w:i/>
        </w:rPr>
        <w:t>Australian Journal of Ecology, 18</w:t>
      </w:r>
      <w:r>
        <w:rPr>
          <w:i w:val="0"/>
        </w:rPr>
        <w:t xml:space="preserve">(1), 117–143. </w:t>
      </w:r>
      <w:hyperlink r:id="rId20">
        <w:r>
          <w:rPr>
            <w:color w:val="000000"/>
            <w:u w:val="single"/>
          </w:rPr>
          <w:t xml:space="preserve">https://doi.org/10.1111/j.1442-9993.1993.tb00438.x</w:t>
        </w:r>
      </w:hyperlink>
    </w:p>
    <w:p w14:paraId="450178BD" w14:textId="77777777" w:rsidR="009F2EB1" w:rsidRPr="00F919C7" w:rsidRDefault="00000000" w:rsidP="00BF61DF">
      <w:pPr>
        <w:numPr>
          <w:ilvl w:val="0"/>
          <w:numId w:val="2"/>
        </w:numPr>
        <w:spacing w:after="0" w:before="0" w:line="240" w:lineRule="auto"/>
        <w:jc w:val="left"/>
      </w:pPr>
      <w:r>
        <w:rPr>
          <w:i w:val="0"/>
        </w:rPr>
        <w:t xml:space="preserve">Clarke, K. R., &amp; Gorley, R. N. (2006). </w:t>
      </w:r>
      <w:r>
        <w:rPr>
          <w:i/>
        </w:rPr>
        <w:t>PRIMER v6: User manual/tutorial</w:t>
      </w:r>
      <w:r>
        <w:rPr>
          <w:i w:val="0"/>
        </w:rPr>
        <w:t xml:space="preserve">. PRIMER-E. </w:t>
      </w:r>
      <w:hyperlink r:id="rId32">
        <w:r>
          <w:rPr>
            <w:color w:val="000000"/>
            <w:u w:val="single"/>
          </w:rPr>
          <w:t xml:space="preserve">https://learninghub.primer-e.com/books/permanova-for-primer-guide-to-software-and-statistical-methods/page/a2-references</w:t>
        </w:r>
      </w:hyperlink>
    </w:p>
    <w:p w14:paraId="6481D32F" w14:textId="77777777" w:rsidR="009F2EB1" w:rsidRPr="00F919C7" w:rsidRDefault="00000000" w:rsidP="00BF61DF">
      <w:pPr>
        <w:numPr>
          <w:ilvl w:val="0"/>
          <w:numId w:val="2"/>
        </w:numPr>
        <w:spacing w:after="0" w:before="0" w:line="240" w:lineRule="auto"/>
        <w:jc w:val="left"/>
      </w:pPr>
      <w:r>
        <w:rPr>
          <w:i w:val="0"/>
        </w:rPr>
        <w:t xml:space="preserve">Clarke, K. R., Somerfield, P. J., &amp; Gorley, R. N. (2008). Testing of null hypotheses in exploratory community analyses: Similarity profiles and biota-environment linkage. </w:t>
      </w:r>
      <w:r>
        <w:rPr>
          <w:i/>
        </w:rPr>
        <w:t>Journal of Experimental Marine Biology and Ecology, 366</w:t>
      </w:r>
      <w:r>
        <w:rPr>
          <w:i w:val="0"/>
        </w:rPr>
        <w:t xml:space="preserve">(1–2), 56–69. </w:t>
      </w:r>
      <w:hyperlink r:id="rId33">
        <w:r>
          <w:rPr>
            <w:color w:val="000000"/>
            <w:u w:val="single"/>
          </w:rPr>
          <w:t xml:space="preserve">https://doi.org/10.1016/j.jembe.2008.07.009</w:t>
        </w:r>
      </w:hyperlink>
    </w:p>
    <w:p w14:paraId="638F9AD2" w14:textId="77777777" w:rsidR="009F2EB1" w:rsidRPr="00F919C7" w:rsidRDefault="00000000" w:rsidP="00BF61DF">
      <w:pPr>
        <w:numPr>
          <w:ilvl w:val="0"/>
          <w:numId w:val="2"/>
        </w:numPr>
        <w:spacing w:after="0" w:before="0" w:line="240" w:lineRule="auto"/>
        <w:jc w:val="left"/>
      </w:pPr>
      <w:r>
        <w:rPr>
          <w:i w:val="0"/>
        </w:rPr>
        <w:t xml:space="preserve">Clarke, K. R., &amp; Warwick, R. M. (2001). </w:t>
      </w:r>
      <w:r>
        <w:rPr>
          <w:i/>
        </w:rPr>
        <w:t>Change in marine communities: An approach to statistical analysis and interpretation</w:t>
      </w:r>
      <w:r>
        <w:rPr>
          <w:i w:val="0"/>
        </w:rPr>
        <w:t xml:space="preserve"> (2nd ed.). PRIMER-E. </w:t>
      </w:r>
      <w:hyperlink r:id="rId32">
        <w:r>
          <w:rPr>
            <w:color w:val="000000"/>
            <w:u w:val="single"/>
          </w:rPr>
          <w:t xml:space="preserve">https://learninghub.primer-e.com/books/permanova-for-primer-guide-to-software-and-statistical-methods/page/a2-references</w:t>
        </w:r>
      </w:hyperlink>
    </w:p>
    <w:p w14:paraId="173367F2" w14:textId="77777777" w:rsidR="009F2EB1" w:rsidRPr="00F919C7" w:rsidRDefault="00000000" w:rsidP="00BF61DF">
      <w:pPr>
        <w:numPr>
          <w:ilvl w:val="0"/>
          <w:numId w:val="2"/>
        </w:numPr>
        <w:spacing w:after="0" w:before="0" w:line="240" w:lineRule="auto"/>
        <w:jc w:val="left"/>
      </w:pPr>
      <w:r>
        <w:rPr>
          <w:i w:val="0"/>
        </w:rPr>
        <w:t xml:space="preserve">Das, S. C. S., Alam, A., Jha, D. N., Kumar, V., Bhattacharjya, B. K., &amp; Das, B. K. (2024). Fish community structure in relation to habitat variables in a seasonally open floodplain wetland of the Yamuna River basin of India. </w:t>
      </w:r>
      <w:r>
        <w:rPr>
          <w:i/>
        </w:rPr>
        <w:t>Indian Journal of Fisheries, 71</w:t>
      </w:r>
      <w:r>
        <w:rPr>
          <w:i w:val="0"/>
        </w:rPr>
        <w:t xml:space="preserve">(3), 29–37. </w:t>
      </w:r>
      <w:hyperlink r:id="rId34">
        <w:r>
          <w:rPr>
            <w:color w:val="000000"/>
            <w:u w:val="single"/>
          </w:rPr>
          <w:t xml:space="preserve">https://doi.org/10.21077/ijf.2024.71.3.136111-04</w:t>
        </w:r>
      </w:hyperlink>
    </w:p>
    <w:p w14:paraId="2A2779D8" w14:textId="77777777" w:rsidR="009F2EB1" w:rsidRPr="00F919C7" w:rsidRDefault="00000000" w:rsidP="00BF61DF">
      <w:pPr>
        <w:numPr>
          <w:ilvl w:val="0"/>
          <w:numId w:val="2"/>
        </w:numPr>
        <w:spacing w:after="0" w:before="0" w:line="240" w:lineRule="auto"/>
        <w:jc w:val="left"/>
      </w:pPr>
      <w:r>
        <w:rPr>
          <w:i w:val="0"/>
        </w:rPr>
        <w:t xml:space="preserve">Day, F. (1878). </w:t>
      </w:r>
      <w:r>
        <w:rPr>
          <w:i/>
        </w:rPr>
        <w:t>The fishes of India: Being a natural history of the fishes known to inhabit the seas and fresh waters of India, Burma, and Ceylon</w:t>
      </w:r>
      <w:r>
        <w:rPr>
          <w:i w:val="0"/>
        </w:rPr>
        <w:t xml:space="preserve">. Bernard Quaritch. </w:t>
      </w:r>
      <w:hyperlink r:id="rId35">
        <w:r>
          <w:rPr>
            <w:color w:val="000000"/>
            <w:u w:val="single"/>
          </w:rPr>
          <w:t xml:space="preserve">https://catalog.hathitrust.org/Record/102822723</w:t>
        </w:r>
      </w:hyperlink>
    </w:p>
    <w:p w14:paraId="477A1F85" w14:textId="77777777" w:rsidR="009F2EB1" w:rsidRPr="00F919C7" w:rsidRDefault="00000000" w:rsidP="00BF61DF">
      <w:pPr>
        <w:numPr>
          <w:ilvl w:val="0"/>
          <w:numId w:val="2"/>
        </w:numPr>
        <w:spacing w:after="0" w:before="0" w:line="240" w:lineRule="auto"/>
        <w:jc w:val="left"/>
      </w:pPr>
      <w:r>
        <w:rPr>
          <w:i w:val="0"/>
        </w:rPr>
        <w:t xml:space="preserve">Fischer, W., &amp; Bianchi, G. (Eds.). (1984). </w:t>
      </w:r>
      <w:r>
        <w:rPr>
          <w:i/>
        </w:rPr>
        <w:t>FAO species identification sheets for fishery purposes: Western Indian Ocean (Fishing Area 51)</w:t>
      </w:r>
      <w:r>
        <w:rPr>
          <w:i w:val="0"/>
        </w:rPr>
        <w:t xml:space="preserve">. Food and Agriculture Organization of the United Nations. </w:t>
      </w:r>
      <w:hyperlink r:id="rId36">
        <w:r>
          <w:rPr>
            <w:color w:val="000000"/>
            <w:u w:val="single"/>
          </w:rPr>
          <w:t xml:space="preserve">https://www.fao.org/4/ad468e/ad468e00.htm</w:t>
        </w:r>
      </w:hyperlink>
    </w:p>
    <w:p w14:paraId="3318192B" w14:textId="77777777" w:rsidR="009F2EB1" w:rsidRPr="00F919C7" w:rsidRDefault="00000000" w:rsidP="00BF61DF">
      <w:pPr>
        <w:numPr>
          <w:ilvl w:val="0"/>
          <w:numId w:val="2"/>
        </w:numPr>
        <w:spacing w:after="0" w:before="0" w:line="240" w:lineRule="auto"/>
        <w:jc w:val="left"/>
      </w:pPr>
      <w:r>
        <w:rPr>
          <w:i w:val="0"/>
        </w:rPr>
        <w:t xml:space="preserve">Fricke, R., Eschmeyer, W. N., &amp; Van der Laan, R. (Eds.). (2026). </w:t>
      </w:r>
      <w:r>
        <w:rPr>
          <w:i/>
        </w:rPr>
        <w:t>Eschmeyer’s catalog of fishes: Genera, species, references</w:t>
      </w:r>
      <w:r>
        <w:rPr>
          <w:i w:val="0"/>
        </w:rPr>
        <w:t xml:space="preserve"> [Database]. California Academy of Sciences. Retrieved July 11, 2026, from </w:t>
      </w:r>
      <w:hyperlink r:id="rId21">
        <w:r>
          <w:rPr>
            <w:color w:val="000000"/>
            <w:u w:val="single"/>
          </w:rPr>
          <w:t xml:space="preserve">https://researcharchive.calacademy.org/research/ichthyology/catalog/fishcatmain.asp</w:t>
        </w:r>
      </w:hyperlink>
    </w:p>
    <w:p w14:paraId="3E8A5705" w14:textId="77777777" w:rsidR="009F2EB1" w:rsidRPr="00F919C7" w:rsidRDefault="00000000" w:rsidP="00BF61DF">
      <w:pPr>
        <w:numPr>
          <w:ilvl w:val="0"/>
          <w:numId w:val="2"/>
        </w:numPr>
        <w:spacing w:after="0" w:before="0" w:line="240" w:lineRule="auto"/>
        <w:jc w:val="left"/>
      </w:pPr>
      <w:r>
        <w:rPr>
          <w:i w:val="0"/>
        </w:rPr>
        <w:t xml:space="preserve">Froese, R., &amp; Pauly, D. (Eds.). (2026). </w:t>
      </w:r>
      <w:r>
        <w:rPr>
          <w:i/>
        </w:rPr>
        <w:t>FishBase</w:t>
      </w:r>
      <w:r>
        <w:rPr>
          <w:i w:val="0"/>
        </w:rPr>
        <w:t xml:space="preserve"> (Version 02/2026) [Database]. </w:t>
      </w:r>
      <w:hyperlink r:id="rId22">
        <w:r>
          <w:rPr>
            <w:color w:val="000000"/>
            <w:u w:val="single"/>
          </w:rPr>
          <w:t xml:space="preserve">https://www.fishbase.org</w:t>
        </w:r>
      </w:hyperlink>
    </w:p>
    <w:p w14:paraId="5C3930D5" w14:textId="77777777" w:rsidR="009F2EB1" w:rsidRPr="00F919C7" w:rsidRDefault="00000000" w:rsidP="00BF61DF">
      <w:pPr>
        <w:numPr>
          <w:ilvl w:val="0"/>
          <w:numId w:val="2"/>
        </w:numPr>
        <w:spacing w:after="0" w:before="0" w:line="240" w:lineRule="auto"/>
        <w:jc w:val="left"/>
      </w:pPr>
      <w:r>
        <w:rPr>
          <w:i w:val="0"/>
        </w:rPr>
        <w:t xml:space="preserve">Gopi, K. C., Mishra, S. S., &amp; Kosygin, L. (2017). Pisces. In K. Chandra, K. C. Gopi, D. V. Rao, K. Valarmathi, &amp; J. R. B. Alfred (Eds.), </w:t>
      </w:r>
      <w:r>
        <w:rPr>
          <w:i/>
        </w:rPr>
        <w:t>Current status of freshwater faunal diversity in India</w:t>
      </w:r>
      <w:r>
        <w:rPr>
          <w:i w:val="0"/>
        </w:rPr>
        <w:t xml:space="preserve"> (pp. 527–570). Zoological Survey of India. </w:t>
      </w:r>
      <w:hyperlink r:id="rId37">
        <w:r>
          <w:rPr>
            <w:color w:val="000000"/>
            <w:u w:val="single"/>
          </w:rPr>
          <w:t xml:space="preserve">https://searchworks.stanford.edu/view/12701447</w:t>
        </w:r>
      </w:hyperlink>
    </w:p>
    <w:p w14:paraId="1913494D" w14:textId="77777777" w:rsidR="009F2EB1" w:rsidRPr="00F919C7" w:rsidRDefault="00000000" w:rsidP="00BF61DF">
      <w:pPr>
        <w:numPr>
          <w:ilvl w:val="0"/>
          <w:numId w:val="2"/>
        </w:numPr>
        <w:spacing w:after="0" w:before="0" w:line="240" w:lineRule="auto"/>
        <w:jc w:val="left"/>
      </w:pPr>
      <w:r>
        <w:rPr>
          <w:i w:val="0"/>
        </w:rPr>
        <w:t xml:space="preserve">Integrated Taxonomic Information System. (2026). </w:t>
      </w:r>
      <w:r>
        <w:rPr>
          <w:i/>
        </w:rPr>
        <w:t>Integrated Taxonomic Information System (ITIS)</w:t>
      </w:r>
      <w:r>
        <w:rPr>
          <w:i w:val="0"/>
        </w:rPr>
        <w:t xml:space="preserve"> [Database]. Retrieved July 11, 2026, from </w:t>
      </w:r>
      <w:hyperlink r:id="rId38">
        <w:r>
          <w:rPr>
            <w:color w:val="000000"/>
            <w:u w:val="single"/>
          </w:rPr>
          <w:t xml:space="preserve">https://www.itis.gov</w:t>
        </w:r>
      </w:hyperlink>
    </w:p>
    <w:p w14:paraId="13EFD45C" w14:textId="77777777" w:rsidR="009F2EB1" w:rsidRPr="00F919C7" w:rsidRDefault="00000000" w:rsidP="00BF61DF">
      <w:pPr>
        <w:numPr>
          <w:ilvl w:val="0"/>
          <w:numId w:val="2"/>
        </w:numPr>
        <w:spacing w:after="0" w:before="0" w:line="240" w:lineRule="auto"/>
        <w:jc w:val="left"/>
      </w:pPr>
      <w:r>
        <w:rPr>
          <w:i w:val="0"/>
        </w:rPr>
        <w:t xml:space="preserve">International Union for Conservation of Nature. (2026). </w:t>
      </w:r>
      <w:r>
        <w:rPr>
          <w:i/>
        </w:rPr>
        <w:t>The IUCN Red List of Threatened Species</w:t>
      </w:r>
      <w:r>
        <w:rPr>
          <w:i w:val="0"/>
        </w:rPr>
        <w:t xml:space="preserve"> (Version 2025-2) [Database]. </w:t>
      </w:r>
      <w:hyperlink r:id="rId23">
        <w:r>
          <w:rPr>
            <w:color w:val="000000"/>
            <w:u w:val="single"/>
          </w:rPr>
          <w:t xml:space="preserve">https://www.iucnredlist.org</w:t>
        </w:r>
      </w:hyperlink>
    </w:p>
    <w:p w14:paraId="72B2888A" w14:textId="77777777" w:rsidR="009F2EB1" w:rsidRPr="00F919C7" w:rsidRDefault="00000000" w:rsidP="00BF61DF">
      <w:pPr>
        <w:numPr>
          <w:ilvl w:val="0"/>
          <w:numId w:val="2"/>
        </w:numPr>
        <w:spacing w:after="0" w:before="0" w:line="240" w:lineRule="auto"/>
        <w:jc w:val="left"/>
      </w:pPr>
      <w:r>
        <w:rPr>
          <w:i w:val="0"/>
        </w:rPr>
        <w:t xml:space="preserve">Kechu, M., &amp; Pankaj, P. P. (2025). Checklist on the ichthyofaunal resources and conservation status of Dikhu River, Nagaland, India. </w:t>
      </w:r>
      <w:r>
        <w:rPr>
          <w:i/>
        </w:rPr>
        <w:t>Journal of Threatened Taxa, 17</w:t>
      </w:r>
      <w:r>
        <w:rPr>
          <w:i w:val="0"/>
        </w:rPr>
        <w:t xml:space="preserve">(2), 26504–26514. </w:t>
      </w:r>
      <w:hyperlink r:id="rId24">
        <w:r>
          <w:rPr>
            <w:color w:val="000000"/>
            <w:u w:val="single"/>
          </w:rPr>
          <w:t xml:space="preserve">https://doi.org/10.11609/jott.9181.17.2.26504-26514</w:t>
        </w:r>
      </w:hyperlink>
    </w:p>
    <w:p w14:paraId="462CFC09" w14:textId="77777777" w:rsidR="009F2EB1" w:rsidRPr="00F919C7" w:rsidRDefault="00000000" w:rsidP="00BF61DF">
      <w:pPr>
        <w:numPr>
          <w:ilvl w:val="0"/>
          <w:numId w:val="2"/>
        </w:numPr>
        <w:spacing w:after="0" w:before="0" w:line="240" w:lineRule="auto"/>
        <w:jc w:val="left"/>
      </w:pPr>
      <w:r>
        <w:rPr>
          <w:i w:val="0"/>
        </w:rPr>
        <w:t xml:space="preserve">Khan, S. A., Raffi, S. M., &amp; Lyla, P. S. (2005). Brachyuran crab diversity in natural (Pichavaram) and artificially developed mangroves (Vellar Estuary). </w:t>
      </w:r>
      <w:r>
        <w:rPr>
          <w:i/>
        </w:rPr>
        <w:t>Current Science, 88</w:t>
      </w:r>
      <w:r>
        <w:rPr>
          <w:i w:val="0"/>
        </w:rPr>
        <w:t xml:space="preserve">(8), 1316–1324. </w:t>
      </w:r>
      <w:hyperlink r:id="rId39">
        <w:r>
          <w:rPr>
            <w:color w:val="000000"/>
            <w:u w:val="single"/>
          </w:rPr>
          <w:t xml:space="preserve">https://www.currentscience.ac.in/Volumes/88/08/1316.pdf</w:t>
        </w:r>
      </w:hyperlink>
    </w:p>
    <w:p w14:paraId="46CDC04F" w14:textId="77777777" w:rsidR="009F2EB1" w:rsidRPr="00F919C7" w:rsidRDefault="00000000" w:rsidP="00BF61DF">
      <w:pPr>
        <w:numPr>
          <w:ilvl w:val="0"/>
          <w:numId w:val="2"/>
        </w:numPr>
        <w:spacing w:after="0" w:before="0" w:line="240" w:lineRule="auto"/>
        <w:jc w:val="left"/>
      </w:pPr>
      <w:r>
        <w:rPr>
          <w:i w:val="0"/>
        </w:rPr>
        <w:t xml:space="preserve">Kosygin, L., Mohapatra, A., Bineesh, K. K., Sharma, I., Jadhav, S. S., &amp; Khynriam, D. (2024). </w:t>
      </w:r>
      <w:r>
        <w:rPr>
          <w:i/>
        </w:rPr>
        <w:t>Fauna of India checklist: Pisces</w:t>
      </w:r>
      <w:r>
        <w:rPr>
          <w:i w:val="0"/>
        </w:rPr>
        <w:t xml:space="preserve"> (Version 1.0). Zoological Survey of India. </w:t>
      </w:r>
      <w:hyperlink r:id="rId40">
        <w:r>
          <w:rPr>
            <w:color w:val="000000"/>
            <w:u w:val="single"/>
          </w:rPr>
          <w:t xml:space="preserve">https://doi.org/10.26515/Fauna/1/2023/Choradata:Pisces</w:t>
        </w:r>
      </w:hyperlink>
    </w:p>
    <w:p w14:paraId="5E5764C6" w14:textId="77777777" w:rsidR="009F2EB1" w:rsidRPr="00F919C7" w:rsidRDefault="00000000" w:rsidP="00BF61DF">
      <w:pPr>
        <w:numPr>
          <w:ilvl w:val="0"/>
          <w:numId w:val="2"/>
        </w:numPr>
        <w:spacing w:after="0" w:before="0" w:line="240" w:lineRule="auto"/>
        <w:jc w:val="left"/>
      </w:pPr>
      <w:r>
        <w:rPr>
          <w:i w:val="0"/>
        </w:rPr>
        <w:t xml:space="preserve">Kumar, D., Maurya, A. K., Prasad, L., Singh, C. P., Radhakrishnan, K. V., &amp; Somasekara, S. R. (2020). Fish biodiversity and its diversity indices in the Himalayan River Ghaghara at northern India. </w:t>
      </w:r>
      <w:r>
        <w:rPr>
          <w:i/>
        </w:rPr>
        <w:t>Journal of Entomology and Zoology Studies, 8</w:t>
      </w:r>
      <w:r>
        <w:rPr>
          <w:i w:val="0"/>
        </w:rPr>
        <w:t xml:space="preserve">(6), 1559–1564. </w:t>
      </w:r>
      <w:hyperlink r:id="rId41">
        <w:r>
          <w:rPr>
            <w:color w:val="000000"/>
            <w:u w:val="single"/>
          </w:rPr>
          <w:t xml:space="preserve">https://doi.org/10.22271/j.ento.2020.v8.i6x.8078</w:t>
        </w:r>
      </w:hyperlink>
    </w:p>
    <w:p w14:paraId="59C1E41C" w14:textId="77777777" w:rsidR="009F2EB1" w:rsidRPr="00F919C7" w:rsidRDefault="00000000" w:rsidP="00BF61DF">
      <w:pPr>
        <w:numPr>
          <w:ilvl w:val="0"/>
          <w:numId w:val="2"/>
        </w:numPr>
        <w:spacing w:after="0" w:before="0" w:line="240" w:lineRule="auto"/>
        <w:jc w:val="left"/>
      </w:pPr>
      <w:r>
        <w:rPr>
          <w:i w:val="0"/>
        </w:rPr>
        <w:t xml:space="preserve">Lakra, W. S., Sarkar, U. K., Kumar, R. S., Pandey, A., Dubey, V. K., &amp; Gusain, O. P. (2010). Fish diversity, habitat ecology and their conservation and management issues of a tropical river in the Ganga basin, India. </w:t>
      </w:r>
      <w:r>
        <w:rPr>
          <w:i/>
        </w:rPr>
        <w:t>The Environmentalist, 30</w:t>
      </w:r>
      <w:r>
        <w:rPr>
          <w:i w:val="0"/>
        </w:rPr>
        <w:t xml:space="preserve">(4), 306–319. </w:t>
      </w:r>
      <w:hyperlink r:id="rId42">
        <w:r>
          <w:rPr>
            <w:color w:val="000000"/>
            <w:u w:val="single"/>
          </w:rPr>
          <w:t xml:space="preserve">https://doi.org/10.1007/s10669-010-9277-6</w:t>
        </w:r>
      </w:hyperlink>
    </w:p>
    <w:p w14:paraId="7E58DA63" w14:textId="77777777" w:rsidR="009F2EB1" w:rsidRPr="00F919C7" w:rsidRDefault="00000000" w:rsidP="00BF61DF">
      <w:pPr>
        <w:numPr>
          <w:ilvl w:val="0"/>
          <w:numId w:val="2"/>
        </w:numPr>
        <w:spacing w:after="0" w:before="0" w:line="240" w:lineRule="auto"/>
        <w:jc w:val="left"/>
      </w:pPr>
      <w:r>
        <w:rPr>
          <w:i w:val="0"/>
        </w:rPr>
        <w:t xml:space="preserve">Lianthuamluaia, L., Mishal, P., Panda, D., Sarkar, U. K., Kumar, V., Sandhya, K. M., Karnatak, G., Kumari, S., Bera, A. K., Das, S., &amp; Ali, Y. (2019). Understanding spatial and temporal patterns of fish diversity and assemblage structure vis-à-vis environmental parameters in a tropical Indian reservoir. </w:t>
      </w:r>
      <w:r>
        <w:rPr>
          <w:i/>
        </w:rPr>
        <w:t>Environmental Science and Pollution Research, 26</w:t>
      </w:r>
      <w:r>
        <w:rPr>
          <w:i w:val="0"/>
        </w:rPr>
        <w:t xml:space="preserve">, 9089–9098. </w:t>
      </w:r>
      <w:hyperlink r:id="rId43">
        <w:r>
          <w:rPr>
            <w:color w:val="000000"/>
            <w:u w:val="single"/>
          </w:rPr>
          <w:t xml:space="preserve">https://doi.org/10.1007/s11356-019-04305-z</w:t>
        </w:r>
      </w:hyperlink>
    </w:p>
    <w:p w14:paraId="31BF0E76" w14:textId="77777777" w:rsidR="009F2EB1" w:rsidRPr="00F919C7" w:rsidRDefault="00000000" w:rsidP="00BF61DF">
      <w:pPr>
        <w:numPr>
          <w:ilvl w:val="0"/>
          <w:numId w:val="2"/>
        </w:numPr>
        <w:spacing w:after="0" w:before="0" w:line="240" w:lineRule="auto"/>
        <w:jc w:val="left"/>
      </w:pPr>
      <w:r>
        <w:rPr>
          <w:i w:val="0"/>
        </w:rPr>
        <w:t xml:space="preserve">Ministry of Environment and Forests, Government of India. (2014). </w:t>
      </w:r>
      <w:r>
        <w:rPr>
          <w:i/>
        </w:rPr>
        <w:t>India’s fifth national report to the Convention on Biological Diversity</w:t>
      </w:r>
      <w:r>
        <w:rPr>
          <w:i w:val="0"/>
        </w:rPr>
        <w:t xml:space="preserve">. Wildlife Institute of India. </w:t>
      </w:r>
      <w:hyperlink r:id="rId44">
        <w:r>
          <w:rPr>
            <w:color w:val="000000"/>
            <w:u w:val="single"/>
          </w:rPr>
          <w:t xml:space="preserve">https://digitalrepository.wii.gov.in/handle/123456789/1046</w:t>
        </w:r>
      </w:hyperlink>
    </w:p>
    <w:p w14:paraId="099AA082" w14:textId="77777777" w:rsidR="009F2EB1" w:rsidRPr="00F919C7" w:rsidRDefault="00000000" w:rsidP="00BF61DF">
      <w:pPr>
        <w:numPr>
          <w:ilvl w:val="0"/>
          <w:numId w:val="2"/>
        </w:numPr>
        <w:spacing w:after="0" w:before="0" w:line="240" w:lineRule="auto"/>
        <w:jc w:val="left"/>
      </w:pPr>
      <w:r>
        <w:rPr>
          <w:i w:val="0"/>
        </w:rPr>
        <w:t xml:space="preserve">Mondal, R., &amp; Bhat, A. (2020). Temporal and environmental drivers of fish-community structure in tropical streams from two contrasting regions in India. </w:t>
      </w:r>
      <w:r>
        <w:rPr>
          <w:i/>
        </w:rPr>
        <w:t>PLOS ONE, 15</w:t>
      </w:r>
      <w:r>
        <w:rPr>
          <w:i w:val="0"/>
        </w:rPr>
        <w:t xml:space="preserve">(4), e0227354. </w:t>
      </w:r>
      <w:hyperlink r:id="rId45">
        <w:r>
          <w:rPr>
            <w:color w:val="000000"/>
            <w:u w:val="single"/>
          </w:rPr>
          <w:t xml:space="preserve">https://doi.org/10.1371/journal.pone.0227354</w:t>
        </w:r>
      </w:hyperlink>
    </w:p>
    <w:p w14:paraId="0C0C5453" w14:textId="77777777" w:rsidR="009F2EB1" w:rsidRPr="00F919C7" w:rsidRDefault="00000000" w:rsidP="00BF61DF">
      <w:pPr>
        <w:numPr>
          <w:ilvl w:val="0"/>
          <w:numId w:val="2"/>
        </w:numPr>
        <w:spacing w:after="0" w:before="0" w:line="240" w:lineRule="auto"/>
        <w:jc w:val="left"/>
      </w:pPr>
      <w:r>
        <w:rPr>
          <w:i w:val="0"/>
        </w:rPr>
        <w:t xml:space="preserve">Nimasow, G., Mahato, R., Abujam, S., &amp; Das, D. N. (2025). Spatio-temporal dynamics of fish communities and habitat conditions in the Bichom River Basin. </w:t>
      </w:r>
      <w:r>
        <w:rPr>
          <w:i/>
        </w:rPr>
        <w:t>Environmental Monitoring and Assessment, 197</w:t>
      </w:r>
      <w:r>
        <w:rPr>
          <w:i w:val="0"/>
        </w:rPr>
        <w:t xml:space="preserve">, Article 529. </w:t>
      </w:r>
      <w:hyperlink r:id="rId25">
        <w:r>
          <w:rPr>
            <w:color w:val="000000"/>
            <w:u w:val="single"/>
          </w:rPr>
          <w:t xml:space="preserve">https://doi.org/10.1007/s10661-025-13936-4</w:t>
        </w:r>
      </w:hyperlink>
    </w:p>
    <w:p w14:paraId="500BB75D" w14:textId="77777777" w:rsidR="009F2EB1" w:rsidRPr="00F919C7" w:rsidRDefault="00000000" w:rsidP="00BF61DF">
      <w:pPr>
        <w:numPr>
          <w:ilvl w:val="0"/>
          <w:numId w:val="2"/>
        </w:numPr>
        <w:spacing w:after="0" w:before="0" w:line="240" w:lineRule="auto"/>
        <w:jc w:val="left"/>
      </w:pPr>
      <w:r>
        <w:rPr>
          <w:i w:val="0"/>
        </w:rPr>
        <w:t xml:space="preserve">Pathak, A. K., Sarkar, U. K., Dayal, R., &amp; Singh, S. P. (2019). UPFBase—A freshwater fish diversity database of Uttar Pradesh, India. </w:t>
      </w:r>
      <w:r>
        <w:rPr>
          <w:i/>
        </w:rPr>
        <w:t>The Indian Journal of Animal Sciences, 89</w:t>
      </w:r>
      <w:r>
        <w:rPr>
          <w:i w:val="0"/>
        </w:rPr>
        <w:t xml:space="preserve">(3), 347–354. </w:t>
      </w:r>
      <w:hyperlink r:id="rId46">
        <w:r>
          <w:rPr>
            <w:color w:val="000000"/>
            <w:u w:val="single"/>
          </w:rPr>
          <w:t xml:space="preserve">https://doi.org/10.56093/ijans.v89i3.88103</w:t>
        </w:r>
      </w:hyperlink>
    </w:p>
    <w:p w14:paraId="6C864200" w14:textId="77777777" w:rsidR="009F2EB1" w:rsidRPr="00F919C7" w:rsidRDefault="00000000" w:rsidP="00BF61DF">
      <w:pPr>
        <w:numPr>
          <w:ilvl w:val="0"/>
          <w:numId w:val="2"/>
        </w:numPr>
        <w:spacing w:after="0" w:before="0" w:line="240" w:lineRule="auto"/>
        <w:jc w:val="left"/>
      </w:pPr>
      <w:r>
        <w:rPr>
          <w:i w:val="0"/>
        </w:rPr>
        <w:t xml:space="preserve">Sarkar, U. K., Pathak, A. K., Sinha, R. K., Sivakumar, K., Pandian, A. K., Pandey, A., Dubey, V. K., &amp; Lakra, W. S. (2012). Freshwater fish biodiversity in the River Ganga (India): Changing pattern, threats and conservation perspectives. </w:t>
      </w:r>
      <w:r>
        <w:rPr>
          <w:i/>
        </w:rPr>
        <w:t>Reviews in Fish Biology and Fisheries, 22</w:t>
      </w:r>
      <w:r>
        <w:rPr>
          <w:i w:val="0"/>
        </w:rPr>
        <w:t xml:space="preserve">, 251–272. </w:t>
      </w:r>
      <w:hyperlink r:id="rId47">
        <w:r>
          <w:rPr>
            <w:color w:val="000000"/>
            <w:u w:val="single"/>
          </w:rPr>
          <w:t xml:space="preserve">https://doi.org/10.1007/s11160-011-9218-6</w:t>
        </w:r>
      </w:hyperlink>
    </w:p>
    <w:p w14:paraId="759EE452" w14:textId="77777777" w:rsidR="009F2EB1" w:rsidRPr="00F919C7" w:rsidRDefault="00000000" w:rsidP="00BF61DF">
      <w:pPr>
        <w:numPr>
          <w:ilvl w:val="0"/>
          <w:numId w:val="2"/>
        </w:numPr>
        <w:spacing w:after="0" w:before="0" w:line="240" w:lineRule="auto"/>
        <w:jc w:val="left"/>
      </w:pPr>
      <w:r>
        <w:rPr>
          <w:i w:val="0"/>
        </w:rPr>
        <w:t xml:space="preserve">Talwar, P. K., &amp; Jhingran, A. G. (1991). </w:t>
      </w:r>
      <w:r>
        <w:rPr>
          <w:i/>
        </w:rPr>
        <w:t>Inland fishes of India and adjacent countries</w:t>
      </w:r>
      <w:r>
        <w:rPr>
          <w:i w:val="0"/>
        </w:rPr>
        <w:t xml:space="preserve"> (Vols. 1–2). Oxford &amp; IBH Publishing. </w:t>
      </w:r>
      <w:hyperlink r:id="rId48">
        <w:r>
          <w:rPr>
            <w:color w:val="000000"/>
            <w:u w:val="single"/>
          </w:rPr>
          <w:t xml:space="preserve">https://agris.fao.org/search/en/providers/122535/records/65ddd36cb766d82b18fa0e90</w:t>
        </w:r>
      </w:hyperlink>
    </w:p>
    <w:p w14:paraId="6BAA1466" w14:textId="77777777" w:rsidR="009F2EB1" w:rsidRPr="00F919C7" w:rsidRDefault="00000000" w:rsidP="00BF61DF">
      <w:pPr>
        <w:numPr>
          <w:ilvl w:val="0"/>
          <w:numId w:val="2"/>
        </w:numPr>
        <w:spacing w:after="0" w:before="0" w:line="240" w:lineRule="auto"/>
        <w:jc w:val="left"/>
      </w:pPr>
      <w:r>
        <w:rPr>
          <w:i w:val="0"/>
        </w:rPr>
        <w:t>Tiwari, P. K., Saxena, S., &amp; Dubey, S. (2024). Study on the breeding ground of mahseer (</w:t>
      </w:r>
      <w:r>
        <w:rPr>
          <w:i/>
        </w:rPr>
        <w:t>Tor tor</w:t>
      </w:r>
      <w:r>
        <w:rPr>
          <w:i w:val="0"/>
        </w:rPr>
        <w:t xml:space="preserve">) in the Narmada River of Jabalpur District, India. </w:t>
      </w:r>
      <w:r>
        <w:rPr>
          <w:i/>
        </w:rPr>
        <w:t>Journal of Global Ecology and Environment, 20</w:t>
      </w:r>
      <w:r>
        <w:rPr>
          <w:i w:val="0"/>
        </w:rPr>
        <w:t xml:space="preserve">(2), 42–47. </w:t>
      </w:r>
      <w:hyperlink r:id="rId26">
        <w:r>
          <w:rPr>
            <w:color w:val="000000"/>
            <w:u w:val="single"/>
          </w:rPr>
          <w:t xml:space="preserve">https://doi.org/10.56557/jogee/2024/v20i28786</w:t>
        </w:r>
      </w:hyperlink>
    </w:p>
    <w:p w14:paraId="76DD7B92" w14:textId="77777777" w:rsidR="009F2EB1" w:rsidRPr="00F919C7" w:rsidRDefault="00000000" w:rsidP="00BF61DF">
      <w:pPr>
        <w:numPr>
          <w:ilvl w:val="0"/>
          <w:numId w:val="2"/>
        </w:numPr>
        <w:spacing w:after="0" w:before="0" w:line="240" w:lineRule="auto"/>
        <w:jc w:val="left"/>
      </w:pPr>
      <w:r>
        <w:rPr>
          <w:i w:val="0"/>
        </w:rPr>
        <w:t xml:space="preserve">Wanjari, R. N., Shah, T. H., Telvekar, P., Bhat, F. A., Ramteke, K. K., Abass, Z., Mathialagan, D., Rashid, I., Jahan, A., Banno, H., Bharda, S., Magloo, A. H., &amp; Somasundharam, I. (2025). Exploring temporal and spatial patterns of fish diversity in a tropical reservoir in relation to environmental parameters. </w:t>
      </w:r>
      <w:r>
        <w:rPr>
          <w:i/>
        </w:rPr>
        <w:t>Heliyon, 11</w:t>
      </w:r>
      <w:r>
        <w:rPr>
          <w:i w:val="0"/>
        </w:rPr>
        <w:t xml:space="preserve">(14), e43826. </w:t>
      </w:r>
      <w:hyperlink r:id="rId49">
        <w:r>
          <w:rPr>
            <w:color w:val="000000"/>
            <w:u w:val="single"/>
          </w:rPr>
          <w:t xml:space="preserve">https://doi.org/10.1016/j.heliyon.2025.e43826</w:t>
        </w:r>
      </w:hyperlink>
    </w:p>
    <w:sectPr w:rsidR="009F2EB1" w:rsidRPr="00F919C7">
      <w:headerReference w:type="default" r:id="rId27"/>
      <w:footerReference w:type="default" r:id="rId28"/>
      <w:pgSz w:w="11906" w:h="16838"/>
      <w:pgMar w:top="1440" w:right="1170" w:bottom="126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248B" w14:textId="77777777" w:rsidR="00CD010B" w:rsidRDefault="00CD010B">
      <w:pPr>
        <w:spacing w:after="0" w:line="240" w:lineRule="auto"/>
      </w:pPr>
      <w:r>
        <w:separator/>
      </w:r>
    </w:p>
  </w:endnote>
  <w:endnote w:type="continuationSeparator" w:id="0">
    <w:p w14:paraId="760649C1" w14:textId="77777777" w:rsidR="00CD010B" w:rsidRDefault="00CD0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ＭＳ ゴシック">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7B66" w14:textId="77777777" w:rsidR="009F2EB1" w:rsidRDefault="009F2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87B3" w14:textId="77777777" w:rsidR="00CD010B" w:rsidRDefault="00CD010B">
      <w:pPr>
        <w:spacing w:after="0" w:line="240" w:lineRule="auto"/>
      </w:pPr>
      <w:r>
        <w:separator/>
      </w:r>
    </w:p>
  </w:footnote>
  <w:footnote w:type="continuationSeparator" w:id="0">
    <w:p w14:paraId="61E88D43" w14:textId="77777777" w:rsidR="00CD010B" w:rsidRDefault="00CD0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7BBD" w14:textId="77777777" w:rsidR="009F2EB1" w:rsidRDefault="00000000">
    <w:pPr>
      <w:pStyle w:val="Header"/>
      <w:rPr>
        <w:lang w:eastAsia="en-US"/>
      </w:rPr>
    </w:pPr>
    <w:r>
      <w:rPr>
        <w:lang w:eastAsia="en-US"/>
      </w:rPr>
      <w:pict w14:anchorId="0349C2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438064" o:spid="_x0000_s1025" type="#_x0000_t136" style="position:absolute;margin-left:0;margin-top:0;width:551.8pt;height:84.1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E0A0E"/>
    <w:multiLevelType w:val="hybridMultilevel"/>
    <w:tmpl w:val="EA8CB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20649B"/>
    <w:multiLevelType w:val="multilevel"/>
    <w:tmpl w:val="ACD87776"/>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26463953">
    <w:abstractNumId w:val="1"/>
  </w:num>
  <w:num w:numId="2" w16cid:durableId="14701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2EB1"/>
    <w:rsid w:val="007E3487"/>
    <w:rsid w:val="00844EDB"/>
    <w:rsid w:val="008E36B5"/>
    <w:rsid w:val="009F2EB1"/>
    <w:rsid w:val="00B309B6"/>
    <w:rsid w:val="00BF61DF"/>
    <w:rsid w:val="00CD010B"/>
    <w:rsid w:val="00F50598"/>
    <w:rsid w:val="00F919C7"/>
    <w:rsid w:val="00F97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2F12C"/>
  <w15:docId w15:val="{9688183E-CA4A-461C-8283-FDE98593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Mangal"/>
      <w:sz w:val="22"/>
      <w:szCs w:val="22"/>
      <w:lang w:eastAsia="zh-CN"/>
    </w:rPr>
  </w:style>
  <w:style w:type="paragraph" w:styleId="Heading1">
    <w:name w:val="heading 1"/>
    <w:basedOn w:val="Normal"/>
    <w:next w:val="BodyText"/>
    <w:uiPriority w:val="9"/>
    <w:qFormat/>
    <w:pPr>
      <w:numPr>
        <w:numId w:val="1"/>
      </w:numPr>
      <w:spacing w:before="280" w:after="280" w:line="240" w:lineRule="auto"/>
      <w:outlineLvl w:val="0"/>
    </w:pPr>
    <w:rPr>
      <w:rFonts w:ascii="Times New Roman" w:eastAsia="Times New Roman" w:hAnsi="Times New Roman" w:cs="Times New Roman"/>
      <w:b/>
      <w:kern w:val="2"/>
      <w:sz w:val="48"/>
      <w:szCs w:val="48"/>
    </w:rPr>
  </w:style>
  <w:style w:type="paragraph" w:styleId="Heading3">
    <w:name w:val="heading 3"/>
    <w:basedOn w:val="Normal"/>
    <w:next w:val="Normal"/>
    <w:uiPriority w:val="9"/>
    <w:unhideWhenUsed/>
    <w:qFormat/>
    <w:pPr>
      <w:keepNext/>
      <w:keepLines/>
      <w:numPr>
        <w:ilvl w:val="2"/>
        <w:numId w:val="1"/>
      </w:numPr>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style>
  <w:style w:type="character" w:customStyle="1" w:styleId="WW8Num4z0">
    <w:name w:val="WW8Num4z0"/>
    <w:qFormat/>
    <w:rPr>
      <w:rFonts w:ascii="Symbol" w:eastAsia="Calibri" w:hAnsi="Symbol" w:cs="Manga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Calibri"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styleId="Emphasis">
    <w:name w:val="Emphasis"/>
    <w:qFormat/>
    <w:rPr>
      <w:rFonts w:cs="Times New Roman"/>
      <w:i/>
      <w:iCs/>
    </w:rPr>
  </w:style>
  <w:style w:type="character" w:styleId="Hyperlink">
    <w:name w:val="Hyperlink"/>
    <w:rPr>
      <w:color w:val="0000FF"/>
      <w:u w:val="single"/>
    </w:rPr>
  </w:style>
  <w:style w:type="character" w:styleId="Strong">
    <w:name w:val="Strong"/>
    <w:qFormat/>
    <w:rPr>
      <w:b/>
      <w:bCs/>
    </w:rPr>
  </w:style>
  <w:style w:type="character" w:customStyle="1" w:styleId="Heading1Char">
    <w:name w:val="Heading 1 Char"/>
    <w:qFormat/>
    <w:rPr>
      <w:rFonts w:ascii="Times New Roman" w:eastAsia="Times New Roman" w:hAnsi="Times New Roman" w:cs="Times New Roman"/>
      <w:b/>
      <w:kern w:val="2"/>
      <w:sz w:val="48"/>
      <w:szCs w:val="48"/>
    </w:rPr>
  </w:style>
  <w:style w:type="character" w:customStyle="1" w:styleId="sciname">
    <w:name w:val="sciname"/>
    <w:basedOn w:val="DefaultParagraphFont"/>
    <w:qFormat/>
  </w:style>
  <w:style w:type="character" w:customStyle="1" w:styleId="apple-converted-space">
    <w:name w:val="apple-converted-space"/>
    <w:basedOn w:val="DefaultParagraphFont"/>
    <w:qFormat/>
  </w:style>
  <w:style w:type="character" w:customStyle="1" w:styleId="sheader6">
    <w:name w:val="sheader6"/>
    <w:basedOn w:val="DefaultParagraphFont"/>
    <w:qFormat/>
  </w:style>
  <w:style w:type="character" w:customStyle="1" w:styleId="slabel1">
    <w:name w:val="slabel1"/>
    <w:basedOn w:val="DefaultParagraphFont"/>
    <w:qFormat/>
  </w:style>
  <w:style w:type="character" w:customStyle="1" w:styleId="BalloonTextChar">
    <w:name w:val="Balloon Text Char"/>
    <w:qFormat/>
    <w:rPr>
      <w:rFonts w:ascii="Tahoma" w:hAnsi="Tahoma" w:cs="Tahoma"/>
      <w:color w:val="000000"/>
      <w:sz w:val="16"/>
      <w:szCs w:val="16"/>
    </w:rPr>
  </w:style>
  <w:style w:type="character" w:styleId="CommentReference">
    <w:name w:val="annotation reference"/>
    <w:qFormat/>
    <w:rPr>
      <w:sz w:val="16"/>
      <w:szCs w:val="16"/>
    </w:rPr>
  </w:style>
  <w:style w:type="character" w:customStyle="1" w:styleId="CommentTextChar">
    <w:name w:val="Comment Text Char"/>
    <w:qFormat/>
    <w:rPr>
      <w:sz w:val="20"/>
      <w:szCs w:val="20"/>
    </w:rPr>
  </w:style>
  <w:style w:type="character" w:customStyle="1" w:styleId="CommentSubjectChar">
    <w:name w:val="Comment Subject Char"/>
    <w:qFormat/>
    <w:rPr>
      <w:b/>
      <w:bCs/>
      <w:sz w:val="20"/>
      <w:szCs w:val="20"/>
    </w:rPr>
  </w:style>
  <w:style w:type="character" w:customStyle="1" w:styleId="yiv5838135523">
    <w:name w:val="yiv5838135523"/>
    <w:basedOn w:val="DefaultParagraphFont"/>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odyTextChar">
    <w:name w:val="Body Text Char"/>
    <w:basedOn w:val="DefaultParagraphFont"/>
    <w:qFormat/>
  </w:style>
  <w:style w:type="character" w:customStyle="1" w:styleId="Heading3Char">
    <w:name w:val="Heading 3 Char"/>
    <w:qFormat/>
    <w:rPr>
      <w:rFonts w:ascii="Cambria" w:eastAsia="Times New Roman" w:hAnsi="Cambria" w:cs="Mangal"/>
      <w:b/>
      <w:bCs/>
      <w:color w:val="4F81BD"/>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BalloonText">
    <w:name w:val="Balloon Text"/>
    <w:basedOn w:val="Normal"/>
    <w:qFormat/>
    <w:pPr>
      <w:spacing w:after="0" w:line="240" w:lineRule="auto"/>
    </w:pPr>
    <w:rPr>
      <w:rFonts w:ascii="Tahoma" w:hAnsi="Tahoma" w:cs="Tahoma"/>
      <w:color w:val="000000"/>
      <w:sz w:val="16"/>
      <w:szCs w:val="16"/>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next w:val="CommentText"/>
    <w:qFormat/>
    <w:rPr>
      <w:b/>
      <w:bCs/>
    </w:rPr>
  </w:style>
  <w:style w:type="paragraph" w:styleId="ListParagraph">
    <w:name w:val="List Paragraph"/>
    <w:basedOn w:val="Normal"/>
    <w:qFormat/>
    <w:pPr>
      <w:ind w:left="720"/>
      <w:contextualSpacing/>
    </w:pPr>
  </w:style>
  <w:style w:type="paragraph" w:styleId="Revision">
    <w:name w:val="Revision"/>
    <w:qFormat/>
    <w:pPr>
      <w:suppressAutoHyphens/>
    </w:pPr>
    <w:rPr>
      <w:rFonts w:ascii="Calibri" w:eastAsia="Calibri" w:hAnsi="Calibri" w:cs="Mangal"/>
      <w:sz w:val="22"/>
      <w:szCs w:val="22"/>
      <w:lang w:eastAsia="zh-CN"/>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NormalWeb">
    <w:name w:val="Normal (Web)"/>
    <w:basedOn w:val="Normal"/>
    <w:qFormat/>
    <w:pPr>
      <w:spacing w:before="280" w:after="280" w:line="240" w:lineRule="auto"/>
    </w:pPr>
    <w:rPr>
      <w:rFonts w:ascii="Times New Roman" w:eastAsia="Times New Roman" w:hAnsi="Times New Roman" w:cs="Times New Roman"/>
      <w:sz w:val="24"/>
      <w:szCs w:val="24"/>
      <w:lang w:val="en-ZW" w:bidi="hi-IN"/>
    </w:rPr>
  </w:style>
  <w:style w:type="paragraph" w:customStyle="1" w:styleId="isselectedend">
    <w:name w:val="isselectedend"/>
    <w:basedOn w:val="Normal"/>
    <w:qFormat/>
    <w:pPr>
      <w:spacing w:before="280" w:after="280" w:line="240" w:lineRule="auto"/>
    </w:pPr>
    <w:rPr>
      <w:rFonts w:ascii="Times New Roman" w:eastAsia="Times New Roman" w:hAnsi="Times New Roman" w:cs="Times New Roman"/>
      <w:sz w:val="24"/>
      <w:szCs w:val="24"/>
      <w:lang w:val="en-IN" w:bidi="hi-I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yperlink" Target="https://doi.org/10.1038/nature11148" TargetMode="External"/><Relationship Id="rId26" Type="http://schemas.openxmlformats.org/officeDocument/2006/relationships/hyperlink" Target="https://doi.org/10.56557/jogee/2024/v20i28786" TargetMode="External"/><Relationship Id="rId3" Type="http://schemas.openxmlformats.org/officeDocument/2006/relationships/settings" Target="settings.xml"/><Relationship Id="rId21" Type="http://schemas.openxmlformats.org/officeDocument/2006/relationships/hyperlink" Target="https://researcharchive.calacademy.org/research/ichthyology/catalog/fishcatmain.asp" TargetMode="Externa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yperlink" Target="https://doi.org/10.2307/1942268" TargetMode="External"/><Relationship Id="rId25" Type="http://schemas.openxmlformats.org/officeDocument/2006/relationships/hyperlink" Target="https://doi.org/10.1007/s10661-025-13936-4"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doi.org/10.1111/j.1442-9993.1993.tb00438.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s://doi.org/10.11609/jott.9181.17.2.26504-26514"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www.iucnredlist.org" TargetMode="External"/><Relationship Id="rId28"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hyperlink" Target="https://doi.org/10.9734/ajfar/2025/v27i8980"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yperlink" Target="https://www.fishbase.org" TargetMode="External"/><Relationship Id="rId27" Type="http://schemas.openxmlformats.org/officeDocument/2006/relationships/header" Target="header1.xml"/><Relationship Id="rId30" Type="http://schemas.openxmlformats.org/officeDocument/2006/relationships/theme" Target="theme/theme1.xml"/><Relationship Id="rId31" Type="http://schemas.openxmlformats.org/officeDocument/2006/relationships/hyperlink" Target="https://doi.org/10.21077/ijf.2025.72.2.150451-03" TargetMode="External"/><Relationship Id="rId32" Type="http://schemas.openxmlformats.org/officeDocument/2006/relationships/hyperlink" Target="https://learninghub.primer-e.com/books/permanova-for-primer-guide-to-software-and-statistical-methods/page/a2-references" TargetMode="External"/><Relationship Id="rId33" Type="http://schemas.openxmlformats.org/officeDocument/2006/relationships/hyperlink" Target="https://doi.org/10.1016/j.jembe.2008.07.009" TargetMode="External"/><Relationship Id="rId34" Type="http://schemas.openxmlformats.org/officeDocument/2006/relationships/hyperlink" Target="https://doi.org/10.21077/ijf.2024.71.3.136111-04" TargetMode="External"/><Relationship Id="rId35" Type="http://schemas.openxmlformats.org/officeDocument/2006/relationships/hyperlink" Target="https://catalog.hathitrust.org/Record/102822723" TargetMode="External"/><Relationship Id="rId36" Type="http://schemas.openxmlformats.org/officeDocument/2006/relationships/hyperlink" Target="https://www.fao.org/4/ad468e/ad468e00.htm" TargetMode="External"/><Relationship Id="rId37" Type="http://schemas.openxmlformats.org/officeDocument/2006/relationships/hyperlink" Target="https://searchworks.stanford.edu/view/12701447" TargetMode="External"/><Relationship Id="rId38" Type="http://schemas.openxmlformats.org/officeDocument/2006/relationships/hyperlink" Target="https://www.itis.gov" TargetMode="External"/><Relationship Id="rId39" Type="http://schemas.openxmlformats.org/officeDocument/2006/relationships/hyperlink" Target="https://www.currentscience.ac.in/Volumes/88/08/1316.pdf" TargetMode="External"/><Relationship Id="rId40" Type="http://schemas.openxmlformats.org/officeDocument/2006/relationships/hyperlink" Target="https://doi.org/10.26515/Fauna/1/2023/Choradata:Pisces" TargetMode="External"/><Relationship Id="rId41" Type="http://schemas.openxmlformats.org/officeDocument/2006/relationships/hyperlink" Target="https://doi.org/10.22271/j.ento.2020.v8.i6x.8078" TargetMode="External"/><Relationship Id="rId42" Type="http://schemas.openxmlformats.org/officeDocument/2006/relationships/hyperlink" Target="https://doi.org/10.1007/s10669-010-9277-6" TargetMode="External"/><Relationship Id="rId43" Type="http://schemas.openxmlformats.org/officeDocument/2006/relationships/hyperlink" Target="https://doi.org/10.1007/s11356-019-04305-z" TargetMode="External"/><Relationship Id="rId44" Type="http://schemas.openxmlformats.org/officeDocument/2006/relationships/hyperlink" Target="https://digitalrepository.wii.gov.in/handle/123456789/1046" TargetMode="External"/><Relationship Id="rId45" Type="http://schemas.openxmlformats.org/officeDocument/2006/relationships/hyperlink" Target="https://doi.org/10.1371/journal.pone.0227354" TargetMode="External"/><Relationship Id="rId46" Type="http://schemas.openxmlformats.org/officeDocument/2006/relationships/hyperlink" Target="https://doi.org/10.56093/ijans.v89i3.88103" TargetMode="External"/><Relationship Id="rId47" Type="http://schemas.openxmlformats.org/officeDocument/2006/relationships/hyperlink" Target="https://doi.org/10.1007/s11160-011-9218-6" TargetMode="External"/><Relationship Id="rId48" Type="http://schemas.openxmlformats.org/officeDocument/2006/relationships/hyperlink" Target="https://agris.fao.org/search/en/providers/122535/records/65ddd36cb766d82b18fa0e90" TargetMode="External"/><Relationship Id="rId49" Type="http://schemas.openxmlformats.org/officeDocument/2006/relationships/hyperlink" Target="https://doi.org/10.1016/j.heliyon.2025.e43826"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4215</Words>
  <Characters>24032</Characters>
  <Application>Microsoft Office Word</Application>
  <DocSecurity>0</DocSecurity>
  <Lines>200</Lines>
  <Paragraphs>56</Paragraphs>
  <ScaleCrop>false</ScaleCrop>
  <Company/>
  <LinksUpToDate>false</LinksUpToDate>
  <CharactersWithSpaces>28191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SDI 1087</cp:lastModifiedBy>
  <cp:revision>4</cp:revision>
  <dcterms:created xsi:type="dcterms:W3CDTF">2026-07-09T18:27:00Z</dcterms:created>
  <dcterms:modified xsi:type="dcterms:W3CDTF">2026-07-11T10:48:00Z</dcterms:modified>
  <dc:language>en-US</dc:language>
</cp:coreProperties>
</file>