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F78D9" w14:textId="77777777" w:rsidR="00D657C5" w:rsidRPr="005A2629" w:rsidRDefault="00D657C5" w:rsidP="000A63AD">
      <w:pPr>
        <w:pStyle w:val="ListParagraph"/>
        <w:tabs>
          <w:tab w:val="left" w:pos="5640"/>
        </w:tabs>
        <w:spacing w:after="0" w:line="276" w:lineRule="auto"/>
        <w:ind w:left="0"/>
        <w:jc w:val="center"/>
        <w:rPr>
          <w:rFonts w:ascii="Times New Roman" w:eastAsia="Times New Roman" w:hAnsi="Times New Roman" w:cs="Times New Roman"/>
          <w:b/>
          <w:bCs/>
          <w:lang w:eastAsia="en-IN"/>
        </w:rPr>
      </w:pPr>
      <w:r w:rsidRPr="005A2629">
        <w:rPr>
          <w:rFonts w:ascii="Times New Roman" w:eastAsia="Times New Roman" w:hAnsi="Times New Roman" w:cs="Times New Roman"/>
          <w:b/>
          <w:bCs/>
          <w:lang w:val="en-GB" w:eastAsia="en-IN"/>
        </w:rPr>
        <w:t>Effects of Varying Salinity on Growth Performance, Osmoregulation, Stress Physiology and Histopathological Responses of Juvenile Silver Pompano (</w:t>
      </w:r>
      <w:r w:rsidRPr="005A2629">
        <w:rPr>
          <w:rFonts w:ascii="Times New Roman" w:eastAsia="Times New Roman" w:hAnsi="Times New Roman" w:cs="Times New Roman"/>
          <w:b/>
          <w:bCs/>
          <w:i/>
          <w:iCs/>
          <w:lang w:val="en-GB" w:eastAsia="en-IN"/>
        </w:rPr>
        <w:t xml:space="preserve">Trachinotus </w:t>
      </w:r>
      <w:proofErr w:type="spellStart"/>
      <w:r w:rsidRPr="005A2629">
        <w:rPr>
          <w:rFonts w:ascii="Times New Roman" w:eastAsia="Times New Roman" w:hAnsi="Times New Roman" w:cs="Times New Roman"/>
          <w:b/>
          <w:bCs/>
          <w:i/>
          <w:iCs/>
          <w:lang w:val="en-GB" w:eastAsia="en-IN"/>
        </w:rPr>
        <w:t>blochii</w:t>
      </w:r>
      <w:proofErr w:type="spellEnd"/>
      <w:r w:rsidRPr="005A2629">
        <w:rPr>
          <w:rFonts w:ascii="Times New Roman" w:eastAsia="Times New Roman" w:hAnsi="Times New Roman" w:cs="Times New Roman"/>
          <w:b/>
          <w:bCs/>
          <w:lang w:val="en-GB" w:eastAsia="en-IN"/>
        </w:rPr>
        <w:t>) Cultured in a Periphyton-Based System</w:t>
      </w:r>
    </w:p>
    <w:p w14:paraId="017C0B5B" w14:textId="77777777" w:rsidR="00D657C5" w:rsidRPr="005A2629" w:rsidRDefault="00AB04AA" w:rsidP="00245DD9">
      <w:pPr>
        <w:pStyle w:val="ListParagraph"/>
        <w:tabs>
          <w:tab w:val="left" w:pos="5640"/>
        </w:tabs>
        <w:spacing w:after="0" w:line="360" w:lineRule="auto"/>
        <w:ind w:left="0"/>
        <w:jc w:val="both"/>
        <w:rPr>
          <w:rFonts w:ascii="Times New Roman" w:eastAsia="Times New Roman" w:hAnsi="Times New Roman" w:cs="Times New Roman"/>
          <w:b/>
          <w:bCs/>
          <w:lang w:eastAsia="en-IN"/>
        </w:rPr>
      </w:pPr>
      <w:r w:rsidRPr="005A2629">
        <w:rPr>
          <w:rFonts w:ascii="Times New Roman" w:eastAsia="Times New Roman" w:hAnsi="Times New Roman" w:cs="Times New Roman"/>
          <w:b/>
          <w:bCs/>
          <w:lang w:val="en-GB" w:eastAsia="en-IN"/>
        </w:rPr>
        <w:t>Abstract</w:t>
      </w:r>
    </w:p>
    <w:p w14:paraId="0ECC5277" w14:textId="77777777" w:rsidR="00D657C5" w:rsidRPr="005A2629" w:rsidRDefault="00D657C5" w:rsidP="00D657C5">
      <w:pPr>
        <w:pStyle w:val="ListParagraph"/>
        <w:tabs>
          <w:tab w:val="left" w:pos="5640"/>
        </w:tabs>
        <w:spacing w:after="0" w:line="276" w:lineRule="auto"/>
        <w:ind w:left="0"/>
        <w:jc w:val="both"/>
        <w:rPr>
          <w:rFonts w:ascii="Times New Roman" w:eastAsia="Times New Roman" w:hAnsi="Times New Roman" w:cs="Times New Roman"/>
          <w:lang w:eastAsia="en-IN"/>
        </w:rPr>
      </w:pPr>
      <w:r w:rsidRPr="005A2629">
        <w:rPr>
          <w:rFonts w:ascii="Times New Roman" w:hAnsi="Times New Roman"/>
          <w:lang w:val="en-GB"/>
        </w:rPr>
        <w:t>The present study evaluated the effects of different salinity levels on the growth performance, osmoregulatory responses, stress physiology, and histopathological alterations of juvenile silver pompano (</w:t>
      </w:r>
      <w:r w:rsidRPr="005A2629">
        <w:rPr>
          <w:rFonts w:ascii="Times New Roman" w:hAnsi="Times New Roman"/>
          <w:i/>
          <w:lang w:val="en-GB"/>
        </w:rPr>
        <w:t>Trachinotus blochii</w:t>
      </w:r>
      <w:r w:rsidRPr="005A2629">
        <w:rPr>
          <w:rFonts w:ascii="Times New Roman" w:hAnsi="Times New Roman"/>
          <w:lang w:val="en-GB"/>
        </w:rPr>
        <w:t>) cultured in a periphyton-based system. A 60-day experiment was conducted using four salinity treatments (35, 25, 15, and 5 ppt), each maintained in triplicate under identical periphyton-based culture conditions. Fish growth, plasma cortisol, plasma glucose, haematocrit, antioxidant enzyme activities (CAT, SOD, and GPx), and histological changes in the gill and liver tissues were assessed. Although minor numerical differences were observed in initial body weight among the treatments, one-way ANOVA indicated that these differences were not statistically significant (P &gt; 0.05), confirming the comparability of the treatment groups at stocking. At the end of the experimental period, fish reared at 15 ppt exhibited significantly greater weight gain (13.12 ± 0.53ᵃ g), weight gain percentage (615.77 ± 104.56ᵃ%), and specific growth rate (11.66 ± 0.23ᵃ) than fish maintained at the other salinity levels (P &lt; 0.05). Physiological stress increased progressively as salinity decreased, as evidenced by significantly elevated plasma cortisol, plasma glucose, and antioxidant enzyme activities in fish reared at 5 ppt. Histopathological examination further revealed severe hepatic degeneration, cytoplasmic vacuolation, focal necrosis, haemorrhage, epithelial hyperplasia, and lamellar alterations in fish exposed to 5 ppt, whereas fish maintained at 15 ppt showed only mild tissue alterations and well-preserved organ architecture. The findings indicate that rearing juvenile silver pompano at 15 ppt provides favourable conditions for growth while minimising physiological stress and tissue damage.</w:t>
      </w:r>
    </w:p>
    <w:p w14:paraId="4F845FBF" w14:textId="6A77A886" w:rsidR="00613D73" w:rsidRDefault="009201A6" w:rsidP="00752FD7">
      <w:pPr>
        <w:pStyle w:val="ListParagraph"/>
        <w:spacing w:after="0" w:line="276" w:lineRule="auto"/>
        <w:ind w:left="0"/>
        <w:jc w:val="both"/>
      </w:pPr>
      <w:r w:rsidRPr="005A2629">
        <w:rPr>
          <w:rFonts w:ascii="Times New Roman" w:hAnsi="Times New Roman" w:cs="Times New Roman"/>
          <w:b/>
          <w:bCs/>
          <w:lang w:val="en-GB"/>
        </w:rPr>
        <w:t>Keywords:</w:t>
      </w:r>
      <w:r w:rsidRPr="005A2629">
        <w:rPr>
          <w:rFonts w:ascii="Times New Roman" w:hAnsi="Times New Roman" w:cs="Times New Roman"/>
          <w:lang w:val="en-GB"/>
        </w:rPr>
        <w:t xml:space="preserve"> </w:t>
      </w:r>
      <w:r w:rsidR="00CD0E93">
        <w:rPr>
          <w:rStyle w:val="Emphasis"/>
        </w:rPr>
        <w:t xml:space="preserve">Trachinotus </w:t>
      </w:r>
      <w:proofErr w:type="spellStart"/>
      <w:r w:rsidR="00CD0E93">
        <w:rPr>
          <w:rStyle w:val="Emphasis"/>
        </w:rPr>
        <w:t>blochii</w:t>
      </w:r>
      <w:proofErr w:type="spellEnd"/>
      <w:r w:rsidR="00CD0E93">
        <w:t>; salinity acclimatisation; growth performance; osmoregulation; physiological stress; antioxidant enzymes; gill histopathology; liver histopathology; periphyton-based culture</w:t>
      </w:r>
    </w:p>
    <w:p w14:paraId="2403B459" w14:textId="77777777" w:rsidR="00EE4E0F" w:rsidRPr="005A2629" w:rsidRDefault="00EE4E0F" w:rsidP="00752FD7">
      <w:pPr>
        <w:pStyle w:val="ListParagraph"/>
        <w:spacing w:after="0" w:line="276" w:lineRule="auto"/>
        <w:ind w:left="0"/>
        <w:jc w:val="both"/>
        <w:rPr>
          <w:rFonts w:ascii="Times New Roman" w:hAnsi="Times New Roman" w:cs="Times New Roman"/>
        </w:rPr>
      </w:pPr>
    </w:p>
    <w:p w14:paraId="2459F06D" w14:textId="77777777" w:rsidR="00AB04AA" w:rsidRPr="005A2629" w:rsidRDefault="00752FD7" w:rsidP="00752FD7">
      <w:pPr>
        <w:pStyle w:val="ListParagraph"/>
        <w:spacing w:after="0" w:line="276" w:lineRule="auto"/>
        <w:ind w:left="0"/>
        <w:jc w:val="both"/>
        <w:rPr>
          <w:rFonts w:ascii="Times New Roman" w:hAnsi="Times New Roman" w:cs="Times New Roman"/>
          <w:b/>
          <w:bCs/>
        </w:rPr>
      </w:pPr>
      <w:r w:rsidRPr="005A2629">
        <w:rPr>
          <w:rFonts w:ascii="Times New Roman" w:hAnsi="Times New Roman" w:cs="Times New Roman"/>
          <w:b/>
          <w:bCs/>
          <w:lang w:val="en-GB"/>
        </w:rPr>
        <w:t>Introduction</w:t>
      </w:r>
    </w:p>
    <w:p w14:paraId="29695313" w14:textId="77777777" w:rsidR="00D657C5" w:rsidRPr="005A2629" w:rsidRDefault="00A07800" w:rsidP="00D657C5">
      <w:pPr>
        <w:spacing w:line="276" w:lineRule="auto"/>
        <w:ind w:right="57"/>
        <w:jc w:val="both"/>
        <w:rPr>
          <w:rFonts w:ascii="Times New Roman" w:hAnsi="Times New Roman" w:cs="Times New Roman"/>
          <w:bCs/>
          <w:sz w:val="24"/>
          <w:szCs w:val="24"/>
        </w:rPr>
      </w:pPr>
      <w:r w:rsidRPr="005A2629">
        <w:rPr>
          <w:rFonts w:ascii="Times New Roman" w:hAnsi="Times New Roman"/>
          <w:sz w:val="24"/>
          <w:lang w:val="en-GB"/>
        </w:rPr>
        <w:t>Silver pompano (</w:t>
      </w:r>
      <w:r w:rsidRPr="005A2629">
        <w:rPr>
          <w:rFonts w:ascii="Times New Roman" w:hAnsi="Times New Roman"/>
          <w:i/>
          <w:sz w:val="24"/>
          <w:lang w:val="en-GB"/>
        </w:rPr>
        <w:t>Trachinotus blochii</w:t>
      </w:r>
      <w:r w:rsidRPr="005A2629">
        <w:rPr>
          <w:rFonts w:ascii="Times New Roman" w:hAnsi="Times New Roman"/>
          <w:sz w:val="24"/>
          <w:lang w:val="en-GB"/>
        </w:rPr>
        <w:t xml:space="preserve"> Lacepède, 1801) is a commercially important marine finfish belonging to the family Carangidae. The species has gained considerable attention in aquaculture because of its rapid growth, excellent flesh quality, high consumer demand, and adaptability to a wide range of environmental conditions. Its euryhaline nature enables it to tolerate different salinity levels following gradual acclimatisation, making it a suitable candidate for coastal and inland brackish-water aquaculture. However, identifying the optimum culture salinity is essential for maximising growth performance, maintaining physiological homeostasis, and improving production efficiency. The experiment was conducted for 60 days at the Mariculture Research Farm Facility (MRFF), Fisheries College and Research Institute, Thoothukudi, Tamil Nadu, India, to evaluate the effects of different salinity levels on the growth performance, osmoregulatory responses, stress physiology, and histopathological alterations of juvenile silver pompano (</w:t>
      </w:r>
      <w:r w:rsidRPr="005A2629">
        <w:rPr>
          <w:rFonts w:ascii="Times New Roman" w:hAnsi="Times New Roman"/>
          <w:i/>
          <w:sz w:val="24"/>
          <w:lang w:val="en-GB"/>
        </w:rPr>
        <w:t>Trachinotus blochii</w:t>
      </w:r>
      <w:r w:rsidRPr="005A2629">
        <w:rPr>
          <w:rFonts w:ascii="Times New Roman" w:hAnsi="Times New Roman"/>
          <w:sz w:val="24"/>
          <w:lang w:val="en-GB"/>
        </w:rPr>
        <w:t xml:space="preserve">) cultured in a periphyton-based system. A total of 1,000 juvenile silver pompano, with an initial mean body weight of 0.382 ± 0.213 g, were procured from the Rajiv Gandhi Centre for Sustainable </w:t>
      </w:r>
      <w:r w:rsidRPr="005A2629">
        <w:rPr>
          <w:rFonts w:ascii="Times New Roman" w:hAnsi="Times New Roman"/>
          <w:sz w:val="24"/>
          <w:lang w:val="en-GB"/>
        </w:rPr>
        <w:lastRenderedPageBreak/>
        <w:t>Aquaculture (RGCA), Poozhiyur, Kerala, India. The fish were transported in oxygenated, double-layered polyethylene bags and acclimatised for two weeks in a 500-L circular tank under continuous aeration before the experiment. During acclimatisation, the fish were maintained at ambient seawater salinity (35 ppt) and fed a commercial floating-pellet diet containing 45% crude protein, 10% crude lipid, 4% crude fibre, and 12% ash.</w:t>
      </w:r>
    </w:p>
    <w:p w14:paraId="48A4D2B3" w14:textId="77777777" w:rsidR="00D657C5" w:rsidRPr="005A2629" w:rsidRDefault="00D657C5" w:rsidP="00352EA0">
      <w:pPr>
        <w:spacing w:line="276" w:lineRule="auto"/>
        <w:ind w:right="113"/>
        <w:jc w:val="both"/>
        <w:rPr>
          <w:rFonts w:ascii="Times New Roman" w:hAnsi="Times New Roman" w:cs="Times New Roman"/>
          <w:bCs/>
          <w:sz w:val="24"/>
          <w:szCs w:val="24"/>
        </w:rPr>
      </w:pPr>
      <w:r w:rsidRPr="005A2629">
        <w:rPr>
          <w:rFonts w:ascii="Times New Roman" w:hAnsi="Times New Roman"/>
          <w:sz w:val="24"/>
          <w:lang w:val="en-GB"/>
        </w:rPr>
        <w:t>The experiment followed a completely randomised design (CRD) comprising four salinity treatments: 35 ppt (control, C1), 25 ppt (T1), 15 ppt (T2), and 5 ppt (T3), each maintained in triplicate using 250-L FRP tanks. Twenty-one juveniles were randomly stocked in each experimental tank, corresponding to approximately 75 juveniles m⁻². Before random allocation, the experimental fish had an overall mean body weight of 1.75 ± 0.16 g and a mean total length of 4.46 ± 0.08 cm. Following randomisation, treatment-wise initial body weights showed only minor numerical variation and did not differ significantly among treatments (P &gt; 0.05). Therefore, all treatment groups were considered statistically comparable before the salinity treatments were initiated.</w:t>
      </w:r>
    </w:p>
    <w:p w14:paraId="7633EBD9" w14:textId="77777777" w:rsidR="002211E1" w:rsidRPr="005A2629" w:rsidRDefault="00D657C5">
      <w:pPr>
        <w:spacing w:line="276" w:lineRule="auto"/>
        <w:ind w:right="170"/>
        <w:jc w:val="both"/>
        <w:rPr>
          <w:rFonts w:ascii="Times New Roman" w:hAnsi="Times New Roman" w:cs="Times New Roman"/>
          <w:bCs/>
          <w:sz w:val="24"/>
          <w:szCs w:val="24"/>
        </w:rPr>
      </w:pPr>
      <w:r w:rsidRPr="005A2629">
        <w:rPr>
          <w:rFonts w:ascii="Times New Roman" w:hAnsi="Times New Roman"/>
          <w:sz w:val="24"/>
          <w:lang w:val="en-GB"/>
        </w:rPr>
        <w:t>Salinity was adjusted by mixing filtered seawater with freshwater to obtain the required treatment levels and was maintained within ±1 ppt throughout the experimental period through periodic water exchange. Fish were fed daily at 3% of body weight, divided into two equal meals (09:30 and 14:30 h), and the feeding rate was adjusted after each sampling according to the standing biomass. Recent studies indicate that culture conditions can influence growth, haematological characteristics, and stress indicators in farmed fish (Rahman et al., 2024), while physiological and histopathological responses provide complementary evidence of tissue-level effects under environmental stress (Reshma et al., 2026). Salinity acclimation in teleosts involves coordinated osmoregulatory, metabolic, and cellular adjustments, with the gills playing a central role in ion regulation and stress adaptation (Mkulo et al., 2025; Su et al., 2025). Despite the available information on salinity tolerance in pompano and other euryhaline fish, evidence remains limited regarding the concurrent assessment of growth, osmoregulatory stress indicators, antioxidant responses, and liver and gill histopathology in juvenile silver pompano maintained under uniform periphyton-based culture conditions across a broad salinity gradient.</w:t>
      </w:r>
    </w:p>
    <w:p w14:paraId="40EBE755" w14:textId="77777777" w:rsidR="002211E1" w:rsidRPr="005A2629" w:rsidRDefault="00000000">
      <w:pPr>
        <w:spacing w:line="276" w:lineRule="auto"/>
        <w:ind w:right="567"/>
        <w:rPr>
          <w:rFonts w:ascii="Times New Roman" w:hAnsi="Times New Roman" w:cs="Times New Roman"/>
          <w:bCs/>
          <w:sz w:val="24"/>
          <w:szCs w:val="24"/>
        </w:rPr>
      </w:pPr>
      <w:r w:rsidRPr="005A2629">
        <w:rPr>
          <w:rFonts w:ascii="Times New Roman" w:eastAsia="Times New Roman" w:hAnsi="Times New Roman" w:cs="Times New Roman"/>
          <w:b/>
          <w:sz w:val="24"/>
          <w:lang w:val="en-GB"/>
        </w:rPr>
        <w:t>Objective</w:t>
      </w:r>
    </w:p>
    <w:p w14:paraId="35167954" w14:textId="77777777" w:rsidR="002211E1" w:rsidRPr="005A2629" w:rsidRDefault="00000000">
      <w:pPr>
        <w:spacing w:line="276" w:lineRule="auto"/>
        <w:ind w:right="170"/>
        <w:jc w:val="both"/>
        <w:rPr>
          <w:rFonts w:ascii="Times New Roman" w:hAnsi="Times New Roman" w:cs="Times New Roman"/>
          <w:bCs/>
          <w:sz w:val="24"/>
          <w:szCs w:val="24"/>
        </w:rPr>
      </w:pPr>
      <w:r w:rsidRPr="005A2629">
        <w:rPr>
          <w:rFonts w:ascii="Times New Roman" w:hAnsi="Times New Roman"/>
          <w:sz w:val="24"/>
          <w:lang w:val="en-GB"/>
        </w:rPr>
        <w:t>The objective of the present study was to evaluate the effects of salinities of 35, 25, 15, and 5 ppt on growth performance, osmoregulatory responses, stress physiology, antioxidant enzyme activity, and liver and gill histopathology in juvenile silver pompano (</w:t>
      </w:r>
      <w:r w:rsidRPr="005A2629">
        <w:rPr>
          <w:rFonts w:ascii="Times New Roman" w:hAnsi="Times New Roman"/>
          <w:i/>
          <w:sz w:val="24"/>
          <w:lang w:val="en-GB"/>
        </w:rPr>
        <w:t>Trachinotus blochii</w:t>
      </w:r>
      <w:r w:rsidRPr="005A2629">
        <w:rPr>
          <w:rFonts w:ascii="Times New Roman" w:hAnsi="Times New Roman"/>
          <w:sz w:val="24"/>
          <w:lang w:val="en-GB"/>
        </w:rPr>
        <w:t>) cultured in a periphyton-based system.</w:t>
      </w:r>
    </w:p>
    <w:p w14:paraId="3A395000" w14:textId="77777777" w:rsidR="003908DC" w:rsidRPr="005A2629" w:rsidRDefault="003908DC" w:rsidP="003908DC">
      <w:pPr>
        <w:spacing w:line="276" w:lineRule="auto"/>
        <w:ind w:right="567"/>
        <w:rPr>
          <w:rFonts w:ascii="Times New Roman" w:hAnsi="Times New Roman" w:cs="Times New Roman"/>
          <w:bCs/>
          <w:sz w:val="24"/>
          <w:szCs w:val="24"/>
        </w:rPr>
      </w:pPr>
      <w:r w:rsidRPr="005A2629">
        <w:rPr>
          <w:rFonts w:ascii="Times New Roman" w:hAnsi="Times New Roman"/>
          <w:b/>
          <w:sz w:val="24"/>
          <w:lang w:val="en-GB"/>
        </w:rPr>
        <w:t>Materials and Methods</w:t>
      </w:r>
    </w:p>
    <w:p w14:paraId="43BEEA97" w14:textId="77777777" w:rsidR="00AA2E96" w:rsidRPr="005A2629" w:rsidRDefault="003908DC" w:rsidP="003908DC">
      <w:pPr>
        <w:spacing w:line="276" w:lineRule="auto"/>
        <w:ind w:right="567"/>
        <w:rPr>
          <w:rFonts w:ascii="Times New Roman" w:hAnsi="Times New Roman" w:cs="Times New Roman"/>
          <w:iCs/>
          <w:sz w:val="24"/>
          <w:szCs w:val="24"/>
        </w:rPr>
      </w:pPr>
      <w:r w:rsidRPr="005A2629">
        <w:rPr>
          <w:rFonts w:ascii="Times New Roman" w:hAnsi="Times New Roman" w:cs="Times New Roman"/>
          <w:b/>
          <w:bCs/>
          <w:sz w:val="24"/>
          <w:szCs w:val="24"/>
          <w:lang w:val="en-GB"/>
        </w:rPr>
        <w:t>Experimental</w:t>
      </w:r>
      <w:r w:rsidRPr="005A2629">
        <w:rPr>
          <w:rFonts w:ascii="Times New Roman" w:hAnsi="Times New Roman" w:cs="Times New Roman"/>
          <w:b/>
          <w:bCs/>
          <w:spacing w:val="-7"/>
          <w:sz w:val="24"/>
          <w:szCs w:val="24"/>
          <w:lang w:val="en-GB"/>
        </w:rPr>
        <w:t xml:space="preserve"> </w:t>
      </w:r>
      <w:r w:rsidRPr="005A2629">
        <w:rPr>
          <w:rFonts w:ascii="Times New Roman" w:hAnsi="Times New Roman" w:cs="Times New Roman"/>
          <w:b/>
          <w:bCs/>
          <w:spacing w:val="-2"/>
          <w:sz w:val="24"/>
          <w:szCs w:val="24"/>
          <w:lang w:val="en-GB"/>
        </w:rPr>
        <w:t>Setup</w:t>
      </w:r>
      <w:r w:rsidR="00AA2E96" w:rsidRPr="005A2629">
        <w:rPr>
          <w:rFonts w:ascii="Times New Roman" w:hAnsi="Times New Roman" w:cs="Times New Roman"/>
          <w:b/>
          <w:bCs/>
          <w:sz w:val="24"/>
          <w:szCs w:val="24"/>
          <w:lang w:val="en-GB"/>
        </w:rPr>
        <w:t xml:space="preserve">                                      </w:t>
      </w:r>
    </w:p>
    <w:p w14:paraId="0E3A6D7D" w14:textId="77777777" w:rsidR="00D657C5" w:rsidRPr="005A2629" w:rsidRDefault="00D657C5" w:rsidP="00D657C5">
      <w:pPr>
        <w:pStyle w:val="BodyText"/>
        <w:spacing w:before="143" w:line="276" w:lineRule="auto"/>
        <w:jc w:val="both"/>
        <w:rPr>
          <w:rFonts w:ascii="Times New Roman" w:hAnsi="Times New Roman" w:cs="Times New Roman"/>
          <w:bCs/>
        </w:rPr>
      </w:pPr>
      <w:r w:rsidRPr="005A2629">
        <w:rPr>
          <w:rFonts w:ascii="Times New Roman" w:hAnsi="Times New Roman" w:cs="Times New Roman"/>
          <w:bCs/>
          <w:lang w:val="en-GB"/>
        </w:rPr>
        <w:t xml:space="preserve">The experiment was conducted for 60 days at the Mariculture Research Farm Facility (MRFF), Fisheries College and Research Institute, </w:t>
      </w:r>
      <w:proofErr w:type="spellStart"/>
      <w:r w:rsidRPr="005A2629">
        <w:rPr>
          <w:rFonts w:ascii="Times New Roman" w:hAnsi="Times New Roman" w:cs="Times New Roman"/>
          <w:bCs/>
          <w:lang w:val="en-GB"/>
        </w:rPr>
        <w:t>Thoothukudi</w:t>
      </w:r>
      <w:proofErr w:type="spellEnd"/>
      <w:r w:rsidRPr="005A2629">
        <w:rPr>
          <w:rFonts w:ascii="Times New Roman" w:hAnsi="Times New Roman" w:cs="Times New Roman"/>
          <w:bCs/>
          <w:lang w:val="en-GB"/>
        </w:rPr>
        <w:t>, Tamil Nadu, India, to evaluate the effects of different salinity levels on the growth performance, osmoregulatory responses, stress physiology, and histopathological alterations of juvenile silver pompano (</w:t>
      </w:r>
      <w:r w:rsidRPr="005A2629">
        <w:rPr>
          <w:rFonts w:ascii="Times New Roman" w:hAnsi="Times New Roman" w:cs="Times New Roman"/>
          <w:bCs/>
          <w:i/>
          <w:iCs/>
          <w:lang w:val="en-GB"/>
        </w:rPr>
        <w:t xml:space="preserve">Trachinotus </w:t>
      </w:r>
      <w:proofErr w:type="spellStart"/>
      <w:r w:rsidRPr="005A2629">
        <w:rPr>
          <w:rFonts w:ascii="Times New Roman" w:hAnsi="Times New Roman" w:cs="Times New Roman"/>
          <w:bCs/>
          <w:i/>
          <w:iCs/>
          <w:lang w:val="en-GB"/>
        </w:rPr>
        <w:t>blochii</w:t>
      </w:r>
      <w:proofErr w:type="spellEnd"/>
      <w:r w:rsidRPr="005A2629">
        <w:rPr>
          <w:rFonts w:ascii="Times New Roman" w:hAnsi="Times New Roman" w:cs="Times New Roman"/>
          <w:bCs/>
          <w:lang w:val="en-GB"/>
        </w:rPr>
        <w:t xml:space="preserve">) </w:t>
      </w:r>
      <w:r w:rsidRPr="005A2629">
        <w:rPr>
          <w:rFonts w:ascii="Times New Roman" w:hAnsi="Times New Roman" w:cs="Times New Roman"/>
          <w:bCs/>
          <w:lang w:val="en-GB"/>
        </w:rPr>
        <w:lastRenderedPageBreak/>
        <w:t>cultured in a periphyton-based system.</w:t>
      </w:r>
    </w:p>
    <w:p w14:paraId="72870496" w14:textId="77777777" w:rsidR="00D657C5" w:rsidRPr="005A2629" w:rsidRDefault="00D657C5" w:rsidP="00D657C5">
      <w:pPr>
        <w:pStyle w:val="BodyText"/>
        <w:spacing w:before="143" w:line="276" w:lineRule="auto"/>
        <w:jc w:val="both"/>
        <w:rPr>
          <w:rFonts w:ascii="Times New Roman" w:hAnsi="Times New Roman" w:cs="Times New Roman"/>
          <w:bCs/>
        </w:rPr>
      </w:pPr>
      <w:r w:rsidRPr="005A2629">
        <w:rPr>
          <w:rFonts w:ascii="Times New Roman" w:hAnsi="Times New Roman"/>
          <w:lang w:val="en-GB"/>
        </w:rPr>
        <w:t>A total of 1,000 juvenile silver pompano, with an initial mean body weight of 0.382 ± 0.213 g, were procured from the Rajiv Gandhi Centre for Sustainable Aquaculture (RGCA), Poozhiyur, Kerala, India. The fish were transported in oxygenated, double-layered polyethylene bags and acclimatised for two weeks in a 500-L circular tank under continuous aeration before the experiment. During acclimatisation, the fish were maintained at ambient seawater salinity (35 ppt) and fed a commercial floating-pellet diet containing 45% crude protein, 10% crude lipid, 4% crude fibre, and 12% ash.</w:t>
      </w:r>
    </w:p>
    <w:p w14:paraId="40C7E6D4" w14:textId="77777777" w:rsidR="00D657C5" w:rsidRPr="005A2629" w:rsidRDefault="00D657C5" w:rsidP="00D657C5">
      <w:pPr>
        <w:pStyle w:val="BodyText"/>
        <w:spacing w:before="143" w:line="276" w:lineRule="auto"/>
        <w:jc w:val="both"/>
        <w:rPr>
          <w:rFonts w:ascii="Times New Roman" w:hAnsi="Times New Roman" w:cs="Times New Roman"/>
          <w:bCs/>
        </w:rPr>
      </w:pPr>
      <w:r w:rsidRPr="005A2629">
        <w:rPr>
          <w:rFonts w:ascii="Times New Roman" w:hAnsi="Times New Roman"/>
          <w:lang w:val="en-GB"/>
        </w:rPr>
        <w:t>The experiment followed a completely randomised design (CRD) comprising four salinity treatments: 35 ppt (control, C1), 25 ppt (T1), 15 ppt (T2), and 5 ppt (T3), each maintained in triplicate using 250-L FRP tanks. Twenty-one juveniles were randomly stocked in each tank. Before random allocation, the experimental fish had an overall mean body weight of 1.75 ± 0.16 g and a mean total length of 4.46 ± 0.08 cm. Following randomisation, treatment-wise initial body weights showed only minor numerical variation and did not differ significantly among treatments (P &gt; 0.05). Therefore, all experimental groups were considered statistically comparable before the salinity treatments were initiated.</w:t>
      </w:r>
    </w:p>
    <w:p w14:paraId="4FEF2210" w14:textId="77777777" w:rsidR="00D657C5" w:rsidRPr="005A2629" w:rsidRDefault="00D657C5" w:rsidP="00D657C5">
      <w:pPr>
        <w:pStyle w:val="BodyText"/>
        <w:spacing w:before="143" w:line="276" w:lineRule="auto"/>
        <w:jc w:val="both"/>
        <w:rPr>
          <w:rFonts w:ascii="Times New Roman" w:hAnsi="Times New Roman" w:cs="Times New Roman"/>
          <w:bCs/>
        </w:rPr>
      </w:pPr>
      <w:r w:rsidRPr="005A2629">
        <w:rPr>
          <w:rFonts w:ascii="Times New Roman" w:hAnsi="Times New Roman"/>
          <w:lang w:val="en-GB"/>
        </w:rPr>
        <w:t>Salinity was adjusted by mixing filtered seawater with freshwater to obtain the required treatment levels and was maintained within ±1 ppt throughout the experimental period through periodic water exchange. Fish were fed daily at 3% of body weight, divided into two equal meals (09:30 and 14:30 h), and the feeding rate was adjusted after each sampling according to the standing biomass.</w:t>
      </w:r>
    </w:p>
    <w:p w14:paraId="23FAB1DB" w14:textId="77777777" w:rsidR="00207CD8" w:rsidRPr="005A2629" w:rsidRDefault="00207CD8" w:rsidP="002E394A">
      <w:pPr>
        <w:pStyle w:val="BodyText"/>
        <w:spacing w:before="143" w:line="276" w:lineRule="auto"/>
        <w:jc w:val="both"/>
        <w:rPr>
          <w:rFonts w:ascii="Times New Roman" w:hAnsi="Times New Roman" w:cs="Times New Roman"/>
          <w:b/>
          <w:lang w:val="en-IN"/>
        </w:rPr>
      </w:pPr>
      <w:r w:rsidRPr="005A2629">
        <w:rPr>
          <w:rFonts w:ascii="Times New Roman" w:hAnsi="Times New Roman" w:cs="Times New Roman"/>
          <w:b/>
          <w:lang w:val="en-GB"/>
        </w:rPr>
        <w:t>Periphyton Development</w:t>
      </w:r>
    </w:p>
    <w:p w14:paraId="6385E391" w14:textId="77777777" w:rsidR="00D657C5" w:rsidRPr="005A2629" w:rsidRDefault="00D657C5" w:rsidP="00D657C5">
      <w:pPr>
        <w:pStyle w:val="BodyText"/>
        <w:spacing w:before="143" w:line="276" w:lineRule="auto"/>
        <w:jc w:val="both"/>
        <w:rPr>
          <w:rFonts w:ascii="Times New Roman" w:hAnsi="Times New Roman" w:cs="Times New Roman"/>
          <w:bCs/>
          <w:lang w:val="en-IN"/>
        </w:rPr>
      </w:pPr>
      <w:r w:rsidRPr="005A2629">
        <w:rPr>
          <w:rFonts w:ascii="Times New Roman" w:hAnsi="Times New Roman"/>
          <w:lang w:val="en-GB"/>
        </w:rPr>
        <w:t>To establish a uniform periphyton-based culture environment, eleven split-bamboo substrates (approximately 400 cm² surface area each) were installed vertically in every experimental tank 10 days before fish stocking to facilitate natural periphyton colonisation. All tanks received identical substrate arrangements throughout the experiment. As the objective of the present study was to evaluate the effect of salinity under a common periphyton-based culture system, periphyton was maintained as a constant culture condition and was not considered an independent experimental factor. Consequently, periphyton biomass and community composition were not evaluated as independent response variables.</w:t>
      </w:r>
    </w:p>
    <w:p w14:paraId="227816AE" w14:textId="77777777" w:rsidR="002E394A" w:rsidRPr="005A2629" w:rsidRDefault="00207CD8" w:rsidP="002E394A">
      <w:pPr>
        <w:pStyle w:val="BodyText"/>
        <w:spacing w:before="143" w:line="276" w:lineRule="auto"/>
        <w:jc w:val="both"/>
        <w:rPr>
          <w:rFonts w:ascii="Times New Roman" w:eastAsia="Times New Roman" w:hAnsi="Times New Roman" w:cs="Times New Roman"/>
          <w:b/>
          <w:lang w:eastAsia="en-IN"/>
        </w:rPr>
      </w:pPr>
      <w:r w:rsidRPr="005A2629">
        <w:rPr>
          <w:rFonts w:ascii="Times New Roman" w:hAnsi="Times New Roman"/>
          <w:b/>
          <w:lang w:val="en-GB"/>
        </w:rPr>
        <w:t>Sampling for Histological Analysis during Salinity-Stress Assessment</w:t>
      </w:r>
    </w:p>
    <w:p w14:paraId="740AE55A" w14:textId="77777777" w:rsidR="000617A6" w:rsidRPr="005A2629" w:rsidRDefault="00D657C5" w:rsidP="00D657C5">
      <w:pPr>
        <w:pStyle w:val="BodyText"/>
        <w:spacing w:line="276" w:lineRule="auto"/>
        <w:ind w:right="133"/>
        <w:jc w:val="both"/>
        <w:rPr>
          <w:rFonts w:ascii="Times New Roman" w:hAnsi="Times New Roman" w:cs="Times New Roman"/>
          <w:lang w:val="en-IN"/>
        </w:rPr>
      </w:pPr>
      <w:r w:rsidRPr="005A2629">
        <w:rPr>
          <w:rFonts w:ascii="Times New Roman" w:hAnsi="Times New Roman"/>
          <w:lang w:val="en-GB"/>
        </w:rPr>
        <w:t xml:space="preserve">Growth performance was monitored at 15-day intervals (Days 15, 30, 45, and 60) by measuring the body weight and total length of fish from each experimental tank. These measurements were primarily used to monitor growth progression and adjust the daily feeding rate according to biomass. Gill and liver tissues were collected at the end of the experiment from fish exposed to salinities of 35 ppt (natural habitat condition), 25 ppt, 15 ppt, and 5 ppt. For histological analysis, the operculum was lifted and the gills were excised by cutting at the base, while liver samples were carefully dissected from the visceral cavity. The collected tissue samples were immediately preserved in 10% neutral-buffered formalin (NBF) at room temperature for 24–48 h (Genten et al., 2009; Biswas et al., 2021). The NBF fixative was prepared by combining 4 g of sodium dihydrogen phosphate, 6.5 g of disodium hydrogen </w:t>
      </w:r>
      <w:r w:rsidRPr="005A2629">
        <w:rPr>
          <w:rFonts w:ascii="Times New Roman" w:hAnsi="Times New Roman"/>
          <w:lang w:val="en-GB"/>
        </w:rPr>
        <w:lastRenderedPageBreak/>
        <w:t>phosphate, 100 mL of formalin, and 900 mL of distilled water. Following fixation, the tissues were dehydrated through a graded series of alcohol solutions, cleared in xylene, and embedded in paraffin blocks using an automated tissue processor. Paraffin blocks were sectioned at a thickness of 3–5 µm using a microtome, placed in a water bath at 40 °C, and air-dried for 1 h. The sections were subsequently stained with haematoxylin and eosin (H&amp;E) and examined under a light microscope at 400× magnification.</w:t>
      </w:r>
    </w:p>
    <w:p w14:paraId="610DAD39" w14:textId="77777777" w:rsidR="00E92A71" w:rsidRPr="005A2629" w:rsidRDefault="002B4BC5" w:rsidP="00962AC6">
      <w:pPr>
        <w:spacing w:after="200" w:line="276" w:lineRule="auto"/>
        <w:jc w:val="both"/>
        <w:rPr>
          <w:rFonts w:ascii="Times New Roman" w:eastAsia="Times New Roman" w:hAnsi="Times New Roman" w:cs="Times New Roman"/>
          <w:b/>
          <w:bCs/>
          <w:sz w:val="24"/>
          <w:szCs w:val="24"/>
          <w:lang w:eastAsia="en-IN"/>
        </w:rPr>
      </w:pPr>
      <w:r w:rsidRPr="005A2629">
        <w:rPr>
          <w:rFonts w:ascii="Times New Roman" w:hAnsi="Times New Roman"/>
          <w:b/>
          <w:sz w:val="24"/>
          <w:lang w:val="en-GB"/>
        </w:rPr>
        <w:t>Trial at Different Salinities and Sampling</w:t>
      </w:r>
    </w:p>
    <w:p w14:paraId="64BB438A" w14:textId="77777777" w:rsidR="002B4BC5" w:rsidRPr="005A2629" w:rsidRDefault="002B4BC5" w:rsidP="00962AC6">
      <w:pPr>
        <w:spacing w:after="200" w:line="276" w:lineRule="auto"/>
        <w:jc w:val="both"/>
        <w:rPr>
          <w:rFonts w:ascii="Times New Roman" w:eastAsia="Times New Roman" w:hAnsi="Times New Roman" w:cs="Times New Roman"/>
          <w:b/>
          <w:bCs/>
          <w:sz w:val="24"/>
          <w:szCs w:val="24"/>
          <w:lang w:eastAsia="en-IN"/>
        </w:rPr>
      </w:pPr>
      <w:r w:rsidRPr="005A2629">
        <w:rPr>
          <w:rFonts w:ascii="Times New Roman" w:hAnsi="Times New Roman"/>
          <w:sz w:val="24"/>
          <w:lang w:val="en-GB"/>
        </w:rPr>
        <w:t>Sampling was conducted fortnightly to monitor and record growth-performance metrics. Fish from the control group and the three salinity treatments were carefully collected using a soft-mesh dip net. Individual body weights (g) were recorded using a high-precision digital balance, and total lengths (cm) were measured using a calibrated linear scale. Throughout sampling, specimens were handled carefully and kept in well-aerated water to minimise handling-induced stress.</w:t>
      </w:r>
    </w:p>
    <w:p w14:paraId="7F1AEB2E" w14:textId="77777777" w:rsidR="008A5029" w:rsidRPr="005A2629" w:rsidRDefault="002B4BC5" w:rsidP="008A5029">
      <w:pPr>
        <w:spacing w:after="200" w:line="276" w:lineRule="auto"/>
        <w:jc w:val="both"/>
        <w:rPr>
          <w:rFonts w:ascii="Times New Roman" w:hAnsi="Times New Roman" w:cs="Times New Roman"/>
          <w:b/>
          <w:bCs/>
          <w:sz w:val="24"/>
          <w:szCs w:val="24"/>
        </w:rPr>
      </w:pPr>
      <w:r w:rsidRPr="005A2629">
        <w:rPr>
          <w:rFonts w:ascii="Times New Roman" w:hAnsi="Times New Roman"/>
          <w:b/>
          <w:sz w:val="24"/>
          <w:lang w:val="en-GB"/>
        </w:rPr>
        <w:t>Assessment of Osmoregulatory Parameters</w:t>
      </w:r>
    </w:p>
    <w:p w14:paraId="46BD530C" w14:textId="77777777" w:rsidR="002B4BC5" w:rsidRPr="005A2629" w:rsidRDefault="002B4BC5" w:rsidP="00CE41FA">
      <w:pPr>
        <w:spacing w:after="200" w:line="276" w:lineRule="auto"/>
        <w:jc w:val="both"/>
        <w:rPr>
          <w:rFonts w:ascii="Times New Roman" w:hAnsi="Times New Roman" w:cs="Times New Roman"/>
          <w:b/>
          <w:bCs/>
          <w:sz w:val="24"/>
          <w:szCs w:val="24"/>
        </w:rPr>
      </w:pPr>
      <w:r w:rsidRPr="005A2629">
        <w:rPr>
          <w:rFonts w:ascii="Times New Roman" w:hAnsi="Times New Roman"/>
          <w:b/>
          <w:sz w:val="24"/>
          <w:lang w:val="en-GB"/>
        </w:rPr>
        <w:t>Cortisol hormone analysis:</w:t>
      </w:r>
      <w:r w:rsidRPr="005A2629">
        <w:rPr>
          <w:rFonts w:ascii="Times New Roman" w:hAnsi="Times New Roman"/>
          <w:sz w:val="24"/>
          <w:lang w:val="en-GB"/>
        </w:rPr>
        <w:t xml:space="preserve"> Plasma cortisol levels were quantified using a commercially available enzyme-linked immunosorbent assay (ELISA) kit, following the protocol described by Zhang et al. (2022).</w:t>
      </w:r>
    </w:p>
    <w:p w14:paraId="6827DFA1" w14:textId="77777777" w:rsidR="002B4BC5" w:rsidRPr="005A2629" w:rsidRDefault="002B4BC5" w:rsidP="008A5029">
      <w:pPr>
        <w:spacing w:line="276" w:lineRule="auto"/>
        <w:jc w:val="both"/>
        <w:rPr>
          <w:rFonts w:ascii="Times New Roman" w:hAnsi="Times New Roman" w:cs="Times New Roman"/>
          <w:b/>
          <w:bCs/>
          <w:sz w:val="24"/>
          <w:szCs w:val="24"/>
        </w:rPr>
      </w:pPr>
      <w:r w:rsidRPr="005A2629">
        <w:rPr>
          <w:rFonts w:ascii="Times New Roman" w:hAnsi="Times New Roman"/>
          <w:b/>
          <w:sz w:val="24"/>
          <w:lang w:val="en-GB"/>
        </w:rPr>
        <w:t>Estimation of plasma glucose concentration:</w:t>
      </w:r>
      <w:r w:rsidRPr="005A2629">
        <w:rPr>
          <w:rFonts w:ascii="Times New Roman" w:hAnsi="Times New Roman"/>
          <w:sz w:val="24"/>
          <w:lang w:val="en-GB"/>
        </w:rPr>
        <w:t xml:space="preserve"> Plasma glucose concentration was determined spectrophotometrically using a commercial enzymatic glucose oxidase (GOD–POD) assay kit, following standard diagnostic methods (Wedemeyer &amp; Yasutake, 1977).</w:t>
      </w:r>
    </w:p>
    <w:p w14:paraId="5CBB0F62" w14:textId="77777777" w:rsidR="002B4BC5" w:rsidRPr="005A2629" w:rsidRDefault="002B4BC5" w:rsidP="008A5029">
      <w:pPr>
        <w:spacing w:line="276" w:lineRule="auto"/>
        <w:jc w:val="both"/>
        <w:rPr>
          <w:rFonts w:ascii="Times New Roman" w:hAnsi="Times New Roman" w:cs="Times New Roman"/>
          <w:sz w:val="24"/>
          <w:szCs w:val="24"/>
        </w:rPr>
      </w:pPr>
      <w:r w:rsidRPr="005A2629">
        <w:rPr>
          <w:rFonts w:ascii="Times New Roman" w:hAnsi="Times New Roman"/>
          <w:b/>
          <w:sz w:val="24"/>
          <w:lang w:val="en-GB"/>
        </w:rPr>
        <w:t xml:space="preserve">Estimation of haematocrit value: </w:t>
      </w:r>
      <w:r w:rsidRPr="005A2629">
        <w:rPr>
          <w:rFonts w:ascii="Times New Roman" w:hAnsi="Times New Roman"/>
          <w:sz w:val="24"/>
          <w:lang w:val="en-GB"/>
        </w:rPr>
        <w:t xml:space="preserve">The haematocrit (packed-cell-volume) percentage of the experimental fish was determined using a microhaematocrit centrifuge (Micro Spin, Centribio, Shanghai, China). Blood-filled capillary tubes were sealed and centrifuged at 9,000 × </w:t>
      </w:r>
      <w:r w:rsidRPr="005A2629">
        <w:rPr>
          <w:rFonts w:ascii="Times New Roman" w:hAnsi="Times New Roman"/>
          <w:i/>
          <w:sz w:val="24"/>
          <w:lang w:val="en-GB"/>
        </w:rPr>
        <w:t>g</w:t>
      </w:r>
      <w:r w:rsidRPr="005A2629">
        <w:rPr>
          <w:rFonts w:ascii="Times New Roman" w:hAnsi="Times New Roman"/>
          <w:sz w:val="24"/>
          <w:lang w:val="en-GB"/>
        </w:rPr>
        <w:t xml:space="preserve"> for 5 min, after which the percentage of packed red blood cells was read using a microhaematocrit reader card.</w:t>
      </w:r>
    </w:p>
    <w:p w14:paraId="0F4A1206" w14:textId="77777777" w:rsidR="002B4BC5" w:rsidRPr="005A2629" w:rsidRDefault="002B4BC5" w:rsidP="008A5029">
      <w:pPr>
        <w:spacing w:line="276" w:lineRule="auto"/>
        <w:jc w:val="both"/>
        <w:rPr>
          <w:rFonts w:ascii="Times New Roman" w:hAnsi="Times New Roman" w:cs="Times New Roman"/>
          <w:b/>
          <w:bCs/>
          <w:sz w:val="24"/>
          <w:szCs w:val="24"/>
        </w:rPr>
      </w:pPr>
      <w:r w:rsidRPr="005A2629">
        <w:rPr>
          <w:rFonts w:ascii="Times New Roman" w:hAnsi="Times New Roman"/>
          <w:b/>
          <w:sz w:val="24"/>
          <w:lang w:val="en-GB"/>
        </w:rPr>
        <w:t>Antioxidant Enzyme Analysis</w:t>
      </w:r>
    </w:p>
    <w:p w14:paraId="27A2277B" w14:textId="77777777" w:rsidR="002B4BC5" w:rsidRPr="005A2629" w:rsidRDefault="002B4BC5" w:rsidP="00F5298A">
      <w:pPr>
        <w:widowControl w:val="0"/>
        <w:tabs>
          <w:tab w:val="left" w:pos="975"/>
        </w:tabs>
        <w:autoSpaceDE w:val="0"/>
        <w:autoSpaceDN w:val="0"/>
        <w:spacing w:before="139" w:after="0" w:line="276" w:lineRule="auto"/>
        <w:jc w:val="both"/>
        <w:rPr>
          <w:rFonts w:ascii="Times New Roman" w:hAnsi="Times New Roman" w:cs="Times New Roman"/>
        </w:rPr>
      </w:pPr>
      <w:r w:rsidRPr="005A2629">
        <w:rPr>
          <w:rFonts w:ascii="Times New Roman" w:hAnsi="Times New Roman" w:cs="Times New Roman"/>
          <w:b/>
          <w:bCs/>
          <w:sz w:val="24"/>
          <w:szCs w:val="24"/>
        </w:rPr>
        <w:t>Superoxide Dismutase</w:t>
      </w:r>
      <w:r w:rsidRPr="005A2629">
        <w:rPr>
          <w:rFonts w:ascii="Times New Roman" w:hAnsi="Times New Roman" w:cs="Times New Roman"/>
          <w:b/>
          <w:bCs/>
          <w:spacing w:val="-2"/>
          <w:sz w:val="24"/>
          <w:szCs w:val="24"/>
        </w:rPr>
        <w:t xml:space="preserve"> </w:t>
      </w:r>
      <w:r w:rsidR="00B133D7" w:rsidRPr="005A2629">
        <w:rPr>
          <w:rFonts w:ascii="Times New Roman" w:hAnsi="Times New Roman" w:cs="Times New Roman"/>
          <w:b/>
          <w:bCs/>
          <w:spacing w:val="-2"/>
          <w:sz w:val="24"/>
          <w:szCs w:val="24"/>
        </w:rPr>
        <w:t>(SOD)</w:t>
      </w:r>
      <w:r w:rsidRPr="005A2629">
        <w:rPr>
          <w:rFonts w:ascii="Times New Roman" w:hAnsi="Times New Roman" w:cs="Times New Roman"/>
          <w:b/>
          <w:bCs/>
          <w:spacing w:val="-2"/>
          <w:sz w:val="24"/>
          <w:szCs w:val="24"/>
        </w:rPr>
        <w:t>activit</w:t>
      </w:r>
      <w:r w:rsidR="00F5298A" w:rsidRPr="005A2629">
        <w:rPr>
          <w:rFonts w:ascii="Times New Roman" w:hAnsi="Times New Roman" w:cs="Times New Roman"/>
          <w:b/>
          <w:bCs/>
          <w:spacing w:val="-2"/>
          <w:sz w:val="24"/>
          <w:szCs w:val="24"/>
        </w:rPr>
        <w:t>y</w:t>
      </w:r>
      <w:r w:rsidR="00CD67CA" w:rsidRPr="005A2629">
        <w:rPr>
          <w:rFonts w:ascii="Times New Roman" w:hAnsi="Times New Roman" w:cs="Times New Roman"/>
        </w:rPr>
        <w:t>:</w:t>
      </w:r>
      <w:r w:rsidR="00FD775B" w:rsidRPr="005A2629">
        <w:rPr>
          <w:rFonts w:ascii="Times New Roman" w:hAnsi="Times New Roman" w:cs="Times New Roman"/>
        </w:rPr>
        <w:t xml:space="preserve"> Superoxide dismutase activity was determined using the </w:t>
      </w:r>
      <w:proofErr w:type="spellStart"/>
      <w:r w:rsidR="00FD775B" w:rsidRPr="005A2629">
        <w:rPr>
          <w:rFonts w:ascii="Times New Roman" w:hAnsi="Times New Roman" w:cs="Times New Roman"/>
        </w:rPr>
        <w:t>nitroblue</w:t>
      </w:r>
      <w:proofErr w:type="spellEnd"/>
      <w:r w:rsidR="00FD775B" w:rsidRPr="005A2629">
        <w:rPr>
          <w:rFonts w:ascii="Times New Roman" w:hAnsi="Times New Roman" w:cs="Times New Roman"/>
        </w:rPr>
        <w:t xml:space="preserve"> tetrazolium (NBT) photochemical reduction method described by Kono (1978). One unit of SOD activity was defined as the amount of enzyme required to inhibit the NBT reduction rate by 50%. Specific activity was expressed as units per milligram of protein </w:t>
      </w:r>
      <m:oMath>
        <m:sSup>
          <m:sSupPr>
            <m:ctrlPr>
              <w:rPr>
                <w:rFonts w:ascii="Cambria Math" w:hAnsi="Cambria Math" w:cs="Times New Roman"/>
              </w:rPr>
            </m:ctrlPr>
          </m:sSupPr>
          <m:e>
            <m:r>
              <m:rPr>
                <m:nor/>
              </m:rPr>
              <w:rPr>
                <w:rFonts w:ascii="Times New Roman" w:hAnsi="Times New Roman" w:cs="Times New Roman"/>
              </w:rPr>
              <m:t>U mg</m:t>
            </m:r>
          </m:e>
          <m:sup>
            <m:r>
              <w:rPr>
                <w:rFonts w:ascii="Cambria Math" w:hAnsi="Cambria Math" w:cs="Times New Roman"/>
              </w:rPr>
              <m:t>-1</m:t>
            </m:r>
          </m:sup>
        </m:sSup>
        <m:r>
          <m:rPr>
            <m:nor/>
          </m:rPr>
          <w:rPr>
            <w:rFonts w:ascii="Times New Roman" w:hAnsi="Times New Roman" w:cs="Times New Roman"/>
          </w:rPr>
          <m:t> protein</m:t>
        </m:r>
      </m:oMath>
      <w:r w:rsidR="00FD775B" w:rsidRPr="005A2629">
        <w:rPr>
          <w:rFonts w:ascii="Times New Roman" w:hAnsi="Times New Roman" w:cs="Times New Roman"/>
        </w:rPr>
        <w:t>.</w:t>
      </w:r>
    </w:p>
    <w:p w14:paraId="12D14F1C" w14:textId="77777777" w:rsidR="005B1112" w:rsidRPr="005A2629" w:rsidRDefault="002B4BC5" w:rsidP="005B1112">
      <w:pPr>
        <w:pStyle w:val="Heading1"/>
        <w:tabs>
          <w:tab w:val="left" w:pos="975"/>
        </w:tabs>
        <w:spacing w:before="80" w:line="276" w:lineRule="auto"/>
        <w:jc w:val="both"/>
        <w:rPr>
          <w:rFonts w:ascii="Times New Roman" w:hAnsi="Times New Roman" w:cs="Times New Roman"/>
          <w:color w:val="auto"/>
          <w:spacing w:val="-2"/>
          <w:sz w:val="24"/>
          <w:szCs w:val="24"/>
        </w:rPr>
      </w:pPr>
      <w:r w:rsidRPr="005A2629">
        <w:rPr>
          <w:rFonts w:ascii="Times New Roman" w:hAnsi="Times New Roman"/>
          <w:b/>
          <w:color w:val="auto"/>
          <w:sz w:val="24"/>
          <w:lang w:val="en-GB"/>
        </w:rPr>
        <w:t xml:space="preserve">Catalase (CAT) activity: </w:t>
      </w:r>
      <w:r w:rsidRPr="005A2629">
        <w:rPr>
          <w:rFonts w:ascii="Times New Roman" w:hAnsi="Times New Roman"/>
          <w:color w:val="auto"/>
          <w:sz w:val="24"/>
          <w:lang w:val="en-GB"/>
        </w:rPr>
        <w:t>Catalase activity was measured spectrophotometrically by monitoring the decrease in absorbance caused by hydrogen peroxide consumption at 240 nm, following the method of Takahara et al. (1960). One unit of CAT activity was defined as the amount of enzyme required to decompose hydrogen peroxide per minute. Activity was expressed as U mg⁻¹ protein.</w:t>
      </w:r>
    </w:p>
    <w:p w14:paraId="02D4AC35" w14:textId="77777777" w:rsidR="00A9426C" w:rsidRPr="005A2629" w:rsidRDefault="002B4BC5" w:rsidP="004A2C55">
      <w:pPr>
        <w:pStyle w:val="BodyText"/>
        <w:spacing w:before="144" w:line="276" w:lineRule="auto"/>
        <w:jc w:val="both"/>
        <w:rPr>
          <w:rFonts w:ascii="Times New Roman" w:hAnsi="Times New Roman" w:cs="Times New Roman"/>
          <w:bCs/>
        </w:rPr>
      </w:pPr>
      <w:proofErr w:type="spellStart"/>
      <w:r w:rsidRPr="005A2629">
        <w:rPr>
          <w:rFonts w:ascii="Times New Roman" w:hAnsi="Times New Roman" w:cs="Times New Roman"/>
          <w:b/>
          <w:lang w:val="en-IN"/>
        </w:rPr>
        <w:t>GPx</w:t>
      </w:r>
      <w:proofErr w:type="spellEnd"/>
      <w:r w:rsidRPr="005A2629">
        <w:rPr>
          <w:rFonts w:ascii="Times New Roman" w:hAnsi="Times New Roman" w:cs="Times New Roman"/>
          <w:b/>
          <w:lang w:val="en-IN"/>
        </w:rPr>
        <w:t xml:space="preserve"> activity</w:t>
      </w:r>
      <w:r w:rsidR="00F5298A" w:rsidRPr="005A2629">
        <w:rPr>
          <w:rFonts w:ascii="Times New Roman" w:hAnsi="Times New Roman" w:cs="Times New Roman"/>
          <w:b/>
          <w:lang w:val="en-IN"/>
        </w:rPr>
        <w:t xml:space="preserve">: </w:t>
      </w:r>
      <w:r w:rsidR="00987C23" w:rsidRPr="005A2629">
        <w:rPr>
          <w:rFonts w:ascii="Times New Roman" w:hAnsi="Times New Roman" w:cs="Times New Roman"/>
          <w:bCs/>
        </w:rPr>
        <w:t xml:space="preserve">Glutathione peroxidase activity was assayed using the method of Paglia and Valentine (1967). One unit of </w:t>
      </w:r>
      <w:proofErr w:type="spellStart"/>
      <w:r w:rsidR="00987C23" w:rsidRPr="005A2629">
        <w:rPr>
          <w:rFonts w:ascii="Times New Roman" w:hAnsi="Times New Roman" w:cs="Times New Roman"/>
          <w:bCs/>
        </w:rPr>
        <w:t>GPx</w:t>
      </w:r>
      <w:proofErr w:type="spellEnd"/>
      <w:r w:rsidR="00987C23" w:rsidRPr="005A2629">
        <w:rPr>
          <w:rFonts w:ascii="Times New Roman" w:hAnsi="Times New Roman" w:cs="Times New Roman"/>
          <w:bCs/>
        </w:rPr>
        <w:t xml:space="preserve"> activity was defined as the amount of enzyme required to oxidise </w:t>
      </w:r>
      <m:oMath>
        <m:r>
          <w:rPr>
            <w:rFonts w:ascii="Cambria Math" w:hAnsi="Cambria Math" w:cs="Times New Roman"/>
          </w:rPr>
          <m:t>1 μ</m:t>
        </m:r>
        <m:r>
          <m:rPr>
            <m:nor/>
          </m:rPr>
          <w:rPr>
            <w:rFonts w:ascii="Times New Roman" w:hAnsi="Times New Roman" w:cs="Times New Roman"/>
            <w:bCs/>
          </w:rPr>
          <m:t>mol</m:t>
        </m:r>
      </m:oMath>
      <w:r w:rsidR="00987C23" w:rsidRPr="005A2629">
        <w:rPr>
          <w:rFonts w:ascii="Times New Roman" w:hAnsi="Times New Roman" w:cs="Times New Roman"/>
          <w:bCs/>
        </w:rPr>
        <w:t xml:space="preserve"> of reduced glutathione (GSH) per minute. Specific activity was expressed as </w:t>
      </w:r>
      <m:oMath>
        <m:sSup>
          <m:sSupPr>
            <m:ctrlPr>
              <w:rPr>
                <w:rFonts w:ascii="Cambria Math" w:hAnsi="Cambria Math" w:cs="Times New Roman"/>
                <w:bCs/>
              </w:rPr>
            </m:ctrlPr>
          </m:sSupPr>
          <m:e>
            <m:r>
              <m:rPr>
                <m:nor/>
              </m:rPr>
              <w:rPr>
                <w:rFonts w:ascii="Times New Roman" w:hAnsi="Times New Roman" w:cs="Times New Roman"/>
                <w:bCs/>
              </w:rPr>
              <m:t>U mg</m:t>
            </m:r>
          </m:e>
          <m:sup>
            <m:r>
              <w:rPr>
                <w:rFonts w:ascii="Cambria Math" w:hAnsi="Cambria Math" w:cs="Times New Roman"/>
              </w:rPr>
              <m:t>-1</m:t>
            </m:r>
          </m:sup>
        </m:sSup>
        <m:r>
          <m:rPr>
            <m:nor/>
          </m:rPr>
          <w:rPr>
            <w:rFonts w:ascii="Times New Roman" w:hAnsi="Times New Roman" w:cs="Times New Roman"/>
            <w:bCs/>
          </w:rPr>
          <m:t> protein</m:t>
        </m:r>
      </m:oMath>
      <w:r w:rsidR="00987C23" w:rsidRPr="005A2629">
        <w:rPr>
          <w:rFonts w:ascii="Times New Roman" w:hAnsi="Times New Roman" w:cs="Times New Roman"/>
          <w:bCs/>
        </w:rPr>
        <w:t>.</w:t>
      </w:r>
    </w:p>
    <w:p w14:paraId="33DF2839" w14:textId="77777777" w:rsidR="00A07800" w:rsidRPr="005A2629" w:rsidRDefault="00A07800" w:rsidP="004A2C55">
      <w:pPr>
        <w:pStyle w:val="BodyText"/>
        <w:spacing w:before="144" w:line="276" w:lineRule="auto"/>
        <w:jc w:val="both"/>
        <w:rPr>
          <w:rFonts w:ascii="Times New Roman" w:hAnsi="Times New Roman" w:cs="Times New Roman"/>
          <w:bCs/>
        </w:rPr>
      </w:pPr>
    </w:p>
    <w:p w14:paraId="1316EAAE" w14:textId="77777777" w:rsidR="00C13E89" w:rsidRPr="005A2629" w:rsidRDefault="00A9426C" w:rsidP="004A2C55">
      <w:pPr>
        <w:spacing w:line="276" w:lineRule="auto"/>
        <w:jc w:val="both"/>
        <w:rPr>
          <w:rFonts w:ascii="Times New Roman" w:hAnsi="Times New Roman" w:cs="Times New Roman"/>
          <w:sz w:val="24"/>
          <w:szCs w:val="24"/>
        </w:rPr>
      </w:pPr>
      <w:r w:rsidRPr="005A2629">
        <w:rPr>
          <w:rFonts w:ascii="Times New Roman" w:hAnsi="Times New Roman"/>
          <w:b/>
          <w:sz w:val="24"/>
          <w:lang w:val="en-GB"/>
        </w:rPr>
        <w:t>Statistical Analysis</w:t>
      </w:r>
    </w:p>
    <w:p w14:paraId="7135C2C4" w14:textId="77777777" w:rsidR="00962AC6" w:rsidRPr="005A2629" w:rsidRDefault="00C13E89" w:rsidP="00A07800">
      <w:pPr>
        <w:spacing w:line="276" w:lineRule="auto"/>
        <w:jc w:val="both"/>
        <w:rPr>
          <w:rFonts w:ascii="Times New Roman" w:hAnsi="Times New Roman" w:cs="Times New Roman"/>
          <w:bCs/>
          <w:sz w:val="24"/>
          <w:szCs w:val="24"/>
        </w:rPr>
      </w:pPr>
      <w:r w:rsidRPr="005A2629">
        <w:rPr>
          <w:rFonts w:ascii="Times New Roman" w:hAnsi="Times New Roman" w:cs="Times New Roman"/>
          <w:bCs/>
          <w:sz w:val="24"/>
          <w:szCs w:val="24"/>
        </w:rPr>
        <w:t xml:space="preserve">All experimental data are </w:t>
      </w:r>
      <w:r w:rsidR="00A07800" w:rsidRPr="005A2629">
        <w:rPr>
          <w:rFonts w:ascii="Times New Roman" w:hAnsi="Times New Roman" w:cs="Times New Roman"/>
          <w:bCs/>
          <w:sz w:val="24"/>
          <w:szCs w:val="24"/>
        </w:rPr>
        <w:t>expressed</w:t>
      </w:r>
      <w:r w:rsidRPr="005A2629">
        <w:rPr>
          <w:rFonts w:ascii="Times New Roman" w:hAnsi="Times New Roman" w:cs="Times New Roman"/>
          <w:bCs/>
          <w:sz w:val="24"/>
          <w:szCs w:val="24"/>
        </w:rPr>
        <w:t xml:space="preserve"> as the mean </w:t>
      </w:r>
      <m:oMath>
        <m:r>
          <w:rPr>
            <w:rFonts w:ascii="Cambria Math" w:hAnsi="Cambria Math" w:cs="Times New Roman"/>
            <w:sz w:val="24"/>
            <w:szCs w:val="24"/>
          </w:rPr>
          <m:t>±</m:t>
        </m:r>
      </m:oMath>
      <w:r w:rsidRPr="005A2629">
        <w:rPr>
          <w:rFonts w:ascii="Times New Roman" w:hAnsi="Times New Roman" w:cs="Times New Roman"/>
          <w:bCs/>
          <w:sz w:val="24"/>
          <w:szCs w:val="24"/>
        </w:rPr>
        <w:t xml:space="preserve"> standard error (SE). Statistical analyses were performed using SPSS software (version 16.0). </w:t>
      </w:r>
      <w:r w:rsidR="00D657C5" w:rsidRPr="005A2629">
        <w:rPr>
          <w:rFonts w:ascii="Times New Roman" w:hAnsi="Times New Roman" w:cs="Times New Roman"/>
          <w:bCs/>
          <w:sz w:val="24"/>
          <w:szCs w:val="24"/>
        </w:rPr>
        <w:t>Normality and homogeneity of variance were verified before statistical analysis. Differences among salinity treatments were analysed using one-way analysis of variance (ANOVA).</w:t>
      </w:r>
      <w:r w:rsidR="00A07800" w:rsidRPr="005A2629">
        <w:rPr>
          <w:rFonts w:ascii="Times New Roman" w:hAnsi="Times New Roman" w:cs="Times New Roman"/>
          <w:bCs/>
          <w:sz w:val="24"/>
          <w:szCs w:val="24"/>
        </w:rPr>
        <w:t xml:space="preserve"> </w:t>
      </w:r>
      <w:r w:rsidR="00D657C5" w:rsidRPr="005A2629">
        <w:rPr>
          <w:rFonts w:ascii="Times New Roman" w:hAnsi="Times New Roman" w:cs="Times New Roman"/>
          <w:bCs/>
          <w:sz w:val="24"/>
          <w:szCs w:val="24"/>
        </w:rPr>
        <w:t>When significant differences (P &lt; 0.05) were detected, treatment means were separated using Tukey’s honestly significant difference (HSD) test.</w:t>
      </w:r>
    </w:p>
    <w:p w14:paraId="367DC3D4" w14:textId="77777777" w:rsidR="00771CCB" w:rsidRPr="005A2629" w:rsidRDefault="008D2C1E" w:rsidP="00A96FF0">
      <w:pPr>
        <w:spacing w:after="0" w:line="360" w:lineRule="auto"/>
        <w:jc w:val="both"/>
        <w:rPr>
          <w:rFonts w:ascii="Times New Roman" w:hAnsi="Times New Roman" w:cs="Times New Roman"/>
          <w:b/>
          <w:bCs/>
          <w:sz w:val="28"/>
          <w:szCs w:val="28"/>
        </w:rPr>
      </w:pPr>
      <w:r w:rsidRPr="005A2629">
        <w:rPr>
          <w:rFonts w:ascii="Times New Roman" w:hAnsi="Times New Roman" w:cs="Times New Roman"/>
          <w:b/>
          <w:bCs/>
          <w:sz w:val="28"/>
          <w:szCs w:val="28"/>
          <w:lang w:val="en-GB"/>
        </w:rPr>
        <w:t>Results</w:t>
      </w:r>
    </w:p>
    <w:p w14:paraId="11CE61C7" w14:textId="77777777" w:rsidR="00A96FF0" w:rsidRPr="005A2629" w:rsidRDefault="00A96FF0" w:rsidP="00A96FF0">
      <w:pPr>
        <w:spacing w:line="240" w:lineRule="auto"/>
        <w:jc w:val="both"/>
        <w:rPr>
          <w:rFonts w:ascii="Times New Roman" w:hAnsi="Times New Roman" w:cs="Times New Roman"/>
          <w:b/>
          <w:bCs/>
          <w:sz w:val="24"/>
          <w:szCs w:val="24"/>
        </w:rPr>
      </w:pPr>
      <w:r w:rsidRPr="005A2629">
        <w:rPr>
          <w:rFonts w:ascii="Times New Roman" w:hAnsi="Times New Roman" w:cs="Times New Roman"/>
          <w:b/>
          <w:bCs/>
          <w:sz w:val="24"/>
          <w:szCs w:val="24"/>
          <w:lang w:val="en-GB"/>
        </w:rPr>
        <w:t xml:space="preserve">Growth Performance </w:t>
      </w:r>
      <w:r w:rsidR="00933CDE" w:rsidRPr="005A2629">
        <w:rPr>
          <w:rFonts w:ascii="Times New Roman" w:hAnsi="Times New Roman" w:cs="Times New Roman"/>
          <w:b/>
          <w:bCs/>
          <w:sz w:val="24"/>
          <w:szCs w:val="24"/>
          <w:lang w:val="en-GB"/>
        </w:rPr>
        <w:t>under Different Salinity Levels</w:t>
      </w:r>
    </w:p>
    <w:p w14:paraId="3589C6E4" w14:textId="77777777" w:rsidR="00504D35" w:rsidRPr="005A2629" w:rsidRDefault="00933CDE" w:rsidP="004E0052">
      <w:pPr>
        <w:spacing w:line="240" w:lineRule="auto"/>
        <w:jc w:val="both"/>
        <w:rPr>
          <w:rFonts w:ascii="Times New Roman" w:hAnsi="Times New Roman" w:cs="Times New Roman"/>
          <w:sz w:val="24"/>
          <w:szCs w:val="24"/>
        </w:rPr>
      </w:pPr>
      <w:r w:rsidRPr="005A2629">
        <w:rPr>
          <w:rFonts w:ascii="Times New Roman" w:hAnsi="Times New Roman"/>
          <w:sz w:val="24"/>
          <w:lang w:val="en-GB"/>
        </w:rPr>
        <w:t>The growth-performance parameters of juvenile silver pompano (</w:t>
      </w:r>
      <w:r w:rsidRPr="005A2629">
        <w:rPr>
          <w:rFonts w:ascii="Times New Roman" w:hAnsi="Times New Roman"/>
          <w:i/>
          <w:sz w:val="24"/>
          <w:lang w:val="en-GB"/>
        </w:rPr>
        <w:t>Trachinotus blochii</w:t>
      </w:r>
      <w:r w:rsidRPr="005A2629">
        <w:rPr>
          <w:rFonts w:ascii="Times New Roman" w:hAnsi="Times New Roman"/>
          <w:sz w:val="24"/>
          <w:lang w:val="en-GB"/>
        </w:rPr>
        <w:t>) reared at different salinity levels in a periphyton-based culture system over the 60-day experimental period are presented in Table 1. The treatment groups showed no significant differences in initial body weight (P &gt; 0.05), indicating that the fish were statistically comparable before the experiment began. After 60 days, salinity significantly influenced the growth performance of the experimental fish (P &lt; 0.05). Fish reared at 15 ppt (T2) exhibited the highest final body weight, total weight gain, weight gain percentage, and specific growth rate, whereas fish maintained at 35 ppt (C1) and 5 ppt (T3) showed comparatively lower growth performance. These findings indicate that an intermediate salinity of 15 ppt provided the most favourable conditions for growth under the present experimental conditions.</w:t>
      </w:r>
    </w:p>
    <w:tbl>
      <w:tblPr>
        <w:tblStyle w:val="TableGrid"/>
        <w:tblW w:w="0" w:type="auto"/>
        <w:tblLook w:val="04A0" w:firstRow="1" w:lastRow="0" w:firstColumn="1" w:lastColumn="0" w:noHBand="0" w:noVBand="1"/>
      </w:tblPr>
      <w:tblGrid>
        <w:gridCol w:w="1861"/>
        <w:gridCol w:w="1984"/>
        <w:gridCol w:w="1731"/>
        <w:gridCol w:w="1722"/>
        <w:gridCol w:w="1718"/>
      </w:tblGrid>
      <w:tr w:rsidR="00504D35" w:rsidRPr="005A2629" w14:paraId="36FA62E7" w14:textId="77777777" w:rsidTr="004E0052">
        <w:tc>
          <w:tcPr>
            <w:tcW w:w="1861" w:type="dxa"/>
          </w:tcPr>
          <w:p w14:paraId="019FEA21" w14:textId="77777777" w:rsidR="00504D35" w:rsidRPr="005A2629" w:rsidRDefault="00504D35" w:rsidP="007167C0">
            <w:pPr>
              <w:spacing w:line="360" w:lineRule="auto"/>
            </w:pPr>
            <w:r w:rsidRPr="005A2629">
              <w:rPr>
                <w:rFonts w:ascii="Times New Roman" w:hAnsi="Times New Roman" w:cs="Times New Roman"/>
                <w:b/>
                <w:bCs/>
                <w:lang w:val="en-US"/>
              </w:rPr>
              <w:t>Treatment</w:t>
            </w:r>
          </w:p>
        </w:tc>
        <w:tc>
          <w:tcPr>
            <w:tcW w:w="1984" w:type="dxa"/>
          </w:tcPr>
          <w:p w14:paraId="6EE5AA89" w14:textId="77777777" w:rsidR="00504D35" w:rsidRPr="005A2629" w:rsidRDefault="00504D35" w:rsidP="007167C0">
            <w:pPr>
              <w:spacing w:line="360" w:lineRule="auto"/>
              <w:jc w:val="right"/>
            </w:pPr>
            <w:r w:rsidRPr="005A2629">
              <w:rPr>
                <w:rFonts w:ascii="Times New Roman" w:hAnsi="Times New Roman" w:cs="Times New Roman"/>
                <w:b/>
                <w:bCs/>
                <w:lang w:val="en-US"/>
              </w:rPr>
              <w:t>C1</w:t>
            </w:r>
          </w:p>
        </w:tc>
        <w:tc>
          <w:tcPr>
            <w:tcW w:w="1731" w:type="dxa"/>
          </w:tcPr>
          <w:p w14:paraId="7BCC2C99" w14:textId="77777777" w:rsidR="00504D35" w:rsidRPr="005A2629" w:rsidRDefault="00504D35" w:rsidP="007167C0">
            <w:pPr>
              <w:spacing w:line="360" w:lineRule="auto"/>
              <w:jc w:val="right"/>
            </w:pPr>
            <w:r w:rsidRPr="005A2629">
              <w:rPr>
                <w:rFonts w:ascii="Times New Roman" w:hAnsi="Times New Roman" w:cs="Times New Roman"/>
                <w:b/>
                <w:bCs/>
                <w:lang w:val="en-US"/>
              </w:rPr>
              <w:t>T1</w:t>
            </w:r>
          </w:p>
        </w:tc>
        <w:tc>
          <w:tcPr>
            <w:tcW w:w="1722" w:type="dxa"/>
          </w:tcPr>
          <w:p w14:paraId="62D7E570" w14:textId="77777777" w:rsidR="00504D35" w:rsidRPr="005A2629" w:rsidRDefault="00504D35" w:rsidP="007167C0">
            <w:pPr>
              <w:spacing w:line="360" w:lineRule="auto"/>
              <w:jc w:val="right"/>
            </w:pPr>
            <w:r w:rsidRPr="005A2629">
              <w:rPr>
                <w:rFonts w:ascii="Times New Roman" w:hAnsi="Times New Roman" w:cs="Times New Roman"/>
                <w:b/>
                <w:bCs/>
                <w:lang w:val="en-US"/>
              </w:rPr>
              <w:t>T2</w:t>
            </w:r>
          </w:p>
        </w:tc>
        <w:tc>
          <w:tcPr>
            <w:tcW w:w="1718" w:type="dxa"/>
          </w:tcPr>
          <w:p w14:paraId="0F89DD45" w14:textId="77777777" w:rsidR="00504D35" w:rsidRPr="005A2629" w:rsidRDefault="00504D35" w:rsidP="007167C0">
            <w:pPr>
              <w:spacing w:line="360" w:lineRule="auto"/>
              <w:jc w:val="right"/>
              <w:rPr>
                <w:rFonts w:ascii="Times New Roman" w:hAnsi="Times New Roman" w:cs="Times New Roman"/>
                <w:b/>
                <w:bCs/>
                <w:lang w:val="en-US"/>
              </w:rPr>
            </w:pPr>
            <w:r w:rsidRPr="005A2629">
              <w:rPr>
                <w:rFonts w:ascii="Times New Roman" w:hAnsi="Times New Roman" w:cs="Times New Roman"/>
                <w:b/>
                <w:bCs/>
                <w:lang w:val="en-US"/>
              </w:rPr>
              <w:t>T3</w:t>
            </w:r>
          </w:p>
        </w:tc>
      </w:tr>
      <w:tr w:rsidR="00504D35" w:rsidRPr="005A2629" w14:paraId="28FB007C" w14:textId="77777777" w:rsidTr="004E0052">
        <w:tc>
          <w:tcPr>
            <w:tcW w:w="1861" w:type="dxa"/>
          </w:tcPr>
          <w:p w14:paraId="3EB112A8" w14:textId="77777777" w:rsidR="00504D35" w:rsidRPr="005A2629" w:rsidRDefault="00504D35" w:rsidP="007167C0">
            <w:pPr>
              <w:spacing w:line="360" w:lineRule="auto"/>
              <w:jc w:val="both"/>
              <w:rPr>
                <w:rFonts w:ascii="Times New Roman" w:hAnsi="Times New Roman" w:cs="Times New Roman"/>
              </w:rPr>
            </w:pPr>
            <w:r w:rsidRPr="005A2629">
              <w:rPr>
                <w:rFonts w:ascii="Times New Roman" w:hAnsi="Times New Roman" w:cs="Times New Roman"/>
                <w:b/>
                <w:bCs/>
                <w:lang w:val="en-US"/>
              </w:rPr>
              <w:t>Initial MBW(g)</w:t>
            </w:r>
          </w:p>
        </w:tc>
        <w:tc>
          <w:tcPr>
            <w:tcW w:w="1984" w:type="dxa"/>
          </w:tcPr>
          <w:p w14:paraId="2A258F99" w14:textId="77777777" w:rsidR="00504D35" w:rsidRPr="005A2629" w:rsidRDefault="00504D35" w:rsidP="007167C0">
            <w:pPr>
              <w:spacing w:line="360" w:lineRule="auto"/>
              <w:jc w:val="right"/>
            </w:pPr>
            <w:r w:rsidRPr="005A2629">
              <w:rPr>
                <w:rFonts w:ascii="Times New Roman" w:hAnsi="Times New Roman" w:cs="Times New Roman"/>
                <w:lang w:val="en-US"/>
              </w:rPr>
              <w:t>1.75± 0.160</w:t>
            </w:r>
            <w:r w:rsidRPr="005A2629">
              <w:rPr>
                <w:rFonts w:ascii="Times New Roman" w:hAnsi="Times New Roman" w:cs="Times New Roman"/>
              </w:rPr>
              <w:t>ᵃ</w:t>
            </w:r>
          </w:p>
        </w:tc>
        <w:tc>
          <w:tcPr>
            <w:tcW w:w="1731" w:type="dxa"/>
          </w:tcPr>
          <w:p w14:paraId="7E02AEE1" w14:textId="77777777" w:rsidR="00504D35" w:rsidRPr="005A2629" w:rsidRDefault="00504D35" w:rsidP="007167C0">
            <w:pPr>
              <w:spacing w:line="360" w:lineRule="auto"/>
              <w:jc w:val="right"/>
            </w:pPr>
            <w:r w:rsidRPr="005A2629">
              <w:rPr>
                <w:rFonts w:ascii="Times New Roman" w:hAnsi="Times New Roman" w:cs="Times New Roman"/>
                <w:lang w:val="en-US"/>
              </w:rPr>
              <w:t>1.91± 0.185</w:t>
            </w:r>
            <w:r w:rsidRPr="005A2629">
              <w:rPr>
                <w:rFonts w:ascii="Times New Roman" w:hAnsi="Times New Roman" w:cs="Times New Roman"/>
              </w:rPr>
              <w:t>ᵃ</w:t>
            </w:r>
          </w:p>
        </w:tc>
        <w:tc>
          <w:tcPr>
            <w:tcW w:w="1722" w:type="dxa"/>
            <w:vAlign w:val="center"/>
          </w:tcPr>
          <w:p w14:paraId="47FBE6D2" w14:textId="77777777" w:rsidR="00504D35" w:rsidRPr="005A2629" w:rsidRDefault="00504D35" w:rsidP="007167C0">
            <w:pPr>
              <w:spacing w:line="360" w:lineRule="auto"/>
              <w:jc w:val="right"/>
            </w:pPr>
            <w:r w:rsidRPr="005A2629">
              <w:rPr>
                <w:rFonts w:ascii="Times New Roman" w:hAnsi="Times New Roman" w:cs="Times New Roman"/>
                <w:lang w:val="en-US"/>
              </w:rPr>
              <w:t>2.18± 0.440</w:t>
            </w:r>
            <w:r w:rsidRPr="005A2629">
              <w:rPr>
                <w:rFonts w:ascii="Times New Roman" w:hAnsi="Times New Roman" w:cs="Times New Roman"/>
              </w:rPr>
              <w:t>ᵃ</w:t>
            </w:r>
          </w:p>
        </w:tc>
        <w:tc>
          <w:tcPr>
            <w:tcW w:w="1718" w:type="dxa"/>
            <w:vAlign w:val="center"/>
          </w:tcPr>
          <w:p w14:paraId="25D2F483" w14:textId="77777777" w:rsidR="00504D35" w:rsidRPr="005A2629" w:rsidRDefault="00504D35" w:rsidP="007167C0">
            <w:pPr>
              <w:spacing w:line="360" w:lineRule="auto"/>
              <w:jc w:val="right"/>
            </w:pPr>
            <w:r w:rsidRPr="005A2629">
              <w:rPr>
                <w:rFonts w:ascii="Times New Roman" w:hAnsi="Times New Roman" w:cs="Times New Roman"/>
                <w:lang w:val="en-US"/>
              </w:rPr>
              <w:t>1.64± 0.102</w:t>
            </w:r>
            <w:r w:rsidRPr="005A2629">
              <w:rPr>
                <w:rFonts w:ascii="Times New Roman" w:hAnsi="Times New Roman" w:cs="Times New Roman"/>
              </w:rPr>
              <w:t>ᵃ</w:t>
            </w:r>
          </w:p>
        </w:tc>
      </w:tr>
      <w:tr w:rsidR="00504D35" w:rsidRPr="005A2629" w14:paraId="218E7A33" w14:textId="77777777" w:rsidTr="004E0052">
        <w:tc>
          <w:tcPr>
            <w:tcW w:w="1861" w:type="dxa"/>
          </w:tcPr>
          <w:p w14:paraId="404E660B" w14:textId="77777777" w:rsidR="00504D35" w:rsidRPr="005A2629" w:rsidRDefault="00504D35" w:rsidP="007167C0">
            <w:pPr>
              <w:spacing w:line="360" w:lineRule="auto"/>
              <w:jc w:val="both"/>
              <w:rPr>
                <w:rFonts w:ascii="Times New Roman" w:hAnsi="Times New Roman" w:cs="Times New Roman"/>
              </w:rPr>
            </w:pPr>
            <w:r w:rsidRPr="005A2629">
              <w:rPr>
                <w:rFonts w:ascii="Times New Roman" w:hAnsi="Times New Roman" w:cs="Times New Roman"/>
                <w:b/>
                <w:bCs/>
                <w:lang w:val="en-US"/>
              </w:rPr>
              <w:t>Final MBW(g)</w:t>
            </w:r>
          </w:p>
        </w:tc>
        <w:tc>
          <w:tcPr>
            <w:tcW w:w="1984" w:type="dxa"/>
          </w:tcPr>
          <w:p w14:paraId="1AAD9B66" w14:textId="77777777" w:rsidR="00504D35" w:rsidRPr="005A2629" w:rsidRDefault="00504D35" w:rsidP="007167C0">
            <w:pPr>
              <w:spacing w:line="360" w:lineRule="auto"/>
              <w:jc w:val="right"/>
            </w:pPr>
            <w:r w:rsidRPr="005A2629">
              <w:rPr>
                <w:rFonts w:ascii="Times New Roman" w:hAnsi="Times New Roman" w:cs="Times New Roman"/>
                <w:lang w:val="en-US"/>
              </w:rPr>
              <w:t>5.78± 0.577</w:t>
            </w:r>
            <w:r w:rsidRPr="005A2629">
              <w:rPr>
                <w:rFonts w:ascii="Times New Roman" w:hAnsi="Times New Roman" w:cs="Times New Roman"/>
              </w:rPr>
              <w:t>ᵈ</w:t>
            </w:r>
          </w:p>
        </w:tc>
        <w:tc>
          <w:tcPr>
            <w:tcW w:w="1731" w:type="dxa"/>
            <w:vAlign w:val="center"/>
          </w:tcPr>
          <w:p w14:paraId="112F6502" w14:textId="77777777" w:rsidR="00504D35" w:rsidRPr="005A2629" w:rsidRDefault="00504D35" w:rsidP="007167C0">
            <w:pPr>
              <w:spacing w:line="360" w:lineRule="auto"/>
              <w:jc w:val="right"/>
            </w:pPr>
            <w:r w:rsidRPr="005A2629">
              <w:rPr>
                <w:rFonts w:ascii="Times New Roman" w:hAnsi="Times New Roman" w:cs="Times New Roman"/>
                <w:lang w:val="en-US"/>
              </w:rPr>
              <w:t>12.49 ± 0.793</w:t>
            </w:r>
            <w:r w:rsidRPr="005A2629">
              <w:rPr>
                <w:rFonts w:ascii="Times New Roman" w:hAnsi="Times New Roman" w:cs="Times New Roman"/>
              </w:rPr>
              <w:t>ᵇ</w:t>
            </w:r>
          </w:p>
        </w:tc>
        <w:tc>
          <w:tcPr>
            <w:tcW w:w="1722" w:type="dxa"/>
          </w:tcPr>
          <w:p w14:paraId="6242C61B" w14:textId="77777777" w:rsidR="00504D35" w:rsidRPr="005A2629" w:rsidRDefault="00504D35" w:rsidP="007167C0">
            <w:pPr>
              <w:spacing w:line="360" w:lineRule="auto"/>
              <w:jc w:val="right"/>
            </w:pPr>
            <w:r w:rsidRPr="005A2629">
              <w:rPr>
                <w:rFonts w:ascii="Times New Roman" w:hAnsi="Times New Roman" w:cs="Times New Roman"/>
                <w:lang w:val="en-US"/>
              </w:rPr>
              <w:t>15.3 ± 0.965</w:t>
            </w:r>
            <w:r w:rsidRPr="005A2629">
              <w:rPr>
                <w:rFonts w:ascii="Times New Roman" w:hAnsi="Times New Roman" w:cs="Times New Roman"/>
              </w:rPr>
              <w:t>ᵃ</w:t>
            </w:r>
          </w:p>
        </w:tc>
        <w:tc>
          <w:tcPr>
            <w:tcW w:w="1718" w:type="dxa"/>
            <w:vAlign w:val="center"/>
          </w:tcPr>
          <w:p w14:paraId="36B6E57B" w14:textId="77777777" w:rsidR="00504D35" w:rsidRPr="005A2629" w:rsidRDefault="00504D35" w:rsidP="007167C0">
            <w:pPr>
              <w:spacing w:line="360" w:lineRule="auto"/>
              <w:jc w:val="right"/>
            </w:pPr>
            <w:r w:rsidRPr="005A2629">
              <w:rPr>
                <w:rFonts w:ascii="Times New Roman" w:hAnsi="Times New Roman" w:cs="Times New Roman"/>
                <w:lang w:val="en-US"/>
              </w:rPr>
              <w:t>8.47 ± 1.075</w:t>
            </w:r>
            <w:r w:rsidRPr="005A2629">
              <w:rPr>
                <w:rFonts w:ascii="Times New Roman" w:hAnsi="Times New Roman" w:cs="Times New Roman"/>
              </w:rPr>
              <w:t>ᶜ</w:t>
            </w:r>
          </w:p>
        </w:tc>
      </w:tr>
      <w:tr w:rsidR="00504D35" w:rsidRPr="005A2629" w14:paraId="7A6B2820" w14:textId="77777777" w:rsidTr="004E0052">
        <w:tc>
          <w:tcPr>
            <w:tcW w:w="1861" w:type="dxa"/>
          </w:tcPr>
          <w:p w14:paraId="71F2BA2F" w14:textId="77777777" w:rsidR="00504D35" w:rsidRPr="005A2629" w:rsidRDefault="00504D35" w:rsidP="007167C0">
            <w:pPr>
              <w:spacing w:line="360" w:lineRule="auto"/>
              <w:rPr>
                <w:rFonts w:ascii="Times New Roman" w:hAnsi="Times New Roman" w:cs="Times New Roman"/>
                <w:b/>
                <w:bCs/>
              </w:rPr>
            </w:pPr>
            <w:r w:rsidRPr="005A2629">
              <w:rPr>
                <w:rFonts w:ascii="Times New Roman" w:hAnsi="Times New Roman" w:cs="Times New Roman"/>
                <w:b/>
                <w:bCs/>
              </w:rPr>
              <w:t>Total WG(g)</w:t>
            </w:r>
          </w:p>
        </w:tc>
        <w:tc>
          <w:tcPr>
            <w:tcW w:w="1984" w:type="dxa"/>
          </w:tcPr>
          <w:p w14:paraId="07DD9E1B" w14:textId="77777777" w:rsidR="00504D35" w:rsidRPr="005A2629" w:rsidRDefault="00504D35" w:rsidP="007167C0">
            <w:pPr>
              <w:spacing w:line="360" w:lineRule="auto"/>
              <w:jc w:val="right"/>
            </w:pPr>
            <w:r w:rsidRPr="005A2629">
              <w:rPr>
                <w:rFonts w:ascii="Times New Roman" w:hAnsi="Times New Roman" w:cs="Times New Roman"/>
              </w:rPr>
              <w:t>4.03 ±0.475ᵈ</w:t>
            </w:r>
          </w:p>
        </w:tc>
        <w:tc>
          <w:tcPr>
            <w:tcW w:w="1731" w:type="dxa"/>
          </w:tcPr>
          <w:p w14:paraId="5C071D31" w14:textId="77777777" w:rsidR="00504D35" w:rsidRPr="005A2629" w:rsidRDefault="00504D35" w:rsidP="007167C0">
            <w:pPr>
              <w:spacing w:line="360" w:lineRule="auto"/>
              <w:jc w:val="right"/>
            </w:pPr>
            <w:r w:rsidRPr="005A2629">
              <w:rPr>
                <w:rFonts w:ascii="Times New Roman" w:hAnsi="Times New Roman" w:cs="Times New Roman"/>
              </w:rPr>
              <w:t>10.58± 0.608ᵇ</w:t>
            </w:r>
          </w:p>
        </w:tc>
        <w:tc>
          <w:tcPr>
            <w:tcW w:w="1722" w:type="dxa"/>
          </w:tcPr>
          <w:p w14:paraId="17F7C129" w14:textId="77777777" w:rsidR="00504D35" w:rsidRPr="005A2629" w:rsidRDefault="00504D35" w:rsidP="007167C0">
            <w:pPr>
              <w:spacing w:line="360" w:lineRule="auto"/>
              <w:jc w:val="right"/>
            </w:pPr>
            <w:r w:rsidRPr="005A2629">
              <w:rPr>
                <w:rFonts w:ascii="Times New Roman" w:hAnsi="Times New Roman" w:cs="Times New Roman"/>
              </w:rPr>
              <w:t>13.12± 0.525ᵃ</w:t>
            </w:r>
          </w:p>
        </w:tc>
        <w:tc>
          <w:tcPr>
            <w:tcW w:w="1718" w:type="dxa"/>
          </w:tcPr>
          <w:p w14:paraId="16BA0C00" w14:textId="77777777" w:rsidR="00504D35" w:rsidRPr="005A2629" w:rsidRDefault="00504D35" w:rsidP="007167C0">
            <w:pPr>
              <w:spacing w:line="360" w:lineRule="auto"/>
              <w:jc w:val="right"/>
            </w:pPr>
            <w:r w:rsidRPr="005A2629">
              <w:rPr>
                <w:rFonts w:ascii="Times New Roman" w:hAnsi="Times New Roman" w:cs="Times New Roman"/>
              </w:rPr>
              <w:t>6.83± 0.973ᶜ</w:t>
            </w:r>
          </w:p>
        </w:tc>
      </w:tr>
      <w:tr w:rsidR="00504D35" w:rsidRPr="005A2629" w14:paraId="16D4C58D" w14:textId="77777777" w:rsidTr="004E0052">
        <w:tc>
          <w:tcPr>
            <w:tcW w:w="1861" w:type="dxa"/>
          </w:tcPr>
          <w:p w14:paraId="7BEF4271" w14:textId="77777777" w:rsidR="00504D35" w:rsidRPr="005A2629" w:rsidRDefault="00504D35" w:rsidP="007167C0">
            <w:pPr>
              <w:spacing w:line="360" w:lineRule="auto"/>
              <w:jc w:val="both"/>
              <w:rPr>
                <w:rFonts w:ascii="Times New Roman" w:hAnsi="Times New Roman" w:cs="Times New Roman"/>
                <w:b/>
                <w:bCs/>
              </w:rPr>
            </w:pPr>
            <w:r w:rsidRPr="005A2629">
              <w:rPr>
                <w:rFonts w:ascii="Times New Roman" w:hAnsi="Times New Roman" w:cs="Times New Roman"/>
                <w:b/>
                <w:bCs/>
              </w:rPr>
              <w:t>Weight gain (%)</w:t>
            </w:r>
            <w:r w:rsidRPr="005A2629">
              <w:rPr>
                <w:rFonts w:ascii="Times New Roman" w:eastAsia="Times New Roman" w:hAnsi="Times New Roman" w:cs="Times New Roman"/>
                <w:b/>
                <w:bCs/>
                <w:lang w:eastAsia="en-IN"/>
              </w:rPr>
              <w:t xml:space="preserve">  </w:t>
            </w:r>
          </w:p>
        </w:tc>
        <w:tc>
          <w:tcPr>
            <w:tcW w:w="1984" w:type="dxa"/>
          </w:tcPr>
          <w:p w14:paraId="24D4DBC5" w14:textId="77777777" w:rsidR="00504D35" w:rsidRPr="005A2629" w:rsidRDefault="00504D35" w:rsidP="007167C0">
            <w:pPr>
              <w:spacing w:line="360" w:lineRule="auto"/>
              <w:jc w:val="right"/>
              <w:rPr>
                <w:rFonts w:ascii="Times New Roman" w:hAnsi="Times New Roman" w:cs="Times New Roman"/>
              </w:rPr>
            </w:pPr>
            <w:r w:rsidRPr="005A2629">
              <w:rPr>
                <w:rFonts w:ascii="Times New Roman" w:hAnsi="Times New Roman" w:cs="Times New Roman"/>
              </w:rPr>
              <w:t>229.95 ±11.58ᵈ</w:t>
            </w:r>
          </w:p>
        </w:tc>
        <w:tc>
          <w:tcPr>
            <w:tcW w:w="1731" w:type="dxa"/>
          </w:tcPr>
          <w:p w14:paraId="14FFCBA4" w14:textId="77777777" w:rsidR="00504D35" w:rsidRPr="005A2629" w:rsidRDefault="00504D35" w:rsidP="007167C0">
            <w:pPr>
              <w:spacing w:line="360" w:lineRule="auto"/>
              <w:jc w:val="right"/>
            </w:pPr>
            <w:r w:rsidRPr="005A2629">
              <w:rPr>
                <w:rFonts w:ascii="Times New Roman" w:hAnsi="Times New Roman" w:cs="Times New Roman"/>
              </w:rPr>
              <w:t>553.54±228.05ᵇ</w:t>
            </w:r>
          </w:p>
        </w:tc>
        <w:tc>
          <w:tcPr>
            <w:tcW w:w="1722" w:type="dxa"/>
            <w:vAlign w:val="center"/>
          </w:tcPr>
          <w:p w14:paraId="34341976" w14:textId="77777777" w:rsidR="00504D35" w:rsidRPr="005A2629" w:rsidRDefault="00504D35" w:rsidP="007167C0">
            <w:pPr>
              <w:spacing w:line="360" w:lineRule="auto"/>
              <w:jc w:val="right"/>
              <w:rPr>
                <w:rFonts w:ascii="Times New Roman" w:hAnsi="Times New Roman" w:cs="Times New Roman"/>
              </w:rPr>
            </w:pPr>
            <w:r w:rsidRPr="005A2629">
              <w:rPr>
                <w:rFonts w:ascii="Times New Roman" w:hAnsi="Times New Roman" w:cs="Times New Roman"/>
              </w:rPr>
              <w:t>615.77±104.56ᵃ</w:t>
            </w:r>
          </w:p>
        </w:tc>
        <w:tc>
          <w:tcPr>
            <w:tcW w:w="1718" w:type="dxa"/>
            <w:vAlign w:val="center"/>
          </w:tcPr>
          <w:p w14:paraId="4DC19743" w14:textId="77777777" w:rsidR="00504D35" w:rsidRPr="005A2629" w:rsidRDefault="00504D35" w:rsidP="007167C0">
            <w:pPr>
              <w:spacing w:line="360" w:lineRule="auto"/>
              <w:jc w:val="right"/>
              <w:rPr>
                <w:rFonts w:ascii="Times New Roman" w:hAnsi="Times New Roman" w:cs="Times New Roman"/>
              </w:rPr>
            </w:pPr>
            <w:r w:rsidRPr="005A2629">
              <w:rPr>
                <w:rFonts w:ascii="Times New Roman" w:hAnsi="Times New Roman" w:cs="Times New Roman"/>
              </w:rPr>
              <w:t>413.423±32.63ᶜ</w:t>
            </w:r>
          </w:p>
        </w:tc>
      </w:tr>
      <w:tr w:rsidR="00504D35" w:rsidRPr="005A2629" w14:paraId="0F97EB2B" w14:textId="77777777" w:rsidTr="004E0052">
        <w:tc>
          <w:tcPr>
            <w:tcW w:w="1861" w:type="dxa"/>
          </w:tcPr>
          <w:p w14:paraId="7BAB6E63" w14:textId="77777777" w:rsidR="00504D35" w:rsidRPr="005A2629" w:rsidRDefault="00504D35" w:rsidP="007167C0">
            <w:pPr>
              <w:spacing w:line="360" w:lineRule="auto"/>
            </w:pPr>
            <w:r w:rsidRPr="005A2629">
              <w:rPr>
                <w:rFonts w:ascii="Times New Roman" w:hAnsi="Times New Roman" w:cs="Times New Roman"/>
                <w:b/>
                <w:bCs/>
              </w:rPr>
              <w:t>SGR</w:t>
            </w:r>
          </w:p>
        </w:tc>
        <w:tc>
          <w:tcPr>
            <w:tcW w:w="1984" w:type="dxa"/>
          </w:tcPr>
          <w:p w14:paraId="7AB6C6B2" w14:textId="77777777" w:rsidR="00504D35" w:rsidRPr="005A2629" w:rsidRDefault="00504D35" w:rsidP="007167C0">
            <w:pPr>
              <w:spacing w:line="360" w:lineRule="auto"/>
              <w:jc w:val="right"/>
            </w:pPr>
            <w:r w:rsidRPr="005A2629">
              <w:rPr>
                <w:rFonts w:ascii="Times New Roman" w:hAnsi="Times New Roman" w:cs="Times New Roman"/>
              </w:rPr>
              <w:t>2.86± 0.338ᵈ</w:t>
            </w:r>
          </w:p>
        </w:tc>
        <w:tc>
          <w:tcPr>
            <w:tcW w:w="1731" w:type="dxa"/>
          </w:tcPr>
          <w:p w14:paraId="50F188E2" w14:textId="77777777" w:rsidR="00504D35" w:rsidRPr="005A2629" w:rsidRDefault="00504D35" w:rsidP="007167C0">
            <w:pPr>
              <w:spacing w:line="360" w:lineRule="auto"/>
              <w:jc w:val="right"/>
            </w:pPr>
            <w:r w:rsidRPr="005A2629">
              <w:rPr>
                <w:rFonts w:ascii="Times New Roman" w:hAnsi="Times New Roman" w:cs="Times New Roman"/>
              </w:rPr>
              <w:t>9.30± 0.521ᵇ</w:t>
            </w:r>
          </w:p>
        </w:tc>
        <w:tc>
          <w:tcPr>
            <w:tcW w:w="1722" w:type="dxa"/>
          </w:tcPr>
          <w:p w14:paraId="5D1D276F" w14:textId="77777777" w:rsidR="00504D35" w:rsidRPr="005A2629" w:rsidRDefault="00504D35" w:rsidP="007167C0">
            <w:pPr>
              <w:spacing w:line="360" w:lineRule="auto"/>
              <w:jc w:val="right"/>
              <w:rPr>
                <w:rFonts w:ascii="Times New Roman" w:hAnsi="Times New Roman" w:cs="Times New Roman"/>
              </w:rPr>
            </w:pPr>
            <w:r w:rsidRPr="005A2629">
              <w:rPr>
                <w:rFonts w:ascii="Times New Roman" w:hAnsi="Times New Roman" w:cs="Times New Roman"/>
              </w:rPr>
              <w:t>11.66±0.23ᵃ</w:t>
            </w:r>
          </w:p>
        </w:tc>
        <w:tc>
          <w:tcPr>
            <w:tcW w:w="1718" w:type="dxa"/>
          </w:tcPr>
          <w:p w14:paraId="427EA54A" w14:textId="77777777" w:rsidR="00504D35" w:rsidRPr="005A2629" w:rsidRDefault="00504D35" w:rsidP="007167C0">
            <w:pPr>
              <w:spacing w:line="360" w:lineRule="auto"/>
              <w:jc w:val="right"/>
            </w:pPr>
            <w:r w:rsidRPr="005A2629">
              <w:rPr>
                <w:rFonts w:ascii="Times New Roman" w:hAnsi="Times New Roman" w:cs="Times New Roman"/>
              </w:rPr>
              <w:t>5.73± 0.904ᶜ</w:t>
            </w:r>
          </w:p>
        </w:tc>
      </w:tr>
    </w:tbl>
    <w:p w14:paraId="52257795" w14:textId="77777777" w:rsidR="00504D35" w:rsidRPr="005A2629" w:rsidRDefault="00504D35" w:rsidP="00352EA0">
      <w:pPr>
        <w:spacing w:after="240"/>
        <w:ind w:right="-227"/>
        <w:rPr>
          <w:sz w:val="24"/>
          <w:szCs w:val="24"/>
        </w:rPr>
      </w:pPr>
      <w:r w:rsidRPr="005A2629">
        <w:rPr>
          <w:rFonts w:ascii="Times New Roman" w:hAnsi="Times New Roman" w:cs="Times New Roman"/>
          <w:b/>
          <w:bCs/>
          <w:sz w:val="24"/>
          <w:szCs w:val="24"/>
          <w:lang w:val="en-GB"/>
        </w:rPr>
        <w:t xml:space="preserve">Table 1. </w:t>
      </w:r>
      <w:r w:rsidR="00352EA0" w:rsidRPr="005A2629">
        <w:rPr>
          <w:rFonts w:ascii="Times New Roman" w:hAnsi="Times New Roman" w:cs="Times New Roman"/>
          <w:sz w:val="24"/>
          <w:szCs w:val="24"/>
          <w:lang w:val="en-GB"/>
        </w:rPr>
        <w:t>Growth performance of juvenile silver pompano (</w:t>
      </w:r>
      <w:r w:rsidR="00352EA0" w:rsidRPr="005A2629">
        <w:rPr>
          <w:rFonts w:ascii="Times New Roman" w:hAnsi="Times New Roman" w:cs="Times New Roman"/>
          <w:i/>
          <w:iCs/>
          <w:sz w:val="24"/>
          <w:szCs w:val="24"/>
          <w:lang w:val="en-GB"/>
        </w:rPr>
        <w:t xml:space="preserve">Trachinotus </w:t>
      </w:r>
      <w:proofErr w:type="spellStart"/>
      <w:r w:rsidR="00352EA0" w:rsidRPr="005A2629">
        <w:rPr>
          <w:rFonts w:ascii="Times New Roman" w:hAnsi="Times New Roman" w:cs="Times New Roman"/>
          <w:i/>
          <w:iCs/>
          <w:sz w:val="24"/>
          <w:szCs w:val="24"/>
          <w:lang w:val="en-GB"/>
        </w:rPr>
        <w:t>blochii</w:t>
      </w:r>
      <w:proofErr w:type="spellEnd"/>
      <w:r w:rsidR="00352EA0" w:rsidRPr="005A2629">
        <w:rPr>
          <w:rFonts w:ascii="Times New Roman" w:hAnsi="Times New Roman" w:cs="Times New Roman"/>
          <w:sz w:val="24"/>
          <w:szCs w:val="24"/>
          <w:lang w:val="en-GB"/>
        </w:rPr>
        <w:t>) reared under    different salinity levels for 60 days.</w:t>
      </w:r>
    </w:p>
    <w:p w14:paraId="02697A5B" w14:textId="77777777" w:rsidR="00CD67CA" w:rsidRPr="005A2629" w:rsidRDefault="00A30E0B" w:rsidP="004A2C55">
      <w:pPr>
        <w:spacing w:line="240" w:lineRule="auto"/>
        <w:jc w:val="both"/>
        <w:rPr>
          <w:rFonts w:ascii="Times New Roman" w:hAnsi="Times New Roman" w:cs="Times New Roman"/>
          <w:b/>
          <w:bCs/>
          <w:sz w:val="28"/>
          <w:szCs w:val="28"/>
        </w:rPr>
      </w:pPr>
      <w:r w:rsidRPr="005A2629">
        <w:rPr>
          <w:rFonts w:ascii="Times New Roman" w:hAnsi="Times New Roman" w:cs="Times New Roman"/>
          <w:b/>
          <w:bCs/>
          <w:sz w:val="28"/>
          <w:szCs w:val="28"/>
          <w:lang w:val="en-GB"/>
        </w:rPr>
        <w:t>Histopathology</w:t>
      </w:r>
      <w:r w:rsidR="00933CDE" w:rsidRPr="005A2629">
        <w:rPr>
          <w:rFonts w:ascii="Times New Roman" w:hAnsi="Times New Roman" w:cs="Times New Roman"/>
          <w:b/>
          <w:bCs/>
          <w:sz w:val="28"/>
          <w:szCs w:val="28"/>
          <w:lang w:val="en-GB"/>
        </w:rPr>
        <w:t xml:space="preserve"> of Liver</w:t>
      </w:r>
    </w:p>
    <w:p w14:paraId="2387A5C4" w14:textId="77777777" w:rsidR="00CD67CA" w:rsidRPr="005A2629" w:rsidRDefault="00352EA0" w:rsidP="00352EA0">
      <w:pPr>
        <w:spacing w:line="276" w:lineRule="auto"/>
        <w:jc w:val="both"/>
        <w:rPr>
          <w:rFonts w:ascii="Times New Roman" w:hAnsi="Times New Roman" w:cs="Times New Roman"/>
          <w:sz w:val="24"/>
          <w:szCs w:val="24"/>
        </w:rPr>
      </w:pPr>
      <w:r w:rsidRPr="005A2629">
        <w:rPr>
          <w:rFonts w:ascii="Times New Roman" w:hAnsi="Times New Roman"/>
          <w:sz w:val="24"/>
          <w:lang w:val="en-GB"/>
        </w:rPr>
        <w:t>Histopathological examination demonstrated that salinity markedly influenced the structural integrity of the liver and gill tissues of juvenile silver pompano. Fish reared at 15 ppt exhibited nearly normal hepatic and branchial architecture, with only minor cellular alterations, indicating favourable physiological adaptation to this salinity. In contrast, fish exposed to 5 ppt exhibited severe pathological alterations, including hepatocellular degeneration, cytoplasmic vacuolation, pyknotic nuclei, focal necrosis, haemorrhage, epithelial hyperplasia, and lamellar fusion, demonstrating that prolonged exposure to low salinity induced marked tissue damage.</w:t>
      </w:r>
    </w:p>
    <w:p w14:paraId="25EF063B" w14:textId="77777777" w:rsidR="00933CDE" w:rsidRPr="005A2629" w:rsidRDefault="00933CDE" w:rsidP="00352EA0">
      <w:pPr>
        <w:spacing w:line="276" w:lineRule="auto"/>
        <w:jc w:val="both"/>
        <w:rPr>
          <w:rFonts w:ascii="Times New Roman" w:hAnsi="Times New Roman" w:cs="Times New Roman"/>
          <w:sz w:val="24"/>
          <w:szCs w:val="24"/>
        </w:rPr>
      </w:pPr>
    </w:p>
    <w:p w14:paraId="5DCECE7D" w14:textId="77777777" w:rsidR="00933CDE" w:rsidRPr="005A2629" w:rsidRDefault="00933CDE" w:rsidP="00352EA0">
      <w:pPr>
        <w:spacing w:line="276" w:lineRule="auto"/>
        <w:jc w:val="both"/>
        <w:rPr>
          <w:rFonts w:ascii="Times New Roman" w:hAnsi="Times New Roman" w:cs="Times New Roman"/>
          <w:sz w:val="24"/>
          <w:szCs w:val="24"/>
        </w:rPr>
      </w:pPr>
    </w:p>
    <w:p w14:paraId="61D46F12" w14:textId="77777777" w:rsidR="000C6D6A" w:rsidRPr="005A2629" w:rsidRDefault="00F0118F" w:rsidP="00DA7D63">
      <w:pPr>
        <w:spacing w:line="276" w:lineRule="auto"/>
        <w:rPr>
          <w:rFonts w:ascii="Times New Roman" w:hAnsi="Times New Roman" w:cs="Times New Roman"/>
          <w:b/>
          <w:bCs/>
          <w:sz w:val="24"/>
          <w:szCs w:val="24"/>
        </w:rPr>
      </w:pPr>
      <w:r w:rsidRPr="005A2629">
        <w:rPr>
          <w:rFonts w:ascii="Times New Roman" w:hAnsi="Times New Roman" w:cs="Times New Roman"/>
          <w:b/>
          <w:bCs/>
          <w:noProof/>
          <w:sz w:val="24"/>
          <w:szCs w:val="24"/>
          <w:lang w:val="en-GB"/>
        </w:rPr>
        <w:lastRenderedPageBreak/>
        <mc:AlternateContent>
          <mc:Choice Requires="wps">
            <w:drawing>
              <wp:anchor distT="0" distB="0" distL="114300" distR="114300" simplePos="0" relativeHeight="251661312" behindDoc="0" locked="0" layoutInCell="1" allowOverlap="1" wp14:anchorId="73530DBF" wp14:editId="623053BD">
                <wp:simplePos x="0" y="0"/>
                <wp:positionH relativeFrom="column">
                  <wp:posOffset>1607993</wp:posOffset>
                </wp:positionH>
                <wp:positionV relativeFrom="paragraph">
                  <wp:posOffset>24938</wp:posOffset>
                </wp:positionV>
                <wp:extent cx="2756708" cy="1932536"/>
                <wp:effectExtent l="0" t="0" r="24765" b="10795"/>
                <wp:wrapNone/>
                <wp:docPr id="1907625549" name="Text Box 30"/>
                <wp:cNvGraphicFramePr/>
                <a:graphic xmlns:a="http://schemas.openxmlformats.org/drawingml/2006/main">
                  <a:graphicData uri="http://schemas.microsoft.com/office/word/2010/wordprocessingShape">
                    <wps:wsp>
                      <wps:cNvSpPr txBox="1"/>
                      <wps:spPr>
                        <a:xfrm>
                          <a:off x="0" y="0"/>
                          <a:ext cx="2756708" cy="1932536"/>
                        </a:xfrm>
                        <a:prstGeom prst="rect">
                          <a:avLst/>
                        </a:prstGeom>
                        <a:solidFill>
                          <a:schemeClr val="lt1"/>
                        </a:solidFill>
                        <a:ln w="6350">
                          <a:solidFill>
                            <a:schemeClr val="bg1"/>
                          </a:solidFill>
                        </a:ln>
                      </wps:spPr>
                      <wps:txbx>
                        <w:txbxContent>
                          <w:p w14:paraId="5839F081"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7"/>
                                          <a:stretch>
                                            <a:fillRect/>
                                          </a:stretch>
                                        </pic:blipFill>
                                        <pic:spPr>
                                          <a:xfrm>
                                            <a:off x="0" y="0"/>
                                            <a:ext cx="2531634" cy="1835565"/>
                                          </a:xfrm>
                                          <a:prstGeom prst="rect">
                                            <a:avLst/>
                                          </a:prstGeom>
                                        </pic:spPr>
                                      </pic:pic>
                                    </a:graphicData>
                                  </a:graphic>
                                </wp:inline>
                              </w:drawing>
                            </w:r>
                          </w:p>
                          <w:p w14:paraId="41CC65F8" w14:textId="77777777" w:rsidR="00CD67CA" w:rsidRDefault="00CD67CA" w:rsidP="000C6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30DBF" id="_x0000_t202" coordsize="21600,21600" o:spt="202" path="m,l,21600r21600,l21600,xe">
                <v:stroke joinstyle="miter"/>
                <v:path gradientshapeok="t" o:connecttype="rect"/>
              </v:shapetype>
              <v:shape id="Text Box 30" o:spid="_x0000_s1026" type="#_x0000_t202" style="position:absolute;margin-left:126.6pt;margin-top:1.95pt;width:217.05pt;height:15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" fillcolor="white [3201]" strokecolor="white [3212]" strokeweight=".5pt">
                <v:textbox>
                  <w:txbxContent>
                    <w:p w14:paraId="5839F081"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7"/>
                                    <a:stretch>
                                      <a:fillRect/>
                                    </a:stretch>
                                  </pic:blipFill>
                                  <pic:spPr>
                                    <a:xfrm>
                                      <a:off x="0" y="0"/>
                                      <a:ext cx="2531634" cy="1835565"/>
                                    </a:xfrm>
                                    <a:prstGeom prst="rect">
                                      <a:avLst/>
                                    </a:prstGeom>
                                  </pic:spPr>
                                </pic:pic>
                              </a:graphicData>
                            </a:graphic>
                          </wp:inline>
                        </w:drawing>
                      </w:r>
                    </w:p>
                    <w:p w14:paraId="41CC65F8" w14:textId="77777777" w:rsidR="00CD67CA" w:rsidRDefault="00CD67CA" w:rsidP="000C6D6A"/>
                  </w:txbxContent>
                </v:textbox>
              </v:shape>
            </w:pict>
          </mc:Fallback>
        </mc:AlternateContent>
      </w:r>
    </w:p>
    <w:p w14:paraId="2DB5E154" w14:textId="77777777" w:rsidR="000C6D6A" w:rsidRPr="005A2629" w:rsidRDefault="000C6D6A" w:rsidP="000C6D6A">
      <w:pPr>
        <w:rPr>
          <w:rFonts w:ascii="Times New Roman" w:hAnsi="Times New Roman" w:cs="Times New Roman"/>
          <w:b/>
          <w:bCs/>
          <w:sz w:val="24"/>
          <w:szCs w:val="24"/>
        </w:rPr>
      </w:pPr>
    </w:p>
    <w:p w14:paraId="35921A8C" w14:textId="77777777" w:rsidR="000C6D6A" w:rsidRPr="005A2629" w:rsidRDefault="000C6D6A" w:rsidP="000C6D6A">
      <w:pPr>
        <w:rPr>
          <w:rFonts w:ascii="Times New Roman" w:hAnsi="Times New Roman" w:cs="Times New Roman"/>
          <w:b/>
          <w:bCs/>
          <w:sz w:val="24"/>
          <w:szCs w:val="24"/>
        </w:rPr>
      </w:pPr>
    </w:p>
    <w:p w14:paraId="41114E31" w14:textId="77777777" w:rsidR="00DA7D63" w:rsidRPr="005A2629" w:rsidRDefault="00DA7D63" w:rsidP="00E92A71">
      <w:pPr>
        <w:spacing w:line="276" w:lineRule="auto"/>
        <w:jc w:val="both"/>
        <w:rPr>
          <w:rFonts w:ascii="Times New Roman" w:hAnsi="Times New Roman" w:cs="Times New Roman"/>
          <w:b/>
          <w:bCs/>
          <w:sz w:val="24"/>
          <w:szCs w:val="24"/>
        </w:rPr>
      </w:pPr>
    </w:p>
    <w:p w14:paraId="4FF185C4" w14:textId="77777777" w:rsidR="00CD67CA" w:rsidRPr="005A2629" w:rsidRDefault="00CD67CA" w:rsidP="00E92A71">
      <w:pPr>
        <w:spacing w:line="276" w:lineRule="auto"/>
        <w:jc w:val="both"/>
        <w:rPr>
          <w:rFonts w:ascii="Times New Roman" w:hAnsi="Times New Roman" w:cs="Times New Roman"/>
          <w:b/>
          <w:bCs/>
          <w:sz w:val="24"/>
          <w:szCs w:val="24"/>
        </w:rPr>
      </w:pPr>
    </w:p>
    <w:p w14:paraId="7FA5937B" w14:textId="77777777" w:rsidR="00CD67CA" w:rsidRPr="005A2629" w:rsidRDefault="00CD67CA" w:rsidP="00E92A71">
      <w:pPr>
        <w:spacing w:line="276" w:lineRule="auto"/>
        <w:jc w:val="both"/>
        <w:rPr>
          <w:rFonts w:ascii="Times New Roman" w:hAnsi="Times New Roman" w:cs="Times New Roman"/>
          <w:b/>
          <w:bCs/>
          <w:sz w:val="24"/>
          <w:szCs w:val="24"/>
        </w:rPr>
      </w:pPr>
    </w:p>
    <w:p w14:paraId="0E17C960" w14:textId="77777777" w:rsidR="00F224B2" w:rsidRPr="005A2629" w:rsidRDefault="00F224B2" w:rsidP="00E92A71">
      <w:pPr>
        <w:spacing w:line="276" w:lineRule="auto"/>
        <w:jc w:val="both"/>
        <w:rPr>
          <w:rFonts w:ascii="Times New Roman" w:hAnsi="Times New Roman" w:cs="Times New Roman"/>
          <w:b/>
          <w:bCs/>
          <w:sz w:val="24"/>
          <w:szCs w:val="24"/>
        </w:rPr>
      </w:pPr>
    </w:p>
    <w:p w14:paraId="41952CBC" w14:textId="77777777" w:rsidR="00F224B2" w:rsidRPr="005A2629" w:rsidRDefault="000C6D6A" w:rsidP="00E92A71">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t xml:space="preserve">Figure 1.  </w:t>
      </w:r>
      <w:r w:rsidR="00F224B2" w:rsidRPr="005A2629">
        <w:rPr>
          <w:rFonts w:ascii="Times New Roman" w:hAnsi="Times New Roman" w:cs="Times New Roman"/>
          <w:sz w:val="24"/>
          <w:szCs w:val="24"/>
          <w:lang w:val="en-GB"/>
        </w:rPr>
        <w:t>Photomicrograph of hepatic tissue from a juvenile silver pompano (</w:t>
      </w:r>
      <w:r w:rsidR="00F224B2" w:rsidRPr="005A2629">
        <w:rPr>
          <w:rFonts w:ascii="Times New Roman" w:hAnsi="Times New Roman" w:cs="Times New Roman"/>
          <w:i/>
          <w:iCs/>
          <w:sz w:val="24"/>
          <w:szCs w:val="24"/>
          <w:lang w:val="en-GB"/>
        </w:rPr>
        <w:t xml:space="preserve">Trachinotus </w:t>
      </w:r>
      <w:proofErr w:type="spellStart"/>
      <w:r w:rsidR="00F224B2" w:rsidRPr="005A2629">
        <w:rPr>
          <w:rFonts w:ascii="Times New Roman" w:hAnsi="Times New Roman" w:cs="Times New Roman"/>
          <w:i/>
          <w:iCs/>
          <w:sz w:val="24"/>
          <w:szCs w:val="24"/>
          <w:lang w:val="en-GB"/>
        </w:rPr>
        <w:t>blochii</w:t>
      </w:r>
      <w:proofErr w:type="spellEnd"/>
      <w:r w:rsidR="00F224B2" w:rsidRPr="005A2629">
        <w:rPr>
          <w:rFonts w:ascii="Times New Roman" w:hAnsi="Times New Roman" w:cs="Times New Roman"/>
          <w:sz w:val="24"/>
          <w:szCs w:val="24"/>
          <w:lang w:val="en-GB"/>
        </w:rPr>
        <w:t xml:space="preserve">) reared under control conditions (C1, </w:t>
      </w:r>
      <m:oMath>
        <m:r>
          <w:rPr>
            <w:rFonts w:ascii="Cambria Math" w:hAnsi="Cambria Math" w:cs="Times New Roman"/>
            <w:sz w:val="24"/>
            <w:szCs w:val="24"/>
          </w:rPr>
          <m:t>35</m:t>
        </m:r>
        <m:r>
          <m:rPr>
            <m:nor/>
          </m:rPr>
          <w:rPr>
            <w:rFonts w:ascii="Times New Roman" w:hAnsi="Times New Roman" w:cs="Times New Roman"/>
            <w:sz w:val="24"/>
            <w:szCs w:val="24"/>
          </w:rPr>
          <m:t> ppt</m:t>
        </m:r>
      </m:oMath>
      <w:r w:rsidR="00F224B2" w:rsidRPr="005A2629">
        <w:rPr>
          <w:rFonts w:ascii="Times New Roman" w:hAnsi="Times New Roman" w:cs="Times New Roman"/>
          <w:sz w:val="24"/>
          <w:szCs w:val="24"/>
          <w:lang w:val="en-GB"/>
        </w:rPr>
        <w:t>)</w:t>
      </w:r>
      <w:r w:rsidR="000A19EF" w:rsidRPr="005A2629">
        <w:rPr>
          <w:rFonts w:ascii="Times New Roman" w:hAnsi="Times New Roman" w:cs="Times New Roman"/>
          <w:sz w:val="24"/>
          <w:szCs w:val="24"/>
          <w:lang w:val="en-GB"/>
        </w:rPr>
        <w:t xml:space="preserve"> under</w:t>
      </w:r>
      <w:r w:rsidR="00F224B2" w:rsidRPr="005A2629">
        <w:rPr>
          <w:rFonts w:ascii="Times New Roman" w:hAnsi="Times New Roman" w:cs="Times New Roman"/>
          <w:sz w:val="24"/>
          <w:szCs w:val="24"/>
          <w:lang w:val="en-GB"/>
        </w:rPr>
        <w:t xml:space="preserve"> (</w:t>
      </w:r>
      <m:oMath>
        <m:r>
          <w:rPr>
            <w:rFonts w:ascii="Cambria Math" w:hAnsi="Cambria Math" w:cs="Times New Roman"/>
            <w:sz w:val="24"/>
            <w:szCs w:val="24"/>
          </w:rPr>
          <m:t>400×</m:t>
        </m:r>
      </m:oMath>
      <w:r w:rsidR="00F224B2" w:rsidRPr="005A2629">
        <w:rPr>
          <w:rFonts w:ascii="Times New Roman" w:hAnsi="Times New Roman" w:cs="Times New Roman"/>
          <w:sz w:val="24"/>
          <w:szCs w:val="24"/>
          <w:lang w:val="en-GB"/>
        </w:rPr>
        <w:t xml:space="preserve"> magnification; scale bar = </w:t>
      </w:r>
      <m:oMath>
        <m:r>
          <w:rPr>
            <w:rFonts w:ascii="Cambria Math" w:hAnsi="Cambria Math" w:cs="Times New Roman"/>
            <w:sz w:val="24"/>
            <w:szCs w:val="24"/>
          </w:rPr>
          <m:t>100 μ</m:t>
        </m:r>
        <m:r>
          <m:rPr>
            <m:nor/>
          </m:rPr>
          <w:rPr>
            <w:rFonts w:ascii="Times New Roman" w:hAnsi="Times New Roman" w:cs="Times New Roman"/>
            <w:sz w:val="24"/>
            <w:szCs w:val="24"/>
          </w:rPr>
          <m:t>m</m:t>
        </m:r>
      </m:oMath>
      <w:r w:rsidR="00F224B2" w:rsidRPr="005A2629">
        <w:rPr>
          <w:rFonts w:ascii="Times New Roman" w:hAnsi="Times New Roman" w:cs="Times New Roman"/>
          <w:sz w:val="24"/>
          <w:szCs w:val="24"/>
          <w:lang w:val="en-GB"/>
        </w:rPr>
        <w:t>). The parenchyma displays a well-defined, unremarkable architectural arrangement of hepatocytes characterized by intact, centrally located nuclei and clearly delineated sinusoidal spaces. Intravascular erythrocytes appear regular and uniform with no structural anomalies.</w:t>
      </w:r>
    </w:p>
    <w:p w14:paraId="12E1FF5E" w14:textId="77777777" w:rsidR="000C6D6A" w:rsidRPr="005A2629" w:rsidRDefault="000C6D6A" w:rsidP="00E92A71">
      <w:pPr>
        <w:spacing w:line="276" w:lineRule="auto"/>
        <w:jc w:val="both"/>
        <w:rPr>
          <w:rFonts w:ascii="Times New Roman" w:hAnsi="Times New Roman" w:cs="Times New Roman"/>
          <w:sz w:val="24"/>
          <w:szCs w:val="24"/>
        </w:rPr>
      </w:pPr>
      <w:r w:rsidRPr="005A2629">
        <w:rPr>
          <w:rFonts w:ascii="Times New Roman" w:hAnsi="Times New Roman" w:cs="Times New Roman"/>
          <w:noProof/>
          <w:sz w:val="24"/>
          <w:szCs w:val="24"/>
          <w:lang w:val="en-GB"/>
        </w:rPr>
        <mc:AlternateContent>
          <mc:Choice Requires="wps">
            <w:drawing>
              <wp:anchor distT="0" distB="0" distL="114300" distR="114300" simplePos="0" relativeHeight="251662336" behindDoc="0" locked="0" layoutInCell="1" allowOverlap="1" wp14:anchorId="36F5273E" wp14:editId="75EF3775">
                <wp:simplePos x="0" y="0"/>
                <wp:positionH relativeFrom="column">
                  <wp:posOffset>1441740</wp:posOffset>
                </wp:positionH>
                <wp:positionV relativeFrom="paragraph">
                  <wp:posOffset>44681</wp:posOffset>
                </wp:positionV>
                <wp:extent cx="2943802" cy="2112818"/>
                <wp:effectExtent l="0" t="0" r="28575" b="20955"/>
                <wp:wrapNone/>
                <wp:docPr id="1176203159" name="Text Box 31"/>
                <wp:cNvGraphicFramePr/>
                <a:graphic xmlns:a="http://schemas.openxmlformats.org/drawingml/2006/main">
                  <a:graphicData uri="http://schemas.microsoft.com/office/word/2010/wordprocessingShape">
                    <wps:wsp>
                      <wps:cNvSpPr txBox="1"/>
                      <wps:spPr>
                        <a:xfrm>
                          <a:off x="0" y="0"/>
                          <a:ext cx="2943802" cy="2112818"/>
                        </a:xfrm>
                        <a:prstGeom prst="rect">
                          <a:avLst/>
                        </a:prstGeom>
                        <a:solidFill>
                          <a:schemeClr val="lt1"/>
                        </a:solidFill>
                        <a:ln w="6350">
                          <a:solidFill>
                            <a:schemeClr val="bg1"/>
                          </a:solidFill>
                        </a:ln>
                      </wps:spPr>
                      <wps:txbx>
                        <w:txbxContent>
                          <w:p w14:paraId="562FEB98"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8"/>
                                          <a:stretch>
                                            <a:fillRect/>
                                          </a:stretch>
                                        </pic:blipFill>
                                        <pic:spPr>
                                          <a:xfrm>
                                            <a:off x="0" y="0"/>
                                            <a:ext cx="2615941" cy="2049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273E" id="Text Box 31" o:spid="_x0000_s1027" type="#_x0000_t202" style="position:absolute;left:0;text-align:left;margin-left:113.5pt;margin-top:3.5pt;width:231.8pt;height:16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" fillcolor="white [3201]" strokecolor="white [3212]" strokeweight=".5pt">
                <v:textbox>
                  <w:txbxContent>
                    <w:p w14:paraId="562FEB98"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8"/>
                                    <a:stretch>
                                      <a:fillRect/>
                                    </a:stretch>
                                  </pic:blipFill>
                                  <pic:spPr>
                                    <a:xfrm>
                                      <a:off x="0" y="0"/>
                                      <a:ext cx="2615941" cy="2049155"/>
                                    </a:xfrm>
                                    <a:prstGeom prst="rect">
                                      <a:avLst/>
                                    </a:prstGeom>
                                  </pic:spPr>
                                </pic:pic>
                              </a:graphicData>
                            </a:graphic>
                          </wp:inline>
                        </w:drawing>
                      </w:r>
                    </w:p>
                  </w:txbxContent>
                </v:textbox>
              </v:shape>
            </w:pict>
          </mc:Fallback>
        </mc:AlternateContent>
      </w:r>
    </w:p>
    <w:p w14:paraId="030E6F2D" w14:textId="77777777" w:rsidR="000C6D6A" w:rsidRPr="005A2629" w:rsidRDefault="000C6D6A" w:rsidP="000C6D6A">
      <w:pPr>
        <w:rPr>
          <w:rFonts w:ascii="Times New Roman" w:hAnsi="Times New Roman" w:cs="Times New Roman"/>
          <w:sz w:val="24"/>
          <w:szCs w:val="24"/>
        </w:rPr>
      </w:pPr>
    </w:p>
    <w:p w14:paraId="5BCBC366" w14:textId="77777777" w:rsidR="000C6D6A" w:rsidRPr="005A2629" w:rsidRDefault="000C6D6A" w:rsidP="000C6D6A">
      <w:pPr>
        <w:rPr>
          <w:rFonts w:ascii="Times New Roman" w:hAnsi="Times New Roman" w:cs="Times New Roman"/>
          <w:sz w:val="24"/>
          <w:szCs w:val="24"/>
        </w:rPr>
      </w:pPr>
    </w:p>
    <w:p w14:paraId="331406C9" w14:textId="77777777" w:rsidR="00613D73" w:rsidRPr="005A2629" w:rsidRDefault="00613D73" w:rsidP="000C6D6A">
      <w:pPr>
        <w:rPr>
          <w:rFonts w:ascii="Times New Roman" w:hAnsi="Times New Roman" w:cs="Times New Roman"/>
          <w:sz w:val="24"/>
          <w:szCs w:val="24"/>
        </w:rPr>
      </w:pPr>
    </w:p>
    <w:p w14:paraId="225518A0" w14:textId="77777777" w:rsidR="00613D73" w:rsidRPr="005A2629" w:rsidRDefault="00613D73" w:rsidP="000C6D6A">
      <w:pPr>
        <w:rPr>
          <w:rFonts w:ascii="Times New Roman" w:hAnsi="Times New Roman" w:cs="Times New Roman"/>
          <w:sz w:val="24"/>
          <w:szCs w:val="24"/>
        </w:rPr>
      </w:pPr>
    </w:p>
    <w:p w14:paraId="359E702B" w14:textId="77777777" w:rsidR="00613D73" w:rsidRPr="005A2629" w:rsidRDefault="00613D73" w:rsidP="000C6D6A">
      <w:pPr>
        <w:rPr>
          <w:rFonts w:ascii="Times New Roman" w:hAnsi="Times New Roman" w:cs="Times New Roman"/>
          <w:sz w:val="24"/>
          <w:szCs w:val="24"/>
        </w:rPr>
      </w:pPr>
    </w:p>
    <w:p w14:paraId="1A41E463" w14:textId="77777777" w:rsidR="00613D73" w:rsidRPr="005A2629" w:rsidRDefault="00613D73" w:rsidP="000C6D6A">
      <w:pPr>
        <w:rPr>
          <w:rFonts w:ascii="Times New Roman" w:hAnsi="Times New Roman" w:cs="Times New Roman"/>
          <w:sz w:val="24"/>
          <w:szCs w:val="24"/>
        </w:rPr>
      </w:pPr>
    </w:p>
    <w:p w14:paraId="6CE3575E" w14:textId="77777777" w:rsidR="00CD67CA" w:rsidRPr="005A2629" w:rsidRDefault="00CD67CA" w:rsidP="000C6D6A">
      <w:pPr>
        <w:rPr>
          <w:rFonts w:ascii="Times New Roman" w:eastAsia="Times New Roman" w:hAnsi="Times New Roman" w:cs="Times New Roman"/>
          <w:b/>
          <w:bCs/>
          <w:sz w:val="24"/>
          <w:szCs w:val="24"/>
          <w:lang w:eastAsia="en-IN"/>
        </w:rPr>
      </w:pPr>
    </w:p>
    <w:p w14:paraId="689BB432" w14:textId="77777777" w:rsidR="000C6D6A" w:rsidRPr="005A2629" w:rsidRDefault="000C6D6A" w:rsidP="00E92A71">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t>Figure</w:t>
      </w:r>
      <w:r w:rsidR="001C41E2" w:rsidRPr="005A2629">
        <w:rPr>
          <w:rFonts w:ascii="Times New Roman" w:hAnsi="Times New Roman" w:cs="Times New Roman"/>
          <w:b/>
          <w:bCs/>
          <w:sz w:val="24"/>
          <w:szCs w:val="24"/>
          <w:lang w:val="en-GB"/>
        </w:rPr>
        <w:t xml:space="preserve"> </w:t>
      </w:r>
      <w:r w:rsidRPr="005A2629">
        <w:rPr>
          <w:rFonts w:ascii="Times New Roman" w:hAnsi="Times New Roman" w:cs="Times New Roman"/>
          <w:b/>
          <w:bCs/>
          <w:sz w:val="24"/>
          <w:szCs w:val="24"/>
          <w:lang w:val="en-GB"/>
        </w:rPr>
        <w:t xml:space="preserve">2. </w:t>
      </w:r>
      <w:r w:rsidR="00F224B2" w:rsidRPr="005A2629">
        <w:rPr>
          <w:rFonts w:ascii="Times New Roman" w:hAnsi="Times New Roman" w:cs="Times New Roman"/>
          <w:sz w:val="24"/>
          <w:szCs w:val="24"/>
          <w:lang w:val="en-GB"/>
        </w:rPr>
        <w:t>Photomicrograph of hepatic tissue from juvenile silver pompano (</w:t>
      </w:r>
      <w:r w:rsidR="00F224B2" w:rsidRPr="005A2629">
        <w:rPr>
          <w:rFonts w:ascii="Times New Roman" w:hAnsi="Times New Roman" w:cs="Times New Roman"/>
          <w:i/>
          <w:iCs/>
          <w:sz w:val="24"/>
          <w:szCs w:val="24"/>
          <w:lang w:val="en-GB"/>
        </w:rPr>
        <w:t xml:space="preserve">Trachinotus </w:t>
      </w:r>
      <w:proofErr w:type="spellStart"/>
      <w:r w:rsidR="00F224B2" w:rsidRPr="005A2629">
        <w:rPr>
          <w:rFonts w:ascii="Times New Roman" w:hAnsi="Times New Roman" w:cs="Times New Roman"/>
          <w:i/>
          <w:iCs/>
          <w:sz w:val="24"/>
          <w:szCs w:val="24"/>
          <w:lang w:val="en-GB"/>
        </w:rPr>
        <w:t>blochii</w:t>
      </w:r>
      <w:proofErr w:type="spellEnd"/>
      <w:r w:rsidR="00F224B2" w:rsidRPr="005A2629">
        <w:rPr>
          <w:rFonts w:ascii="Times New Roman" w:hAnsi="Times New Roman" w:cs="Times New Roman"/>
          <w:sz w:val="24"/>
          <w:szCs w:val="24"/>
          <w:lang w:val="en-GB"/>
        </w:rPr>
        <w:t xml:space="preserve">) reared at </w:t>
      </w:r>
      <m:oMath>
        <m:r>
          <w:rPr>
            <w:rFonts w:ascii="Cambria Math" w:hAnsi="Cambria Math" w:cs="Times New Roman"/>
            <w:sz w:val="24"/>
            <w:szCs w:val="24"/>
          </w:rPr>
          <m:t>25</m:t>
        </m:r>
        <m:r>
          <m:rPr>
            <m:nor/>
          </m:rPr>
          <w:rPr>
            <w:rFonts w:ascii="Times New Roman" w:hAnsi="Times New Roman" w:cs="Times New Roman"/>
            <w:sz w:val="24"/>
            <w:szCs w:val="24"/>
          </w:rPr>
          <m:t> ppt</m:t>
        </m:r>
      </m:oMath>
      <w:r w:rsidR="00F224B2" w:rsidRPr="005A2629">
        <w:rPr>
          <w:rFonts w:ascii="Times New Roman" w:hAnsi="Times New Roman" w:cs="Times New Roman"/>
          <w:sz w:val="24"/>
          <w:szCs w:val="24"/>
          <w:lang w:val="en-GB"/>
        </w:rPr>
        <w:t xml:space="preserve"> (T1), observed under </w:t>
      </w:r>
      <m:oMath>
        <m:r>
          <w:rPr>
            <w:rFonts w:ascii="Cambria Math" w:hAnsi="Cambria Math" w:cs="Times New Roman"/>
            <w:sz w:val="24"/>
            <w:szCs w:val="24"/>
          </w:rPr>
          <m:t>(400×</m:t>
        </m:r>
      </m:oMath>
      <w:r w:rsidR="00F224B2" w:rsidRPr="005A2629">
        <w:rPr>
          <w:rFonts w:ascii="Times New Roman" w:hAnsi="Times New Roman" w:cs="Times New Roman"/>
          <w:sz w:val="24"/>
          <w:szCs w:val="24"/>
          <w:lang w:val="en-GB"/>
        </w:rPr>
        <w:t xml:space="preserve"> magnification</w:t>
      </w:r>
      <w:r w:rsidR="000A19EF" w:rsidRPr="005A2629">
        <w:rPr>
          <w:rFonts w:ascii="Times New Roman" w:hAnsi="Times New Roman" w:cs="Times New Roman"/>
          <w:sz w:val="24"/>
          <w:szCs w:val="24"/>
          <w:lang w:val="en-GB"/>
        </w:rPr>
        <w:t xml:space="preserve">: scale bar = </w:t>
      </w:r>
      <m:oMath>
        <m:r>
          <w:rPr>
            <w:rFonts w:ascii="Cambria Math" w:hAnsi="Cambria Math" w:cs="Times New Roman"/>
            <w:sz w:val="24"/>
            <w:szCs w:val="24"/>
          </w:rPr>
          <m:t>100 μ</m:t>
        </m:r>
        <m:r>
          <m:rPr>
            <m:nor/>
          </m:rPr>
          <w:rPr>
            <w:rFonts w:ascii="Times New Roman" w:hAnsi="Times New Roman" w:cs="Times New Roman"/>
            <w:sz w:val="24"/>
            <w:szCs w:val="24"/>
          </w:rPr>
          <m:t>m</m:t>
        </m:r>
        <m:r>
          <m:rPr>
            <m:nor/>
          </m:rPr>
          <w:rPr>
            <w:rFonts w:ascii="Cambria Math" w:hAnsi="Times New Roman" w:cs="Times New Roman"/>
            <w:sz w:val="24"/>
            <w:szCs w:val="24"/>
          </w:rPr>
          <m:t>)</m:t>
        </m:r>
      </m:oMath>
      <w:r w:rsidR="00F224B2" w:rsidRPr="005A2629">
        <w:rPr>
          <w:rFonts w:ascii="Times New Roman" w:hAnsi="Times New Roman" w:cs="Times New Roman"/>
          <w:sz w:val="24"/>
          <w:szCs w:val="24"/>
          <w:lang w:val="en-GB"/>
        </w:rPr>
        <w:t>. Hepatocytes exhibit mild intracytoplasmic vacuolation (indicated by the red arrow).</w:t>
      </w:r>
    </w:p>
    <w:p w14:paraId="385CD687" w14:textId="77777777" w:rsidR="000C6D6A" w:rsidRPr="005A2629" w:rsidRDefault="000C6D6A" w:rsidP="000C6D6A">
      <w:pPr>
        <w:spacing w:line="360" w:lineRule="auto"/>
        <w:jc w:val="both"/>
        <w:rPr>
          <w:rFonts w:ascii="Times New Roman" w:hAnsi="Times New Roman" w:cs="Times New Roman"/>
          <w:sz w:val="24"/>
          <w:szCs w:val="24"/>
        </w:rPr>
      </w:pPr>
      <w:r w:rsidRPr="005A2629">
        <w:rPr>
          <w:rFonts w:ascii="Times New Roman" w:hAnsi="Times New Roman" w:cs="Times New Roman"/>
          <w:b/>
          <w:bCs/>
          <w:noProof/>
          <w:sz w:val="24"/>
          <w:szCs w:val="24"/>
          <w:lang w:val="en-GB"/>
        </w:rPr>
        <mc:AlternateContent>
          <mc:Choice Requires="wps">
            <w:drawing>
              <wp:anchor distT="0" distB="0" distL="114300" distR="114300" simplePos="0" relativeHeight="251660288" behindDoc="0" locked="0" layoutInCell="1" allowOverlap="1" wp14:anchorId="752F7DB6" wp14:editId="39F692D9">
                <wp:simplePos x="0" y="0"/>
                <wp:positionH relativeFrom="column">
                  <wp:posOffset>1340485</wp:posOffset>
                </wp:positionH>
                <wp:positionV relativeFrom="paragraph">
                  <wp:posOffset>3175</wp:posOffset>
                </wp:positionV>
                <wp:extent cx="3137997" cy="2175163"/>
                <wp:effectExtent l="0" t="0" r="24765" b="15875"/>
                <wp:wrapNone/>
                <wp:docPr id="213155154" name="Text Box 32"/>
                <wp:cNvGraphicFramePr/>
                <a:graphic xmlns:a="http://schemas.openxmlformats.org/drawingml/2006/main">
                  <a:graphicData uri="http://schemas.microsoft.com/office/word/2010/wordprocessingShape">
                    <wps:wsp>
                      <wps:cNvSpPr txBox="1"/>
                      <wps:spPr>
                        <a:xfrm>
                          <a:off x="0" y="0"/>
                          <a:ext cx="3137997" cy="2175163"/>
                        </a:xfrm>
                        <a:prstGeom prst="rect">
                          <a:avLst/>
                        </a:prstGeom>
                        <a:solidFill>
                          <a:schemeClr val="lt1"/>
                        </a:solidFill>
                        <a:ln w="6350">
                          <a:solidFill>
                            <a:schemeClr val="bg1"/>
                          </a:solidFill>
                        </a:ln>
                      </wps:spPr>
                      <wps:txbx>
                        <w:txbxContent>
                          <w:p w14:paraId="25B9A672"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9"/>
                                          <a:stretch>
                                            <a:fillRect/>
                                          </a:stretch>
                                        </pic:blipFill>
                                        <pic:spPr>
                                          <a:xfrm>
                                            <a:off x="0" y="0"/>
                                            <a:ext cx="2639177" cy="20886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F7DB6" id="Text Box 32" o:spid="_x0000_s1028" type="#_x0000_t202" style="position:absolute;left:0;text-align:left;margin-left:105.55pt;margin-top:.25pt;width:247.1pt;height:1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" fillcolor="white [3201]" strokecolor="white [3212]" strokeweight=".5pt">
                <v:textbox>
                  <w:txbxContent>
                    <w:p w14:paraId="25B9A672"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9"/>
                                    <a:stretch>
                                      <a:fillRect/>
                                    </a:stretch>
                                  </pic:blipFill>
                                  <pic:spPr>
                                    <a:xfrm>
                                      <a:off x="0" y="0"/>
                                      <a:ext cx="2639177" cy="2088603"/>
                                    </a:xfrm>
                                    <a:prstGeom prst="rect">
                                      <a:avLst/>
                                    </a:prstGeom>
                                  </pic:spPr>
                                </pic:pic>
                              </a:graphicData>
                            </a:graphic>
                          </wp:inline>
                        </w:drawing>
                      </w:r>
                    </w:p>
                  </w:txbxContent>
                </v:textbox>
              </v:shape>
            </w:pict>
          </mc:Fallback>
        </mc:AlternateContent>
      </w:r>
    </w:p>
    <w:p w14:paraId="5C9ED641" w14:textId="77777777" w:rsidR="000C6D6A" w:rsidRPr="005A2629" w:rsidRDefault="000C6D6A" w:rsidP="000C6D6A">
      <w:pPr>
        <w:spacing w:line="360" w:lineRule="auto"/>
        <w:jc w:val="both"/>
        <w:rPr>
          <w:rFonts w:ascii="Times New Roman" w:hAnsi="Times New Roman" w:cs="Times New Roman"/>
          <w:sz w:val="24"/>
          <w:szCs w:val="24"/>
        </w:rPr>
      </w:pPr>
    </w:p>
    <w:p w14:paraId="548E53F4" w14:textId="77777777" w:rsidR="000C6D6A" w:rsidRPr="005A2629" w:rsidRDefault="000C6D6A" w:rsidP="000C6D6A">
      <w:pPr>
        <w:spacing w:line="360" w:lineRule="auto"/>
        <w:jc w:val="both"/>
        <w:rPr>
          <w:rFonts w:ascii="Times New Roman" w:hAnsi="Times New Roman" w:cs="Times New Roman"/>
          <w:sz w:val="24"/>
          <w:szCs w:val="24"/>
        </w:rPr>
      </w:pPr>
    </w:p>
    <w:p w14:paraId="73379765" w14:textId="77777777" w:rsidR="000C6D6A" w:rsidRPr="005A2629" w:rsidRDefault="000C6D6A" w:rsidP="000C6D6A">
      <w:pPr>
        <w:spacing w:line="360" w:lineRule="auto"/>
        <w:jc w:val="both"/>
        <w:rPr>
          <w:rFonts w:ascii="Times New Roman" w:hAnsi="Times New Roman" w:cs="Times New Roman"/>
          <w:sz w:val="24"/>
          <w:szCs w:val="24"/>
        </w:rPr>
      </w:pPr>
    </w:p>
    <w:p w14:paraId="36B80324" w14:textId="77777777" w:rsidR="000C6D6A" w:rsidRPr="005A2629" w:rsidRDefault="000C6D6A" w:rsidP="000C6D6A">
      <w:pPr>
        <w:spacing w:line="360" w:lineRule="auto"/>
        <w:jc w:val="both"/>
        <w:rPr>
          <w:rFonts w:ascii="Times New Roman" w:hAnsi="Times New Roman" w:cs="Times New Roman"/>
          <w:sz w:val="24"/>
          <w:szCs w:val="24"/>
        </w:rPr>
      </w:pPr>
    </w:p>
    <w:p w14:paraId="4C5D42E3" w14:textId="77777777" w:rsidR="008674AC" w:rsidRPr="005A2629" w:rsidRDefault="008674AC" w:rsidP="000C6D6A">
      <w:pPr>
        <w:rPr>
          <w:rFonts w:ascii="Times New Roman" w:eastAsia="Times New Roman" w:hAnsi="Times New Roman" w:cs="Times New Roman"/>
          <w:b/>
          <w:bCs/>
          <w:sz w:val="24"/>
          <w:szCs w:val="24"/>
          <w:lang w:eastAsia="en-IN"/>
        </w:rPr>
      </w:pPr>
    </w:p>
    <w:p w14:paraId="30DBCAE5" w14:textId="77777777" w:rsidR="00F224B2" w:rsidRPr="005A2629" w:rsidRDefault="00F224B2" w:rsidP="00F224B2">
      <w:pPr>
        <w:spacing w:line="276" w:lineRule="auto"/>
        <w:jc w:val="both"/>
        <w:rPr>
          <w:rFonts w:ascii="Times New Roman" w:hAnsi="Times New Roman" w:cs="Times New Roman"/>
          <w:b/>
          <w:bCs/>
          <w:sz w:val="24"/>
          <w:szCs w:val="24"/>
        </w:rPr>
      </w:pPr>
    </w:p>
    <w:p w14:paraId="7B037127" w14:textId="77777777" w:rsidR="000C6D6A" w:rsidRPr="005A2629" w:rsidRDefault="000C6D6A" w:rsidP="00CD67CA">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lastRenderedPageBreak/>
        <w:t xml:space="preserve">Figure 3. </w:t>
      </w:r>
      <w:r w:rsidR="00F224B2" w:rsidRPr="005A2629">
        <w:rPr>
          <w:rFonts w:ascii="Times New Roman" w:hAnsi="Times New Roman" w:cs="Times New Roman"/>
          <w:sz w:val="24"/>
          <w:szCs w:val="24"/>
          <w:lang w:val="en-GB"/>
        </w:rPr>
        <w:t>Light micrograph of hepatic parenchyma from juvenile silver pompano (</w:t>
      </w:r>
      <w:r w:rsidR="00F224B2" w:rsidRPr="005A2629">
        <w:rPr>
          <w:rFonts w:ascii="Times New Roman" w:hAnsi="Times New Roman" w:cs="Times New Roman"/>
          <w:i/>
          <w:iCs/>
          <w:sz w:val="24"/>
          <w:szCs w:val="24"/>
          <w:lang w:val="en-GB"/>
        </w:rPr>
        <w:t xml:space="preserve">Trachinotus </w:t>
      </w:r>
      <w:proofErr w:type="spellStart"/>
      <w:r w:rsidR="00F224B2" w:rsidRPr="005A2629">
        <w:rPr>
          <w:rFonts w:ascii="Times New Roman" w:hAnsi="Times New Roman" w:cs="Times New Roman"/>
          <w:i/>
          <w:iCs/>
          <w:sz w:val="24"/>
          <w:szCs w:val="24"/>
          <w:lang w:val="en-GB"/>
        </w:rPr>
        <w:t>blochii</w:t>
      </w:r>
      <w:proofErr w:type="spellEnd"/>
      <w:r w:rsidR="00F224B2" w:rsidRPr="005A2629">
        <w:rPr>
          <w:rFonts w:ascii="Times New Roman" w:hAnsi="Times New Roman" w:cs="Times New Roman"/>
          <w:sz w:val="24"/>
          <w:szCs w:val="24"/>
          <w:lang w:val="en-GB"/>
        </w:rPr>
        <w:t xml:space="preserve">) reared at </w:t>
      </w:r>
      <m:oMath>
        <m:r>
          <w:rPr>
            <w:rFonts w:ascii="Cambria Math" w:hAnsi="Cambria Math" w:cs="Times New Roman"/>
            <w:sz w:val="24"/>
            <w:szCs w:val="24"/>
          </w:rPr>
          <m:t>15</m:t>
        </m:r>
        <m:r>
          <m:rPr>
            <m:nor/>
          </m:rPr>
          <w:rPr>
            <w:rFonts w:ascii="Times New Roman" w:hAnsi="Times New Roman" w:cs="Times New Roman"/>
            <w:sz w:val="24"/>
            <w:szCs w:val="24"/>
          </w:rPr>
          <m:t> ppt</m:t>
        </m:r>
      </m:oMath>
      <w:r w:rsidR="00F224B2" w:rsidRPr="005A2629">
        <w:rPr>
          <w:rFonts w:ascii="Times New Roman" w:hAnsi="Times New Roman" w:cs="Times New Roman"/>
          <w:sz w:val="24"/>
          <w:szCs w:val="24"/>
          <w:lang w:val="en-GB"/>
        </w:rPr>
        <w:t xml:space="preserve"> (T2)</w:t>
      </w:r>
      <w:r w:rsidR="000A19EF" w:rsidRPr="005A2629">
        <w:rPr>
          <w:rFonts w:ascii="Times New Roman" w:hAnsi="Times New Roman" w:cs="Times New Roman"/>
          <w:sz w:val="24"/>
          <w:szCs w:val="24"/>
          <w:lang w:val="en-GB"/>
        </w:rPr>
        <w:t xml:space="preserve"> observed under</w:t>
      </w:r>
      <w:r w:rsidR="00F224B2" w:rsidRPr="005A2629">
        <w:rPr>
          <w:rFonts w:ascii="Times New Roman" w:hAnsi="Times New Roman" w:cs="Times New Roman"/>
          <w:sz w:val="24"/>
          <w:szCs w:val="24"/>
          <w:lang w:val="en-GB"/>
        </w:rPr>
        <w:t xml:space="preserve"> </w:t>
      </w:r>
      <m:oMath>
        <m:r>
          <w:rPr>
            <w:rFonts w:ascii="Cambria Math" w:hAnsi="Cambria Math" w:cs="Times New Roman"/>
            <w:sz w:val="24"/>
            <w:szCs w:val="24"/>
          </w:rPr>
          <m:t>(400×</m:t>
        </m:r>
      </m:oMath>
      <w:r w:rsidR="000A19EF" w:rsidRPr="005A2629">
        <w:rPr>
          <w:rFonts w:ascii="Times New Roman" w:hAnsi="Times New Roman" w:cs="Times New Roman"/>
          <w:sz w:val="24"/>
          <w:szCs w:val="24"/>
          <w:lang w:val="en-GB"/>
        </w:rPr>
        <w:t xml:space="preserve"> magnification: scale bar = </w:t>
      </w:r>
      <m:oMath>
        <m:r>
          <w:rPr>
            <w:rFonts w:ascii="Cambria Math" w:hAnsi="Cambria Math" w:cs="Times New Roman"/>
            <w:sz w:val="24"/>
            <w:szCs w:val="24"/>
          </w:rPr>
          <m:t>100 μ</m:t>
        </m:r>
        <m:r>
          <m:rPr>
            <m:nor/>
          </m:rPr>
          <w:rPr>
            <w:rFonts w:ascii="Times New Roman" w:hAnsi="Times New Roman" w:cs="Times New Roman"/>
            <w:sz w:val="24"/>
            <w:szCs w:val="24"/>
          </w:rPr>
          <m:t>m</m:t>
        </m:r>
        <m:r>
          <m:rPr>
            <m:nor/>
          </m:rPr>
          <w:rPr>
            <w:rFonts w:ascii="Cambria Math" w:hAnsi="Times New Roman" w:cs="Times New Roman"/>
            <w:sz w:val="24"/>
            <w:szCs w:val="24"/>
          </w:rPr>
          <m:t>)</m:t>
        </m:r>
      </m:oMath>
      <w:r w:rsidR="000A19EF" w:rsidRPr="005A2629">
        <w:rPr>
          <w:rFonts w:ascii="Times New Roman" w:hAnsi="Times New Roman" w:cs="Times New Roman"/>
          <w:sz w:val="24"/>
          <w:szCs w:val="24"/>
          <w:lang w:val="en-GB"/>
        </w:rPr>
        <w:t xml:space="preserve">. </w:t>
      </w:r>
      <w:r w:rsidR="00F224B2" w:rsidRPr="005A2629">
        <w:rPr>
          <w:rFonts w:ascii="Times New Roman" w:hAnsi="Times New Roman" w:cs="Times New Roman"/>
          <w:sz w:val="24"/>
          <w:szCs w:val="24"/>
          <w:lang w:val="en-GB"/>
        </w:rPr>
        <w:t>The tissue maintains a well-preserved hepatic architecture, displaying only localized, minor histological alterations characterized by occasional hepatocytes with pyknotic nuclei (indicated by the yellow arrow).</w:t>
      </w:r>
    </w:p>
    <w:p w14:paraId="4E18EDB0" w14:textId="77777777" w:rsidR="00CD67CA" w:rsidRPr="005A2629" w:rsidRDefault="00CD67CA" w:rsidP="000C6D6A">
      <w:pPr>
        <w:spacing w:line="360" w:lineRule="auto"/>
        <w:jc w:val="both"/>
        <w:rPr>
          <w:rFonts w:ascii="Times New Roman" w:hAnsi="Times New Roman" w:cs="Times New Roman"/>
          <w:sz w:val="24"/>
          <w:szCs w:val="24"/>
        </w:rPr>
      </w:pPr>
      <w:r w:rsidRPr="005A2629">
        <w:rPr>
          <w:rFonts w:ascii="Times New Roman" w:hAnsi="Times New Roman" w:cs="Times New Roman"/>
          <w:noProof/>
          <w:sz w:val="24"/>
          <w:szCs w:val="24"/>
          <w:lang w:val="en-GB"/>
          <w14:ligatures w14:val="standardContextual"/>
        </w:rPr>
        <mc:AlternateContent>
          <mc:Choice Requires="wps">
            <w:drawing>
              <wp:anchor distT="0" distB="0" distL="114300" distR="114300" simplePos="0" relativeHeight="251668480" behindDoc="0" locked="0" layoutInCell="1" allowOverlap="1" wp14:anchorId="60374A84" wp14:editId="48CE52E3">
                <wp:simplePos x="0" y="0"/>
                <wp:positionH relativeFrom="column">
                  <wp:posOffset>1341120</wp:posOffset>
                </wp:positionH>
                <wp:positionV relativeFrom="paragraph">
                  <wp:posOffset>13335</wp:posOffset>
                </wp:positionV>
                <wp:extent cx="2766060" cy="1752600"/>
                <wp:effectExtent l="0" t="0" r="15240" b="19050"/>
                <wp:wrapNone/>
                <wp:docPr id="732742250" name="Text Box 12"/>
                <wp:cNvGraphicFramePr/>
                <a:graphic xmlns:a="http://schemas.openxmlformats.org/drawingml/2006/main">
                  <a:graphicData uri="http://schemas.microsoft.com/office/word/2010/wordprocessingShape">
                    <wps:wsp>
                      <wps:cNvSpPr txBox="1"/>
                      <wps:spPr>
                        <a:xfrm>
                          <a:off x="0" y="0"/>
                          <a:ext cx="2766060" cy="1752600"/>
                        </a:xfrm>
                        <a:prstGeom prst="rect">
                          <a:avLst/>
                        </a:prstGeom>
                        <a:solidFill>
                          <a:schemeClr val="lt1"/>
                        </a:solidFill>
                        <a:ln w="6350">
                          <a:solidFill>
                            <a:schemeClr val="bg1"/>
                          </a:solidFill>
                        </a:ln>
                      </wps:spPr>
                      <wps:txbx>
                        <w:txbxContent>
                          <w:p w14:paraId="6C1B56CE" w14:textId="77777777"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0"/>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4A84" id="Text Box 12" o:spid="_x0000_s1029" type="#_x0000_t202" style="position:absolute;left:0;text-align:left;margin-left:105.6pt;margin-top:1.05pt;width:217.8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" fillcolor="white [3201]" strokecolor="white [3212]" strokeweight=".5pt">
                <v:textbox>
                  <w:txbxContent>
                    <w:p w14:paraId="6C1B56CE" w14:textId="77777777"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0"/>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C6D6A" w:rsidRPr="005A2629">
        <w:rPr>
          <w:rFonts w:ascii="Times New Roman" w:hAnsi="Times New Roman" w:cs="Times New Roman"/>
          <w:sz w:val="24"/>
          <w:szCs w:val="24"/>
          <w:lang w:val="en-GB"/>
        </w:rPr>
        <w:t xml:space="preserve">  </w:t>
      </w:r>
    </w:p>
    <w:p w14:paraId="2D6350FB" w14:textId="77777777" w:rsidR="000C6D6A" w:rsidRPr="005A2629" w:rsidRDefault="000C6D6A" w:rsidP="000C6D6A">
      <w:pPr>
        <w:spacing w:line="360" w:lineRule="auto"/>
        <w:jc w:val="both"/>
        <w:rPr>
          <w:rFonts w:ascii="Times New Roman" w:hAnsi="Times New Roman" w:cs="Times New Roman"/>
          <w:sz w:val="24"/>
          <w:szCs w:val="24"/>
        </w:rPr>
      </w:pPr>
      <w:r w:rsidRPr="005A2629">
        <w:rPr>
          <w:rFonts w:ascii="Times New Roman" w:hAnsi="Times New Roman" w:cs="Times New Roman"/>
          <w:sz w:val="24"/>
          <w:szCs w:val="24"/>
          <w:lang w:val="en-GB"/>
        </w:rPr>
        <w:t xml:space="preserve">                        </w:t>
      </w:r>
    </w:p>
    <w:p w14:paraId="56267111" w14:textId="77777777" w:rsidR="000C6D6A" w:rsidRPr="005A2629" w:rsidRDefault="000C6D6A" w:rsidP="000C6D6A">
      <w:pPr>
        <w:spacing w:line="360" w:lineRule="auto"/>
        <w:jc w:val="both"/>
        <w:rPr>
          <w:rFonts w:ascii="Times New Roman" w:hAnsi="Times New Roman" w:cs="Times New Roman"/>
          <w:sz w:val="24"/>
          <w:szCs w:val="24"/>
        </w:rPr>
      </w:pPr>
    </w:p>
    <w:p w14:paraId="1BCC88BF" w14:textId="77777777" w:rsidR="000C6D6A" w:rsidRPr="005A2629" w:rsidRDefault="000C6D6A" w:rsidP="00F0118F">
      <w:pPr>
        <w:spacing w:line="360" w:lineRule="auto"/>
        <w:jc w:val="both"/>
        <w:rPr>
          <w:rFonts w:ascii="Times New Roman" w:hAnsi="Times New Roman" w:cs="Times New Roman"/>
          <w:sz w:val="24"/>
          <w:szCs w:val="24"/>
        </w:rPr>
      </w:pPr>
      <w:r w:rsidRPr="005A2629">
        <w:rPr>
          <w:rFonts w:ascii="Times New Roman" w:hAnsi="Times New Roman" w:cs="Times New Roman"/>
          <w:sz w:val="24"/>
          <w:szCs w:val="24"/>
          <w:lang w:val="en-GB"/>
        </w:rPr>
        <w:t xml:space="preserve">   </w:t>
      </w:r>
    </w:p>
    <w:p w14:paraId="10A6CCA0" w14:textId="77777777" w:rsidR="00F0118F" w:rsidRPr="005A2629" w:rsidRDefault="00F0118F" w:rsidP="00F0118F">
      <w:pPr>
        <w:spacing w:line="360" w:lineRule="auto"/>
        <w:jc w:val="both"/>
        <w:rPr>
          <w:rFonts w:ascii="Times New Roman" w:hAnsi="Times New Roman" w:cs="Times New Roman"/>
          <w:sz w:val="24"/>
          <w:szCs w:val="24"/>
        </w:rPr>
      </w:pPr>
    </w:p>
    <w:p w14:paraId="6A04C34E" w14:textId="77777777" w:rsidR="000C6D6A" w:rsidRPr="005A2629" w:rsidRDefault="000C6D6A" w:rsidP="00E92A71">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t xml:space="preserve">Figure 4. </w:t>
      </w:r>
      <w:r w:rsidR="00F224B2" w:rsidRPr="005A2629">
        <w:rPr>
          <w:rFonts w:ascii="Times New Roman" w:hAnsi="Times New Roman" w:cs="Times New Roman"/>
          <w:sz w:val="24"/>
          <w:szCs w:val="24"/>
          <w:lang w:val="en-GB"/>
        </w:rPr>
        <w:t>Light micrograph of hepatic tissue from juvenile silver pompano (</w:t>
      </w:r>
      <w:r w:rsidR="00F224B2" w:rsidRPr="005A2629">
        <w:rPr>
          <w:rFonts w:ascii="Times New Roman" w:hAnsi="Times New Roman" w:cs="Times New Roman"/>
          <w:i/>
          <w:iCs/>
          <w:sz w:val="24"/>
          <w:szCs w:val="24"/>
          <w:lang w:val="en-GB"/>
        </w:rPr>
        <w:t xml:space="preserve">Trachinotus </w:t>
      </w:r>
      <w:proofErr w:type="spellStart"/>
      <w:r w:rsidR="00F224B2" w:rsidRPr="005A2629">
        <w:rPr>
          <w:rFonts w:ascii="Times New Roman" w:hAnsi="Times New Roman" w:cs="Times New Roman"/>
          <w:i/>
          <w:iCs/>
          <w:sz w:val="24"/>
          <w:szCs w:val="24"/>
          <w:lang w:val="en-GB"/>
        </w:rPr>
        <w:t>blochii</w:t>
      </w:r>
      <w:proofErr w:type="spellEnd"/>
      <w:r w:rsidR="00F224B2" w:rsidRPr="005A2629">
        <w:rPr>
          <w:rFonts w:ascii="Times New Roman" w:hAnsi="Times New Roman" w:cs="Times New Roman"/>
          <w:sz w:val="24"/>
          <w:szCs w:val="24"/>
          <w:lang w:val="en-GB"/>
        </w:rPr>
        <w:t xml:space="preserve">) exposed to a low salinity of </w:t>
      </w:r>
      <m:oMath>
        <m:r>
          <w:rPr>
            <w:rFonts w:ascii="Cambria Math" w:hAnsi="Cambria Math" w:cs="Times New Roman"/>
            <w:sz w:val="24"/>
            <w:szCs w:val="24"/>
          </w:rPr>
          <m:t>5</m:t>
        </m:r>
        <m:r>
          <m:rPr>
            <m:nor/>
          </m:rPr>
          <w:rPr>
            <w:rFonts w:ascii="Times New Roman" w:hAnsi="Times New Roman" w:cs="Times New Roman"/>
            <w:sz w:val="24"/>
            <w:szCs w:val="24"/>
          </w:rPr>
          <m:t> ppt</m:t>
        </m:r>
      </m:oMath>
      <w:r w:rsidR="00F224B2" w:rsidRPr="005A2629">
        <w:rPr>
          <w:rFonts w:ascii="Times New Roman" w:hAnsi="Times New Roman" w:cs="Times New Roman"/>
          <w:sz w:val="24"/>
          <w:szCs w:val="24"/>
          <w:lang w:val="en-GB"/>
        </w:rPr>
        <w:t xml:space="preserve"> (T3)</w:t>
      </w:r>
      <w:r w:rsidR="00933CDE" w:rsidRPr="005A2629">
        <w:rPr>
          <w:rFonts w:ascii="Times New Roman" w:hAnsi="Times New Roman" w:cs="Times New Roman"/>
          <w:sz w:val="24"/>
          <w:szCs w:val="24"/>
          <w:lang w:val="en-GB"/>
        </w:rPr>
        <w:t xml:space="preserve"> </w:t>
      </w:r>
      <w:r w:rsidR="000A19EF" w:rsidRPr="005A2629">
        <w:rPr>
          <w:rFonts w:ascii="Times New Roman" w:hAnsi="Times New Roman" w:cs="Times New Roman"/>
          <w:sz w:val="24"/>
          <w:szCs w:val="24"/>
          <w:lang w:val="en-GB"/>
        </w:rPr>
        <w:t>under</w:t>
      </w:r>
      <w:r w:rsidR="000A19EF" w:rsidRPr="005A2629">
        <w:rPr>
          <w:rFonts w:ascii="Cambria Math" w:hAnsi="Cambria Math" w:cs="Times New Roman"/>
          <w:i/>
          <w:sz w:val="24"/>
          <w:szCs w:val="24"/>
          <w:lang w:val="en-GB"/>
        </w:rPr>
        <w:t xml:space="preserve"> </w:t>
      </w:r>
      <m:oMath>
        <m:r>
          <w:rPr>
            <w:rFonts w:ascii="Cambria Math" w:hAnsi="Cambria Math" w:cs="Times New Roman"/>
            <w:sz w:val="24"/>
            <w:szCs w:val="24"/>
          </w:rPr>
          <m:t>(400×</m:t>
        </m:r>
      </m:oMath>
      <w:r w:rsidR="000A19EF" w:rsidRPr="005A2629">
        <w:rPr>
          <w:rFonts w:ascii="Times New Roman" w:hAnsi="Times New Roman" w:cs="Times New Roman"/>
          <w:sz w:val="24"/>
          <w:szCs w:val="24"/>
          <w:lang w:val="en-GB"/>
        </w:rPr>
        <w:t xml:space="preserve"> magnification: scale bar = </w:t>
      </w:r>
      <m:oMath>
        <m:r>
          <w:rPr>
            <w:rFonts w:ascii="Cambria Math" w:hAnsi="Cambria Math" w:cs="Times New Roman"/>
            <w:sz w:val="24"/>
            <w:szCs w:val="24"/>
          </w:rPr>
          <m:t>100 μ</m:t>
        </m:r>
        <m:r>
          <m:rPr>
            <m:nor/>
          </m:rPr>
          <w:rPr>
            <w:rFonts w:ascii="Times New Roman" w:hAnsi="Times New Roman" w:cs="Times New Roman"/>
            <w:sz w:val="24"/>
            <w:szCs w:val="24"/>
          </w:rPr>
          <m:t>m</m:t>
        </m:r>
        <m:r>
          <m:rPr>
            <m:nor/>
          </m:rPr>
          <w:rPr>
            <w:rFonts w:ascii="Cambria Math" w:hAnsi="Times New Roman" w:cs="Times New Roman"/>
            <w:sz w:val="24"/>
            <w:szCs w:val="24"/>
          </w:rPr>
          <m:t>)</m:t>
        </m:r>
      </m:oMath>
      <w:r w:rsidR="00F224B2" w:rsidRPr="005A2629">
        <w:rPr>
          <w:rFonts w:ascii="Times New Roman" w:hAnsi="Times New Roman" w:cs="Times New Roman"/>
          <w:sz w:val="24"/>
          <w:szCs w:val="24"/>
          <w:lang w:val="en-GB"/>
        </w:rPr>
        <w:t>.</w:t>
      </w:r>
      <w:r w:rsidR="000A19EF" w:rsidRPr="005A2629">
        <w:rPr>
          <w:rFonts w:ascii="Times New Roman" w:hAnsi="Times New Roman" w:cs="Times New Roman"/>
          <w:sz w:val="24"/>
          <w:szCs w:val="24"/>
          <w:lang w:val="en-GB"/>
        </w:rPr>
        <w:t xml:space="preserve"> </w:t>
      </w:r>
      <w:r w:rsidR="004E0052" w:rsidRPr="005A2629">
        <w:rPr>
          <w:rFonts w:ascii="Times New Roman" w:hAnsi="Times New Roman" w:cs="Times New Roman"/>
          <w:sz w:val="24"/>
          <w:szCs w:val="24"/>
          <w:lang w:val="en-GB"/>
        </w:rPr>
        <w:t>The section exhibits severe histopathological alterations characterized by hepatocellular degeneration, cytoplasmic vacuolation, pyknotic nuclei, focal necrosis, and localized haemorrhage, indicating marked hepatic damage associated with prolonged low-salinity stress.</w:t>
      </w:r>
    </w:p>
    <w:p w14:paraId="53C5757B" w14:textId="77777777" w:rsidR="000C6D6A" w:rsidRPr="005A2629" w:rsidRDefault="000C6D6A" w:rsidP="00E92A71">
      <w:pPr>
        <w:spacing w:line="276" w:lineRule="auto"/>
        <w:rPr>
          <w:rFonts w:ascii="Times New Roman" w:eastAsia="Times New Roman" w:hAnsi="Times New Roman" w:cs="Times New Roman"/>
          <w:b/>
          <w:bCs/>
          <w:sz w:val="24"/>
          <w:szCs w:val="24"/>
          <w:lang w:eastAsia="en-IN"/>
        </w:rPr>
      </w:pPr>
      <w:r w:rsidRPr="005A2629">
        <w:rPr>
          <w:rFonts w:ascii="Times New Roman" w:eastAsia="Times New Roman" w:hAnsi="Times New Roman" w:cs="Times New Roman"/>
          <w:b/>
          <w:bCs/>
          <w:sz w:val="24"/>
          <w:szCs w:val="24"/>
          <w:lang w:val="en-GB" w:eastAsia="en-IN"/>
        </w:rPr>
        <w:t xml:space="preserve">                                  Histology of silver pompano gills</w:t>
      </w:r>
    </w:p>
    <w:p w14:paraId="5938C9F9" w14:textId="77777777" w:rsidR="000C6D6A" w:rsidRPr="005A2629" w:rsidRDefault="000C6D6A" w:rsidP="000C6D6A">
      <w:pPr>
        <w:rPr>
          <w:rFonts w:ascii="Times New Roman" w:eastAsia="Times New Roman" w:hAnsi="Times New Roman" w:cs="Times New Roman"/>
          <w:b/>
          <w:bCs/>
          <w:sz w:val="24"/>
          <w:szCs w:val="24"/>
          <w:lang w:eastAsia="en-IN"/>
        </w:rPr>
      </w:pPr>
      <w:r w:rsidRPr="005A2629">
        <w:rPr>
          <w:rFonts w:ascii="Times New Roman" w:eastAsia="Times New Roman" w:hAnsi="Times New Roman" w:cs="Times New Roman"/>
          <w:b/>
          <w:bCs/>
          <w:noProof/>
          <w:sz w:val="24"/>
          <w:szCs w:val="24"/>
          <w:lang w:val="en-GB" w:eastAsia="en-IN"/>
        </w:rPr>
        <mc:AlternateContent>
          <mc:Choice Requires="wps">
            <w:drawing>
              <wp:anchor distT="0" distB="0" distL="114300" distR="114300" simplePos="0" relativeHeight="251664384" behindDoc="0" locked="0" layoutInCell="1" allowOverlap="1" wp14:anchorId="128C150B" wp14:editId="23100EA1">
                <wp:simplePos x="0" y="0"/>
                <wp:positionH relativeFrom="column">
                  <wp:posOffset>1310120</wp:posOffset>
                </wp:positionH>
                <wp:positionV relativeFrom="paragraph">
                  <wp:posOffset>70947</wp:posOffset>
                </wp:positionV>
                <wp:extent cx="2909455" cy="2092036"/>
                <wp:effectExtent l="0" t="0" r="24765" b="22860"/>
                <wp:wrapNone/>
                <wp:docPr id="1488172240" name="Text Box 34"/>
                <wp:cNvGraphicFramePr/>
                <a:graphic xmlns:a="http://schemas.openxmlformats.org/drawingml/2006/main">
                  <a:graphicData uri="http://schemas.microsoft.com/office/word/2010/wordprocessingShape">
                    <wps:wsp>
                      <wps:cNvSpPr txBox="1"/>
                      <wps:spPr>
                        <a:xfrm>
                          <a:off x="0" y="0"/>
                          <a:ext cx="2909455" cy="2092036"/>
                        </a:xfrm>
                        <a:prstGeom prst="rect">
                          <a:avLst/>
                        </a:prstGeom>
                        <a:solidFill>
                          <a:schemeClr val="lt1"/>
                        </a:solidFill>
                        <a:ln w="6350">
                          <a:solidFill>
                            <a:schemeClr val="bg1"/>
                          </a:solidFill>
                        </a:ln>
                      </wps:spPr>
                      <wps:txbx>
                        <w:txbxContent>
                          <w:p w14:paraId="33414618"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150B" id="Text Box 34" o:spid="_x0000_s1030" type="#_x0000_t202" style="position:absolute;margin-left:103.15pt;margin-top:5.6pt;width:229.1pt;height:16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" fillcolor="white [3201]" strokecolor="white [3212]" strokeweight=".5pt">
                <v:textbox>
                  <w:txbxContent>
                    <w:p w14:paraId="33414618"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v:textbox>
              </v:shape>
            </w:pict>
          </mc:Fallback>
        </mc:AlternateContent>
      </w:r>
    </w:p>
    <w:p w14:paraId="72A92A93" w14:textId="77777777" w:rsidR="000C6D6A" w:rsidRPr="005A2629" w:rsidRDefault="000C6D6A" w:rsidP="000C6D6A">
      <w:pPr>
        <w:rPr>
          <w:rFonts w:ascii="Times New Roman" w:eastAsia="Times New Roman" w:hAnsi="Times New Roman" w:cs="Times New Roman"/>
          <w:b/>
          <w:bCs/>
          <w:sz w:val="24"/>
          <w:szCs w:val="24"/>
          <w:lang w:eastAsia="en-IN"/>
        </w:rPr>
      </w:pPr>
    </w:p>
    <w:p w14:paraId="5ED3306D" w14:textId="77777777" w:rsidR="000C6D6A" w:rsidRPr="005A2629" w:rsidRDefault="000C6D6A" w:rsidP="000C6D6A">
      <w:pPr>
        <w:rPr>
          <w:rFonts w:ascii="Times New Roman" w:eastAsia="Times New Roman" w:hAnsi="Times New Roman" w:cs="Times New Roman"/>
          <w:b/>
          <w:bCs/>
          <w:sz w:val="24"/>
          <w:szCs w:val="24"/>
          <w:lang w:eastAsia="en-IN"/>
        </w:rPr>
      </w:pPr>
    </w:p>
    <w:p w14:paraId="66F5BC82" w14:textId="77777777" w:rsidR="000C6D6A" w:rsidRPr="005A2629" w:rsidRDefault="000C6D6A" w:rsidP="000C6D6A">
      <w:pPr>
        <w:rPr>
          <w:rFonts w:ascii="Times New Roman" w:eastAsia="Times New Roman" w:hAnsi="Times New Roman" w:cs="Times New Roman"/>
          <w:b/>
          <w:bCs/>
          <w:sz w:val="24"/>
          <w:szCs w:val="24"/>
          <w:lang w:eastAsia="en-IN"/>
        </w:rPr>
      </w:pPr>
    </w:p>
    <w:p w14:paraId="7C4DAB2D" w14:textId="77777777" w:rsidR="000C6D6A" w:rsidRPr="005A2629" w:rsidRDefault="000C6D6A" w:rsidP="00E92A71">
      <w:pPr>
        <w:spacing w:line="276" w:lineRule="auto"/>
        <w:rPr>
          <w:rFonts w:ascii="Times New Roman" w:eastAsia="Times New Roman" w:hAnsi="Times New Roman" w:cs="Times New Roman"/>
          <w:b/>
          <w:bCs/>
          <w:sz w:val="24"/>
          <w:szCs w:val="24"/>
          <w:lang w:eastAsia="en-IN"/>
        </w:rPr>
      </w:pPr>
    </w:p>
    <w:p w14:paraId="4AACE963" w14:textId="77777777" w:rsidR="00613D73" w:rsidRPr="005A2629" w:rsidRDefault="00613D73" w:rsidP="00E92A71">
      <w:pPr>
        <w:spacing w:line="276" w:lineRule="auto"/>
        <w:rPr>
          <w:rFonts w:ascii="Times New Roman" w:eastAsia="Times New Roman" w:hAnsi="Times New Roman" w:cs="Times New Roman"/>
          <w:b/>
          <w:bCs/>
          <w:sz w:val="24"/>
          <w:szCs w:val="24"/>
          <w:lang w:eastAsia="en-IN"/>
        </w:rPr>
      </w:pPr>
    </w:p>
    <w:p w14:paraId="66826789" w14:textId="77777777" w:rsidR="00613D73" w:rsidRPr="005A2629" w:rsidRDefault="00613D73" w:rsidP="00E92A71">
      <w:pPr>
        <w:spacing w:line="276" w:lineRule="auto"/>
        <w:rPr>
          <w:rFonts w:ascii="Times New Roman" w:eastAsia="Times New Roman" w:hAnsi="Times New Roman" w:cs="Times New Roman"/>
          <w:b/>
          <w:bCs/>
          <w:sz w:val="24"/>
          <w:szCs w:val="24"/>
          <w:lang w:eastAsia="en-IN"/>
        </w:rPr>
      </w:pPr>
    </w:p>
    <w:p w14:paraId="33CAD42D" w14:textId="77777777" w:rsidR="00613D73" w:rsidRPr="005A2629" w:rsidRDefault="00613D73" w:rsidP="00E92A71">
      <w:pPr>
        <w:spacing w:line="276" w:lineRule="auto"/>
        <w:rPr>
          <w:rFonts w:ascii="Times New Roman" w:eastAsia="Times New Roman" w:hAnsi="Times New Roman" w:cs="Times New Roman"/>
          <w:b/>
          <w:bCs/>
          <w:sz w:val="24"/>
          <w:szCs w:val="24"/>
          <w:lang w:eastAsia="en-IN"/>
        </w:rPr>
      </w:pPr>
    </w:p>
    <w:p w14:paraId="073AA149" w14:textId="77777777" w:rsidR="000C6D6A" w:rsidRPr="005A2629" w:rsidRDefault="000C6D6A" w:rsidP="00CD67CA">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t xml:space="preserve">Figure 5.  </w:t>
      </w:r>
      <w:r w:rsidR="00813944" w:rsidRPr="005A2629">
        <w:rPr>
          <w:rFonts w:ascii="Times New Roman" w:hAnsi="Times New Roman" w:cs="Times New Roman"/>
          <w:sz w:val="24"/>
          <w:szCs w:val="24"/>
          <w:lang w:val="en-GB"/>
        </w:rPr>
        <w:t>Light micrograph showing the branchial microarchitecture of a healthy juvenile silver pompano (</w:t>
      </w:r>
      <w:r w:rsidR="00813944" w:rsidRPr="005A2629">
        <w:rPr>
          <w:rFonts w:ascii="Times New Roman" w:hAnsi="Times New Roman" w:cs="Times New Roman"/>
          <w:i/>
          <w:iCs/>
          <w:sz w:val="24"/>
          <w:szCs w:val="24"/>
          <w:lang w:val="en-GB"/>
        </w:rPr>
        <w:t xml:space="preserve">Trachinotus </w:t>
      </w:r>
      <w:proofErr w:type="spellStart"/>
      <w:r w:rsidR="00813944" w:rsidRPr="005A2629">
        <w:rPr>
          <w:rFonts w:ascii="Times New Roman" w:hAnsi="Times New Roman" w:cs="Times New Roman"/>
          <w:i/>
          <w:iCs/>
          <w:sz w:val="24"/>
          <w:szCs w:val="24"/>
          <w:lang w:val="en-GB"/>
        </w:rPr>
        <w:t>blochii</w:t>
      </w:r>
      <w:proofErr w:type="spellEnd"/>
      <w:r w:rsidR="00813944" w:rsidRPr="005A2629">
        <w:rPr>
          <w:rFonts w:ascii="Times New Roman" w:hAnsi="Times New Roman" w:cs="Times New Roman"/>
          <w:sz w:val="24"/>
          <w:szCs w:val="24"/>
          <w:lang w:val="en-GB"/>
        </w:rPr>
        <w:t xml:space="preserve">) reared under control conditions (C1, </w:t>
      </w:r>
      <m:oMath>
        <m:r>
          <w:rPr>
            <w:rFonts w:ascii="Cambria Math" w:hAnsi="Cambria Math" w:cs="Times New Roman"/>
            <w:sz w:val="24"/>
            <w:szCs w:val="24"/>
          </w:rPr>
          <m:t>35</m:t>
        </m:r>
        <m:r>
          <m:rPr>
            <m:nor/>
          </m:rPr>
          <w:rPr>
            <w:rFonts w:ascii="Times New Roman" w:hAnsi="Times New Roman" w:cs="Times New Roman"/>
            <w:sz w:val="24"/>
            <w:szCs w:val="24"/>
          </w:rPr>
          <m:t> ppt</m:t>
        </m:r>
      </m:oMath>
      <w:r w:rsidR="00813944" w:rsidRPr="005A2629">
        <w:rPr>
          <w:rFonts w:ascii="Times New Roman" w:hAnsi="Times New Roman" w:cs="Times New Roman"/>
          <w:sz w:val="24"/>
          <w:szCs w:val="24"/>
          <w:lang w:val="en-GB"/>
        </w:rPr>
        <w:t>)</w:t>
      </w:r>
      <w:r w:rsidR="000A19EF" w:rsidRPr="005A2629">
        <w:rPr>
          <w:rFonts w:ascii="Times New Roman" w:hAnsi="Times New Roman" w:cs="Times New Roman"/>
          <w:sz w:val="24"/>
          <w:szCs w:val="24"/>
          <w:lang w:val="en-GB"/>
        </w:rPr>
        <w:t xml:space="preserve"> under</w:t>
      </w:r>
      <w:r w:rsidR="00813944" w:rsidRPr="005A2629">
        <w:rPr>
          <w:rFonts w:ascii="Times New Roman" w:hAnsi="Times New Roman" w:cs="Times New Roman"/>
          <w:sz w:val="24"/>
          <w:szCs w:val="24"/>
          <w:lang w:val="en-GB"/>
        </w:rPr>
        <w:t xml:space="preserve"> </w:t>
      </w:r>
      <m:oMath>
        <m:r>
          <w:rPr>
            <w:rFonts w:ascii="Cambria Math" w:hAnsi="Cambria Math" w:cs="Times New Roman"/>
            <w:sz w:val="24"/>
            <w:szCs w:val="24"/>
          </w:rPr>
          <m:t>(400×</m:t>
        </m:r>
      </m:oMath>
      <w:r w:rsidR="000A19EF" w:rsidRPr="005A2629">
        <w:rPr>
          <w:rFonts w:ascii="Times New Roman" w:hAnsi="Times New Roman" w:cs="Times New Roman"/>
          <w:sz w:val="24"/>
          <w:szCs w:val="24"/>
          <w:lang w:val="en-GB"/>
        </w:rPr>
        <w:t xml:space="preserve"> magnification: scale bar = </w:t>
      </w:r>
      <m:oMath>
        <m:r>
          <w:rPr>
            <w:rFonts w:ascii="Cambria Math" w:hAnsi="Cambria Math" w:cs="Times New Roman"/>
            <w:sz w:val="24"/>
            <w:szCs w:val="24"/>
          </w:rPr>
          <m:t>100 μ</m:t>
        </m:r>
        <m:r>
          <m:rPr>
            <m:nor/>
          </m:rPr>
          <w:rPr>
            <w:rFonts w:ascii="Times New Roman" w:hAnsi="Times New Roman" w:cs="Times New Roman"/>
            <w:sz w:val="24"/>
            <w:szCs w:val="24"/>
          </w:rPr>
          <m:t>m</m:t>
        </m:r>
        <m:r>
          <m:rPr>
            <m:nor/>
          </m:rPr>
          <w:rPr>
            <w:rFonts w:ascii="Cambria Math" w:hAnsi="Times New Roman" w:cs="Times New Roman"/>
            <w:sz w:val="24"/>
            <w:szCs w:val="24"/>
          </w:rPr>
          <m:t>)</m:t>
        </m:r>
      </m:oMath>
      <w:r w:rsidR="000A19EF" w:rsidRPr="005A2629">
        <w:rPr>
          <w:rFonts w:ascii="Times New Roman" w:hAnsi="Times New Roman" w:cs="Times New Roman"/>
          <w:sz w:val="24"/>
          <w:szCs w:val="24"/>
          <w:lang w:val="en-GB"/>
        </w:rPr>
        <w:t xml:space="preserve">. </w:t>
      </w:r>
      <w:r w:rsidR="00813944" w:rsidRPr="005A2629">
        <w:rPr>
          <w:rFonts w:ascii="Times New Roman" w:hAnsi="Times New Roman" w:cs="Times New Roman"/>
          <w:sz w:val="24"/>
          <w:szCs w:val="24"/>
          <w:lang w:val="en-GB"/>
        </w:rPr>
        <w:t xml:space="preserve">The tissue displays typical structural integrity, characterized by well-defined primary and secondary lamellae alongside normally developed branchial </w:t>
      </w:r>
      <w:proofErr w:type="spellStart"/>
      <w:r w:rsidR="00813944" w:rsidRPr="005A2629">
        <w:rPr>
          <w:rFonts w:ascii="Times New Roman" w:hAnsi="Times New Roman" w:cs="Times New Roman"/>
          <w:sz w:val="24"/>
          <w:szCs w:val="24"/>
          <w:lang w:val="en-GB"/>
        </w:rPr>
        <w:t>ionocytes</w:t>
      </w:r>
      <w:proofErr w:type="spellEnd"/>
      <w:r w:rsidR="00813944" w:rsidRPr="005A2629">
        <w:rPr>
          <w:rFonts w:ascii="Times New Roman" w:hAnsi="Times New Roman" w:cs="Times New Roman"/>
          <w:sz w:val="24"/>
          <w:szCs w:val="24"/>
          <w:lang w:val="en-GB"/>
        </w:rPr>
        <w:t xml:space="preserve"> (chloride cells).</w:t>
      </w:r>
    </w:p>
    <w:p w14:paraId="6F4A2650" w14:textId="77777777" w:rsidR="00933CDE" w:rsidRPr="005A2629" w:rsidRDefault="00933CDE" w:rsidP="00CD67CA">
      <w:pPr>
        <w:spacing w:line="276" w:lineRule="auto"/>
        <w:jc w:val="both"/>
        <w:rPr>
          <w:rFonts w:ascii="Times New Roman" w:hAnsi="Times New Roman" w:cs="Times New Roman"/>
          <w:sz w:val="24"/>
          <w:szCs w:val="24"/>
        </w:rPr>
      </w:pPr>
    </w:p>
    <w:p w14:paraId="0AACBF21" w14:textId="77777777" w:rsidR="00933CDE" w:rsidRPr="005A2629" w:rsidRDefault="00933CDE" w:rsidP="00CD67CA">
      <w:pPr>
        <w:spacing w:line="276" w:lineRule="auto"/>
        <w:jc w:val="both"/>
        <w:rPr>
          <w:rFonts w:ascii="Times New Roman" w:hAnsi="Times New Roman" w:cs="Times New Roman"/>
          <w:b/>
          <w:bCs/>
          <w:sz w:val="24"/>
          <w:szCs w:val="24"/>
        </w:rPr>
      </w:pPr>
    </w:p>
    <w:p w14:paraId="202D1667" w14:textId="77777777" w:rsidR="000A19EF" w:rsidRPr="005A2629" w:rsidRDefault="000A19EF" w:rsidP="000C6D6A">
      <w:pPr>
        <w:rPr>
          <w:rFonts w:ascii="Times New Roman" w:eastAsia="Times New Roman" w:hAnsi="Times New Roman" w:cs="Times New Roman"/>
          <w:b/>
          <w:bCs/>
          <w:sz w:val="24"/>
          <w:szCs w:val="24"/>
          <w:lang w:eastAsia="en-IN"/>
        </w:rPr>
      </w:pPr>
    </w:p>
    <w:p w14:paraId="7CC136D8" w14:textId="77777777" w:rsidR="00813944" w:rsidRPr="005A2629" w:rsidRDefault="000C6D6A" w:rsidP="004E0052">
      <w:pPr>
        <w:rPr>
          <w:rFonts w:ascii="Times New Roman" w:eastAsia="Times New Roman" w:hAnsi="Times New Roman" w:cs="Times New Roman"/>
          <w:b/>
          <w:bCs/>
          <w:sz w:val="24"/>
          <w:szCs w:val="24"/>
          <w:lang w:eastAsia="en-IN"/>
        </w:rPr>
      </w:pPr>
      <w:r w:rsidRPr="005A2629">
        <w:rPr>
          <w:rFonts w:ascii="Times New Roman" w:eastAsia="Times New Roman" w:hAnsi="Times New Roman" w:cs="Times New Roman"/>
          <w:b/>
          <w:bCs/>
          <w:noProof/>
          <w:sz w:val="24"/>
          <w:szCs w:val="24"/>
          <w:lang w:val="en-GB" w:eastAsia="en-IN"/>
        </w:rPr>
        <w:lastRenderedPageBreak/>
        <mc:AlternateContent>
          <mc:Choice Requires="wps">
            <w:drawing>
              <wp:anchor distT="0" distB="0" distL="114300" distR="114300" simplePos="0" relativeHeight="251665408" behindDoc="0" locked="0" layoutInCell="1" allowOverlap="1" wp14:anchorId="3A0E02D7" wp14:editId="468FCF77">
                <wp:simplePos x="0" y="0"/>
                <wp:positionH relativeFrom="column">
                  <wp:posOffset>1220065</wp:posOffset>
                </wp:positionH>
                <wp:positionV relativeFrom="paragraph">
                  <wp:posOffset>-379845</wp:posOffset>
                </wp:positionV>
                <wp:extent cx="3172691" cy="1891145"/>
                <wp:effectExtent l="0" t="0" r="27940" b="13970"/>
                <wp:wrapNone/>
                <wp:docPr id="258683873" name="Text Box 35"/>
                <wp:cNvGraphicFramePr/>
                <a:graphic xmlns:a="http://schemas.openxmlformats.org/drawingml/2006/main">
                  <a:graphicData uri="http://schemas.microsoft.com/office/word/2010/wordprocessingShape">
                    <wps:wsp>
                      <wps:cNvSpPr txBox="1"/>
                      <wps:spPr>
                        <a:xfrm>
                          <a:off x="0" y="0"/>
                          <a:ext cx="3172691" cy="1891145"/>
                        </a:xfrm>
                        <a:prstGeom prst="rect">
                          <a:avLst/>
                        </a:prstGeom>
                        <a:solidFill>
                          <a:schemeClr val="lt1"/>
                        </a:solidFill>
                        <a:ln w="6350">
                          <a:solidFill>
                            <a:schemeClr val="bg1"/>
                          </a:solidFill>
                        </a:ln>
                      </wps:spPr>
                      <wps:txbx>
                        <w:txbxContent>
                          <w:p w14:paraId="06F90207"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02D7" id="Text Box 35" o:spid="_x0000_s1031" type="#_x0000_t202" style="position:absolute;margin-left:96.05pt;margin-top:-29.9pt;width:249.8pt;height:14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" fillcolor="white [3201]" strokecolor="white [3212]" strokeweight=".5pt">
                <v:textbox>
                  <w:txbxContent>
                    <w:p w14:paraId="06F90207"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v:textbox>
              </v:shape>
            </w:pict>
          </mc:Fallback>
        </mc:AlternateContent>
      </w:r>
      <w:r w:rsidRPr="005A2629">
        <w:rPr>
          <w:rFonts w:ascii="Times New Roman" w:eastAsia="Times New Roman" w:hAnsi="Times New Roman" w:cs="Times New Roman"/>
          <w:b/>
          <w:bCs/>
          <w:sz w:val="24"/>
          <w:szCs w:val="24"/>
          <w:lang w:val="en-GB" w:eastAsia="en-IN"/>
        </w:rPr>
        <w:t xml:space="preserve"> </w:t>
      </w:r>
    </w:p>
    <w:p w14:paraId="1B61FCF9" w14:textId="77777777" w:rsidR="000A19EF" w:rsidRPr="005A2629" w:rsidRDefault="000A19EF" w:rsidP="00E92A71">
      <w:pPr>
        <w:spacing w:line="276" w:lineRule="auto"/>
        <w:jc w:val="both"/>
        <w:rPr>
          <w:rFonts w:ascii="Times New Roman" w:hAnsi="Times New Roman" w:cs="Times New Roman"/>
          <w:b/>
          <w:bCs/>
          <w:sz w:val="24"/>
          <w:szCs w:val="24"/>
        </w:rPr>
      </w:pPr>
    </w:p>
    <w:p w14:paraId="1932A3B7" w14:textId="77777777" w:rsidR="000A19EF" w:rsidRPr="005A2629" w:rsidRDefault="000A19EF" w:rsidP="00E92A71">
      <w:pPr>
        <w:spacing w:line="276" w:lineRule="auto"/>
        <w:jc w:val="both"/>
        <w:rPr>
          <w:rFonts w:ascii="Times New Roman" w:hAnsi="Times New Roman" w:cs="Times New Roman"/>
          <w:b/>
          <w:bCs/>
          <w:sz w:val="24"/>
          <w:szCs w:val="24"/>
        </w:rPr>
      </w:pPr>
    </w:p>
    <w:p w14:paraId="46BF735B" w14:textId="77777777" w:rsidR="000A19EF" w:rsidRPr="005A2629" w:rsidRDefault="000A19EF" w:rsidP="00E92A71">
      <w:pPr>
        <w:spacing w:line="276" w:lineRule="auto"/>
        <w:jc w:val="both"/>
        <w:rPr>
          <w:rFonts w:ascii="Times New Roman" w:hAnsi="Times New Roman" w:cs="Times New Roman"/>
          <w:b/>
          <w:bCs/>
          <w:sz w:val="24"/>
          <w:szCs w:val="24"/>
        </w:rPr>
      </w:pPr>
    </w:p>
    <w:p w14:paraId="39B935A9" w14:textId="77777777" w:rsidR="000A19EF" w:rsidRPr="005A2629" w:rsidRDefault="000A19EF" w:rsidP="00E92A71">
      <w:pPr>
        <w:spacing w:line="276" w:lineRule="auto"/>
        <w:jc w:val="both"/>
        <w:rPr>
          <w:rFonts w:ascii="Times New Roman" w:hAnsi="Times New Roman" w:cs="Times New Roman"/>
          <w:b/>
          <w:bCs/>
          <w:sz w:val="24"/>
          <w:szCs w:val="24"/>
        </w:rPr>
      </w:pPr>
    </w:p>
    <w:p w14:paraId="114C78CD" w14:textId="77777777" w:rsidR="000C6D6A" w:rsidRPr="005A2629" w:rsidRDefault="000C6D6A" w:rsidP="00E92A71">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t xml:space="preserve">Figure 6. </w:t>
      </w:r>
      <w:r w:rsidR="00813944" w:rsidRPr="005A2629">
        <w:rPr>
          <w:rFonts w:ascii="Times New Roman" w:hAnsi="Times New Roman" w:cs="Times New Roman"/>
          <w:sz w:val="24"/>
          <w:szCs w:val="24"/>
          <w:lang w:val="en-GB"/>
        </w:rPr>
        <w:t>Light micrograph showing branchial tissues of juvenile silver pompano (</w:t>
      </w:r>
      <w:r w:rsidR="00813944" w:rsidRPr="005A2629">
        <w:rPr>
          <w:rFonts w:ascii="Times New Roman" w:hAnsi="Times New Roman" w:cs="Times New Roman"/>
          <w:i/>
          <w:iCs/>
          <w:sz w:val="24"/>
          <w:szCs w:val="24"/>
          <w:lang w:val="en-GB"/>
        </w:rPr>
        <w:t xml:space="preserve">Trachinotus </w:t>
      </w:r>
      <w:proofErr w:type="spellStart"/>
      <w:r w:rsidR="00813944" w:rsidRPr="005A2629">
        <w:rPr>
          <w:rFonts w:ascii="Times New Roman" w:hAnsi="Times New Roman" w:cs="Times New Roman"/>
          <w:i/>
          <w:iCs/>
          <w:sz w:val="24"/>
          <w:szCs w:val="24"/>
          <w:lang w:val="en-GB"/>
        </w:rPr>
        <w:t>blochii</w:t>
      </w:r>
      <w:proofErr w:type="spellEnd"/>
      <w:r w:rsidR="00813944" w:rsidRPr="005A2629">
        <w:rPr>
          <w:rFonts w:ascii="Times New Roman" w:hAnsi="Times New Roman" w:cs="Times New Roman"/>
          <w:sz w:val="24"/>
          <w:szCs w:val="24"/>
          <w:lang w:val="en-GB"/>
        </w:rPr>
        <w:t xml:space="preserve">) reared at </w:t>
      </w:r>
      <m:oMath>
        <m:r>
          <w:rPr>
            <w:rFonts w:ascii="Cambria Math" w:hAnsi="Cambria Math" w:cs="Times New Roman"/>
            <w:sz w:val="24"/>
            <w:szCs w:val="24"/>
          </w:rPr>
          <m:t>25</m:t>
        </m:r>
        <m:r>
          <m:rPr>
            <m:nor/>
          </m:rPr>
          <w:rPr>
            <w:rFonts w:ascii="Times New Roman" w:hAnsi="Times New Roman" w:cs="Times New Roman"/>
            <w:sz w:val="24"/>
            <w:szCs w:val="24"/>
          </w:rPr>
          <m:t> ppt</m:t>
        </m:r>
      </m:oMath>
      <w:r w:rsidR="00813944" w:rsidRPr="005A2629">
        <w:rPr>
          <w:rFonts w:ascii="Times New Roman" w:hAnsi="Times New Roman" w:cs="Times New Roman"/>
          <w:sz w:val="24"/>
          <w:szCs w:val="24"/>
          <w:lang w:val="en-GB"/>
        </w:rPr>
        <w:t xml:space="preserve"> (T1) </w:t>
      </w:r>
      <w:r w:rsidR="000A19EF" w:rsidRPr="005A2629">
        <w:rPr>
          <w:rFonts w:ascii="Times New Roman" w:hAnsi="Times New Roman" w:cs="Times New Roman"/>
          <w:sz w:val="24"/>
          <w:szCs w:val="24"/>
          <w:lang w:val="en-GB"/>
        </w:rPr>
        <w:t xml:space="preserve">under </w:t>
      </w:r>
      <m:oMath>
        <m:r>
          <w:rPr>
            <w:rFonts w:ascii="Cambria Math" w:hAnsi="Cambria Math" w:cs="Times New Roman"/>
            <w:sz w:val="24"/>
            <w:szCs w:val="24"/>
          </w:rPr>
          <m:t>(400×</m:t>
        </m:r>
      </m:oMath>
      <w:r w:rsidR="000A19EF" w:rsidRPr="005A2629">
        <w:rPr>
          <w:rFonts w:ascii="Times New Roman" w:hAnsi="Times New Roman" w:cs="Times New Roman"/>
          <w:sz w:val="24"/>
          <w:szCs w:val="24"/>
          <w:lang w:val="en-GB"/>
        </w:rPr>
        <w:t xml:space="preserve"> magnification: scale bar = </w:t>
      </w:r>
      <m:oMath>
        <m:r>
          <w:rPr>
            <w:rFonts w:ascii="Cambria Math" w:hAnsi="Cambria Math" w:cs="Times New Roman"/>
            <w:sz w:val="24"/>
            <w:szCs w:val="24"/>
          </w:rPr>
          <m:t>100 μ</m:t>
        </m:r>
        <m:r>
          <m:rPr>
            <m:nor/>
          </m:rPr>
          <w:rPr>
            <w:rFonts w:ascii="Times New Roman" w:hAnsi="Times New Roman" w:cs="Times New Roman"/>
            <w:sz w:val="24"/>
            <w:szCs w:val="24"/>
          </w:rPr>
          <m:t>m</m:t>
        </m:r>
        <m:r>
          <m:rPr>
            <m:nor/>
          </m:rPr>
          <w:rPr>
            <w:rFonts w:ascii="Cambria Math" w:hAnsi="Times New Roman" w:cs="Times New Roman"/>
            <w:sz w:val="24"/>
            <w:szCs w:val="24"/>
          </w:rPr>
          <m:t>)</m:t>
        </m:r>
      </m:oMath>
      <w:proofErr w:type="gramStart"/>
      <w:r w:rsidR="000A19EF" w:rsidRPr="005A2629">
        <w:rPr>
          <w:rFonts w:ascii="Times New Roman" w:hAnsi="Times New Roman" w:cs="Times New Roman"/>
          <w:sz w:val="24"/>
          <w:szCs w:val="24"/>
          <w:lang w:val="en-GB"/>
        </w:rPr>
        <w:t xml:space="preserve">. </w:t>
      </w:r>
      <w:r w:rsidR="00813944" w:rsidRPr="005A2629">
        <w:rPr>
          <w:rFonts w:ascii="Times New Roman" w:hAnsi="Times New Roman" w:cs="Times New Roman"/>
          <w:sz w:val="24"/>
          <w:szCs w:val="24"/>
          <w:lang w:val="en-GB"/>
        </w:rPr>
        <w:t>.</w:t>
      </w:r>
      <w:proofErr w:type="gramEnd"/>
      <w:r w:rsidR="00813944" w:rsidRPr="005A2629">
        <w:rPr>
          <w:rFonts w:ascii="Times New Roman" w:hAnsi="Times New Roman" w:cs="Times New Roman"/>
          <w:sz w:val="24"/>
          <w:szCs w:val="24"/>
          <w:lang w:val="en-GB"/>
        </w:rPr>
        <w:t xml:space="preserve"> The specimen exhibits mild epithelial hyperplasia along the lamellae; however, distinct pathological cellular anomalies such as severe lamellar hypertrophy or intercellular edema are absent.</w:t>
      </w:r>
    </w:p>
    <w:p w14:paraId="3DC3133C" w14:textId="77777777" w:rsidR="000C6D6A" w:rsidRPr="005A2629" w:rsidRDefault="000C6D6A" w:rsidP="000C6D6A">
      <w:pPr>
        <w:spacing w:line="360" w:lineRule="auto"/>
        <w:jc w:val="both"/>
        <w:rPr>
          <w:rFonts w:ascii="Times New Roman" w:eastAsia="Times New Roman" w:hAnsi="Times New Roman" w:cs="Times New Roman"/>
          <w:sz w:val="24"/>
          <w:szCs w:val="24"/>
          <w:lang w:eastAsia="en-IN"/>
        </w:rPr>
      </w:pPr>
      <w:r w:rsidRPr="005A2629">
        <w:rPr>
          <w:rFonts w:ascii="Times New Roman" w:eastAsia="Times New Roman" w:hAnsi="Times New Roman" w:cs="Times New Roman"/>
          <w:noProof/>
          <w:sz w:val="24"/>
          <w:szCs w:val="24"/>
          <w:lang w:val="en-GB" w:eastAsia="en-IN"/>
        </w:rPr>
        <mc:AlternateContent>
          <mc:Choice Requires="wps">
            <w:drawing>
              <wp:anchor distT="0" distB="0" distL="114300" distR="114300" simplePos="0" relativeHeight="251666432" behindDoc="0" locked="0" layoutInCell="1" allowOverlap="1" wp14:anchorId="1616EE83" wp14:editId="08C8C8BF">
                <wp:simplePos x="0" y="0"/>
                <wp:positionH relativeFrom="column">
                  <wp:posOffset>1220066</wp:posOffset>
                </wp:positionH>
                <wp:positionV relativeFrom="paragraph">
                  <wp:posOffset>95884</wp:posOffset>
                </wp:positionV>
                <wp:extent cx="3241790" cy="2126673"/>
                <wp:effectExtent l="0" t="0" r="15875" b="26035"/>
                <wp:wrapNone/>
                <wp:docPr id="1129263398" name="Text Box 36"/>
                <wp:cNvGraphicFramePr/>
                <a:graphic xmlns:a="http://schemas.openxmlformats.org/drawingml/2006/main">
                  <a:graphicData uri="http://schemas.microsoft.com/office/word/2010/wordprocessingShape">
                    <wps:wsp>
                      <wps:cNvSpPr txBox="1"/>
                      <wps:spPr>
                        <a:xfrm>
                          <a:off x="0" y="0"/>
                          <a:ext cx="3241790" cy="2126673"/>
                        </a:xfrm>
                        <a:prstGeom prst="rect">
                          <a:avLst/>
                        </a:prstGeom>
                        <a:solidFill>
                          <a:schemeClr val="lt1"/>
                        </a:solidFill>
                        <a:ln w="6350">
                          <a:solidFill>
                            <a:schemeClr val="bg1"/>
                          </a:solidFill>
                        </a:ln>
                      </wps:spPr>
                      <wps:txbx>
                        <w:txbxContent>
                          <w:p w14:paraId="45050075"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6EE83" id="Text Box 36" o:spid="_x0000_s1032" type="#_x0000_t202" style="position:absolute;left:0;text-align:left;margin-left:96.05pt;margin-top:7.55pt;width:255.25pt;height:16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" fillcolor="white [3201]" strokecolor="white [3212]" strokeweight=".5pt">
                <v:textbox>
                  <w:txbxContent>
                    <w:p w14:paraId="45050075"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v:textbox>
              </v:shape>
            </w:pict>
          </mc:Fallback>
        </mc:AlternateContent>
      </w:r>
    </w:p>
    <w:p w14:paraId="7FC5B890" w14:textId="77777777" w:rsidR="000C6D6A" w:rsidRPr="005A2629" w:rsidRDefault="000C6D6A" w:rsidP="000C6D6A">
      <w:pPr>
        <w:rPr>
          <w:rFonts w:ascii="Times New Roman" w:eastAsia="Times New Roman" w:hAnsi="Times New Roman" w:cs="Times New Roman"/>
          <w:sz w:val="24"/>
          <w:szCs w:val="24"/>
          <w:lang w:eastAsia="en-IN"/>
        </w:rPr>
      </w:pPr>
    </w:p>
    <w:p w14:paraId="5F466F5C" w14:textId="77777777" w:rsidR="00813944" w:rsidRPr="005A2629" w:rsidRDefault="00813944" w:rsidP="000C6D6A">
      <w:pPr>
        <w:rPr>
          <w:rFonts w:ascii="Times New Roman" w:eastAsia="Times New Roman" w:hAnsi="Times New Roman" w:cs="Times New Roman"/>
          <w:b/>
          <w:bCs/>
          <w:sz w:val="24"/>
          <w:szCs w:val="24"/>
          <w:lang w:eastAsia="en-IN"/>
        </w:rPr>
      </w:pPr>
    </w:p>
    <w:p w14:paraId="2C2B10C9" w14:textId="77777777" w:rsidR="004E0052" w:rsidRPr="005A2629" w:rsidRDefault="004E0052" w:rsidP="000C6D6A">
      <w:pPr>
        <w:rPr>
          <w:rFonts w:ascii="Times New Roman" w:eastAsia="Times New Roman" w:hAnsi="Times New Roman" w:cs="Times New Roman"/>
          <w:b/>
          <w:bCs/>
          <w:sz w:val="24"/>
          <w:szCs w:val="24"/>
          <w:lang w:eastAsia="en-IN"/>
        </w:rPr>
      </w:pPr>
    </w:p>
    <w:p w14:paraId="0B2FCC3C" w14:textId="77777777" w:rsidR="004E0052" w:rsidRPr="005A2629" w:rsidRDefault="004E0052" w:rsidP="000C6D6A">
      <w:pPr>
        <w:rPr>
          <w:rFonts w:ascii="Times New Roman" w:eastAsia="Times New Roman" w:hAnsi="Times New Roman" w:cs="Times New Roman"/>
          <w:b/>
          <w:bCs/>
          <w:sz w:val="24"/>
          <w:szCs w:val="24"/>
          <w:lang w:eastAsia="en-IN"/>
        </w:rPr>
      </w:pPr>
    </w:p>
    <w:p w14:paraId="43BACBC6" w14:textId="77777777" w:rsidR="004E0052" w:rsidRPr="005A2629" w:rsidRDefault="004E0052" w:rsidP="000C6D6A">
      <w:pPr>
        <w:rPr>
          <w:rFonts w:ascii="Times New Roman" w:eastAsia="Times New Roman" w:hAnsi="Times New Roman" w:cs="Times New Roman"/>
          <w:b/>
          <w:bCs/>
          <w:sz w:val="24"/>
          <w:szCs w:val="24"/>
          <w:lang w:eastAsia="en-IN"/>
        </w:rPr>
      </w:pPr>
    </w:p>
    <w:p w14:paraId="70284AAF" w14:textId="77777777" w:rsidR="004E0052" w:rsidRPr="005A2629" w:rsidRDefault="004E0052" w:rsidP="000C6D6A">
      <w:pPr>
        <w:rPr>
          <w:rFonts w:ascii="Times New Roman" w:eastAsia="Times New Roman" w:hAnsi="Times New Roman" w:cs="Times New Roman"/>
          <w:b/>
          <w:bCs/>
          <w:sz w:val="24"/>
          <w:szCs w:val="24"/>
          <w:lang w:eastAsia="en-IN"/>
        </w:rPr>
      </w:pPr>
    </w:p>
    <w:p w14:paraId="54C62105" w14:textId="77777777" w:rsidR="004E0052" w:rsidRPr="005A2629" w:rsidRDefault="004E0052" w:rsidP="000C6D6A">
      <w:pPr>
        <w:rPr>
          <w:rFonts w:ascii="Times New Roman" w:eastAsia="Times New Roman" w:hAnsi="Times New Roman" w:cs="Times New Roman"/>
          <w:b/>
          <w:bCs/>
          <w:sz w:val="24"/>
          <w:szCs w:val="24"/>
          <w:lang w:eastAsia="en-IN"/>
        </w:rPr>
      </w:pPr>
    </w:p>
    <w:p w14:paraId="4FEDA9FC" w14:textId="77777777" w:rsidR="00813944" w:rsidRPr="005A2629" w:rsidRDefault="00813944" w:rsidP="00813944">
      <w:pPr>
        <w:spacing w:line="276" w:lineRule="auto"/>
        <w:jc w:val="both"/>
        <w:rPr>
          <w:rFonts w:ascii="Times New Roman" w:hAnsi="Times New Roman" w:cs="Times New Roman"/>
          <w:sz w:val="24"/>
          <w:szCs w:val="24"/>
        </w:rPr>
      </w:pPr>
      <w:r w:rsidRPr="005A2629">
        <w:rPr>
          <w:rFonts w:ascii="Times New Roman" w:eastAsia="Times New Roman" w:hAnsi="Times New Roman" w:cs="Times New Roman"/>
          <w:noProof/>
          <w:sz w:val="24"/>
          <w:szCs w:val="24"/>
          <w:lang w:val="en-GB" w:eastAsia="en-IN"/>
        </w:rPr>
        <mc:AlternateContent>
          <mc:Choice Requires="wps">
            <w:drawing>
              <wp:anchor distT="0" distB="0" distL="114300" distR="114300" simplePos="0" relativeHeight="251667456" behindDoc="0" locked="0" layoutInCell="1" allowOverlap="1" wp14:anchorId="19CA00DC" wp14:editId="44A59783">
                <wp:simplePos x="0" y="0"/>
                <wp:positionH relativeFrom="column">
                  <wp:posOffset>1268037</wp:posOffset>
                </wp:positionH>
                <wp:positionV relativeFrom="paragraph">
                  <wp:posOffset>871220</wp:posOffset>
                </wp:positionV>
                <wp:extent cx="3075363" cy="2286000"/>
                <wp:effectExtent l="0" t="0" r="0" b="0"/>
                <wp:wrapNone/>
                <wp:docPr id="940120698" name="Text Box 38"/>
                <wp:cNvGraphicFramePr/>
                <a:graphic xmlns:a="http://schemas.openxmlformats.org/drawingml/2006/main">
                  <a:graphicData uri="http://schemas.microsoft.com/office/word/2010/wordprocessingShape">
                    <wps:wsp>
                      <wps:cNvSpPr txBox="1"/>
                      <wps:spPr>
                        <a:xfrm>
                          <a:off x="0" y="0"/>
                          <a:ext cx="3075363" cy="2286000"/>
                        </a:xfrm>
                        <a:prstGeom prst="rect">
                          <a:avLst/>
                        </a:prstGeom>
                        <a:solidFill>
                          <a:schemeClr val="lt1"/>
                        </a:solidFill>
                        <a:ln w="6350">
                          <a:noFill/>
                        </a:ln>
                      </wps:spPr>
                      <wps:txbx>
                        <w:txbxContent>
                          <w:p w14:paraId="59E75847"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374BEE13">
                                  <wp:extent cx="2742565" cy="1759164"/>
                                  <wp:effectExtent l="0" t="0" r="635" b="0"/>
                                  <wp:docPr id="6862406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8950" cy="17889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00DC" id="Text Box 38" o:spid="_x0000_s1033" type="#_x0000_t202" style="position:absolute;left:0;text-align:left;margin-left:99.85pt;margin-top:68.6pt;width:242.15pt;height:18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V6Mg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" fillcolor="white [3201]" stroked="f" strokeweight=".5pt">
                <v:textbox>
                  <w:txbxContent>
                    <w:p w14:paraId="59E75847"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374BEE13">
                            <wp:extent cx="2742565" cy="1759164"/>
                            <wp:effectExtent l="0" t="0" r="635" b="0"/>
                            <wp:docPr id="6862406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8950" cy="1788917"/>
                                    </a:xfrm>
                                    <a:prstGeom prst="rect">
                                      <a:avLst/>
                                    </a:prstGeom>
                                    <a:noFill/>
                                    <a:ln>
                                      <a:noFill/>
                                    </a:ln>
                                  </pic:spPr>
                                </pic:pic>
                              </a:graphicData>
                            </a:graphic>
                          </wp:inline>
                        </w:drawing>
                      </w:r>
                    </w:p>
                  </w:txbxContent>
                </v:textbox>
              </v:shape>
            </w:pict>
          </mc:Fallback>
        </mc:AlternateContent>
      </w:r>
      <w:r w:rsidR="000C6D6A" w:rsidRPr="005A2629">
        <w:rPr>
          <w:rFonts w:ascii="Times New Roman" w:hAnsi="Times New Roman" w:cs="Times New Roman"/>
          <w:b/>
          <w:bCs/>
          <w:sz w:val="24"/>
          <w:szCs w:val="24"/>
          <w:lang w:val="en-GB"/>
        </w:rPr>
        <w:t>Figure 7.</w:t>
      </w:r>
      <w:r w:rsidRPr="005A2629">
        <w:rPr>
          <w:rFonts w:ascii="Times New Roman" w:eastAsia="Times New Roman" w:hAnsi="Times New Roman" w:cs="Times New Roman"/>
          <w:sz w:val="24"/>
          <w:szCs w:val="24"/>
          <w:lang w:val="en-GB" w:eastAsia="en-IN"/>
        </w:rPr>
        <w:t xml:space="preserve"> </w:t>
      </w:r>
      <w:r w:rsidRPr="005A2629">
        <w:rPr>
          <w:rFonts w:ascii="Times New Roman" w:hAnsi="Times New Roman" w:cs="Times New Roman"/>
          <w:sz w:val="24"/>
          <w:szCs w:val="24"/>
          <w:lang w:val="en-GB"/>
        </w:rPr>
        <w:t>Light micrograph of the branchial microarchitecture from a juvenile silver pompano (</w:t>
      </w:r>
      <w:r w:rsidRPr="005A2629">
        <w:rPr>
          <w:rFonts w:ascii="Times New Roman" w:hAnsi="Times New Roman" w:cs="Times New Roman"/>
          <w:i/>
          <w:iCs/>
          <w:sz w:val="24"/>
          <w:szCs w:val="24"/>
          <w:lang w:val="en-GB"/>
        </w:rPr>
        <w:t xml:space="preserve">Trachinotus </w:t>
      </w:r>
      <w:proofErr w:type="spellStart"/>
      <w:r w:rsidRPr="005A2629">
        <w:rPr>
          <w:rFonts w:ascii="Times New Roman" w:hAnsi="Times New Roman" w:cs="Times New Roman"/>
          <w:i/>
          <w:iCs/>
          <w:sz w:val="24"/>
          <w:szCs w:val="24"/>
          <w:lang w:val="en-GB"/>
        </w:rPr>
        <w:t>blochii</w:t>
      </w:r>
      <w:proofErr w:type="spellEnd"/>
      <w:r w:rsidRPr="005A2629">
        <w:rPr>
          <w:rFonts w:ascii="Times New Roman" w:hAnsi="Times New Roman" w:cs="Times New Roman"/>
          <w:sz w:val="24"/>
          <w:szCs w:val="24"/>
          <w:lang w:val="en-GB"/>
        </w:rPr>
        <w:t xml:space="preserve">) reared at </w:t>
      </w:r>
      <m:oMath>
        <m: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lang w:val="en-GB"/>
        </w:rPr>
        <w:t xml:space="preserve"> (T2) </w:t>
      </w:r>
      <w:r w:rsidR="00933CDE" w:rsidRPr="005A2629">
        <w:rPr>
          <w:rFonts w:ascii="Times New Roman" w:hAnsi="Times New Roman" w:cs="Times New Roman"/>
          <w:sz w:val="24"/>
          <w:szCs w:val="24"/>
          <w:lang w:val="en-GB"/>
        </w:rPr>
        <w:t xml:space="preserve">under 400× magnification (scale bar = ___ µm). </w:t>
      </w:r>
      <w:r w:rsidRPr="005A2629">
        <w:rPr>
          <w:rFonts w:ascii="Times New Roman" w:hAnsi="Times New Roman" w:cs="Times New Roman"/>
          <w:sz w:val="24"/>
          <w:szCs w:val="24"/>
          <w:lang w:val="en-GB"/>
        </w:rPr>
        <w:t>Vital structural components, including functional pillar cells, blood lacunae, and clear secondary lamell</w:t>
      </w:r>
      <w:r w:rsidR="00933CDE" w:rsidRPr="005A2629">
        <w:rPr>
          <w:rFonts w:ascii="Times New Roman" w:hAnsi="Times New Roman" w:cs="Times New Roman"/>
          <w:sz w:val="24"/>
          <w:szCs w:val="24"/>
          <w:lang w:val="en-GB"/>
        </w:rPr>
        <w:t>ae we</w:t>
      </w:r>
      <w:r w:rsidRPr="005A2629">
        <w:rPr>
          <w:rFonts w:ascii="Times New Roman" w:hAnsi="Times New Roman" w:cs="Times New Roman"/>
          <w:sz w:val="24"/>
          <w:szCs w:val="24"/>
          <w:lang w:val="en-GB"/>
        </w:rPr>
        <w:t>re well preserved</w:t>
      </w:r>
      <w:r w:rsidR="00933CDE" w:rsidRPr="005A2629">
        <w:rPr>
          <w:rFonts w:ascii="Times New Roman" w:hAnsi="Times New Roman" w:cs="Times New Roman"/>
          <w:sz w:val="24"/>
          <w:szCs w:val="24"/>
          <w:lang w:val="en-GB"/>
        </w:rPr>
        <w:t>,</w:t>
      </w:r>
      <w:r w:rsidR="00933CDE" w:rsidRPr="005A2629">
        <w:rPr>
          <w:lang w:val="en-GB"/>
        </w:rPr>
        <w:t xml:space="preserve"> </w:t>
      </w:r>
      <w:r w:rsidR="00933CDE" w:rsidRPr="005A2629">
        <w:rPr>
          <w:rFonts w:ascii="Times New Roman" w:hAnsi="Times New Roman" w:cs="Times New Roman"/>
          <w:sz w:val="24"/>
          <w:szCs w:val="24"/>
          <w:lang w:val="en-GB"/>
        </w:rPr>
        <w:t>indicating normal branchial architecture.</w:t>
      </w:r>
      <w:r w:rsidRPr="005A2629">
        <w:rPr>
          <w:rFonts w:ascii="Times New Roman" w:hAnsi="Times New Roman" w:cs="Times New Roman"/>
          <w:sz w:val="24"/>
          <w:szCs w:val="24"/>
          <w:lang w:val="en-GB"/>
        </w:rPr>
        <w:t xml:space="preserve"> (cf. Wahyuni et al., 2017).</w:t>
      </w:r>
    </w:p>
    <w:p w14:paraId="6B9F1B56" w14:textId="77777777" w:rsidR="00813944" w:rsidRPr="005A2629" w:rsidRDefault="00813944" w:rsidP="00E92A71">
      <w:pPr>
        <w:spacing w:line="276" w:lineRule="auto"/>
        <w:jc w:val="both"/>
        <w:rPr>
          <w:rFonts w:ascii="Times New Roman" w:eastAsia="Times New Roman" w:hAnsi="Times New Roman" w:cs="Times New Roman"/>
          <w:sz w:val="24"/>
          <w:szCs w:val="24"/>
          <w:lang w:eastAsia="en-IN"/>
        </w:rPr>
      </w:pPr>
    </w:p>
    <w:p w14:paraId="51E89692" w14:textId="77777777" w:rsidR="000C6D6A" w:rsidRPr="005A2629" w:rsidRDefault="000C6D6A" w:rsidP="000C6D6A">
      <w:pPr>
        <w:jc w:val="both"/>
        <w:rPr>
          <w:rFonts w:ascii="Times New Roman" w:eastAsia="Times New Roman" w:hAnsi="Times New Roman" w:cs="Times New Roman"/>
          <w:sz w:val="24"/>
          <w:szCs w:val="24"/>
          <w:lang w:eastAsia="en-IN"/>
        </w:rPr>
      </w:pPr>
    </w:p>
    <w:p w14:paraId="62E54145" w14:textId="77777777" w:rsidR="00E92A71" w:rsidRPr="005A2629" w:rsidRDefault="00E92A71" w:rsidP="000C6D6A">
      <w:pPr>
        <w:spacing w:line="360" w:lineRule="auto"/>
        <w:jc w:val="both"/>
        <w:rPr>
          <w:rFonts w:ascii="Times New Roman" w:eastAsia="Times New Roman" w:hAnsi="Times New Roman" w:cs="Times New Roman"/>
          <w:sz w:val="24"/>
          <w:szCs w:val="24"/>
          <w:lang w:eastAsia="en-IN"/>
        </w:rPr>
      </w:pPr>
    </w:p>
    <w:p w14:paraId="1005D2EE" w14:textId="77777777" w:rsidR="00813944" w:rsidRPr="005A2629" w:rsidRDefault="00813944" w:rsidP="000C6D6A">
      <w:pPr>
        <w:spacing w:line="360" w:lineRule="auto"/>
        <w:jc w:val="both"/>
        <w:rPr>
          <w:rFonts w:ascii="Times New Roman" w:eastAsia="Times New Roman" w:hAnsi="Times New Roman" w:cs="Times New Roman"/>
          <w:sz w:val="24"/>
          <w:szCs w:val="24"/>
          <w:lang w:eastAsia="en-IN"/>
        </w:rPr>
      </w:pPr>
    </w:p>
    <w:p w14:paraId="4A79A64A" w14:textId="77777777" w:rsidR="00613D73" w:rsidRPr="005A2629" w:rsidRDefault="00613D73" w:rsidP="000C6D6A">
      <w:pPr>
        <w:spacing w:line="360" w:lineRule="auto"/>
        <w:jc w:val="both"/>
        <w:rPr>
          <w:rFonts w:ascii="Times New Roman" w:eastAsia="Times New Roman" w:hAnsi="Times New Roman" w:cs="Times New Roman"/>
          <w:sz w:val="24"/>
          <w:szCs w:val="24"/>
          <w:lang w:eastAsia="en-IN"/>
        </w:rPr>
      </w:pPr>
    </w:p>
    <w:p w14:paraId="37ED36B5" w14:textId="77777777" w:rsidR="00613D73" w:rsidRPr="005A2629" w:rsidRDefault="00613D73" w:rsidP="000C6D6A">
      <w:pPr>
        <w:spacing w:line="360" w:lineRule="auto"/>
        <w:jc w:val="both"/>
        <w:rPr>
          <w:rFonts w:ascii="Times New Roman" w:eastAsia="Times New Roman" w:hAnsi="Times New Roman" w:cs="Times New Roman"/>
          <w:sz w:val="24"/>
          <w:szCs w:val="24"/>
          <w:lang w:eastAsia="en-IN"/>
        </w:rPr>
      </w:pPr>
    </w:p>
    <w:p w14:paraId="22587EB8" w14:textId="77777777" w:rsidR="004E0052" w:rsidRPr="005A2629" w:rsidRDefault="004E0052" w:rsidP="000C6D6A">
      <w:pPr>
        <w:spacing w:line="360" w:lineRule="auto"/>
        <w:jc w:val="both"/>
        <w:rPr>
          <w:rFonts w:ascii="Times New Roman" w:eastAsia="Times New Roman" w:hAnsi="Times New Roman" w:cs="Times New Roman"/>
          <w:sz w:val="24"/>
          <w:szCs w:val="24"/>
          <w:lang w:eastAsia="en-IN"/>
        </w:rPr>
      </w:pPr>
    </w:p>
    <w:p w14:paraId="38021ED4" w14:textId="77777777" w:rsidR="000C6D6A" w:rsidRPr="005A2629" w:rsidRDefault="000C6D6A" w:rsidP="00E92A71">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lang w:val="en-GB"/>
        </w:rPr>
        <w:lastRenderedPageBreak/>
        <w:t xml:space="preserve">Figure </w:t>
      </w:r>
      <w:r w:rsidR="00EC3B6E" w:rsidRPr="005A2629">
        <w:rPr>
          <w:rFonts w:ascii="Times New Roman" w:hAnsi="Times New Roman" w:cs="Times New Roman"/>
          <w:b/>
          <w:bCs/>
          <w:sz w:val="24"/>
          <w:szCs w:val="24"/>
          <w:lang w:val="en-GB"/>
        </w:rPr>
        <w:t>8</w:t>
      </w:r>
      <w:r w:rsidRPr="005A2629">
        <w:rPr>
          <w:rFonts w:ascii="Times New Roman" w:hAnsi="Times New Roman" w:cs="Times New Roman"/>
          <w:b/>
          <w:bCs/>
          <w:sz w:val="24"/>
          <w:szCs w:val="24"/>
          <w:lang w:val="en-GB"/>
        </w:rPr>
        <w:t xml:space="preserve">. </w:t>
      </w:r>
      <w:r w:rsidR="00813944" w:rsidRPr="005A2629">
        <w:rPr>
          <w:rFonts w:ascii="Times New Roman" w:hAnsi="Times New Roman" w:cs="Times New Roman"/>
          <w:sz w:val="24"/>
          <w:szCs w:val="24"/>
          <w:lang w:val="en-GB"/>
        </w:rPr>
        <w:t>Light micrograph of the branchial tissue from a juvenile silver pompano (</w:t>
      </w:r>
      <w:r w:rsidR="00813944" w:rsidRPr="005A2629">
        <w:rPr>
          <w:rFonts w:ascii="Times New Roman" w:hAnsi="Times New Roman" w:cs="Times New Roman"/>
          <w:i/>
          <w:iCs/>
          <w:sz w:val="24"/>
          <w:szCs w:val="24"/>
          <w:lang w:val="en-GB"/>
        </w:rPr>
        <w:t xml:space="preserve">Trachinotus </w:t>
      </w:r>
      <w:proofErr w:type="spellStart"/>
      <w:r w:rsidR="00813944" w:rsidRPr="005A2629">
        <w:rPr>
          <w:rFonts w:ascii="Times New Roman" w:hAnsi="Times New Roman" w:cs="Times New Roman"/>
          <w:i/>
          <w:iCs/>
          <w:sz w:val="24"/>
          <w:szCs w:val="24"/>
          <w:lang w:val="en-GB"/>
        </w:rPr>
        <w:t>blochii</w:t>
      </w:r>
      <w:proofErr w:type="spellEnd"/>
      <w:r w:rsidR="00813944" w:rsidRPr="005A2629">
        <w:rPr>
          <w:rFonts w:ascii="Times New Roman" w:hAnsi="Times New Roman" w:cs="Times New Roman"/>
          <w:sz w:val="24"/>
          <w:szCs w:val="24"/>
          <w:lang w:val="en-GB"/>
        </w:rPr>
        <w:t xml:space="preserve">) exposed to a low salinity of </w:t>
      </w:r>
      <m:oMath>
        <m:r>
          <w:rPr>
            <w:rFonts w:ascii="Cambria Math" w:hAnsi="Cambria Math" w:cs="Times New Roman"/>
            <w:sz w:val="24"/>
            <w:szCs w:val="24"/>
          </w:rPr>
          <m:t>5</m:t>
        </m:r>
        <m:r>
          <m:rPr>
            <m:nor/>
          </m:rPr>
          <w:rPr>
            <w:rFonts w:ascii="Times New Roman" w:hAnsi="Times New Roman" w:cs="Times New Roman"/>
            <w:sz w:val="24"/>
            <w:szCs w:val="24"/>
          </w:rPr>
          <m:t> ppt</m:t>
        </m:r>
      </m:oMath>
      <w:r w:rsidR="00813944" w:rsidRPr="005A2629">
        <w:rPr>
          <w:rFonts w:ascii="Times New Roman" w:hAnsi="Times New Roman" w:cs="Times New Roman"/>
          <w:sz w:val="24"/>
          <w:szCs w:val="24"/>
          <w:lang w:val="en-GB"/>
        </w:rPr>
        <w:t xml:space="preserve"> (T3) (</w:t>
      </w:r>
      <m:oMath>
        <m:r>
          <w:rPr>
            <w:rFonts w:ascii="Cambria Math" w:hAnsi="Cambria Math" w:cs="Times New Roman"/>
            <w:sz w:val="24"/>
            <w:szCs w:val="24"/>
          </w:rPr>
          <m:t>60×</m:t>
        </m:r>
      </m:oMath>
      <w:r w:rsidR="00813944" w:rsidRPr="005A2629">
        <w:rPr>
          <w:rFonts w:ascii="Times New Roman" w:hAnsi="Times New Roman" w:cs="Times New Roman"/>
          <w:sz w:val="24"/>
          <w:szCs w:val="24"/>
          <w:lang w:val="en-GB"/>
        </w:rPr>
        <w:t xml:space="preserve"> magnification). The section displays marked environmental stress responses, characterized by prominent lamellar epithelial hyperplasia, a reduction in working secondary lamellar thickness, and altered morphology/density of branchial ionocytes (chloride cells).</w:t>
      </w:r>
    </w:p>
    <w:p w14:paraId="44657784" w14:textId="77777777" w:rsidR="004E0052" w:rsidRPr="005A2629" w:rsidRDefault="00EC64E3" w:rsidP="00E92A71">
      <w:pPr>
        <w:spacing w:line="276" w:lineRule="auto"/>
        <w:jc w:val="both"/>
        <w:rPr>
          <w:rFonts w:ascii="Times New Roman" w:hAnsi="Times New Roman" w:cs="Times New Roman"/>
          <w:b/>
          <w:sz w:val="24"/>
          <w:szCs w:val="24"/>
        </w:rPr>
      </w:pPr>
      <w:r w:rsidRPr="005A2629">
        <w:rPr>
          <w:rFonts w:ascii="Times New Roman" w:hAnsi="Times New Roman"/>
          <w:sz w:val="24"/>
          <w:lang w:val="en-GB"/>
        </w:rPr>
        <w:t>Histological examination revealed that fish reared at 35, 25, and 15 ppt maintained relatively normal gill architecture, with only minor alterations. In contrast, fish reared at 5 ppt exhibited marked hyperplasia, reduced gill epithelial thickness, and reductions in chloride-cell area and density, indicating structural modifications associated with hypoosmotic stress.</w:t>
      </w:r>
    </w:p>
    <w:p w14:paraId="03A6EE41" w14:textId="77777777" w:rsidR="00BF2373" w:rsidRPr="005A2629" w:rsidRDefault="00BF2373" w:rsidP="00E92A71">
      <w:pPr>
        <w:spacing w:line="276" w:lineRule="auto"/>
        <w:jc w:val="both"/>
        <w:rPr>
          <w:rFonts w:ascii="Times New Roman" w:hAnsi="Times New Roman" w:cs="Times New Roman"/>
          <w:b/>
          <w:sz w:val="24"/>
          <w:szCs w:val="24"/>
          <w:lang w:val="en-GB"/>
        </w:rPr>
      </w:pPr>
      <w:r w:rsidRPr="005A2629">
        <w:rPr>
          <w:rFonts w:ascii="Times New Roman" w:hAnsi="Times New Roman" w:cs="Times New Roman"/>
          <w:b/>
          <w:sz w:val="24"/>
          <w:szCs w:val="24"/>
          <w:lang w:val="en-GB"/>
        </w:rPr>
        <w:t xml:space="preserve">Observation of </w:t>
      </w:r>
      <w:r w:rsidR="00734E21" w:rsidRPr="005A2629">
        <w:rPr>
          <w:rFonts w:ascii="Times New Roman" w:hAnsi="Times New Roman" w:cs="Times New Roman"/>
          <w:b/>
          <w:sz w:val="24"/>
          <w:szCs w:val="24"/>
          <w:lang w:val="en-GB"/>
        </w:rPr>
        <w:t>O</w:t>
      </w:r>
      <w:r w:rsidRPr="005A2629">
        <w:rPr>
          <w:rFonts w:ascii="Times New Roman" w:hAnsi="Times New Roman" w:cs="Times New Roman"/>
          <w:b/>
          <w:sz w:val="24"/>
          <w:szCs w:val="24"/>
          <w:lang w:val="en-GB"/>
        </w:rPr>
        <w:t xml:space="preserve">smoregulatory </w:t>
      </w:r>
      <w:r w:rsidR="00734E21" w:rsidRPr="005A2629">
        <w:rPr>
          <w:rFonts w:ascii="Times New Roman" w:hAnsi="Times New Roman" w:cs="Times New Roman"/>
          <w:b/>
          <w:sz w:val="24"/>
          <w:szCs w:val="24"/>
          <w:lang w:val="en-GB"/>
        </w:rPr>
        <w:t>P</w:t>
      </w:r>
      <w:r w:rsidRPr="005A2629">
        <w:rPr>
          <w:rFonts w:ascii="Times New Roman" w:hAnsi="Times New Roman" w:cs="Times New Roman"/>
          <w:b/>
          <w:sz w:val="24"/>
          <w:szCs w:val="24"/>
          <w:lang w:val="en-GB"/>
        </w:rPr>
        <w:t>arameters</w:t>
      </w:r>
    </w:p>
    <w:p w14:paraId="360EEB49" w14:textId="77777777" w:rsidR="00246ED3" w:rsidRPr="005A2629" w:rsidRDefault="00246ED3" w:rsidP="00E30500">
      <w:pPr>
        <w:spacing w:line="276" w:lineRule="auto"/>
        <w:jc w:val="both"/>
        <w:rPr>
          <w:rFonts w:ascii="Times New Roman" w:hAnsi="Times New Roman" w:cs="Times New Roman"/>
          <w:b/>
          <w:sz w:val="24"/>
          <w:szCs w:val="24"/>
          <w:lang w:val="en-GB"/>
        </w:rPr>
      </w:pPr>
      <w:r w:rsidRPr="005A2629">
        <w:rPr>
          <w:rFonts w:ascii="Times New Roman" w:hAnsi="Times New Roman" w:cs="Times New Roman"/>
          <w:b/>
          <w:sz w:val="24"/>
          <w:szCs w:val="24"/>
          <w:lang w:val="en-GB"/>
        </w:rPr>
        <w:t>Plasma Cortisol, Glucose, and Haematocrit Profiles</w:t>
      </w:r>
    </w:p>
    <w:p w14:paraId="756527C8" w14:textId="77777777" w:rsidR="00613D73" w:rsidRPr="005A2629" w:rsidRDefault="00352EA0" w:rsidP="00E92A71">
      <w:pPr>
        <w:spacing w:line="276" w:lineRule="auto"/>
        <w:jc w:val="both"/>
        <w:rPr>
          <w:rFonts w:ascii="Times New Roman" w:hAnsi="Times New Roman" w:cs="Times New Roman"/>
          <w:bCs/>
          <w:sz w:val="24"/>
          <w:szCs w:val="24"/>
          <w:lang w:val="en-GB"/>
        </w:rPr>
      </w:pPr>
      <w:r w:rsidRPr="005A2629">
        <w:rPr>
          <w:rFonts w:ascii="Times New Roman" w:hAnsi="Times New Roman"/>
          <w:sz w:val="24"/>
          <w:lang w:val="en-GB"/>
        </w:rPr>
        <w:t>Salinity significantly affected the physiological stress responses of juvenile silver pompano (P &lt; 0.05) (Table 2). Plasma cortisol and glucose concentrations increased progressively with decreasing salinity, indicating greater physiological stress under hypoosmotic conditions. The highest cortisol (73.28 ± 0.49 ng mL⁻¹) and plasma glucose (92.56 ± 1.40 mg dL⁻¹) values were recorded in fish reared at 5 ppt, whereas the lowest values were observed in the control treatment (35 ppt). In contrast, haematocrit values decreased significantly with decreasing salinity, indicating an altered physiological state under prolonged low-salinity exposure.</w:t>
      </w:r>
    </w:p>
    <w:p w14:paraId="44B422CF" w14:textId="77777777" w:rsidR="00BF2373" w:rsidRPr="005A2629" w:rsidRDefault="00BF2373" w:rsidP="00E92A71">
      <w:pPr>
        <w:spacing w:line="276" w:lineRule="auto"/>
        <w:jc w:val="both"/>
        <w:rPr>
          <w:rFonts w:ascii="Times New Roman" w:hAnsi="Times New Roman" w:cs="Times New Roman"/>
          <w:b/>
        </w:rPr>
      </w:pPr>
      <w:r w:rsidRPr="005A2629">
        <w:rPr>
          <w:rFonts w:ascii="Times New Roman" w:hAnsi="Times New Roman" w:cs="Times New Roman"/>
          <w:b/>
          <w:sz w:val="24"/>
          <w:szCs w:val="24"/>
          <w:lang w:val="en-GB"/>
        </w:rPr>
        <w:t xml:space="preserve">Table </w:t>
      </w:r>
      <w:r w:rsidR="004E0052" w:rsidRPr="005A2629">
        <w:rPr>
          <w:rFonts w:ascii="Times New Roman" w:hAnsi="Times New Roman" w:cs="Times New Roman"/>
          <w:b/>
          <w:sz w:val="24"/>
          <w:szCs w:val="24"/>
          <w:lang w:val="en-GB"/>
        </w:rPr>
        <w:t>2</w:t>
      </w:r>
      <w:r w:rsidR="00CD531F" w:rsidRPr="005A2629">
        <w:rPr>
          <w:rFonts w:ascii="Times New Roman" w:hAnsi="Times New Roman" w:cs="Times New Roman"/>
          <w:b/>
          <w:sz w:val="24"/>
          <w:szCs w:val="24"/>
          <w:lang w:val="en-GB"/>
        </w:rPr>
        <w:t>.</w:t>
      </w:r>
      <w:r w:rsidRPr="005A2629">
        <w:rPr>
          <w:rFonts w:ascii="Times New Roman" w:hAnsi="Times New Roman" w:cs="Times New Roman"/>
          <w:b/>
          <w:sz w:val="24"/>
          <w:szCs w:val="24"/>
          <w:lang w:val="en-GB"/>
        </w:rPr>
        <w:t xml:space="preserve"> </w:t>
      </w:r>
      <w:r w:rsidR="00CD531F" w:rsidRPr="005A2629">
        <w:rPr>
          <w:rFonts w:ascii="Times New Roman" w:hAnsi="Times New Roman" w:cs="Times New Roman"/>
          <w:b/>
          <w:bCs/>
          <w:sz w:val="24"/>
          <w:szCs w:val="24"/>
          <w:lang w:val="en-GB"/>
        </w:rPr>
        <w:t>Plasma cortisol, glucose, and haematocrit values of silver pompano (</w:t>
      </w:r>
      <w:r w:rsidR="00CD531F" w:rsidRPr="005A2629">
        <w:rPr>
          <w:rFonts w:ascii="Times New Roman" w:hAnsi="Times New Roman" w:cs="Times New Roman"/>
          <w:b/>
          <w:bCs/>
          <w:i/>
          <w:iCs/>
          <w:sz w:val="24"/>
          <w:szCs w:val="24"/>
          <w:lang w:val="en-GB"/>
        </w:rPr>
        <w:t xml:space="preserve">Trachinotus </w:t>
      </w:r>
      <w:proofErr w:type="spellStart"/>
      <w:r w:rsidR="00CD531F" w:rsidRPr="005A2629">
        <w:rPr>
          <w:rFonts w:ascii="Times New Roman" w:hAnsi="Times New Roman" w:cs="Times New Roman"/>
          <w:b/>
          <w:bCs/>
          <w:i/>
          <w:iCs/>
          <w:sz w:val="24"/>
          <w:szCs w:val="24"/>
          <w:lang w:val="en-GB"/>
        </w:rPr>
        <w:t>blochii</w:t>
      </w:r>
      <w:proofErr w:type="spellEnd"/>
      <w:r w:rsidR="00CD531F" w:rsidRPr="005A2629">
        <w:rPr>
          <w:rFonts w:ascii="Times New Roman" w:hAnsi="Times New Roman" w:cs="Times New Roman"/>
          <w:b/>
          <w:bCs/>
          <w:sz w:val="24"/>
          <w:szCs w:val="24"/>
          <w:lang w:val="en-GB"/>
        </w:rPr>
        <w:t>) under different salinity treatments.</w:t>
      </w:r>
    </w:p>
    <w:tbl>
      <w:tblPr>
        <w:tblStyle w:val="TableGrid"/>
        <w:tblW w:w="0" w:type="auto"/>
        <w:tblLook w:val="04A0" w:firstRow="1" w:lastRow="0" w:firstColumn="1" w:lastColumn="0" w:noHBand="0" w:noVBand="1"/>
      </w:tblPr>
      <w:tblGrid>
        <w:gridCol w:w="1309"/>
        <w:gridCol w:w="2372"/>
        <w:gridCol w:w="2760"/>
        <w:gridCol w:w="2575"/>
      </w:tblGrid>
      <w:tr w:rsidR="00AA4959" w:rsidRPr="005A2629" w14:paraId="1E014DB0" w14:textId="77777777" w:rsidTr="00AA4959">
        <w:tc>
          <w:tcPr>
            <w:tcW w:w="1309" w:type="dxa"/>
          </w:tcPr>
          <w:p w14:paraId="4DA8427B"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b/>
                <w:bCs/>
                <w:sz w:val="24"/>
                <w:szCs w:val="24"/>
              </w:rPr>
              <w:t>Treatment</w:t>
            </w:r>
          </w:p>
        </w:tc>
        <w:tc>
          <w:tcPr>
            <w:tcW w:w="2372" w:type="dxa"/>
          </w:tcPr>
          <w:p w14:paraId="4B0B3602" w14:textId="77777777" w:rsidR="00FE5159" w:rsidRPr="005A2629" w:rsidRDefault="00AA4959" w:rsidP="00FE5159">
            <w:pPr>
              <w:spacing w:line="276" w:lineRule="auto"/>
              <w:rPr>
                <w:rFonts w:ascii="Times New Roman" w:hAnsi="Times New Roman" w:cs="Times New Roman"/>
                <w:b/>
                <w:bCs/>
                <w:sz w:val="24"/>
                <w:szCs w:val="24"/>
              </w:rPr>
            </w:pPr>
            <w:r w:rsidRPr="005A2629">
              <w:rPr>
                <w:rFonts w:ascii="Times New Roman" w:hAnsi="Times New Roman" w:cs="Times New Roman"/>
                <w:b/>
                <w:bCs/>
                <w:sz w:val="24"/>
                <w:szCs w:val="24"/>
              </w:rPr>
              <w:t>Cortisol</w:t>
            </w:r>
            <w:r w:rsidR="00FE5159" w:rsidRPr="005A2629">
              <w:rPr>
                <w:rFonts w:ascii="Times New Roman" w:hAnsi="Times New Roman" w:cs="Times New Roman"/>
                <w:b/>
                <w:bCs/>
                <w:sz w:val="24"/>
                <w:szCs w:val="24"/>
              </w:rPr>
              <w:t xml:space="preserve"> </w:t>
            </w:r>
            <w:r w:rsidRPr="005A2629">
              <w:rPr>
                <w:rFonts w:ascii="Times New Roman" w:hAnsi="Times New Roman" w:cs="Times New Roman"/>
                <w:b/>
                <w:bCs/>
                <w:sz w:val="24"/>
                <w:szCs w:val="24"/>
              </w:rPr>
              <w:t xml:space="preserve">level </w:t>
            </w:r>
            <w:r w:rsidR="00FE5159" w:rsidRPr="005A2629">
              <w:rPr>
                <w:rFonts w:ascii="Times New Roman" w:hAnsi="Times New Roman" w:cs="Times New Roman"/>
                <w:b/>
                <w:bCs/>
                <w:sz w:val="24"/>
                <w:szCs w:val="24"/>
              </w:rPr>
              <w:t>(</w:t>
            </w:r>
            <m:oMath>
              <m:sSup>
                <m:sSupPr>
                  <m:ctrlPr>
                    <w:rPr>
                      <w:rFonts w:ascii="Cambria Math" w:hAnsi="Cambria Math" w:cs="Times New Roman"/>
                      <w:b/>
                      <w:bCs/>
                      <w:sz w:val="24"/>
                      <w:szCs w:val="24"/>
                    </w:rPr>
                  </m:ctrlPr>
                </m:sSupPr>
                <m:e>
                  <m:r>
                    <m:rPr>
                      <m:nor/>
                    </m:rPr>
                    <w:rPr>
                      <w:rFonts w:ascii="Times New Roman" w:hAnsi="Times New Roman" w:cs="Times New Roman"/>
                      <w:b/>
                      <w:bCs/>
                      <w:sz w:val="24"/>
                      <w:szCs w:val="24"/>
                    </w:rPr>
                    <m:t>ng mL</m:t>
                  </m:r>
                </m:e>
                <m:sup>
                  <m:r>
                    <m:rPr>
                      <m:sty m:val="bi"/>
                    </m:rPr>
                    <w:rPr>
                      <w:rFonts w:ascii="Cambria Math" w:hAnsi="Cambria Math" w:cs="Times New Roman"/>
                      <w:sz w:val="24"/>
                      <w:szCs w:val="24"/>
                    </w:rPr>
                    <m:t>-1</m:t>
                  </m:r>
                </m:sup>
              </m:sSup>
            </m:oMath>
            <w:r w:rsidR="00FE5159" w:rsidRPr="005A2629">
              <w:rPr>
                <w:rFonts w:ascii="Times New Roman" w:hAnsi="Times New Roman" w:cs="Times New Roman"/>
                <w:b/>
                <w:bCs/>
                <w:sz w:val="24"/>
                <w:szCs w:val="24"/>
              </w:rPr>
              <w:t>)</w:t>
            </w:r>
          </w:p>
          <w:p w14:paraId="0823D5F4" w14:textId="77777777" w:rsidR="00AA4959" w:rsidRPr="005A2629" w:rsidRDefault="00AA4959" w:rsidP="00E92A71">
            <w:pPr>
              <w:spacing w:line="276" w:lineRule="auto"/>
              <w:jc w:val="both"/>
              <w:rPr>
                <w:rFonts w:ascii="Times New Roman" w:hAnsi="Times New Roman" w:cs="Times New Roman"/>
                <w:sz w:val="24"/>
                <w:szCs w:val="24"/>
              </w:rPr>
            </w:pPr>
          </w:p>
        </w:tc>
        <w:tc>
          <w:tcPr>
            <w:tcW w:w="2760" w:type="dxa"/>
          </w:tcPr>
          <w:p w14:paraId="61D3A258" w14:textId="77777777" w:rsidR="006B07C5" w:rsidRPr="005A2629" w:rsidRDefault="00AA4959" w:rsidP="006B07C5">
            <w:pPr>
              <w:spacing w:line="276" w:lineRule="auto"/>
              <w:rPr>
                <w:rFonts w:ascii="Times New Roman" w:hAnsi="Times New Roman" w:cs="Times New Roman"/>
                <w:b/>
                <w:bCs/>
                <w:sz w:val="24"/>
                <w:szCs w:val="24"/>
                <w:lang w:val="es-US"/>
              </w:rPr>
            </w:pPr>
            <w:r w:rsidRPr="005A2629">
              <w:rPr>
                <w:rFonts w:ascii="Times New Roman" w:hAnsi="Times New Roman" w:cs="Times New Roman"/>
                <w:b/>
                <w:bCs/>
                <w:sz w:val="24"/>
                <w:szCs w:val="24"/>
                <w:lang w:val="es-US"/>
              </w:rPr>
              <w:t xml:space="preserve">Plasma </w:t>
            </w:r>
            <w:proofErr w:type="spellStart"/>
            <w:r w:rsidRPr="005A2629">
              <w:rPr>
                <w:rFonts w:ascii="Times New Roman" w:hAnsi="Times New Roman" w:cs="Times New Roman"/>
                <w:b/>
                <w:bCs/>
                <w:sz w:val="24"/>
                <w:szCs w:val="24"/>
                <w:lang w:val="es-US"/>
              </w:rPr>
              <w:t>glucose</w:t>
            </w:r>
            <w:proofErr w:type="spellEnd"/>
            <w:r w:rsidRPr="005A2629">
              <w:rPr>
                <w:rFonts w:ascii="Times New Roman" w:hAnsi="Times New Roman" w:cs="Times New Roman"/>
                <w:b/>
                <w:bCs/>
                <w:sz w:val="24"/>
                <w:szCs w:val="24"/>
                <w:lang w:val="es-US"/>
              </w:rPr>
              <w:t xml:space="preserve"> </w:t>
            </w:r>
            <w:proofErr w:type="spellStart"/>
            <w:r w:rsidRPr="005A2629">
              <w:rPr>
                <w:rFonts w:ascii="Times New Roman" w:hAnsi="Times New Roman" w:cs="Times New Roman"/>
                <w:b/>
                <w:bCs/>
                <w:sz w:val="24"/>
                <w:szCs w:val="24"/>
                <w:lang w:val="es-US"/>
              </w:rPr>
              <w:t>level</w:t>
            </w:r>
            <w:proofErr w:type="spellEnd"/>
            <w:r w:rsidRPr="005A2629">
              <w:rPr>
                <w:rFonts w:ascii="Times New Roman" w:hAnsi="Times New Roman" w:cs="Times New Roman"/>
                <w:b/>
                <w:bCs/>
                <w:sz w:val="24"/>
                <w:szCs w:val="24"/>
                <w:lang w:val="es-US"/>
              </w:rPr>
              <w:t xml:space="preserve"> </w:t>
            </w:r>
            <w:r w:rsidR="006B07C5" w:rsidRPr="005A2629">
              <w:rPr>
                <w:rFonts w:ascii="Times New Roman" w:hAnsi="Times New Roman" w:cs="Times New Roman"/>
                <w:b/>
                <w:bCs/>
                <w:sz w:val="24"/>
                <w:szCs w:val="24"/>
                <w:lang w:val="es-US"/>
              </w:rPr>
              <w:t>(</w:t>
            </w:r>
            <m:oMath>
              <m:sSup>
                <m:sSupPr>
                  <m:ctrlPr>
                    <w:rPr>
                      <w:rFonts w:ascii="Cambria Math" w:hAnsi="Cambria Math" w:cs="Times New Roman"/>
                      <w:b/>
                      <w:bCs/>
                      <w:sz w:val="24"/>
                      <w:szCs w:val="24"/>
                    </w:rPr>
                  </m:ctrlPr>
                </m:sSupPr>
                <m:e>
                  <m:r>
                    <m:rPr>
                      <m:nor/>
                    </m:rPr>
                    <w:rPr>
                      <w:rFonts w:ascii="Times New Roman" w:hAnsi="Times New Roman" w:cs="Times New Roman"/>
                      <w:b/>
                      <w:bCs/>
                      <w:sz w:val="24"/>
                      <w:szCs w:val="24"/>
                      <w:lang w:val="es-US"/>
                    </w:rPr>
                    <m:t>mg </m:t>
                  </m:r>
                  <w:proofErr w:type="spellStart"/>
                  <m:r>
                    <m:rPr>
                      <m:nor/>
                    </m:rPr>
                    <w:rPr>
                      <w:rFonts w:ascii="Times New Roman" w:hAnsi="Times New Roman" w:cs="Times New Roman"/>
                      <w:b/>
                      <w:bCs/>
                      <w:sz w:val="24"/>
                      <w:szCs w:val="24"/>
                      <w:lang w:val="es-US"/>
                    </w:rPr>
                    <m:t>dL</m:t>
                  </m:r>
                  <w:proofErr w:type="spellEnd"/>
                </m:e>
                <m:sup>
                  <m:r>
                    <m:rPr>
                      <m:sty m:val="bi"/>
                    </m:rPr>
                    <w:rPr>
                      <w:rFonts w:ascii="Cambria Math" w:hAnsi="Cambria Math" w:cs="Times New Roman"/>
                      <w:sz w:val="24"/>
                      <w:szCs w:val="24"/>
                      <w:lang w:val="es-US"/>
                    </w:rPr>
                    <m:t>-</m:t>
                  </m:r>
                  <m:r>
                    <m:rPr>
                      <m:sty m:val="bi"/>
                    </m:rPr>
                    <w:rPr>
                      <w:rFonts w:ascii="Cambria Math" w:hAnsi="Cambria Math" w:cs="Times New Roman"/>
                      <w:sz w:val="24"/>
                      <w:szCs w:val="24"/>
                    </w:rPr>
                    <m:t>1</m:t>
                  </m:r>
                </m:sup>
              </m:sSup>
            </m:oMath>
            <w:r w:rsidR="006B07C5" w:rsidRPr="005A2629">
              <w:rPr>
                <w:rFonts w:ascii="Times New Roman" w:hAnsi="Times New Roman" w:cs="Times New Roman"/>
                <w:b/>
                <w:bCs/>
                <w:sz w:val="24"/>
                <w:szCs w:val="24"/>
                <w:lang w:val="es-US"/>
              </w:rPr>
              <w:t>)</w:t>
            </w:r>
          </w:p>
          <w:p w14:paraId="0F07E65C" w14:textId="77777777" w:rsidR="00AA4959" w:rsidRPr="005A2629" w:rsidRDefault="00AA4959" w:rsidP="00E92A71">
            <w:pPr>
              <w:spacing w:line="276" w:lineRule="auto"/>
              <w:jc w:val="both"/>
              <w:rPr>
                <w:rFonts w:ascii="Times New Roman" w:hAnsi="Times New Roman" w:cs="Times New Roman"/>
                <w:b/>
                <w:bCs/>
                <w:sz w:val="24"/>
                <w:szCs w:val="24"/>
                <w:lang w:val="es-US"/>
              </w:rPr>
            </w:pPr>
          </w:p>
        </w:tc>
        <w:tc>
          <w:tcPr>
            <w:tcW w:w="2575" w:type="dxa"/>
          </w:tcPr>
          <w:p w14:paraId="3D1D0979" w14:textId="77777777" w:rsidR="00AA4959" w:rsidRPr="005A2629" w:rsidRDefault="00AA4959" w:rsidP="00E92A71">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rPr>
              <w:t>Haematocrit value (%)</w:t>
            </w:r>
          </w:p>
        </w:tc>
      </w:tr>
      <w:tr w:rsidR="00AA4959" w:rsidRPr="005A2629" w14:paraId="0B77B5C6" w14:textId="77777777" w:rsidTr="00AA4959">
        <w:tc>
          <w:tcPr>
            <w:tcW w:w="1309" w:type="dxa"/>
          </w:tcPr>
          <w:p w14:paraId="330E0D8A"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C1</w:t>
            </w:r>
          </w:p>
        </w:tc>
        <w:tc>
          <w:tcPr>
            <w:tcW w:w="2372" w:type="dxa"/>
          </w:tcPr>
          <w:p w14:paraId="3D2A2E3E"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41.98±1.64</w:t>
            </w:r>
            <w:r w:rsidR="008A15C1" w:rsidRPr="005A2629">
              <w:rPr>
                <w:rFonts w:ascii="Times New Roman" w:hAnsi="Times New Roman" w:cs="Times New Roman"/>
                <w:sz w:val="24"/>
                <w:szCs w:val="24"/>
                <w:vertAlign w:val="superscript"/>
              </w:rPr>
              <w:t>a</w:t>
            </w:r>
          </w:p>
        </w:tc>
        <w:tc>
          <w:tcPr>
            <w:tcW w:w="2760" w:type="dxa"/>
          </w:tcPr>
          <w:p w14:paraId="163CC277"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57.9±2.20</w:t>
            </w:r>
            <w:r w:rsidR="008A15C1" w:rsidRPr="005A2629">
              <w:rPr>
                <w:rFonts w:ascii="Times New Roman" w:hAnsi="Times New Roman" w:cs="Times New Roman"/>
                <w:sz w:val="24"/>
                <w:szCs w:val="24"/>
                <w:vertAlign w:val="superscript"/>
              </w:rPr>
              <w:t>a</w:t>
            </w:r>
          </w:p>
        </w:tc>
        <w:tc>
          <w:tcPr>
            <w:tcW w:w="2575" w:type="dxa"/>
          </w:tcPr>
          <w:p w14:paraId="33FCFCB7"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41.7±1.13</w:t>
            </w:r>
            <w:r w:rsidR="008A15C1" w:rsidRPr="005A2629">
              <w:rPr>
                <w:rFonts w:ascii="Times New Roman" w:hAnsi="Times New Roman" w:cs="Times New Roman"/>
                <w:sz w:val="24"/>
                <w:szCs w:val="24"/>
                <w:vertAlign w:val="superscript"/>
              </w:rPr>
              <w:t>d</w:t>
            </w:r>
          </w:p>
        </w:tc>
      </w:tr>
      <w:tr w:rsidR="00AA4959" w:rsidRPr="005A2629" w14:paraId="7F484FB6" w14:textId="77777777" w:rsidTr="00AA4959">
        <w:tc>
          <w:tcPr>
            <w:tcW w:w="1309" w:type="dxa"/>
          </w:tcPr>
          <w:p w14:paraId="0A8536BD"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T1</w:t>
            </w:r>
          </w:p>
        </w:tc>
        <w:tc>
          <w:tcPr>
            <w:tcW w:w="2372" w:type="dxa"/>
          </w:tcPr>
          <w:p w14:paraId="3391A0EA"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55.69±0.85</w:t>
            </w:r>
            <w:r w:rsidR="008A15C1" w:rsidRPr="005A2629">
              <w:rPr>
                <w:rFonts w:ascii="Times New Roman" w:hAnsi="Times New Roman" w:cs="Times New Roman"/>
                <w:sz w:val="24"/>
                <w:szCs w:val="24"/>
                <w:vertAlign w:val="superscript"/>
              </w:rPr>
              <w:t>b</w:t>
            </w:r>
          </w:p>
        </w:tc>
        <w:tc>
          <w:tcPr>
            <w:tcW w:w="2760" w:type="dxa"/>
          </w:tcPr>
          <w:p w14:paraId="74D709F2"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74.23±0.46</w:t>
            </w:r>
            <w:r w:rsidR="008A15C1" w:rsidRPr="005A2629">
              <w:rPr>
                <w:rFonts w:ascii="Times New Roman" w:hAnsi="Times New Roman" w:cs="Times New Roman"/>
                <w:sz w:val="24"/>
                <w:szCs w:val="24"/>
                <w:vertAlign w:val="superscript"/>
              </w:rPr>
              <w:t>b</w:t>
            </w:r>
          </w:p>
        </w:tc>
        <w:tc>
          <w:tcPr>
            <w:tcW w:w="2575" w:type="dxa"/>
          </w:tcPr>
          <w:p w14:paraId="78A57A0D"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34.96±0.66</w:t>
            </w:r>
            <w:r w:rsidR="008A15C1" w:rsidRPr="005A2629">
              <w:rPr>
                <w:rFonts w:ascii="Times New Roman" w:hAnsi="Times New Roman" w:cs="Times New Roman"/>
                <w:sz w:val="24"/>
                <w:szCs w:val="24"/>
                <w:vertAlign w:val="superscript"/>
              </w:rPr>
              <w:t>c</w:t>
            </w:r>
          </w:p>
        </w:tc>
      </w:tr>
      <w:tr w:rsidR="00AA4959" w:rsidRPr="005A2629" w14:paraId="0F6A9A98" w14:textId="77777777" w:rsidTr="00AA4959">
        <w:tc>
          <w:tcPr>
            <w:tcW w:w="1309" w:type="dxa"/>
          </w:tcPr>
          <w:p w14:paraId="1426F739"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T2</w:t>
            </w:r>
          </w:p>
        </w:tc>
        <w:tc>
          <w:tcPr>
            <w:tcW w:w="2372" w:type="dxa"/>
          </w:tcPr>
          <w:p w14:paraId="35E71428"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63.43±2.22</w:t>
            </w:r>
            <w:r w:rsidR="008A15C1" w:rsidRPr="005A2629">
              <w:rPr>
                <w:rFonts w:ascii="Times New Roman" w:hAnsi="Times New Roman" w:cs="Times New Roman"/>
                <w:sz w:val="24"/>
                <w:szCs w:val="24"/>
                <w:vertAlign w:val="superscript"/>
              </w:rPr>
              <w:t>c</w:t>
            </w:r>
          </w:p>
        </w:tc>
        <w:tc>
          <w:tcPr>
            <w:tcW w:w="2760" w:type="dxa"/>
          </w:tcPr>
          <w:p w14:paraId="7CFD232F"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86.96±0.56</w:t>
            </w:r>
            <w:r w:rsidR="008A15C1" w:rsidRPr="005A2629">
              <w:rPr>
                <w:rFonts w:ascii="Times New Roman" w:hAnsi="Times New Roman" w:cs="Times New Roman"/>
                <w:sz w:val="24"/>
                <w:szCs w:val="24"/>
                <w:vertAlign w:val="superscript"/>
              </w:rPr>
              <w:t>c</w:t>
            </w:r>
          </w:p>
        </w:tc>
        <w:tc>
          <w:tcPr>
            <w:tcW w:w="2575" w:type="dxa"/>
          </w:tcPr>
          <w:p w14:paraId="163BCE6B"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30.42±0.92</w:t>
            </w:r>
            <w:r w:rsidR="008A15C1" w:rsidRPr="005A2629">
              <w:rPr>
                <w:rFonts w:ascii="Times New Roman" w:hAnsi="Times New Roman" w:cs="Times New Roman"/>
                <w:sz w:val="24"/>
                <w:szCs w:val="24"/>
                <w:vertAlign w:val="superscript"/>
              </w:rPr>
              <w:t>b</w:t>
            </w:r>
          </w:p>
        </w:tc>
      </w:tr>
      <w:tr w:rsidR="00AA4959" w:rsidRPr="005A2629" w14:paraId="13F34CDA" w14:textId="77777777" w:rsidTr="00AA4959">
        <w:tc>
          <w:tcPr>
            <w:tcW w:w="1309" w:type="dxa"/>
          </w:tcPr>
          <w:p w14:paraId="07B963C8"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T3</w:t>
            </w:r>
          </w:p>
        </w:tc>
        <w:tc>
          <w:tcPr>
            <w:tcW w:w="2372" w:type="dxa"/>
          </w:tcPr>
          <w:p w14:paraId="6E35A9B9"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73.28±0.49</w:t>
            </w:r>
            <w:r w:rsidR="008A15C1" w:rsidRPr="005A2629">
              <w:rPr>
                <w:rFonts w:ascii="Times New Roman" w:hAnsi="Times New Roman" w:cs="Times New Roman"/>
                <w:sz w:val="24"/>
                <w:szCs w:val="24"/>
                <w:vertAlign w:val="superscript"/>
              </w:rPr>
              <w:t>d</w:t>
            </w:r>
          </w:p>
        </w:tc>
        <w:tc>
          <w:tcPr>
            <w:tcW w:w="2760" w:type="dxa"/>
          </w:tcPr>
          <w:p w14:paraId="1BBD15A5"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92.56±1.40</w:t>
            </w:r>
            <w:r w:rsidR="008A15C1" w:rsidRPr="005A2629">
              <w:rPr>
                <w:rFonts w:ascii="Times New Roman" w:hAnsi="Times New Roman" w:cs="Times New Roman"/>
                <w:sz w:val="24"/>
                <w:szCs w:val="24"/>
                <w:vertAlign w:val="superscript"/>
              </w:rPr>
              <w:t>d</w:t>
            </w:r>
          </w:p>
        </w:tc>
        <w:tc>
          <w:tcPr>
            <w:tcW w:w="2575" w:type="dxa"/>
          </w:tcPr>
          <w:p w14:paraId="3FF42319" w14:textId="77777777" w:rsidR="00AA4959" w:rsidRPr="005A2629" w:rsidRDefault="00AA4959" w:rsidP="00E92A71">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28.78±0.69</w:t>
            </w:r>
            <w:r w:rsidR="00F25177" w:rsidRPr="005A2629">
              <w:rPr>
                <w:rFonts w:ascii="Times New Roman" w:hAnsi="Times New Roman" w:cs="Times New Roman"/>
                <w:sz w:val="24"/>
                <w:szCs w:val="24"/>
                <w:vertAlign w:val="superscript"/>
              </w:rPr>
              <w:t>a</w:t>
            </w:r>
          </w:p>
        </w:tc>
      </w:tr>
    </w:tbl>
    <w:p w14:paraId="77D807B5" w14:textId="77777777" w:rsidR="001F2A1D" w:rsidRPr="005A2629" w:rsidRDefault="001F2A1D" w:rsidP="001F2A1D">
      <w:pPr>
        <w:spacing w:line="276" w:lineRule="auto"/>
        <w:jc w:val="both"/>
        <w:rPr>
          <w:rFonts w:ascii="Times New Roman" w:hAnsi="Times New Roman" w:cs="Times New Roman"/>
          <w:bCs/>
          <w:sz w:val="24"/>
          <w:szCs w:val="24"/>
        </w:rPr>
      </w:pPr>
      <w:r w:rsidRPr="005A2629">
        <w:rPr>
          <w:rFonts w:ascii="Times New Roman" w:hAnsi="Times New Roman" w:cs="Times New Roman"/>
          <w:bCs/>
          <w:sz w:val="24"/>
          <w:szCs w:val="24"/>
        </w:rPr>
        <w:t xml:space="preserve">Values are presented as mean </w:t>
      </w:r>
      <m:oMath>
        <m:r>
          <w:rPr>
            <w:rFonts w:ascii="Cambria Math" w:hAnsi="Cambria Math" w:cs="Times New Roman"/>
            <w:sz w:val="24"/>
            <w:szCs w:val="24"/>
          </w:rPr>
          <m:t>±</m:t>
        </m:r>
      </m:oMath>
      <w:r w:rsidRPr="005A2629">
        <w:rPr>
          <w:rFonts w:ascii="Times New Roman" w:hAnsi="Times New Roman" w:cs="Times New Roman"/>
          <w:bCs/>
          <w:sz w:val="24"/>
          <w:szCs w:val="24"/>
        </w:rPr>
        <w:t xml:space="preserve"> standard error (SE). Means within the same column sharing different superscript letters (</w:t>
      </w:r>
      <m:oMath>
        <m:r>
          <m:rPr>
            <m:nor/>
          </m:rPr>
          <w:rPr>
            <w:rFonts w:ascii="Times New Roman" w:hAnsi="Times New Roman" w:cs="Times New Roman"/>
            <w:bCs/>
            <w:sz w:val="24"/>
            <w:szCs w:val="24"/>
          </w:rPr>
          <m:t>a–d</m:t>
        </m:r>
      </m:oMath>
      <w:r w:rsidRPr="005A2629">
        <w:rPr>
          <w:rFonts w:ascii="Times New Roman" w:hAnsi="Times New Roman" w:cs="Times New Roman"/>
          <w:bCs/>
          <w:sz w:val="24"/>
          <w:szCs w:val="24"/>
        </w:rPr>
        <w:t>) indicate statistically significant differences (</w:t>
      </w:r>
      <m:oMath>
        <m:r>
          <w:rPr>
            <w:rFonts w:ascii="Cambria Math" w:hAnsi="Cambria Math" w:cs="Times New Roman"/>
            <w:sz w:val="24"/>
            <w:szCs w:val="24"/>
          </w:rPr>
          <m:t>p&lt;0.05</m:t>
        </m:r>
      </m:oMath>
      <w:r w:rsidRPr="005A2629">
        <w:rPr>
          <w:rFonts w:ascii="Times New Roman" w:hAnsi="Times New Roman" w:cs="Times New Roman"/>
          <w:bCs/>
          <w:sz w:val="24"/>
          <w:szCs w:val="24"/>
        </w:rPr>
        <w:t>) based on Tukey's HSD test.</w:t>
      </w:r>
    </w:p>
    <w:p w14:paraId="35AC93A8" w14:textId="77777777" w:rsidR="00BF2373" w:rsidRPr="005A2629" w:rsidRDefault="00BF2373" w:rsidP="00E92A71">
      <w:pPr>
        <w:spacing w:line="276" w:lineRule="auto"/>
        <w:jc w:val="both"/>
        <w:rPr>
          <w:rFonts w:ascii="Times New Roman" w:hAnsi="Times New Roman" w:cs="Times New Roman"/>
          <w:bCs/>
          <w:sz w:val="24"/>
          <w:szCs w:val="24"/>
          <w:lang w:val="en-GB"/>
        </w:rPr>
      </w:pPr>
      <w:r w:rsidRPr="005A2629">
        <w:rPr>
          <w:rFonts w:ascii="Times New Roman" w:hAnsi="Times New Roman" w:cs="Times New Roman"/>
          <w:noProof/>
          <w:sz w:val="24"/>
          <w:szCs w:val="24"/>
          <w:lang w:val="en-GB"/>
        </w:rPr>
        <w:lastRenderedPageBreak/>
        <w:drawing>
          <wp:inline distT="0" distB="0" distL="0" distR="0" wp14:anchorId="7D2A5AB0" wp14:editId="46150BF4">
            <wp:extent cx="4762500" cy="2286000"/>
            <wp:effectExtent l="0" t="0" r="0" b="0"/>
            <wp:docPr id="245951783" name="Chart 1">
              <a:extLst xmlns:a="http://schemas.openxmlformats.org/drawingml/2006/main">
                <a:ext uri="{FF2B5EF4-FFF2-40B4-BE49-F238E27FC236}">
                  <a16:creationId xmlns:a16="http://schemas.microsoft.com/office/drawing/2014/main" id="{6D075EA8-7A49-DE25-952E-7A3FAE36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A952E6" w14:textId="77777777" w:rsidR="00BF2373" w:rsidRPr="005A2629" w:rsidRDefault="00BF2373" w:rsidP="00D63C0B">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 xml:space="preserve">Fig </w:t>
      </w:r>
      <w:r w:rsidR="00C54B9C" w:rsidRPr="005A2629">
        <w:rPr>
          <w:rFonts w:ascii="Times New Roman" w:hAnsi="Times New Roman" w:cs="Times New Roman"/>
          <w:b/>
          <w:sz w:val="24"/>
          <w:szCs w:val="24"/>
          <w:lang w:val="en-GB"/>
        </w:rPr>
        <w:t>9</w:t>
      </w:r>
      <w:r w:rsidRPr="005A2629">
        <w:rPr>
          <w:rFonts w:ascii="Times New Roman" w:hAnsi="Times New Roman" w:cs="Times New Roman"/>
          <w:bCs/>
          <w:sz w:val="24"/>
          <w:szCs w:val="24"/>
          <w:lang w:val="en-GB"/>
        </w:rPr>
        <w:t xml:space="preserve"> </w:t>
      </w:r>
      <w:r w:rsidR="00B802E4" w:rsidRPr="005A2629">
        <w:rPr>
          <w:rFonts w:ascii="Times New Roman" w:hAnsi="Times New Roman" w:cs="Times New Roman"/>
          <w:b/>
          <w:sz w:val="24"/>
          <w:szCs w:val="24"/>
          <w:lang w:val="en-GB"/>
        </w:rPr>
        <w:t>Plasma cortisol levels (</w:t>
      </w:r>
      <m:oMath>
        <m:sSup>
          <m:sSupPr>
            <m:ctrlPr>
              <w:rPr>
                <w:rFonts w:ascii="Cambria Math" w:hAnsi="Cambria Math" w:cs="Times New Roman"/>
                <w:b/>
                <w:sz w:val="24"/>
                <w:szCs w:val="24"/>
              </w:rPr>
            </m:ctrlPr>
          </m:sSupPr>
          <m:e>
            <m:r>
              <m:rPr>
                <m:nor/>
              </m:rPr>
              <w:rPr>
                <w:rFonts w:ascii="Times New Roman" w:hAnsi="Times New Roman" w:cs="Times New Roman"/>
                <w:b/>
                <w:sz w:val="24"/>
                <w:szCs w:val="24"/>
              </w:rPr>
              <m:t>ng mL</m:t>
            </m:r>
          </m:e>
          <m:sup>
            <m:r>
              <m:rPr>
                <m:sty m:val="bi"/>
              </m:rPr>
              <w:rPr>
                <w:rFonts w:ascii="Cambria Math" w:hAnsi="Cambria Math" w:cs="Times New Roman"/>
                <w:sz w:val="24"/>
                <w:szCs w:val="24"/>
              </w:rPr>
              <m:t>-1</m:t>
            </m:r>
          </m:sup>
        </m:sSup>
      </m:oMath>
      <w:r w:rsidR="00B802E4" w:rsidRPr="005A2629">
        <w:rPr>
          <w:rFonts w:ascii="Times New Roman" w:hAnsi="Times New Roman" w:cs="Times New Roman"/>
          <w:b/>
          <w:sz w:val="24"/>
          <w:szCs w:val="24"/>
          <w:lang w:val="en-GB"/>
        </w:rPr>
        <w:t>) of silver pompano (</w:t>
      </w:r>
      <w:r w:rsidR="00B802E4" w:rsidRPr="005A2629">
        <w:rPr>
          <w:rFonts w:ascii="Times New Roman" w:hAnsi="Times New Roman" w:cs="Times New Roman"/>
          <w:b/>
          <w:i/>
          <w:iCs/>
          <w:sz w:val="24"/>
          <w:szCs w:val="24"/>
          <w:lang w:val="en-GB"/>
        </w:rPr>
        <w:t xml:space="preserve">Trachinotus </w:t>
      </w:r>
      <w:proofErr w:type="spellStart"/>
      <w:r w:rsidR="00B802E4" w:rsidRPr="005A2629">
        <w:rPr>
          <w:rFonts w:ascii="Times New Roman" w:hAnsi="Times New Roman" w:cs="Times New Roman"/>
          <w:b/>
          <w:i/>
          <w:iCs/>
          <w:sz w:val="24"/>
          <w:szCs w:val="24"/>
          <w:lang w:val="en-GB"/>
        </w:rPr>
        <w:t>blochii</w:t>
      </w:r>
      <w:proofErr w:type="spellEnd"/>
      <w:r w:rsidR="00B802E4" w:rsidRPr="005A2629">
        <w:rPr>
          <w:rFonts w:ascii="Times New Roman" w:hAnsi="Times New Roman" w:cs="Times New Roman"/>
          <w:b/>
          <w:sz w:val="24"/>
          <w:szCs w:val="24"/>
          <w:lang w:val="en-GB"/>
        </w:rPr>
        <w:t>) exposed to different salinity treatments over the experimental periods.</w:t>
      </w:r>
    </w:p>
    <w:p w14:paraId="52DE043D" w14:textId="77777777" w:rsidR="00BF2373" w:rsidRPr="005A2629" w:rsidRDefault="00BF2373" w:rsidP="00D63C0B">
      <w:pPr>
        <w:spacing w:line="276" w:lineRule="auto"/>
        <w:jc w:val="both"/>
        <w:rPr>
          <w:rFonts w:ascii="Times New Roman" w:hAnsi="Times New Roman" w:cs="Times New Roman"/>
          <w:b/>
          <w:sz w:val="24"/>
          <w:szCs w:val="24"/>
          <w:lang w:val="en-GB"/>
        </w:rPr>
      </w:pPr>
      <w:r w:rsidRPr="005A2629">
        <w:rPr>
          <w:rFonts w:ascii="Times New Roman" w:hAnsi="Times New Roman" w:cs="Times New Roman"/>
          <w:b/>
          <w:sz w:val="24"/>
          <w:szCs w:val="24"/>
          <w:lang w:val="en-GB"/>
        </w:rPr>
        <w:t xml:space="preserve">Plasma </w:t>
      </w:r>
      <w:r w:rsidR="00B802E4" w:rsidRPr="005A2629">
        <w:rPr>
          <w:rFonts w:ascii="Times New Roman" w:hAnsi="Times New Roman" w:cs="Times New Roman"/>
          <w:b/>
          <w:sz w:val="24"/>
          <w:szCs w:val="24"/>
          <w:lang w:val="en-GB"/>
        </w:rPr>
        <w:t>G</w:t>
      </w:r>
      <w:r w:rsidRPr="005A2629">
        <w:rPr>
          <w:rFonts w:ascii="Times New Roman" w:hAnsi="Times New Roman" w:cs="Times New Roman"/>
          <w:b/>
          <w:sz w:val="24"/>
          <w:szCs w:val="24"/>
          <w:lang w:val="en-GB"/>
        </w:rPr>
        <w:t xml:space="preserve">lucose </w:t>
      </w:r>
      <w:r w:rsidR="00B802E4" w:rsidRPr="005A2629">
        <w:rPr>
          <w:rFonts w:ascii="Times New Roman" w:hAnsi="Times New Roman" w:cs="Times New Roman"/>
          <w:b/>
          <w:sz w:val="24"/>
          <w:szCs w:val="24"/>
          <w:lang w:val="en-GB"/>
        </w:rPr>
        <w:t>C</w:t>
      </w:r>
      <w:r w:rsidRPr="005A2629">
        <w:rPr>
          <w:rFonts w:ascii="Times New Roman" w:hAnsi="Times New Roman" w:cs="Times New Roman"/>
          <w:b/>
          <w:sz w:val="24"/>
          <w:szCs w:val="24"/>
          <w:lang w:val="en-GB"/>
        </w:rPr>
        <w:t>oncentration</w:t>
      </w:r>
    </w:p>
    <w:p w14:paraId="2A558B54" w14:textId="77777777" w:rsidR="00ED1EB0" w:rsidRPr="005A2629" w:rsidRDefault="00ED1EB0" w:rsidP="00ED1EB0">
      <w:pPr>
        <w:spacing w:line="276" w:lineRule="auto"/>
        <w:jc w:val="both"/>
        <w:rPr>
          <w:rFonts w:ascii="Times New Roman" w:hAnsi="Times New Roman" w:cs="Times New Roman"/>
          <w:bCs/>
          <w:sz w:val="24"/>
          <w:szCs w:val="24"/>
        </w:rPr>
      </w:pPr>
      <w:r w:rsidRPr="005A2629">
        <w:rPr>
          <w:rFonts w:ascii="Times New Roman" w:hAnsi="Times New Roman" w:cs="Times New Roman"/>
          <w:bCs/>
          <w:sz w:val="24"/>
          <w:szCs w:val="24"/>
        </w:rPr>
        <w:t>Plasma glucose concentration served as a</w:t>
      </w:r>
      <w:r w:rsidR="00C82A57" w:rsidRPr="005A2629">
        <w:rPr>
          <w:rFonts w:ascii="Times New Roman" w:hAnsi="Times New Roman" w:cs="Times New Roman"/>
          <w:bCs/>
          <w:sz w:val="24"/>
          <w:szCs w:val="24"/>
        </w:rPr>
        <w:t xml:space="preserve"> </w:t>
      </w:r>
      <w:r w:rsidR="003F1B9F" w:rsidRPr="005A2629">
        <w:rPr>
          <w:rFonts w:ascii="Times New Roman" w:hAnsi="Times New Roman" w:cs="Times New Roman"/>
          <w:bCs/>
          <w:sz w:val="24"/>
          <w:szCs w:val="24"/>
        </w:rPr>
        <w:t>secondary</w:t>
      </w:r>
      <w:r w:rsidRPr="005A2629">
        <w:rPr>
          <w:rFonts w:ascii="Times New Roman" w:hAnsi="Times New Roman" w:cs="Times New Roman"/>
          <w:bCs/>
          <w:sz w:val="24"/>
          <w:szCs w:val="24"/>
        </w:rPr>
        <w:t xml:space="preserve"> stress indicator during the salinity challenges (Table </w:t>
      </w:r>
      <w:r w:rsidR="001C41E2" w:rsidRPr="005A2629">
        <w:rPr>
          <w:rFonts w:ascii="Times New Roman" w:hAnsi="Times New Roman" w:cs="Times New Roman"/>
          <w:bCs/>
          <w:sz w:val="24"/>
          <w:szCs w:val="24"/>
        </w:rPr>
        <w:t>2</w:t>
      </w:r>
      <w:r w:rsidRPr="005A2629">
        <w:rPr>
          <w:rFonts w:ascii="Times New Roman" w:hAnsi="Times New Roman" w:cs="Times New Roman"/>
          <w:bCs/>
          <w:sz w:val="24"/>
          <w:szCs w:val="24"/>
        </w:rPr>
        <w:t>; Figure 10). A distinct, time-dependent elevation in plasma glucose levels was observed in groups exposed to hypoosmotic conditions, showing a progressive increase from Day 10 through Day 60. The highest overall glucose levels were systematically recorded in the 5 ppt treatment group (T3) across all sampling intervals, reflecting a sustained metabolic mobilization to meet increased energy demands under low-salinity stress conditions</w:t>
      </w:r>
      <m:oMath>
        <m:r>
          <w:rPr>
            <w:rFonts w:ascii="Cambria Math" w:hAnsi="Cambria Math" w:cs="Times New Roman"/>
            <w:sz w:val="24"/>
            <w:szCs w:val="24"/>
          </w:rPr>
          <m:t>p&lt;0.05</m:t>
        </m:r>
      </m:oMath>
      <w:r w:rsidRPr="005A2629">
        <w:rPr>
          <w:rFonts w:ascii="Times New Roman" w:hAnsi="Times New Roman" w:cs="Times New Roman"/>
          <w:bCs/>
          <w:sz w:val="24"/>
          <w:szCs w:val="24"/>
        </w:rPr>
        <w:t>.</w:t>
      </w:r>
    </w:p>
    <w:p w14:paraId="2ECECFF6" w14:textId="77777777" w:rsidR="00BF2373" w:rsidRPr="005A2629" w:rsidRDefault="00BF2373" w:rsidP="00D63C0B">
      <w:pPr>
        <w:spacing w:line="276" w:lineRule="auto"/>
        <w:jc w:val="both"/>
        <w:rPr>
          <w:rFonts w:ascii="Times New Roman" w:hAnsi="Times New Roman" w:cs="Times New Roman"/>
          <w:b/>
          <w:sz w:val="24"/>
          <w:szCs w:val="24"/>
        </w:rPr>
      </w:pPr>
      <w:r w:rsidRPr="005A2629">
        <w:rPr>
          <w:rFonts w:ascii="Times New Roman" w:hAnsi="Times New Roman" w:cs="Times New Roman"/>
          <w:noProof/>
          <w:sz w:val="24"/>
          <w:szCs w:val="24"/>
          <w:lang w:val="en-GB"/>
        </w:rPr>
        <w:drawing>
          <wp:inline distT="0" distB="0" distL="0" distR="0" wp14:anchorId="02A031D4" wp14:editId="4FDF5E47">
            <wp:extent cx="4610100" cy="2110740"/>
            <wp:effectExtent l="0" t="0" r="0" b="3810"/>
            <wp:docPr id="1948162592" name="Chart 1">
              <a:extLst xmlns:a="http://schemas.openxmlformats.org/drawingml/2006/main">
                <a:ext uri="{FF2B5EF4-FFF2-40B4-BE49-F238E27FC236}">
                  <a16:creationId xmlns:a16="http://schemas.microsoft.com/office/drawing/2014/main" id="{E25B6047-6C75-D60D-3E63-04477E7DD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0CDDEB" w14:textId="77777777" w:rsidR="00BF2373" w:rsidRPr="005A2629" w:rsidRDefault="00BF2373" w:rsidP="00D63C0B">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Fig.</w:t>
      </w:r>
      <w:r w:rsidR="00C54B9C" w:rsidRPr="005A2629">
        <w:rPr>
          <w:rFonts w:ascii="Times New Roman" w:hAnsi="Times New Roman" w:cs="Times New Roman"/>
          <w:b/>
          <w:sz w:val="24"/>
          <w:szCs w:val="24"/>
          <w:lang w:val="en-GB"/>
        </w:rPr>
        <w:t>10</w:t>
      </w:r>
      <w:r w:rsidRPr="005A2629">
        <w:rPr>
          <w:rFonts w:ascii="Times New Roman" w:hAnsi="Times New Roman" w:cs="Times New Roman"/>
          <w:b/>
          <w:sz w:val="24"/>
          <w:szCs w:val="24"/>
          <w:lang w:val="en-GB"/>
        </w:rPr>
        <w:t xml:space="preserve"> </w:t>
      </w:r>
      <w:r w:rsidR="00ED1EB0" w:rsidRPr="005A2629">
        <w:rPr>
          <w:rFonts w:ascii="Times New Roman" w:hAnsi="Times New Roman" w:cs="Times New Roman"/>
          <w:b/>
          <w:sz w:val="24"/>
          <w:szCs w:val="24"/>
          <w:lang w:val="en-GB"/>
        </w:rPr>
        <w:t>Plasma glucose concentration (</w:t>
      </w:r>
      <m:oMath>
        <m:sSup>
          <m:sSupPr>
            <m:ctrlPr>
              <w:rPr>
                <w:rFonts w:ascii="Cambria Math" w:hAnsi="Cambria Math" w:cs="Times New Roman"/>
                <w:b/>
                <w:sz w:val="24"/>
                <w:szCs w:val="24"/>
              </w:rPr>
            </m:ctrlPr>
          </m:sSupPr>
          <m:e>
            <m:r>
              <m:rPr>
                <m:nor/>
              </m:rPr>
              <w:rPr>
                <w:rFonts w:ascii="Times New Roman" w:hAnsi="Times New Roman" w:cs="Times New Roman"/>
                <w:b/>
                <w:sz w:val="24"/>
                <w:szCs w:val="24"/>
              </w:rPr>
              <m:t>mg dL</m:t>
            </m:r>
          </m:e>
          <m:sup>
            <m:r>
              <m:rPr>
                <m:sty m:val="bi"/>
              </m:rPr>
              <w:rPr>
                <w:rFonts w:ascii="Cambria Math" w:hAnsi="Cambria Math" w:cs="Times New Roman"/>
                <w:sz w:val="24"/>
                <w:szCs w:val="24"/>
              </w:rPr>
              <m:t>-1</m:t>
            </m:r>
          </m:sup>
        </m:sSup>
      </m:oMath>
      <w:r w:rsidR="00ED1EB0" w:rsidRPr="005A2629">
        <w:rPr>
          <w:rFonts w:ascii="Times New Roman" w:hAnsi="Times New Roman" w:cs="Times New Roman"/>
          <w:b/>
          <w:sz w:val="24"/>
          <w:szCs w:val="24"/>
          <w:lang w:val="en-GB"/>
        </w:rPr>
        <w:t>) of silver pompano (</w:t>
      </w:r>
      <w:r w:rsidR="00ED1EB0" w:rsidRPr="005A2629">
        <w:rPr>
          <w:rFonts w:ascii="Times New Roman" w:hAnsi="Times New Roman" w:cs="Times New Roman"/>
          <w:b/>
          <w:i/>
          <w:iCs/>
          <w:sz w:val="24"/>
          <w:szCs w:val="24"/>
          <w:lang w:val="en-GB"/>
        </w:rPr>
        <w:t xml:space="preserve">Trachinotus </w:t>
      </w:r>
      <w:proofErr w:type="spellStart"/>
      <w:r w:rsidR="00ED1EB0" w:rsidRPr="005A2629">
        <w:rPr>
          <w:rFonts w:ascii="Times New Roman" w:hAnsi="Times New Roman" w:cs="Times New Roman"/>
          <w:b/>
          <w:i/>
          <w:iCs/>
          <w:sz w:val="24"/>
          <w:szCs w:val="24"/>
          <w:lang w:val="en-GB"/>
        </w:rPr>
        <w:t>blochii</w:t>
      </w:r>
      <w:proofErr w:type="spellEnd"/>
      <w:r w:rsidR="00ED1EB0" w:rsidRPr="005A2629">
        <w:rPr>
          <w:rFonts w:ascii="Times New Roman" w:hAnsi="Times New Roman" w:cs="Times New Roman"/>
          <w:b/>
          <w:sz w:val="24"/>
          <w:szCs w:val="24"/>
          <w:lang w:val="en-GB"/>
        </w:rPr>
        <w:t>) subjected to different salinity treatments across Day 10, Day 30, and Day 60 sampling intervals.</w:t>
      </w:r>
    </w:p>
    <w:p w14:paraId="3BAA5A23" w14:textId="77777777" w:rsidR="005A0828" w:rsidRPr="005A2629" w:rsidRDefault="005A0828" w:rsidP="00D63C0B">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Blood Haematocrit Value</w:t>
      </w:r>
    </w:p>
    <w:p w14:paraId="1150BB6C" w14:textId="77777777" w:rsidR="000C3134" w:rsidRPr="005A2629" w:rsidRDefault="000C3134" w:rsidP="009D3284">
      <w:pPr>
        <w:spacing w:line="276" w:lineRule="auto"/>
        <w:jc w:val="both"/>
        <w:rPr>
          <w:rFonts w:ascii="Times New Roman" w:hAnsi="Times New Roman" w:cs="Times New Roman"/>
          <w:bCs/>
          <w:sz w:val="24"/>
          <w:szCs w:val="24"/>
        </w:rPr>
      </w:pPr>
      <w:r w:rsidRPr="005A2629">
        <w:rPr>
          <w:rFonts w:ascii="Times New Roman" w:hAnsi="Times New Roman" w:cs="Times New Roman"/>
          <w:bCs/>
          <w:sz w:val="24"/>
          <w:szCs w:val="24"/>
        </w:rPr>
        <w:t>The haematocrit (packed cell volume) percentages of silver pompano (</w:t>
      </w:r>
      <w:r w:rsidRPr="005A2629">
        <w:rPr>
          <w:rFonts w:ascii="Times New Roman" w:hAnsi="Times New Roman" w:cs="Times New Roman"/>
          <w:bCs/>
          <w:i/>
          <w:iCs/>
          <w:sz w:val="24"/>
          <w:szCs w:val="24"/>
        </w:rPr>
        <w:t xml:space="preserve">Trachinotus </w:t>
      </w:r>
      <w:proofErr w:type="spellStart"/>
      <w:r w:rsidRPr="005A2629">
        <w:rPr>
          <w:rFonts w:ascii="Times New Roman" w:hAnsi="Times New Roman" w:cs="Times New Roman"/>
          <w:bCs/>
          <w:i/>
          <w:iCs/>
          <w:sz w:val="24"/>
          <w:szCs w:val="24"/>
        </w:rPr>
        <w:t>blochii</w:t>
      </w:r>
      <w:proofErr w:type="spellEnd"/>
      <w:r w:rsidRPr="005A2629">
        <w:rPr>
          <w:rFonts w:ascii="Times New Roman" w:hAnsi="Times New Roman" w:cs="Times New Roman"/>
          <w:bCs/>
          <w:sz w:val="24"/>
          <w:szCs w:val="24"/>
        </w:rPr>
        <w:t>) showed an inverse relationship with decreasing environmental salinity over the 60-day trial (Table.</w:t>
      </w:r>
      <w:r w:rsidR="001C41E2" w:rsidRPr="005A2629">
        <w:rPr>
          <w:rFonts w:ascii="Times New Roman" w:hAnsi="Times New Roman" w:cs="Times New Roman"/>
          <w:bCs/>
          <w:sz w:val="24"/>
          <w:szCs w:val="24"/>
        </w:rPr>
        <w:t>2</w:t>
      </w:r>
      <w:r w:rsidRPr="005A2629">
        <w:rPr>
          <w:rFonts w:ascii="Times New Roman" w:hAnsi="Times New Roman" w:cs="Times New Roman"/>
          <w:bCs/>
          <w:sz w:val="24"/>
          <w:szCs w:val="24"/>
        </w:rPr>
        <w:t>; Figure.11). The highest haematocrit values were systematically maintained in the control group (C1, 35 ppt) across all temporal sampling points (Day 10, 30, and 60). Conversely, progressive exposure to low salinity triggered a significant decrease (</w:t>
      </w:r>
      <m:oMath>
        <m:r>
          <w:rPr>
            <w:rFonts w:ascii="Cambria Math" w:hAnsi="Cambria Math" w:cs="Times New Roman"/>
            <w:sz w:val="24"/>
            <w:szCs w:val="24"/>
          </w:rPr>
          <m:t>p&lt;0.05</m:t>
        </m:r>
      </m:oMath>
      <w:r w:rsidRPr="005A2629">
        <w:rPr>
          <w:rFonts w:ascii="Times New Roman" w:hAnsi="Times New Roman" w:cs="Times New Roman"/>
          <w:bCs/>
          <w:sz w:val="24"/>
          <w:szCs w:val="24"/>
        </w:rPr>
        <w:t xml:space="preserve">) in </w:t>
      </w:r>
      <w:r w:rsidRPr="005A2629">
        <w:rPr>
          <w:rFonts w:ascii="Times New Roman" w:hAnsi="Times New Roman" w:cs="Times New Roman"/>
          <w:bCs/>
          <w:sz w:val="24"/>
          <w:szCs w:val="24"/>
        </w:rPr>
        <w:lastRenderedPageBreak/>
        <w:t>haematocrit values, with the lowest measurements observed in the 5 ppt treatment group (T3). This downward trend became more pronounced over time, indicating a steady, long-term physiological shift across the experimental duration.</w:t>
      </w:r>
    </w:p>
    <w:p w14:paraId="6132D561" w14:textId="77777777" w:rsidR="00BF2373" w:rsidRPr="005A2629" w:rsidRDefault="00BF2373" w:rsidP="00BF2373">
      <w:pPr>
        <w:spacing w:line="360" w:lineRule="auto"/>
        <w:jc w:val="both"/>
        <w:rPr>
          <w:rFonts w:ascii="Times New Roman" w:hAnsi="Times New Roman" w:cs="Times New Roman"/>
          <w:b/>
          <w:sz w:val="24"/>
          <w:szCs w:val="24"/>
        </w:rPr>
      </w:pPr>
      <w:r w:rsidRPr="005A2629">
        <w:rPr>
          <w:rFonts w:ascii="Times New Roman" w:hAnsi="Times New Roman" w:cs="Times New Roman"/>
          <w:noProof/>
          <w:sz w:val="24"/>
          <w:szCs w:val="24"/>
          <w:lang w:val="en-GB"/>
        </w:rPr>
        <w:drawing>
          <wp:inline distT="0" distB="0" distL="0" distR="0" wp14:anchorId="755E77B7" wp14:editId="53F3033D">
            <wp:extent cx="4602480" cy="2042160"/>
            <wp:effectExtent l="0" t="0" r="7620" b="0"/>
            <wp:docPr id="702196064" name="Chart 1">
              <a:extLst xmlns:a="http://schemas.openxmlformats.org/drawingml/2006/main">
                <a:ext uri="{FF2B5EF4-FFF2-40B4-BE49-F238E27FC236}">
                  <a16:creationId xmlns:a16="http://schemas.microsoft.com/office/drawing/2014/main" id="{32659D2A-7F64-3022-A8CA-78F83E893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30DE73" w14:textId="77777777" w:rsidR="00BF2373" w:rsidRPr="005A2629" w:rsidRDefault="00BF2373" w:rsidP="00D8600A">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 xml:space="preserve">Fig </w:t>
      </w:r>
      <w:r w:rsidR="00C54B9C" w:rsidRPr="005A2629">
        <w:rPr>
          <w:rFonts w:ascii="Times New Roman" w:hAnsi="Times New Roman" w:cs="Times New Roman"/>
          <w:b/>
          <w:sz w:val="24"/>
          <w:szCs w:val="24"/>
          <w:lang w:val="en-GB"/>
        </w:rPr>
        <w:t>11</w:t>
      </w:r>
      <w:r w:rsidRPr="005A2629">
        <w:rPr>
          <w:rFonts w:ascii="Times New Roman" w:hAnsi="Times New Roman" w:cs="Times New Roman"/>
          <w:b/>
          <w:sz w:val="24"/>
          <w:szCs w:val="24"/>
          <w:lang w:val="en-GB"/>
        </w:rPr>
        <w:t xml:space="preserve"> </w:t>
      </w:r>
      <w:r w:rsidR="00340A1E" w:rsidRPr="005A2629">
        <w:rPr>
          <w:rFonts w:ascii="Times New Roman" w:hAnsi="Times New Roman" w:cs="Times New Roman"/>
          <w:b/>
          <w:sz w:val="24"/>
          <w:szCs w:val="24"/>
          <w:lang w:val="en-GB"/>
        </w:rPr>
        <w:t>Changes in blood haematocrit values (</w:t>
      </w:r>
      <m:oMath>
        <m:r>
          <m:rPr>
            <m:sty m:val="bi"/>
          </m:rPr>
          <w:rPr>
            <w:rFonts w:ascii="Cambria Math" w:hAnsi="Cambria Math" w:cs="Times New Roman"/>
            <w:sz w:val="24"/>
            <w:szCs w:val="24"/>
          </w:rPr>
          <m:t>%</m:t>
        </m:r>
      </m:oMath>
      <w:r w:rsidR="00340A1E" w:rsidRPr="005A2629">
        <w:rPr>
          <w:rFonts w:ascii="Times New Roman" w:hAnsi="Times New Roman" w:cs="Times New Roman"/>
          <w:b/>
          <w:sz w:val="24"/>
          <w:szCs w:val="24"/>
          <w:lang w:val="en-GB"/>
        </w:rPr>
        <w:t>) of silver pompano (</w:t>
      </w:r>
      <w:r w:rsidR="00340A1E" w:rsidRPr="005A2629">
        <w:rPr>
          <w:rFonts w:ascii="Times New Roman" w:hAnsi="Times New Roman" w:cs="Times New Roman"/>
          <w:b/>
          <w:i/>
          <w:iCs/>
          <w:sz w:val="24"/>
          <w:szCs w:val="24"/>
          <w:lang w:val="en-GB"/>
        </w:rPr>
        <w:t xml:space="preserve">Trachinotus </w:t>
      </w:r>
      <w:proofErr w:type="spellStart"/>
      <w:r w:rsidR="00340A1E" w:rsidRPr="005A2629">
        <w:rPr>
          <w:rFonts w:ascii="Times New Roman" w:hAnsi="Times New Roman" w:cs="Times New Roman"/>
          <w:b/>
          <w:i/>
          <w:iCs/>
          <w:sz w:val="24"/>
          <w:szCs w:val="24"/>
          <w:lang w:val="en-GB"/>
        </w:rPr>
        <w:t>blochii</w:t>
      </w:r>
      <w:proofErr w:type="spellEnd"/>
      <w:r w:rsidR="00340A1E" w:rsidRPr="005A2629">
        <w:rPr>
          <w:rFonts w:ascii="Times New Roman" w:hAnsi="Times New Roman" w:cs="Times New Roman"/>
          <w:b/>
          <w:sz w:val="24"/>
          <w:szCs w:val="24"/>
          <w:lang w:val="en-GB"/>
        </w:rPr>
        <w:t>) exposed to different salinity levels on Day 10, Day 30, and Day 60.</w:t>
      </w:r>
    </w:p>
    <w:p w14:paraId="4BD2D76A" w14:textId="77777777" w:rsidR="00BF2373" w:rsidRPr="005A2629" w:rsidRDefault="00BF2373" w:rsidP="00D8600A">
      <w:pPr>
        <w:spacing w:line="276" w:lineRule="auto"/>
        <w:jc w:val="both"/>
        <w:rPr>
          <w:rFonts w:ascii="Times New Roman" w:hAnsi="Times New Roman" w:cs="Times New Roman"/>
          <w:sz w:val="24"/>
          <w:szCs w:val="24"/>
          <w:lang w:val="en-GB"/>
        </w:rPr>
      </w:pPr>
      <w:r w:rsidRPr="005A2629">
        <w:rPr>
          <w:rFonts w:ascii="Times New Roman" w:hAnsi="Times New Roman" w:cs="Times New Roman"/>
          <w:b/>
          <w:sz w:val="24"/>
          <w:szCs w:val="24"/>
          <w:lang w:val="en-GB"/>
        </w:rPr>
        <w:t xml:space="preserve">Antioxidant </w:t>
      </w:r>
      <w:r w:rsidR="00102B40" w:rsidRPr="005A2629">
        <w:rPr>
          <w:rFonts w:ascii="Times New Roman" w:hAnsi="Times New Roman" w:cs="Times New Roman"/>
          <w:b/>
          <w:sz w:val="24"/>
          <w:szCs w:val="24"/>
          <w:lang w:val="en-GB"/>
        </w:rPr>
        <w:t>E</w:t>
      </w:r>
      <w:r w:rsidRPr="005A2629">
        <w:rPr>
          <w:rFonts w:ascii="Times New Roman" w:hAnsi="Times New Roman" w:cs="Times New Roman"/>
          <w:b/>
          <w:sz w:val="24"/>
          <w:szCs w:val="24"/>
          <w:lang w:val="en-GB"/>
        </w:rPr>
        <w:t xml:space="preserve">nzyme </w:t>
      </w:r>
      <w:r w:rsidR="00102B40" w:rsidRPr="005A2629">
        <w:rPr>
          <w:rFonts w:ascii="Times New Roman" w:hAnsi="Times New Roman" w:cs="Times New Roman"/>
          <w:b/>
          <w:sz w:val="24"/>
          <w:szCs w:val="24"/>
          <w:lang w:val="en-GB"/>
        </w:rPr>
        <w:t>Profiles</w:t>
      </w:r>
    </w:p>
    <w:p w14:paraId="729EDE3D" w14:textId="77777777" w:rsidR="00BF2373" w:rsidRDefault="00352EA0" w:rsidP="00D8600A">
      <w:pPr>
        <w:spacing w:line="276" w:lineRule="auto"/>
        <w:jc w:val="both"/>
        <w:rPr>
          <w:rFonts w:ascii="Times New Roman" w:hAnsi="Times New Roman"/>
          <w:sz w:val="24"/>
          <w:lang w:val="en-GB"/>
        </w:rPr>
      </w:pPr>
      <w:r w:rsidRPr="005A2629">
        <w:rPr>
          <w:rFonts w:ascii="Times New Roman" w:hAnsi="Times New Roman"/>
          <w:sz w:val="24"/>
          <w:lang w:val="en-GB"/>
        </w:rPr>
        <w:t>Chronic exposure to reduced salinity significantly altered the antioxidant defence system of juvenile silver pompano (Table 3). The activities of catalase (CAT), superoxide dismutase (SOD), and glutathione peroxidase (GPx) increased progressively with decreasing salinity (P &lt; 0.05). The highest enzyme activities were observed in fish maintained at 5 ppt, indicating increased oxidative stress under hypoosmotic conditions. Conversely, fish reared at 35 ppt exhibited the lowest antioxidant enzyme activities, suggesting comparatively lower oxidative stress.</w:t>
      </w:r>
    </w:p>
    <w:p w14:paraId="61D56A0C" w14:textId="241C3431" w:rsidR="003F1C7C" w:rsidRPr="003F1C7C" w:rsidRDefault="003F1C7C" w:rsidP="00D8600A">
      <w:pPr>
        <w:spacing w:line="276" w:lineRule="auto"/>
        <w:jc w:val="both"/>
        <w:rPr>
          <w:rFonts w:ascii="Times New Roman" w:hAnsi="Times New Roman" w:cs="Times New Roman"/>
          <w:b/>
          <w:sz w:val="24"/>
          <w:szCs w:val="24"/>
          <w:lang w:val="en-US"/>
        </w:rPr>
      </w:pPr>
      <w:r w:rsidRPr="003F1C7C">
        <w:rPr>
          <w:rFonts w:ascii="Times New Roman" w:hAnsi="Times New Roman" w:cs="Times New Roman"/>
          <w:b/>
          <w:sz w:val="24"/>
          <w:szCs w:val="24"/>
          <w:lang w:val="en-US"/>
        </w:rPr>
        <w:t>Table 3.</w:t>
      </w:r>
      <w:r w:rsidR="00CC46DE">
        <w:rPr>
          <w:rFonts w:ascii="Times New Roman" w:hAnsi="Times New Roman" w:cs="Times New Roman"/>
          <w:b/>
          <w:sz w:val="24"/>
          <w:szCs w:val="24"/>
          <w:lang w:val="en-US"/>
        </w:rPr>
        <w:t xml:space="preserve"> </w:t>
      </w:r>
      <w:r w:rsidRPr="003F1C7C">
        <w:rPr>
          <w:rFonts w:ascii="Times New Roman" w:hAnsi="Times New Roman" w:cs="Times New Roman"/>
          <w:b/>
          <w:sz w:val="24"/>
          <w:szCs w:val="24"/>
          <w:lang w:val="en-US"/>
        </w:rPr>
        <w:t xml:space="preserve">Antioxidant enzyme </w:t>
      </w:r>
      <w:proofErr w:type="spellStart"/>
      <w:r w:rsidRPr="003F1C7C">
        <w:rPr>
          <w:rFonts w:ascii="Times New Roman" w:hAnsi="Times New Roman" w:cs="Times New Roman"/>
          <w:b/>
          <w:sz w:val="24"/>
          <w:szCs w:val="24"/>
          <w:lang w:val="en-US"/>
        </w:rPr>
        <w:t>activites</w:t>
      </w:r>
      <w:proofErr w:type="spellEnd"/>
      <w:r w:rsidRPr="003F1C7C">
        <w:rPr>
          <w:rFonts w:ascii="Times New Roman" w:hAnsi="Times New Roman" w:cs="Times New Roman"/>
          <w:b/>
          <w:sz w:val="24"/>
          <w:szCs w:val="24"/>
          <w:lang w:val="en-US"/>
        </w:rPr>
        <w:t xml:space="preserve"> (CAT, SOD, and </w:t>
      </w:r>
      <w:proofErr w:type="spellStart"/>
      <w:r w:rsidRPr="003F1C7C">
        <w:rPr>
          <w:rFonts w:ascii="Times New Roman" w:hAnsi="Times New Roman" w:cs="Times New Roman"/>
          <w:b/>
          <w:sz w:val="24"/>
          <w:szCs w:val="24"/>
          <w:lang w:val="en-US"/>
        </w:rPr>
        <w:t>GPx</w:t>
      </w:r>
      <w:proofErr w:type="spellEnd"/>
      <w:r w:rsidRPr="003F1C7C">
        <w:rPr>
          <w:rFonts w:ascii="Times New Roman" w:hAnsi="Times New Roman" w:cs="Times New Roman"/>
          <w:b/>
          <w:sz w:val="24"/>
          <w:szCs w:val="24"/>
          <w:lang w:val="en-US"/>
        </w:rPr>
        <w:t xml:space="preserve">) of silver pompano (Trachinotus </w:t>
      </w:r>
      <w:proofErr w:type="spellStart"/>
      <w:r w:rsidRPr="003F1C7C">
        <w:rPr>
          <w:rFonts w:ascii="Times New Roman" w:hAnsi="Times New Roman" w:cs="Times New Roman"/>
          <w:b/>
          <w:sz w:val="24"/>
          <w:szCs w:val="24"/>
          <w:lang w:val="en-US"/>
        </w:rPr>
        <w:t>blochii</w:t>
      </w:r>
      <w:proofErr w:type="spellEnd"/>
      <w:r w:rsidRPr="003F1C7C">
        <w:rPr>
          <w:rFonts w:ascii="Times New Roman" w:hAnsi="Times New Roman" w:cs="Times New Roman"/>
          <w:b/>
          <w:sz w:val="24"/>
          <w:szCs w:val="24"/>
          <w:lang w:val="en-US"/>
        </w:rPr>
        <w:t>)</w:t>
      </w:r>
      <w:r w:rsidR="00B92B1D">
        <w:rPr>
          <w:rFonts w:ascii="Times New Roman" w:hAnsi="Times New Roman" w:cs="Times New Roman"/>
          <w:b/>
          <w:sz w:val="24"/>
          <w:szCs w:val="24"/>
          <w:lang w:val="en-US"/>
        </w:rPr>
        <w:t xml:space="preserve"> </w:t>
      </w:r>
      <w:r w:rsidRPr="003F1C7C">
        <w:rPr>
          <w:rFonts w:ascii="Times New Roman" w:hAnsi="Times New Roman" w:cs="Times New Roman"/>
          <w:b/>
          <w:sz w:val="24"/>
          <w:szCs w:val="24"/>
          <w:lang w:val="en-US"/>
        </w:rPr>
        <w:t>under different salinity treatments</w:t>
      </w:r>
    </w:p>
    <w:tbl>
      <w:tblPr>
        <w:tblStyle w:val="TableGrid"/>
        <w:tblW w:w="0" w:type="auto"/>
        <w:tblLook w:val="04A0" w:firstRow="1" w:lastRow="0" w:firstColumn="1" w:lastColumn="0" w:noHBand="0" w:noVBand="1"/>
      </w:tblPr>
      <w:tblGrid>
        <w:gridCol w:w="2254"/>
        <w:gridCol w:w="2254"/>
        <w:gridCol w:w="2254"/>
        <w:gridCol w:w="2254"/>
      </w:tblGrid>
      <w:tr w:rsidR="00BF2373" w:rsidRPr="00EA49C7" w14:paraId="3D5AF972" w14:textId="77777777" w:rsidTr="009A7272">
        <w:tc>
          <w:tcPr>
            <w:tcW w:w="2254" w:type="dxa"/>
          </w:tcPr>
          <w:p w14:paraId="53C0B71B"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eastAsia="Times New Roman" w:hAnsi="Times New Roman" w:cs="Times New Roman"/>
                <w:b/>
                <w:bCs/>
                <w:sz w:val="24"/>
                <w:szCs w:val="24"/>
                <w:lang w:val="en-GB" w:eastAsia="en-IN"/>
              </w:rPr>
              <w:t>Treatment</w:t>
            </w:r>
          </w:p>
        </w:tc>
        <w:tc>
          <w:tcPr>
            <w:tcW w:w="2254" w:type="dxa"/>
          </w:tcPr>
          <w:p w14:paraId="233D64D8" w14:textId="77777777" w:rsidR="00BF2373" w:rsidRPr="005A2629" w:rsidRDefault="00BF2373" w:rsidP="00D8600A">
            <w:pPr>
              <w:spacing w:line="276" w:lineRule="auto"/>
              <w:jc w:val="both"/>
              <w:rPr>
                <w:rFonts w:ascii="Times New Roman" w:hAnsi="Times New Roman" w:cs="Times New Roman"/>
                <w:sz w:val="24"/>
                <w:szCs w:val="24"/>
                <w:lang w:val="es-US"/>
              </w:rPr>
            </w:pPr>
            <w:r w:rsidRPr="005A2629">
              <w:rPr>
                <w:rFonts w:ascii="Times New Roman" w:eastAsia="Times New Roman" w:hAnsi="Times New Roman" w:cs="Times New Roman"/>
                <w:b/>
                <w:bCs/>
                <w:sz w:val="24"/>
                <w:szCs w:val="24"/>
                <w:lang w:val="es-US" w:eastAsia="en-IN"/>
              </w:rPr>
              <w:t>CAT (</w:t>
            </w:r>
            <m:oMath>
              <m:sSup>
                <m:sSupPr>
                  <m:ctrlPr>
                    <w:rPr>
                      <w:rFonts w:ascii="Cambria Math" w:eastAsia="Times New Roman" w:hAnsi="Cambria Math" w:cs="Times New Roman"/>
                      <w:b/>
                      <w:bCs/>
                      <w:sz w:val="24"/>
                      <w:szCs w:val="24"/>
                    </w:rPr>
                  </m:ctrlPr>
                </m:sSupPr>
                <m:e>
                  <m:r>
                    <m:rPr>
                      <m:nor/>
                    </m:rPr>
                    <w:rPr>
                      <w:rFonts w:ascii="Times New Roman" w:eastAsia="Times New Roman" w:hAnsi="Times New Roman" w:cs="Times New Roman"/>
                      <w:b/>
                      <w:bCs/>
                      <w:sz w:val="24"/>
                      <w:szCs w:val="24"/>
                      <w:lang w:val="es-US"/>
                    </w:rPr>
                    <m:t>U mg</m:t>
                  </m:r>
                </m:e>
                <m:sup>
                  <m:r>
                    <m:rPr>
                      <m:sty m:val="bi"/>
                    </m:rPr>
                    <w:rPr>
                      <w:rFonts w:ascii="Cambria Math" w:eastAsia="Times New Roman" w:hAnsi="Cambria Math" w:cs="Times New Roman"/>
                      <w:sz w:val="24"/>
                      <w:szCs w:val="24"/>
                      <w:lang w:val="es-US"/>
                    </w:rPr>
                    <m:t>-</m:t>
                  </m:r>
                  <m:r>
                    <m:rPr>
                      <m:sty m:val="bi"/>
                    </m:rPr>
                    <w:rPr>
                      <w:rFonts w:ascii="Cambria Math" w:eastAsia="Times New Roman" w:hAnsi="Cambria Math" w:cs="Times New Roman"/>
                      <w:sz w:val="24"/>
                      <w:szCs w:val="24"/>
                    </w:rPr>
                    <m:t>1</m:t>
                  </m:r>
                </m:sup>
              </m:sSup>
              <m:r>
                <m:rPr>
                  <m:nor/>
                </m:rPr>
                <w:rPr>
                  <w:rFonts w:ascii="Times New Roman" w:eastAsia="Times New Roman" w:hAnsi="Times New Roman" w:cs="Times New Roman"/>
                  <w:b/>
                  <w:bCs/>
                  <w:sz w:val="24"/>
                  <w:szCs w:val="24"/>
                  <w:lang w:val="es-US"/>
                </w:rPr>
                <m:t> protein</m:t>
              </m:r>
            </m:oMath>
            <w:r w:rsidRPr="005A2629">
              <w:rPr>
                <w:rFonts w:ascii="Times New Roman" w:eastAsia="Times New Roman" w:hAnsi="Times New Roman" w:cs="Times New Roman"/>
                <w:b/>
                <w:bCs/>
                <w:sz w:val="24"/>
                <w:szCs w:val="24"/>
                <w:lang w:val="es-US" w:eastAsia="en-IN"/>
              </w:rPr>
              <w:t>)</w:t>
            </w:r>
          </w:p>
        </w:tc>
        <w:tc>
          <w:tcPr>
            <w:tcW w:w="2254" w:type="dxa"/>
          </w:tcPr>
          <w:p w14:paraId="05528ABD" w14:textId="77777777" w:rsidR="00BF2373" w:rsidRPr="005A2629" w:rsidRDefault="00BF2373" w:rsidP="00D8600A">
            <w:pPr>
              <w:spacing w:line="276" w:lineRule="auto"/>
              <w:jc w:val="both"/>
              <w:rPr>
                <w:rFonts w:ascii="Times New Roman" w:eastAsia="Times New Roman" w:hAnsi="Times New Roman" w:cs="Times New Roman"/>
                <w:b/>
                <w:bCs/>
                <w:sz w:val="24"/>
                <w:szCs w:val="24"/>
                <w:lang w:val="es-US" w:eastAsia="en-IN"/>
              </w:rPr>
            </w:pPr>
            <w:r w:rsidRPr="005A2629">
              <w:rPr>
                <w:rFonts w:ascii="Times New Roman" w:eastAsia="Times New Roman" w:hAnsi="Times New Roman" w:cs="Times New Roman"/>
                <w:b/>
                <w:bCs/>
                <w:sz w:val="24"/>
                <w:szCs w:val="24"/>
                <w:lang w:val="es-US" w:eastAsia="en-IN"/>
              </w:rPr>
              <w:t xml:space="preserve">SOD </w:t>
            </w:r>
          </w:p>
          <w:p w14:paraId="4AA12716" w14:textId="77777777" w:rsidR="004B0A33" w:rsidRPr="005A2629" w:rsidRDefault="004B0A33" w:rsidP="00D8600A">
            <w:pPr>
              <w:spacing w:line="276" w:lineRule="auto"/>
              <w:jc w:val="both"/>
              <w:rPr>
                <w:rFonts w:ascii="Times New Roman" w:hAnsi="Times New Roman" w:cs="Times New Roman"/>
                <w:b/>
                <w:bCs/>
                <w:sz w:val="24"/>
                <w:szCs w:val="24"/>
                <w:lang w:val="es-US"/>
              </w:rPr>
            </w:pPr>
            <w:r w:rsidRPr="005A2629">
              <w:rPr>
                <w:rFonts w:ascii="Times New Roman" w:hAnsi="Times New Roman" w:cs="Times New Roman"/>
                <w:b/>
                <w:bCs/>
                <w:sz w:val="24"/>
                <w:szCs w:val="24"/>
                <w:lang w:val="es-US"/>
              </w:rPr>
              <w:t>(</w:t>
            </w:r>
            <m:oMath>
              <m:sSup>
                <m:sSupPr>
                  <m:ctrlPr>
                    <w:rPr>
                      <w:rFonts w:ascii="Cambria Math" w:hAnsi="Cambria Math" w:cs="Times New Roman"/>
                      <w:b/>
                      <w:bCs/>
                      <w:sz w:val="24"/>
                      <w:szCs w:val="24"/>
                    </w:rPr>
                  </m:ctrlPr>
                </m:sSupPr>
                <m:e>
                  <m:r>
                    <m:rPr>
                      <m:nor/>
                    </m:rPr>
                    <w:rPr>
                      <w:rFonts w:ascii="Times New Roman" w:hAnsi="Times New Roman" w:cs="Times New Roman"/>
                      <w:b/>
                      <w:bCs/>
                      <w:sz w:val="24"/>
                      <w:szCs w:val="24"/>
                      <w:lang w:val="es-US"/>
                    </w:rPr>
                    <m:t>U mg</m:t>
                  </m:r>
                </m:e>
                <m:sup>
                  <m:r>
                    <m:rPr>
                      <m:sty m:val="bi"/>
                    </m:rPr>
                    <w:rPr>
                      <w:rFonts w:ascii="Cambria Math" w:hAnsi="Cambria Math" w:cs="Times New Roman"/>
                      <w:sz w:val="24"/>
                      <w:szCs w:val="24"/>
                      <w:lang w:val="es-US"/>
                    </w:rPr>
                    <m:t>-</m:t>
                  </m:r>
                  <m:r>
                    <m:rPr>
                      <m:sty m:val="bi"/>
                    </m:rPr>
                    <w:rPr>
                      <w:rFonts w:ascii="Cambria Math" w:hAnsi="Cambria Math" w:cs="Times New Roman"/>
                      <w:sz w:val="24"/>
                      <w:szCs w:val="24"/>
                    </w:rPr>
                    <m:t>1</m:t>
                  </m:r>
                </m:sup>
              </m:sSup>
              <m:r>
                <m:rPr>
                  <m:nor/>
                </m:rPr>
                <w:rPr>
                  <w:rFonts w:ascii="Times New Roman" w:hAnsi="Times New Roman" w:cs="Times New Roman"/>
                  <w:b/>
                  <w:bCs/>
                  <w:sz w:val="24"/>
                  <w:szCs w:val="24"/>
                  <w:lang w:val="es-US"/>
                </w:rPr>
                <m:t> protein</m:t>
              </m:r>
            </m:oMath>
            <w:r w:rsidRPr="005A2629">
              <w:rPr>
                <w:rFonts w:ascii="Times New Roman" w:hAnsi="Times New Roman" w:cs="Times New Roman"/>
                <w:b/>
                <w:bCs/>
                <w:sz w:val="24"/>
                <w:szCs w:val="24"/>
                <w:lang w:val="es-US"/>
              </w:rPr>
              <w:t>)</w:t>
            </w:r>
          </w:p>
        </w:tc>
        <w:tc>
          <w:tcPr>
            <w:tcW w:w="2254" w:type="dxa"/>
          </w:tcPr>
          <w:p w14:paraId="23655A33" w14:textId="77777777" w:rsidR="00BF2373" w:rsidRPr="005A2629" w:rsidRDefault="00BF2373" w:rsidP="00D8600A">
            <w:pPr>
              <w:spacing w:line="276" w:lineRule="auto"/>
              <w:jc w:val="both"/>
              <w:rPr>
                <w:rFonts w:ascii="Times New Roman" w:eastAsia="Times New Roman" w:hAnsi="Times New Roman" w:cs="Times New Roman"/>
                <w:b/>
                <w:bCs/>
                <w:sz w:val="24"/>
                <w:szCs w:val="24"/>
                <w:lang w:val="es-US" w:eastAsia="en-IN"/>
              </w:rPr>
            </w:pPr>
            <w:proofErr w:type="spellStart"/>
            <w:r w:rsidRPr="005A2629">
              <w:rPr>
                <w:rFonts w:ascii="Times New Roman" w:eastAsia="Times New Roman" w:hAnsi="Times New Roman" w:cs="Times New Roman"/>
                <w:b/>
                <w:bCs/>
                <w:sz w:val="24"/>
                <w:szCs w:val="24"/>
                <w:lang w:val="es-US" w:eastAsia="en-IN"/>
              </w:rPr>
              <w:t>GPx</w:t>
            </w:r>
            <w:proofErr w:type="spellEnd"/>
            <w:r w:rsidRPr="005A2629">
              <w:rPr>
                <w:rFonts w:ascii="Times New Roman" w:eastAsia="Times New Roman" w:hAnsi="Times New Roman" w:cs="Times New Roman"/>
                <w:b/>
                <w:bCs/>
                <w:sz w:val="24"/>
                <w:szCs w:val="24"/>
                <w:lang w:val="es-US" w:eastAsia="en-IN"/>
              </w:rPr>
              <w:t xml:space="preserve"> </w:t>
            </w:r>
          </w:p>
          <w:p w14:paraId="02421CE4" w14:textId="77777777" w:rsidR="004B0A33" w:rsidRPr="005A2629" w:rsidRDefault="0011598D" w:rsidP="00D8600A">
            <w:pPr>
              <w:spacing w:line="276" w:lineRule="auto"/>
              <w:jc w:val="both"/>
              <w:rPr>
                <w:rFonts w:ascii="Times New Roman" w:hAnsi="Times New Roman" w:cs="Times New Roman"/>
                <w:b/>
                <w:bCs/>
                <w:sz w:val="24"/>
                <w:szCs w:val="24"/>
                <w:lang w:val="es-US"/>
              </w:rPr>
            </w:pPr>
            <w:r w:rsidRPr="005A2629">
              <w:rPr>
                <w:rFonts w:ascii="Times New Roman" w:hAnsi="Times New Roman" w:cs="Times New Roman"/>
                <w:b/>
                <w:bCs/>
                <w:sz w:val="24"/>
                <w:szCs w:val="24"/>
                <w:lang w:val="es-US"/>
              </w:rPr>
              <w:t>(</w:t>
            </w:r>
            <m:oMath>
              <m:sSup>
                <m:sSupPr>
                  <m:ctrlPr>
                    <w:rPr>
                      <w:rFonts w:ascii="Cambria Math" w:hAnsi="Cambria Math" w:cs="Times New Roman"/>
                      <w:b/>
                      <w:bCs/>
                      <w:sz w:val="24"/>
                      <w:szCs w:val="24"/>
                    </w:rPr>
                  </m:ctrlPr>
                </m:sSupPr>
                <m:e>
                  <m:r>
                    <m:rPr>
                      <m:nor/>
                    </m:rPr>
                    <w:rPr>
                      <w:rFonts w:ascii="Times New Roman" w:hAnsi="Times New Roman" w:cs="Times New Roman"/>
                      <w:b/>
                      <w:bCs/>
                      <w:sz w:val="24"/>
                      <w:szCs w:val="24"/>
                      <w:lang w:val="es-US"/>
                    </w:rPr>
                    <m:t>U mg</m:t>
                  </m:r>
                </m:e>
                <m:sup>
                  <m:r>
                    <m:rPr>
                      <m:sty m:val="bi"/>
                    </m:rPr>
                    <w:rPr>
                      <w:rFonts w:ascii="Cambria Math" w:hAnsi="Cambria Math" w:cs="Times New Roman"/>
                      <w:sz w:val="24"/>
                      <w:szCs w:val="24"/>
                      <w:lang w:val="es-US"/>
                    </w:rPr>
                    <m:t>-</m:t>
                  </m:r>
                  <m:r>
                    <m:rPr>
                      <m:sty m:val="bi"/>
                    </m:rPr>
                    <w:rPr>
                      <w:rFonts w:ascii="Cambria Math" w:hAnsi="Cambria Math" w:cs="Times New Roman"/>
                      <w:sz w:val="24"/>
                      <w:szCs w:val="24"/>
                    </w:rPr>
                    <m:t>1</m:t>
                  </m:r>
                </m:sup>
              </m:sSup>
              <m:r>
                <m:rPr>
                  <m:nor/>
                </m:rPr>
                <w:rPr>
                  <w:rFonts w:ascii="Times New Roman" w:hAnsi="Times New Roman" w:cs="Times New Roman"/>
                  <w:b/>
                  <w:bCs/>
                  <w:sz w:val="24"/>
                  <w:szCs w:val="24"/>
                  <w:lang w:val="es-US"/>
                </w:rPr>
                <m:t> protein</m:t>
              </m:r>
            </m:oMath>
            <w:r w:rsidRPr="005A2629">
              <w:rPr>
                <w:rFonts w:ascii="Times New Roman" w:hAnsi="Times New Roman" w:cs="Times New Roman"/>
                <w:b/>
                <w:bCs/>
                <w:sz w:val="24"/>
                <w:szCs w:val="24"/>
                <w:lang w:val="es-US"/>
              </w:rPr>
              <w:t>)</w:t>
            </w:r>
          </w:p>
        </w:tc>
      </w:tr>
      <w:tr w:rsidR="00BF2373" w:rsidRPr="005A2629" w14:paraId="27DD3E85" w14:textId="77777777" w:rsidTr="009A7272">
        <w:tc>
          <w:tcPr>
            <w:tcW w:w="2254" w:type="dxa"/>
          </w:tcPr>
          <w:p w14:paraId="6620611B"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C1</w:t>
            </w:r>
          </w:p>
        </w:tc>
        <w:tc>
          <w:tcPr>
            <w:tcW w:w="2254" w:type="dxa"/>
          </w:tcPr>
          <w:p w14:paraId="033A3FB9"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0.49±0.05</w:t>
            </w:r>
            <w:r w:rsidR="0011598D" w:rsidRPr="005A2629">
              <w:rPr>
                <w:rFonts w:ascii="Times New Roman" w:hAnsi="Times New Roman" w:cs="Times New Roman"/>
                <w:sz w:val="24"/>
                <w:szCs w:val="24"/>
                <w:vertAlign w:val="superscript"/>
              </w:rPr>
              <w:t>a</w:t>
            </w:r>
          </w:p>
        </w:tc>
        <w:tc>
          <w:tcPr>
            <w:tcW w:w="2254" w:type="dxa"/>
          </w:tcPr>
          <w:p w14:paraId="6CAB59CC"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0.206±0.003</w:t>
            </w:r>
            <w:r w:rsidR="0011598D" w:rsidRPr="005A2629">
              <w:rPr>
                <w:rFonts w:ascii="Times New Roman" w:hAnsi="Times New Roman" w:cs="Times New Roman"/>
                <w:sz w:val="24"/>
                <w:szCs w:val="24"/>
                <w:vertAlign w:val="superscript"/>
              </w:rPr>
              <w:t>a</w:t>
            </w:r>
          </w:p>
        </w:tc>
        <w:tc>
          <w:tcPr>
            <w:tcW w:w="2254" w:type="dxa"/>
          </w:tcPr>
          <w:p w14:paraId="04A0CCCB"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0.11±0.01</w:t>
            </w:r>
            <w:r w:rsidR="0011598D" w:rsidRPr="005A2629">
              <w:rPr>
                <w:rFonts w:ascii="Times New Roman" w:hAnsi="Times New Roman" w:cs="Times New Roman"/>
                <w:sz w:val="24"/>
                <w:szCs w:val="24"/>
                <w:vertAlign w:val="superscript"/>
              </w:rPr>
              <w:t>a</w:t>
            </w:r>
          </w:p>
        </w:tc>
      </w:tr>
      <w:tr w:rsidR="00BF2373" w:rsidRPr="005A2629" w14:paraId="56418E8C" w14:textId="77777777" w:rsidTr="009A7272">
        <w:tc>
          <w:tcPr>
            <w:tcW w:w="2254" w:type="dxa"/>
          </w:tcPr>
          <w:p w14:paraId="6DB445B0"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T1</w:t>
            </w:r>
          </w:p>
        </w:tc>
        <w:tc>
          <w:tcPr>
            <w:tcW w:w="2254" w:type="dxa"/>
          </w:tcPr>
          <w:p w14:paraId="37E254D1"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0.62±0.01</w:t>
            </w:r>
            <w:r w:rsidR="0011598D" w:rsidRPr="005A2629">
              <w:rPr>
                <w:rFonts w:ascii="Times New Roman" w:hAnsi="Times New Roman" w:cs="Times New Roman"/>
                <w:sz w:val="24"/>
                <w:szCs w:val="24"/>
                <w:vertAlign w:val="superscript"/>
              </w:rPr>
              <w:t>b</w:t>
            </w:r>
          </w:p>
        </w:tc>
        <w:tc>
          <w:tcPr>
            <w:tcW w:w="2254" w:type="dxa"/>
          </w:tcPr>
          <w:p w14:paraId="00DCB4B7"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0.249±0.007</w:t>
            </w:r>
            <w:r w:rsidR="0011598D" w:rsidRPr="005A2629">
              <w:rPr>
                <w:rFonts w:ascii="Times New Roman" w:hAnsi="Times New Roman" w:cs="Times New Roman"/>
                <w:sz w:val="24"/>
                <w:szCs w:val="24"/>
                <w:vertAlign w:val="superscript"/>
              </w:rPr>
              <w:t>b</w:t>
            </w:r>
          </w:p>
        </w:tc>
        <w:tc>
          <w:tcPr>
            <w:tcW w:w="2254" w:type="dxa"/>
          </w:tcPr>
          <w:p w14:paraId="2E0D7B57"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0.15±0.007</w:t>
            </w:r>
            <w:r w:rsidR="0011598D" w:rsidRPr="005A2629">
              <w:rPr>
                <w:rFonts w:ascii="Times New Roman" w:hAnsi="Times New Roman" w:cs="Times New Roman"/>
                <w:sz w:val="24"/>
                <w:szCs w:val="24"/>
                <w:vertAlign w:val="superscript"/>
              </w:rPr>
              <w:t>b</w:t>
            </w:r>
          </w:p>
        </w:tc>
      </w:tr>
      <w:tr w:rsidR="00BF2373" w:rsidRPr="005A2629" w14:paraId="5E1DA472" w14:textId="77777777" w:rsidTr="009A7272">
        <w:tc>
          <w:tcPr>
            <w:tcW w:w="2254" w:type="dxa"/>
          </w:tcPr>
          <w:p w14:paraId="2C068350"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T2</w:t>
            </w:r>
          </w:p>
        </w:tc>
        <w:tc>
          <w:tcPr>
            <w:tcW w:w="2254" w:type="dxa"/>
          </w:tcPr>
          <w:p w14:paraId="10E86C2E"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0.66±0.02</w:t>
            </w:r>
            <w:r w:rsidR="0011598D" w:rsidRPr="005A2629">
              <w:rPr>
                <w:rFonts w:ascii="Times New Roman" w:hAnsi="Times New Roman" w:cs="Times New Roman"/>
                <w:sz w:val="24"/>
                <w:szCs w:val="24"/>
                <w:vertAlign w:val="superscript"/>
              </w:rPr>
              <w:t>c</w:t>
            </w:r>
          </w:p>
        </w:tc>
        <w:tc>
          <w:tcPr>
            <w:tcW w:w="2254" w:type="dxa"/>
          </w:tcPr>
          <w:p w14:paraId="3F8AEB91"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0.307±0.002</w:t>
            </w:r>
            <w:r w:rsidR="0011598D" w:rsidRPr="005A2629">
              <w:rPr>
                <w:rFonts w:ascii="Times New Roman" w:hAnsi="Times New Roman" w:cs="Times New Roman"/>
                <w:sz w:val="24"/>
                <w:szCs w:val="24"/>
                <w:vertAlign w:val="superscript"/>
              </w:rPr>
              <w:t>c</w:t>
            </w:r>
          </w:p>
        </w:tc>
        <w:tc>
          <w:tcPr>
            <w:tcW w:w="2254" w:type="dxa"/>
          </w:tcPr>
          <w:p w14:paraId="4F7BDEC2"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0.19±0.002</w:t>
            </w:r>
            <w:r w:rsidR="0011598D" w:rsidRPr="005A2629">
              <w:rPr>
                <w:rFonts w:ascii="Times New Roman" w:hAnsi="Times New Roman" w:cs="Times New Roman"/>
                <w:sz w:val="24"/>
                <w:szCs w:val="24"/>
                <w:vertAlign w:val="superscript"/>
              </w:rPr>
              <w:t>c</w:t>
            </w:r>
          </w:p>
        </w:tc>
      </w:tr>
      <w:tr w:rsidR="00BF2373" w:rsidRPr="005A2629" w14:paraId="2AE9255A" w14:textId="77777777" w:rsidTr="009A7272">
        <w:tc>
          <w:tcPr>
            <w:tcW w:w="2254" w:type="dxa"/>
          </w:tcPr>
          <w:p w14:paraId="323A9FCD"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T3</w:t>
            </w:r>
          </w:p>
        </w:tc>
        <w:tc>
          <w:tcPr>
            <w:tcW w:w="2254" w:type="dxa"/>
          </w:tcPr>
          <w:p w14:paraId="0E115504"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0.71±0.012</w:t>
            </w:r>
            <w:r w:rsidR="0011598D" w:rsidRPr="005A2629">
              <w:rPr>
                <w:rFonts w:ascii="Times New Roman" w:hAnsi="Times New Roman" w:cs="Times New Roman"/>
                <w:sz w:val="24"/>
                <w:szCs w:val="24"/>
                <w:vertAlign w:val="superscript"/>
              </w:rPr>
              <w:t>d</w:t>
            </w:r>
          </w:p>
        </w:tc>
        <w:tc>
          <w:tcPr>
            <w:tcW w:w="2254" w:type="dxa"/>
          </w:tcPr>
          <w:p w14:paraId="49F73040"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0.391±0.002</w:t>
            </w:r>
            <w:r w:rsidR="0011598D" w:rsidRPr="005A2629">
              <w:rPr>
                <w:rFonts w:ascii="Times New Roman" w:hAnsi="Times New Roman" w:cs="Times New Roman"/>
                <w:sz w:val="24"/>
                <w:szCs w:val="24"/>
                <w:vertAlign w:val="superscript"/>
              </w:rPr>
              <w:t>d</w:t>
            </w:r>
          </w:p>
        </w:tc>
        <w:tc>
          <w:tcPr>
            <w:tcW w:w="2254" w:type="dxa"/>
          </w:tcPr>
          <w:p w14:paraId="2B02F120" w14:textId="77777777" w:rsidR="00BF2373" w:rsidRPr="005A2629" w:rsidRDefault="00BF2373" w:rsidP="00D8600A">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0.22±0.034</w:t>
            </w:r>
            <w:r w:rsidR="0011598D" w:rsidRPr="005A2629">
              <w:rPr>
                <w:rFonts w:ascii="Times New Roman" w:hAnsi="Times New Roman" w:cs="Times New Roman"/>
                <w:sz w:val="24"/>
                <w:szCs w:val="24"/>
                <w:vertAlign w:val="superscript"/>
              </w:rPr>
              <w:t>d</w:t>
            </w:r>
          </w:p>
        </w:tc>
      </w:tr>
    </w:tbl>
    <w:p w14:paraId="4D4AC789" w14:textId="77777777" w:rsidR="00EC4B38" w:rsidRPr="005A2629" w:rsidRDefault="00EC4B38" w:rsidP="00D8600A">
      <w:pPr>
        <w:spacing w:after="0" w:line="276" w:lineRule="auto"/>
        <w:jc w:val="both"/>
        <w:rPr>
          <w:rFonts w:ascii="Times New Roman" w:hAnsi="Times New Roman" w:cs="Times New Roman"/>
          <w:bCs/>
          <w:sz w:val="24"/>
          <w:szCs w:val="24"/>
        </w:rPr>
      </w:pPr>
      <w:r w:rsidRPr="005A2629">
        <w:rPr>
          <w:rFonts w:ascii="Times New Roman" w:hAnsi="Times New Roman" w:cs="Times New Roman"/>
          <w:bCs/>
          <w:sz w:val="24"/>
          <w:szCs w:val="24"/>
        </w:rPr>
        <w:t xml:space="preserve">Values are expressed as mean </w:t>
      </w:r>
      <m:oMath>
        <m:r>
          <w:rPr>
            <w:rFonts w:ascii="Cambria Math" w:hAnsi="Cambria Math" w:cs="Times New Roman"/>
            <w:sz w:val="24"/>
            <w:szCs w:val="24"/>
          </w:rPr>
          <m:t>±</m:t>
        </m:r>
      </m:oMath>
      <w:r w:rsidRPr="005A2629">
        <w:rPr>
          <w:rFonts w:ascii="Times New Roman" w:hAnsi="Times New Roman" w:cs="Times New Roman"/>
          <w:bCs/>
          <w:sz w:val="24"/>
          <w:szCs w:val="24"/>
        </w:rPr>
        <w:t xml:space="preserve"> standard error (SE). Column values with different superscript letters (</w:t>
      </w:r>
      <m:oMath>
        <m:r>
          <m:rPr>
            <m:nor/>
          </m:rPr>
          <w:rPr>
            <w:rFonts w:ascii="Times New Roman" w:hAnsi="Times New Roman" w:cs="Times New Roman"/>
            <w:bCs/>
            <w:sz w:val="24"/>
            <w:szCs w:val="24"/>
          </w:rPr>
          <m:t>a–d</m:t>
        </m:r>
      </m:oMath>
      <w:r w:rsidRPr="005A2629">
        <w:rPr>
          <w:rFonts w:ascii="Times New Roman" w:hAnsi="Times New Roman" w:cs="Times New Roman"/>
          <w:bCs/>
          <w:sz w:val="24"/>
          <w:szCs w:val="24"/>
        </w:rPr>
        <w:t>) differ significantly (</w:t>
      </w:r>
      <m:oMath>
        <m:r>
          <w:rPr>
            <w:rFonts w:ascii="Cambria Math" w:hAnsi="Cambria Math" w:cs="Times New Roman"/>
            <w:sz w:val="24"/>
            <w:szCs w:val="24"/>
          </w:rPr>
          <m:t>p&lt;0.05</m:t>
        </m:r>
      </m:oMath>
      <w:r w:rsidRPr="005A2629">
        <w:rPr>
          <w:rFonts w:ascii="Times New Roman" w:hAnsi="Times New Roman" w:cs="Times New Roman"/>
          <w:bCs/>
          <w:sz w:val="24"/>
          <w:szCs w:val="24"/>
        </w:rPr>
        <w:t>) according to Tukey's HSD test.</w:t>
      </w:r>
    </w:p>
    <w:p w14:paraId="48D5A471" w14:textId="77777777" w:rsidR="00DF19CD" w:rsidRPr="005A2629" w:rsidRDefault="00BF2373" w:rsidP="00DF19CD">
      <w:pPr>
        <w:spacing w:after="0" w:line="276" w:lineRule="auto"/>
        <w:jc w:val="both"/>
        <w:rPr>
          <w:rFonts w:ascii="Times New Roman" w:hAnsi="Times New Roman" w:cs="Times New Roman"/>
          <w:sz w:val="24"/>
          <w:szCs w:val="24"/>
        </w:rPr>
      </w:pPr>
      <w:r w:rsidRPr="005A2629">
        <w:rPr>
          <w:rFonts w:ascii="Times New Roman" w:hAnsi="Times New Roman"/>
          <w:b/>
          <w:sz w:val="24"/>
          <w:lang w:val="en-GB"/>
        </w:rPr>
        <w:t xml:space="preserve">Catalase Activity in </w:t>
      </w:r>
      <w:r w:rsidRPr="005A2629">
        <w:rPr>
          <w:rFonts w:ascii="Times New Roman" w:hAnsi="Times New Roman"/>
          <w:b/>
          <w:i/>
          <w:sz w:val="24"/>
          <w:lang w:val="en-GB"/>
        </w:rPr>
        <w:t>T. blochii R</w:t>
      </w:r>
      <w:r w:rsidRPr="005A2629">
        <w:rPr>
          <w:rFonts w:ascii="Times New Roman" w:hAnsi="Times New Roman"/>
          <w:b/>
          <w:sz w:val="24"/>
          <w:lang w:val="en-GB"/>
        </w:rPr>
        <w:t>eared under Different Salinity Treatments</w:t>
      </w:r>
    </w:p>
    <w:p w14:paraId="47125C71" w14:textId="77777777" w:rsidR="00DF19CD" w:rsidRPr="005A2629" w:rsidRDefault="00DF19CD" w:rsidP="00DF19CD">
      <w:pPr>
        <w:spacing w:after="0" w:line="276" w:lineRule="auto"/>
        <w:jc w:val="both"/>
        <w:rPr>
          <w:rFonts w:ascii="Times New Roman" w:hAnsi="Times New Roman" w:cs="Times New Roman"/>
          <w:sz w:val="24"/>
          <w:szCs w:val="24"/>
        </w:rPr>
      </w:pPr>
      <w:r w:rsidRPr="005A2629">
        <w:rPr>
          <w:rFonts w:ascii="Times New Roman" w:hAnsi="Times New Roman" w:cs="Times New Roman"/>
          <w:noProof/>
          <w:sz w:val="24"/>
          <w:szCs w:val="24"/>
        </w:rPr>
        <w:t>The temporal changes in hepatic catalase (CAT) activity across the 60-day experimental period showed an upward trend as exposure time increased, particularly under low-salinity stress (Figure 12). On Day 10, variations between the treatments were minimal, though T3 remained elevated. By Day 30 and Day 60, a pronounced, significant increase (</w:t>
      </w:r>
      <m:oMath>
        <m:r>
          <w:rPr>
            <w:rFonts w:ascii="Cambria Math" w:hAnsi="Cambria Math" w:cs="Times New Roman"/>
            <w:noProof/>
            <w:sz w:val="24"/>
            <w:szCs w:val="24"/>
          </w:rPr>
          <m:t>p&lt;0.05</m:t>
        </m:r>
      </m:oMath>
      <w:r w:rsidRPr="005A2629">
        <w:rPr>
          <w:rFonts w:ascii="Times New Roman" w:hAnsi="Times New Roman" w:cs="Times New Roman"/>
          <w:noProof/>
          <w:sz w:val="24"/>
          <w:szCs w:val="24"/>
        </w:rPr>
        <w:t>) in CAT activity was clear in the low-salinity groups (T2 and T3) compared to the baseline values maintained in the control group (C1).</w:t>
      </w:r>
    </w:p>
    <w:p w14:paraId="26712947" w14:textId="77777777" w:rsidR="00BF2373" w:rsidRPr="005A2629" w:rsidRDefault="00BF2373" w:rsidP="00BF2373">
      <w:pPr>
        <w:spacing w:line="360" w:lineRule="auto"/>
        <w:jc w:val="both"/>
        <w:rPr>
          <w:rFonts w:ascii="Times New Roman" w:hAnsi="Times New Roman" w:cs="Times New Roman"/>
          <w:sz w:val="24"/>
          <w:szCs w:val="24"/>
        </w:rPr>
      </w:pPr>
      <w:r w:rsidRPr="005A2629">
        <w:rPr>
          <w:rFonts w:ascii="Times New Roman" w:hAnsi="Times New Roman" w:cs="Times New Roman"/>
          <w:noProof/>
          <w:sz w:val="24"/>
          <w:szCs w:val="24"/>
          <w:lang w:val="en-GB"/>
        </w:rPr>
        <w:lastRenderedPageBreak/>
        <w:drawing>
          <wp:inline distT="0" distB="0" distL="0" distR="0" wp14:anchorId="248ED139" wp14:editId="15D3C151">
            <wp:extent cx="4572000" cy="2743200"/>
            <wp:effectExtent l="0" t="0" r="0" b="0"/>
            <wp:docPr id="567811209" name="Chart 1">
              <a:extLst xmlns:a="http://schemas.openxmlformats.org/drawingml/2006/main">
                <a:ext uri="{FF2B5EF4-FFF2-40B4-BE49-F238E27FC236}">
                  <a16:creationId xmlns:a16="http://schemas.microsoft.com/office/drawing/2014/main" id="{9A6C2F26-0D39-F6BB-5E89-E2EC154F8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49548B" w14:textId="77777777" w:rsidR="00BF2373" w:rsidRPr="005A2629" w:rsidRDefault="00BF2373" w:rsidP="00D8600A">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Fig.</w:t>
      </w:r>
      <w:r w:rsidR="00FD64AA" w:rsidRPr="005A2629">
        <w:rPr>
          <w:rFonts w:ascii="Times New Roman" w:hAnsi="Times New Roman" w:cs="Times New Roman"/>
          <w:b/>
          <w:sz w:val="24"/>
          <w:szCs w:val="24"/>
          <w:lang w:val="en-GB"/>
        </w:rPr>
        <w:t xml:space="preserve"> 12 </w:t>
      </w:r>
      <w:r w:rsidR="00DF19CD" w:rsidRPr="005A2629">
        <w:rPr>
          <w:rFonts w:ascii="Times New Roman" w:hAnsi="Times New Roman" w:cs="Times New Roman"/>
          <w:b/>
          <w:sz w:val="24"/>
          <w:szCs w:val="24"/>
          <w:lang w:val="en-GB"/>
        </w:rPr>
        <w:t>Hepatic catalase (CAT) activity (</w:t>
      </w:r>
      <m:oMath>
        <m:sSup>
          <m:sSupPr>
            <m:ctrlPr>
              <w:rPr>
                <w:rFonts w:ascii="Cambria Math" w:hAnsi="Cambria Math" w:cs="Times New Roman"/>
                <w:b/>
                <w:sz w:val="24"/>
                <w:szCs w:val="24"/>
              </w:rPr>
            </m:ctrlPr>
          </m:sSupPr>
          <m:e>
            <m:r>
              <m:rPr>
                <m:nor/>
              </m:rPr>
              <w:rPr>
                <w:rFonts w:ascii="Times New Roman" w:hAnsi="Times New Roman" w:cs="Times New Roman"/>
                <w:b/>
                <w:sz w:val="24"/>
                <w:szCs w:val="24"/>
              </w:rPr>
              <m:t>U mg</m:t>
            </m:r>
          </m:e>
          <m:sup>
            <m:r>
              <m:rPr>
                <m:sty m:val="bi"/>
              </m:rPr>
              <w:rPr>
                <w:rFonts w:ascii="Cambria Math" w:hAnsi="Cambria Math" w:cs="Times New Roman"/>
                <w:sz w:val="24"/>
                <w:szCs w:val="24"/>
              </w:rPr>
              <m:t>-1</m:t>
            </m:r>
          </m:sup>
        </m:sSup>
        <m:r>
          <m:rPr>
            <m:nor/>
          </m:rPr>
          <w:rPr>
            <w:rFonts w:ascii="Times New Roman" w:hAnsi="Times New Roman" w:cs="Times New Roman"/>
            <w:b/>
            <w:sz w:val="24"/>
            <w:szCs w:val="24"/>
          </w:rPr>
          <m:t> protein</m:t>
        </m:r>
      </m:oMath>
      <w:r w:rsidR="00DF19CD" w:rsidRPr="005A2629">
        <w:rPr>
          <w:rFonts w:ascii="Times New Roman" w:hAnsi="Times New Roman" w:cs="Times New Roman"/>
          <w:b/>
          <w:sz w:val="24"/>
          <w:szCs w:val="24"/>
          <w:lang w:val="en-GB"/>
        </w:rPr>
        <w:t>) of silver pompano (</w:t>
      </w:r>
      <w:r w:rsidR="00DF19CD" w:rsidRPr="005A2629">
        <w:rPr>
          <w:rFonts w:ascii="Times New Roman" w:hAnsi="Times New Roman" w:cs="Times New Roman"/>
          <w:b/>
          <w:i/>
          <w:iCs/>
          <w:sz w:val="24"/>
          <w:szCs w:val="24"/>
          <w:lang w:val="en-GB"/>
        </w:rPr>
        <w:t xml:space="preserve">Trachinotus </w:t>
      </w:r>
      <w:proofErr w:type="spellStart"/>
      <w:r w:rsidR="00DF19CD" w:rsidRPr="005A2629">
        <w:rPr>
          <w:rFonts w:ascii="Times New Roman" w:hAnsi="Times New Roman" w:cs="Times New Roman"/>
          <w:b/>
          <w:i/>
          <w:iCs/>
          <w:sz w:val="24"/>
          <w:szCs w:val="24"/>
          <w:lang w:val="en-GB"/>
        </w:rPr>
        <w:t>blochii</w:t>
      </w:r>
      <w:proofErr w:type="spellEnd"/>
      <w:r w:rsidR="00DF19CD" w:rsidRPr="005A2629">
        <w:rPr>
          <w:rFonts w:ascii="Times New Roman" w:hAnsi="Times New Roman" w:cs="Times New Roman"/>
          <w:b/>
          <w:sz w:val="24"/>
          <w:szCs w:val="24"/>
          <w:lang w:val="en-GB"/>
        </w:rPr>
        <w:t>) subjected to different salinity levels on Day 10, Day 30, and Day 60.</w:t>
      </w:r>
    </w:p>
    <w:p w14:paraId="3E3D4AD6" w14:textId="77777777" w:rsidR="00613D73" w:rsidRPr="005A2629" w:rsidRDefault="00613D73" w:rsidP="00D8600A">
      <w:pPr>
        <w:spacing w:after="0" w:line="276" w:lineRule="auto"/>
        <w:jc w:val="both"/>
        <w:rPr>
          <w:rFonts w:ascii="Times New Roman" w:hAnsi="Times New Roman" w:cs="Times New Roman"/>
          <w:b/>
          <w:sz w:val="24"/>
          <w:szCs w:val="24"/>
          <w:lang w:val="en-GB"/>
        </w:rPr>
      </w:pPr>
    </w:p>
    <w:p w14:paraId="506CD4A0" w14:textId="77777777" w:rsidR="00BF2373" w:rsidRPr="005A2629" w:rsidRDefault="00BF2373" w:rsidP="00D8600A">
      <w:pPr>
        <w:spacing w:after="0" w:line="276" w:lineRule="auto"/>
        <w:jc w:val="both"/>
        <w:rPr>
          <w:rFonts w:ascii="Times New Roman" w:hAnsi="Times New Roman" w:cs="Times New Roman"/>
          <w:b/>
          <w:sz w:val="24"/>
          <w:szCs w:val="24"/>
          <w:lang w:val="en-GB"/>
        </w:rPr>
      </w:pPr>
      <w:r w:rsidRPr="005A2629">
        <w:rPr>
          <w:rFonts w:ascii="Times New Roman" w:hAnsi="Times New Roman"/>
          <w:b/>
          <w:sz w:val="24"/>
          <w:lang w:val="en-GB"/>
        </w:rPr>
        <w:t xml:space="preserve">SOD Activity in </w:t>
      </w:r>
      <w:r w:rsidRPr="005A2629">
        <w:rPr>
          <w:rFonts w:ascii="Times New Roman" w:hAnsi="Times New Roman"/>
          <w:b/>
          <w:i/>
          <w:sz w:val="24"/>
          <w:lang w:val="en-GB"/>
        </w:rPr>
        <w:t>T. blochii R</w:t>
      </w:r>
      <w:r w:rsidRPr="005A2629">
        <w:rPr>
          <w:rFonts w:ascii="Times New Roman" w:hAnsi="Times New Roman"/>
          <w:b/>
          <w:sz w:val="24"/>
          <w:lang w:val="en-GB"/>
        </w:rPr>
        <w:t>eared under Different Salinity Treatments</w:t>
      </w:r>
    </w:p>
    <w:p w14:paraId="7A25D2A4" w14:textId="77777777" w:rsidR="00DF19CD" w:rsidRPr="005A2629" w:rsidRDefault="00DF19CD" w:rsidP="00DF19CD">
      <w:pPr>
        <w:spacing w:line="276" w:lineRule="auto"/>
        <w:jc w:val="both"/>
        <w:rPr>
          <w:rFonts w:ascii="Times New Roman" w:hAnsi="Times New Roman" w:cs="Times New Roman"/>
          <w:noProof/>
          <w:sz w:val="24"/>
          <w:szCs w:val="24"/>
        </w:rPr>
      </w:pPr>
      <w:r w:rsidRPr="005A2629">
        <w:rPr>
          <w:rFonts w:ascii="Times New Roman" w:hAnsi="Times New Roman" w:cs="Times New Roman"/>
          <w:noProof/>
          <w:sz w:val="24"/>
          <w:szCs w:val="24"/>
        </w:rPr>
        <w:t>Hepatic superoxide dismutase (SOD) activity mirrors the trends seen in CAT, demonstrating a time-dependent and salinity-dependent response across all evaluation intervals (Figure</w:t>
      </w:r>
      <w:r w:rsidR="001C41E2" w:rsidRPr="005A2629">
        <w:rPr>
          <w:rFonts w:ascii="Times New Roman" w:hAnsi="Times New Roman" w:cs="Times New Roman"/>
          <w:noProof/>
          <w:sz w:val="24"/>
          <w:szCs w:val="24"/>
        </w:rPr>
        <w:t xml:space="preserve"> </w:t>
      </w:r>
      <w:r w:rsidRPr="005A2629">
        <w:rPr>
          <w:rFonts w:ascii="Times New Roman" w:hAnsi="Times New Roman" w:cs="Times New Roman"/>
          <w:noProof/>
          <w:sz w:val="24"/>
          <w:szCs w:val="24"/>
        </w:rPr>
        <w:t>13). At all three sampling checkpoints (Day 10, 30, and 60), the 5 ppt low-salinity treatment group (T3) consistently exhibited the highest enzyme values (</w:t>
      </w:r>
      <m:oMath>
        <m:r>
          <w:rPr>
            <w:rFonts w:ascii="Cambria Math" w:hAnsi="Cambria Math" w:cs="Times New Roman"/>
            <w:noProof/>
            <w:sz w:val="24"/>
            <w:szCs w:val="24"/>
          </w:rPr>
          <m:t>p&lt;0.05</m:t>
        </m:r>
      </m:oMath>
      <w:r w:rsidRPr="005A2629">
        <w:rPr>
          <w:rFonts w:ascii="Times New Roman" w:hAnsi="Times New Roman" w:cs="Times New Roman"/>
          <w:noProof/>
          <w:sz w:val="24"/>
          <w:szCs w:val="24"/>
        </w:rPr>
        <w:t>). The mid-salinity treatment groups (T1 and T2) maintained intermediate levels, while the control group (C1, 35 ppt) presented stable, baseline values throughout the entire 60-day experimental timeline.</w:t>
      </w:r>
    </w:p>
    <w:p w14:paraId="180ED996" w14:textId="77777777" w:rsidR="00BF2373" w:rsidRPr="005A2629" w:rsidRDefault="00BF2373" w:rsidP="00BF2373">
      <w:pPr>
        <w:spacing w:line="360" w:lineRule="auto"/>
        <w:jc w:val="both"/>
        <w:rPr>
          <w:rFonts w:ascii="Times New Roman" w:hAnsi="Times New Roman" w:cs="Times New Roman"/>
          <w:noProof/>
          <w:sz w:val="24"/>
          <w:szCs w:val="24"/>
        </w:rPr>
      </w:pPr>
      <w:r w:rsidRPr="005A2629">
        <w:rPr>
          <w:rFonts w:ascii="Times New Roman" w:hAnsi="Times New Roman" w:cs="Times New Roman"/>
          <w:noProof/>
          <w:sz w:val="24"/>
          <w:szCs w:val="24"/>
          <w:lang w:val="en-GB"/>
        </w:rPr>
        <w:drawing>
          <wp:inline distT="0" distB="0" distL="0" distR="0" wp14:anchorId="2F6279BC" wp14:editId="77D5BD3A">
            <wp:extent cx="4572000" cy="2339340"/>
            <wp:effectExtent l="0" t="0" r="0" b="3810"/>
            <wp:docPr id="1543775216" name="Chart 1">
              <a:extLst xmlns:a="http://schemas.openxmlformats.org/drawingml/2006/main">
                <a:ext uri="{FF2B5EF4-FFF2-40B4-BE49-F238E27FC236}">
                  <a16:creationId xmlns:a16="http://schemas.microsoft.com/office/drawing/2014/main" id="{75AAC378-4A97-7B67-BE75-A268FE294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BE1AA6" w14:textId="77777777" w:rsidR="00BF2373" w:rsidRPr="005A2629" w:rsidRDefault="00BF2373" w:rsidP="00D8600A">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 xml:space="preserve">Fig. </w:t>
      </w:r>
      <w:r w:rsidR="00C54B9C" w:rsidRPr="005A2629">
        <w:rPr>
          <w:rFonts w:ascii="Times New Roman" w:hAnsi="Times New Roman" w:cs="Times New Roman"/>
          <w:b/>
          <w:sz w:val="24"/>
          <w:szCs w:val="24"/>
          <w:lang w:val="en-GB"/>
        </w:rPr>
        <w:t>13</w:t>
      </w:r>
      <w:r w:rsidRPr="005A2629">
        <w:rPr>
          <w:rFonts w:ascii="Times New Roman" w:hAnsi="Times New Roman" w:cs="Times New Roman"/>
          <w:b/>
          <w:sz w:val="24"/>
          <w:szCs w:val="24"/>
          <w:lang w:val="en-GB"/>
        </w:rPr>
        <w:t xml:space="preserve"> </w:t>
      </w:r>
      <w:r w:rsidR="00DF19CD" w:rsidRPr="005A2629">
        <w:rPr>
          <w:rFonts w:ascii="Times New Roman" w:hAnsi="Times New Roman" w:cs="Times New Roman"/>
          <w:b/>
          <w:sz w:val="24"/>
          <w:szCs w:val="24"/>
          <w:lang w:val="en-GB"/>
        </w:rPr>
        <w:t>Hepatic superoxide dismutase (SOD) activity (</w:t>
      </w:r>
      <m:oMath>
        <m:sSup>
          <m:sSupPr>
            <m:ctrlPr>
              <w:rPr>
                <w:rFonts w:ascii="Cambria Math" w:hAnsi="Cambria Math" w:cs="Times New Roman"/>
                <w:b/>
                <w:sz w:val="24"/>
                <w:szCs w:val="24"/>
              </w:rPr>
            </m:ctrlPr>
          </m:sSupPr>
          <m:e>
            <m:r>
              <m:rPr>
                <m:nor/>
              </m:rPr>
              <w:rPr>
                <w:rFonts w:ascii="Times New Roman" w:hAnsi="Times New Roman" w:cs="Times New Roman"/>
                <w:b/>
                <w:sz w:val="24"/>
                <w:szCs w:val="24"/>
              </w:rPr>
              <m:t>U mg</m:t>
            </m:r>
          </m:e>
          <m:sup>
            <m:r>
              <m:rPr>
                <m:sty m:val="bi"/>
              </m:rPr>
              <w:rPr>
                <w:rFonts w:ascii="Cambria Math" w:hAnsi="Cambria Math" w:cs="Times New Roman"/>
                <w:sz w:val="24"/>
                <w:szCs w:val="24"/>
              </w:rPr>
              <m:t>-1</m:t>
            </m:r>
          </m:sup>
        </m:sSup>
        <m:r>
          <m:rPr>
            <m:nor/>
          </m:rPr>
          <w:rPr>
            <w:rFonts w:ascii="Times New Roman" w:hAnsi="Times New Roman" w:cs="Times New Roman"/>
            <w:b/>
            <w:sz w:val="24"/>
            <w:szCs w:val="24"/>
          </w:rPr>
          <m:t> protein</m:t>
        </m:r>
      </m:oMath>
      <w:r w:rsidR="00DF19CD" w:rsidRPr="005A2629">
        <w:rPr>
          <w:rFonts w:ascii="Times New Roman" w:hAnsi="Times New Roman" w:cs="Times New Roman"/>
          <w:b/>
          <w:sz w:val="24"/>
          <w:szCs w:val="24"/>
          <w:lang w:val="en-GB"/>
        </w:rPr>
        <w:t>) of silver pompano (</w:t>
      </w:r>
      <w:r w:rsidR="00DF19CD" w:rsidRPr="005A2629">
        <w:rPr>
          <w:rFonts w:ascii="Times New Roman" w:hAnsi="Times New Roman" w:cs="Times New Roman"/>
          <w:b/>
          <w:i/>
          <w:iCs/>
          <w:sz w:val="24"/>
          <w:szCs w:val="24"/>
          <w:lang w:val="en-GB"/>
        </w:rPr>
        <w:t xml:space="preserve">Trachinotus </w:t>
      </w:r>
      <w:proofErr w:type="spellStart"/>
      <w:r w:rsidR="00DF19CD" w:rsidRPr="005A2629">
        <w:rPr>
          <w:rFonts w:ascii="Times New Roman" w:hAnsi="Times New Roman" w:cs="Times New Roman"/>
          <w:b/>
          <w:i/>
          <w:iCs/>
          <w:sz w:val="24"/>
          <w:szCs w:val="24"/>
          <w:lang w:val="en-GB"/>
        </w:rPr>
        <w:t>blochii</w:t>
      </w:r>
      <w:proofErr w:type="spellEnd"/>
      <w:r w:rsidR="00DF19CD" w:rsidRPr="005A2629">
        <w:rPr>
          <w:rFonts w:ascii="Times New Roman" w:hAnsi="Times New Roman" w:cs="Times New Roman"/>
          <w:b/>
          <w:sz w:val="24"/>
          <w:szCs w:val="24"/>
          <w:lang w:val="en-GB"/>
        </w:rPr>
        <w:t>) subjected to different salinity levels on Day 10, Day 30, and Day 60.</w:t>
      </w:r>
    </w:p>
    <w:p w14:paraId="74110CE5" w14:textId="77777777" w:rsidR="00DF19CD" w:rsidRPr="005A2629" w:rsidRDefault="00DF19CD" w:rsidP="00D8600A">
      <w:pPr>
        <w:spacing w:line="276" w:lineRule="auto"/>
        <w:jc w:val="both"/>
        <w:rPr>
          <w:rFonts w:ascii="Times New Roman" w:hAnsi="Times New Roman" w:cs="Times New Roman"/>
          <w:b/>
          <w:bCs/>
          <w:sz w:val="24"/>
          <w:szCs w:val="24"/>
        </w:rPr>
      </w:pPr>
      <w:r w:rsidRPr="005A2629">
        <w:rPr>
          <w:rFonts w:ascii="Times New Roman" w:hAnsi="Times New Roman" w:cs="Times New Roman"/>
          <w:b/>
          <w:bCs/>
          <w:sz w:val="24"/>
          <w:szCs w:val="24"/>
          <w:lang w:val="en-GB"/>
        </w:rPr>
        <w:t>Glutathione Peroxidase (</w:t>
      </w:r>
      <w:proofErr w:type="spellStart"/>
      <w:r w:rsidRPr="005A2629">
        <w:rPr>
          <w:rFonts w:ascii="Times New Roman" w:hAnsi="Times New Roman" w:cs="Times New Roman"/>
          <w:b/>
          <w:bCs/>
          <w:sz w:val="24"/>
          <w:szCs w:val="24"/>
          <w:lang w:val="en-GB"/>
        </w:rPr>
        <w:t>GPx</w:t>
      </w:r>
      <w:proofErr w:type="spellEnd"/>
      <w:r w:rsidRPr="005A2629">
        <w:rPr>
          <w:rFonts w:ascii="Times New Roman" w:hAnsi="Times New Roman" w:cs="Times New Roman"/>
          <w:b/>
          <w:bCs/>
          <w:sz w:val="24"/>
          <w:szCs w:val="24"/>
          <w:lang w:val="en-GB"/>
        </w:rPr>
        <w:t>) Activity</w:t>
      </w:r>
    </w:p>
    <w:p w14:paraId="4D28AF0B" w14:textId="77777777" w:rsidR="00DF19CD" w:rsidRPr="005A2629" w:rsidRDefault="00DF19CD" w:rsidP="00DF19CD">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lastRenderedPageBreak/>
        <w:t>The temporal and treatment-specific variations in hepatic glutathione peroxidase (</w:t>
      </w:r>
      <w:proofErr w:type="spellStart"/>
      <w:r w:rsidRPr="005A2629">
        <w:rPr>
          <w:rFonts w:ascii="Times New Roman" w:hAnsi="Times New Roman" w:cs="Times New Roman"/>
          <w:sz w:val="24"/>
          <w:szCs w:val="24"/>
        </w:rPr>
        <w:t>GPx</w:t>
      </w:r>
      <w:proofErr w:type="spellEnd"/>
      <w:r w:rsidRPr="005A2629">
        <w:rPr>
          <w:rFonts w:ascii="Times New Roman" w:hAnsi="Times New Roman" w:cs="Times New Roman"/>
          <w:sz w:val="24"/>
          <w:szCs w:val="24"/>
        </w:rPr>
        <w:t xml:space="preserve">) activity are illustrated in Figure14. Hepatic </w:t>
      </w:r>
      <w:proofErr w:type="spellStart"/>
      <w:r w:rsidRPr="005A2629">
        <w:rPr>
          <w:rFonts w:ascii="Times New Roman" w:hAnsi="Times New Roman" w:cs="Times New Roman"/>
          <w:sz w:val="24"/>
          <w:szCs w:val="24"/>
        </w:rPr>
        <w:t>GPx</w:t>
      </w:r>
      <w:proofErr w:type="spellEnd"/>
      <w:r w:rsidRPr="005A2629">
        <w:rPr>
          <w:rFonts w:ascii="Times New Roman" w:hAnsi="Times New Roman" w:cs="Times New Roman"/>
          <w:sz w:val="24"/>
          <w:szCs w:val="24"/>
        </w:rPr>
        <w:t xml:space="preserve"> activity showed a distinct, significant up-regulation as environmental salinity levels decreased (</w:t>
      </w:r>
      <m:oMath>
        <m:r>
          <w:rPr>
            <w:rFonts w:ascii="Cambria Math" w:hAnsi="Cambria Math" w:cs="Times New Roman"/>
            <w:sz w:val="24"/>
            <w:szCs w:val="24"/>
          </w:rPr>
          <m:t>p&lt;0.05</m:t>
        </m:r>
      </m:oMath>
      <w:r w:rsidRPr="005A2629">
        <w:rPr>
          <w:rFonts w:ascii="Times New Roman" w:hAnsi="Times New Roman" w:cs="Times New Roman"/>
          <w:sz w:val="24"/>
          <w:szCs w:val="24"/>
        </w:rPr>
        <w:t>). On Day 10, the lowest salinity group (T3, 5 ppt) exhibited a notable acute peak in activity compared to all other groups. By Day 30 and Day 60, while the values in T3 remained higher than the baseline control group (C1, 35 ppt), an overall time-dependent stabilization was observed across all treatments, with the mid-range salinities (T1 and T2) maintaining intermediate values throughout the trial.</w:t>
      </w:r>
    </w:p>
    <w:p w14:paraId="2CD00A98" w14:textId="77777777" w:rsidR="00BF2373" w:rsidRPr="005A2629" w:rsidRDefault="00BF2373" w:rsidP="00D8600A">
      <w:pPr>
        <w:spacing w:line="276" w:lineRule="auto"/>
        <w:jc w:val="both"/>
        <w:rPr>
          <w:rFonts w:ascii="Times New Roman" w:hAnsi="Times New Roman" w:cs="Times New Roman"/>
          <w:sz w:val="24"/>
          <w:szCs w:val="24"/>
        </w:rPr>
      </w:pPr>
    </w:p>
    <w:p w14:paraId="44333BA4" w14:textId="77777777" w:rsidR="00BF2373" w:rsidRPr="005A2629" w:rsidRDefault="008E4D0F" w:rsidP="00BF2373">
      <w:pPr>
        <w:spacing w:line="360" w:lineRule="auto"/>
        <w:jc w:val="both"/>
        <w:rPr>
          <w:rFonts w:ascii="Times New Roman" w:hAnsi="Times New Roman" w:cs="Times New Roman"/>
          <w:sz w:val="24"/>
          <w:szCs w:val="24"/>
        </w:rPr>
      </w:pPr>
      <w:r w:rsidRPr="005A2629">
        <w:rPr>
          <w:rFonts w:ascii="Times New Roman" w:hAnsi="Times New Roman" w:cs="Times New Roman"/>
          <w:noProof/>
          <w:sz w:val="24"/>
          <w:szCs w:val="24"/>
          <w:lang w:val="en-GB"/>
        </w:rPr>
        <w:drawing>
          <wp:anchor distT="0" distB="0" distL="114300" distR="114300" simplePos="0" relativeHeight="251658240" behindDoc="0" locked="0" layoutInCell="1" allowOverlap="1" wp14:anchorId="3CFF30D9" wp14:editId="67783057">
            <wp:simplePos x="0" y="0"/>
            <wp:positionH relativeFrom="column">
              <wp:posOffset>502920</wp:posOffset>
            </wp:positionH>
            <wp:positionV relativeFrom="paragraph">
              <wp:posOffset>8255</wp:posOffset>
            </wp:positionV>
            <wp:extent cx="4572000" cy="2743200"/>
            <wp:effectExtent l="0" t="0" r="0" b="0"/>
            <wp:wrapSquare wrapText="bothSides"/>
            <wp:docPr id="10740236" name="Chart 1">
              <a:extLst xmlns:a="http://schemas.openxmlformats.org/drawingml/2006/main">
                <a:ext uri="{FF2B5EF4-FFF2-40B4-BE49-F238E27FC236}">
                  <a16:creationId xmlns:a16="http://schemas.microsoft.com/office/drawing/2014/main" id="{29D30B56-E6D9-0F78-34BA-C38ED8025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7C83D4EC" w14:textId="77777777" w:rsidR="00BF2373" w:rsidRPr="005A2629" w:rsidRDefault="00BF2373" w:rsidP="00BF2373">
      <w:pPr>
        <w:spacing w:line="360" w:lineRule="auto"/>
        <w:jc w:val="both"/>
        <w:rPr>
          <w:rFonts w:ascii="Times New Roman" w:hAnsi="Times New Roman" w:cs="Times New Roman"/>
          <w:sz w:val="24"/>
          <w:szCs w:val="24"/>
        </w:rPr>
      </w:pPr>
    </w:p>
    <w:p w14:paraId="688C5379" w14:textId="77777777" w:rsidR="00BF2373" w:rsidRPr="005A2629" w:rsidRDefault="00BF2373" w:rsidP="00BF2373">
      <w:pPr>
        <w:spacing w:line="360" w:lineRule="auto"/>
        <w:jc w:val="both"/>
        <w:rPr>
          <w:rFonts w:ascii="Times New Roman" w:hAnsi="Times New Roman" w:cs="Times New Roman"/>
          <w:sz w:val="24"/>
          <w:szCs w:val="24"/>
        </w:rPr>
      </w:pPr>
    </w:p>
    <w:p w14:paraId="6A6B3EF8" w14:textId="77777777" w:rsidR="00BF2373" w:rsidRPr="005A2629" w:rsidRDefault="00BF2373" w:rsidP="00BF2373">
      <w:pPr>
        <w:spacing w:line="360" w:lineRule="auto"/>
        <w:jc w:val="both"/>
        <w:rPr>
          <w:rFonts w:ascii="Times New Roman" w:hAnsi="Times New Roman" w:cs="Times New Roman"/>
          <w:sz w:val="24"/>
          <w:szCs w:val="24"/>
        </w:rPr>
      </w:pPr>
    </w:p>
    <w:p w14:paraId="2F5B8D28" w14:textId="77777777" w:rsidR="00BF2373" w:rsidRPr="005A2629" w:rsidRDefault="00BF2373" w:rsidP="00BF2373">
      <w:pPr>
        <w:spacing w:line="360" w:lineRule="auto"/>
        <w:jc w:val="both"/>
        <w:rPr>
          <w:rFonts w:ascii="Times New Roman" w:hAnsi="Times New Roman" w:cs="Times New Roman"/>
          <w:sz w:val="24"/>
          <w:szCs w:val="24"/>
        </w:rPr>
      </w:pPr>
    </w:p>
    <w:p w14:paraId="664301EF" w14:textId="77777777" w:rsidR="00BF2373" w:rsidRPr="005A2629" w:rsidRDefault="00BF2373" w:rsidP="00BF2373">
      <w:pPr>
        <w:spacing w:line="360" w:lineRule="auto"/>
        <w:jc w:val="both"/>
        <w:rPr>
          <w:rFonts w:ascii="Times New Roman" w:hAnsi="Times New Roman" w:cs="Times New Roman"/>
          <w:sz w:val="24"/>
          <w:szCs w:val="24"/>
        </w:rPr>
      </w:pPr>
    </w:p>
    <w:p w14:paraId="33AE15D3" w14:textId="77777777" w:rsidR="00BF2373" w:rsidRPr="005A2629" w:rsidRDefault="00BF2373" w:rsidP="00BF2373">
      <w:pPr>
        <w:spacing w:line="360" w:lineRule="auto"/>
        <w:jc w:val="both"/>
        <w:rPr>
          <w:rFonts w:ascii="Times New Roman" w:hAnsi="Times New Roman" w:cs="Times New Roman"/>
          <w:sz w:val="24"/>
          <w:szCs w:val="24"/>
        </w:rPr>
      </w:pPr>
    </w:p>
    <w:p w14:paraId="38881DFD" w14:textId="77777777" w:rsidR="00BF2373" w:rsidRPr="005A2629" w:rsidRDefault="00BF2373" w:rsidP="00BF2373">
      <w:pPr>
        <w:spacing w:line="360" w:lineRule="auto"/>
        <w:jc w:val="both"/>
        <w:rPr>
          <w:rFonts w:ascii="Times New Roman" w:hAnsi="Times New Roman" w:cs="Times New Roman"/>
          <w:sz w:val="24"/>
          <w:szCs w:val="24"/>
        </w:rPr>
      </w:pPr>
    </w:p>
    <w:p w14:paraId="58F340AF" w14:textId="77777777" w:rsidR="00BF2373" w:rsidRPr="005A2629" w:rsidRDefault="00BF2373" w:rsidP="00D8600A">
      <w:pPr>
        <w:spacing w:line="276" w:lineRule="auto"/>
        <w:jc w:val="both"/>
        <w:rPr>
          <w:rFonts w:ascii="Times New Roman" w:hAnsi="Times New Roman" w:cs="Times New Roman"/>
          <w:b/>
          <w:sz w:val="24"/>
          <w:szCs w:val="24"/>
        </w:rPr>
      </w:pPr>
      <w:r w:rsidRPr="005A2629">
        <w:rPr>
          <w:rFonts w:ascii="Times New Roman" w:hAnsi="Times New Roman" w:cs="Times New Roman"/>
          <w:b/>
          <w:sz w:val="24"/>
          <w:szCs w:val="24"/>
          <w:lang w:val="en-GB"/>
        </w:rPr>
        <w:t>Fig.</w:t>
      </w:r>
      <w:r w:rsidR="00C54B9C" w:rsidRPr="005A2629">
        <w:rPr>
          <w:rFonts w:ascii="Times New Roman" w:hAnsi="Times New Roman" w:cs="Times New Roman"/>
          <w:b/>
          <w:sz w:val="24"/>
          <w:szCs w:val="24"/>
          <w:lang w:val="en-GB"/>
        </w:rPr>
        <w:t>14</w:t>
      </w:r>
      <w:r w:rsidR="001C41E2" w:rsidRPr="005A2629">
        <w:rPr>
          <w:rFonts w:ascii="Times New Roman" w:hAnsi="Times New Roman" w:cs="Times New Roman"/>
          <w:b/>
          <w:sz w:val="24"/>
          <w:szCs w:val="24"/>
          <w:lang w:val="en-GB"/>
        </w:rPr>
        <w:t xml:space="preserve">. </w:t>
      </w:r>
      <w:r w:rsidR="00DF19CD" w:rsidRPr="005A2629">
        <w:rPr>
          <w:rFonts w:ascii="Times New Roman" w:hAnsi="Times New Roman" w:cs="Times New Roman"/>
          <w:b/>
          <w:sz w:val="24"/>
          <w:szCs w:val="24"/>
          <w:lang w:val="en-GB"/>
        </w:rPr>
        <w:t>Hepatic glutathione peroxidase (</w:t>
      </w:r>
      <w:proofErr w:type="spellStart"/>
      <w:r w:rsidR="00DF19CD" w:rsidRPr="005A2629">
        <w:rPr>
          <w:rFonts w:ascii="Times New Roman" w:hAnsi="Times New Roman" w:cs="Times New Roman"/>
          <w:b/>
          <w:sz w:val="24"/>
          <w:szCs w:val="24"/>
          <w:lang w:val="en-GB"/>
        </w:rPr>
        <w:t>GPx</w:t>
      </w:r>
      <w:proofErr w:type="spellEnd"/>
      <w:r w:rsidR="00DF19CD" w:rsidRPr="005A2629">
        <w:rPr>
          <w:rFonts w:ascii="Times New Roman" w:hAnsi="Times New Roman" w:cs="Times New Roman"/>
          <w:b/>
          <w:sz w:val="24"/>
          <w:szCs w:val="24"/>
          <w:lang w:val="en-GB"/>
        </w:rPr>
        <w:t>) activity (</w:t>
      </w:r>
      <m:oMath>
        <m:sSup>
          <m:sSupPr>
            <m:ctrlPr>
              <w:rPr>
                <w:rFonts w:ascii="Cambria Math" w:hAnsi="Cambria Math" w:cs="Times New Roman"/>
                <w:b/>
                <w:sz w:val="24"/>
                <w:szCs w:val="24"/>
              </w:rPr>
            </m:ctrlPr>
          </m:sSupPr>
          <m:e>
            <m:r>
              <m:rPr>
                <m:nor/>
              </m:rPr>
              <w:rPr>
                <w:rFonts w:ascii="Times New Roman" w:hAnsi="Times New Roman" w:cs="Times New Roman"/>
                <w:b/>
                <w:sz w:val="24"/>
                <w:szCs w:val="24"/>
              </w:rPr>
              <m:t>U mg</m:t>
            </m:r>
          </m:e>
          <m:sup>
            <m:r>
              <m:rPr>
                <m:sty m:val="bi"/>
              </m:rPr>
              <w:rPr>
                <w:rFonts w:ascii="Cambria Math" w:hAnsi="Cambria Math" w:cs="Times New Roman"/>
                <w:sz w:val="24"/>
                <w:szCs w:val="24"/>
              </w:rPr>
              <m:t>-1</m:t>
            </m:r>
          </m:sup>
        </m:sSup>
        <m:r>
          <m:rPr>
            <m:nor/>
          </m:rPr>
          <w:rPr>
            <w:rFonts w:ascii="Times New Roman" w:hAnsi="Times New Roman" w:cs="Times New Roman"/>
            <w:b/>
            <w:sz w:val="24"/>
            <w:szCs w:val="24"/>
          </w:rPr>
          <m:t> protein</m:t>
        </m:r>
      </m:oMath>
      <w:r w:rsidR="00DF19CD" w:rsidRPr="005A2629">
        <w:rPr>
          <w:rFonts w:ascii="Times New Roman" w:hAnsi="Times New Roman" w:cs="Times New Roman"/>
          <w:b/>
          <w:sz w:val="24"/>
          <w:szCs w:val="24"/>
          <w:lang w:val="en-GB"/>
        </w:rPr>
        <w:t>) of silver pompano (</w:t>
      </w:r>
      <w:r w:rsidR="00DF19CD" w:rsidRPr="005A2629">
        <w:rPr>
          <w:rFonts w:ascii="Times New Roman" w:hAnsi="Times New Roman" w:cs="Times New Roman"/>
          <w:b/>
          <w:i/>
          <w:iCs/>
          <w:sz w:val="24"/>
          <w:szCs w:val="24"/>
          <w:lang w:val="en-GB"/>
        </w:rPr>
        <w:t xml:space="preserve">Trachinotus </w:t>
      </w:r>
      <w:proofErr w:type="spellStart"/>
      <w:r w:rsidR="00DF19CD" w:rsidRPr="005A2629">
        <w:rPr>
          <w:rFonts w:ascii="Times New Roman" w:hAnsi="Times New Roman" w:cs="Times New Roman"/>
          <w:b/>
          <w:i/>
          <w:iCs/>
          <w:sz w:val="24"/>
          <w:szCs w:val="24"/>
          <w:lang w:val="en-GB"/>
        </w:rPr>
        <w:t>blochii</w:t>
      </w:r>
      <w:proofErr w:type="spellEnd"/>
      <w:r w:rsidR="00DF19CD" w:rsidRPr="005A2629">
        <w:rPr>
          <w:rFonts w:ascii="Times New Roman" w:hAnsi="Times New Roman" w:cs="Times New Roman"/>
          <w:b/>
          <w:sz w:val="24"/>
          <w:szCs w:val="24"/>
          <w:lang w:val="en-GB"/>
        </w:rPr>
        <w:t>) subjected to different salinity levels on Day 10, Day 30, and Day 60.</w:t>
      </w:r>
    </w:p>
    <w:p w14:paraId="0705683F" w14:textId="77777777" w:rsidR="00974010" w:rsidRPr="005A2629" w:rsidRDefault="00974010" w:rsidP="00D8600A">
      <w:pPr>
        <w:spacing w:line="276" w:lineRule="auto"/>
        <w:jc w:val="both"/>
        <w:rPr>
          <w:rFonts w:ascii="Times New Roman" w:hAnsi="Times New Roman" w:cs="Times New Roman"/>
          <w:b/>
          <w:bCs/>
          <w:sz w:val="24"/>
          <w:szCs w:val="24"/>
        </w:rPr>
      </w:pPr>
      <w:r w:rsidRPr="005A2629">
        <w:rPr>
          <w:rFonts w:ascii="Times New Roman" w:hAnsi="Times New Roman" w:cs="Times New Roman"/>
          <w:b/>
          <w:bCs/>
          <w:sz w:val="24"/>
          <w:szCs w:val="24"/>
          <w:lang w:val="en-GB"/>
        </w:rPr>
        <w:t>Discussion</w:t>
      </w:r>
    </w:p>
    <w:p w14:paraId="757CF739" w14:textId="1FB32A31" w:rsidR="00DF19CD" w:rsidRPr="005A2629" w:rsidRDefault="00352EA0" w:rsidP="00DF19CD">
      <w:pPr>
        <w:pStyle w:val="BodyText"/>
        <w:spacing w:line="276" w:lineRule="auto"/>
        <w:jc w:val="both"/>
        <w:rPr>
          <w:rFonts w:ascii="Times New Roman" w:hAnsi="Times New Roman" w:cs="Times New Roman"/>
          <w:lang w:val="en-IN"/>
        </w:rPr>
      </w:pPr>
      <w:r w:rsidRPr="005A2629">
        <w:rPr>
          <w:rFonts w:ascii="Times New Roman" w:hAnsi="Times New Roman"/>
          <w:lang w:val="en-GB"/>
        </w:rPr>
        <w:t xml:space="preserve">The present study demonstrated that environmental salinity plays a significant role in regulating the growth performance, physiological stress responses, and tissue integrity of juvenile silver pompano cultured under a common periphyton-based production system. Among the tested salinity levels, 15 ppt provided the most favourable conditions for growth, whereas prolonged exposure to 5 ppt induced pronounced physiological stress and histopathological damage. Fish reared at 15 ppt exhibited significantly higher survival (95.24 ± 2.35%), final body weight (15.30 ± 0.97 g), and total length (12.60 ± 0.10 cm) than fish reared at the other salinity levels. The improved performance at 15 ppt may be attributed to reduced osmoregulatory energy expenditure under near-isosmotic conditions. Furthermore, periphyton developed on the split-bamboo substrates likely provided supplementary natural food, enhanced microbial productivity, and contributed to a more favourable culture environment, thereby supporting improved growth and survival. These findings indicate that suitable salinity and periphyton-based culture may jointly improve the nursery performance of juvenile silver pompano. Similar benefits of periphyton-based culture systems have been reported previously (Azim et al., 2001; </w:t>
      </w:r>
      <w:r w:rsidR="00EA49C7" w:rsidRPr="00EA49C7">
        <w:rPr>
          <w:rFonts w:ascii="Times New Roman" w:hAnsi="Times New Roman"/>
          <w:lang w:val="en-GB"/>
        </w:rPr>
        <w:t>van Dam</w:t>
      </w:r>
      <w:r w:rsidRPr="005A2629">
        <w:rPr>
          <w:rFonts w:ascii="Times New Roman" w:hAnsi="Times New Roman"/>
          <w:lang w:val="en-GB"/>
        </w:rPr>
        <w:t xml:space="preserve"> et al., 20</w:t>
      </w:r>
      <w:r w:rsidR="00EA49C7">
        <w:rPr>
          <w:rFonts w:ascii="Times New Roman" w:hAnsi="Times New Roman"/>
          <w:lang w:val="en-GB"/>
        </w:rPr>
        <w:t>02</w:t>
      </w:r>
      <w:r w:rsidRPr="005A2629">
        <w:rPr>
          <w:rFonts w:ascii="Times New Roman" w:hAnsi="Times New Roman"/>
          <w:lang w:val="en-GB"/>
        </w:rPr>
        <w:t>; Signor et al., 2015; van Dam et al., 2002).</w:t>
      </w:r>
    </w:p>
    <w:p w14:paraId="56254AB4" w14:textId="77777777" w:rsidR="000A63AD" w:rsidRPr="005A2629" w:rsidRDefault="000A63AD" w:rsidP="00DF19CD">
      <w:pPr>
        <w:pStyle w:val="BodyText"/>
        <w:spacing w:line="276" w:lineRule="auto"/>
        <w:jc w:val="both"/>
        <w:rPr>
          <w:rFonts w:ascii="Times New Roman" w:hAnsi="Times New Roman" w:cs="Times New Roman"/>
          <w:lang w:val="en-IN"/>
        </w:rPr>
      </w:pPr>
    </w:p>
    <w:p w14:paraId="6FAFC51D" w14:textId="77777777" w:rsidR="00974010" w:rsidRPr="005A2629" w:rsidRDefault="00974010" w:rsidP="00D8600A">
      <w:pPr>
        <w:pStyle w:val="BodyText"/>
        <w:spacing w:line="276" w:lineRule="auto"/>
        <w:jc w:val="both"/>
        <w:rPr>
          <w:rFonts w:ascii="Times New Roman" w:hAnsi="Times New Roman" w:cs="Times New Roman"/>
          <w:b/>
          <w:bCs/>
        </w:rPr>
      </w:pPr>
      <w:r w:rsidRPr="005A2629">
        <w:rPr>
          <w:rFonts w:ascii="Times New Roman" w:hAnsi="Times New Roman"/>
          <w:b/>
          <w:lang w:val="en-GB"/>
        </w:rPr>
        <w:t xml:space="preserve">Assessment of the Effects of Salinity Acclimatisation in </w:t>
      </w:r>
      <w:r w:rsidRPr="005A2629">
        <w:rPr>
          <w:rFonts w:ascii="Times New Roman" w:hAnsi="Times New Roman"/>
          <w:b/>
          <w:i/>
          <w:lang w:val="en-GB"/>
        </w:rPr>
        <w:t>T. blochii</w:t>
      </w:r>
    </w:p>
    <w:p w14:paraId="4529CEB0" w14:textId="77777777" w:rsidR="00DF19CD" w:rsidRPr="005A2629" w:rsidRDefault="00DF19CD" w:rsidP="00D8600A">
      <w:pPr>
        <w:pStyle w:val="BodyText"/>
        <w:spacing w:line="276" w:lineRule="auto"/>
        <w:jc w:val="both"/>
        <w:rPr>
          <w:rFonts w:ascii="Times New Roman" w:hAnsi="Times New Roman" w:cs="Times New Roman"/>
          <w:lang w:val="en-IN"/>
        </w:rPr>
      </w:pPr>
      <w:r w:rsidRPr="005A2629">
        <w:rPr>
          <w:rFonts w:ascii="Times New Roman" w:hAnsi="Times New Roman"/>
          <w:lang w:val="en-GB"/>
        </w:rPr>
        <w:t xml:space="preserve">The experimental outcomes indicate that juvenile </w:t>
      </w:r>
      <w:r w:rsidRPr="005A2629">
        <w:rPr>
          <w:rFonts w:ascii="Times New Roman" w:hAnsi="Times New Roman"/>
          <w:i/>
          <w:lang w:val="en-GB"/>
        </w:rPr>
        <w:t>T. blochii</w:t>
      </w:r>
      <w:r w:rsidRPr="005A2629">
        <w:rPr>
          <w:rFonts w:ascii="Times New Roman" w:hAnsi="Times New Roman"/>
          <w:lang w:val="en-GB"/>
        </w:rPr>
        <w:t xml:space="preserve"> can acclimatise to environmental salinities ranging from seawater salinity (35 ppt) to severe hypoosmotic conditions (5 ppt), provided that progressive acclimatisation protocols are applied. As a marine teleost, silver pompano is adapted to maintaining homeostasis in a hyperosmotic medium; consequently, transfer to an extreme hypoosmotic environment, such as 5 ppt, challenges its homeostatic systems through passive ion loss and excessive water influx. This physiological strain may explain the marked elevations in plasma cortisol and glucose observed in the 5-ppt treatment group (T3). However, the absence of acute mortality and the stabilising trends in antioxidant defences during the 60-day trial suggest that the species can partly limit long-term cellular damage through physiological adaptation.</w:t>
      </w:r>
    </w:p>
    <w:p w14:paraId="6FEB182A" w14:textId="7F8162A5" w:rsidR="00E12026" w:rsidRPr="005A2629" w:rsidRDefault="00E12026" w:rsidP="00E12026">
      <w:pPr>
        <w:pStyle w:val="BodyText"/>
        <w:spacing w:line="276" w:lineRule="auto"/>
        <w:jc w:val="both"/>
        <w:rPr>
          <w:rFonts w:ascii="Times New Roman" w:hAnsi="Times New Roman" w:cs="Times New Roman"/>
          <w:lang w:val="en-IN"/>
        </w:rPr>
      </w:pPr>
      <w:r w:rsidRPr="005A2629">
        <w:rPr>
          <w:rFonts w:ascii="Times New Roman" w:hAnsi="Times New Roman" w:cs="Times New Roman"/>
          <w:lang w:val="en-IN"/>
        </w:rPr>
        <w:t xml:space="preserve">These outcomes align with previous studies by Kalidas et al. (2012) and Pathak et al. (2019), which demonstrated that T. </w:t>
      </w:r>
      <w:proofErr w:type="spellStart"/>
      <w:r w:rsidRPr="005A2629">
        <w:rPr>
          <w:rFonts w:ascii="Times New Roman" w:hAnsi="Times New Roman" w:cs="Times New Roman"/>
          <w:lang w:val="en-IN"/>
        </w:rPr>
        <w:t>b</w:t>
      </w:r>
      <w:r w:rsidRPr="005A2629">
        <w:rPr>
          <w:rFonts w:ascii="Times New Roman" w:hAnsi="Times New Roman" w:cs="Times New Roman"/>
          <w:i/>
          <w:iCs/>
          <w:lang w:val="en-IN"/>
        </w:rPr>
        <w:t>lochii</w:t>
      </w:r>
      <w:proofErr w:type="spellEnd"/>
      <w:r w:rsidRPr="005A2629">
        <w:rPr>
          <w:rFonts w:ascii="Times New Roman" w:hAnsi="Times New Roman" w:cs="Times New Roman"/>
          <w:i/>
          <w:iCs/>
          <w:lang w:val="en-IN"/>
        </w:rPr>
        <w:t xml:space="preserve"> can</w:t>
      </w:r>
      <w:r w:rsidRPr="005A2629">
        <w:rPr>
          <w:rFonts w:ascii="Times New Roman" w:hAnsi="Times New Roman" w:cs="Times New Roman"/>
          <w:lang w:val="en-IN"/>
        </w:rPr>
        <w:t xml:space="preserve"> sustain growth and high survival rates at reduced salinities (</w:t>
      </w:r>
      <m:oMath>
        <m:r>
          <w:rPr>
            <w:rFonts w:ascii="Cambria Math" w:hAnsi="Cambria Math" w:cs="Times New Roman"/>
            <w:lang w:val="en-IN"/>
          </w:rPr>
          <m:t>5</m:t>
        </m:r>
        <m:r>
          <m:rPr>
            <m:nor/>
          </m:rPr>
          <w:rPr>
            <w:rFonts w:ascii="Times New Roman" w:hAnsi="Times New Roman" w:cs="Times New Roman"/>
            <w:lang w:val="en-IN"/>
          </w:rPr>
          <m:t>–</m:t>
        </m:r>
        <m:r>
          <w:rPr>
            <w:rFonts w:ascii="Cambria Math" w:hAnsi="Cambria Math" w:cs="Times New Roman"/>
            <w:lang w:val="en-IN"/>
          </w:rPr>
          <m:t>10</m:t>
        </m:r>
        <m:r>
          <m:rPr>
            <m:nor/>
          </m:rPr>
          <w:rPr>
            <w:rFonts w:ascii="Times New Roman" w:hAnsi="Times New Roman" w:cs="Times New Roman"/>
            <w:lang w:val="en-IN"/>
          </w:rPr>
          <m:t> ppt</m:t>
        </m:r>
      </m:oMath>
      <w:r w:rsidRPr="005A2629">
        <w:rPr>
          <w:rFonts w:ascii="Times New Roman" w:hAnsi="Times New Roman" w:cs="Times New Roman"/>
          <w:lang w:val="en-IN"/>
        </w:rPr>
        <w:t xml:space="preserve">) when subjected to systemic, step-down acclimation regimes. </w:t>
      </w:r>
      <w:r w:rsidR="00D3643B" w:rsidRPr="005A2629">
        <w:rPr>
          <w:rFonts w:ascii="Times New Roman" w:hAnsi="Times New Roman" w:cs="Times New Roman"/>
          <w:lang w:val="en-IN"/>
        </w:rPr>
        <w:t xml:space="preserve">The present findings further suggest that periphyton acted as a complementary component of the culture system by improving natural food availability and supporting fish performance under the optimal salinity treatment. </w:t>
      </w:r>
      <w:r w:rsidR="00EF0C27" w:rsidRPr="005A2629">
        <w:rPr>
          <w:rFonts w:ascii="Times New Roman" w:hAnsi="Times New Roman" w:cs="Times New Roman"/>
          <w:lang w:val="en-IN"/>
        </w:rPr>
        <w:t xml:space="preserve">Besides the direct effect of salinity, periphyton likely contributed to the enhanced performance of fish by providing a continuous source of natural food rich in proteins, lipids, vitamins, minerals, algae, bacteria, and other microorganisms. Periphyton also improves nutrient recycling and assists in maintaining water quality by utilising dissolved nutrients. These combined benefits may have improved feed utilisation and reduced environmental stress, thereby supporting the superior growth and survival observed in fish reared at 15 ppt. Although the present study did not quantify the independent contribution of periphyton, its presence probably complemented the favourable salinity conditions and enhanced overall production performance. Similar observations have been reported by Azim et al. (2001) and </w:t>
      </w:r>
      <w:r w:rsidR="00EA49C7" w:rsidRPr="00EA49C7">
        <w:rPr>
          <w:rFonts w:ascii="Times New Roman" w:hAnsi="Times New Roman" w:cs="Times New Roman"/>
          <w:lang w:val="en-IN"/>
        </w:rPr>
        <w:t>van Dam</w:t>
      </w:r>
      <w:r w:rsidR="00EF0C27" w:rsidRPr="005A2629">
        <w:rPr>
          <w:rFonts w:ascii="Times New Roman" w:hAnsi="Times New Roman" w:cs="Times New Roman"/>
          <w:lang w:val="en-IN"/>
        </w:rPr>
        <w:t xml:space="preserve"> et al. (20</w:t>
      </w:r>
      <w:r w:rsidR="00EA49C7">
        <w:rPr>
          <w:rFonts w:ascii="Times New Roman" w:hAnsi="Times New Roman" w:cs="Times New Roman"/>
          <w:lang w:val="en-IN"/>
        </w:rPr>
        <w:t>02</w:t>
      </w:r>
      <w:r w:rsidR="00EF0C27" w:rsidRPr="005A2629">
        <w:rPr>
          <w:rFonts w:ascii="Times New Roman" w:hAnsi="Times New Roman" w:cs="Times New Roman"/>
          <w:lang w:val="en-IN"/>
        </w:rPr>
        <w:t xml:space="preserve">). </w:t>
      </w:r>
      <w:r w:rsidRPr="005A2629">
        <w:rPr>
          <w:rFonts w:ascii="Times New Roman" w:hAnsi="Times New Roman" w:cs="Times New Roman"/>
          <w:lang w:val="en-IN"/>
        </w:rPr>
        <w:t>Notably, the juvenile pompano evaluated in the present study exhibited enhanced physiological resilience at an intermediate salinity (</w:t>
      </w:r>
      <m:oMath>
        <m:r>
          <w:rPr>
            <w:rFonts w:ascii="Cambria Math" w:hAnsi="Cambria Math" w:cs="Times New Roman"/>
            <w:lang w:val="en-IN"/>
          </w:rPr>
          <m:t>15</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5A2629">
        <w:rPr>
          <w:rFonts w:ascii="Times New Roman" w:hAnsi="Times New Roman" w:cs="Times New Roman"/>
          <w:lang w:val="en-IN"/>
        </w:rPr>
        <w:t>) compared to historical baselines established for related carangids (Sampaio et al., 2003). While individuals across all salinity cohorts (</w:t>
      </w:r>
      <m:oMath>
        <m:r>
          <w:rPr>
            <w:rFonts w:ascii="Cambria Math" w:hAnsi="Cambria Math" w:cs="Times New Roman"/>
            <w:lang w:val="en-IN"/>
          </w:rPr>
          <m:t>5</m:t>
        </m:r>
      </m:oMath>
      <w:r w:rsidRPr="005A2629">
        <w:rPr>
          <w:rFonts w:ascii="Times New Roman" w:hAnsi="Times New Roman" w:cs="Times New Roman"/>
          <w:lang w:val="en-IN"/>
        </w:rPr>
        <w:t xml:space="preserve">, </w:t>
      </w:r>
      <m:oMath>
        <m:r>
          <w:rPr>
            <w:rFonts w:ascii="Cambria Math" w:hAnsi="Cambria Math" w:cs="Times New Roman"/>
            <w:lang w:val="en-IN"/>
          </w:rPr>
          <m:t>15</m:t>
        </m:r>
      </m:oMath>
      <w:r w:rsidRPr="005A2629">
        <w:rPr>
          <w:rFonts w:ascii="Times New Roman" w:hAnsi="Times New Roman" w:cs="Times New Roman"/>
          <w:lang w:val="en-IN"/>
        </w:rPr>
        <w:t xml:space="preserve">, </w:t>
      </w:r>
      <m:oMath>
        <m:r>
          <w:rPr>
            <w:rFonts w:ascii="Cambria Math" w:hAnsi="Cambria Math" w:cs="Times New Roman"/>
            <w:lang w:val="en-IN"/>
          </w:rPr>
          <m:t>25</m:t>
        </m:r>
      </m:oMath>
      <w:r w:rsidRPr="005A2629">
        <w:rPr>
          <w:rFonts w:ascii="Times New Roman" w:hAnsi="Times New Roman" w:cs="Times New Roman"/>
          <w:lang w:val="en-IN"/>
        </w:rPr>
        <w:t xml:space="preserve">, and </w:t>
      </w:r>
      <m:oMath>
        <m:r>
          <w:rPr>
            <w:rFonts w:ascii="Cambria Math" w:hAnsi="Cambria Math" w:cs="Times New Roman"/>
            <w:lang w:val="en-IN"/>
          </w:rPr>
          <m:t>35</m:t>
        </m:r>
        <m:r>
          <m:rPr>
            <m:nor/>
          </m:rPr>
          <w:rPr>
            <w:rFonts w:ascii="Times New Roman" w:hAnsi="Times New Roman" w:cs="Times New Roman"/>
            <w:lang w:val="en-IN"/>
          </w:rPr>
          <m:t> ppt</m:t>
        </m:r>
      </m:oMath>
      <w:r w:rsidRPr="005A2629">
        <w:rPr>
          <w:rFonts w:ascii="Times New Roman" w:hAnsi="Times New Roman" w:cs="Times New Roman"/>
          <w:lang w:val="en-IN"/>
        </w:rPr>
        <w:t xml:space="preserve">) displayed uniform growth metrics during the initial experimental phases, environmental divergence became pronounced by the termination of the 60-day trial. At Day 60, the </w:t>
      </w:r>
      <m:oMath>
        <m:r>
          <w:rPr>
            <w:rFonts w:ascii="Cambria Math" w:hAnsi="Cambria Math" w:cs="Times New Roman"/>
            <w:lang w:val="en-IN"/>
          </w:rPr>
          <m:t>15</m:t>
        </m:r>
        <m:r>
          <m:rPr>
            <m:nor/>
          </m:rPr>
          <w:rPr>
            <w:rFonts w:ascii="Times New Roman" w:hAnsi="Times New Roman" w:cs="Times New Roman"/>
            <w:lang w:val="en-IN"/>
          </w:rPr>
          <m:t> ppt</m:t>
        </m:r>
      </m:oMath>
      <w:r w:rsidRPr="005A2629">
        <w:rPr>
          <w:rFonts w:ascii="Times New Roman" w:hAnsi="Times New Roman" w:cs="Times New Roman"/>
          <w:lang w:val="en-IN"/>
        </w:rPr>
        <w:t xml:space="preserve"> treatment group exhibited significantly superior somatic growth (</w:t>
      </w:r>
      <m:oMath>
        <m:r>
          <w:rPr>
            <w:rFonts w:ascii="Cambria Math" w:hAnsi="Cambria Math" w:cs="Times New Roman"/>
            <w:lang w:val="en-IN"/>
          </w:rPr>
          <m:t>p&lt;0.05</m:t>
        </m:r>
      </m:oMath>
      <w:r w:rsidRPr="005A2629">
        <w:rPr>
          <w:rFonts w:ascii="Times New Roman" w:hAnsi="Times New Roman" w:cs="Times New Roman"/>
          <w:lang w:val="en-IN"/>
        </w:rPr>
        <w:t>), confirming that an isosmotic environment minimises maintenance costs.</w:t>
      </w:r>
    </w:p>
    <w:p w14:paraId="290B087B" w14:textId="77777777" w:rsidR="00E12026" w:rsidRPr="005A2629" w:rsidRDefault="00E12026" w:rsidP="00D8600A">
      <w:pPr>
        <w:pStyle w:val="BodyText"/>
        <w:spacing w:line="276" w:lineRule="auto"/>
        <w:jc w:val="both"/>
        <w:rPr>
          <w:rFonts w:ascii="Times New Roman" w:hAnsi="Times New Roman" w:cs="Times New Roman"/>
          <w:b/>
          <w:bCs/>
          <w:lang w:val="en-IN"/>
        </w:rPr>
      </w:pPr>
      <w:r w:rsidRPr="005A2629">
        <w:rPr>
          <w:rFonts w:ascii="Times New Roman" w:hAnsi="Times New Roman" w:cs="Times New Roman"/>
          <w:b/>
          <w:bCs/>
          <w:lang w:val="en-GB"/>
        </w:rPr>
        <w:t>Hepatic Histopathological Alterations</w:t>
      </w:r>
    </w:p>
    <w:p w14:paraId="27512F07" w14:textId="77777777" w:rsidR="00E12026" w:rsidRPr="005A2629" w:rsidRDefault="00E12026" w:rsidP="000A63AD">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Histopathological evaluations of the hepatic architecture revealed distinct structural variations among the experimental groups, diverging from the uniform profiles noted by Mulyadi et al. (20</w:t>
      </w:r>
      <w:r w:rsidR="00547DB7" w:rsidRPr="005A2629">
        <w:rPr>
          <w:rFonts w:ascii="Times New Roman" w:hAnsi="Times New Roman" w:cs="Times New Roman"/>
          <w:sz w:val="24"/>
          <w:szCs w:val="24"/>
        </w:rPr>
        <w:t>20</w:t>
      </w:r>
      <w:r w:rsidRPr="005A2629">
        <w:rPr>
          <w:rFonts w:ascii="Times New Roman" w:hAnsi="Times New Roman" w:cs="Times New Roman"/>
          <w:sz w:val="24"/>
          <w:szCs w:val="24"/>
        </w:rPr>
        <w:t>). Control specimens (</w:t>
      </w:r>
      <m:oMath>
        <m:r>
          <w:rPr>
            <w:rFonts w:ascii="Cambria Math" w:hAnsi="Cambria Math" w:cs="Times New Roman"/>
            <w:sz w:val="24"/>
            <w:szCs w:val="24"/>
          </w:rPr>
          <m:t>35</m:t>
        </m:r>
        <m:r>
          <m:rPr>
            <m:nor/>
          </m:rPr>
          <w:rPr>
            <w:rFonts w:ascii="Times New Roman" w:hAnsi="Times New Roman" w:cs="Times New Roman"/>
            <w:sz w:val="24"/>
            <w:szCs w:val="24"/>
          </w:rPr>
          <m:t> ppt</m:t>
        </m:r>
      </m:oMath>
      <w:r w:rsidRPr="005A2629">
        <w:rPr>
          <w:rFonts w:ascii="Times New Roman" w:hAnsi="Times New Roman" w:cs="Times New Roman"/>
          <w:sz w:val="24"/>
          <w:szCs w:val="24"/>
        </w:rPr>
        <w:t>) and those maintained at intermediate salinity (</w:t>
      </w:r>
      <m:oMath>
        <m: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T2) exhibited normal parenchymal arrangements characterised by regular cord-like arrays of polygonal hepatocytes. Conversely, fish subjected to severe environmental variations demonstrated clear structural anomalies. Liver sections from the hypoosmotic group (</w:t>
      </w:r>
      <m:oMath>
        <m: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T3) exhibited pronounced cellular pathologies, including diffuse intracytoplasmic vacuolation, localised hepatocyte hypertrophy, cellular swelling, and occasional pyknotic nuclei. </w:t>
      </w:r>
      <w:r w:rsidRPr="005A2629">
        <w:rPr>
          <w:rFonts w:ascii="Times New Roman" w:hAnsi="Times New Roman" w:cs="Times New Roman"/>
          <w:sz w:val="24"/>
          <w:szCs w:val="24"/>
        </w:rPr>
        <w:lastRenderedPageBreak/>
        <w:t>Furthermore, the extreme low-salinity group (T3) revealed structural degradation marked by focal necrosis and intensive sinusoidal haemorrhage, indicating cellular stress from prolonged osmoregulatory strain.</w:t>
      </w:r>
    </w:p>
    <w:p w14:paraId="7085D8EF" w14:textId="77777777" w:rsidR="00E12026" w:rsidRPr="005A2629" w:rsidRDefault="00E12026" w:rsidP="00DF19CD">
      <w:pPr>
        <w:spacing w:line="240" w:lineRule="auto"/>
        <w:jc w:val="both"/>
        <w:rPr>
          <w:rFonts w:ascii="Times New Roman" w:hAnsi="Times New Roman" w:cs="Times New Roman"/>
          <w:b/>
          <w:bCs/>
          <w:sz w:val="24"/>
          <w:szCs w:val="24"/>
        </w:rPr>
      </w:pPr>
      <w:r w:rsidRPr="005A2629">
        <w:rPr>
          <w:rFonts w:ascii="Times New Roman" w:hAnsi="Times New Roman" w:cs="Times New Roman"/>
          <w:b/>
          <w:bCs/>
          <w:sz w:val="24"/>
          <w:szCs w:val="24"/>
          <w:lang w:val="en-GB"/>
        </w:rPr>
        <w:t>Growth Dynamics and Periphyton Interaction</w:t>
      </w:r>
    </w:p>
    <w:p w14:paraId="59E04E45" w14:textId="77777777" w:rsidR="00E12026" w:rsidRPr="005A2629" w:rsidRDefault="00E12026" w:rsidP="000A63AD">
      <w:pPr>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The experimental data indicate that extreme environmental salinities (</w:t>
      </w:r>
      <m:oMath>
        <m:r>
          <m:rPr>
            <m:sty m:val="p"/>
          </m:rP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and </w:t>
      </w:r>
      <m:oMath>
        <m:r>
          <m:rPr>
            <m:sty m:val="p"/>
          </m:rPr>
          <w:rPr>
            <w:rFonts w:ascii="Cambria Math" w:hAnsi="Cambria Math" w:cs="Times New Roman"/>
            <w:sz w:val="24"/>
            <w:szCs w:val="24"/>
          </w:rPr>
          <m:t>35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exert restrictive pressures on the growth indices and survival rates of juvenile T. </w:t>
      </w:r>
      <w:proofErr w:type="spellStart"/>
      <w:r w:rsidRPr="005A2629">
        <w:rPr>
          <w:rFonts w:ascii="Times New Roman" w:hAnsi="Times New Roman" w:cs="Times New Roman"/>
          <w:sz w:val="24"/>
          <w:szCs w:val="24"/>
        </w:rPr>
        <w:t>blochii</w:t>
      </w:r>
      <w:proofErr w:type="spellEnd"/>
      <w:r w:rsidRPr="005A2629">
        <w:rPr>
          <w:rFonts w:ascii="Times New Roman" w:hAnsi="Times New Roman" w:cs="Times New Roman"/>
          <w:sz w:val="24"/>
          <w:szCs w:val="24"/>
        </w:rPr>
        <w:t>. In contrast, an intermediate salinity regimen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T2) significantly accelerated somatic growth metrics and fostered optimal periphyton colonization on the provided substrates. This optimisation matches the observations of Kalidas et al. (2012), who determined that acclimated T. </w:t>
      </w:r>
      <w:proofErr w:type="spellStart"/>
      <w:r w:rsidRPr="005A2629">
        <w:rPr>
          <w:rFonts w:ascii="Times New Roman" w:hAnsi="Times New Roman" w:cs="Times New Roman"/>
          <w:sz w:val="24"/>
          <w:szCs w:val="24"/>
        </w:rPr>
        <w:t>blochii</w:t>
      </w:r>
      <w:proofErr w:type="spellEnd"/>
      <w:r w:rsidRPr="005A2629">
        <w:rPr>
          <w:rFonts w:ascii="Times New Roman" w:hAnsi="Times New Roman" w:cs="Times New Roman"/>
          <w:sz w:val="24"/>
          <w:szCs w:val="24"/>
        </w:rPr>
        <w:t xml:space="preserve"> perform optimally within a </w:t>
      </w:r>
      <m:oMath>
        <m:r>
          <m:rPr>
            <m:sty m:val="p"/>
          </m:rPr>
          <w:rPr>
            <w:rFonts w:ascii="Cambria Math" w:hAnsi="Cambria Math" w:cs="Times New Roman"/>
            <w:sz w:val="24"/>
            <w:szCs w:val="24"/>
          </w:rPr>
          <m:t>15</m:t>
        </m:r>
        <m:r>
          <m:rPr>
            <m:nor/>
          </m:rPr>
          <w:rPr>
            <w:rFonts w:ascii="Times New Roman" w:hAnsi="Times New Roman" w:cs="Times New Roman"/>
            <w:sz w:val="24"/>
            <w:szCs w:val="24"/>
          </w:rPr>
          <m:t>–</m:t>
        </m:r>
        <m:r>
          <m:rPr>
            <m:sty m:val="p"/>
          </m:rPr>
          <w:rPr>
            <w:rFonts w:ascii="Cambria Math" w:hAnsi="Cambria Math" w:cs="Times New Roman"/>
            <w:sz w:val="24"/>
            <w:szCs w:val="24"/>
          </w:rPr>
          <m:t>25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range, whereas performance collapses at </w:t>
      </w:r>
      <m:oMath>
        <m:r>
          <m:rPr>
            <m:sty m:val="p"/>
          </m:rP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Pompano reared at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exhibited a maximized specific growth rate (</w:t>
      </w:r>
      <m:oMath>
        <m:r>
          <m:rPr>
            <m:nor/>
          </m:rPr>
          <w:rPr>
            <w:rFonts w:ascii="Times New Roman" w:hAnsi="Times New Roman" w:cs="Times New Roman"/>
            <w:sz w:val="24"/>
            <w:szCs w:val="24"/>
          </w:rPr>
          <m:t>SGR</m:t>
        </m:r>
        <m:r>
          <m:rPr>
            <m:sty m:val="p"/>
          </m:rPr>
          <w:rPr>
            <w:rFonts w:ascii="Cambria Math" w:hAnsi="Cambria Math" w:cs="Times New Roman"/>
            <w:sz w:val="24"/>
            <w:szCs w:val="24"/>
          </w:rPr>
          <m:t>=11.66±0.23%</m:t>
        </m:r>
        <m:sSup>
          <m:sSupPr>
            <m:ctrlPr>
              <w:rPr>
                <w:rFonts w:ascii="Cambria Math" w:hAnsi="Cambria Math" w:cs="Times New Roman"/>
                <w:sz w:val="24"/>
                <w:szCs w:val="24"/>
              </w:rPr>
            </m:ctrlPr>
          </m:sSupPr>
          <m:e>
            <m:r>
              <m:rPr>
                <m:nor/>
              </m:rPr>
              <w:rPr>
                <w:rFonts w:ascii="Times New Roman" w:hAnsi="Times New Roman" w:cs="Times New Roman"/>
                <w:sz w:val="24"/>
                <w:szCs w:val="24"/>
              </w:rPr>
              <m:t> day</m:t>
            </m:r>
          </m:e>
          <m:sup>
            <m:r>
              <m:rPr>
                <m:sty m:val="p"/>
              </m:rPr>
              <w:rPr>
                <w:rFonts w:ascii="Cambria Math" w:hAnsi="Cambria Math" w:cs="Times New Roman"/>
                <w:sz w:val="24"/>
                <w:szCs w:val="24"/>
              </w:rPr>
              <m:t>-1</m:t>
            </m:r>
          </m:sup>
        </m:sSup>
      </m:oMath>
      <w:r w:rsidRPr="005A2629">
        <w:rPr>
          <w:rFonts w:ascii="Times New Roman" w:hAnsi="Times New Roman" w:cs="Times New Roman"/>
          <w:sz w:val="24"/>
          <w:szCs w:val="24"/>
        </w:rPr>
        <w:t>), confirming that intermediate salinities (</w:t>
      </w:r>
      <m:oMath>
        <m:r>
          <m:rPr>
            <m:sty m:val="p"/>
          </m:rPr>
          <w:rPr>
            <w:rFonts w:ascii="Cambria Math" w:hAnsi="Cambria Math" w:cs="Times New Roman"/>
            <w:sz w:val="24"/>
            <w:szCs w:val="24"/>
          </w:rPr>
          <m:t>10</m:t>
        </m:r>
        <m:r>
          <m:rPr>
            <m:nor/>
          </m:rPr>
          <w:rPr>
            <w:rFonts w:ascii="Times New Roman" w:hAnsi="Times New Roman" w:cs="Times New Roman"/>
            <w:sz w:val="24"/>
            <w:szCs w:val="24"/>
          </w:rPr>
          <m:t>–</m:t>
        </m:r>
        <m:r>
          <m:rPr>
            <m:sty m:val="p"/>
          </m:rPr>
          <w:rPr>
            <w:rFonts w:ascii="Cambria Math" w:hAnsi="Cambria Math" w:cs="Times New Roman"/>
            <w:sz w:val="24"/>
            <w:szCs w:val="24"/>
          </w:rPr>
          <m:t>25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minimise internal energy allocations toward osmotic regulation, as documented in both carangids and Atlantic cod (Gadus </w:t>
      </w:r>
      <w:proofErr w:type="spellStart"/>
      <w:r w:rsidRPr="005A2629">
        <w:rPr>
          <w:rFonts w:ascii="Times New Roman" w:hAnsi="Times New Roman" w:cs="Times New Roman"/>
          <w:sz w:val="24"/>
          <w:szCs w:val="24"/>
        </w:rPr>
        <w:t>morhua</w:t>
      </w:r>
      <w:proofErr w:type="spellEnd"/>
      <w:r w:rsidRPr="005A2629">
        <w:rPr>
          <w:rFonts w:ascii="Times New Roman" w:hAnsi="Times New Roman" w:cs="Times New Roman"/>
          <w:sz w:val="24"/>
          <w:szCs w:val="24"/>
        </w:rPr>
        <w:t>) (Kalidas et al., 2012).</w:t>
      </w:r>
      <w:r w:rsidR="00112757" w:rsidRPr="005A2629">
        <w:t xml:space="preserve"> </w:t>
      </w:r>
      <w:r w:rsidR="00112757" w:rsidRPr="005A2629">
        <w:rPr>
          <w:rFonts w:ascii="Times New Roman" w:hAnsi="Times New Roman" w:cs="Times New Roman"/>
          <w:sz w:val="24"/>
          <w:szCs w:val="24"/>
        </w:rPr>
        <w:t>Periphyton developed on the split bamboo substrates likely contributed to improved fish performance by providing a continuous source of natural food, enhancing microbial productivity, and improving water quality. Although periphyton biomass was not evaluated independently from salinity effects, the culture system supported enhanced growth under intermediate salinity, suggesting that periphyton-based substrates complemented the culture environment.</w:t>
      </w:r>
    </w:p>
    <w:p w14:paraId="0D279A3E" w14:textId="77777777" w:rsidR="00E12026" w:rsidRPr="005A2629" w:rsidRDefault="00E12026" w:rsidP="00E12026">
      <w:pPr>
        <w:pStyle w:val="BodyText"/>
        <w:spacing w:line="276" w:lineRule="auto"/>
        <w:jc w:val="both"/>
        <w:rPr>
          <w:rFonts w:ascii="Times New Roman" w:hAnsi="Times New Roman" w:cs="Times New Roman"/>
          <w:lang w:val="en-IN"/>
        </w:rPr>
      </w:pPr>
      <w:r w:rsidRPr="005A2629">
        <w:rPr>
          <w:rFonts w:ascii="Times New Roman" w:hAnsi="Times New Roman" w:cs="Times New Roman"/>
          <w:lang w:val="en-IN"/>
        </w:rPr>
        <w:t>These findings indicate that an intermediate salinity environment reduces metabolic stress and provides optimal conditions for physiological acclimation and growth. Our results concur with Kalidas et al. (2012) and Pathak et al. (2019), who recommended maintaining environmental salinities above 10 ppt for related carangids, noting a sharp drop in survival below this threshold. Similarly, optimised growth performance at intermediate salinities (</w:t>
      </w:r>
      <m:oMath>
        <m:r>
          <w:rPr>
            <w:rFonts w:ascii="Cambria Math" w:hAnsi="Cambria Math" w:cs="Times New Roman"/>
            <w:lang w:val="en-IN"/>
          </w:rPr>
          <m:t>10</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5A2629">
        <w:rPr>
          <w:rFonts w:ascii="Times New Roman" w:hAnsi="Times New Roman" w:cs="Times New Roman"/>
          <w:lang w:val="en-IN"/>
        </w:rPr>
        <w:t xml:space="preserve">) has been widely documented in euryhaline </w:t>
      </w:r>
      <w:proofErr w:type="spellStart"/>
      <w:r w:rsidRPr="005A2629">
        <w:rPr>
          <w:rFonts w:ascii="Times New Roman" w:hAnsi="Times New Roman" w:cs="Times New Roman"/>
          <w:lang w:val="en-IN"/>
        </w:rPr>
        <w:t>teleosts</w:t>
      </w:r>
      <w:proofErr w:type="spellEnd"/>
      <w:r w:rsidRPr="005A2629">
        <w:rPr>
          <w:rFonts w:ascii="Times New Roman" w:hAnsi="Times New Roman" w:cs="Times New Roman"/>
          <w:lang w:val="en-IN"/>
        </w:rPr>
        <w:t>, including Atlantic cod (</w:t>
      </w:r>
      <w:r w:rsidRPr="005A2629">
        <w:rPr>
          <w:rFonts w:ascii="Times New Roman" w:hAnsi="Times New Roman" w:cs="Times New Roman"/>
          <w:i/>
          <w:iCs/>
          <w:lang w:val="en-IN"/>
        </w:rPr>
        <w:t xml:space="preserve">Gadus </w:t>
      </w:r>
      <w:proofErr w:type="spellStart"/>
      <w:r w:rsidRPr="005A2629">
        <w:rPr>
          <w:rFonts w:ascii="Times New Roman" w:hAnsi="Times New Roman" w:cs="Times New Roman"/>
          <w:i/>
          <w:iCs/>
          <w:lang w:val="en-IN"/>
        </w:rPr>
        <w:t>morhua</w:t>
      </w:r>
      <w:proofErr w:type="spellEnd"/>
      <w:r w:rsidRPr="005A2629">
        <w:rPr>
          <w:rFonts w:ascii="Times New Roman" w:hAnsi="Times New Roman" w:cs="Times New Roman"/>
          <w:lang w:val="en-IN"/>
        </w:rPr>
        <w:t xml:space="preserve">) and various pompano species (Imsland et al., 2008; Kalidas et al., 2012). Furthermore, the present data reinforce the assertions of Jayakumar et al. (2014) that juvenile silver pompano thrive within a </w:t>
      </w:r>
      <m:oMath>
        <m:r>
          <w:rPr>
            <w:rFonts w:ascii="Cambria Math" w:hAnsi="Cambria Math" w:cs="Times New Roman"/>
            <w:lang w:val="en-IN"/>
          </w:rPr>
          <m:t>10</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5A2629">
        <w:rPr>
          <w:rFonts w:ascii="Times New Roman" w:hAnsi="Times New Roman" w:cs="Times New Roman"/>
          <w:lang w:val="en-IN"/>
        </w:rPr>
        <w:t xml:space="preserve"> range. Conversely, fry exposed to extreme hypoosmotic (</w:t>
      </w:r>
      <m:oMath>
        <m:r>
          <w:rPr>
            <w:rFonts w:ascii="Cambria Math" w:hAnsi="Cambria Math" w:cs="Times New Roman"/>
            <w:lang w:val="en-IN"/>
          </w:rPr>
          <m:t>5</m:t>
        </m:r>
        <m:r>
          <m:rPr>
            <m:nor/>
          </m:rPr>
          <w:rPr>
            <w:rFonts w:ascii="Times New Roman" w:hAnsi="Times New Roman" w:cs="Times New Roman"/>
            <w:lang w:val="en-IN"/>
          </w:rPr>
          <m:t> ppt</m:t>
        </m:r>
      </m:oMath>
      <w:r w:rsidRPr="005A2629">
        <w:rPr>
          <w:rFonts w:ascii="Times New Roman" w:hAnsi="Times New Roman" w:cs="Times New Roman"/>
          <w:lang w:val="en-IN"/>
        </w:rPr>
        <w:t>, T3) and hyperosmotic (</w:t>
      </w:r>
      <m:oMath>
        <m:r>
          <w:rPr>
            <w:rFonts w:ascii="Cambria Math" w:hAnsi="Cambria Math" w:cs="Times New Roman"/>
            <w:lang w:val="en-IN"/>
          </w:rPr>
          <m:t>35</m:t>
        </m:r>
        <m:r>
          <m:rPr>
            <m:nor/>
          </m:rPr>
          <w:rPr>
            <w:rFonts w:ascii="Times New Roman" w:hAnsi="Times New Roman" w:cs="Times New Roman"/>
            <w:lang w:val="en-IN"/>
          </w:rPr>
          <m:t> ppt</m:t>
        </m:r>
      </m:oMath>
      <w:r w:rsidRPr="005A2629">
        <w:rPr>
          <w:rFonts w:ascii="Times New Roman" w:hAnsi="Times New Roman" w:cs="Times New Roman"/>
          <w:lang w:val="en-IN"/>
        </w:rPr>
        <w:t xml:space="preserve">, C1) regimes exhibited significantly suppressed growth, with specific growth rates dropping to </w:t>
      </w:r>
      <m:oMath>
        <m:r>
          <w:rPr>
            <w:rFonts w:ascii="Cambria Math" w:hAnsi="Cambria Math" w:cs="Times New Roman"/>
            <w:lang w:val="en-IN"/>
          </w:rPr>
          <m:t>5.73±0.90%</m:t>
        </m:r>
        <m:sSup>
          <m:sSupPr>
            <m:ctrlPr>
              <w:rPr>
                <w:rFonts w:ascii="Cambria Math" w:hAnsi="Cambria Math" w:cs="Times New Roman"/>
                <w:lang w:val="en-IN"/>
              </w:rPr>
            </m:ctrlPr>
          </m:sSupPr>
          <m:e>
            <m:r>
              <m:rPr>
                <m:nor/>
              </m:rPr>
              <w:rPr>
                <w:rFonts w:ascii="Times New Roman" w:hAnsi="Times New Roman" w:cs="Times New Roman"/>
                <w:lang w:val="en-IN"/>
              </w:rPr>
              <m:t> day</m:t>
            </m:r>
          </m:e>
          <m:sup>
            <m:r>
              <w:rPr>
                <w:rFonts w:ascii="Cambria Math" w:hAnsi="Cambria Math" w:cs="Times New Roman"/>
                <w:lang w:val="en-IN"/>
              </w:rPr>
              <m:t>-1</m:t>
            </m:r>
          </m:sup>
        </m:sSup>
      </m:oMath>
      <w:r w:rsidRPr="005A2629">
        <w:rPr>
          <w:rFonts w:ascii="Times New Roman" w:hAnsi="Times New Roman" w:cs="Times New Roman"/>
          <w:lang w:val="en-IN"/>
        </w:rPr>
        <w:t xml:space="preserve"> and </w:t>
      </w:r>
      <m:oMath>
        <m:r>
          <w:rPr>
            <w:rFonts w:ascii="Cambria Math" w:hAnsi="Cambria Math" w:cs="Times New Roman"/>
            <w:lang w:val="en-IN"/>
          </w:rPr>
          <m:t>2.86±0.34%</m:t>
        </m:r>
        <m:sSup>
          <m:sSupPr>
            <m:ctrlPr>
              <w:rPr>
                <w:rFonts w:ascii="Cambria Math" w:hAnsi="Cambria Math" w:cs="Times New Roman"/>
                <w:lang w:val="en-IN"/>
              </w:rPr>
            </m:ctrlPr>
          </m:sSupPr>
          <m:e>
            <m:r>
              <m:rPr>
                <m:nor/>
              </m:rPr>
              <w:rPr>
                <w:rFonts w:ascii="Times New Roman" w:hAnsi="Times New Roman" w:cs="Times New Roman"/>
                <w:lang w:val="en-IN"/>
              </w:rPr>
              <m:t> day</m:t>
            </m:r>
          </m:e>
          <m:sup>
            <m:r>
              <w:rPr>
                <w:rFonts w:ascii="Cambria Math" w:hAnsi="Cambria Math" w:cs="Times New Roman"/>
                <w:lang w:val="en-IN"/>
              </w:rPr>
              <m:t>-1</m:t>
            </m:r>
          </m:sup>
        </m:sSup>
      </m:oMath>
      <w:r w:rsidRPr="005A2629">
        <w:rPr>
          <w:rFonts w:ascii="Times New Roman" w:hAnsi="Times New Roman" w:cs="Times New Roman"/>
          <w:lang w:val="en-IN"/>
        </w:rPr>
        <w:t>, respectively. This response varies from patterns reported for the Florida pompano (</w:t>
      </w:r>
      <w:r w:rsidRPr="005A2629">
        <w:rPr>
          <w:rFonts w:ascii="Times New Roman" w:hAnsi="Times New Roman" w:cs="Times New Roman"/>
          <w:i/>
          <w:iCs/>
          <w:lang w:val="en-IN"/>
        </w:rPr>
        <w:t xml:space="preserve">T. </w:t>
      </w:r>
      <w:proofErr w:type="spellStart"/>
      <w:r w:rsidRPr="005A2629">
        <w:rPr>
          <w:rFonts w:ascii="Times New Roman" w:hAnsi="Times New Roman" w:cs="Times New Roman"/>
          <w:i/>
          <w:iCs/>
          <w:lang w:val="en-IN"/>
        </w:rPr>
        <w:t>carolinus</w:t>
      </w:r>
      <w:proofErr w:type="spellEnd"/>
      <w:r w:rsidRPr="005A2629">
        <w:rPr>
          <w:rFonts w:ascii="Times New Roman" w:hAnsi="Times New Roman" w:cs="Times New Roman"/>
          <w:lang w:val="en-IN"/>
        </w:rPr>
        <w:t xml:space="preserve">), which demonstrated unexpected low-salinity tolerance in distinct coastal trials (Van Dam et al., 2002). Overall, the physiological resilience exhibited by the 2-month-old </w:t>
      </w:r>
      <w:r w:rsidRPr="005A2629">
        <w:rPr>
          <w:rFonts w:ascii="Times New Roman" w:hAnsi="Times New Roman" w:cs="Times New Roman"/>
          <w:i/>
          <w:iCs/>
          <w:lang w:val="en-IN"/>
        </w:rPr>
        <w:t xml:space="preserve">T. </w:t>
      </w:r>
      <w:proofErr w:type="spellStart"/>
      <w:r w:rsidRPr="005A2629">
        <w:rPr>
          <w:rFonts w:ascii="Times New Roman" w:hAnsi="Times New Roman" w:cs="Times New Roman"/>
          <w:i/>
          <w:iCs/>
          <w:lang w:val="en-IN"/>
        </w:rPr>
        <w:t>blochii</w:t>
      </w:r>
      <w:proofErr w:type="spellEnd"/>
      <w:r w:rsidRPr="005A2629">
        <w:rPr>
          <w:rFonts w:ascii="Times New Roman" w:hAnsi="Times New Roman" w:cs="Times New Roman"/>
          <w:lang w:val="en-IN"/>
        </w:rPr>
        <w:t xml:space="preserve"> juveniles (mean length: </w:t>
      </w:r>
      <m:oMath>
        <m:r>
          <w:rPr>
            <w:rFonts w:ascii="Cambria Math" w:hAnsi="Cambria Math" w:cs="Times New Roman"/>
            <w:lang w:val="en-IN"/>
          </w:rPr>
          <m:t>12.60±0.10</m:t>
        </m:r>
        <m:r>
          <m:rPr>
            <m:nor/>
          </m:rPr>
          <w:rPr>
            <w:rFonts w:ascii="Times New Roman" w:hAnsi="Times New Roman" w:cs="Times New Roman"/>
            <w:lang w:val="en-IN"/>
          </w:rPr>
          <m:t> cm</m:t>
        </m:r>
      </m:oMath>
      <w:r w:rsidRPr="005A2629">
        <w:rPr>
          <w:rFonts w:ascii="Times New Roman" w:hAnsi="Times New Roman" w:cs="Times New Roman"/>
          <w:lang w:val="en-IN"/>
        </w:rPr>
        <w:t xml:space="preserve">; mean weight: </w:t>
      </w:r>
      <m:oMath>
        <m:r>
          <w:rPr>
            <w:rFonts w:ascii="Cambria Math" w:hAnsi="Cambria Math" w:cs="Times New Roman"/>
            <w:lang w:val="en-IN"/>
          </w:rPr>
          <m:t>15.30±0.97</m:t>
        </m:r>
        <m:r>
          <m:rPr>
            <m:nor/>
          </m:rPr>
          <w:rPr>
            <w:rFonts w:ascii="Times New Roman" w:hAnsi="Times New Roman" w:cs="Times New Roman"/>
            <w:lang w:val="en-IN"/>
          </w:rPr>
          <m:t> g</m:t>
        </m:r>
      </m:oMath>
      <w:r w:rsidRPr="005A2629">
        <w:rPr>
          <w:rFonts w:ascii="Times New Roman" w:hAnsi="Times New Roman" w:cs="Times New Roman"/>
          <w:lang w:val="en-IN"/>
        </w:rPr>
        <w:t>) confirms their capacity to acclimate effectively to intermediate salinities (</w:t>
      </w:r>
      <m:oMath>
        <m:r>
          <w:rPr>
            <w:rFonts w:ascii="Cambria Math" w:hAnsi="Cambria Math" w:cs="Times New Roman"/>
            <w:lang w:val="en-IN"/>
          </w:rPr>
          <m:t>15</m:t>
        </m:r>
        <m:r>
          <m:rPr>
            <m:nor/>
          </m:rPr>
          <w:rPr>
            <w:rFonts w:ascii="Times New Roman" w:hAnsi="Times New Roman" w:cs="Times New Roman"/>
            <w:lang w:val="en-IN"/>
          </w:rPr>
          <m:t>–</m:t>
        </m:r>
        <m:r>
          <w:rPr>
            <w:rFonts w:ascii="Cambria Math" w:hAnsi="Cambria Math" w:cs="Times New Roman"/>
            <w:lang w:val="en-IN"/>
          </w:rPr>
          <m:t>25</m:t>
        </m:r>
        <m:r>
          <m:rPr>
            <m:nor/>
          </m:rPr>
          <w:rPr>
            <w:rFonts w:ascii="Times New Roman" w:hAnsi="Times New Roman" w:cs="Times New Roman"/>
            <w:lang w:val="en-IN"/>
          </w:rPr>
          <m:t> ppt</m:t>
        </m:r>
      </m:oMath>
      <w:r w:rsidRPr="005A2629">
        <w:rPr>
          <w:rFonts w:ascii="Times New Roman" w:hAnsi="Times New Roman" w:cs="Times New Roman"/>
          <w:lang w:val="en-IN"/>
        </w:rPr>
        <w:t>), whereas extreme hypoosmotic (</w:t>
      </w:r>
      <m:oMath>
        <m:r>
          <w:rPr>
            <w:rFonts w:ascii="Cambria Math" w:hAnsi="Cambria Math" w:cs="Times New Roman"/>
            <w:lang w:val="en-IN"/>
          </w:rPr>
          <m:t>5</m:t>
        </m:r>
        <m:r>
          <m:rPr>
            <m:nor/>
          </m:rPr>
          <w:rPr>
            <w:rFonts w:ascii="Times New Roman" w:hAnsi="Times New Roman" w:cs="Times New Roman"/>
            <w:lang w:val="en-IN"/>
          </w:rPr>
          <m:t> ppt</m:t>
        </m:r>
      </m:oMath>
      <w:r w:rsidRPr="005A2629">
        <w:rPr>
          <w:rFonts w:ascii="Times New Roman" w:hAnsi="Times New Roman" w:cs="Times New Roman"/>
          <w:lang w:val="en-IN"/>
        </w:rPr>
        <w:t>) and marine baseline (</w:t>
      </w:r>
      <m:oMath>
        <m:r>
          <w:rPr>
            <w:rFonts w:ascii="Cambria Math" w:hAnsi="Cambria Math" w:cs="Times New Roman"/>
            <w:lang w:val="en-IN"/>
          </w:rPr>
          <m:t>35</m:t>
        </m:r>
        <m:r>
          <m:rPr>
            <m:nor/>
          </m:rPr>
          <w:rPr>
            <w:rFonts w:ascii="Times New Roman" w:hAnsi="Times New Roman" w:cs="Times New Roman"/>
            <w:lang w:val="en-IN"/>
          </w:rPr>
          <m:t> ppt</m:t>
        </m:r>
      </m:oMath>
      <w:r w:rsidRPr="005A2629">
        <w:rPr>
          <w:rFonts w:ascii="Times New Roman" w:hAnsi="Times New Roman" w:cs="Times New Roman"/>
          <w:lang w:val="en-IN"/>
        </w:rPr>
        <w:t>) conditions restrict their growth potential.</w:t>
      </w:r>
    </w:p>
    <w:p w14:paraId="4354E296" w14:textId="77777777" w:rsidR="00974010" w:rsidRPr="005A2629" w:rsidRDefault="00974010" w:rsidP="00D8600A">
      <w:pPr>
        <w:pStyle w:val="BodyText"/>
        <w:spacing w:line="276" w:lineRule="auto"/>
        <w:jc w:val="both"/>
        <w:rPr>
          <w:rFonts w:ascii="Times New Roman" w:hAnsi="Times New Roman" w:cs="Times New Roman"/>
          <w:b/>
          <w:bCs/>
        </w:rPr>
      </w:pPr>
      <w:r w:rsidRPr="005A2629">
        <w:rPr>
          <w:rFonts w:ascii="Times New Roman" w:hAnsi="Times New Roman"/>
          <w:b/>
          <w:lang w:val="en-GB"/>
        </w:rPr>
        <w:t xml:space="preserve">Osmoregulatory Parameters of </w:t>
      </w:r>
      <w:r w:rsidRPr="005A2629">
        <w:rPr>
          <w:rFonts w:ascii="Times New Roman" w:hAnsi="Times New Roman"/>
          <w:b/>
          <w:i/>
          <w:lang w:val="en-GB"/>
        </w:rPr>
        <w:t>T. blochii</w:t>
      </w:r>
      <w:r w:rsidRPr="005A2629">
        <w:rPr>
          <w:rFonts w:ascii="Times New Roman" w:hAnsi="Times New Roman"/>
          <w:b/>
          <w:lang w:val="en-GB"/>
        </w:rPr>
        <w:t xml:space="preserve"> Reared at Different Salinities</w:t>
      </w:r>
    </w:p>
    <w:p w14:paraId="2A8578D3" w14:textId="77777777" w:rsidR="00E12026" w:rsidRPr="005A2629" w:rsidRDefault="00E12026" w:rsidP="00E12026">
      <w:pPr>
        <w:tabs>
          <w:tab w:val="left" w:pos="2895"/>
        </w:tabs>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 xml:space="preserve">The biological data indicate that extreme hypoosmotic and hyperosmotic environments impose severe osmoregulatory burdens on T. </w:t>
      </w:r>
      <w:proofErr w:type="spellStart"/>
      <w:r w:rsidRPr="005A2629">
        <w:rPr>
          <w:rFonts w:ascii="Times New Roman" w:hAnsi="Times New Roman" w:cs="Times New Roman"/>
          <w:sz w:val="24"/>
          <w:szCs w:val="24"/>
        </w:rPr>
        <w:t>blochii</w:t>
      </w:r>
      <w:proofErr w:type="spellEnd"/>
      <w:r w:rsidRPr="005A2629">
        <w:rPr>
          <w:rFonts w:ascii="Times New Roman" w:hAnsi="Times New Roman" w:cs="Times New Roman"/>
          <w:sz w:val="24"/>
          <w:szCs w:val="24"/>
        </w:rPr>
        <w:t xml:space="preserve">, shifting energy budgets away from somatic growth toward basic homeostatic maintenance. This process is consistent with the established paradigm that teleost fishes exhibit minimised energy requirements for osmoregulation when reared close to their internal isosmotic point, which sits near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(Mulyadi et al., 20</w:t>
      </w:r>
      <w:r w:rsidR="00547DB7" w:rsidRPr="005A2629">
        <w:rPr>
          <w:rFonts w:ascii="Times New Roman" w:hAnsi="Times New Roman" w:cs="Times New Roman"/>
          <w:sz w:val="24"/>
          <w:szCs w:val="24"/>
        </w:rPr>
        <w:t>20</w:t>
      </w:r>
      <w:r w:rsidRPr="005A2629">
        <w:rPr>
          <w:rFonts w:ascii="Times New Roman" w:hAnsi="Times New Roman" w:cs="Times New Roman"/>
          <w:sz w:val="24"/>
          <w:szCs w:val="24"/>
        </w:rPr>
        <w:t xml:space="preserve">). The </w:t>
      </w:r>
      <w:r w:rsidRPr="005A2629">
        <w:rPr>
          <w:rFonts w:ascii="Times New Roman" w:hAnsi="Times New Roman" w:cs="Times New Roman"/>
          <w:sz w:val="24"/>
          <w:szCs w:val="24"/>
        </w:rPr>
        <w:lastRenderedPageBreak/>
        <w:t xml:space="preserve">clear reduction in growth performance at </w:t>
      </w:r>
      <m:oMath>
        <m:r>
          <m:rPr>
            <m:sty m:val="p"/>
          </m:rPr>
          <w:rPr>
            <w:rFonts w:ascii="Cambria Math" w:hAnsi="Cambria Math" w:cs="Times New Roman"/>
            <w:sz w:val="24"/>
            <w:szCs w:val="24"/>
          </w:rPr>
          <m:t>35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demonstrates that while juvenile silver pompano </w:t>
      </w:r>
      <w:proofErr w:type="gramStart"/>
      <w:r w:rsidRPr="005A2629">
        <w:rPr>
          <w:rFonts w:ascii="Times New Roman" w:hAnsi="Times New Roman" w:cs="Times New Roman"/>
          <w:sz w:val="24"/>
          <w:szCs w:val="24"/>
        </w:rPr>
        <w:t>survive</w:t>
      </w:r>
      <w:proofErr w:type="gramEnd"/>
      <w:r w:rsidRPr="005A2629">
        <w:rPr>
          <w:rFonts w:ascii="Times New Roman" w:hAnsi="Times New Roman" w:cs="Times New Roman"/>
          <w:sz w:val="24"/>
          <w:szCs w:val="24"/>
        </w:rPr>
        <w:t xml:space="preserve"> under full marine conditions, they are physiologically optimised for brackish or estuarine environments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during their early developmental stages (Mulyadi et al., 20</w:t>
      </w:r>
      <w:r w:rsidR="00547DB7" w:rsidRPr="005A2629">
        <w:rPr>
          <w:rFonts w:ascii="Times New Roman" w:hAnsi="Times New Roman" w:cs="Times New Roman"/>
          <w:sz w:val="24"/>
          <w:szCs w:val="24"/>
        </w:rPr>
        <w:t>20</w:t>
      </w:r>
      <w:r w:rsidRPr="005A2629">
        <w:rPr>
          <w:rFonts w:ascii="Times New Roman" w:hAnsi="Times New Roman" w:cs="Times New Roman"/>
          <w:sz w:val="24"/>
          <w:szCs w:val="24"/>
        </w:rPr>
        <w:t>).</w:t>
      </w:r>
    </w:p>
    <w:p w14:paraId="5D78F272" w14:textId="18E28B55" w:rsidR="00CE22AF" w:rsidRPr="005A2629" w:rsidRDefault="00E12026" w:rsidP="00D8600A">
      <w:pPr>
        <w:tabs>
          <w:tab w:val="left" w:pos="2895"/>
        </w:tabs>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Previous physiological models confirm that the elevated energy costs required to maintain ionic gradients under severe salinity variations significantly reduce the net energy available for mass accumulation (Imsland et al., 2008; Evans, 2010; Mahmudul et al., 2014). Consequently, juveniles exposed to the extreme low-salinity treatment (</w:t>
      </w:r>
      <m:oMath>
        <m:r>
          <m:rPr>
            <m:sty m:val="p"/>
          </m:rP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T3) faced heavy ion-regulatory workloads, contrasting with the metabolic comfort zone observed at the intermediate isosmotic salinity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T2</w:t>
      </w:r>
      <w:r w:rsidR="000A63AD" w:rsidRPr="005A2629">
        <w:rPr>
          <w:rFonts w:ascii="Times New Roman" w:hAnsi="Times New Roman" w:cs="Times New Roman"/>
          <w:sz w:val="24"/>
          <w:szCs w:val="24"/>
        </w:rPr>
        <w:t>). This</w:t>
      </w:r>
      <w:r w:rsidR="00CE22AF" w:rsidRPr="005A2629">
        <w:rPr>
          <w:rFonts w:ascii="Times New Roman" w:hAnsi="Times New Roman" w:cs="Times New Roman"/>
          <w:sz w:val="24"/>
          <w:szCs w:val="24"/>
        </w:rPr>
        <w:t xml:space="preserve"> physiological trend is consistent with patterns documented in other marine </w:t>
      </w:r>
      <w:proofErr w:type="spellStart"/>
      <w:r w:rsidR="00CE22AF" w:rsidRPr="005A2629">
        <w:rPr>
          <w:rFonts w:ascii="Times New Roman" w:hAnsi="Times New Roman" w:cs="Times New Roman"/>
          <w:sz w:val="24"/>
          <w:szCs w:val="24"/>
        </w:rPr>
        <w:t>teleosts</w:t>
      </w:r>
      <w:proofErr w:type="spellEnd"/>
      <w:r w:rsidR="00CE22AF" w:rsidRPr="005A2629">
        <w:rPr>
          <w:rFonts w:ascii="Times New Roman" w:hAnsi="Times New Roman" w:cs="Times New Roman"/>
          <w:sz w:val="24"/>
          <w:szCs w:val="24"/>
        </w:rPr>
        <w:t xml:space="preserve"> subjected to hypoosmotic environments (Rocha da Silva et al., 2005; Tsuzuki et al., 2007; Zheng et al., 20</w:t>
      </w:r>
      <w:r w:rsidR="00EA49C7">
        <w:rPr>
          <w:rFonts w:ascii="Times New Roman" w:hAnsi="Times New Roman" w:cs="Times New Roman"/>
          <w:sz w:val="24"/>
          <w:szCs w:val="24"/>
        </w:rPr>
        <w:t>16</w:t>
      </w:r>
      <w:r w:rsidR="00CE22AF" w:rsidRPr="005A2629">
        <w:rPr>
          <w:rFonts w:ascii="Times New Roman" w:hAnsi="Times New Roman" w:cs="Times New Roman"/>
          <w:sz w:val="24"/>
          <w:szCs w:val="24"/>
        </w:rPr>
        <w:t>). Ambient salinities that match the natural habitat or isosmotic point of a species typically minimise standard metabolic rates by optimizing energy allocation (Morgan &amp; Iwama, 1991).</w:t>
      </w:r>
    </w:p>
    <w:p w14:paraId="03F9D74F" w14:textId="77777777" w:rsidR="000A63AD" w:rsidRPr="005A2629" w:rsidRDefault="00CE22AF" w:rsidP="000A63AD">
      <w:pPr>
        <w:tabs>
          <w:tab w:val="left" w:pos="2895"/>
        </w:tabs>
        <w:spacing w:line="276" w:lineRule="auto"/>
        <w:jc w:val="both"/>
        <w:rPr>
          <w:rFonts w:ascii="Times New Roman" w:hAnsi="Times New Roman" w:cs="Times New Roman"/>
        </w:rPr>
      </w:pPr>
      <w:r w:rsidRPr="005A2629">
        <w:rPr>
          <w:rFonts w:ascii="Times New Roman" w:hAnsi="Times New Roman" w:cs="Times New Roman"/>
          <w:sz w:val="24"/>
          <w:szCs w:val="24"/>
        </w:rPr>
        <w:t xml:space="preserve">Furthermore, </w:t>
      </w:r>
      <w:proofErr w:type="spellStart"/>
      <w:r w:rsidRPr="005A2629">
        <w:rPr>
          <w:rFonts w:ascii="Times New Roman" w:hAnsi="Times New Roman" w:cs="Times New Roman"/>
          <w:sz w:val="24"/>
          <w:szCs w:val="24"/>
        </w:rPr>
        <w:t>Retnani</w:t>
      </w:r>
      <w:proofErr w:type="spellEnd"/>
      <w:r w:rsidRPr="005A2629">
        <w:rPr>
          <w:rFonts w:ascii="Times New Roman" w:hAnsi="Times New Roman" w:cs="Times New Roman"/>
          <w:sz w:val="24"/>
          <w:szCs w:val="24"/>
        </w:rPr>
        <w:t xml:space="preserve"> and Abdulgani (2013) demonstrated that the capacity for salinity adaptation depends heavily on body size and developmental stage, with osmoregulatory efficiency exhibiting clear ontogenetic shifts. According to </w:t>
      </w:r>
      <w:proofErr w:type="spellStart"/>
      <w:r w:rsidRPr="005A2629">
        <w:rPr>
          <w:rFonts w:ascii="Times New Roman" w:hAnsi="Times New Roman" w:cs="Times New Roman"/>
          <w:sz w:val="24"/>
          <w:szCs w:val="24"/>
        </w:rPr>
        <w:t>Lantu</w:t>
      </w:r>
      <w:proofErr w:type="spellEnd"/>
      <w:r w:rsidRPr="005A2629">
        <w:rPr>
          <w:rFonts w:ascii="Times New Roman" w:hAnsi="Times New Roman" w:cs="Times New Roman"/>
          <w:sz w:val="24"/>
          <w:szCs w:val="24"/>
        </w:rPr>
        <w:t xml:space="preserve"> (2010), the </w:t>
      </w:r>
      <w:proofErr w:type="spellStart"/>
      <w:r w:rsidRPr="005A2629">
        <w:rPr>
          <w:rFonts w:ascii="Times New Roman" w:hAnsi="Times New Roman" w:cs="Times New Roman"/>
          <w:sz w:val="24"/>
          <w:szCs w:val="24"/>
        </w:rPr>
        <w:t>osmosensitivity</w:t>
      </w:r>
      <w:proofErr w:type="spellEnd"/>
      <w:r w:rsidRPr="005A2629">
        <w:rPr>
          <w:rFonts w:ascii="Times New Roman" w:hAnsi="Times New Roman" w:cs="Times New Roman"/>
          <w:sz w:val="24"/>
          <w:szCs w:val="24"/>
        </w:rPr>
        <w:t xml:space="preserve"> of specialised </w:t>
      </w:r>
      <w:proofErr w:type="spellStart"/>
      <w:r w:rsidRPr="005A2629">
        <w:rPr>
          <w:rFonts w:ascii="Times New Roman" w:hAnsi="Times New Roman" w:cs="Times New Roman"/>
          <w:sz w:val="24"/>
          <w:szCs w:val="24"/>
        </w:rPr>
        <w:t>ionocytes</w:t>
      </w:r>
      <w:proofErr w:type="spellEnd"/>
      <w:r w:rsidRPr="005A2629">
        <w:rPr>
          <w:rFonts w:ascii="Times New Roman" w:hAnsi="Times New Roman" w:cs="Times New Roman"/>
          <w:sz w:val="24"/>
          <w:szCs w:val="24"/>
        </w:rPr>
        <w:t xml:space="preserve"> (chloride cells) plays an integral role in mediating homeostatic adjustments in euryhaline species. These cells function as specialised receptors that detect changes in external osmotic pressure. Upon exposure to fluctuating ambient salinities, branchial </w:t>
      </w:r>
      <w:proofErr w:type="spellStart"/>
      <w:r w:rsidRPr="005A2629">
        <w:rPr>
          <w:rFonts w:ascii="Times New Roman" w:hAnsi="Times New Roman" w:cs="Times New Roman"/>
          <w:sz w:val="24"/>
          <w:szCs w:val="24"/>
        </w:rPr>
        <w:t>ionocytes</w:t>
      </w:r>
      <w:proofErr w:type="spellEnd"/>
      <w:r w:rsidRPr="005A2629">
        <w:rPr>
          <w:rFonts w:ascii="Times New Roman" w:hAnsi="Times New Roman" w:cs="Times New Roman"/>
          <w:sz w:val="24"/>
          <w:szCs w:val="24"/>
        </w:rPr>
        <w:t xml:space="preserve"> participate in signalling cascades directed toward the neuroendocrine system, modulating the pituitary gland's secretion of growth hormone and prolactin to coordinate systemic acclimation</w:t>
      </w:r>
      <w:r w:rsidRPr="005A2629">
        <w:t>.</w:t>
      </w:r>
      <w:r w:rsidRPr="005A2629">
        <w:rPr>
          <w:rFonts w:ascii="Times New Roman" w:hAnsi="Times New Roman" w:cs="Times New Roman"/>
          <w:sz w:val="24"/>
          <w:szCs w:val="24"/>
        </w:rPr>
        <w:t xml:space="preserve"> These endocrine pathways subsequently regulate the proliferation, size, and ion-transport capacity </w:t>
      </w:r>
      <w:proofErr w:type="spellStart"/>
      <w:r w:rsidRPr="005A2629">
        <w:rPr>
          <w:rFonts w:ascii="Times New Roman" w:hAnsi="Times New Roman" w:cs="Times New Roman"/>
          <w:sz w:val="24"/>
          <w:szCs w:val="24"/>
        </w:rPr>
        <w:t>ofionocytes</w:t>
      </w:r>
      <w:proofErr w:type="spellEnd"/>
      <w:r w:rsidRPr="005A2629">
        <w:rPr>
          <w:rFonts w:ascii="Times New Roman" w:hAnsi="Times New Roman" w:cs="Times New Roman"/>
          <w:sz w:val="24"/>
          <w:szCs w:val="24"/>
        </w:rPr>
        <w:t xml:space="preserve"> within primary osmoregulatory tissues, such as the gills. Consequently, a strong correlation exists between environmental salinity and the metabolic adjustments required for teleost osmoregulation. Acute, unmitigated shifts in environmental salinity can induce osmotic shock, disrupting systemic ion balances, exhausting cellular energy reserves, and ultimately leading to severe mortality. The initial physiological response of T. </w:t>
      </w:r>
      <w:proofErr w:type="spellStart"/>
      <w:r w:rsidRPr="005A2629">
        <w:rPr>
          <w:rFonts w:ascii="Times New Roman" w:hAnsi="Times New Roman" w:cs="Times New Roman"/>
          <w:sz w:val="24"/>
          <w:szCs w:val="24"/>
        </w:rPr>
        <w:t>blochii</w:t>
      </w:r>
      <w:proofErr w:type="spellEnd"/>
      <w:r w:rsidRPr="005A2629">
        <w:rPr>
          <w:rFonts w:ascii="Times New Roman" w:hAnsi="Times New Roman" w:cs="Times New Roman"/>
          <w:sz w:val="24"/>
          <w:szCs w:val="24"/>
        </w:rPr>
        <w:t xml:space="preserve"> </w:t>
      </w:r>
      <w:r w:rsidRPr="005A2629">
        <w:rPr>
          <w:rFonts w:ascii="Times New Roman" w:hAnsi="Times New Roman" w:cs="Times New Roman"/>
          <w:i/>
          <w:iCs/>
          <w:sz w:val="24"/>
          <w:szCs w:val="24"/>
        </w:rPr>
        <w:t>transferre</w:t>
      </w:r>
      <w:r w:rsidRPr="005A2629">
        <w:rPr>
          <w:rFonts w:ascii="Times New Roman" w:hAnsi="Times New Roman" w:cs="Times New Roman"/>
          <w:sz w:val="24"/>
          <w:szCs w:val="24"/>
        </w:rPr>
        <w:t>d to reduced salinity regimes (</w:t>
      </w:r>
      <m:oMath>
        <m:r>
          <w:rPr>
            <w:rFonts w:ascii="Cambria Math" w:hAnsi="Cambria Math" w:cs="Times New Roman"/>
            <w:sz w:val="24"/>
            <w:szCs w:val="24"/>
          </w:rPr>
          <m:t>25</m:t>
        </m:r>
      </m:oMath>
      <w:r w:rsidRPr="005A2629">
        <w:rPr>
          <w:rFonts w:ascii="Times New Roman" w:hAnsi="Times New Roman" w:cs="Times New Roman"/>
          <w:sz w:val="24"/>
          <w:szCs w:val="24"/>
        </w:rPr>
        <w:t xml:space="preserve">, </w:t>
      </w:r>
      <m:oMath>
        <m:r>
          <w:rPr>
            <w:rFonts w:ascii="Cambria Math" w:hAnsi="Cambria Math" w:cs="Times New Roman"/>
            <w:sz w:val="24"/>
            <w:szCs w:val="24"/>
          </w:rPr>
          <m:t>15</m:t>
        </m:r>
      </m:oMath>
      <w:r w:rsidRPr="005A2629">
        <w:rPr>
          <w:rFonts w:ascii="Times New Roman" w:hAnsi="Times New Roman" w:cs="Times New Roman"/>
          <w:sz w:val="24"/>
          <w:szCs w:val="24"/>
        </w:rPr>
        <w:t xml:space="preserve">, and </w:t>
      </w:r>
      <m:oMath>
        <m: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was characterized by a sharp elevation in circulating plasma cortisol levels on Day 10 relative to the control group (</w:t>
      </w:r>
      <m:oMath>
        <m:r>
          <w:rPr>
            <w:rFonts w:ascii="Cambria Math" w:hAnsi="Cambria Math" w:cs="Times New Roman"/>
            <w:sz w:val="24"/>
            <w:szCs w:val="24"/>
          </w:rPr>
          <m:t>35</m:t>
        </m:r>
        <m:r>
          <m:rPr>
            <m:nor/>
          </m:rPr>
          <w:rPr>
            <w:rFonts w:ascii="Times New Roman" w:hAnsi="Times New Roman" w:cs="Times New Roman"/>
            <w:sz w:val="24"/>
            <w:szCs w:val="24"/>
          </w:rPr>
          <m:t> ppt</m:t>
        </m:r>
      </m:oMath>
      <w:r w:rsidRPr="005A2629">
        <w:rPr>
          <w:rFonts w:ascii="Times New Roman" w:hAnsi="Times New Roman" w:cs="Times New Roman"/>
          <w:sz w:val="24"/>
          <w:szCs w:val="24"/>
        </w:rPr>
        <w:t>; Figure 9). This immediate surge represents a classic primary neuroendocrine stress response elicited by acute osmotic</w:t>
      </w:r>
      <w:r w:rsidRPr="005A2629">
        <w:rPr>
          <w:rFonts w:ascii="Times New Roman" w:hAnsi="Times New Roman" w:cs="Times New Roman"/>
        </w:rPr>
        <w:t xml:space="preserve"> disruption. As noted by </w:t>
      </w:r>
      <w:proofErr w:type="spellStart"/>
      <w:r w:rsidRPr="005A2629">
        <w:rPr>
          <w:rFonts w:ascii="Times New Roman" w:hAnsi="Times New Roman" w:cs="Times New Roman"/>
        </w:rPr>
        <w:t>Setiyoningsih</w:t>
      </w:r>
      <w:proofErr w:type="spellEnd"/>
      <w:r w:rsidRPr="005A2629">
        <w:rPr>
          <w:rFonts w:ascii="Times New Roman" w:hAnsi="Times New Roman" w:cs="Times New Roman"/>
        </w:rPr>
        <w:t xml:space="preserve"> (2014), environmental alterations stimulate the hypothalamic-pituitary-</w:t>
      </w:r>
      <w:proofErr w:type="spellStart"/>
      <w:r w:rsidRPr="005A2629">
        <w:rPr>
          <w:rFonts w:ascii="Times New Roman" w:hAnsi="Times New Roman" w:cs="Times New Roman"/>
        </w:rPr>
        <w:t>interrenal</w:t>
      </w:r>
      <w:proofErr w:type="spellEnd"/>
      <w:r w:rsidRPr="005A2629">
        <w:rPr>
          <w:rFonts w:ascii="Times New Roman" w:hAnsi="Times New Roman" w:cs="Times New Roman"/>
        </w:rPr>
        <w:t xml:space="preserve"> (HPI) axis, triggering the rapid systemic release of catecholamines and glucocorticoids to initiate homeostatic compensation.</w:t>
      </w:r>
    </w:p>
    <w:p w14:paraId="22C5A7A6" w14:textId="77777777" w:rsidR="00CE22AF" w:rsidRPr="005A2629" w:rsidRDefault="00CE22AF" w:rsidP="000A63AD">
      <w:pPr>
        <w:tabs>
          <w:tab w:val="left" w:pos="2895"/>
        </w:tabs>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 xml:space="preserve">Following the initial acute peak, plasma cortisol concentrations systematically declined from Day 30 to Day 60 in the </w:t>
      </w:r>
      <m:oMath>
        <m:r>
          <w:rPr>
            <w:rFonts w:ascii="Cambria Math" w:hAnsi="Cambria Math" w:cs="Times New Roman"/>
            <w:sz w:val="24"/>
            <w:szCs w:val="24"/>
          </w:rPr>
          <m:t>25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(T1) and </w:t>
      </w:r>
      <m:oMath>
        <m: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(T2) treatment cohorts, indicating effective long-term physiological adaptation. Conversely, the </w:t>
      </w:r>
      <m:oMath>
        <m: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hypoosmotic treatment group (T3) maintained significantly elevated cortisol levels (</w:t>
      </w:r>
      <m:oMath>
        <m:r>
          <w:rPr>
            <w:rFonts w:ascii="Cambria Math" w:hAnsi="Cambria Math" w:cs="Times New Roman"/>
            <w:sz w:val="24"/>
            <w:szCs w:val="24"/>
          </w:rPr>
          <m:t>73.28±0.49</m:t>
        </m:r>
        <m:sSup>
          <m:sSupPr>
            <m:ctrlPr>
              <w:rPr>
                <w:rFonts w:ascii="Cambria Math" w:hAnsi="Cambria Math" w:cs="Times New Roman"/>
                <w:sz w:val="24"/>
                <w:szCs w:val="24"/>
              </w:rPr>
            </m:ctrlPr>
          </m:sSupPr>
          <m:e>
            <m:r>
              <m:rPr>
                <m:nor/>
              </m:rPr>
              <w:rPr>
                <w:rFonts w:ascii="Times New Roman" w:hAnsi="Times New Roman" w:cs="Times New Roman"/>
                <w:sz w:val="24"/>
                <w:szCs w:val="24"/>
              </w:rPr>
              <m:t> ng mL</m:t>
            </m:r>
          </m:e>
          <m:sup>
            <m:r>
              <w:rPr>
                <w:rFonts w:ascii="Cambria Math" w:hAnsi="Cambria Math" w:cs="Times New Roman"/>
                <w:sz w:val="24"/>
                <w:szCs w:val="24"/>
              </w:rPr>
              <m:t>-1</m:t>
            </m:r>
          </m:sup>
        </m:sSup>
      </m:oMath>
      <w:r w:rsidRPr="005A2629">
        <w:rPr>
          <w:rFonts w:ascii="Times New Roman" w:hAnsi="Times New Roman" w:cs="Times New Roman"/>
          <w:sz w:val="24"/>
          <w:szCs w:val="24"/>
        </w:rPr>
        <w:t xml:space="preserve">) up to Day 60, pointing to a state of chronic osmoregulatory stress. At an intermediate salinity of </w:t>
      </w:r>
      <m:oMath>
        <m: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baseline stabilization of cortisol levels indicates an optimal osmoregulatory equilibrium. Prolactin and cortisol operate synergistically to coordinate teleost osmoregulation by modulating ion influx and efflux mechanisms, respectively (</w:t>
      </w:r>
      <w:proofErr w:type="spellStart"/>
      <w:r w:rsidRPr="005A2629">
        <w:rPr>
          <w:rFonts w:ascii="Times New Roman" w:hAnsi="Times New Roman" w:cs="Times New Roman"/>
          <w:sz w:val="24"/>
          <w:szCs w:val="24"/>
        </w:rPr>
        <w:t>Pamungkas</w:t>
      </w:r>
      <w:proofErr w:type="spellEnd"/>
      <w:r w:rsidRPr="005A2629">
        <w:rPr>
          <w:rFonts w:ascii="Times New Roman" w:hAnsi="Times New Roman" w:cs="Times New Roman"/>
          <w:sz w:val="24"/>
          <w:szCs w:val="24"/>
        </w:rPr>
        <w:t xml:space="preserve">, 2012). Cortisol </w:t>
      </w:r>
      <w:r w:rsidRPr="005A2629">
        <w:rPr>
          <w:rFonts w:ascii="Times New Roman" w:hAnsi="Times New Roman" w:cs="Times New Roman"/>
          <w:sz w:val="24"/>
          <w:szCs w:val="24"/>
        </w:rPr>
        <w:lastRenderedPageBreak/>
        <w:t xml:space="preserve">regulates </w:t>
      </w:r>
      <w:proofErr w:type="spellStart"/>
      <w:r w:rsidRPr="005A2629">
        <w:rPr>
          <w:rFonts w:ascii="Times New Roman" w:hAnsi="Times New Roman" w:cs="Times New Roman"/>
          <w:sz w:val="24"/>
          <w:szCs w:val="24"/>
        </w:rPr>
        <w:t>hyperosmoregulatory</w:t>
      </w:r>
      <w:proofErr w:type="spellEnd"/>
      <w:r w:rsidRPr="005A2629">
        <w:rPr>
          <w:rFonts w:ascii="Times New Roman" w:hAnsi="Times New Roman" w:cs="Times New Roman"/>
          <w:sz w:val="24"/>
          <w:szCs w:val="24"/>
        </w:rPr>
        <w:t xml:space="preserve"> pathways by driving the differentiation and up-regulation of branchial </w:t>
      </w:r>
      <w:proofErr w:type="spellStart"/>
      <w:r w:rsidRPr="005A2629">
        <w:rPr>
          <w:rFonts w:ascii="Times New Roman" w:hAnsi="Times New Roman" w:cs="Times New Roman"/>
          <w:sz w:val="24"/>
          <w:szCs w:val="24"/>
        </w:rPr>
        <w:t>ionocytes</w:t>
      </w:r>
      <w:proofErr w:type="spellEnd"/>
      <w:r w:rsidRPr="005A2629">
        <w:rPr>
          <w:rFonts w:ascii="Times New Roman" w:hAnsi="Times New Roman" w:cs="Times New Roman"/>
          <w:sz w:val="24"/>
          <w:szCs w:val="24"/>
        </w:rPr>
        <w:t xml:space="preserve"> to maintain systemic homeostatic balances.</w:t>
      </w:r>
    </w:p>
    <w:p w14:paraId="13BD5CC1" w14:textId="77777777" w:rsidR="00CE22AF" w:rsidRPr="005A2629" w:rsidRDefault="00CE22AF" w:rsidP="00CE22AF">
      <w:pPr>
        <w:tabs>
          <w:tab w:val="left" w:pos="2895"/>
        </w:tabs>
        <w:spacing w:line="276" w:lineRule="auto"/>
        <w:jc w:val="both"/>
        <w:rPr>
          <w:rFonts w:ascii="Times New Roman" w:hAnsi="Times New Roman" w:cs="Times New Roman"/>
          <w:sz w:val="24"/>
          <w:szCs w:val="24"/>
        </w:rPr>
      </w:pPr>
      <w:r w:rsidRPr="005A2629">
        <w:rPr>
          <w:rFonts w:ascii="Times New Roman" w:hAnsi="Times New Roman"/>
          <w:sz w:val="24"/>
          <w:lang w:val="en-GB"/>
        </w:rPr>
        <w:t>This hormonal mobilisation is consistent with the model proposed by Scabra (2018), in which increased stress is associated with mobilisation of hepatic energy reserves to support metabolic demand. To sustain homeostatic adjustments, stressed teleosts increase basal metabolic activity, thereby increasing cellular oxygen consumption. By the end of the 60-day trial, plasma cortisol concentrations in the T1 and T2 groups indicated physiological adjustment to reduced salinity. However, cortisol in T2 remained significantly higher than that in the control group on Day 60, indicating that it had not returned completely to the basal level.</w:t>
      </w:r>
    </w:p>
    <w:p w14:paraId="629C1C99" w14:textId="77777777" w:rsidR="00CE22AF" w:rsidRPr="005A2629" w:rsidRDefault="00CE22AF" w:rsidP="00CE22AF">
      <w:pPr>
        <w:tabs>
          <w:tab w:val="left" w:pos="2895"/>
        </w:tabs>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 xml:space="preserve">Euryhaline </w:t>
      </w:r>
      <w:proofErr w:type="spellStart"/>
      <w:r w:rsidRPr="005A2629">
        <w:rPr>
          <w:rFonts w:ascii="Times New Roman" w:hAnsi="Times New Roman" w:cs="Times New Roman"/>
          <w:sz w:val="24"/>
          <w:szCs w:val="24"/>
        </w:rPr>
        <w:t>teleosts</w:t>
      </w:r>
      <w:proofErr w:type="spellEnd"/>
      <w:r w:rsidRPr="005A2629">
        <w:rPr>
          <w:rFonts w:ascii="Times New Roman" w:hAnsi="Times New Roman" w:cs="Times New Roman"/>
          <w:sz w:val="24"/>
          <w:szCs w:val="24"/>
        </w:rPr>
        <w:t xml:space="preserve"> are characterized by their capacity to regulate internal osmotic and plasma ionic compositions when subjected to environmental salinity shifts (Mylonas et al., 2009; Nordlie, 2016; Tomy et al., 2009). In the present study, long-term exposure to varying salinities (</w:t>
      </w:r>
      <m:oMath>
        <m:r>
          <m:rPr>
            <m:sty m:val="p"/>
          </m:rPr>
          <w:rPr>
            <w:rFonts w:ascii="Cambria Math" w:hAnsi="Cambria Math" w:cs="Times New Roman"/>
            <w:sz w:val="24"/>
            <w:szCs w:val="24"/>
          </w:rPr>
          <m:t>5</m:t>
        </m:r>
        <m:r>
          <m:rPr>
            <m:nor/>
          </m:rPr>
          <w:rPr>
            <w:rFonts w:ascii="Times New Roman" w:hAnsi="Times New Roman" w:cs="Times New Roman"/>
            <w:sz w:val="24"/>
            <w:szCs w:val="24"/>
          </w:rPr>
          <m:t>–</m:t>
        </m:r>
        <m:r>
          <m:rPr>
            <m:sty m:val="p"/>
          </m:rPr>
          <w:rPr>
            <w:rFonts w:ascii="Cambria Math" w:hAnsi="Cambria Math" w:cs="Times New Roman"/>
            <w:sz w:val="24"/>
            <w:szCs w:val="24"/>
          </w:rPr>
          <m:t>35</m:t>
        </m:r>
        <m:r>
          <m:rPr>
            <m:nor/>
          </m:rPr>
          <w:rPr>
            <w:rFonts w:ascii="Times New Roman" w:hAnsi="Times New Roman" w:cs="Times New Roman"/>
            <w:sz w:val="24"/>
            <w:szCs w:val="24"/>
          </w:rPr>
          <m:t> ppt</m:t>
        </m:r>
      </m:oMath>
      <w:r w:rsidRPr="005A2629">
        <w:rPr>
          <w:rFonts w:ascii="Times New Roman" w:hAnsi="Times New Roman" w:cs="Times New Roman"/>
          <w:sz w:val="24"/>
          <w:szCs w:val="24"/>
        </w:rPr>
        <w:t>) induced distinct, permanent shifts in secondary stress indicators. Rather than returning completely to baseline, the sustained modifications in plasma glucose concentrations and haematocrit percentages reflect a continuous metabolic reorganisation required to support survival under chronic hypoosmotic conditions, matching the metabolic shift patterns documented by Herrera et al. (20</w:t>
      </w:r>
      <w:r w:rsidR="00364E78" w:rsidRPr="005A2629">
        <w:rPr>
          <w:rFonts w:ascii="Times New Roman" w:hAnsi="Times New Roman" w:cs="Times New Roman"/>
          <w:sz w:val="24"/>
          <w:szCs w:val="24"/>
        </w:rPr>
        <w:t>12</w:t>
      </w:r>
      <w:r w:rsidRPr="005A2629">
        <w:rPr>
          <w:rFonts w:ascii="Times New Roman" w:hAnsi="Times New Roman" w:cs="Times New Roman"/>
          <w:sz w:val="24"/>
          <w:szCs w:val="24"/>
        </w:rPr>
        <w:t>) and Sangiao-</w:t>
      </w:r>
      <w:proofErr w:type="spellStart"/>
      <w:r w:rsidRPr="005A2629">
        <w:rPr>
          <w:rFonts w:ascii="Times New Roman" w:hAnsi="Times New Roman" w:cs="Times New Roman"/>
          <w:sz w:val="24"/>
          <w:szCs w:val="24"/>
        </w:rPr>
        <w:t>Alvarellos</w:t>
      </w:r>
      <w:proofErr w:type="spellEnd"/>
      <w:r w:rsidRPr="005A2629">
        <w:rPr>
          <w:rFonts w:ascii="Times New Roman" w:hAnsi="Times New Roman" w:cs="Times New Roman"/>
          <w:sz w:val="24"/>
          <w:szCs w:val="24"/>
        </w:rPr>
        <w:t xml:space="preserve"> et al. (2003).</w:t>
      </w:r>
    </w:p>
    <w:p w14:paraId="1A01F42C" w14:textId="77777777" w:rsidR="00CE22AF" w:rsidRPr="005A2629" w:rsidRDefault="00CE22AF" w:rsidP="00CE22AF">
      <w:pPr>
        <w:pStyle w:val="BodyText"/>
        <w:spacing w:line="276" w:lineRule="auto"/>
        <w:jc w:val="both"/>
        <w:rPr>
          <w:rFonts w:ascii="Times New Roman" w:hAnsi="Times New Roman" w:cs="Times New Roman"/>
          <w:lang w:val="en-IN"/>
        </w:rPr>
      </w:pPr>
      <w:r w:rsidRPr="005A2629">
        <w:rPr>
          <w:rFonts w:ascii="Times New Roman" w:hAnsi="Times New Roman" w:cs="Times New Roman"/>
          <w:lang w:val="en-IN"/>
        </w:rPr>
        <w:t>This trend represents a secondary stress response linked to modifications in energy pathways driven by osmoregulatory demands (Arjona et al., 2009; Tseng &amp; Hwang, 2008). While literature suggests that stable acclimation to intermediate salinities typically yields well-regulated, baseline plasma glucose levels (</w:t>
      </w:r>
      <w:proofErr w:type="spellStart"/>
      <w:r w:rsidRPr="005A2629">
        <w:rPr>
          <w:rFonts w:ascii="Times New Roman" w:hAnsi="Times New Roman" w:cs="Times New Roman"/>
          <w:lang w:val="en-IN"/>
        </w:rPr>
        <w:t>Bystriansky</w:t>
      </w:r>
      <w:proofErr w:type="spellEnd"/>
      <w:r w:rsidRPr="005A2629">
        <w:rPr>
          <w:rFonts w:ascii="Times New Roman" w:hAnsi="Times New Roman" w:cs="Times New Roman"/>
          <w:lang w:val="en-IN"/>
        </w:rPr>
        <w:t xml:space="preserve"> et al., 2007; Jarvis &amp; Ballantyne, 2003), chronic challenges provoke prolonged homeostatic shifts. Fluctuations in blood haematocrit levels reflect shifts in total blood water content, erythrocyte mobilisation, and metabolic adjustments (Iwama et al., 1989; </w:t>
      </w:r>
      <w:proofErr w:type="spellStart"/>
      <w:r w:rsidRPr="005A2629">
        <w:rPr>
          <w:rFonts w:ascii="Times New Roman" w:hAnsi="Times New Roman" w:cs="Times New Roman"/>
          <w:lang w:val="en-IN"/>
        </w:rPr>
        <w:t>Prodocimo</w:t>
      </w:r>
      <w:proofErr w:type="spellEnd"/>
      <w:r w:rsidRPr="005A2629">
        <w:rPr>
          <w:rFonts w:ascii="Times New Roman" w:hAnsi="Times New Roman" w:cs="Times New Roman"/>
          <w:lang w:val="en-IN"/>
        </w:rPr>
        <w:t xml:space="preserve"> </w:t>
      </w:r>
      <w:proofErr w:type="spellStart"/>
      <w:r w:rsidRPr="005A2629">
        <w:rPr>
          <w:rFonts w:ascii="Times New Roman" w:hAnsi="Times New Roman" w:cs="Times New Roman"/>
          <w:lang w:val="en-IN"/>
        </w:rPr>
        <w:t>etal</w:t>
      </w:r>
      <w:proofErr w:type="spellEnd"/>
      <w:r w:rsidRPr="005A2629">
        <w:rPr>
          <w:rFonts w:ascii="Times New Roman" w:hAnsi="Times New Roman" w:cs="Times New Roman"/>
          <w:lang w:val="en-IN"/>
        </w:rPr>
        <w:t xml:space="preserve">., 2008). These parameters serve as sensitive biomarkers for evaluating the long-term physiological state of </w:t>
      </w:r>
      <w:proofErr w:type="spellStart"/>
      <w:r w:rsidRPr="005A2629">
        <w:rPr>
          <w:rFonts w:ascii="Times New Roman" w:hAnsi="Times New Roman" w:cs="Times New Roman"/>
          <w:lang w:val="en-IN"/>
        </w:rPr>
        <w:t>teleosts</w:t>
      </w:r>
      <w:proofErr w:type="spellEnd"/>
      <w:r w:rsidRPr="005A2629">
        <w:rPr>
          <w:rFonts w:ascii="Times New Roman" w:hAnsi="Times New Roman" w:cs="Times New Roman"/>
          <w:lang w:val="en-IN"/>
        </w:rPr>
        <w:t xml:space="preserve"> subjected to varying ambient salinities (Jarvis &amp; Ballantyne, 2003). Consequently, the sustained elevations in glucose and diminished haematocrit observed on Day 60 demonstrate that while T. blochii survived the hyperosmotic </w:t>
      </w:r>
      <w:proofErr w:type="spellStart"/>
      <w:r w:rsidRPr="005A2629">
        <w:rPr>
          <w:rFonts w:ascii="Times New Roman" w:hAnsi="Times New Roman" w:cs="Times New Roman"/>
          <w:i/>
          <w:iCs/>
          <w:lang w:val="en-IN"/>
        </w:rPr>
        <w:t>andhypoos</w:t>
      </w:r>
      <w:r w:rsidRPr="005A2629">
        <w:rPr>
          <w:rFonts w:ascii="Times New Roman" w:hAnsi="Times New Roman" w:cs="Times New Roman"/>
          <w:lang w:val="en-IN"/>
        </w:rPr>
        <w:t>motic</w:t>
      </w:r>
      <w:proofErr w:type="spellEnd"/>
      <w:r w:rsidRPr="005A2629">
        <w:rPr>
          <w:rFonts w:ascii="Times New Roman" w:hAnsi="Times New Roman" w:cs="Times New Roman"/>
          <w:lang w:val="en-IN"/>
        </w:rPr>
        <w:t xml:space="preserve"> trials, the extreme boundaries (</w:t>
      </w:r>
      <m:oMath>
        <m:r>
          <w:rPr>
            <w:rFonts w:ascii="Cambria Math" w:hAnsi="Cambria Math" w:cs="Times New Roman"/>
            <w:lang w:val="en-IN"/>
          </w:rPr>
          <m:t>5</m:t>
        </m:r>
        <m:r>
          <m:rPr>
            <m:nor/>
          </m:rPr>
          <w:rPr>
            <w:rFonts w:ascii="Times New Roman" w:hAnsi="Times New Roman" w:cs="Times New Roman"/>
            <w:lang w:val="en-IN"/>
          </w:rPr>
          <m:t> ppt</m:t>
        </m:r>
      </m:oMath>
      <w:r w:rsidRPr="005A2629">
        <w:rPr>
          <w:rFonts w:ascii="Times New Roman" w:hAnsi="Times New Roman" w:cs="Times New Roman"/>
          <w:lang w:val="en-IN"/>
        </w:rPr>
        <w:t xml:space="preserve"> and </w:t>
      </w:r>
      <m:oMath>
        <m:r>
          <w:rPr>
            <w:rFonts w:ascii="Cambria Math" w:hAnsi="Cambria Math" w:cs="Times New Roman"/>
            <w:lang w:val="en-IN"/>
          </w:rPr>
          <m:t>35</m:t>
        </m:r>
        <m:r>
          <m:rPr>
            <m:nor/>
          </m:rPr>
          <w:rPr>
            <w:rFonts w:ascii="Times New Roman" w:hAnsi="Times New Roman" w:cs="Times New Roman"/>
            <w:lang w:val="en-IN"/>
          </w:rPr>
          <m:t> ppt</m:t>
        </m:r>
      </m:oMath>
      <w:r w:rsidRPr="005A2629">
        <w:rPr>
          <w:rFonts w:ascii="Times New Roman" w:hAnsi="Times New Roman" w:cs="Times New Roman"/>
          <w:lang w:val="en-IN"/>
        </w:rPr>
        <w:t>) required continuous metabolic compensation.</w:t>
      </w:r>
    </w:p>
    <w:p w14:paraId="5801069D" w14:textId="77777777" w:rsidR="005F10F9" w:rsidRPr="005A2629" w:rsidRDefault="005F10F9" w:rsidP="00D8600A">
      <w:pPr>
        <w:pStyle w:val="BodyText"/>
        <w:spacing w:line="276" w:lineRule="auto"/>
        <w:jc w:val="both"/>
        <w:rPr>
          <w:rFonts w:ascii="Times New Roman" w:hAnsi="Times New Roman" w:cs="Times New Roman"/>
          <w:b/>
          <w:bCs/>
        </w:rPr>
      </w:pPr>
      <w:r w:rsidRPr="005A2629">
        <w:rPr>
          <w:rFonts w:ascii="Times New Roman" w:hAnsi="Times New Roman"/>
          <w:b/>
          <w:lang w:val="en-GB"/>
        </w:rPr>
        <w:t>Effects of Salinity on Growth Performance and Osmoregulation</w:t>
      </w:r>
    </w:p>
    <w:p w14:paraId="3A678B94" w14:textId="77777777" w:rsidR="00CE22AF" w:rsidRPr="005A2629" w:rsidRDefault="00CE22AF" w:rsidP="00CE22AF">
      <w:pPr>
        <w:tabs>
          <w:tab w:val="left" w:pos="2895"/>
        </w:tabs>
        <w:spacing w:line="276" w:lineRule="auto"/>
        <w:jc w:val="both"/>
        <w:rPr>
          <w:rFonts w:ascii="Times New Roman" w:hAnsi="Times New Roman" w:cs="Times New Roman"/>
          <w:sz w:val="24"/>
          <w:szCs w:val="24"/>
        </w:rPr>
      </w:pPr>
      <w:r w:rsidRPr="005A2629">
        <w:rPr>
          <w:rFonts w:ascii="Times New Roman" w:hAnsi="Times New Roman" w:cs="Times New Roman"/>
          <w:sz w:val="24"/>
          <w:szCs w:val="24"/>
        </w:rPr>
        <w:t xml:space="preserve">Ambient salinity acts as a major limiting factor governing the growth dynamics and osmoregulatory budgets of </w:t>
      </w:r>
      <w:proofErr w:type="spellStart"/>
      <w:r w:rsidRPr="005A2629">
        <w:rPr>
          <w:rFonts w:ascii="Times New Roman" w:hAnsi="Times New Roman" w:cs="Times New Roman"/>
          <w:sz w:val="24"/>
          <w:szCs w:val="24"/>
        </w:rPr>
        <w:t>teleosts</w:t>
      </w:r>
      <w:proofErr w:type="spellEnd"/>
      <w:r w:rsidRPr="005A2629">
        <w:rPr>
          <w:rFonts w:ascii="Times New Roman" w:hAnsi="Times New Roman" w:cs="Times New Roman"/>
          <w:sz w:val="24"/>
          <w:szCs w:val="24"/>
        </w:rPr>
        <w:t xml:space="preserve">, including carangids (Barman et al., 2005; Boeuf &amp; Payan, 2001; Rocha da Silva et al., 2005). Interestingly, the growth response of T. blochii differs slightly from the </w:t>
      </w:r>
      <w:proofErr w:type="spellStart"/>
      <w:r w:rsidRPr="005A2629">
        <w:rPr>
          <w:rFonts w:ascii="Times New Roman" w:hAnsi="Times New Roman" w:cs="Times New Roman"/>
          <w:sz w:val="24"/>
          <w:szCs w:val="24"/>
        </w:rPr>
        <w:t>patternsreported</w:t>
      </w:r>
      <w:proofErr w:type="spellEnd"/>
      <w:r w:rsidRPr="005A2629">
        <w:rPr>
          <w:rFonts w:ascii="Times New Roman" w:hAnsi="Times New Roman" w:cs="Times New Roman"/>
          <w:sz w:val="24"/>
          <w:szCs w:val="24"/>
        </w:rPr>
        <w:t xml:space="preserve"> for juvenile Florida pompano (Trachinotus carolinus). While T. </w:t>
      </w:r>
      <w:proofErr w:type="spellStart"/>
      <w:r w:rsidRPr="005A2629">
        <w:rPr>
          <w:rFonts w:ascii="Times New Roman" w:hAnsi="Times New Roman" w:cs="Times New Roman"/>
          <w:sz w:val="24"/>
          <w:szCs w:val="24"/>
        </w:rPr>
        <w:t>carolinus</w:t>
      </w:r>
      <w:proofErr w:type="spellEnd"/>
      <w:r w:rsidRPr="005A2629">
        <w:rPr>
          <w:rFonts w:ascii="Times New Roman" w:hAnsi="Times New Roman" w:cs="Times New Roman"/>
          <w:sz w:val="24"/>
          <w:szCs w:val="24"/>
        </w:rPr>
        <w:t xml:space="preserve"> demonstrated excellent growth metrics when reared at a low salinity of </w:t>
      </w:r>
      <m:oMath>
        <m:r>
          <m:rPr>
            <m:sty m:val="p"/>
          </m:rP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xml:space="preserve"> over an extended 110-day trial, the juvenile T. </w:t>
      </w:r>
      <w:proofErr w:type="spellStart"/>
      <w:r w:rsidRPr="005A2629">
        <w:rPr>
          <w:rFonts w:ascii="Times New Roman" w:hAnsi="Times New Roman" w:cs="Times New Roman"/>
          <w:sz w:val="24"/>
          <w:szCs w:val="24"/>
        </w:rPr>
        <w:t>blochii</w:t>
      </w:r>
      <w:proofErr w:type="spellEnd"/>
      <w:r w:rsidRPr="005A2629">
        <w:rPr>
          <w:rFonts w:ascii="Times New Roman" w:hAnsi="Times New Roman" w:cs="Times New Roman"/>
          <w:sz w:val="24"/>
          <w:szCs w:val="24"/>
        </w:rPr>
        <w:t xml:space="preserve"> in the present study achieved maximum somatic growth (body length and weight gain) at an intermediate isosmotic salinity (</w:t>
      </w:r>
      <m:oMath>
        <m:r>
          <m:rPr>
            <m:sty m:val="p"/>
          </m:rPr>
          <w:rPr>
            <w:rFonts w:ascii="Cambria Math" w:hAnsi="Cambria Math" w:cs="Times New Roman"/>
            <w:sz w:val="24"/>
            <w:szCs w:val="24"/>
          </w:rPr>
          <m:t>15</m:t>
        </m:r>
        <m:r>
          <m:rPr>
            <m:nor/>
          </m:rPr>
          <w:rPr>
            <w:rFonts w:ascii="Times New Roman" w:hAnsi="Times New Roman" w:cs="Times New Roman"/>
            <w:sz w:val="24"/>
            <w:szCs w:val="24"/>
          </w:rPr>
          <m:t> ppt</m:t>
        </m:r>
      </m:oMath>
      <w:r w:rsidRPr="005A2629">
        <w:rPr>
          <w:rFonts w:ascii="Times New Roman" w:hAnsi="Times New Roman" w:cs="Times New Roman"/>
          <w:sz w:val="24"/>
          <w:szCs w:val="24"/>
        </w:rPr>
        <w:t>), outperforming both the full marine (</w:t>
      </w:r>
      <m:oMath>
        <m:r>
          <m:rPr>
            <m:sty m:val="p"/>
          </m:rPr>
          <w:rPr>
            <w:rFonts w:ascii="Cambria Math" w:hAnsi="Cambria Math" w:cs="Times New Roman"/>
            <w:sz w:val="24"/>
            <w:szCs w:val="24"/>
          </w:rPr>
          <m:t>35</m:t>
        </m:r>
        <m:r>
          <m:rPr>
            <m:nor/>
          </m:rPr>
          <w:rPr>
            <w:rFonts w:ascii="Times New Roman" w:hAnsi="Times New Roman" w:cs="Times New Roman"/>
            <w:sz w:val="24"/>
            <w:szCs w:val="24"/>
          </w:rPr>
          <m:t> ppt</m:t>
        </m:r>
      </m:oMath>
      <w:r w:rsidRPr="005A2629">
        <w:rPr>
          <w:rFonts w:ascii="Times New Roman" w:hAnsi="Times New Roman" w:cs="Times New Roman"/>
          <w:sz w:val="24"/>
          <w:szCs w:val="24"/>
        </w:rPr>
        <w:t>) and extreme hypoosmotic (</w:t>
      </w:r>
      <m:oMath>
        <m:r>
          <m:rPr>
            <m:sty m:val="p"/>
          </m:rP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cohorts over the 60-day trial (Weirich et al., 2009).</w:t>
      </w:r>
    </w:p>
    <w:p w14:paraId="31627EBD" w14:textId="77777777" w:rsidR="00C52F74" w:rsidRPr="005A2629" w:rsidRDefault="00CE22AF" w:rsidP="00D8600A">
      <w:pPr>
        <w:tabs>
          <w:tab w:val="left" w:pos="2895"/>
        </w:tabs>
        <w:spacing w:line="276" w:lineRule="auto"/>
        <w:jc w:val="both"/>
        <w:rPr>
          <w:rFonts w:ascii="Times New Roman" w:hAnsi="Times New Roman" w:cs="Times New Roman"/>
          <w:sz w:val="24"/>
          <w:szCs w:val="24"/>
        </w:rPr>
      </w:pPr>
      <w:r w:rsidRPr="005A2629">
        <w:rPr>
          <w:rFonts w:ascii="Times New Roman" w:hAnsi="Times New Roman" w:cs="Times New Roman"/>
          <w:spacing w:val="-4"/>
          <w:w w:val="105"/>
          <w:sz w:val="24"/>
          <w:szCs w:val="24"/>
        </w:rPr>
        <w:t xml:space="preserve">The active transport of </w:t>
      </w:r>
      <m:oMath>
        <m:sSup>
          <m:sSupPr>
            <m:ctrlPr>
              <w:rPr>
                <w:rFonts w:ascii="Cambria Math" w:hAnsi="Cambria Math" w:cs="Times New Roman"/>
                <w:spacing w:val="-4"/>
                <w:w w:val="105"/>
                <w:sz w:val="24"/>
                <w:szCs w:val="24"/>
              </w:rPr>
            </m:ctrlPr>
          </m:sSupPr>
          <m:e>
            <m:r>
              <m:rPr>
                <m:nor/>
              </m:rPr>
              <w:rPr>
                <w:rFonts w:ascii="Times New Roman" w:hAnsi="Times New Roman" w:cs="Times New Roman"/>
                <w:spacing w:val="-4"/>
                <w:w w:val="105"/>
                <w:sz w:val="24"/>
                <w:szCs w:val="24"/>
              </w:rPr>
              <m:t>Na</m:t>
            </m:r>
          </m:e>
          <m:sup>
            <m:r>
              <w:rPr>
                <w:rFonts w:ascii="Cambria Math" w:hAnsi="Cambria Math" w:cs="Times New Roman"/>
                <w:spacing w:val="-4"/>
                <w:w w:val="105"/>
                <w:sz w:val="24"/>
                <w:szCs w:val="24"/>
              </w:rPr>
              <m:t>+</m:t>
            </m:r>
          </m:sup>
        </m:sSup>
      </m:oMath>
      <w:r w:rsidRPr="005A2629">
        <w:rPr>
          <w:rFonts w:ascii="Times New Roman" w:hAnsi="Times New Roman" w:cs="Times New Roman"/>
          <w:spacing w:val="-4"/>
          <w:w w:val="105"/>
          <w:sz w:val="24"/>
          <w:szCs w:val="24"/>
        </w:rPr>
        <w:t xml:space="preserve"> and </w:t>
      </w:r>
      <m:oMath>
        <m:sSup>
          <m:sSupPr>
            <m:ctrlPr>
              <w:rPr>
                <w:rFonts w:ascii="Cambria Math" w:hAnsi="Cambria Math" w:cs="Times New Roman"/>
                <w:spacing w:val="-4"/>
                <w:w w:val="105"/>
                <w:sz w:val="24"/>
                <w:szCs w:val="24"/>
              </w:rPr>
            </m:ctrlPr>
          </m:sSupPr>
          <m:e>
            <m:r>
              <m:rPr>
                <m:nor/>
              </m:rPr>
              <w:rPr>
                <w:rFonts w:ascii="Times New Roman" w:hAnsi="Times New Roman" w:cs="Times New Roman"/>
                <w:spacing w:val="-4"/>
                <w:w w:val="105"/>
                <w:sz w:val="24"/>
                <w:szCs w:val="24"/>
              </w:rPr>
              <m:t>Cl</m:t>
            </m:r>
          </m:e>
          <m:sup>
            <m:r>
              <w:rPr>
                <w:rFonts w:ascii="Cambria Math" w:hAnsi="Cambria Math" w:cs="Times New Roman"/>
                <w:spacing w:val="-4"/>
                <w:w w:val="105"/>
                <w:sz w:val="24"/>
                <w:szCs w:val="24"/>
              </w:rPr>
              <m:t>-</m:t>
            </m:r>
          </m:sup>
        </m:sSup>
      </m:oMath>
      <w:r w:rsidRPr="005A2629">
        <w:rPr>
          <w:rFonts w:ascii="Times New Roman" w:hAnsi="Times New Roman" w:cs="Times New Roman"/>
          <w:spacing w:val="-4"/>
          <w:w w:val="105"/>
          <w:sz w:val="24"/>
          <w:szCs w:val="24"/>
        </w:rPr>
        <w:t xml:space="preserve"> ions across the branchial epithelium during osmotic transitions is mediated by specialised ionocytes (chloride cells) located within the gills, which </w:t>
      </w:r>
      <w:r w:rsidRPr="005A2629">
        <w:rPr>
          <w:rFonts w:ascii="Times New Roman" w:hAnsi="Times New Roman" w:cs="Times New Roman"/>
          <w:spacing w:val="-4"/>
          <w:w w:val="105"/>
          <w:sz w:val="24"/>
          <w:szCs w:val="24"/>
        </w:rPr>
        <w:lastRenderedPageBreak/>
        <w:t xml:space="preserve">orchestrate systemic ionic homeostasis in euryhaline species (Laiz-Carrión et al., 2005; McCormick et al., 2009). Comparative histomorphological evaluations among the experimental cohorts revealed profound alterations in gill epithelial thickness, ionocyte counts, and mucosal cell populations. Notably, juveniles reared at </w:t>
      </w:r>
      <m:oMath>
        <m:r>
          <w:rPr>
            <w:rFonts w:ascii="Cambria Math" w:hAnsi="Cambria Math" w:cs="Times New Roman"/>
            <w:spacing w:val="-4"/>
            <w:w w:val="105"/>
            <w:sz w:val="24"/>
            <w:szCs w:val="24"/>
          </w:rPr>
          <m:t>5</m:t>
        </m:r>
        <m:r>
          <m:rPr>
            <m:nor/>
          </m:rPr>
          <w:rPr>
            <w:rFonts w:ascii="Times New Roman" w:hAnsi="Times New Roman" w:cs="Times New Roman"/>
            <w:spacing w:val="-4"/>
            <w:w w:val="105"/>
            <w:sz w:val="24"/>
            <w:szCs w:val="24"/>
          </w:rPr>
          <m:t> ppt</m:t>
        </m:r>
      </m:oMath>
      <w:r w:rsidRPr="005A2629">
        <w:rPr>
          <w:rFonts w:ascii="Times New Roman" w:hAnsi="Times New Roman" w:cs="Times New Roman"/>
          <w:spacing w:val="-4"/>
          <w:w w:val="105"/>
          <w:sz w:val="24"/>
          <w:szCs w:val="24"/>
        </w:rPr>
        <w:t xml:space="preserve"> presented a lower density of mature mucosal cells and active branchial </w:t>
      </w:r>
      <w:proofErr w:type="spellStart"/>
      <w:r w:rsidRPr="005A2629">
        <w:rPr>
          <w:rFonts w:ascii="Times New Roman" w:hAnsi="Times New Roman" w:cs="Times New Roman"/>
          <w:spacing w:val="-4"/>
          <w:w w:val="105"/>
          <w:sz w:val="24"/>
          <w:szCs w:val="24"/>
        </w:rPr>
        <w:t>ionocytes</w:t>
      </w:r>
      <w:proofErr w:type="spellEnd"/>
      <w:r w:rsidRPr="005A2629">
        <w:rPr>
          <w:rFonts w:ascii="Times New Roman" w:hAnsi="Times New Roman" w:cs="Times New Roman"/>
          <w:spacing w:val="-4"/>
          <w:w w:val="105"/>
          <w:sz w:val="24"/>
          <w:szCs w:val="24"/>
        </w:rPr>
        <w:t xml:space="preserve"> relative to the hyperosmotic control cohort (</w:t>
      </w:r>
      <m:oMath>
        <m:r>
          <w:rPr>
            <w:rFonts w:ascii="Cambria Math" w:hAnsi="Cambria Math" w:cs="Times New Roman"/>
            <w:spacing w:val="-4"/>
            <w:w w:val="105"/>
            <w:sz w:val="24"/>
            <w:szCs w:val="24"/>
          </w:rPr>
          <m:t>35</m:t>
        </m:r>
        <m:r>
          <m:rPr>
            <m:nor/>
          </m:rPr>
          <w:rPr>
            <w:rFonts w:ascii="Times New Roman" w:hAnsi="Times New Roman" w:cs="Times New Roman"/>
            <w:spacing w:val="-4"/>
            <w:w w:val="105"/>
            <w:sz w:val="24"/>
            <w:szCs w:val="24"/>
          </w:rPr>
          <m:t> ppt</m:t>
        </m:r>
      </m:oMath>
      <w:r w:rsidRPr="005A2629">
        <w:rPr>
          <w:rFonts w:ascii="Times New Roman" w:hAnsi="Times New Roman" w:cs="Times New Roman"/>
          <w:spacing w:val="-4"/>
          <w:w w:val="105"/>
          <w:sz w:val="24"/>
          <w:szCs w:val="24"/>
        </w:rPr>
        <w:t>), matching the structural adaptations typically seen during long-term dilute-medium acclimation.</w:t>
      </w:r>
      <w:r w:rsidR="00C52F74" w:rsidRPr="005A2629">
        <w:rPr>
          <w:rFonts w:ascii="Times New Roman" w:hAnsi="Times New Roman" w:cs="Times New Roman"/>
          <w:spacing w:val="-4"/>
          <w:w w:val="105"/>
          <w:sz w:val="24"/>
          <w:szCs w:val="24"/>
        </w:rPr>
        <w:t xml:space="preserve"> </w:t>
      </w:r>
      <w:r w:rsidR="00C52F74" w:rsidRPr="005A2629">
        <w:rPr>
          <w:rFonts w:ascii="Times New Roman" w:hAnsi="Times New Roman" w:cs="Times New Roman"/>
          <w:sz w:val="24"/>
          <w:szCs w:val="24"/>
        </w:rPr>
        <w:t xml:space="preserve">Consequently, these observations suggest that in juvenile </w:t>
      </w:r>
      <w:r w:rsidR="00C52F74" w:rsidRPr="005A2629">
        <w:rPr>
          <w:rFonts w:ascii="Times New Roman" w:hAnsi="Times New Roman" w:cs="Times New Roman"/>
          <w:i/>
          <w:iCs/>
          <w:sz w:val="24"/>
          <w:szCs w:val="24"/>
        </w:rPr>
        <w:t xml:space="preserve">T. </w:t>
      </w:r>
      <w:proofErr w:type="spellStart"/>
      <w:r w:rsidR="00C52F74" w:rsidRPr="005A2629">
        <w:rPr>
          <w:rFonts w:ascii="Times New Roman" w:hAnsi="Times New Roman" w:cs="Times New Roman"/>
          <w:i/>
          <w:iCs/>
          <w:sz w:val="24"/>
          <w:szCs w:val="24"/>
        </w:rPr>
        <w:t>blochii</w:t>
      </w:r>
      <w:proofErr w:type="spellEnd"/>
      <w:r w:rsidR="00C52F74" w:rsidRPr="005A2629">
        <w:rPr>
          <w:rFonts w:ascii="Times New Roman" w:hAnsi="Times New Roman" w:cs="Times New Roman"/>
          <w:sz w:val="24"/>
          <w:szCs w:val="24"/>
        </w:rPr>
        <w:t xml:space="preserve"> exposed to hypoosmotic environments, homeostatic adjustments do not always change symmetrically with circulating physiological stress markers.</w:t>
      </w:r>
    </w:p>
    <w:p w14:paraId="2AA4E790" w14:textId="77777777" w:rsidR="00C52F74" w:rsidRPr="005A2629" w:rsidRDefault="00C52F74" w:rsidP="00C52F74">
      <w:pPr>
        <w:spacing w:after="0" w:line="276" w:lineRule="auto"/>
        <w:jc w:val="both"/>
        <w:rPr>
          <w:rFonts w:ascii="Times New Roman" w:hAnsi="Times New Roman" w:cs="Times New Roman"/>
          <w:sz w:val="24"/>
          <w:szCs w:val="24"/>
        </w:rPr>
      </w:pPr>
      <w:r w:rsidRPr="005A2629">
        <w:rPr>
          <w:rFonts w:ascii="Times New Roman" w:hAnsi="Times New Roman" w:cs="Times New Roman"/>
          <w:sz w:val="24"/>
          <w:szCs w:val="24"/>
        </w:rPr>
        <w:t xml:space="preserve">In </w:t>
      </w:r>
      <w:proofErr w:type="spellStart"/>
      <w:r w:rsidRPr="005A2629">
        <w:rPr>
          <w:rFonts w:ascii="Times New Roman" w:hAnsi="Times New Roman" w:cs="Times New Roman"/>
          <w:sz w:val="24"/>
          <w:szCs w:val="24"/>
        </w:rPr>
        <w:t>teleosts</w:t>
      </w:r>
      <w:proofErr w:type="spellEnd"/>
      <w:r w:rsidRPr="005A2629">
        <w:rPr>
          <w:rFonts w:ascii="Times New Roman" w:hAnsi="Times New Roman" w:cs="Times New Roman"/>
          <w:sz w:val="24"/>
          <w:szCs w:val="24"/>
        </w:rPr>
        <w:t xml:space="preserve">, the hepatic tissue serves as the primary metabolic centre for fatty acid synthesis, </w:t>
      </w:r>
      <w:proofErr w:type="spellStart"/>
      <w:r w:rsidRPr="005A2629">
        <w:rPr>
          <w:rFonts w:ascii="Times New Roman" w:hAnsi="Times New Roman" w:cs="Times New Roman"/>
          <w:sz w:val="24"/>
          <w:szCs w:val="24"/>
        </w:rPr>
        <w:t>ammoniogenesis</w:t>
      </w:r>
      <w:proofErr w:type="spellEnd"/>
      <w:r w:rsidRPr="005A2629">
        <w:rPr>
          <w:rFonts w:ascii="Times New Roman" w:hAnsi="Times New Roman" w:cs="Times New Roman"/>
          <w:sz w:val="24"/>
          <w:szCs w:val="24"/>
        </w:rPr>
        <w:t xml:space="preserve">, gluconeogenesis, and glycogen-glucose cycling (Mommsen et al., 1999; </w:t>
      </w:r>
      <w:proofErr w:type="spellStart"/>
      <w:r w:rsidRPr="005A2629">
        <w:rPr>
          <w:rFonts w:ascii="Times New Roman" w:hAnsi="Times New Roman" w:cs="Times New Roman"/>
          <w:sz w:val="24"/>
          <w:szCs w:val="24"/>
        </w:rPr>
        <w:t>Peragón</w:t>
      </w:r>
      <w:proofErr w:type="spellEnd"/>
      <w:r w:rsidRPr="005A2629">
        <w:rPr>
          <w:rFonts w:ascii="Times New Roman" w:hAnsi="Times New Roman" w:cs="Times New Roman"/>
          <w:sz w:val="24"/>
          <w:szCs w:val="24"/>
        </w:rPr>
        <w:t xml:space="preserve"> et al., 1998). The present study revealed that decreasing environmental salinity triggered a substantial depletion of hepatic glycogen reserves. This indicates that the energetic costs of hyper-osmoregulation in juvenile </w:t>
      </w:r>
      <w:r w:rsidRPr="005A2629">
        <w:rPr>
          <w:rFonts w:ascii="Times New Roman" w:hAnsi="Times New Roman" w:cs="Times New Roman"/>
          <w:i/>
          <w:iCs/>
          <w:sz w:val="24"/>
          <w:szCs w:val="24"/>
        </w:rPr>
        <w:t xml:space="preserve">T. </w:t>
      </w:r>
      <w:proofErr w:type="spellStart"/>
      <w:r w:rsidRPr="005A2629">
        <w:rPr>
          <w:rFonts w:ascii="Times New Roman" w:hAnsi="Times New Roman" w:cs="Times New Roman"/>
          <w:i/>
          <w:iCs/>
          <w:sz w:val="24"/>
          <w:szCs w:val="24"/>
        </w:rPr>
        <w:t>blochii</w:t>
      </w:r>
      <w:proofErr w:type="spellEnd"/>
      <w:r w:rsidRPr="005A2629">
        <w:rPr>
          <w:rFonts w:ascii="Times New Roman" w:hAnsi="Times New Roman" w:cs="Times New Roman"/>
          <w:sz w:val="24"/>
          <w:szCs w:val="24"/>
        </w:rPr>
        <w:t xml:space="preserve"> increase significantly under severe hypoosmotic stress (</w:t>
      </w:r>
      <m:oMath>
        <m:r>
          <w:rPr>
            <w:rFonts w:ascii="Cambria Math" w:hAnsi="Cambria Math" w:cs="Times New Roman"/>
            <w:sz w:val="24"/>
            <w:szCs w:val="24"/>
          </w:rPr>
          <m:t>5</m:t>
        </m:r>
        <m:r>
          <m:rPr>
            <m:nor/>
          </m:rPr>
          <w:rPr>
            <w:rFonts w:ascii="Times New Roman" w:hAnsi="Times New Roman" w:cs="Times New Roman"/>
            <w:sz w:val="24"/>
            <w:szCs w:val="24"/>
          </w:rPr>
          <m:t> ppt</m:t>
        </m:r>
      </m:oMath>
      <w:r w:rsidRPr="005A2629">
        <w:rPr>
          <w:rFonts w:ascii="Times New Roman" w:hAnsi="Times New Roman" w:cs="Times New Roman"/>
          <w:sz w:val="24"/>
          <w:szCs w:val="24"/>
        </w:rPr>
        <w:t>). Such elevated metabolic demands can subsequently alter feed ingestion, digestive enzyme activity, and nutrient absorption efficiency due to the high metabolic overhead dictated by active ion transport mechanisms in dilute media (Rubio et al., 2005).</w:t>
      </w:r>
    </w:p>
    <w:p w14:paraId="13543D0E" w14:textId="77777777" w:rsidR="008D2C1E" w:rsidRPr="005A2629" w:rsidRDefault="005F10F9" w:rsidP="00D8600A">
      <w:pPr>
        <w:spacing w:after="0" w:line="276" w:lineRule="auto"/>
        <w:jc w:val="both"/>
        <w:rPr>
          <w:rFonts w:ascii="Times New Roman" w:hAnsi="Times New Roman" w:cs="Times New Roman"/>
          <w:b/>
          <w:bCs/>
          <w:sz w:val="24"/>
          <w:szCs w:val="24"/>
        </w:rPr>
      </w:pPr>
      <w:r w:rsidRPr="005A2629">
        <w:rPr>
          <w:rFonts w:ascii="Times New Roman" w:hAnsi="Times New Roman" w:cs="Times New Roman"/>
          <w:b/>
          <w:bCs/>
          <w:sz w:val="24"/>
          <w:szCs w:val="24"/>
          <w:lang w:val="en-GB"/>
        </w:rPr>
        <w:t>Conclusion</w:t>
      </w:r>
    </w:p>
    <w:p w14:paraId="051E45A2" w14:textId="5F371A1B" w:rsidR="003B4C8A" w:rsidRDefault="007B2333" w:rsidP="007B2333">
      <w:pPr>
        <w:pStyle w:val="pdq2pgselectionanchorcontainer"/>
      </w:pPr>
      <w:r>
        <w:t xml:space="preserve">Salinity significantly influenced the growth, physiological responses, antioxidant </w:t>
      </w:r>
      <w:proofErr w:type="spellStart"/>
      <w:r>
        <w:t>defence</w:t>
      </w:r>
      <w:proofErr w:type="spellEnd"/>
      <w:r>
        <w:t xml:space="preserve">, and tissue condition of juvenile silver pompano cultured in the periphyton-based system. Among the tested treatments, 15 ppt produced the highest weight gain, weight-gain percentage, and specific growth rate, while the liver and gills retained comparatively well-preserved architecture. By contrast, exposure to 5 ppt was associated with increased plasma cortisol and glucose concentrations, enhanced catalase, superoxide dismutase, and glutathione peroxidase activities, reduced </w:t>
      </w:r>
      <w:proofErr w:type="spellStart"/>
      <w:r>
        <w:t>haematocrit</w:t>
      </w:r>
      <w:proofErr w:type="spellEnd"/>
      <w:r>
        <w:t xml:space="preserve">, and pronounced histopathological alterations in the liver and gills. These responses indicate that prolonged exposure to very low salinity imposed substantial osmoregulatory and oxidative stress. Within the 60-day experimental conditions, 15 ppt provided the most </w:t>
      </w:r>
      <w:proofErr w:type="spellStart"/>
      <w:r>
        <w:t>favourable</w:t>
      </w:r>
      <w:proofErr w:type="spellEnd"/>
      <w:r>
        <w:t xml:space="preserve"> balance between growth and physiological condition for juvenile </w:t>
      </w:r>
      <w:r>
        <w:rPr>
          <w:rStyle w:val="Emphasis"/>
        </w:rPr>
        <w:t xml:space="preserve">Trachinotus </w:t>
      </w:r>
      <w:proofErr w:type="spellStart"/>
      <w:r>
        <w:rPr>
          <w:rStyle w:val="Emphasis"/>
        </w:rPr>
        <w:t>blochii</w:t>
      </w:r>
      <w:proofErr w:type="spellEnd"/>
      <w:r>
        <w:t>. The findings therefore support the use of an intermediate salinity near 15 ppt for juvenile culture in comparable periphyton-based systems. Because periphyton was maintained as a common culture condition rather than an independent factor, the observed responses should primarily be interpreted as effects of salinity within this production system.</w:t>
      </w:r>
    </w:p>
    <w:p w14:paraId="3527C932" w14:textId="77777777" w:rsidR="003B4C8A" w:rsidRDefault="003B4C8A" w:rsidP="003B4C8A">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3B4C8A">
        <w:rPr>
          <w:rFonts w:ascii="Times New Roman" w:eastAsia="Times New Roman" w:hAnsi="Times New Roman" w:cs="Times New Roman"/>
          <w:b/>
          <w:bCs/>
          <w:sz w:val="36"/>
          <w:szCs w:val="36"/>
          <w:lang w:val="en-US"/>
        </w:rPr>
        <w:t xml:space="preserve">Limitation </w:t>
      </w:r>
    </w:p>
    <w:p w14:paraId="1999CDD3" w14:textId="4D90555E" w:rsidR="003B4C8A" w:rsidRPr="003B4C8A" w:rsidRDefault="003B4C8A" w:rsidP="003B4C8A">
      <w:pPr>
        <w:spacing w:before="100" w:beforeAutospacing="1" w:after="100" w:afterAutospacing="1" w:line="240" w:lineRule="auto"/>
        <w:outlineLvl w:val="1"/>
        <w:rPr>
          <w:rFonts w:ascii="Times New Roman" w:eastAsia="Times New Roman" w:hAnsi="Times New Roman" w:cs="Times New Roman"/>
          <w:sz w:val="24"/>
          <w:szCs w:val="24"/>
          <w:lang w:val="en-US"/>
        </w:rPr>
      </w:pPr>
      <w:r w:rsidRPr="003B4C8A">
        <w:rPr>
          <w:rFonts w:ascii="Times New Roman" w:eastAsia="Times New Roman" w:hAnsi="Times New Roman" w:cs="Times New Roman"/>
          <w:sz w:val="24"/>
          <w:szCs w:val="24"/>
          <w:lang w:val="en-US"/>
        </w:rPr>
        <w:t>The experiment was limited to a 60-day culture period, four fixed salinity levels, and juvenile fish maintained under one periphyton-based system. Periphyton biomass and community composition were not quantified, and a non-periphyton control was not included; therefore, its independent contribution to fish performance could not be determined. The findings may not directly represent other life stages, culture densities, production systems, or longer rearing periods. Additional trials across narrower salinity intervals and extended culture durations would help assess the consistency of the observed responses.</w:t>
      </w:r>
    </w:p>
    <w:p w14:paraId="4D0BCAAE" w14:textId="77777777" w:rsidR="003B4C8A" w:rsidRDefault="003B4C8A" w:rsidP="007B2333">
      <w:pPr>
        <w:pStyle w:val="pdq2pgselectionanchorcontainer"/>
      </w:pPr>
    </w:p>
    <w:p w14:paraId="06D43A80" w14:textId="77777777" w:rsidR="00FB6C9D" w:rsidRPr="007B2333" w:rsidRDefault="00FB6C9D" w:rsidP="00352EA0">
      <w:pPr>
        <w:spacing w:line="278" w:lineRule="auto"/>
        <w:jc w:val="both"/>
        <w:rPr>
          <w:rFonts w:ascii="Times New Roman" w:eastAsia="Calibri" w:hAnsi="Times New Roman" w:cs="Times New Roman"/>
          <w:kern w:val="2"/>
          <w:sz w:val="24"/>
          <w:szCs w:val="24"/>
          <w:lang w:val="en-US"/>
          <w14:ligatures w14:val="standardContextual"/>
        </w:rPr>
      </w:pPr>
    </w:p>
    <w:p w14:paraId="16D4F554" w14:textId="77777777" w:rsidR="00FB6C9D" w:rsidRPr="005A2629" w:rsidRDefault="00FB6C9D" w:rsidP="00FB6C9D">
      <w:pPr>
        <w:spacing w:line="278" w:lineRule="auto"/>
        <w:jc w:val="both"/>
        <w:rPr>
          <w:rFonts w:ascii="Times New Roman" w:eastAsia="Calibri" w:hAnsi="Times New Roman" w:cs="Times New Roman"/>
          <w:kern w:val="2"/>
          <w:sz w:val="24"/>
          <w:szCs w:val="24"/>
          <w:lang w:val="en-US"/>
          <w14:ligatures w14:val="standardContextual"/>
        </w:rPr>
      </w:pPr>
      <w:r w:rsidRPr="005A2629">
        <w:rPr>
          <w:rFonts w:ascii="Times New Roman" w:eastAsia="Calibri" w:hAnsi="Times New Roman" w:cs="Times New Roman"/>
          <w:kern w:val="2"/>
          <w:sz w:val="24"/>
          <w:szCs w:val="24"/>
          <w:lang w:val="en-GB"/>
          <w14:ligatures w14:val="standardContextual"/>
        </w:rPr>
        <w:t>Ethical approval</w:t>
      </w:r>
    </w:p>
    <w:p w14:paraId="02D44D2B" w14:textId="77777777" w:rsidR="00FB6C9D" w:rsidRPr="005A2629" w:rsidRDefault="00FB6C9D" w:rsidP="00FB6C9D">
      <w:pPr>
        <w:spacing w:line="278" w:lineRule="auto"/>
        <w:jc w:val="both"/>
        <w:rPr>
          <w:rFonts w:ascii="Times New Roman" w:eastAsia="Calibri" w:hAnsi="Times New Roman" w:cs="Times New Roman"/>
          <w:kern w:val="2"/>
          <w:sz w:val="24"/>
          <w:szCs w:val="24"/>
          <w:lang w:val="en-US"/>
          <w14:ligatures w14:val="standardContextual"/>
        </w:rPr>
      </w:pPr>
      <w:r w:rsidRPr="005A2629">
        <w:rPr>
          <w:rFonts w:ascii="Times New Roman" w:eastAsia="Calibri" w:hAnsi="Times New Roman" w:cs="Times New Roman"/>
          <w:kern w:val="2"/>
          <w:sz w:val="24"/>
          <w:szCs w:val="24"/>
          <w:lang w:val="en-GB"/>
          <w14:ligatures w14:val="standardContextual"/>
        </w:rPr>
        <w:t xml:space="preserve">The Institutional Animal Ethics Committee (IAEC) of Fisheries College and Research Institute, </w:t>
      </w:r>
      <w:proofErr w:type="spellStart"/>
      <w:r w:rsidRPr="005A2629">
        <w:rPr>
          <w:rFonts w:ascii="Times New Roman" w:eastAsia="Calibri" w:hAnsi="Times New Roman" w:cs="Times New Roman"/>
          <w:kern w:val="2"/>
          <w:sz w:val="24"/>
          <w:szCs w:val="24"/>
          <w:lang w:val="en-GB"/>
          <w14:ligatures w14:val="standardContextual"/>
        </w:rPr>
        <w:t>Thoothukudi</w:t>
      </w:r>
      <w:proofErr w:type="spellEnd"/>
      <w:r w:rsidRPr="005A2629">
        <w:rPr>
          <w:rFonts w:ascii="Times New Roman" w:eastAsia="Calibri" w:hAnsi="Times New Roman" w:cs="Times New Roman"/>
          <w:kern w:val="2"/>
          <w:sz w:val="24"/>
          <w:szCs w:val="24"/>
          <w:lang w:val="en-GB"/>
          <w14:ligatures w14:val="standardContextual"/>
        </w:rPr>
        <w:t>, Tamil Nadu, India, reviewed and approved the experimental protocol in compliance with the suggestions made by the Ministry of Fisheries, Animal Husbandry, and Dairy, Government of India's Committee for the Purpose of Control and Supervision of Experiments on Animals (CPCSEA). All experimental procedures involving animals were conducted in accordance with the institutional ethical guidelines and applicable national regulations for the care and use of laboratory animals.</w:t>
      </w:r>
    </w:p>
    <w:p w14:paraId="25A12032" w14:textId="77777777" w:rsidR="00B30C1C" w:rsidRPr="005A2629" w:rsidRDefault="00B30C1C" w:rsidP="00B30C1C">
      <w:pPr>
        <w:spacing w:line="278" w:lineRule="auto"/>
        <w:rPr>
          <w:rFonts w:ascii="Times New Roman" w:eastAsia="Calibri" w:hAnsi="Times New Roman" w:cs="Times New Roman"/>
          <w:b/>
          <w:bCs/>
          <w:kern w:val="2"/>
          <w:sz w:val="24"/>
          <w:szCs w:val="24"/>
          <w:lang w:val="en-US"/>
          <w14:ligatures w14:val="standardContextual"/>
        </w:rPr>
      </w:pPr>
      <w:r w:rsidRPr="005A2629">
        <w:rPr>
          <w:rFonts w:ascii="Times New Roman" w:eastAsia="Calibri" w:hAnsi="Times New Roman" w:cs="Times New Roman"/>
          <w:b/>
          <w:bCs/>
          <w:kern w:val="2"/>
          <w:sz w:val="24"/>
          <w:szCs w:val="24"/>
          <w:lang w:val="en-GB"/>
          <w14:ligatures w14:val="standardContextual"/>
        </w:rPr>
        <w:t>Declaration of AI Use</w:t>
      </w:r>
    </w:p>
    <w:p w14:paraId="315CF323" w14:textId="77777777" w:rsidR="00B30C1C" w:rsidRPr="005A2629" w:rsidRDefault="00B30C1C" w:rsidP="00962AC6">
      <w:pPr>
        <w:spacing w:line="278" w:lineRule="auto"/>
        <w:jc w:val="both"/>
        <w:rPr>
          <w:rFonts w:ascii="Times New Roman" w:eastAsia="Calibri" w:hAnsi="Times New Roman" w:cs="Times New Roman"/>
          <w:kern w:val="2"/>
          <w:sz w:val="24"/>
          <w:szCs w:val="24"/>
          <w:lang w:val="en-US"/>
          <w14:ligatures w14:val="standardContextual"/>
        </w:rPr>
      </w:pPr>
      <w:r w:rsidRPr="005A2629">
        <w:rPr>
          <w:rFonts w:ascii="Times New Roman" w:eastAsia="Calibri" w:hAnsi="Times New Roman" w:cs="Times New Roman"/>
          <w:kern w:val="2"/>
          <w:sz w:val="24"/>
          <w:szCs w:val="24"/>
          <w:lang w:val="en-GB"/>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5E84F71" w14:textId="77777777" w:rsidR="000A63AD" w:rsidRPr="005A2629" w:rsidRDefault="000A63AD" w:rsidP="0073363B">
      <w:pPr>
        <w:spacing w:line="276" w:lineRule="auto"/>
        <w:jc w:val="both"/>
        <w:rPr>
          <w:rFonts w:ascii="Times New Roman" w:hAnsi="Times New Roman" w:cs="Times New Roman"/>
          <w:b/>
          <w:bCs/>
          <w:sz w:val="24"/>
          <w:szCs w:val="24"/>
        </w:rPr>
      </w:pPr>
    </w:p>
    <w:p w14:paraId="4C3C9810" w14:textId="77777777" w:rsidR="00FA4EAE" w:rsidRPr="005A2629" w:rsidRDefault="0073363B" w:rsidP="0073363B">
      <w:pPr>
        <w:spacing w:line="276" w:lineRule="auto"/>
        <w:jc w:val="both"/>
        <w:rPr>
          <w:rFonts w:ascii="Times New Roman" w:hAnsi="Times New Roman" w:cs="Times New Roman"/>
          <w:b/>
          <w:bCs/>
          <w:sz w:val="24"/>
          <w:szCs w:val="24"/>
          <w:lang w:val="es-US"/>
        </w:rPr>
      </w:pPr>
      <w:proofErr w:type="spellStart"/>
      <w:r w:rsidRPr="005A2629">
        <w:rPr>
          <w:rFonts w:ascii="Times New Roman" w:hAnsi="Times New Roman" w:cs="Times New Roman"/>
          <w:b/>
          <w:bCs/>
          <w:sz w:val="24"/>
          <w:szCs w:val="24"/>
          <w:lang w:val="es-US"/>
        </w:rPr>
        <w:t>References</w:t>
      </w:r>
      <w:proofErr w:type="spellEnd"/>
    </w:p>
    <w:p w14:paraId="7D3EFD1B"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Arjona, F. J., Vargas-</w:t>
      </w:r>
      <w:proofErr w:type="spellStart"/>
      <w:r w:rsidRPr="00EA49C7">
        <w:rPr>
          <w:rFonts w:ascii="Times New Roman" w:eastAsia="Times New Roman" w:hAnsi="Times New Roman" w:cs="Times New Roman"/>
          <w:sz w:val="24"/>
          <w:szCs w:val="24"/>
          <w:lang w:val="en-US"/>
        </w:rPr>
        <w:t>Chacoff</w:t>
      </w:r>
      <w:proofErr w:type="spellEnd"/>
      <w:r w:rsidRPr="00EA49C7">
        <w:rPr>
          <w:rFonts w:ascii="Times New Roman" w:eastAsia="Times New Roman" w:hAnsi="Times New Roman" w:cs="Times New Roman"/>
          <w:sz w:val="24"/>
          <w:szCs w:val="24"/>
          <w:lang w:val="en-US"/>
        </w:rPr>
        <w:t>, L., Ruiz-</w:t>
      </w:r>
      <w:proofErr w:type="spellStart"/>
      <w:r w:rsidRPr="00EA49C7">
        <w:rPr>
          <w:rFonts w:ascii="Times New Roman" w:eastAsia="Times New Roman" w:hAnsi="Times New Roman" w:cs="Times New Roman"/>
          <w:sz w:val="24"/>
          <w:szCs w:val="24"/>
          <w:lang w:val="en-US"/>
        </w:rPr>
        <w:t>Jarabo</w:t>
      </w:r>
      <w:proofErr w:type="spellEnd"/>
      <w:r w:rsidRPr="00EA49C7">
        <w:rPr>
          <w:rFonts w:ascii="Times New Roman" w:eastAsia="Times New Roman" w:hAnsi="Times New Roman" w:cs="Times New Roman"/>
          <w:sz w:val="24"/>
          <w:szCs w:val="24"/>
          <w:lang w:val="en-US"/>
        </w:rPr>
        <w:t>, I., Gonçalves, O., Páscoa, I., Martín del Río, M. P., &amp; Mancera, J. M. (2009). Tertiary stress responses in Senegalese sole (</w:t>
      </w:r>
      <w:r w:rsidRPr="00EA49C7">
        <w:rPr>
          <w:rFonts w:ascii="Times New Roman" w:eastAsia="Times New Roman" w:hAnsi="Times New Roman" w:cs="Times New Roman"/>
          <w:i/>
          <w:iCs/>
          <w:sz w:val="24"/>
          <w:szCs w:val="24"/>
          <w:lang w:val="en-US"/>
        </w:rPr>
        <w:t>Solea senegalensis</w:t>
      </w:r>
      <w:r w:rsidRPr="00EA49C7">
        <w:rPr>
          <w:rFonts w:ascii="Times New Roman" w:eastAsia="Times New Roman" w:hAnsi="Times New Roman" w:cs="Times New Roman"/>
          <w:sz w:val="24"/>
          <w:szCs w:val="24"/>
          <w:lang w:val="en-US"/>
        </w:rPr>
        <w:t xml:space="preserve"> Kaup, 1858) to osmotic challenge: Implications for osmoregulation, energy metabolism and growth. </w:t>
      </w:r>
      <w:r w:rsidRPr="00EA49C7">
        <w:rPr>
          <w:rFonts w:ascii="Times New Roman" w:eastAsia="Times New Roman" w:hAnsi="Times New Roman" w:cs="Times New Roman"/>
          <w:i/>
          <w:iCs/>
          <w:sz w:val="24"/>
          <w:szCs w:val="24"/>
          <w:lang w:val="en-US"/>
        </w:rPr>
        <w:t>Aquaculture, 287</w:t>
      </w:r>
      <w:r w:rsidRPr="00EA49C7">
        <w:rPr>
          <w:rFonts w:ascii="Times New Roman" w:eastAsia="Times New Roman" w:hAnsi="Times New Roman" w:cs="Times New Roman"/>
          <w:sz w:val="24"/>
          <w:szCs w:val="24"/>
          <w:lang w:val="en-US"/>
        </w:rPr>
        <w:t xml:space="preserve">(3–4), 419–426. </w:t>
      </w:r>
      <w:hyperlink r:id="rId21" w:history="1">
        <w:r w:rsidRPr="00EA49C7">
          <w:rPr>
            <w:rFonts w:ascii="Times New Roman" w:eastAsia="Times New Roman" w:hAnsi="Times New Roman" w:cs="Times New Roman"/>
            <w:color w:val="0000FF"/>
            <w:sz w:val="24"/>
            <w:szCs w:val="24"/>
            <w:u w:val="single"/>
            <w:lang w:val="en-US"/>
          </w:rPr>
          <w:t>https://doi.org/10.1016/j.aquaculture.2008.10.047</w:t>
        </w:r>
      </w:hyperlink>
    </w:p>
    <w:p w14:paraId="7480EF8A"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Azim, M. E., Wahab, M. A., van Dam, A. A., Beveridge, M. C. M., Milstein, A., &amp; Verdegem, M. C. J. (2001). </w:t>
      </w:r>
      <w:r w:rsidRPr="00EA49C7">
        <w:rPr>
          <w:rFonts w:ascii="Times New Roman" w:eastAsia="Times New Roman" w:hAnsi="Times New Roman" w:cs="Times New Roman"/>
          <w:sz w:val="24"/>
          <w:szCs w:val="24"/>
          <w:lang w:val="en-US"/>
        </w:rPr>
        <w:t xml:space="preserve">Optimization of fertilization rate for maximizing periphyton production on artificial substrates and the implications for periphyton-based aquaculture. </w:t>
      </w:r>
      <w:r w:rsidRPr="00EA49C7">
        <w:rPr>
          <w:rFonts w:ascii="Times New Roman" w:eastAsia="Times New Roman" w:hAnsi="Times New Roman" w:cs="Times New Roman"/>
          <w:i/>
          <w:iCs/>
          <w:sz w:val="24"/>
          <w:szCs w:val="24"/>
          <w:lang w:val="en-US"/>
        </w:rPr>
        <w:t>Aquaculture Research, 32</w:t>
      </w:r>
      <w:r w:rsidRPr="00EA49C7">
        <w:rPr>
          <w:rFonts w:ascii="Times New Roman" w:eastAsia="Times New Roman" w:hAnsi="Times New Roman" w:cs="Times New Roman"/>
          <w:sz w:val="24"/>
          <w:szCs w:val="24"/>
          <w:lang w:val="en-US"/>
        </w:rPr>
        <w:t xml:space="preserve">(9), 749–760. </w:t>
      </w:r>
      <w:hyperlink r:id="rId22" w:history="1">
        <w:r w:rsidRPr="00EA49C7">
          <w:rPr>
            <w:rFonts w:ascii="Times New Roman" w:eastAsia="Times New Roman" w:hAnsi="Times New Roman" w:cs="Times New Roman"/>
            <w:color w:val="0000FF"/>
            <w:sz w:val="24"/>
            <w:szCs w:val="24"/>
            <w:u w:val="single"/>
            <w:lang w:val="en-US"/>
          </w:rPr>
          <w:t>https://doi.org/10.1046/j.1365-2109.2001.00617.x</w:t>
        </w:r>
      </w:hyperlink>
    </w:p>
    <w:p w14:paraId="11726F5B"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Barman, U. K., Jana, S. N., Garg, S. K., Bhatnagar, A., &amp; Arasu, A. R. T. (2005). Effect of inland water salinity on growth, feed conversion efficiency and intestinal enzyme activity in growing grey mullet, </w:t>
      </w:r>
      <w:r w:rsidRPr="00EA49C7">
        <w:rPr>
          <w:rFonts w:ascii="Times New Roman" w:eastAsia="Times New Roman" w:hAnsi="Times New Roman" w:cs="Times New Roman"/>
          <w:i/>
          <w:iCs/>
          <w:sz w:val="24"/>
          <w:szCs w:val="24"/>
          <w:lang w:val="en-US"/>
        </w:rPr>
        <w:t>Mugil cephalus</w:t>
      </w:r>
      <w:r w:rsidRPr="00EA49C7">
        <w:rPr>
          <w:rFonts w:ascii="Times New Roman" w:eastAsia="Times New Roman" w:hAnsi="Times New Roman" w:cs="Times New Roman"/>
          <w:sz w:val="24"/>
          <w:szCs w:val="24"/>
          <w:lang w:val="en-US"/>
        </w:rPr>
        <w:t xml:space="preserve"> (Linn.): Field and laboratory studies. </w:t>
      </w:r>
      <w:r w:rsidRPr="00EA49C7">
        <w:rPr>
          <w:rFonts w:ascii="Times New Roman" w:eastAsia="Times New Roman" w:hAnsi="Times New Roman" w:cs="Times New Roman"/>
          <w:i/>
          <w:iCs/>
          <w:sz w:val="24"/>
          <w:szCs w:val="24"/>
          <w:lang w:val="en-US"/>
        </w:rPr>
        <w:t>Aquaculture International, 13</w:t>
      </w:r>
      <w:r w:rsidRPr="00EA49C7">
        <w:rPr>
          <w:rFonts w:ascii="Times New Roman" w:eastAsia="Times New Roman" w:hAnsi="Times New Roman" w:cs="Times New Roman"/>
          <w:sz w:val="24"/>
          <w:szCs w:val="24"/>
          <w:lang w:val="en-US"/>
        </w:rPr>
        <w:t xml:space="preserve">(3), 241–256. </w:t>
      </w:r>
      <w:hyperlink r:id="rId23" w:history="1">
        <w:r w:rsidRPr="00EA49C7">
          <w:rPr>
            <w:rFonts w:ascii="Times New Roman" w:eastAsia="Times New Roman" w:hAnsi="Times New Roman" w:cs="Times New Roman"/>
            <w:color w:val="0000FF"/>
            <w:sz w:val="24"/>
            <w:szCs w:val="24"/>
            <w:u w:val="single"/>
            <w:lang w:val="en-US"/>
          </w:rPr>
          <w:t>https://doi.org/10.1007/s10499-004-2479-5</w:t>
        </w:r>
      </w:hyperlink>
    </w:p>
    <w:p w14:paraId="6E26B106"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Biswas, A., Dash, G., Mali, P., Joardar, S. N., Dey, B., Roy, A., &amp; Karmakar, S. (2021). Histopathology of head kidney tissues in challenged rohu, </w:t>
      </w:r>
      <w:proofErr w:type="spellStart"/>
      <w:r w:rsidRPr="00EA49C7">
        <w:rPr>
          <w:rFonts w:ascii="Times New Roman" w:eastAsia="Times New Roman" w:hAnsi="Times New Roman" w:cs="Times New Roman"/>
          <w:i/>
          <w:iCs/>
          <w:sz w:val="24"/>
          <w:szCs w:val="24"/>
          <w:lang w:val="en-US"/>
        </w:rPr>
        <w:t>Labeo</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rohita</w:t>
      </w:r>
      <w:proofErr w:type="spellEnd"/>
      <w:r w:rsidRPr="00EA49C7">
        <w:rPr>
          <w:rFonts w:ascii="Times New Roman" w:eastAsia="Times New Roman" w:hAnsi="Times New Roman" w:cs="Times New Roman"/>
          <w:sz w:val="24"/>
          <w:szCs w:val="24"/>
          <w:lang w:val="en-US"/>
        </w:rPr>
        <w:t xml:space="preserve"> Hamilton, after </w:t>
      </w:r>
      <w:r w:rsidRPr="00EA49C7">
        <w:rPr>
          <w:rFonts w:ascii="Times New Roman" w:eastAsia="Times New Roman" w:hAnsi="Times New Roman" w:cs="Times New Roman"/>
          <w:sz w:val="24"/>
          <w:szCs w:val="24"/>
          <w:lang w:val="en-US"/>
        </w:rPr>
        <w:lastRenderedPageBreak/>
        <w:t xml:space="preserve">vaccinating with </w:t>
      </w:r>
      <w:r w:rsidRPr="00EA49C7">
        <w:rPr>
          <w:rFonts w:ascii="Times New Roman" w:eastAsia="Times New Roman" w:hAnsi="Times New Roman" w:cs="Times New Roman"/>
          <w:i/>
          <w:iCs/>
          <w:sz w:val="24"/>
          <w:szCs w:val="24"/>
          <w:lang w:val="en-US"/>
        </w:rPr>
        <w:t xml:space="preserve">Aeromonas </w:t>
      </w:r>
      <w:proofErr w:type="spellStart"/>
      <w:r w:rsidRPr="00EA49C7">
        <w:rPr>
          <w:rFonts w:ascii="Times New Roman" w:eastAsia="Times New Roman" w:hAnsi="Times New Roman" w:cs="Times New Roman"/>
          <w:i/>
          <w:iCs/>
          <w:sz w:val="24"/>
          <w:szCs w:val="24"/>
          <w:lang w:val="en-US"/>
        </w:rPr>
        <w:t>hydrophila</w:t>
      </w:r>
      <w:proofErr w:type="spellEnd"/>
      <w:r w:rsidRPr="00EA49C7">
        <w:rPr>
          <w:rFonts w:ascii="Times New Roman" w:eastAsia="Times New Roman" w:hAnsi="Times New Roman" w:cs="Times New Roman"/>
          <w:sz w:val="24"/>
          <w:szCs w:val="24"/>
          <w:lang w:val="en-US"/>
        </w:rPr>
        <w:t xml:space="preserve"> antigens. </w:t>
      </w:r>
      <w:r w:rsidRPr="00EA49C7">
        <w:rPr>
          <w:rFonts w:ascii="Times New Roman" w:eastAsia="Times New Roman" w:hAnsi="Times New Roman" w:cs="Times New Roman"/>
          <w:i/>
          <w:iCs/>
          <w:sz w:val="24"/>
          <w:szCs w:val="24"/>
          <w:lang w:val="en-US"/>
        </w:rPr>
        <w:t>Fish &amp; Shellfish Immunology Reports, 2</w:t>
      </w:r>
      <w:r w:rsidRPr="00EA49C7">
        <w:rPr>
          <w:rFonts w:ascii="Times New Roman" w:eastAsia="Times New Roman" w:hAnsi="Times New Roman" w:cs="Times New Roman"/>
          <w:sz w:val="24"/>
          <w:szCs w:val="24"/>
          <w:lang w:val="en-US"/>
        </w:rPr>
        <w:t xml:space="preserve">, 100025. </w:t>
      </w:r>
      <w:hyperlink r:id="rId24" w:history="1">
        <w:r w:rsidRPr="00EA49C7">
          <w:rPr>
            <w:rFonts w:ascii="Times New Roman" w:eastAsia="Times New Roman" w:hAnsi="Times New Roman" w:cs="Times New Roman"/>
            <w:color w:val="0000FF"/>
            <w:sz w:val="24"/>
            <w:szCs w:val="24"/>
            <w:u w:val="single"/>
            <w:lang w:val="en-US"/>
          </w:rPr>
          <w:t>https://doi.org/10.1016/j.fsirep.2021.100025</w:t>
        </w:r>
      </w:hyperlink>
    </w:p>
    <w:p w14:paraId="5D623182"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Boeuf, G., &amp; Payan, P. (2001). How should salinity influence fish growth? </w:t>
      </w:r>
      <w:r w:rsidRPr="00EA49C7">
        <w:rPr>
          <w:rFonts w:ascii="Times New Roman" w:eastAsia="Times New Roman" w:hAnsi="Times New Roman" w:cs="Times New Roman"/>
          <w:i/>
          <w:iCs/>
          <w:sz w:val="24"/>
          <w:szCs w:val="24"/>
          <w:lang w:val="en-US"/>
        </w:rPr>
        <w:t>Comparative Biochemistry and Physiology Part C: Toxicology &amp; Pharmacology, 130</w:t>
      </w:r>
      <w:r w:rsidRPr="00EA49C7">
        <w:rPr>
          <w:rFonts w:ascii="Times New Roman" w:eastAsia="Times New Roman" w:hAnsi="Times New Roman" w:cs="Times New Roman"/>
          <w:sz w:val="24"/>
          <w:szCs w:val="24"/>
          <w:lang w:val="en-US"/>
        </w:rPr>
        <w:t xml:space="preserve">(4), 411–423. </w:t>
      </w:r>
      <w:hyperlink r:id="rId25" w:history="1">
        <w:r w:rsidRPr="00EA49C7">
          <w:rPr>
            <w:rFonts w:ascii="Times New Roman" w:eastAsia="Times New Roman" w:hAnsi="Times New Roman" w:cs="Times New Roman"/>
            <w:color w:val="0000FF"/>
            <w:sz w:val="24"/>
            <w:szCs w:val="24"/>
            <w:u w:val="single"/>
            <w:lang w:val="en-US"/>
          </w:rPr>
          <w:t>https://doi.org/10.1016/S1532-0456(01)00268-X</w:t>
        </w:r>
      </w:hyperlink>
    </w:p>
    <w:p w14:paraId="1B122BA9"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Bystriansky, J. S., Frick, N. T., &amp; Ballantyne, J. S. (2007). Intermediary metabolism of Arctic char, </w:t>
      </w:r>
      <w:r w:rsidRPr="00EA49C7">
        <w:rPr>
          <w:rFonts w:ascii="Times New Roman" w:eastAsia="Times New Roman" w:hAnsi="Times New Roman" w:cs="Times New Roman"/>
          <w:i/>
          <w:iCs/>
          <w:sz w:val="24"/>
          <w:szCs w:val="24"/>
          <w:lang w:val="en-US"/>
        </w:rPr>
        <w:t>Salvelinus alpinus</w:t>
      </w:r>
      <w:r w:rsidRPr="00EA49C7">
        <w:rPr>
          <w:rFonts w:ascii="Times New Roman" w:eastAsia="Times New Roman" w:hAnsi="Times New Roman" w:cs="Times New Roman"/>
          <w:sz w:val="24"/>
          <w:szCs w:val="24"/>
          <w:lang w:val="en-US"/>
        </w:rPr>
        <w:t xml:space="preserve">, during short-term salinity exposure. </w:t>
      </w:r>
      <w:r w:rsidRPr="00EA49C7">
        <w:rPr>
          <w:rFonts w:ascii="Times New Roman" w:eastAsia="Times New Roman" w:hAnsi="Times New Roman" w:cs="Times New Roman"/>
          <w:i/>
          <w:iCs/>
          <w:sz w:val="24"/>
          <w:szCs w:val="24"/>
          <w:lang w:val="en-US"/>
        </w:rPr>
        <w:t>Journal of Experimental Biology, 210</w:t>
      </w:r>
      <w:r w:rsidRPr="00EA49C7">
        <w:rPr>
          <w:rFonts w:ascii="Times New Roman" w:eastAsia="Times New Roman" w:hAnsi="Times New Roman" w:cs="Times New Roman"/>
          <w:sz w:val="24"/>
          <w:szCs w:val="24"/>
          <w:lang w:val="en-US"/>
        </w:rPr>
        <w:t xml:space="preserve">(11), 1971–1985. </w:t>
      </w:r>
      <w:hyperlink r:id="rId26" w:history="1">
        <w:r w:rsidRPr="00EA49C7">
          <w:rPr>
            <w:rFonts w:ascii="Times New Roman" w:eastAsia="Times New Roman" w:hAnsi="Times New Roman" w:cs="Times New Roman"/>
            <w:color w:val="0000FF"/>
            <w:sz w:val="24"/>
            <w:szCs w:val="24"/>
            <w:u w:val="single"/>
            <w:lang w:val="en-US"/>
          </w:rPr>
          <w:t>https://doi.org/10.1242/jeb.002568</w:t>
        </w:r>
      </w:hyperlink>
    </w:p>
    <w:p w14:paraId="5D1BCB3A" w14:textId="539D46CE"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lang w:val="en-US"/>
        </w:rPr>
      </w:pPr>
      <w:r w:rsidRPr="00EA49C7">
        <w:rPr>
          <w:rFonts w:ascii="Times New Roman" w:eastAsia="Times New Roman" w:hAnsi="Times New Roman" w:cs="Times New Roman"/>
          <w:lang w:val="en-US"/>
        </w:rPr>
        <w:t xml:space="preserve">van Dam, A. A., Beveridge, M. C. M., Azim, M. E., &amp; </w:t>
      </w:r>
      <w:proofErr w:type="spellStart"/>
      <w:r w:rsidRPr="00EA49C7">
        <w:rPr>
          <w:rFonts w:ascii="Times New Roman" w:eastAsia="Times New Roman" w:hAnsi="Times New Roman" w:cs="Times New Roman"/>
          <w:lang w:val="en-US"/>
        </w:rPr>
        <w:t>Verdegem</w:t>
      </w:r>
      <w:proofErr w:type="spellEnd"/>
      <w:r w:rsidRPr="00EA49C7">
        <w:rPr>
          <w:rFonts w:ascii="Times New Roman" w:eastAsia="Times New Roman" w:hAnsi="Times New Roman" w:cs="Times New Roman"/>
          <w:lang w:val="en-US"/>
        </w:rPr>
        <w:t xml:space="preserve">, M. C. J. (2002). The potential of fish production based on periphyton. Reviews in Fish Biology and Fisheries, 12, 1–31. </w:t>
      </w:r>
      <w:hyperlink r:id="rId27" w:history="1">
        <w:r w:rsidRPr="00EA49C7">
          <w:rPr>
            <w:rFonts w:ascii="Times New Roman" w:eastAsia="Times New Roman" w:hAnsi="Times New Roman" w:cs="Times New Roman"/>
            <w:color w:val="0000FF"/>
            <w:u w:val="single"/>
            <w:lang w:val="en-US"/>
          </w:rPr>
          <w:t>https://doi.org/10.1023/A:1022689805031</w:t>
        </w:r>
      </w:hyperlink>
    </w:p>
    <w:p w14:paraId="0E5047E4"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Evans, T. G. (2010). Co-ordination of osmotic stress responses through </w:t>
      </w:r>
      <w:proofErr w:type="spellStart"/>
      <w:r w:rsidRPr="00EA49C7">
        <w:rPr>
          <w:rFonts w:ascii="Times New Roman" w:eastAsia="Times New Roman" w:hAnsi="Times New Roman" w:cs="Times New Roman"/>
          <w:sz w:val="24"/>
          <w:szCs w:val="24"/>
          <w:lang w:val="en-US"/>
        </w:rPr>
        <w:t>osmosensing</w:t>
      </w:r>
      <w:proofErr w:type="spellEnd"/>
      <w:r w:rsidRPr="00EA49C7">
        <w:rPr>
          <w:rFonts w:ascii="Times New Roman" w:eastAsia="Times New Roman" w:hAnsi="Times New Roman" w:cs="Times New Roman"/>
          <w:sz w:val="24"/>
          <w:szCs w:val="24"/>
          <w:lang w:val="en-US"/>
        </w:rPr>
        <w:t xml:space="preserve"> and signal-transduction events in fishes. </w:t>
      </w:r>
      <w:r w:rsidRPr="00EA49C7">
        <w:rPr>
          <w:rFonts w:ascii="Times New Roman" w:eastAsia="Times New Roman" w:hAnsi="Times New Roman" w:cs="Times New Roman"/>
          <w:i/>
          <w:iCs/>
          <w:sz w:val="24"/>
          <w:szCs w:val="24"/>
          <w:lang w:val="en-US"/>
        </w:rPr>
        <w:t>Journal of Fish Biology, 76</w:t>
      </w:r>
      <w:r w:rsidRPr="00EA49C7">
        <w:rPr>
          <w:rFonts w:ascii="Times New Roman" w:eastAsia="Times New Roman" w:hAnsi="Times New Roman" w:cs="Times New Roman"/>
          <w:sz w:val="24"/>
          <w:szCs w:val="24"/>
          <w:lang w:val="en-US"/>
        </w:rPr>
        <w:t xml:space="preserve">(8), 1903–1925. </w:t>
      </w:r>
      <w:hyperlink r:id="rId28" w:history="1">
        <w:r w:rsidRPr="00EA49C7">
          <w:rPr>
            <w:rFonts w:ascii="Times New Roman" w:eastAsia="Times New Roman" w:hAnsi="Times New Roman" w:cs="Times New Roman"/>
            <w:color w:val="0000FF"/>
            <w:sz w:val="24"/>
            <w:szCs w:val="24"/>
            <w:u w:val="single"/>
            <w:lang w:val="en-US"/>
          </w:rPr>
          <w:t>https://doi.org/10.1111/j.1095-8649.2010.02590.x</w:t>
        </w:r>
      </w:hyperlink>
    </w:p>
    <w:p w14:paraId="38E2A4CF" w14:textId="53B2307D"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Genten, F., Terwinghe, E., &amp; Danguy, A. (2009). </w:t>
      </w:r>
      <w:r w:rsidRPr="00EA49C7">
        <w:rPr>
          <w:rFonts w:ascii="Times New Roman" w:eastAsia="Times New Roman" w:hAnsi="Times New Roman" w:cs="Times New Roman"/>
          <w:i/>
          <w:iCs/>
          <w:sz w:val="24"/>
          <w:szCs w:val="24"/>
          <w:lang w:val="en-US"/>
        </w:rPr>
        <w:t>Atlas of fish histology</w:t>
      </w:r>
      <w:r w:rsidRPr="00EA49C7">
        <w:rPr>
          <w:rFonts w:ascii="Times New Roman" w:eastAsia="Times New Roman" w:hAnsi="Times New Roman" w:cs="Times New Roman"/>
          <w:sz w:val="24"/>
          <w:szCs w:val="24"/>
          <w:lang w:val="en-US"/>
        </w:rPr>
        <w:t xml:space="preserve">. CRC Press. </w:t>
      </w:r>
    </w:p>
    <w:p w14:paraId="69D96EC4"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Herrera, M., Aragão, C., </w:t>
      </w:r>
      <w:proofErr w:type="spellStart"/>
      <w:r w:rsidRPr="00EA49C7">
        <w:rPr>
          <w:rFonts w:ascii="Times New Roman" w:eastAsia="Times New Roman" w:hAnsi="Times New Roman" w:cs="Times New Roman"/>
          <w:sz w:val="24"/>
          <w:szCs w:val="24"/>
          <w:lang w:val="en-US"/>
        </w:rPr>
        <w:t>Hachero</w:t>
      </w:r>
      <w:proofErr w:type="spellEnd"/>
      <w:r w:rsidRPr="00EA49C7">
        <w:rPr>
          <w:rFonts w:ascii="Times New Roman" w:eastAsia="Times New Roman" w:hAnsi="Times New Roman" w:cs="Times New Roman"/>
          <w:sz w:val="24"/>
          <w:szCs w:val="24"/>
          <w:lang w:val="en-US"/>
        </w:rPr>
        <w:t>, I., Ruiz-</w:t>
      </w:r>
      <w:proofErr w:type="spellStart"/>
      <w:r w:rsidRPr="00EA49C7">
        <w:rPr>
          <w:rFonts w:ascii="Times New Roman" w:eastAsia="Times New Roman" w:hAnsi="Times New Roman" w:cs="Times New Roman"/>
          <w:sz w:val="24"/>
          <w:szCs w:val="24"/>
          <w:lang w:val="en-US"/>
        </w:rPr>
        <w:t>Jarabo</w:t>
      </w:r>
      <w:proofErr w:type="spellEnd"/>
      <w:r w:rsidRPr="00EA49C7">
        <w:rPr>
          <w:rFonts w:ascii="Times New Roman" w:eastAsia="Times New Roman" w:hAnsi="Times New Roman" w:cs="Times New Roman"/>
          <w:sz w:val="24"/>
          <w:szCs w:val="24"/>
          <w:lang w:val="en-US"/>
        </w:rPr>
        <w:t>, I., Vargas-</w:t>
      </w:r>
      <w:proofErr w:type="spellStart"/>
      <w:r w:rsidRPr="00EA49C7">
        <w:rPr>
          <w:rFonts w:ascii="Times New Roman" w:eastAsia="Times New Roman" w:hAnsi="Times New Roman" w:cs="Times New Roman"/>
          <w:sz w:val="24"/>
          <w:szCs w:val="24"/>
          <w:lang w:val="en-US"/>
        </w:rPr>
        <w:t>Chacoff</w:t>
      </w:r>
      <w:proofErr w:type="spellEnd"/>
      <w:r w:rsidRPr="00EA49C7">
        <w:rPr>
          <w:rFonts w:ascii="Times New Roman" w:eastAsia="Times New Roman" w:hAnsi="Times New Roman" w:cs="Times New Roman"/>
          <w:sz w:val="24"/>
          <w:szCs w:val="24"/>
          <w:lang w:val="en-US"/>
        </w:rPr>
        <w:t xml:space="preserve">, L., Mancera, J. M., &amp; Conceição, L. E. C. (2012). Physiological short-term response to sudden salinity </w:t>
      </w:r>
      <w:proofErr w:type="gramStart"/>
      <w:r w:rsidRPr="00EA49C7">
        <w:rPr>
          <w:rFonts w:ascii="Times New Roman" w:eastAsia="Times New Roman" w:hAnsi="Times New Roman" w:cs="Times New Roman"/>
          <w:sz w:val="24"/>
          <w:szCs w:val="24"/>
          <w:lang w:val="en-US"/>
        </w:rPr>
        <w:t>change</w:t>
      </w:r>
      <w:proofErr w:type="gramEnd"/>
      <w:r w:rsidRPr="00EA49C7">
        <w:rPr>
          <w:rFonts w:ascii="Times New Roman" w:eastAsia="Times New Roman" w:hAnsi="Times New Roman" w:cs="Times New Roman"/>
          <w:sz w:val="24"/>
          <w:szCs w:val="24"/>
          <w:lang w:val="en-US"/>
        </w:rPr>
        <w:t xml:space="preserve"> in the Senegalese sole (</w:t>
      </w:r>
      <w:r w:rsidRPr="00EA49C7">
        <w:rPr>
          <w:rFonts w:ascii="Times New Roman" w:eastAsia="Times New Roman" w:hAnsi="Times New Roman" w:cs="Times New Roman"/>
          <w:i/>
          <w:iCs/>
          <w:sz w:val="24"/>
          <w:szCs w:val="24"/>
          <w:lang w:val="en-US"/>
        </w:rPr>
        <w:t>Solea senegalensis</w:t>
      </w:r>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Fish Physiology and Biochemistry, 38</w:t>
      </w:r>
      <w:r w:rsidRPr="00EA49C7">
        <w:rPr>
          <w:rFonts w:ascii="Times New Roman" w:eastAsia="Times New Roman" w:hAnsi="Times New Roman" w:cs="Times New Roman"/>
          <w:sz w:val="24"/>
          <w:szCs w:val="24"/>
          <w:lang w:val="en-US"/>
        </w:rPr>
        <w:t xml:space="preserve">(6), 1741–1751. </w:t>
      </w:r>
      <w:hyperlink r:id="rId29" w:history="1">
        <w:r w:rsidRPr="00EA49C7">
          <w:rPr>
            <w:rFonts w:ascii="Times New Roman" w:eastAsia="Times New Roman" w:hAnsi="Times New Roman" w:cs="Times New Roman"/>
            <w:color w:val="0000FF"/>
            <w:sz w:val="24"/>
            <w:szCs w:val="24"/>
            <w:u w:val="single"/>
            <w:lang w:val="en-US"/>
          </w:rPr>
          <w:t>https://doi.org/10.1007/s10695-012-9672-9</w:t>
        </w:r>
      </w:hyperlink>
    </w:p>
    <w:p w14:paraId="557B3FAD"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Imsland, A. K., </w:t>
      </w:r>
      <w:proofErr w:type="spellStart"/>
      <w:r w:rsidRPr="00EA49C7">
        <w:rPr>
          <w:rFonts w:ascii="Times New Roman" w:eastAsia="Times New Roman" w:hAnsi="Times New Roman" w:cs="Times New Roman"/>
          <w:sz w:val="24"/>
          <w:szCs w:val="24"/>
          <w:lang w:val="en-US"/>
        </w:rPr>
        <w:t>Gústavsson</w:t>
      </w:r>
      <w:proofErr w:type="spellEnd"/>
      <w:r w:rsidRPr="00EA49C7">
        <w:rPr>
          <w:rFonts w:ascii="Times New Roman" w:eastAsia="Times New Roman" w:hAnsi="Times New Roman" w:cs="Times New Roman"/>
          <w:sz w:val="24"/>
          <w:szCs w:val="24"/>
          <w:lang w:val="en-US"/>
        </w:rPr>
        <w:t>, A., Gunnarsson, S., Foss, A., Árnason, J., Arnarson, I., Jónsson, A. F., Smáradóttir, H., &amp; Thorarensen, H. (2008). Effects of reduced salinities on growth, feed-conversion efficiency and blood physiology of juvenile Atlantic halibut (</w:t>
      </w:r>
      <w:proofErr w:type="spellStart"/>
      <w:r w:rsidRPr="00EA49C7">
        <w:rPr>
          <w:rFonts w:ascii="Times New Roman" w:eastAsia="Times New Roman" w:hAnsi="Times New Roman" w:cs="Times New Roman"/>
          <w:i/>
          <w:iCs/>
          <w:sz w:val="24"/>
          <w:szCs w:val="24"/>
          <w:lang w:val="en-US"/>
        </w:rPr>
        <w:t>Hippoglossus</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hippoglossus</w:t>
      </w:r>
      <w:proofErr w:type="spellEnd"/>
      <w:r w:rsidRPr="00EA49C7">
        <w:rPr>
          <w:rFonts w:ascii="Times New Roman" w:eastAsia="Times New Roman" w:hAnsi="Times New Roman" w:cs="Times New Roman"/>
          <w:sz w:val="24"/>
          <w:szCs w:val="24"/>
          <w:lang w:val="en-US"/>
        </w:rPr>
        <w:t xml:space="preserve"> L.). </w:t>
      </w:r>
      <w:r w:rsidRPr="00EA49C7">
        <w:rPr>
          <w:rFonts w:ascii="Times New Roman" w:eastAsia="Times New Roman" w:hAnsi="Times New Roman" w:cs="Times New Roman"/>
          <w:i/>
          <w:iCs/>
          <w:sz w:val="24"/>
          <w:szCs w:val="24"/>
          <w:lang w:val="en-US"/>
        </w:rPr>
        <w:t>Aquaculture, 274</w:t>
      </w:r>
      <w:r w:rsidRPr="00EA49C7">
        <w:rPr>
          <w:rFonts w:ascii="Times New Roman" w:eastAsia="Times New Roman" w:hAnsi="Times New Roman" w:cs="Times New Roman"/>
          <w:sz w:val="24"/>
          <w:szCs w:val="24"/>
          <w:lang w:val="en-US"/>
        </w:rPr>
        <w:t xml:space="preserve">(2–4), 254–259. </w:t>
      </w:r>
      <w:hyperlink r:id="rId30" w:history="1">
        <w:r w:rsidRPr="00EA49C7">
          <w:rPr>
            <w:rFonts w:ascii="Times New Roman" w:eastAsia="Times New Roman" w:hAnsi="Times New Roman" w:cs="Times New Roman"/>
            <w:color w:val="0000FF"/>
            <w:sz w:val="24"/>
            <w:szCs w:val="24"/>
            <w:u w:val="single"/>
            <w:lang w:val="en-US"/>
          </w:rPr>
          <w:t>https://doi.org/10.1016/j.aquaculture.2007.11.021</w:t>
        </w:r>
      </w:hyperlink>
    </w:p>
    <w:p w14:paraId="7446ADF4"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Iwama, G. K., McGeer, J. C., &amp; Pawluk, M. P. (1989). </w:t>
      </w:r>
      <w:r w:rsidRPr="00EA49C7">
        <w:rPr>
          <w:rFonts w:ascii="Times New Roman" w:eastAsia="Times New Roman" w:hAnsi="Times New Roman" w:cs="Times New Roman"/>
          <w:sz w:val="24"/>
          <w:szCs w:val="24"/>
          <w:lang w:val="en-US"/>
        </w:rPr>
        <w:t xml:space="preserve">The effects of five fish </w:t>
      </w:r>
      <w:proofErr w:type="spellStart"/>
      <w:r w:rsidRPr="00EA49C7">
        <w:rPr>
          <w:rFonts w:ascii="Times New Roman" w:eastAsia="Times New Roman" w:hAnsi="Times New Roman" w:cs="Times New Roman"/>
          <w:sz w:val="24"/>
          <w:szCs w:val="24"/>
          <w:lang w:val="en-US"/>
        </w:rPr>
        <w:t>anaesthetics</w:t>
      </w:r>
      <w:proofErr w:type="spellEnd"/>
      <w:r w:rsidRPr="00EA49C7">
        <w:rPr>
          <w:rFonts w:ascii="Times New Roman" w:eastAsia="Times New Roman" w:hAnsi="Times New Roman" w:cs="Times New Roman"/>
          <w:sz w:val="24"/>
          <w:szCs w:val="24"/>
          <w:lang w:val="en-US"/>
        </w:rPr>
        <w:t xml:space="preserve"> on acid–base balance, </w:t>
      </w:r>
      <w:proofErr w:type="spellStart"/>
      <w:r w:rsidRPr="00EA49C7">
        <w:rPr>
          <w:rFonts w:ascii="Times New Roman" w:eastAsia="Times New Roman" w:hAnsi="Times New Roman" w:cs="Times New Roman"/>
          <w:sz w:val="24"/>
          <w:szCs w:val="24"/>
          <w:lang w:val="en-US"/>
        </w:rPr>
        <w:t>haematocrit</w:t>
      </w:r>
      <w:proofErr w:type="spellEnd"/>
      <w:r w:rsidRPr="00EA49C7">
        <w:rPr>
          <w:rFonts w:ascii="Times New Roman" w:eastAsia="Times New Roman" w:hAnsi="Times New Roman" w:cs="Times New Roman"/>
          <w:sz w:val="24"/>
          <w:szCs w:val="24"/>
          <w:lang w:val="en-US"/>
        </w:rPr>
        <w:t xml:space="preserve">, blood gases, cortisol and adrenaline in rainbow trout. </w:t>
      </w:r>
      <w:r w:rsidRPr="00EA49C7">
        <w:rPr>
          <w:rFonts w:ascii="Times New Roman" w:eastAsia="Times New Roman" w:hAnsi="Times New Roman" w:cs="Times New Roman"/>
          <w:i/>
          <w:iCs/>
          <w:sz w:val="24"/>
          <w:szCs w:val="24"/>
          <w:lang w:val="en-US"/>
        </w:rPr>
        <w:t>Canadian Journal of Zoology, 67</w:t>
      </w:r>
      <w:r w:rsidRPr="00EA49C7">
        <w:rPr>
          <w:rFonts w:ascii="Times New Roman" w:eastAsia="Times New Roman" w:hAnsi="Times New Roman" w:cs="Times New Roman"/>
          <w:sz w:val="24"/>
          <w:szCs w:val="24"/>
          <w:lang w:val="en-US"/>
        </w:rPr>
        <w:t xml:space="preserve">(8), 2065–2073. </w:t>
      </w:r>
      <w:hyperlink r:id="rId31" w:history="1">
        <w:r w:rsidRPr="00EA49C7">
          <w:rPr>
            <w:rFonts w:ascii="Times New Roman" w:eastAsia="Times New Roman" w:hAnsi="Times New Roman" w:cs="Times New Roman"/>
            <w:color w:val="0000FF"/>
            <w:sz w:val="24"/>
            <w:szCs w:val="24"/>
            <w:u w:val="single"/>
            <w:lang w:val="en-US"/>
          </w:rPr>
          <w:t>https://doi.org/10.1139/z89-294</w:t>
        </w:r>
      </w:hyperlink>
    </w:p>
    <w:p w14:paraId="568C6F3D"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Jarvis, P. L., &amp; Ballantyne, J. S. (2003). Metabolic responses to salinity acclimation in juvenile shortnose sturgeon, </w:t>
      </w:r>
      <w:r w:rsidRPr="00EA49C7">
        <w:rPr>
          <w:rFonts w:ascii="Times New Roman" w:eastAsia="Times New Roman" w:hAnsi="Times New Roman" w:cs="Times New Roman"/>
          <w:i/>
          <w:iCs/>
          <w:sz w:val="24"/>
          <w:szCs w:val="24"/>
          <w:lang w:val="en-US"/>
        </w:rPr>
        <w:t xml:space="preserve">Acipenser </w:t>
      </w:r>
      <w:proofErr w:type="spellStart"/>
      <w:r w:rsidRPr="00EA49C7">
        <w:rPr>
          <w:rFonts w:ascii="Times New Roman" w:eastAsia="Times New Roman" w:hAnsi="Times New Roman" w:cs="Times New Roman"/>
          <w:i/>
          <w:iCs/>
          <w:sz w:val="24"/>
          <w:szCs w:val="24"/>
          <w:lang w:val="en-US"/>
        </w:rPr>
        <w:t>brevirostrum</w:t>
      </w:r>
      <w:proofErr w:type="spellEnd"/>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Aquaculture, 219</w:t>
      </w:r>
      <w:r w:rsidRPr="00EA49C7">
        <w:rPr>
          <w:rFonts w:ascii="Times New Roman" w:eastAsia="Times New Roman" w:hAnsi="Times New Roman" w:cs="Times New Roman"/>
          <w:sz w:val="24"/>
          <w:szCs w:val="24"/>
          <w:lang w:val="en-US"/>
        </w:rPr>
        <w:t xml:space="preserve">(1–4), 891–909. </w:t>
      </w:r>
      <w:hyperlink r:id="rId32" w:history="1">
        <w:r w:rsidRPr="00EA49C7">
          <w:rPr>
            <w:rFonts w:ascii="Times New Roman" w:eastAsia="Times New Roman" w:hAnsi="Times New Roman" w:cs="Times New Roman"/>
            <w:color w:val="0000FF"/>
            <w:sz w:val="24"/>
            <w:szCs w:val="24"/>
            <w:u w:val="single"/>
            <w:lang w:val="en-US"/>
          </w:rPr>
          <w:t>https://doi.org/10.1016/S0044-8486(03)00074-2</w:t>
        </w:r>
      </w:hyperlink>
    </w:p>
    <w:p w14:paraId="64944BE7" w14:textId="75FB1B93"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Jayakumar, R., Tamilmani, G., Sakthivel, M., Kalidas, C., Rameshkumar, P., Hanumanta Rao, G., &amp; </w:t>
      </w:r>
      <w:proofErr w:type="spellStart"/>
      <w:r w:rsidRPr="00EA49C7">
        <w:rPr>
          <w:rFonts w:ascii="Times New Roman" w:eastAsia="Times New Roman" w:hAnsi="Times New Roman" w:cs="Times New Roman"/>
          <w:sz w:val="24"/>
          <w:szCs w:val="24"/>
          <w:lang w:val="en-US"/>
        </w:rPr>
        <w:t>Gopakumar</w:t>
      </w:r>
      <w:proofErr w:type="spellEnd"/>
      <w:r w:rsidRPr="00EA49C7">
        <w:rPr>
          <w:rFonts w:ascii="Times New Roman" w:eastAsia="Times New Roman" w:hAnsi="Times New Roman" w:cs="Times New Roman"/>
          <w:sz w:val="24"/>
          <w:szCs w:val="24"/>
          <w:lang w:val="en-US"/>
        </w:rPr>
        <w:t xml:space="preserve">, G. (2014). Evaluation of growth and production performance of hatchery-produced silver pompano, </w:t>
      </w:r>
      <w:r w:rsidRPr="00EA49C7">
        <w:rPr>
          <w:rFonts w:ascii="Times New Roman" w:eastAsia="Times New Roman" w:hAnsi="Times New Roman" w:cs="Times New Roman"/>
          <w:i/>
          <w:iCs/>
          <w:sz w:val="24"/>
          <w:szCs w:val="24"/>
          <w:lang w:val="en-US"/>
        </w:rPr>
        <w:t xml:space="preserve">Trachinotus </w:t>
      </w:r>
      <w:proofErr w:type="spellStart"/>
      <w:r w:rsidRPr="00EA49C7">
        <w:rPr>
          <w:rFonts w:ascii="Times New Roman" w:eastAsia="Times New Roman" w:hAnsi="Times New Roman" w:cs="Times New Roman"/>
          <w:i/>
          <w:iCs/>
          <w:sz w:val="24"/>
          <w:szCs w:val="24"/>
          <w:lang w:val="en-US"/>
        </w:rPr>
        <w:t>blochii</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Lacépède</w:t>
      </w:r>
      <w:proofErr w:type="spellEnd"/>
      <w:r w:rsidRPr="00EA49C7">
        <w:rPr>
          <w:rFonts w:ascii="Times New Roman" w:eastAsia="Times New Roman" w:hAnsi="Times New Roman" w:cs="Times New Roman"/>
          <w:sz w:val="24"/>
          <w:szCs w:val="24"/>
          <w:lang w:val="en-US"/>
        </w:rPr>
        <w:t xml:space="preserve">, 1801), fingerlings under brackish-water pond farming in India. </w:t>
      </w:r>
      <w:r w:rsidRPr="00EA49C7">
        <w:rPr>
          <w:rFonts w:ascii="Times New Roman" w:eastAsia="Times New Roman" w:hAnsi="Times New Roman" w:cs="Times New Roman"/>
          <w:i/>
          <w:iCs/>
          <w:sz w:val="24"/>
          <w:szCs w:val="24"/>
          <w:lang w:val="en-US"/>
        </w:rPr>
        <w:t>Indian Journal of Fisheries, 61</w:t>
      </w:r>
      <w:r w:rsidRPr="00EA49C7">
        <w:rPr>
          <w:rFonts w:ascii="Times New Roman" w:eastAsia="Times New Roman" w:hAnsi="Times New Roman" w:cs="Times New Roman"/>
          <w:sz w:val="24"/>
          <w:szCs w:val="24"/>
          <w:lang w:val="en-US"/>
        </w:rPr>
        <w:t xml:space="preserve">(3), 1–6. </w:t>
      </w:r>
    </w:p>
    <w:p w14:paraId="2830C778" w14:textId="3D5DD362"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Kalidas, C., Sakthivel, M., Tamilmani, G., Rameshkumar, P., Nazar, A. A., Jayakumar, R., &amp; </w:t>
      </w:r>
      <w:proofErr w:type="spellStart"/>
      <w:r w:rsidRPr="00EA49C7">
        <w:rPr>
          <w:rFonts w:ascii="Times New Roman" w:eastAsia="Times New Roman" w:hAnsi="Times New Roman" w:cs="Times New Roman"/>
          <w:sz w:val="24"/>
          <w:szCs w:val="24"/>
          <w:lang w:val="en-US"/>
        </w:rPr>
        <w:t>Gopakumar</w:t>
      </w:r>
      <w:proofErr w:type="spellEnd"/>
      <w:r w:rsidRPr="00EA49C7">
        <w:rPr>
          <w:rFonts w:ascii="Times New Roman" w:eastAsia="Times New Roman" w:hAnsi="Times New Roman" w:cs="Times New Roman"/>
          <w:sz w:val="24"/>
          <w:szCs w:val="24"/>
          <w:lang w:val="en-US"/>
        </w:rPr>
        <w:t xml:space="preserve">, G. (2012). Survival and growth of juvenile silver pompano, </w:t>
      </w:r>
      <w:r w:rsidRPr="00EA49C7">
        <w:rPr>
          <w:rFonts w:ascii="Times New Roman" w:eastAsia="Times New Roman" w:hAnsi="Times New Roman" w:cs="Times New Roman"/>
          <w:i/>
          <w:iCs/>
          <w:sz w:val="24"/>
          <w:szCs w:val="24"/>
          <w:lang w:val="en-US"/>
        </w:rPr>
        <w:t xml:space="preserve">Trachinotus </w:t>
      </w:r>
      <w:proofErr w:type="spellStart"/>
      <w:r w:rsidRPr="00EA49C7">
        <w:rPr>
          <w:rFonts w:ascii="Times New Roman" w:eastAsia="Times New Roman" w:hAnsi="Times New Roman" w:cs="Times New Roman"/>
          <w:i/>
          <w:iCs/>
          <w:sz w:val="24"/>
          <w:szCs w:val="24"/>
          <w:lang w:val="en-US"/>
        </w:rPr>
        <w:t>blochii</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Lacépède</w:t>
      </w:r>
      <w:proofErr w:type="spellEnd"/>
      <w:r w:rsidRPr="00EA49C7">
        <w:rPr>
          <w:rFonts w:ascii="Times New Roman" w:eastAsia="Times New Roman" w:hAnsi="Times New Roman" w:cs="Times New Roman"/>
          <w:sz w:val="24"/>
          <w:szCs w:val="24"/>
          <w:lang w:val="en-US"/>
        </w:rPr>
        <w:t xml:space="preserve">, 1801), at different salinities in tropical conditions. </w:t>
      </w:r>
      <w:r w:rsidRPr="00EA49C7">
        <w:rPr>
          <w:rFonts w:ascii="Times New Roman" w:eastAsia="Times New Roman" w:hAnsi="Times New Roman" w:cs="Times New Roman"/>
          <w:i/>
          <w:iCs/>
          <w:sz w:val="24"/>
          <w:szCs w:val="24"/>
          <w:lang w:val="en-US"/>
        </w:rPr>
        <w:t>Indian Journal of Fisheries, 59</w:t>
      </w:r>
      <w:r w:rsidRPr="00EA49C7">
        <w:rPr>
          <w:rFonts w:ascii="Times New Roman" w:eastAsia="Times New Roman" w:hAnsi="Times New Roman" w:cs="Times New Roman"/>
          <w:sz w:val="24"/>
          <w:szCs w:val="24"/>
          <w:lang w:val="en-US"/>
        </w:rPr>
        <w:t xml:space="preserve">(3), 95–99. </w:t>
      </w:r>
    </w:p>
    <w:p w14:paraId="7261054E"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lastRenderedPageBreak/>
        <w:t xml:space="preserve">Kono, Y. (1978). Generation of superoxide radical during autoxidation of hydroxylamine and an assay for superoxide dismutase. </w:t>
      </w:r>
      <w:r w:rsidRPr="00EA49C7">
        <w:rPr>
          <w:rFonts w:ascii="Times New Roman" w:eastAsia="Times New Roman" w:hAnsi="Times New Roman" w:cs="Times New Roman"/>
          <w:i/>
          <w:iCs/>
          <w:sz w:val="24"/>
          <w:szCs w:val="24"/>
          <w:lang w:val="en-US"/>
        </w:rPr>
        <w:t>Archives of Biochemistry and Biophysics, 186</w:t>
      </w:r>
      <w:r w:rsidRPr="00EA49C7">
        <w:rPr>
          <w:rFonts w:ascii="Times New Roman" w:eastAsia="Times New Roman" w:hAnsi="Times New Roman" w:cs="Times New Roman"/>
          <w:sz w:val="24"/>
          <w:szCs w:val="24"/>
          <w:lang w:val="en-US"/>
        </w:rPr>
        <w:t xml:space="preserve">(1), 189–195. </w:t>
      </w:r>
      <w:hyperlink r:id="rId33" w:history="1">
        <w:r w:rsidRPr="00EA49C7">
          <w:rPr>
            <w:rFonts w:ascii="Times New Roman" w:eastAsia="Times New Roman" w:hAnsi="Times New Roman" w:cs="Times New Roman"/>
            <w:color w:val="0000FF"/>
            <w:sz w:val="24"/>
            <w:szCs w:val="24"/>
            <w:u w:val="single"/>
            <w:lang w:val="en-US"/>
          </w:rPr>
          <w:t>https://doi.org/10.1016/0003-9861(78)90479-4</w:t>
        </w:r>
      </w:hyperlink>
    </w:p>
    <w:p w14:paraId="0F1582D1"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Laiz-Carrión, R., Guerreiro, P. M., Fuentes, J., Canario, A. V. M., Martín del Río, M. P., &amp; Mancera, J. M. (2005). Branchial osmoregulatory response to salinity in the gilthead sea bream, </w:t>
      </w:r>
      <w:r w:rsidRPr="00EA49C7">
        <w:rPr>
          <w:rFonts w:ascii="Times New Roman" w:eastAsia="Times New Roman" w:hAnsi="Times New Roman" w:cs="Times New Roman"/>
          <w:i/>
          <w:iCs/>
          <w:sz w:val="24"/>
          <w:szCs w:val="24"/>
          <w:lang w:val="en-US"/>
        </w:rPr>
        <w:t>Sparus auratus</w:t>
      </w:r>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Journal of Experimental Zoology Part A: Comparative Experimental Biology, 303</w:t>
      </w:r>
      <w:proofErr w:type="gramStart"/>
      <w:r w:rsidRPr="00EA49C7">
        <w:rPr>
          <w:rFonts w:ascii="Times New Roman" w:eastAsia="Times New Roman" w:hAnsi="Times New Roman" w:cs="Times New Roman"/>
          <w:i/>
          <w:iCs/>
          <w:sz w:val="24"/>
          <w:szCs w:val="24"/>
          <w:lang w:val="en-US"/>
        </w:rPr>
        <w:t>A</w:t>
      </w:r>
      <w:r w:rsidRPr="00EA49C7">
        <w:rPr>
          <w:rFonts w:ascii="Times New Roman" w:eastAsia="Times New Roman" w:hAnsi="Times New Roman" w:cs="Times New Roman"/>
          <w:sz w:val="24"/>
          <w:szCs w:val="24"/>
          <w:lang w:val="en-US"/>
        </w:rPr>
        <w:t>(</w:t>
      </w:r>
      <w:proofErr w:type="gramEnd"/>
      <w:r w:rsidRPr="00EA49C7">
        <w:rPr>
          <w:rFonts w:ascii="Times New Roman" w:eastAsia="Times New Roman" w:hAnsi="Times New Roman" w:cs="Times New Roman"/>
          <w:sz w:val="24"/>
          <w:szCs w:val="24"/>
          <w:lang w:val="en-US"/>
        </w:rPr>
        <w:t xml:space="preserve">7), 563–576. </w:t>
      </w:r>
      <w:hyperlink r:id="rId34" w:history="1">
        <w:r w:rsidRPr="00EA49C7">
          <w:rPr>
            <w:rFonts w:ascii="Times New Roman" w:eastAsia="Times New Roman" w:hAnsi="Times New Roman" w:cs="Times New Roman"/>
            <w:color w:val="0000FF"/>
            <w:sz w:val="24"/>
            <w:szCs w:val="24"/>
            <w:u w:val="single"/>
            <w:lang w:val="en-US"/>
          </w:rPr>
          <w:t>https://doi.org/10.1002/jez.a.181</w:t>
        </w:r>
      </w:hyperlink>
    </w:p>
    <w:p w14:paraId="47483A9B" w14:textId="53832F8A"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A49C7">
        <w:rPr>
          <w:rFonts w:ascii="Times New Roman" w:eastAsia="Times New Roman" w:hAnsi="Times New Roman" w:cs="Times New Roman"/>
          <w:sz w:val="24"/>
          <w:szCs w:val="24"/>
          <w:lang w:val="en-US"/>
        </w:rPr>
        <w:t>Lantu</w:t>
      </w:r>
      <w:proofErr w:type="spellEnd"/>
      <w:r w:rsidRPr="00EA49C7">
        <w:rPr>
          <w:rFonts w:ascii="Times New Roman" w:eastAsia="Times New Roman" w:hAnsi="Times New Roman" w:cs="Times New Roman"/>
          <w:sz w:val="24"/>
          <w:szCs w:val="24"/>
          <w:lang w:val="en-US"/>
        </w:rPr>
        <w:t xml:space="preserve">, S. (2010). </w:t>
      </w:r>
      <w:proofErr w:type="spellStart"/>
      <w:r w:rsidRPr="00EA49C7">
        <w:rPr>
          <w:rFonts w:ascii="Times New Roman" w:eastAsia="Times New Roman" w:hAnsi="Times New Roman" w:cs="Times New Roman"/>
          <w:sz w:val="24"/>
          <w:szCs w:val="24"/>
          <w:lang w:val="en-US"/>
        </w:rPr>
        <w:t>Osmoregulasi</w:t>
      </w:r>
      <w:proofErr w:type="spellEnd"/>
      <w:r w:rsidRPr="00EA49C7">
        <w:rPr>
          <w:rFonts w:ascii="Times New Roman" w:eastAsia="Times New Roman" w:hAnsi="Times New Roman" w:cs="Times New Roman"/>
          <w:sz w:val="24"/>
          <w:szCs w:val="24"/>
          <w:lang w:val="en-US"/>
        </w:rPr>
        <w:t xml:space="preserve"> pada </w:t>
      </w:r>
      <w:proofErr w:type="spellStart"/>
      <w:r w:rsidRPr="00EA49C7">
        <w:rPr>
          <w:rFonts w:ascii="Times New Roman" w:eastAsia="Times New Roman" w:hAnsi="Times New Roman" w:cs="Times New Roman"/>
          <w:sz w:val="24"/>
          <w:szCs w:val="24"/>
          <w:lang w:val="en-US"/>
        </w:rPr>
        <w:t>hewan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akuatik</w:t>
      </w:r>
      <w:proofErr w:type="spellEnd"/>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nl-BE"/>
        </w:rPr>
        <w:t>Jurnal Perikanan dan Kelautan Tropis, 6</w:t>
      </w:r>
      <w:r w:rsidRPr="00EA49C7">
        <w:rPr>
          <w:rFonts w:ascii="Times New Roman" w:eastAsia="Times New Roman" w:hAnsi="Times New Roman" w:cs="Times New Roman"/>
          <w:sz w:val="24"/>
          <w:szCs w:val="24"/>
          <w:lang w:val="nl-BE"/>
        </w:rPr>
        <w:t xml:space="preserve">(1), 46–50. </w:t>
      </w:r>
    </w:p>
    <w:p w14:paraId="38FD2C5E" w14:textId="6AC3B246"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Mahmudul, A. I., Chowdhury, M. I., &amp; Rahman, A. F. M. A. (2014). Effects of water salinity on feeding efficiencies, growth performances and survival rate of Thai-strain koi, </w:t>
      </w:r>
      <w:r w:rsidRPr="00EA49C7">
        <w:rPr>
          <w:rFonts w:ascii="Times New Roman" w:eastAsia="Times New Roman" w:hAnsi="Times New Roman" w:cs="Times New Roman"/>
          <w:i/>
          <w:iCs/>
          <w:sz w:val="24"/>
          <w:szCs w:val="24"/>
          <w:lang w:val="en-US"/>
        </w:rPr>
        <w:t xml:space="preserve">Anabas </w:t>
      </w:r>
      <w:proofErr w:type="spellStart"/>
      <w:r w:rsidRPr="00EA49C7">
        <w:rPr>
          <w:rFonts w:ascii="Times New Roman" w:eastAsia="Times New Roman" w:hAnsi="Times New Roman" w:cs="Times New Roman"/>
          <w:i/>
          <w:iCs/>
          <w:sz w:val="24"/>
          <w:szCs w:val="24"/>
          <w:lang w:val="en-US"/>
        </w:rPr>
        <w:t>testudineus</w:t>
      </w:r>
      <w:proofErr w:type="spellEnd"/>
      <w:r w:rsidRPr="00EA49C7">
        <w:rPr>
          <w:rFonts w:ascii="Times New Roman" w:eastAsia="Times New Roman" w:hAnsi="Times New Roman" w:cs="Times New Roman"/>
          <w:sz w:val="24"/>
          <w:szCs w:val="24"/>
          <w:lang w:val="en-US"/>
        </w:rPr>
        <w:t xml:space="preserve"> (Bloch, 1792). </w:t>
      </w:r>
      <w:r w:rsidRPr="00EA49C7">
        <w:rPr>
          <w:rFonts w:ascii="Times New Roman" w:eastAsia="Times New Roman" w:hAnsi="Times New Roman" w:cs="Times New Roman"/>
          <w:i/>
          <w:iCs/>
          <w:sz w:val="24"/>
          <w:szCs w:val="24"/>
          <w:lang w:val="en-US"/>
        </w:rPr>
        <w:t>World Journal of Fish and Marine Sciences, 6</w:t>
      </w:r>
      <w:r w:rsidRPr="00EA49C7">
        <w:rPr>
          <w:rFonts w:ascii="Times New Roman" w:eastAsia="Times New Roman" w:hAnsi="Times New Roman" w:cs="Times New Roman"/>
          <w:sz w:val="24"/>
          <w:szCs w:val="24"/>
          <w:lang w:val="en-US"/>
        </w:rPr>
        <w:t xml:space="preserve">(5), 479–486. </w:t>
      </w:r>
    </w:p>
    <w:p w14:paraId="639BE6BE"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McCormick, S. D., </w:t>
      </w:r>
      <w:proofErr w:type="spellStart"/>
      <w:r w:rsidRPr="00EA49C7">
        <w:rPr>
          <w:rFonts w:ascii="Times New Roman" w:eastAsia="Times New Roman" w:hAnsi="Times New Roman" w:cs="Times New Roman"/>
          <w:sz w:val="24"/>
          <w:szCs w:val="24"/>
          <w:lang w:val="en-US"/>
        </w:rPr>
        <w:t>Regish</w:t>
      </w:r>
      <w:proofErr w:type="spellEnd"/>
      <w:r w:rsidRPr="00EA49C7">
        <w:rPr>
          <w:rFonts w:ascii="Times New Roman" w:eastAsia="Times New Roman" w:hAnsi="Times New Roman" w:cs="Times New Roman"/>
          <w:sz w:val="24"/>
          <w:szCs w:val="24"/>
          <w:lang w:val="en-US"/>
        </w:rPr>
        <w:t xml:space="preserve">, A. M., &amp; Christensen, A. K. (2009). Distinct freshwater and seawater isoforms of Na+/K+-ATPase in gill chloride cells of Atlantic salmon. </w:t>
      </w:r>
      <w:r w:rsidRPr="00EA49C7">
        <w:rPr>
          <w:rFonts w:ascii="Times New Roman" w:eastAsia="Times New Roman" w:hAnsi="Times New Roman" w:cs="Times New Roman"/>
          <w:i/>
          <w:iCs/>
          <w:sz w:val="24"/>
          <w:szCs w:val="24"/>
          <w:lang w:val="en-US"/>
        </w:rPr>
        <w:t>Journal of Experimental Biology, 212</w:t>
      </w:r>
      <w:r w:rsidRPr="00EA49C7">
        <w:rPr>
          <w:rFonts w:ascii="Times New Roman" w:eastAsia="Times New Roman" w:hAnsi="Times New Roman" w:cs="Times New Roman"/>
          <w:sz w:val="24"/>
          <w:szCs w:val="24"/>
          <w:lang w:val="en-US"/>
        </w:rPr>
        <w:t xml:space="preserve">(24), 3994–4001. </w:t>
      </w:r>
      <w:hyperlink r:id="rId35" w:history="1">
        <w:r w:rsidRPr="00EA49C7">
          <w:rPr>
            <w:rFonts w:ascii="Times New Roman" w:eastAsia="Times New Roman" w:hAnsi="Times New Roman" w:cs="Times New Roman"/>
            <w:color w:val="0000FF"/>
            <w:sz w:val="24"/>
            <w:szCs w:val="24"/>
            <w:u w:val="single"/>
            <w:lang w:val="en-US"/>
          </w:rPr>
          <w:t>https://doi.org/10.1242/jeb.037275</w:t>
        </w:r>
      </w:hyperlink>
    </w:p>
    <w:p w14:paraId="6EEFE3A2"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Mkulo, E. M., Iddrisu, L., Yohana, M. A., Zheng, A., Zhong, J., Jin, M., Danso, F., Wang, L., Zhang, H., Tang, B., Zhou, H., Amoah, K., Huang, J., Wang, B., &amp; Wang, Z. (2025). </w:t>
      </w:r>
      <w:r w:rsidRPr="00EA49C7">
        <w:rPr>
          <w:rFonts w:ascii="Times New Roman" w:eastAsia="Times New Roman" w:hAnsi="Times New Roman" w:cs="Times New Roman"/>
          <w:sz w:val="24"/>
          <w:szCs w:val="24"/>
          <w:lang w:val="en-US"/>
        </w:rPr>
        <w:t xml:space="preserve">Exploring salinity adaptation in teleost fish, focusing on omics perspectives on osmoregulation and gut microbiota. </w:t>
      </w:r>
      <w:r w:rsidRPr="00EA49C7">
        <w:rPr>
          <w:rFonts w:ascii="Times New Roman" w:eastAsia="Times New Roman" w:hAnsi="Times New Roman" w:cs="Times New Roman"/>
          <w:i/>
          <w:iCs/>
          <w:sz w:val="24"/>
          <w:szCs w:val="24"/>
          <w:lang w:val="en-US"/>
        </w:rPr>
        <w:t>Frontiers in Marine Science, 12</w:t>
      </w:r>
      <w:r w:rsidRPr="00EA49C7">
        <w:rPr>
          <w:rFonts w:ascii="Times New Roman" w:eastAsia="Times New Roman" w:hAnsi="Times New Roman" w:cs="Times New Roman"/>
          <w:sz w:val="24"/>
          <w:szCs w:val="24"/>
          <w:lang w:val="en-US"/>
        </w:rPr>
        <w:t xml:space="preserve">, Article 1559871. </w:t>
      </w:r>
      <w:hyperlink r:id="rId36" w:history="1">
        <w:r w:rsidRPr="00EA49C7">
          <w:rPr>
            <w:rFonts w:ascii="Times New Roman" w:eastAsia="Times New Roman" w:hAnsi="Times New Roman" w:cs="Times New Roman"/>
            <w:color w:val="0000FF"/>
            <w:sz w:val="24"/>
            <w:szCs w:val="24"/>
            <w:u w:val="single"/>
            <w:lang w:val="en-US"/>
          </w:rPr>
          <w:t>https://doi.org/10.3389/fmars.2025.1559871</w:t>
        </w:r>
      </w:hyperlink>
    </w:p>
    <w:p w14:paraId="03FCAB2D"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Mommsen, T. P., Vijayan, M. M., &amp; Moon, T. W. (1999). </w:t>
      </w:r>
      <w:r w:rsidRPr="00EA49C7">
        <w:rPr>
          <w:rFonts w:ascii="Times New Roman" w:eastAsia="Times New Roman" w:hAnsi="Times New Roman" w:cs="Times New Roman"/>
          <w:sz w:val="24"/>
          <w:szCs w:val="24"/>
          <w:lang w:val="en-US"/>
        </w:rPr>
        <w:t xml:space="preserve">Cortisol in </w:t>
      </w:r>
      <w:proofErr w:type="spellStart"/>
      <w:r w:rsidRPr="00EA49C7">
        <w:rPr>
          <w:rFonts w:ascii="Times New Roman" w:eastAsia="Times New Roman" w:hAnsi="Times New Roman" w:cs="Times New Roman"/>
          <w:sz w:val="24"/>
          <w:szCs w:val="24"/>
          <w:lang w:val="en-US"/>
        </w:rPr>
        <w:t>teleosts</w:t>
      </w:r>
      <w:proofErr w:type="spellEnd"/>
      <w:r w:rsidRPr="00EA49C7">
        <w:rPr>
          <w:rFonts w:ascii="Times New Roman" w:eastAsia="Times New Roman" w:hAnsi="Times New Roman" w:cs="Times New Roman"/>
          <w:sz w:val="24"/>
          <w:szCs w:val="24"/>
          <w:lang w:val="en-US"/>
        </w:rPr>
        <w:t xml:space="preserve">: Dynamics, mechanisms of action and metabolic regulation. </w:t>
      </w:r>
      <w:r w:rsidRPr="00EA49C7">
        <w:rPr>
          <w:rFonts w:ascii="Times New Roman" w:eastAsia="Times New Roman" w:hAnsi="Times New Roman" w:cs="Times New Roman"/>
          <w:i/>
          <w:iCs/>
          <w:sz w:val="24"/>
          <w:szCs w:val="24"/>
          <w:lang w:val="en-US"/>
        </w:rPr>
        <w:t>Reviews in Fish Biology and Fisheries, 9</w:t>
      </w:r>
      <w:r w:rsidRPr="00EA49C7">
        <w:rPr>
          <w:rFonts w:ascii="Times New Roman" w:eastAsia="Times New Roman" w:hAnsi="Times New Roman" w:cs="Times New Roman"/>
          <w:sz w:val="24"/>
          <w:szCs w:val="24"/>
          <w:lang w:val="en-US"/>
        </w:rPr>
        <w:t xml:space="preserve">(3), 211–268. </w:t>
      </w:r>
      <w:hyperlink r:id="rId37" w:history="1">
        <w:r w:rsidRPr="00EA49C7">
          <w:rPr>
            <w:rFonts w:ascii="Times New Roman" w:eastAsia="Times New Roman" w:hAnsi="Times New Roman" w:cs="Times New Roman"/>
            <w:color w:val="0000FF"/>
            <w:sz w:val="24"/>
            <w:szCs w:val="24"/>
            <w:u w:val="single"/>
            <w:lang w:val="en-US"/>
          </w:rPr>
          <w:t>https://doi.org/10.1023/A:1008924418720</w:t>
        </w:r>
      </w:hyperlink>
    </w:p>
    <w:p w14:paraId="0F3F916D"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Morgan, J. D., &amp; Iwama, G. K. (1991). Effects of salinity on growth, metabolism and ion regulation in juvenile rainbow and steelhead trout (</w:t>
      </w:r>
      <w:r w:rsidRPr="00EA49C7">
        <w:rPr>
          <w:rFonts w:ascii="Times New Roman" w:eastAsia="Times New Roman" w:hAnsi="Times New Roman" w:cs="Times New Roman"/>
          <w:i/>
          <w:iCs/>
          <w:sz w:val="24"/>
          <w:szCs w:val="24"/>
          <w:lang w:val="en-US"/>
        </w:rPr>
        <w:t>Oncorhynchus mykiss</w:t>
      </w:r>
      <w:r w:rsidRPr="00EA49C7">
        <w:rPr>
          <w:rFonts w:ascii="Times New Roman" w:eastAsia="Times New Roman" w:hAnsi="Times New Roman" w:cs="Times New Roman"/>
          <w:sz w:val="24"/>
          <w:szCs w:val="24"/>
          <w:lang w:val="en-US"/>
        </w:rPr>
        <w:t>) and fall Chinook salmon (</w:t>
      </w:r>
      <w:r w:rsidRPr="00EA49C7">
        <w:rPr>
          <w:rFonts w:ascii="Times New Roman" w:eastAsia="Times New Roman" w:hAnsi="Times New Roman" w:cs="Times New Roman"/>
          <w:i/>
          <w:iCs/>
          <w:sz w:val="24"/>
          <w:szCs w:val="24"/>
          <w:lang w:val="en-US"/>
        </w:rPr>
        <w:t>Oncorhynchus tshawytscha</w:t>
      </w:r>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Canadian Journal of Fisheries and Aquatic Sciences, 48</w:t>
      </w:r>
      <w:r w:rsidRPr="00EA49C7">
        <w:rPr>
          <w:rFonts w:ascii="Times New Roman" w:eastAsia="Times New Roman" w:hAnsi="Times New Roman" w:cs="Times New Roman"/>
          <w:sz w:val="24"/>
          <w:szCs w:val="24"/>
          <w:lang w:val="en-US"/>
        </w:rPr>
        <w:t xml:space="preserve">(11), 2083–2094. </w:t>
      </w:r>
      <w:hyperlink r:id="rId38" w:history="1">
        <w:r w:rsidRPr="00EA49C7">
          <w:rPr>
            <w:rFonts w:ascii="Times New Roman" w:eastAsia="Times New Roman" w:hAnsi="Times New Roman" w:cs="Times New Roman"/>
            <w:color w:val="0000FF"/>
            <w:sz w:val="24"/>
            <w:szCs w:val="24"/>
            <w:u w:val="single"/>
            <w:lang w:val="en-US"/>
          </w:rPr>
          <w:t>https://doi.org/10.1139/f91-247</w:t>
        </w:r>
      </w:hyperlink>
    </w:p>
    <w:p w14:paraId="14BABF4B" w14:textId="709B0BE8"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Mulyadi, Tang, U. M., Amin, B., </w:t>
      </w:r>
      <w:proofErr w:type="spellStart"/>
      <w:r w:rsidRPr="00EA49C7">
        <w:rPr>
          <w:rFonts w:ascii="Times New Roman" w:eastAsia="Times New Roman" w:hAnsi="Times New Roman" w:cs="Times New Roman"/>
          <w:sz w:val="24"/>
          <w:szCs w:val="24"/>
          <w:lang w:val="en-US"/>
        </w:rPr>
        <w:t>Sukendi</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Pamukas</w:t>
      </w:r>
      <w:proofErr w:type="spellEnd"/>
      <w:r w:rsidRPr="00EA49C7">
        <w:rPr>
          <w:rFonts w:ascii="Times New Roman" w:eastAsia="Times New Roman" w:hAnsi="Times New Roman" w:cs="Times New Roman"/>
          <w:sz w:val="24"/>
          <w:szCs w:val="24"/>
          <w:lang w:val="en-US"/>
        </w:rPr>
        <w:t xml:space="preserve">, N. A., &amp; </w:t>
      </w:r>
      <w:proofErr w:type="spellStart"/>
      <w:r w:rsidRPr="00EA49C7">
        <w:rPr>
          <w:rFonts w:ascii="Times New Roman" w:eastAsia="Times New Roman" w:hAnsi="Times New Roman" w:cs="Times New Roman"/>
          <w:sz w:val="24"/>
          <w:szCs w:val="24"/>
          <w:lang w:val="en-US"/>
        </w:rPr>
        <w:t>Windarti</w:t>
      </w:r>
      <w:proofErr w:type="spellEnd"/>
      <w:r w:rsidRPr="00EA49C7">
        <w:rPr>
          <w:rFonts w:ascii="Times New Roman" w:eastAsia="Times New Roman" w:hAnsi="Times New Roman" w:cs="Times New Roman"/>
          <w:sz w:val="24"/>
          <w:szCs w:val="24"/>
          <w:lang w:val="en-US"/>
        </w:rPr>
        <w:t>. (2020). Osmotic performance rate, stress response and growth performance of silver pompano (</w:t>
      </w:r>
      <w:r w:rsidRPr="00EA49C7">
        <w:rPr>
          <w:rFonts w:ascii="Times New Roman" w:eastAsia="Times New Roman" w:hAnsi="Times New Roman" w:cs="Times New Roman"/>
          <w:i/>
          <w:iCs/>
          <w:sz w:val="24"/>
          <w:szCs w:val="24"/>
          <w:lang w:val="en-US"/>
        </w:rPr>
        <w:t xml:space="preserve">Trachinotus </w:t>
      </w:r>
      <w:proofErr w:type="spellStart"/>
      <w:r w:rsidRPr="00EA49C7">
        <w:rPr>
          <w:rFonts w:ascii="Times New Roman" w:eastAsia="Times New Roman" w:hAnsi="Times New Roman" w:cs="Times New Roman"/>
          <w:i/>
          <w:iCs/>
          <w:sz w:val="24"/>
          <w:szCs w:val="24"/>
          <w:lang w:val="en-US"/>
        </w:rPr>
        <w:t>blochii</w:t>
      </w:r>
      <w:proofErr w:type="spellEnd"/>
      <w:r w:rsidRPr="00EA49C7">
        <w:rPr>
          <w:rFonts w:ascii="Times New Roman" w:eastAsia="Times New Roman" w:hAnsi="Times New Roman" w:cs="Times New Roman"/>
          <w:sz w:val="24"/>
          <w:szCs w:val="24"/>
          <w:lang w:val="en-US"/>
        </w:rPr>
        <w:t xml:space="preserve">) reared at different salinities using a recirculating culture system. </w:t>
      </w:r>
      <w:r w:rsidRPr="00EA49C7">
        <w:rPr>
          <w:rFonts w:ascii="Times New Roman" w:eastAsia="Times New Roman" w:hAnsi="Times New Roman" w:cs="Times New Roman"/>
          <w:i/>
          <w:iCs/>
          <w:sz w:val="24"/>
          <w:szCs w:val="24"/>
          <w:lang w:val="en-US"/>
        </w:rPr>
        <w:t xml:space="preserve">AACL </w:t>
      </w:r>
      <w:proofErr w:type="spellStart"/>
      <w:r w:rsidRPr="00EA49C7">
        <w:rPr>
          <w:rFonts w:ascii="Times New Roman" w:eastAsia="Times New Roman" w:hAnsi="Times New Roman" w:cs="Times New Roman"/>
          <w:i/>
          <w:iCs/>
          <w:sz w:val="24"/>
          <w:szCs w:val="24"/>
          <w:lang w:val="en-US"/>
        </w:rPr>
        <w:t>Bioflux</w:t>
      </w:r>
      <w:proofErr w:type="spellEnd"/>
      <w:r w:rsidRPr="00EA49C7">
        <w:rPr>
          <w:rFonts w:ascii="Times New Roman" w:eastAsia="Times New Roman" w:hAnsi="Times New Roman" w:cs="Times New Roman"/>
          <w:i/>
          <w:iCs/>
          <w:sz w:val="24"/>
          <w:szCs w:val="24"/>
          <w:lang w:val="en-US"/>
        </w:rPr>
        <w:t>, 13</w:t>
      </w:r>
      <w:r w:rsidRPr="00EA49C7">
        <w:rPr>
          <w:rFonts w:ascii="Times New Roman" w:eastAsia="Times New Roman" w:hAnsi="Times New Roman" w:cs="Times New Roman"/>
          <w:sz w:val="24"/>
          <w:szCs w:val="24"/>
          <w:lang w:val="en-US"/>
        </w:rPr>
        <w:t xml:space="preserve">(3), 1546–1556. </w:t>
      </w:r>
    </w:p>
    <w:p w14:paraId="5B4958AA"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Mylonas, C. C., Pavlidis, M., </w:t>
      </w:r>
      <w:proofErr w:type="spellStart"/>
      <w:r w:rsidRPr="00EA49C7">
        <w:rPr>
          <w:rFonts w:ascii="Times New Roman" w:eastAsia="Times New Roman" w:hAnsi="Times New Roman" w:cs="Times New Roman"/>
          <w:sz w:val="24"/>
          <w:szCs w:val="24"/>
          <w:lang w:val="en-US"/>
        </w:rPr>
        <w:t>Papandroulakis</w:t>
      </w:r>
      <w:proofErr w:type="spellEnd"/>
      <w:r w:rsidRPr="00EA49C7">
        <w:rPr>
          <w:rFonts w:ascii="Times New Roman" w:eastAsia="Times New Roman" w:hAnsi="Times New Roman" w:cs="Times New Roman"/>
          <w:sz w:val="24"/>
          <w:szCs w:val="24"/>
          <w:lang w:val="en-US"/>
        </w:rPr>
        <w:t xml:space="preserve">, N., Zaiss, M. M., Tsafarakis, D., Papadakis, I. E., &amp; </w:t>
      </w:r>
      <w:proofErr w:type="spellStart"/>
      <w:r w:rsidRPr="00EA49C7">
        <w:rPr>
          <w:rFonts w:ascii="Times New Roman" w:eastAsia="Times New Roman" w:hAnsi="Times New Roman" w:cs="Times New Roman"/>
          <w:sz w:val="24"/>
          <w:szCs w:val="24"/>
          <w:lang w:val="en-US"/>
        </w:rPr>
        <w:t>Varsamos</w:t>
      </w:r>
      <w:proofErr w:type="spellEnd"/>
      <w:r w:rsidRPr="00EA49C7">
        <w:rPr>
          <w:rFonts w:ascii="Times New Roman" w:eastAsia="Times New Roman" w:hAnsi="Times New Roman" w:cs="Times New Roman"/>
          <w:sz w:val="24"/>
          <w:szCs w:val="24"/>
          <w:lang w:val="en-US"/>
        </w:rPr>
        <w:t xml:space="preserve">, S. (2009). Growth performance and osmoregulation in the </w:t>
      </w:r>
      <w:proofErr w:type="spellStart"/>
      <w:r w:rsidRPr="00EA49C7">
        <w:rPr>
          <w:rFonts w:ascii="Times New Roman" w:eastAsia="Times New Roman" w:hAnsi="Times New Roman" w:cs="Times New Roman"/>
          <w:sz w:val="24"/>
          <w:szCs w:val="24"/>
          <w:lang w:val="en-US"/>
        </w:rPr>
        <w:t>shi</w:t>
      </w:r>
      <w:proofErr w:type="spellEnd"/>
      <w:r w:rsidRPr="00EA49C7">
        <w:rPr>
          <w:rFonts w:ascii="Times New Roman" w:eastAsia="Times New Roman" w:hAnsi="Times New Roman" w:cs="Times New Roman"/>
          <w:sz w:val="24"/>
          <w:szCs w:val="24"/>
          <w:lang w:val="en-US"/>
        </w:rPr>
        <w:t xml:space="preserve"> drum (</w:t>
      </w:r>
      <w:proofErr w:type="spellStart"/>
      <w:r w:rsidRPr="00EA49C7">
        <w:rPr>
          <w:rFonts w:ascii="Times New Roman" w:eastAsia="Times New Roman" w:hAnsi="Times New Roman" w:cs="Times New Roman"/>
          <w:i/>
          <w:iCs/>
          <w:sz w:val="24"/>
          <w:szCs w:val="24"/>
          <w:lang w:val="en-US"/>
        </w:rPr>
        <w:t>Umbrina</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cirrosa</w:t>
      </w:r>
      <w:proofErr w:type="spellEnd"/>
      <w:r w:rsidRPr="00EA49C7">
        <w:rPr>
          <w:rFonts w:ascii="Times New Roman" w:eastAsia="Times New Roman" w:hAnsi="Times New Roman" w:cs="Times New Roman"/>
          <w:sz w:val="24"/>
          <w:szCs w:val="24"/>
          <w:lang w:val="en-US"/>
        </w:rPr>
        <w:t xml:space="preserve">) adapted to different environmental salinities. </w:t>
      </w:r>
      <w:r w:rsidRPr="00EA49C7">
        <w:rPr>
          <w:rFonts w:ascii="Times New Roman" w:eastAsia="Times New Roman" w:hAnsi="Times New Roman" w:cs="Times New Roman"/>
          <w:i/>
          <w:iCs/>
          <w:sz w:val="24"/>
          <w:szCs w:val="24"/>
          <w:lang w:val="en-US"/>
        </w:rPr>
        <w:t>Aquaculture, 287</w:t>
      </w:r>
      <w:r w:rsidRPr="00EA49C7">
        <w:rPr>
          <w:rFonts w:ascii="Times New Roman" w:eastAsia="Times New Roman" w:hAnsi="Times New Roman" w:cs="Times New Roman"/>
          <w:sz w:val="24"/>
          <w:szCs w:val="24"/>
          <w:lang w:val="en-US"/>
        </w:rPr>
        <w:t xml:space="preserve">(1–2), 203–210. </w:t>
      </w:r>
      <w:hyperlink r:id="rId39" w:history="1">
        <w:r w:rsidRPr="00EA49C7">
          <w:rPr>
            <w:rFonts w:ascii="Times New Roman" w:eastAsia="Times New Roman" w:hAnsi="Times New Roman" w:cs="Times New Roman"/>
            <w:color w:val="0000FF"/>
            <w:sz w:val="24"/>
            <w:szCs w:val="24"/>
            <w:u w:val="single"/>
            <w:lang w:val="en-US"/>
          </w:rPr>
          <w:t>https://doi.org/10.1016/j.aquaculture.2008.10.024</w:t>
        </w:r>
      </w:hyperlink>
    </w:p>
    <w:p w14:paraId="27DB6958" w14:textId="0724B361"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Nordlie, F. G. (2016). Adaptation to salinity and osmoregulation in </w:t>
      </w:r>
      <w:proofErr w:type="spellStart"/>
      <w:r w:rsidRPr="00EA49C7">
        <w:rPr>
          <w:rFonts w:ascii="Times New Roman" w:eastAsia="Times New Roman" w:hAnsi="Times New Roman" w:cs="Times New Roman"/>
          <w:sz w:val="24"/>
          <w:szCs w:val="24"/>
          <w:lang w:val="en-US"/>
        </w:rPr>
        <w:t>Mugilidae</w:t>
      </w:r>
      <w:proofErr w:type="spellEnd"/>
      <w:r w:rsidRPr="00EA49C7">
        <w:rPr>
          <w:rFonts w:ascii="Times New Roman" w:eastAsia="Times New Roman" w:hAnsi="Times New Roman" w:cs="Times New Roman"/>
          <w:sz w:val="24"/>
          <w:szCs w:val="24"/>
          <w:lang w:val="en-US"/>
        </w:rPr>
        <w:t xml:space="preserve">. In D. Crosetti and S. J. M. Blaber (Eds.), </w:t>
      </w:r>
      <w:r w:rsidRPr="00EA49C7">
        <w:rPr>
          <w:rFonts w:ascii="Times New Roman" w:eastAsia="Times New Roman" w:hAnsi="Times New Roman" w:cs="Times New Roman"/>
          <w:i/>
          <w:iCs/>
          <w:sz w:val="24"/>
          <w:szCs w:val="24"/>
          <w:lang w:val="en-US"/>
        </w:rPr>
        <w:t>Biology, ecology and culture of grey mullets (</w:t>
      </w:r>
      <w:proofErr w:type="spellStart"/>
      <w:r w:rsidRPr="00EA49C7">
        <w:rPr>
          <w:rFonts w:ascii="Times New Roman" w:eastAsia="Times New Roman" w:hAnsi="Times New Roman" w:cs="Times New Roman"/>
          <w:i/>
          <w:iCs/>
          <w:sz w:val="24"/>
          <w:szCs w:val="24"/>
          <w:lang w:val="en-US"/>
        </w:rPr>
        <w:t>Mugilidae</w:t>
      </w:r>
      <w:proofErr w:type="spellEnd"/>
      <w:r w:rsidRPr="00EA49C7">
        <w:rPr>
          <w:rFonts w:ascii="Times New Roman" w:eastAsia="Times New Roman" w:hAnsi="Times New Roman" w:cs="Times New Roman"/>
          <w:i/>
          <w:iCs/>
          <w:sz w:val="24"/>
          <w:szCs w:val="24"/>
          <w:lang w:val="en-US"/>
        </w:rPr>
        <w:t>)</w:t>
      </w:r>
      <w:r w:rsidRPr="00EA49C7">
        <w:rPr>
          <w:rFonts w:ascii="Times New Roman" w:eastAsia="Times New Roman" w:hAnsi="Times New Roman" w:cs="Times New Roman"/>
          <w:sz w:val="24"/>
          <w:szCs w:val="24"/>
          <w:lang w:val="en-US"/>
        </w:rPr>
        <w:t xml:space="preserve"> (pp. 293–323). CRC Press. </w:t>
      </w:r>
    </w:p>
    <w:p w14:paraId="27652AEA"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lastRenderedPageBreak/>
        <w:t xml:space="preserve">Paglia, D. E., &amp; Valentine, W. N. (1967). </w:t>
      </w:r>
      <w:r w:rsidRPr="00EA49C7">
        <w:rPr>
          <w:rFonts w:ascii="Times New Roman" w:eastAsia="Times New Roman" w:hAnsi="Times New Roman" w:cs="Times New Roman"/>
          <w:sz w:val="24"/>
          <w:szCs w:val="24"/>
          <w:lang w:val="en-US"/>
        </w:rPr>
        <w:t xml:space="preserve">Studies on the quantitative and qualitative characterization of erythrocyte glutathione peroxidase. </w:t>
      </w:r>
      <w:r w:rsidRPr="00EA49C7">
        <w:rPr>
          <w:rFonts w:ascii="Times New Roman" w:eastAsia="Times New Roman" w:hAnsi="Times New Roman" w:cs="Times New Roman"/>
          <w:i/>
          <w:iCs/>
          <w:sz w:val="24"/>
          <w:szCs w:val="24"/>
          <w:lang w:val="en-US"/>
        </w:rPr>
        <w:t>The Journal of Laboratory and Clinical Medicine, 70</w:t>
      </w:r>
      <w:r w:rsidRPr="00EA49C7">
        <w:rPr>
          <w:rFonts w:ascii="Times New Roman" w:eastAsia="Times New Roman" w:hAnsi="Times New Roman" w:cs="Times New Roman"/>
          <w:sz w:val="24"/>
          <w:szCs w:val="24"/>
          <w:lang w:val="en-US"/>
        </w:rPr>
        <w:t xml:space="preserve">(1), 158–169. </w:t>
      </w:r>
      <w:hyperlink r:id="rId40" w:history="1">
        <w:r w:rsidRPr="00EA49C7">
          <w:rPr>
            <w:rFonts w:ascii="Times New Roman" w:eastAsia="Times New Roman" w:hAnsi="Times New Roman" w:cs="Times New Roman"/>
            <w:color w:val="0000FF"/>
            <w:sz w:val="24"/>
            <w:szCs w:val="24"/>
            <w:u w:val="single"/>
            <w:lang w:val="en-US"/>
          </w:rPr>
          <w:t>https://pubmed.ncbi.nlm.nih.gov/6066618/</w:t>
        </w:r>
      </w:hyperlink>
    </w:p>
    <w:p w14:paraId="6F2C1398"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A49C7">
        <w:rPr>
          <w:rFonts w:ascii="Times New Roman" w:eastAsia="Times New Roman" w:hAnsi="Times New Roman" w:cs="Times New Roman"/>
          <w:sz w:val="24"/>
          <w:szCs w:val="24"/>
          <w:lang w:val="en-US"/>
        </w:rPr>
        <w:t>Pamungkas</w:t>
      </w:r>
      <w:proofErr w:type="spellEnd"/>
      <w:r w:rsidRPr="00EA49C7">
        <w:rPr>
          <w:rFonts w:ascii="Times New Roman" w:eastAsia="Times New Roman" w:hAnsi="Times New Roman" w:cs="Times New Roman"/>
          <w:sz w:val="24"/>
          <w:szCs w:val="24"/>
          <w:lang w:val="en-US"/>
        </w:rPr>
        <w:t xml:space="preserve">, W. (2012). </w:t>
      </w:r>
      <w:proofErr w:type="spellStart"/>
      <w:r w:rsidRPr="00EA49C7">
        <w:rPr>
          <w:rFonts w:ascii="Times New Roman" w:eastAsia="Times New Roman" w:hAnsi="Times New Roman" w:cs="Times New Roman"/>
          <w:sz w:val="24"/>
          <w:szCs w:val="24"/>
          <w:lang w:val="en-US"/>
        </w:rPr>
        <w:t>Aktivitas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osmoregulasi</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respons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pertumbuhan</w:t>
      </w:r>
      <w:proofErr w:type="spellEnd"/>
      <w:r w:rsidRPr="00EA49C7">
        <w:rPr>
          <w:rFonts w:ascii="Times New Roman" w:eastAsia="Times New Roman" w:hAnsi="Times New Roman" w:cs="Times New Roman"/>
          <w:sz w:val="24"/>
          <w:szCs w:val="24"/>
          <w:lang w:val="en-US"/>
        </w:rPr>
        <w:t xml:space="preserve">, dan energetic cost pada ikan yang </w:t>
      </w:r>
      <w:proofErr w:type="spellStart"/>
      <w:r w:rsidRPr="00EA49C7">
        <w:rPr>
          <w:rFonts w:ascii="Times New Roman" w:eastAsia="Times New Roman" w:hAnsi="Times New Roman" w:cs="Times New Roman"/>
          <w:sz w:val="24"/>
          <w:szCs w:val="24"/>
          <w:lang w:val="en-US"/>
        </w:rPr>
        <w:t>dipelihara</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dalam</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lingkungan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bersalinitas</w:t>
      </w:r>
      <w:proofErr w:type="spellEnd"/>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 xml:space="preserve">Media </w:t>
      </w:r>
      <w:proofErr w:type="spellStart"/>
      <w:r w:rsidRPr="00EA49C7">
        <w:rPr>
          <w:rFonts w:ascii="Times New Roman" w:eastAsia="Times New Roman" w:hAnsi="Times New Roman" w:cs="Times New Roman"/>
          <w:i/>
          <w:iCs/>
          <w:sz w:val="24"/>
          <w:szCs w:val="24"/>
          <w:lang w:val="en-US"/>
        </w:rPr>
        <w:t>Akuakultur</w:t>
      </w:r>
      <w:proofErr w:type="spellEnd"/>
      <w:r w:rsidRPr="00EA49C7">
        <w:rPr>
          <w:rFonts w:ascii="Times New Roman" w:eastAsia="Times New Roman" w:hAnsi="Times New Roman" w:cs="Times New Roman"/>
          <w:i/>
          <w:iCs/>
          <w:sz w:val="24"/>
          <w:szCs w:val="24"/>
          <w:lang w:val="en-US"/>
        </w:rPr>
        <w:t>, 7</w:t>
      </w:r>
      <w:r w:rsidRPr="00EA49C7">
        <w:rPr>
          <w:rFonts w:ascii="Times New Roman" w:eastAsia="Times New Roman" w:hAnsi="Times New Roman" w:cs="Times New Roman"/>
          <w:sz w:val="24"/>
          <w:szCs w:val="24"/>
          <w:lang w:val="en-US"/>
        </w:rPr>
        <w:t xml:space="preserve">(1), 44–51. </w:t>
      </w:r>
      <w:hyperlink r:id="rId41" w:history="1">
        <w:r w:rsidRPr="00EA49C7">
          <w:rPr>
            <w:rFonts w:ascii="Times New Roman" w:eastAsia="Times New Roman" w:hAnsi="Times New Roman" w:cs="Times New Roman"/>
            <w:color w:val="0000FF"/>
            <w:sz w:val="24"/>
            <w:szCs w:val="24"/>
            <w:u w:val="single"/>
            <w:lang w:val="en-US"/>
          </w:rPr>
          <w:t>https://doi.org/10.15578/ma.7.1.2012.44-51</w:t>
        </w:r>
      </w:hyperlink>
    </w:p>
    <w:p w14:paraId="08F89E17"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Pathak, M. S., Lakra, W. S., Reddy, A. K., Chadha, N. K., Tiwari, V. K., &amp; Srivastava, P. P. (2019). Growth and survival of silver pompano, </w:t>
      </w:r>
      <w:r w:rsidRPr="00EA49C7">
        <w:rPr>
          <w:rFonts w:ascii="Times New Roman" w:eastAsia="Times New Roman" w:hAnsi="Times New Roman" w:cs="Times New Roman"/>
          <w:i/>
          <w:iCs/>
          <w:sz w:val="24"/>
          <w:szCs w:val="24"/>
          <w:lang w:val="en-US"/>
        </w:rPr>
        <w:t xml:space="preserve">Trachinotus </w:t>
      </w:r>
      <w:proofErr w:type="spellStart"/>
      <w:r w:rsidRPr="00EA49C7">
        <w:rPr>
          <w:rFonts w:ascii="Times New Roman" w:eastAsia="Times New Roman" w:hAnsi="Times New Roman" w:cs="Times New Roman"/>
          <w:i/>
          <w:iCs/>
          <w:sz w:val="24"/>
          <w:szCs w:val="24"/>
          <w:lang w:val="en-US"/>
        </w:rPr>
        <w:t>blochii</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Lacepede</w:t>
      </w:r>
      <w:proofErr w:type="spellEnd"/>
      <w:r w:rsidRPr="00EA49C7">
        <w:rPr>
          <w:rFonts w:ascii="Times New Roman" w:eastAsia="Times New Roman" w:hAnsi="Times New Roman" w:cs="Times New Roman"/>
          <w:sz w:val="24"/>
          <w:szCs w:val="24"/>
          <w:lang w:val="en-US"/>
        </w:rPr>
        <w:t xml:space="preserve">, 1801), at different salinities in inland saline groundwater. </w:t>
      </w:r>
      <w:r w:rsidRPr="00EA49C7">
        <w:rPr>
          <w:rFonts w:ascii="Times New Roman" w:eastAsia="Times New Roman" w:hAnsi="Times New Roman" w:cs="Times New Roman"/>
          <w:i/>
          <w:iCs/>
          <w:sz w:val="24"/>
          <w:szCs w:val="24"/>
          <w:lang w:val="en-US"/>
        </w:rPr>
        <w:t>The Indian Journal of Animal Sciences, 89</w:t>
      </w:r>
      <w:r w:rsidRPr="00EA49C7">
        <w:rPr>
          <w:rFonts w:ascii="Times New Roman" w:eastAsia="Times New Roman" w:hAnsi="Times New Roman" w:cs="Times New Roman"/>
          <w:sz w:val="24"/>
          <w:szCs w:val="24"/>
          <w:lang w:val="en-US"/>
        </w:rPr>
        <w:t xml:space="preserve">(5), 581–587. </w:t>
      </w:r>
      <w:hyperlink r:id="rId42" w:history="1">
        <w:r w:rsidRPr="00EA49C7">
          <w:rPr>
            <w:rFonts w:ascii="Times New Roman" w:eastAsia="Times New Roman" w:hAnsi="Times New Roman" w:cs="Times New Roman"/>
            <w:color w:val="0000FF"/>
            <w:sz w:val="24"/>
            <w:szCs w:val="24"/>
            <w:u w:val="single"/>
            <w:lang w:val="en-US"/>
          </w:rPr>
          <w:t>https://doi.org/10.56093/ijans.v89i5.90045</w:t>
        </w:r>
      </w:hyperlink>
    </w:p>
    <w:p w14:paraId="44D5932D"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A49C7">
        <w:rPr>
          <w:rFonts w:ascii="Times New Roman" w:eastAsia="Times New Roman" w:hAnsi="Times New Roman" w:cs="Times New Roman"/>
          <w:sz w:val="24"/>
          <w:szCs w:val="24"/>
          <w:lang w:val="en-US"/>
        </w:rPr>
        <w:t>Peragón</w:t>
      </w:r>
      <w:proofErr w:type="spellEnd"/>
      <w:r w:rsidRPr="00EA49C7">
        <w:rPr>
          <w:rFonts w:ascii="Times New Roman" w:eastAsia="Times New Roman" w:hAnsi="Times New Roman" w:cs="Times New Roman"/>
          <w:sz w:val="24"/>
          <w:szCs w:val="24"/>
          <w:lang w:val="en-US"/>
        </w:rPr>
        <w:t xml:space="preserve">, J., Barroso, J. B., de la Higuera, M., &amp; </w:t>
      </w:r>
      <w:proofErr w:type="spellStart"/>
      <w:r w:rsidRPr="00EA49C7">
        <w:rPr>
          <w:rFonts w:ascii="Times New Roman" w:eastAsia="Times New Roman" w:hAnsi="Times New Roman" w:cs="Times New Roman"/>
          <w:sz w:val="24"/>
          <w:szCs w:val="24"/>
          <w:lang w:val="en-US"/>
        </w:rPr>
        <w:t>Lupiáñez</w:t>
      </w:r>
      <w:proofErr w:type="spellEnd"/>
      <w:r w:rsidRPr="00EA49C7">
        <w:rPr>
          <w:rFonts w:ascii="Times New Roman" w:eastAsia="Times New Roman" w:hAnsi="Times New Roman" w:cs="Times New Roman"/>
          <w:sz w:val="24"/>
          <w:szCs w:val="24"/>
          <w:lang w:val="en-US"/>
        </w:rPr>
        <w:t>, J. A. (1998). Relationship between growth and protein-turnover rates and nucleic acids in the liver of rainbow trout (</w:t>
      </w:r>
      <w:r w:rsidRPr="00EA49C7">
        <w:rPr>
          <w:rFonts w:ascii="Times New Roman" w:eastAsia="Times New Roman" w:hAnsi="Times New Roman" w:cs="Times New Roman"/>
          <w:i/>
          <w:iCs/>
          <w:sz w:val="24"/>
          <w:szCs w:val="24"/>
          <w:lang w:val="en-US"/>
        </w:rPr>
        <w:t>Oncorhynchus mykiss</w:t>
      </w:r>
      <w:r w:rsidRPr="00EA49C7">
        <w:rPr>
          <w:rFonts w:ascii="Times New Roman" w:eastAsia="Times New Roman" w:hAnsi="Times New Roman" w:cs="Times New Roman"/>
          <w:sz w:val="24"/>
          <w:szCs w:val="24"/>
          <w:lang w:val="en-US"/>
        </w:rPr>
        <w:t xml:space="preserve">) during development. </w:t>
      </w:r>
      <w:r w:rsidRPr="00EA49C7">
        <w:rPr>
          <w:rFonts w:ascii="Times New Roman" w:eastAsia="Times New Roman" w:hAnsi="Times New Roman" w:cs="Times New Roman"/>
          <w:i/>
          <w:iCs/>
          <w:sz w:val="24"/>
          <w:szCs w:val="24"/>
          <w:lang w:val="en-US"/>
        </w:rPr>
        <w:t>Canadian Journal of Fisheries and Aquatic Sciences, 55</w:t>
      </w:r>
      <w:r w:rsidRPr="00EA49C7">
        <w:rPr>
          <w:rFonts w:ascii="Times New Roman" w:eastAsia="Times New Roman" w:hAnsi="Times New Roman" w:cs="Times New Roman"/>
          <w:sz w:val="24"/>
          <w:szCs w:val="24"/>
          <w:lang w:val="en-US"/>
        </w:rPr>
        <w:t xml:space="preserve">(3), 649–657. </w:t>
      </w:r>
      <w:hyperlink r:id="rId43" w:history="1">
        <w:r w:rsidRPr="00EA49C7">
          <w:rPr>
            <w:rFonts w:ascii="Times New Roman" w:eastAsia="Times New Roman" w:hAnsi="Times New Roman" w:cs="Times New Roman"/>
            <w:color w:val="0000FF"/>
            <w:sz w:val="24"/>
            <w:szCs w:val="24"/>
            <w:u w:val="single"/>
            <w:lang w:val="en-US"/>
          </w:rPr>
          <w:t>https://doi.org/10.1139/f97-315</w:t>
        </w:r>
      </w:hyperlink>
    </w:p>
    <w:p w14:paraId="507BEF60"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A49C7">
        <w:rPr>
          <w:rFonts w:ascii="Times New Roman" w:eastAsia="Times New Roman" w:hAnsi="Times New Roman" w:cs="Times New Roman"/>
          <w:sz w:val="24"/>
          <w:szCs w:val="24"/>
          <w:lang w:val="en-US"/>
        </w:rPr>
        <w:t>Prodocimo</w:t>
      </w:r>
      <w:proofErr w:type="spellEnd"/>
      <w:r w:rsidRPr="00EA49C7">
        <w:rPr>
          <w:rFonts w:ascii="Times New Roman" w:eastAsia="Times New Roman" w:hAnsi="Times New Roman" w:cs="Times New Roman"/>
          <w:sz w:val="24"/>
          <w:szCs w:val="24"/>
          <w:lang w:val="en-US"/>
        </w:rPr>
        <w:t xml:space="preserve">, V., Souza, C. F., </w:t>
      </w:r>
      <w:proofErr w:type="spellStart"/>
      <w:r w:rsidRPr="00EA49C7">
        <w:rPr>
          <w:rFonts w:ascii="Times New Roman" w:eastAsia="Times New Roman" w:hAnsi="Times New Roman" w:cs="Times New Roman"/>
          <w:sz w:val="24"/>
          <w:szCs w:val="24"/>
          <w:lang w:val="en-US"/>
        </w:rPr>
        <w:t>Pessini</w:t>
      </w:r>
      <w:proofErr w:type="spellEnd"/>
      <w:r w:rsidRPr="00EA49C7">
        <w:rPr>
          <w:rFonts w:ascii="Times New Roman" w:eastAsia="Times New Roman" w:hAnsi="Times New Roman" w:cs="Times New Roman"/>
          <w:sz w:val="24"/>
          <w:szCs w:val="24"/>
          <w:lang w:val="en-US"/>
        </w:rPr>
        <w:t xml:space="preserve">, C., Fernandes, L. C., &amp; Freire, C. A. (2008). Metabolic substrates are not mobilized from the osmoregulatory organs—gills and kidney—of the estuarine pufferfishes </w:t>
      </w:r>
      <w:proofErr w:type="spellStart"/>
      <w:r w:rsidRPr="00EA49C7">
        <w:rPr>
          <w:rFonts w:ascii="Times New Roman" w:eastAsia="Times New Roman" w:hAnsi="Times New Roman" w:cs="Times New Roman"/>
          <w:i/>
          <w:iCs/>
          <w:sz w:val="24"/>
          <w:szCs w:val="24"/>
          <w:lang w:val="en-US"/>
        </w:rPr>
        <w:t>Sphoeroides</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greeleyi</w:t>
      </w:r>
      <w:proofErr w:type="spellEnd"/>
      <w:r w:rsidRPr="00EA49C7">
        <w:rPr>
          <w:rFonts w:ascii="Times New Roman" w:eastAsia="Times New Roman" w:hAnsi="Times New Roman" w:cs="Times New Roman"/>
          <w:sz w:val="24"/>
          <w:szCs w:val="24"/>
          <w:lang w:val="en-US"/>
        </w:rPr>
        <w:t xml:space="preserve"> and </w:t>
      </w:r>
      <w:r w:rsidRPr="00EA49C7">
        <w:rPr>
          <w:rFonts w:ascii="Times New Roman" w:eastAsia="Times New Roman" w:hAnsi="Times New Roman" w:cs="Times New Roman"/>
          <w:i/>
          <w:iCs/>
          <w:sz w:val="24"/>
          <w:szCs w:val="24"/>
          <w:lang w:val="en-US"/>
        </w:rPr>
        <w:t xml:space="preserve">S. </w:t>
      </w:r>
      <w:proofErr w:type="spellStart"/>
      <w:r w:rsidRPr="00EA49C7">
        <w:rPr>
          <w:rFonts w:ascii="Times New Roman" w:eastAsia="Times New Roman" w:hAnsi="Times New Roman" w:cs="Times New Roman"/>
          <w:i/>
          <w:iCs/>
          <w:sz w:val="24"/>
          <w:szCs w:val="24"/>
          <w:lang w:val="en-US"/>
        </w:rPr>
        <w:t>testudineus</w:t>
      </w:r>
      <w:proofErr w:type="spellEnd"/>
      <w:r w:rsidRPr="00EA49C7">
        <w:rPr>
          <w:rFonts w:ascii="Times New Roman" w:eastAsia="Times New Roman" w:hAnsi="Times New Roman" w:cs="Times New Roman"/>
          <w:sz w:val="24"/>
          <w:szCs w:val="24"/>
          <w:lang w:val="en-US"/>
        </w:rPr>
        <w:t xml:space="preserve"> upon short-term salinity reduction. </w:t>
      </w:r>
      <w:r w:rsidRPr="00EA49C7">
        <w:rPr>
          <w:rFonts w:ascii="Times New Roman" w:eastAsia="Times New Roman" w:hAnsi="Times New Roman" w:cs="Times New Roman"/>
          <w:i/>
          <w:iCs/>
          <w:sz w:val="24"/>
          <w:szCs w:val="24"/>
          <w:lang w:val="en-US"/>
        </w:rPr>
        <w:t>Neotropical Ichthyology, 6</w:t>
      </w:r>
      <w:r w:rsidRPr="00EA49C7">
        <w:rPr>
          <w:rFonts w:ascii="Times New Roman" w:eastAsia="Times New Roman" w:hAnsi="Times New Roman" w:cs="Times New Roman"/>
          <w:sz w:val="24"/>
          <w:szCs w:val="24"/>
          <w:lang w:val="en-US"/>
        </w:rPr>
        <w:t xml:space="preserve">(4), 613–620. </w:t>
      </w:r>
      <w:hyperlink r:id="rId44" w:history="1">
        <w:r w:rsidRPr="00EA49C7">
          <w:rPr>
            <w:rFonts w:ascii="Times New Roman" w:eastAsia="Times New Roman" w:hAnsi="Times New Roman" w:cs="Times New Roman"/>
            <w:color w:val="0000FF"/>
            <w:sz w:val="24"/>
            <w:szCs w:val="24"/>
            <w:u w:val="single"/>
            <w:lang w:val="en-US"/>
          </w:rPr>
          <w:t>https://doi.org/10.1590/S1679-62252008000400011</w:t>
        </w:r>
      </w:hyperlink>
    </w:p>
    <w:p w14:paraId="3D9B2166"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Rahman, M. M., Kunda, M., Saifullah, M. K., &amp; Harun-Al-Rashid, A. (2024). Effect of stocking density on growth performance, proximate composition and hematology of </w:t>
      </w:r>
      <w:r w:rsidRPr="00EA49C7">
        <w:rPr>
          <w:rFonts w:ascii="Times New Roman" w:eastAsia="Times New Roman" w:hAnsi="Times New Roman" w:cs="Times New Roman"/>
          <w:i/>
          <w:iCs/>
          <w:sz w:val="24"/>
          <w:szCs w:val="24"/>
          <w:lang w:val="en-US"/>
        </w:rPr>
        <w:t xml:space="preserve">Anabas </w:t>
      </w:r>
      <w:proofErr w:type="spellStart"/>
      <w:r w:rsidRPr="00EA49C7">
        <w:rPr>
          <w:rFonts w:ascii="Times New Roman" w:eastAsia="Times New Roman" w:hAnsi="Times New Roman" w:cs="Times New Roman"/>
          <w:i/>
          <w:iCs/>
          <w:sz w:val="24"/>
          <w:szCs w:val="24"/>
          <w:lang w:val="en-US"/>
        </w:rPr>
        <w:t>testudineus</w:t>
      </w:r>
      <w:proofErr w:type="spellEnd"/>
      <w:r w:rsidRPr="00EA49C7">
        <w:rPr>
          <w:rFonts w:ascii="Times New Roman" w:eastAsia="Times New Roman" w:hAnsi="Times New Roman" w:cs="Times New Roman"/>
          <w:sz w:val="24"/>
          <w:szCs w:val="24"/>
          <w:lang w:val="en-US"/>
        </w:rPr>
        <w:t xml:space="preserve"> in a </w:t>
      </w:r>
      <w:proofErr w:type="spellStart"/>
      <w:r w:rsidRPr="00EA49C7">
        <w:rPr>
          <w:rFonts w:ascii="Times New Roman" w:eastAsia="Times New Roman" w:hAnsi="Times New Roman" w:cs="Times New Roman"/>
          <w:sz w:val="24"/>
          <w:szCs w:val="24"/>
          <w:lang w:val="en-US"/>
        </w:rPr>
        <w:t>biofloc</w:t>
      </w:r>
      <w:proofErr w:type="spellEnd"/>
      <w:r w:rsidRPr="00EA49C7">
        <w:rPr>
          <w:rFonts w:ascii="Times New Roman" w:eastAsia="Times New Roman" w:hAnsi="Times New Roman" w:cs="Times New Roman"/>
          <w:sz w:val="24"/>
          <w:szCs w:val="24"/>
          <w:lang w:val="en-US"/>
        </w:rPr>
        <w:t xml:space="preserve"> culture system. </w:t>
      </w:r>
      <w:r w:rsidRPr="00EA49C7">
        <w:rPr>
          <w:rFonts w:ascii="Times New Roman" w:eastAsia="Times New Roman" w:hAnsi="Times New Roman" w:cs="Times New Roman"/>
          <w:i/>
          <w:iCs/>
          <w:sz w:val="24"/>
          <w:szCs w:val="24"/>
          <w:lang w:val="en-US"/>
        </w:rPr>
        <w:t>Asian Journal of Fisheries and Aquatic Research, 26</w:t>
      </w:r>
      <w:r w:rsidRPr="00EA49C7">
        <w:rPr>
          <w:rFonts w:ascii="Times New Roman" w:eastAsia="Times New Roman" w:hAnsi="Times New Roman" w:cs="Times New Roman"/>
          <w:sz w:val="24"/>
          <w:szCs w:val="24"/>
          <w:lang w:val="en-US"/>
        </w:rPr>
        <w:t xml:space="preserve">(10), 64–86. </w:t>
      </w:r>
      <w:hyperlink r:id="rId45" w:history="1">
        <w:r w:rsidRPr="00EA49C7">
          <w:rPr>
            <w:rFonts w:ascii="Times New Roman" w:eastAsia="Times New Roman" w:hAnsi="Times New Roman" w:cs="Times New Roman"/>
            <w:color w:val="0000FF"/>
            <w:sz w:val="24"/>
            <w:szCs w:val="24"/>
            <w:u w:val="single"/>
            <w:lang w:val="en-US"/>
          </w:rPr>
          <w:t>https://doi.org/10.9734/ajfar/2024/v26i10819</w:t>
        </w:r>
      </w:hyperlink>
    </w:p>
    <w:p w14:paraId="035D12A3"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Reshma, P., Pournami, P., Lekshmi, L., &amp; Suresh, S. (2026). Impact of exposure to carbofuran (</w:t>
      </w:r>
      <w:proofErr w:type="spellStart"/>
      <w:r w:rsidRPr="00EA49C7">
        <w:rPr>
          <w:rFonts w:ascii="Times New Roman" w:eastAsia="Times New Roman" w:hAnsi="Times New Roman" w:cs="Times New Roman"/>
          <w:sz w:val="24"/>
          <w:szCs w:val="24"/>
          <w:lang w:val="en-US"/>
        </w:rPr>
        <w:t>Furadan</w:t>
      </w:r>
      <w:proofErr w:type="spellEnd"/>
      <w:r w:rsidRPr="00EA49C7">
        <w:rPr>
          <w:rFonts w:ascii="Times New Roman" w:eastAsia="Times New Roman" w:hAnsi="Times New Roman" w:cs="Times New Roman"/>
          <w:sz w:val="24"/>
          <w:szCs w:val="24"/>
          <w:lang w:val="en-US"/>
        </w:rPr>
        <w:t xml:space="preserve">) on the freshwater teleost fish, </w:t>
      </w:r>
      <w:r w:rsidRPr="00EA49C7">
        <w:rPr>
          <w:rFonts w:ascii="Times New Roman" w:eastAsia="Times New Roman" w:hAnsi="Times New Roman" w:cs="Times New Roman"/>
          <w:i/>
          <w:iCs/>
          <w:sz w:val="24"/>
          <w:szCs w:val="24"/>
          <w:lang w:val="en-US"/>
        </w:rPr>
        <w:t xml:space="preserve">Tilapia </w:t>
      </w:r>
      <w:proofErr w:type="spellStart"/>
      <w:r w:rsidRPr="00EA49C7">
        <w:rPr>
          <w:rFonts w:ascii="Times New Roman" w:eastAsia="Times New Roman" w:hAnsi="Times New Roman" w:cs="Times New Roman"/>
          <w:i/>
          <w:iCs/>
          <w:sz w:val="24"/>
          <w:szCs w:val="24"/>
          <w:lang w:val="en-US"/>
        </w:rPr>
        <w:t>mossambica</w:t>
      </w:r>
      <w:proofErr w:type="spellEnd"/>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Journal of Biology and Nature, 18</w:t>
      </w:r>
      <w:r w:rsidRPr="00EA49C7">
        <w:rPr>
          <w:rFonts w:ascii="Times New Roman" w:eastAsia="Times New Roman" w:hAnsi="Times New Roman" w:cs="Times New Roman"/>
          <w:sz w:val="24"/>
          <w:szCs w:val="24"/>
          <w:lang w:val="en-US"/>
        </w:rPr>
        <w:t xml:space="preserve">(1), 559–568. </w:t>
      </w:r>
      <w:hyperlink r:id="rId46" w:history="1">
        <w:r w:rsidRPr="00EA49C7">
          <w:rPr>
            <w:rFonts w:ascii="Times New Roman" w:eastAsia="Times New Roman" w:hAnsi="Times New Roman" w:cs="Times New Roman"/>
            <w:color w:val="0000FF"/>
            <w:sz w:val="24"/>
            <w:szCs w:val="24"/>
            <w:u w:val="single"/>
            <w:lang w:val="en-US"/>
          </w:rPr>
          <w:t>https://doi.org/10.56557/joban/2026/v18i110566</w:t>
        </w:r>
      </w:hyperlink>
    </w:p>
    <w:p w14:paraId="24A09CC2"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EA49C7">
        <w:rPr>
          <w:rFonts w:ascii="Times New Roman" w:eastAsia="Times New Roman" w:hAnsi="Times New Roman" w:cs="Times New Roman"/>
          <w:sz w:val="24"/>
          <w:szCs w:val="24"/>
          <w:lang w:val="en-US"/>
        </w:rPr>
        <w:t>Retnani</w:t>
      </w:r>
      <w:proofErr w:type="spellEnd"/>
      <w:r w:rsidRPr="00EA49C7">
        <w:rPr>
          <w:rFonts w:ascii="Times New Roman" w:eastAsia="Times New Roman" w:hAnsi="Times New Roman" w:cs="Times New Roman"/>
          <w:sz w:val="24"/>
          <w:szCs w:val="24"/>
          <w:lang w:val="en-US"/>
        </w:rPr>
        <w:t xml:space="preserve">, H. T., &amp; Abdulgani, N. (2013). </w:t>
      </w:r>
      <w:r w:rsidRPr="00EA49C7">
        <w:rPr>
          <w:rFonts w:ascii="Times New Roman" w:eastAsia="Times New Roman" w:hAnsi="Times New Roman" w:cs="Times New Roman"/>
          <w:sz w:val="24"/>
          <w:szCs w:val="24"/>
          <w:lang w:val="nl-BE"/>
        </w:rPr>
        <w:t>Pengaruh salinitas terhadap kandungan protein dan pertumbuhan ikan bawal bintang (</w:t>
      </w:r>
      <w:r w:rsidRPr="00EA49C7">
        <w:rPr>
          <w:rFonts w:ascii="Times New Roman" w:eastAsia="Times New Roman" w:hAnsi="Times New Roman" w:cs="Times New Roman"/>
          <w:i/>
          <w:iCs/>
          <w:sz w:val="24"/>
          <w:szCs w:val="24"/>
          <w:lang w:val="nl-BE"/>
        </w:rPr>
        <w:t>Trachinotus blochii</w:t>
      </w:r>
      <w:r w:rsidRPr="00EA49C7">
        <w:rPr>
          <w:rFonts w:ascii="Times New Roman" w:eastAsia="Times New Roman" w:hAnsi="Times New Roman" w:cs="Times New Roman"/>
          <w:sz w:val="24"/>
          <w:szCs w:val="24"/>
          <w:lang w:val="nl-BE"/>
        </w:rPr>
        <w:t xml:space="preserve">). </w:t>
      </w:r>
      <w:proofErr w:type="spellStart"/>
      <w:r w:rsidRPr="00EA49C7">
        <w:rPr>
          <w:rFonts w:ascii="Times New Roman" w:eastAsia="Times New Roman" w:hAnsi="Times New Roman" w:cs="Times New Roman"/>
          <w:i/>
          <w:iCs/>
          <w:sz w:val="24"/>
          <w:szCs w:val="24"/>
          <w:lang w:val="en-US"/>
        </w:rPr>
        <w:t>Jurnal</w:t>
      </w:r>
      <w:proofErr w:type="spellEnd"/>
      <w:r w:rsidRPr="00EA49C7">
        <w:rPr>
          <w:rFonts w:ascii="Times New Roman" w:eastAsia="Times New Roman" w:hAnsi="Times New Roman" w:cs="Times New Roman"/>
          <w:i/>
          <w:iCs/>
          <w:sz w:val="24"/>
          <w:szCs w:val="24"/>
          <w:lang w:val="en-US"/>
        </w:rPr>
        <w:t xml:space="preserve"> Sains dan Seni ITS, 2</w:t>
      </w:r>
      <w:r w:rsidRPr="00EA49C7">
        <w:rPr>
          <w:rFonts w:ascii="Times New Roman" w:eastAsia="Times New Roman" w:hAnsi="Times New Roman" w:cs="Times New Roman"/>
          <w:sz w:val="24"/>
          <w:szCs w:val="24"/>
          <w:lang w:val="en-US"/>
        </w:rPr>
        <w:t xml:space="preserve">(2), E177–E181. </w:t>
      </w:r>
      <w:hyperlink r:id="rId47" w:history="1">
        <w:r w:rsidRPr="00EA49C7">
          <w:rPr>
            <w:rFonts w:ascii="Times New Roman" w:eastAsia="Times New Roman" w:hAnsi="Times New Roman" w:cs="Times New Roman"/>
            <w:color w:val="0000FF"/>
            <w:sz w:val="24"/>
            <w:szCs w:val="24"/>
            <w:u w:val="single"/>
            <w:lang w:val="en-US"/>
          </w:rPr>
          <w:t>https://doi.org/10.12962/j23373520.v2i2.485</w:t>
        </w:r>
      </w:hyperlink>
    </w:p>
    <w:p w14:paraId="40AA7207"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Rocha da Silva, A. J., Gomes, V., Van Ngan, P., Rocha, M. J. D. A. C., &amp; Furia, R. R. (2005). Metabolic demand and growth of juveniles of </w:t>
      </w:r>
      <w:proofErr w:type="spellStart"/>
      <w:r w:rsidRPr="00EA49C7">
        <w:rPr>
          <w:rFonts w:ascii="Times New Roman" w:eastAsia="Times New Roman" w:hAnsi="Times New Roman" w:cs="Times New Roman"/>
          <w:i/>
          <w:iCs/>
          <w:sz w:val="24"/>
          <w:szCs w:val="24"/>
          <w:lang w:val="en-US"/>
        </w:rPr>
        <w:t>Centropomus</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parallelus</w:t>
      </w:r>
      <w:proofErr w:type="spellEnd"/>
      <w:r w:rsidRPr="00EA49C7">
        <w:rPr>
          <w:rFonts w:ascii="Times New Roman" w:eastAsia="Times New Roman" w:hAnsi="Times New Roman" w:cs="Times New Roman"/>
          <w:sz w:val="24"/>
          <w:szCs w:val="24"/>
          <w:lang w:val="en-US"/>
        </w:rPr>
        <w:t xml:space="preserve"> as a function of salinity. </w:t>
      </w:r>
      <w:r w:rsidRPr="00EA49C7">
        <w:rPr>
          <w:rFonts w:ascii="Times New Roman" w:eastAsia="Times New Roman" w:hAnsi="Times New Roman" w:cs="Times New Roman"/>
          <w:i/>
          <w:iCs/>
          <w:sz w:val="24"/>
          <w:szCs w:val="24"/>
          <w:lang w:val="en-US"/>
        </w:rPr>
        <w:t>Journal of Experimental Marine Biology and Ecology, 316</w:t>
      </w:r>
      <w:r w:rsidRPr="00EA49C7">
        <w:rPr>
          <w:rFonts w:ascii="Times New Roman" w:eastAsia="Times New Roman" w:hAnsi="Times New Roman" w:cs="Times New Roman"/>
          <w:sz w:val="24"/>
          <w:szCs w:val="24"/>
          <w:lang w:val="en-US"/>
        </w:rPr>
        <w:t xml:space="preserve">(2), 157–165. </w:t>
      </w:r>
      <w:hyperlink r:id="rId48" w:history="1">
        <w:r w:rsidRPr="00EA49C7">
          <w:rPr>
            <w:rFonts w:ascii="Times New Roman" w:eastAsia="Times New Roman" w:hAnsi="Times New Roman" w:cs="Times New Roman"/>
            <w:color w:val="0000FF"/>
            <w:sz w:val="24"/>
            <w:szCs w:val="24"/>
            <w:u w:val="single"/>
            <w:lang w:val="en-US"/>
          </w:rPr>
          <w:t>https://doi.org/10.1016/j.jembe.2004.09.017</w:t>
        </w:r>
      </w:hyperlink>
    </w:p>
    <w:p w14:paraId="65E54F2E"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Rubio, V. C., Sánchez-Vázquez, F. J., &amp; Madrid, J. A. (2005). Effects of salinity on food intake and macronutrient selection in European sea bass. </w:t>
      </w:r>
      <w:r w:rsidRPr="00EA49C7">
        <w:rPr>
          <w:rFonts w:ascii="Times New Roman" w:eastAsia="Times New Roman" w:hAnsi="Times New Roman" w:cs="Times New Roman"/>
          <w:i/>
          <w:iCs/>
          <w:sz w:val="24"/>
          <w:szCs w:val="24"/>
          <w:lang w:val="en-US"/>
        </w:rPr>
        <w:t>Physiology &amp; Behavior, 85</w:t>
      </w:r>
      <w:r w:rsidRPr="00EA49C7">
        <w:rPr>
          <w:rFonts w:ascii="Times New Roman" w:eastAsia="Times New Roman" w:hAnsi="Times New Roman" w:cs="Times New Roman"/>
          <w:sz w:val="24"/>
          <w:szCs w:val="24"/>
          <w:lang w:val="en-US"/>
        </w:rPr>
        <w:t xml:space="preserve">(3), 333–339. </w:t>
      </w:r>
      <w:hyperlink r:id="rId49" w:history="1">
        <w:r w:rsidRPr="00EA49C7">
          <w:rPr>
            <w:rFonts w:ascii="Times New Roman" w:eastAsia="Times New Roman" w:hAnsi="Times New Roman" w:cs="Times New Roman"/>
            <w:color w:val="0000FF"/>
            <w:sz w:val="24"/>
            <w:szCs w:val="24"/>
            <w:u w:val="single"/>
            <w:lang w:val="en-US"/>
          </w:rPr>
          <w:t>https://doi.org/10.1016/j.physbeh.2005.04.022</w:t>
        </w:r>
      </w:hyperlink>
    </w:p>
    <w:p w14:paraId="291B9358"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Sampaio, L. A., Tesser, M. B., &amp; Burkert, D. (2003). Acute salinity tolerance of juvenile pompano, </w:t>
      </w:r>
      <w:r w:rsidRPr="00EA49C7">
        <w:rPr>
          <w:rFonts w:ascii="Times New Roman" w:eastAsia="Times New Roman" w:hAnsi="Times New Roman" w:cs="Times New Roman"/>
          <w:i/>
          <w:iCs/>
          <w:sz w:val="24"/>
          <w:szCs w:val="24"/>
          <w:lang w:val="en-US"/>
        </w:rPr>
        <w:t>Trachinotus marginatus</w:t>
      </w:r>
      <w:r w:rsidRPr="00EA49C7">
        <w:rPr>
          <w:rFonts w:ascii="Times New Roman" w:eastAsia="Times New Roman" w:hAnsi="Times New Roman" w:cs="Times New Roman"/>
          <w:sz w:val="24"/>
          <w:szCs w:val="24"/>
          <w:lang w:val="en-US"/>
        </w:rPr>
        <w:t xml:space="preserve"> (Teleostei, Carangidae), under laboratory conditions. </w:t>
      </w:r>
      <w:proofErr w:type="spellStart"/>
      <w:r w:rsidRPr="00EA49C7">
        <w:rPr>
          <w:rFonts w:ascii="Times New Roman" w:eastAsia="Times New Roman" w:hAnsi="Times New Roman" w:cs="Times New Roman"/>
          <w:i/>
          <w:iCs/>
          <w:sz w:val="24"/>
          <w:szCs w:val="24"/>
          <w:lang w:val="en-US"/>
        </w:rPr>
        <w:t>Ciência</w:t>
      </w:r>
      <w:proofErr w:type="spellEnd"/>
      <w:r w:rsidRPr="00EA49C7">
        <w:rPr>
          <w:rFonts w:ascii="Times New Roman" w:eastAsia="Times New Roman" w:hAnsi="Times New Roman" w:cs="Times New Roman"/>
          <w:i/>
          <w:iCs/>
          <w:sz w:val="24"/>
          <w:szCs w:val="24"/>
          <w:lang w:val="en-US"/>
        </w:rPr>
        <w:t xml:space="preserve"> Rural, 33</w:t>
      </w:r>
      <w:r w:rsidRPr="00EA49C7">
        <w:rPr>
          <w:rFonts w:ascii="Times New Roman" w:eastAsia="Times New Roman" w:hAnsi="Times New Roman" w:cs="Times New Roman"/>
          <w:sz w:val="24"/>
          <w:szCs w:val="24"/>
          <w:lang w:val="en-US"/>
        </w:rPr>
        <w:t xml:space="preserve">(4), 757–761. </w:t>
      </w:r>
      <w:hyperlink r:id="rId50" w:history="1">
        <w:r w:rsidRPr="00EA49C7">
          <w:rPr>
            <w:rFonts w:ascii="Times New Roman" w:eastAsia="Times New Roman" w:hAnsi="Times New Roman" w:cs="Times New Roman"/>
            <w:color w:val="0000FF"/>
            <w:sz w:val="24"/>
            <w:szCs w:val="24"/>
            <w:u w:val="single"/>
            <w:lang w:val="en-US"/>
          </w:rPr>
          <w:t>https://doi.org/10.1590/S0103-84782003000400023</w:t>
        </w:r>
      </w:hyperlink>
    </w:p>
    <w:p w14:paraId="21F06592"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lastRenderedPageBreak/>
        <w:t>Sangiao-</w:t>
      </w:r>
      <w:proofErr w:type="spellStart"/>
      <w:r w:rsidRPr="00EA49C7">
        <w:rPr>
          <w:rFonts w:ascii="Times New Roman" w:eastAsia="Times New Roman" w:hAnsi="Times New Roman" w:cs="Times New Roman"/>
          <w:sz w:val="24"/>
          <w:szCs w:val="24"/>
          <w:lang w:val="en-US"/>
        </w:rPr>
        <w:t>Alvarellos</w:t>
      </w:r>
      <w:proofErr w:type="spellEnd"/>
      <w:r w:rsidRPr="00EA49C7">
        <w:rPr>
          <w:rFonts w:ascii="Times New Roman" w:eastAsia="Times New Roman" w:hAnsi="Times New Roman" w:cs="Times New Roman"/>
          <w:sz w:val="24"/>
          <w:szCs w:val="24"/>
          <w:lang w:val="en-US"/>
        </w:rPr>
        <w:t xml:space="preserve">, S., Laiz-Carrión, R., Guzmán, J. M., Martín del Río, M. P., Míguez, J. M., Mancera, J. M., &amp; </w:t>
      </w:r>
      <w:proofErr w:type="spellStart"/>
      <w:r w:rsidRPr="00EA49C7">
        <w:rPr>
          <w:rFonts w:ascii="Times New Roman" w:eastAsia="Times New Roman" w:hAnsi="Times New Roman" w:cs="Times New Roman"/>
          <w:sz w:val="24"/>
          <w:szCs w:val="24"/>
          <w:lang w:val="en-US"/>
        </w:rPr>
        <w:t>Soengas</w:t>
      </w:r>
      <w:proofErr w:type="spellEnd"/>
      <w:r w:rsidRPr="00EA49C7">
        <w:rPr>
          <w:rFonts w:ascii="Times New Roman" w:eastAsia="Times New Roman" w:hAnsi="Times New Roman" w:cs="Times New Roman"/>
          <w:sz w:val="24"/>
          <w:szCs w:val="24"/>
          <w:lang w:val="en-US"/>
        </w:rPr>
        <w:t xml:space="preserve">, J. L. (2003). Acclimation of </w:t>
      </w:r>
      <w:r w:rsidRPr="00EA49C7">
        <w:rPr>
          <w:rFonts w:ascii="Times New Roman" w:eastAsia="Times New Roman" w:hAnsi="Times New Roman" w:cs="Times New Roman"/>
          <w:i/>
          <w:iCs/>
          <w:sz w:val="24"/>
          <w:szCs w:val="24"/>
          <w:lang w:val="en-US"/>
        </w:rPr>
        <w:t>Sparus aurata</w:t>
      </w:r>
      <w:r w:rsidRPr="00EA49C7">
        <w:rPr>
          <w:rFonts w:ascii="Times New Roman" w:eastAsia="Times New Roman" w:hAnsi="Times New Roman" w:cs="Times New Roman"/>
          <w:sz w:val="24"/>
          <w:szCs w:val="24"/>
          <w:lang w:val="en-US"/>
        </w:rPr>
        <w:t xml:space="preserve"> to various salinities alters energy metabolism of osmoregulatory and non-osmoregulatory organs. </w:t>
      </w:r>
      <w:r w:rsidRPr="00EA49C7">
        <w:rPr>
          <w:rFonts w:ascii="Times New Roman" w:eastAsia="Times New Roman" w:hAnsi="Times New Roman" w:cs="Times New Roman"/>
          <w:i/>
          <w:iCs/>
          <w:sz w:val="24"/>
          <w:szCs w:val="24"/>
          <w:lang w:val="en-US"/>
        </w:rPr>
        <w:t>American Journal of Physiology-Regulatory, Integrative and Comparative Physiology, 285</w:t>
      </w:r>
      <w:r w:rsidRPr="00EA49C7">
        <w:rPr>
          <w:rFonts w:ascii="Times New Roman" w:eastAsia="Times New Roman" w:hAnsi="Times New Roman" w:cs="Times New Roman"/>
          <w:sz w:val="24"/>
          <w:szCs w:val="24"/>
          <w:lang w:val="en-US"/>
        </w:rPr>
        <w:t xml:space="preserve">(4), R897–R907. </w:t>
      </w:r>
      <w:hyperlink r:id="rId51" w:history="1">
        <w:r w:rsidRPr="00EA49C7">
          <w:rPr>
            <w:rFonts w:ascii="Times New Roman" w:eastAsia="Times New Roman" w:hAnsi="Times New Roman" w:cs="Times New Roman"/>
            <w:color w:val="0000FF"/>
            <w:sz w:val="24"/>
            <w:szCs w:val="24"/>
            <w:u w:val="single"/>
            <w:lang w:val="en-US"/>
          </w:rPr>
          <w:t>https://doi.org/10.1152/ajpregu.00074.2003</w:t>
        </w:r>
      </w:hyperlink>
    </w:p>
    <w:p w14:paraId="1714E6CE" w14:textId="5CBA916D"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lang w:val="en-US"/>
        </w:rPr>
      </w:pPr>
      <w:r w:rsidRPr="00EA49C7">
        <w:rPr>
          <w:rFonts w:ascii="Times New Roman" w:eastAsia="Times New Roman" w:hAnsi="Times New Roman" w:cs="Times New Roman"/>
          <w:sz w:val="24"/>
          <w:szCs w:val="24"/>
          <w:lang w:val="en-US"/>
        </w:rPr>
        <w:t>Scabra, A. R. (2018). Response of eel fish (</w:t>
      </w:r>
      <w:r w:rsidRPr="00EA49C7">
        <w:rPr>
          <w:rFonts w:ascii="Times New Roman" w:eastAsia="Times New Roman" w:hAnsi="Times New Roman" w:cs="Times New Roman"/>
          <w:i/>
          <w:iCs/>
          <w:sz w:val="24"/>
          <w:szCs w:val="24"/>
          <w:lang w:val="en-US"/>
        </w:rPr>
        <w:t>Anguilla bicolor bicolor</w:t>
      </w:r>
      <w:r w:rsidRPr="00EA49C7">
        <w:rPr>
          <w:rFonts w:ascii="Times New Roman" w:eastAsia="Times New Roman" w:hAnsi="Times New Roman" w:cs="Times New Roman"/>
          <w:sz w:val="24"/>
          <w:szCs w:val="24"/>
          <w:lang w:val="en-US"/>
        </w:rPr>
        <w:t xml:space="preserve">) in media with different salinity. </w:t>
      </w:r>
      <w:proofErr w:type="spellStart"/>
      <w:r w:rsidRPr="00EA49C7">
        <w:rPr>
          <w:rFonts w:ascii="Times New Roman" w:eastAsia="Times New Roman" w:hAnsi="Times New Roman" w:cs="Times New Roman"/>
          <w:i/>
          <w:iCs/>
          <w:sz w:val="24"/>
          <w:szCs w:val="24"/>
          <w:lang w:val="en-US"/>
        </w:rPr>
        <w:t>Jurnal</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Perikanan</w:t>
      </w:r>
      <w:proofErr w:type="spellEnd"/>
      <w:r w:rsidRPr="00EA49C7">
        <w:rPr>
          <w:rFonts w:ascii="Times New Roman" w:eastAsia="Times New Roman" w:hAnsi="Times New Roman" w:cs="Times New Roman"/>
          <w:i/>
          <w:iCs/>
          <w:sz w:val="24"/>
          <w:szCs w:val="24"/>
          <w:lang w:val="en-US"/>
        </w:rPr>
        <w:t>, 9</w:t>
      </w:r>
      <w:r w:rsidRPr="00EA49C7">
        <w:rPr>
          <w:rFonts w:ascii="Times New Roman" w:eastAsia="Times New Roman" w:hAnsi="Times New Roman" w:cs="Times New Roman"/>
          <w:sz w:val="24"/>
          <w:szCs w:val="24"/>
          <w:lang w:val="en-US"/>
        </w:rPr>
        <w:t xml:space="preserve">(2), 180–187. [In Indonesian]. </w:t>
      </w:r>
    </w:p>
    <w:p w14:paraId="1A257F59" w14:textId="0FDCCFDA"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lang w:val="en-US"/>
        </w:rPr>
      </w:pPr>
      <w:proofErr w:type="spellStart"/>
      <w:r w:rsidRPr="00EA49C7">
        <w:rPr>
          <w:rFonts w:ascii="Times New Roman" w:eastAsia="Times New Roman" w:hAnsi="Times New Roman" w:cs="Times New Roman"/>
          <w:sz w:val="24"/>
          <w:szCs w:val="24"/>
          <w:lang w:val="en-US"/>
        </w:rPr>
        <w:t>Setiyoningsih</w:t>
      </w:r>
      <w:proofErr w:type="spellEnd"/>
      <w:r w:rsidRPr="00EA49C7">
        <w:rPr>
          <w:rFonts w:ascii="Times New Roman" w:eastAsia="Times New Roman" w:hAnsi="Times New Roman" w:cs="Times New Roman"/>
          <w:sz w:val="24"/>
          <w:szCs w:val="24"/>
          <w:lang w:val="en-US"/>
        </w:rPr>
        <w:t xml:space="preserve">, P. R. (2014). </w:t>
      </w:r>
      <w:proofErr w:type="spellStart"/>
      <w:r w:rsidRPr="00EA49C7">
        <w:rPr>
          <w:rFonts w:ascii="Times New Roman" w:eastAsia="Times New Roman" w:hAnsi="Times New Roman" w:cs="Times New Roman"/>
          <w:sz w:val="24"/>
          <w:szCs w:val="24"/>
          <w:lang w:val="en-US"/>
        </w:rPr>
        <w:t>Respon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gelondongan</w:t>
      </w:r>
      <w:proofErr w:type="spellEnd"/>
      <w:r w:rsidRPr="00EA49C7">
        <w:rPr>
          <w:rFonts w:ascii="Times New Roman" w:eastAsia="Times New Roman" w:hAnsi="Times New Roman" w:cs="Times New Roman"/>
          <w:sz w:val="24"/>
          <w:szCs w:val="24"/>
          <w:lang w:val="en-US"/>
        </w:rPr>
        <w:t xml:space="preserve"> ikan bandeng (</w:t>
      </w:r>
      <w:r w:rsidRPr="00EA49C7">
        <w:rPr>
          <w:rFonts w:ascii="Times New Roman" w:eastAsia="Times New Roman" w:hAnsi="Times New Roman" w:cs="Times New Roman"/>
          <w:i/>
          <w:iCs/>
          <w:sz w:val="24"/>
          <w:szCs w:val="24"/>
          <w:lang w:val="en-US"/>
        </w:rPr>
        <w:t xml:space="preserve">Chanos </w:t>
      </w:r>
      <w:proofErr w:type="spellStart"/>
      <w:r w:rsidRPr="00EA49C7">
        <w:rPr>
          <w:rFonts w:ascii="Times New Roman" w:eastAsia="Times New Roman" w:hAnsi="Times New Roman" w:cs="Times New Roman"/>
          <w:i/>
          <w:iCs/>
          <w:sz w:val="24"/>
          <w:szCs w:val="24"/>
          <w:lang w:val="en-US"/>
        </w:rPr>
        <w:t>chanos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akibat</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perubahan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salinitas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dengan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penambahan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kalsium</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klorida</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CaCl</w:t>
      </w:r>
      <w:proofErr w:type="spellEnd"/>
      <w:r w:rsidRPr="00EA49C7">
        <w:rPr>
          <w:rFonts w:ascii="Times New Roman" w:eastAsia="Times New Roman" w:hAnsi="Times New Roman" w:cs="Times New Roman"/>
          <w:sz w:val="24"/>
          <w:szCs w:val="24"/>
          <w:lang w:val="en-US"/>
        </w:rPr>
        <w:t xml:space="preserve">₂) pada </w:t>
      </w:r>
      <w:proofErr w:type="spellStart"/>
      <w:r w:rsidRPr="00EA49C7">
        <w:rPr>
          <w:rFonts w:ascii="Times New Roman" w:eastAsia="Times New Roman" w:hAnsi="Times New Roman" w:cs="Times New Roman"/>
          <w:sz w:val="24"/>
          <w:szCs w:val="24"/>
          <w:lang w:val="en-US"/>
        </w:rPr>
        <w:t>durasi</w:t>
      </w:r>
      <w:proofErr w:type="spellEnd"/>
      <w:r w:rsidRPr="00EA49C7">
        <w:rPr>
          <w:rFonts w:ascii="Times New Roman" w:eastAsia="Times New Roman" w:hAnsi="Times New Roman" w:cs="Times New Roman"/>
          <w:sz w:val="24"/>
          <w:szCs w:val="24"/>
          <w:lang w:val="en-US"/>
        </w:rPr>
        <w:t xml:space="preserve"> yang </w:t>
      </w:r>
      <w:proofErr w:type="spellStart"/>
      <w:r w:rsidRPr="00EA49C7">
        <w:rPr>
          <w:rFonts w:ascii="Times New Roman" w:eastAsia="Times New Roman" w:hAnsi="Times New Roman" w:cs="Times New Roman"/>
          <w:sz w:val="24"/>
          <w:szCs w:val="24"/>
          <w:lang w:val="en-US"/>
        </w:rPr>
        <w:t>berbeda</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i/>
          <w:iCs/>
          <w:sz w:val="24"/>
          <w:szCs w:val="24"/>
          <w:lang w:val="en-US"/>
        </w:rPr>
        <w:t>Jurnal</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Penelitian</w:t>
      </w:r>
      <w:proofErr w:type="spellEnd"/>
      <w:r w:rsidRPr="00EA49C7">
        <w:rPr>
          <w:rFonts w:ascii="Times New Roman" w:eastAsia="Times New Roman" w:hAnsi="Times New Roman" w:cs="Times New Roman"/>
          <w:i/>
          <w:iCs/>
          <w:sz w:val="24"/>
          <w:szCs w:val="24"/>
          <w:lang w:val="en-US"/>
        </w:rPr>
        <w:t xml:space="preserve"> UNISLA, 5</w:t>
      </w:r>
      <w:r w:rsidRPr="00EA49C7">
        <w:rPr>
          <w:rFonts w:ascii="Times New Roman" w:eastAsia="Times New Roman" w:hAnsi="Times New Roman" w:cs="Times New Roman"/>
          <w:sz w:val="24"/>
          <w:szCs w:val="24"/>
          <w:lang w:val="en-US"/>
        </w:rPr>
        <w:t xml:space="preserve">(2), 6–17. </w:t>
      </w:r>
    </w:p>
    <w:p w14:paraId="2B9334AD"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Signor, A., Signor, A. A., Boscolo, W. R., Reidel, A., Klein, S., &amp; Feiden, A. (2015). </w:t>
      </w:r>
      <w:proofErr w:type="spellStart"/>
      <w:r w:rsidRPr="00EA49C7">
        <w:rPr>
          <w:rFonts w:ascii="Times New Roman" w:eastAsia="Times New Roman" w:hAnsi="Times New Roman" w:cs="Times New Roman"/>
          <w:sz w:val="24"/>
          <w:szCs w:val="24"/>
          <w:lang w:val="en-US"/>
        </w:rPr>
        <w:t>Biomassa</w:t>
      </w:r>
      <w:proofErr w:type="spellEnd"/>
      <w:r w:rsidRPr="00EA49C7">
        <w:rPr>
          <w:rFonts w:ascii="Times New Roman" w:eastAsia="Times New Roman" w:hAnsi="Times New Roman" w:cs="Times New Roman"/>
          <w:sz w:val="24"/>
          <w:szCs w:val="24"/>
          <w:lang w:val="en-US"/>
        </w:rPr>
        <w:t xml:space="preserve"> de </w:t>
      </w:r>
      <w:proofErr w:type="spellStart"/>
      <w:r w:rsidRPr="00EA49C7">
        <w:rPr>
          <w:rFonts w:ascii="Times New Roman" w:eastAsia="Times New Roman" w:hAnsi="Times New Roman" w:cs="Times New Roman"/>
          <w:sz w:val="24"/>
          <w:szCs w:val="24"/>
          <w:lang w:val="en-US"/>
        </w:rPr>
        <w:t>perifíton</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em</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substratos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artificiais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sz w:val="24"/>
          <w:szCs w:val="24"/>
          <w:lang w:val="en-US"/>
        </w:rPr>
        <w:t>durante</w:t>
      </w:r>
      <w:proofErr w:type="spellEnd"/>
      <w:r w:rsidRPr="00EA49C7">
        <w:rPr>
          <w:rFonts w:ascii="Times New Roman" w:eastAsia="Times New Roman" w:hAnsi="Times New Roman" w:cs="Times New Roman"/>
          <w:sz w:val="24"/>
          <w:szCs w:val="24"/>
          <w:lang w:val="en-US"/>
        </w:rPr>
        <w:t xml:space="preserve"> o </w:t>
      </w:r>
      <w:proofErr w:type="spellStart"/>
      <w:r w:rsidRPr="00EA49C7">
        <w:rPr>
          <w:rFonts w:ascii="Times New Roman" w:eastAsia="Times New Roman" w:hAnsi="Times New Roman" w:cs="Times New Roman"/>
          <w:sz w:val="24"/>
          <w:szCs w:val="24"/>
          <w:lang w:val="en-US"/>
        </w:rPr>
        <w:t>verão</w:t>
      </w:r>
      <w:proofErr w:type="spellEnd"/>
      <w:r w:rsidRPr="00EA49C7">
        <w:rPr>
          <w:rFonts w:ascii="Times New Roman" w:eastAsia="Times New Roman" w:hAnsi="Times New Roman" w:cs="Times New Roman"/>
          <w:sz w:val="24"/>
          <w:szCs w:val="24"/>
          <w:lang w:val="en-US"/>
        </w:rPr>
        <w:t xml:space="preserve"> e </w:t>
      </w:r>
      <w:proofErr w:type="spellStart"/>
      <w:r w:rsidRPr="00EA49C7">
        <w:rPr>
          <w:rFonts w:ascii="Times New Roman" w:eastAsia="Times New Roman" w:hAnsi="Times New Roman" w:cs="Times New Roman"/>
          <w:sz w:val="24"/>
          <w:szCs w:val="24"/>
          <w:lang w:val="en-US"/>
        </w:rPr>
        <w:t>inverno</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i/>
          <w:iCs/>
          <w:sz w:val="24"/>
          <w:szCs w:val="24"/>
          <w:lang w:val="en-US"/>
        </w:rPr>
        <w:t>Ciência</w:t>
      </w:r>
      <w:proofErr w:type="spellEnd"/>
      <w:r w:rsidRPr="00EA49C7">
        <w:rPr>
          <w:rFonts w:ascii="Times New Roman" w:eastAsia="Times New Roman" w:hAnsi="Times New Roman" w:cs="Times New Roman"/>
          <w:i/>
          <w:iCs/>
          <w:sz w:val="24"/>
          <w:szCs w:val="24"/>
          <w:lang w:val="en-US"/>
        </w:rPr>
        <w:t xml:space="preserve"> Rural, 45</w:t>
      </w:r>
      <w:r w:rsidRPr="00EA49C7">
        <w:rPr>
          <w:rFonts w:ascii="Times New Roman" w:eastAsia="Times New Roman" w:hAnsi="Times New Roman" w:cs="Times New Roman"/>
          <w:sz w:val="24"/>
          <w:szCs w:val="24"/>
          <w:lang w:val="en-US"/>
        </w:rPr>
        <w:t xml:space="preserve">(1), 72–78. </w:t>
      </w:r>
      <w:hyperlink r:id="rId52" w:history="1">
        <w:r w:rsidRPr="00EA49C7">
          <w:rPr>
            <w:rFonts w:ascii="Times New Roman" w:eastAsia="Times New Roman" w:hAnsi="Times New Roman" w:cs="Times New Roman"/>
            <w:color w:val="0000FF"/>
            <w:sz w:val="24"/>
            <w:szCs w:val="24"/>
            <w:u w:val="single"/>
            <w:lang w:val="en-US"/>
          </w:rPr>
          <w:t>https://doi.org/10.1590/0103-8478cr20131298</w:t>
        </w:r>
      </w:hyperlink>
    </w:p>
    <w:p w14:paraId="4958A54B"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Su, H., Ma, D., Fan, J., Zhong, Z., Tian, Y., &amp; Zhu, H. (2025). A TMT-based proteomic analysis of osmoregulation in the gills of </w:t>
      </w:r>
      <w:r w:rsidRPr="00EA49C7">
        <w:rPr>
          <w:rFonts w:ascii="Times New Roman" w:eastAsia="Times New Roman" w:hAnsi="Times New Roman" w:cs="Times New Roman"/>
          <w:i/>
          <w:iCs/>
          <w:sz w:val="24"/>
          <w:szCs w:val="24"/>
          <w:lang w:val="en-US"/>
        </w:rPr>
        <w:t xml:space="preserve">Oreochromis </w:t>
      </w:r>
      <w:proofErr w:type="spellStart"/>
      <w:r w:rsidRPr="00EA49C7">
        <w:rPr>
          <w:rFonts w:ascii="Times New Roman" w:eastAsia="Times New Roman" w:hAnsi="Times New Roman" w:cs="Times New Roman"/>
          <w:i/>
          <w:iCs/>
          <w:sz w:val="24"/>
          <w:szCs w:val="24"/>
          <w:lang w:val="en-US"/>
        </w:rPr>
        <w:t>mossambicus</w:t>
      </w:r>
      <w:proofErr w:type="spellEnd"/>
      <w:r w:rsidRPr="00EA49C7">
        <w:rPr>
          <w:rFonts w:ascii="Times New Roman" w:eastAsia="Times New Roman" w:hAnsi="Times New Roman" w:cs="Times New Roman"/>
          <w:sz w:val="24"/>
          <w:szCs w:val="24"/>
          <w:lang w:val="en-US"/>
        </w:rPr>
        <w:t xml:space="preserve"> exposed to three osmotic stresses. </w:t>
      </w:r>
      <w:r w:rsidRPr="00EA49C7">
        <w:rPr>
          <w:rFonts w:ascii="Times New Roman" w:eastAsia="Times New Roman" w:hAnsi="Times New Roman" w:cs="Times New Roman"/>
          <w:i/>
          <w:iCs/>
          <w:sz w:val="24"/>
          <w:szCs w:val="24"/>
          <w:lang w:val="en-US"/>
        </w:rPr>
        <w:t>International Journal of Molecular Sciences, 26</w:t>
      </w:r>
      <w:r w:rsidRPr="00EA49C7">
        <w:rPr>
          <w:rFonts w:ascii="Times New Roman" w:eastAsia="Times New Roman" w:hAnsi="Times New Roman" w:cs="Times New Roman"/>
          <w:sz w:val="24"/>
          <w:szCs w:val="24"/>
          <w:lang w:val="en-US"/>
        </w:rPr>
        <w:t xml:space="preserve">(6), Article 2791. </w:t>
      </w:r>
      <w:hyperlink r:id="rId53" w:history="1">
        <w:r w:rsidRPr="00EA49C7">
          <w:rPr>
            <w:rFonts w:ascii="Times New Roman" w:eastAsia="Times New Roman" w:hAnsi="Times New Roman" w:cs="Times New Roman"/>
            <w:color w:val="0000FF"/>
            <w:sz w:val="24"/>
            <w:szCs w:val="24"/>
            <w:u w:val="single"/>
            <w:lang w:val="en-US"/>
          </w:rPr>
          <w:t>https://doi.org/10.3390/ijms26062791</w:t>
        </w:r>
      </w:hyperlink>
    </w:p>
    <w:p w14:paraId="68C9FCEB"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Takahara, S., Hamilton, H. B., Neel, J. V., Kobara, T. Y., Ogura, Y., &amp; Nishimura, E. T. (1960). </w:t>
      </w:r>
      <w:proofErr w:type="spellStart"/>
      <w:r w:rsidRPr="00EA49C7">
        <w:rPr>
          <w:rFonts w:ascii="Times New Roman" w:eastAsia="Times New Roman" w:hAnsi="Times New Roman" w:cs="Times New Roman"/>
          <w:sz w:val="24"/>
          <w:szCs w:val="24"/>
          <w:lang w:val="en-US"/>
        </w:rPr>
        <w:t>Hypocatalasemia</w:t>
      </w:r>
      <w:proofErr w:type="spellEnd"/>
      <w:r w:rsidRPr="00EA49C7">
        <w:rPr>
          <w:rFonts w:ascii="Times New Roman" w:eastAsia="Times New Roman" w:hAnsi="Times New Roman" w:cs="Times New Roman"/>
          <w:sz w:val="24"/>
          <w:szCs w:val="24"/>
          <w:lang w:val="en-US"/>
        </w:rPr>
        <w:t xml:space="preserve">: A new genetic carrier state. </w:t>
      </w:r>
      <w:r w:rsidRPr="00EA49C7">
        <w:rPr>
          <w:rFonts w:ascii="Times New Roman" w:eastAsia="Times New Roman" w:hAnsi="Times New Roman" w:cs="Times New Roman"/>
          <w:i/>
          <w:iCs/>
          <w:sz w:val="24"/>
          <w:szCs w:val="24"/>
          <w:lang w:val="en-US"/>
        </w:rPr>
        <w:t>The Journal of Clinical Investigation, 39</w:t>
      </w:r>
      <w:r w:rsidRPr="00EA49C7">
        <w:rPr>
          <w:rFonts w:ascii="Times New Roman" w:eastAsia="Times New Roman" w:hAnsi="Times New Roman" w:cs="Times New Roman"/>
          <w:sz w:val="24"/>
          <w:szCs w:val="24"/>
          <w:lang w:val="en-US"/>
        </w:rPr>
        <w:t xml:space="preserve">(4), 610–619. </w:t>
      </w:r>
      <w:hyperlink r:id="rId54" w:history="1">
        <w:r w:rsidRPr="00EA49C7">
          <w:rPr>
            <w:rFonts w:ascii="Times New Roman" w:eastAsia="Times New Roman" w:hAnsi="Times New Roman" w:cs="Times New Roman"/>
            <w:color w:val="0000FF"/>
            <w:sz w:val="24"/>
            <w:szCs w:val="24"/>
            <w:u w:val="single"/>
            <w:lang w:val="en-US"/>
          </w:rPr>
          <w:t>https://doi.org/10.1172/JCI104075</w:t>
        </w:r>
      </w:hyperlink>
    </w:p>
    <w:p w14:paraId="27F8B8EF"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Tomy, S., Chang, Y. M., Chen, Y. H., Cao, J. C., Wang, T. P., &amp; Chang, C. F. (2009). Salinity effects on the expression of osmoregulatory genes in the euryhaline black porgy, </w:t>
      </w:r>
      <w:proofErr w:type="spellStart"/>
      <w:r w:rsidRPr="00EA49C7">
        <w:rPr>
          <w:rFonts w:ascii="Times New Roman" w:eastAsia="Times New Roman" w:hAnsi="Times New Roman" w:cs="Times New Roman"/>
          <w:i/>
          <w:iCs/>
          <w:sz w:val="24"/>
          <w:szCs w:val="24"/>
          <w:lang w:val="en-US"/>
        </w:rPr>
        <w:t>Acanthopagrus</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schlegeli</w:t>
      </w:r>
      <w:proofErr w:type="spellEnd"/>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General and Comparative Endocrinology, 161</w:t>
      </w:r>
      <w:r w:rsidRPr="00EA49C7">
        <w:rPr>
          <w:rFonts w:ascii="Times New Roman" w:eastAsia="Times New Roman" w:hAnsi="Times New Roman" w:cs="Times New Roman"/>
          <w:sz w:val="24"/>
          <w:szCs w:val="24"/>
          <w:lang w:val="en-US"/>
        </w:rPr>
        <w:t xml:space="preserve">(1), 123–132. </w:t>
      </w:r>
      <w:hyperlink r:id="rId55" w:history="1">
        <w:r w:rsidRPr="00EA49C7">
          <w:rPr>
            <w:rFonts w:ascii="Times New Roman" w:eastAsia="Times New Roman" w:hAnsi="Times New Roman" w:cs="Times New Roman"/>
            <w:color w:val="0000FF"/>
            <w:sz w:val="24"/>
            <w:szCs w:val="24"/>
            <w:u w:val="single"/>
            <w:lang w:val="en-US"/>
          </w:rPr>
          <w:t>https://doi.org/10.1016/j.ygcen.2008.12.003</w:t>
        </w:r>
      </w:hyperlink>
    </w:p>
    <w:p w14:paraId="0BDB8271"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Tsuzuki, M. Y., Ogawa, K., Strüssmann, C. A., Maita, M., Takashima, F., &amp; Melo, C. M. R. (2007). The significance of cortisol on acclimation to salinity in </w:t>
      </w:r>
      <w:proofErr w:type="spellStart"/>
      <w:r w:rsidRPr="00EA49C7">
        <w:rPr>
          <w:rFonts w:ascii="Times New Roman" w:eastAsia="Times New Roman" w:hAnsi="Times New Roman" w:cs="Times New Roman"/>
          <w:sz w:val="24"/>
          <w:szCs w:val="24"/>
          <w:lang w:val="en-US"/>
        </w:rPr>
        <w:t>pejerrey</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i/>
          <w:iCs/>
          <w:sz w:val="24"/>
          <w:szCs w:val="24"/>
          <w:lang w:val="en-US"/>
        </w:rPr>
        <w:t>Odontesthes</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bonariensis</w:t>
      </w:r>
      <w:proofErr w:type="spellEnd"/>
      <w:r w:rsidRPr="00EA49C7">
        <w:rPr>
          <w:rFonts w:ascii="Times New Roman" w:eastAsia="Times New Roman" w:hAnsi="Times New Roman" w:cs="Times New Roman"/>
          <w:sz w:val="24"/>
          <w:szCs w:val="24"/>
          <w:lang w:val="en-US"/>
        </w:rPr>
        <w:t xml:space="preserve">. </w:t>
      </w:r>
      <w:proofErr w:type="spellStart"/>
      <w:r w:rsidRPr="00EA49C7">
        <w:rPr>
          <w:rFonts w:ascii="Times New Roman" w:eastAsia="Times New Roman" w:hAnsi="Times New Roman" w:cs="Times New Roman"/>
          <w:i/>
          <w:iCs/>
          <w:sz w:val="24"/>
          <w:szCs w:val="24"/>
          <w:lang w:val="en-US"/>
        </w:rPr>
        <w:t>Arquivo</w:t>
      </w:r>
      <w:proofErr w:type="spellEnd"/>
      <w:r w:rsidRPr="00EA49C7">
        <w:rPr>
          <w:rFonts w:ascii="Times New Roman" w:eastAsia="Times New Roman" w:hAnsi="Times New Roman" w:cs="Times New Roman"/>
          <w:i/>
          <w:iCs/>
          <w:sz w:val="24"/>
          <w:szCs w:val="24"/>
          <w:lang w:val="en-US"/>
        </w:rPr>
        <w:t xml:space="preserve"> Brasileiro de Medicina </w:t>
      </w:r>
      <w:proofErr w:type="spellStart"/>
      <w:r w:rsidRPr="00EA49C7">
        <w:rPr>
          <w:rFonts w:ascii="Times New Roman" w:eastAsia="Times New Roman" w:hAnsi="Times New Roman" w:cs="Times New Roman"/>
          <w:i/>
          <w:iCs/>
          <w:sz w:val="24"/>
          <w:szCs w:val="24"/>
          <w:lang w:val="en-US"/>
        </w:rPr>
        <w:t>Veterinária</w:t>
      </w:r>
      <w:proofErr w:type="spellEnd"/>
      <w:r w:rsidRPr="00EA49C7">
        <w:rPr>
          <w:rFonts w:ascii="Times New Roman" w:eastAsia="Times New Roman" w:hAnsi="Times New Roman" w:cs="Times New Roman"/>
          <w:i/>
          <w:iCs/>
          <w:sz w:val="24"/>
          <w:szCs w:val="24"/>
          <w:lang w:val="en-US"/>
        </w:rPr>
        <w:t xml:space="preserve"> e </w:t>
      </w:r>
      <w:proofErr w:type="spellStart"/>
      <w:r w:rsidRPr="00EA49C7">
        <w:rPr>
          <w:rFonts w:ascii="Times New Roman" w:eastAsia="Times New Roman" w:hAnsi="Times New Roman" w:cs="Times New Roman"/>
          <w:i/>
          <w:iCs/>
          <w:sz w:val="24"/>
          <w:szCs w:val="24"/>
          <w:lang w:val="en-US"/>
        </w:rPr>
        <w:t>Zootecnia</w:t>
      </w:r>
      <w:proofErr w:type="spellEnd"/>
      <w:r w:rsidRPr="00EA49C7">
        <w:rPr>
          <w:rFonts w:ascii="Times New Roman" w:eastAsia="Times New Roman" w:hAnsi="Times New Roman" w:cs="Times New Roman"/>
          <w:i/>
          <w:iCs/>
          <w:sz w:val="24"/>
          <w:szCs w:val="24"/>
          <w:lang w:val="en-US"/>
        </w:rPr>
        <w:t>, 59</w:t>
      </w:r>
      <w:r w:rsidRPr="00EA49C7">
        <w:rPr>
          <w:rFonts w:ascii="Times New Roman" w:eastAsia="Times New Roman" w:hAnsi="Times New Roman" w:cs="Times New Roman"/>
          <w:sz w:val="24"/>
          <w:szCs w:val="24"/>
          <w:lang w:val="en-US"/>
        </w:rPr>
        <w:t xml:space="preserve">(5), 1301–1307. </w:t>
      </w:r>
      <w:hyperlink r:id="rId56" w:history="1">
        <w:r w:rsidRPr="00EA49C7">
          <w:rPr>
            <w:rFonts w:ascii="Times New Roman" w:eastAsia="Times New Roman" w:hAnsi="Times New Roman" w:cs="Times New Roman"/>
            <w:color w:val="0000FF"/>
            <w:sz w:val="24"/>
            <w:szCs w:val="24"/>
            <w:u w:val="single"/>
            <w:lang w:val="en-US"/>
          </w:rPr>
          <w:t>https://doi.org/10.1590/S0102-09352007000500031</w:t>
        </w:r>
      </w:hyperlink>
    </w:p>
    <w:p w14:paraId="7F27E5D0"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Tseng, Y. C., &amp; Hwang, P. P. (2008). </w:t>
      </w:r>
      <w:r w:rsidRPr="00EA49C7">
        <w:rPr>
          <w:rFonts w:ascii="Times New Roman" w:eastAsia="Times New Roman" w:hAnsi="Times New Roman" w:cs="Times New Roman"/>
          <w:sz w:val="24"/>
          <w:szCs w:val="24"/>
          <w:lang w:val="en-US"/>
        </w:rPr>
        <w:t xml:space="preserve">Some insights into energy metabolism for osmoregulation in fish. </w:t>
      </w:r>
      <w:r w:rsidRPr="00EA49C7">
        <w:rPr>
          <w:rFonts w:ascii="Times New Roman" w:eastAsia="Times New Roman" w:hAnsi="Times New Roman" w:cs="Times New Roman"/>
          <w:i/>
          <w:iCs/>
          <w:sz w:val="24"/>
          <w:szCs w:val="24"/>
          <w:lang w:val="en-US"/>
        </w:rPr>
        <w:t>Comparative Biochemistry and Physiology Part C: Toxicology &amp; Pharmacology, 148</w:t>
      </w:r>
      <w:r w:rsidRPr="00EA49C7">
        <w:rPr>
          <w:rFonts w:ascii="Times New Roman" w:eastAsia="Times New Roman" w:hAnsi="Times New Roman" w:cs="Times New Roman"/>
          <w:sz w:val="24"/>
          <w:szCs w:val="24"/>
          <w:lang w:val="en-US"/>
        </w:rPr>
        <w:t xml:space="preserve">(4), 419–429. </w:t>
      </w:r>
      <w:hyperlink r:id="rId57" w:history="1">
        <w:r w:rsidRPr="00EA49C7">
          <w:rPr>
            <w:rFonts w:ascii="Times New Roman" w:eastAsia="Times New Roman" w:hAnsi="Times New Roman" w:cs="Times New Roman"/>
            <w:color w:val="0000FF"/>
            <w:sz w:val="24"/>
            <w:szCs w:val="24"/>
            <w:u w:val="single"/>
            <w:lang w:val="en-US"/>
          </w:rPr>
          <w:t>https://doi.org/10.1016/j.cbpc.2008.04.009</w:t>
        </w:r>
      </w:hyperlink>
    </w:p>
    <w:p w14:paraId="38A868AE"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van Dam, A. A., Beveridge, M. C. M., Azim, M. E., &amp; Verdegem, M. C. J. (2002). </w:t>
      </w:r>
      <w:r w:rsidRPr="00EA49C7">
        <w:rPr>
          <w:rFonts w:ascii="Times New Roman" w:eastAsia="Times New Roman" w:hAnsi="Times New Roman" w:cs="Times New Roman"/>
          <w:sz w:val="24"/>
          <w:szCs w:val="24"/>
          <w:lang w:val="en-US"/>
        </w:rPr>
        <w:t xml:space="preserve">The potential of fish production based on periphyton. </w:t>
      </w:r>
      <w:r w:rsidRPr="00EA49C7">
        <w:rPr>
          <w:rFonts w:ascii="Times New Roman" w:eastAsia="Times New Roman" w:hAnsi="Times New Roman" w:cs="Times New Roman"/>
          <w:i/>
          <w:iCs/>
          <w:sz w:val="24"/>
          <w:szCs w:val="24"/>
          <w:lang w:val="en-US"/>
        </w:rPr>
        <w:t>Reviews in Fish Biology and Fisheries, 12</w:t>
      </w:r>
      <w:r w:rsidRPr="00EA49C7">
        <w:rPr>
          <w:rFonts w:ascii="Times New Roman" w:eastAsia="Times New Roman" w:hAnsi="Times New Roman" w:cs="Times New Roman"/>
          <w:sz w:val="24"/>
          <w:szCs w:val="24"/>
          <w:lang w:val="en-US"/>
        </w:rPr>
        <w:t xml:space="preserve">(1), 1–31. </w:t>
      </w:r>
      <w:hyperlink r:id="rId58" w:history="1">
        <w:r w:rsidRPr="00EA49C7">
          <w:rPr>
            <w:rFonts w:ascii="Times New Roman" w:eastAsia="Times New Roman" w:hAnsi="Times New Roman" w:cs="Times New Roman"/>
            <w:color w:val="0000FF"/>
            <w:sz w:val="24"/>
            <w:szCs w:val="24"/>
            <w:u w:val="single"/>
            <w:lang w:val="en-US"/>
          </w:rPr>
          <w:t>https://doi.org/10.1023/A:1022689805031</w:t>
        </w:r>
      </w:hyperlink>
    </w:p>
    <w:p w14:paraId="2FC4A877" w14:textId="251E9412"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Wahyuni, S., </w:t>
      </w:r>
      <w:proofErr w:type="spellStart"/>
      <w:r w:rsidRPr="00EA49C7">
        <w:rPr>
          <w:rFonts w:ascii="Times New Roman" w:eastAsia="Times New Roman" w:hAnsi="Times New Roman" w:cs="Times New Roman"/>
          <w:sz w:val="24"/>
          <w:szCs w:val="24"/>
          <w:lang w:val="en-US"/>
        </w:rPr>
        <w:t>Windarti</w:t>
      </w:r>
      <w:proofErr w:type="spellEnd"/>
      <w:r w:rsidRPr="00EA49C7">
        <w:rPr>
          <w:rFonts w:ascii="Times New Roman" w:eastAsia="Times New Roman" w:hAnsi="Times New Roman" w:cs="Times New Roman"/>
          <w:sz w:val="24"/>
          <w:szCs w:val="24"/>
          <w:lang w:val="en-US"/>
        </w:rPr>
        <w:t xml:space="preserve">, W., &amp; Putra, R. M. (2017). </w:t>
      </w:r>
      <w:r w:rsidRPr="00EA49C7">
        <w:rPr>
          <w:rFonts w:ascii="Times New Roman" w:eastAsia="Times New Roman" w:hAnsi="Times New Roman" w:cs="Times New Roman"/>
          <w:i/>
          <w:iCs/>
          <w:sz w:val="24"/>
          <w:szCs w:val="24"/>
          <w:lang w:val="en-US"/>
        </w:rPr>
        <w:t xml:space="preserve">Comparative study on the histological structure of the gill and kidney of snakehead fish (Channa striata, Bloch 1793) from the Kulim and </w:t>
      </w:r>
      <w:proofErr w:type="spellStart"/>
      <w:r w:rsidRPr="00EA49C7">
        <w:rPr>
          <w:rFonts w:ascii="Times New Roman" w:eastAsia="Times New Roman" w:hAnsi="Times New Roman" w:cs="Times New Roman"/>
          <w:i/>
          <w:iCs/>
          <w:sz w:val="24"/>
          <w:szCs w:val="24"/>
          <w:lang w:val="en-US"/>
        </w:rPr>
        <w:t>Sibam</w:t>
      </w:r>
      <w:proofErr w:type="spellEnd"/>
      <w:r w:rsidRPr="00EA49C7">
        <w:rPr>
          <w:rFonts w:ascii="Times New Roman" w:eastAsia="Times New Roman" w:hAnsi="Times New Roman" w:cs="Times New Roman"/>
          <w:i/>
          <w:iCs/>
          <w:sz w:val="24"/>
          <w:szCs w:val="24"/>
          <w:lang w:val="en-US"/>
        </w:rPr>
        <w:t xml:space="preserve"> Rivers, Riau Province</w:t>
      </w:r>
      <w:r w:rsidRPr="00EA49C7">
        <w:rPr>
          <w:rFonts w:ascii="Times New Roman" w:eastAsia="Times New Roman" w:hAnsi="Times New Roman" w:cs="Times New Roman"/>
          <w:sz w:val="24"/>
          <w:szCs w:val="24"/>
          <w:lang w:val="en-US"/>
        </w:rPr>
        <w:t xml:space="preserve"> [Doctoral dissertation, Riau University]. </w:t>
      </w:r>
    </w:p>
    <w:p w14:paraId="086ECF74"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lastRenderedPageBreak/>
        <w:t xml:space="preserve">Wedemeyer, G. A., &amp; Yasutake, W. T. (1977). </w:t>
      </w:r>
      <w:r w:rsidRPr="00EA49C7">
        <w:rPr>
          <w:rFonts w:ascii="Times New Roman" w:eastAsia="Times New Roman" w:hAnsi="Times New Roman" w:cs="Times New Roman"/>
          <w:i/>
          <w:iCs/>
          <w:sz w:val="24"/>
          <w:szCs w:val="24"/>
          <w:lang w:val="en-US"/>
        </w:rPr>
        <w:t>Clinical methods for the assessment of the effects of environmental stress on fish health</w:t>
      </w:r>
      <w:r w:rsidRPr="00EA49C7">
        <w:rPr>
          <w:rFonts w:ascii="Times New Roman" w:eastAsia="Times New Roman" w:hAnsi="Times New Roman" w:cs="Times New Roman"/>
          <w:sz w:val="24"/>
          <w:szCs w:val="24"/>
          <w:lang w:val="en-US"/>
        </w:rPr>
        <w:t xml:space="preserve"> (Technical Paper No. 89). U.S. Fish and Wildlife Service. </w:t>
      </w:r>
      <w:hyperlink r:id="rId59" w:history="1">
        <w:r w:rsidRPr="00EA49C7">
          <w:rPr>
            <w:rFonts w:ascii="Times New Roman" w:eastAsia="Times New Roman" w:hAnsi="Times New Roman" w:cs="Times New Roman"/>
            <w:color w:val="0000FF"/>
            <w:sz w:val="24"/>
            <w:szCs w:val="24"/>
            <w:u w:val="single"/>
            <w:lang w:val="en-US"/>
          </w:rPr>
          <w:t>https://pubs.usgs.gov/publication/2001039</w:t>
        </w:r>
      </w:hyperlink>
    </w:p>
    <w:p w14:paraId="1E194ACB"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en-US"/>
        </w:rPr>
        <w:t xml:space="preserve">Weirich, C. R., Wills, P. S., Baptiste, R. M., Woodward, P. N., &amp; Riche, M. A. (2009). Production characteristics and body composition of Florida pompano reared to market size at two different densities in low-salinity recirculating aquaculture systems. </w:t>
      </w:r>
      <w:r w:rsidRPr="00EA49C7">
        <w:rPr>
          <w:rFonts w:ascii="Times New Roman" w:eastAsia="Times New Roman" w:hAnsi="Times New Roman" w:cs="Times New Roman"/>
          <w:i/>
          <w:iCs/>
          <w:sz w:val="24"/>
          <w:szCs w:val="24"/>
          <w:lang w:val="en-US"/>
        </w:rPr>
        <w:t>North American Journal of Aquaculture, 71</w:t>
      </w:r>
      <w:r w:rsidRPr="00EA49C7">
        <w:rPr>
          <w:rFonts w:ascii="Times New Roman" w:eastAsia="Times New Roman" w:hAnsi="Times New Roman" w:cs="Times New Roman"/>
          <w:sz w:val="24"/>
          <w:szCs w:val="24"/>
          <w:lang w:val="en-US"/>
        </w:rPr>
        <w:t xml:space="preserve">(2), 165–173. </w:t>
      </w:r>
      <w:hyperlink r:id="rId60" w:history="1">
        <w:r w:rsidRPr="00EA49C7">
          <w:rPr>
            <w:rFonts w:ascii="Times New Roman" w:eastAsia="Times New Roman" w:hAnsi="Times New Roman" w:cs="Times New Roman"/>
            <w:color w:val="0000FF"/>
            <w:sz w:val="24"/>
            <w:szCs w:val="24"/>
            <w:u w:val="single"/>
            <w:lang w:val="en-US"/>
          </w:rPr>
          <w:t>https://doi.org/10.1577/A07-045.1</w:t>
        </w:r>
      </w:hyperlink>
    </w:p>
    <w:p w14:paraId="4B570352" w14:textId="77777777" w:rsidR="00EA49C7"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Zhang, Z., Lu, K., Liang, X. F., Li, J., Tang, S., Zhang, Y., &amp; Zhang, Q. (2022). </w:t>
      </w:r>
      <w:r w:rsidRPr="00EA49C7">
        <w:rPr>
          <w:rFonts w:ascii="Times New Roman" w:eastAsia="Times New Roman" w:hAnsi="Times New Roman" w:cs="Times New Roman"/>
          <w:sz w:val="24"/>
          <w:szCs w:val="24"/>
          <w:lang w:val="en-US"/>
        </w:rPr>
        <w:t>Effects of early low-temperature exposure on growth, glycolipid metabolism and growth hormone (GH) gene methylation in the late stage of Chinese perch (</w:t>
      </w:r>
      <w:proofErr w:type="spellStart"/>
      <w:r w:rsidRPr="00EA49C7">
        <w:rPr>
          <w:rFonts w:ascii="Times New Roman" w:eastAsia="Times New Roman" w:hAnsi="Times New Roman" w:cs="Times New Roman"/>
          <w:i/>
          <w:iCs/>
          <w:sz w:val="24"/>
          <w:szCs w:val="24"/>
          <w:lang w:val="en-US"/>
        </w:rPr>
        <w:t>Siniperca</w:t>
      </w:r>
      <w:proofErr w:type="spellEnd"/>
      <w:r w:rsidRPr="00EA49C7">
        <w:rPr>
          <w:rFonts w:ascii="Times New Roman" w:eastAsia="Times New Roman" w:hAnsi="Times New Roman" w:cs="Times New Roman"/>
          <w:i/>
          <w:iCs/>
          <w:sz w:val="24"/>
          <w:szCs w:val="24"/>
          <w:lang w:val="en-US"/>
        </w:rPr>
        <w:t xml:space="preserve"> </w:t>
      </w:r>
      <w:proofErr w:type="spellStart"/>
      <w:r w:rsidRPr="00EA49C7">
        <w:rPr>
          <w:rFonts w:ascii="Times New Roman" w:eastAsia="Times New Roman" w:hAnsi="Times New Roman" w:cs="Times New Roman"/>
          <w:i/>
          <w:iCs/>
          <w:sz w:val="24"/>
          <w:szCs w:val="24"/>
          <w:lang w:val="en-US"/>
        </w:rPr>
        <w:t>chuatsi</w:t>
      </w:r>
      <w:proofErr w:type="spellEnd"/>
      <w:r w:rsidRPr="00EA49C7">
        <w:rPr>
          <w:rFonts w:ascii="Times New Roman" w:eastAsia="Times New Roman" w:hAnsi="Times New Roman" w:cs="Times New Roman"/>
          <w:sz w:val="24"/>
          <w:szCs w:val="24"/>
          <w:lang w:val="en-US"/>
        </w:rPr>
        <w:t xml:space="preserve">). </w:t>
      </w:r>
      <w:r w:rsidRPr="00EA49C7">
        <w:rPr>
          <w:rFonts w:ascii="Times New Roman" w:eastAsia="Times New Roman" w:hAnsi="Times New Roman" w:cs="Times New Roman"/>
          <w:i/>
          <w:iCs/>
          <w:sz w:val="24"/>
          <w:szCs w:val="24"/>
          <w:lang w:val="en-US"/>
        </w:rPr>
        <w:t>Comparative Biochemistry and Physiology Part B: Biochemistry and Molecular Biology, 259</w:t>
      </w:r>
      <w:r w:rsidRPr="00EA49C7">
        <w:rPr>
          <w:rFonts w:ascii="Times New Roman" w:eastAsia="Times New Roman" w:hAnsi="Times New Roman" w:cs="Times New Roman"/>
          <w:sz w:val="24"/>
          <w:szCs w:val="24"/>
          <w:lang w:val="en-US"/>
        </w:rPr>
        <w:t xml:space="preserve">, 110705. </w:t>
      </w:r>
      <w:hyperlink r:id="rId61" w:history="1">
        <w:r w:rsidRPr="00EA49C7">
          <w:rPr>
            <w:rFonts w:ascii="Times New Roman" w:eastAsia="Times New Roman" w:hAnsi="Times New Roman" w:cs="Times New Roman"/>
            <w:color w:val="0000FF"/>
            <w:sz w:val="24"/>
            <w:szCs w:val="24"/>
            <w:u w:val="single"/>
            <w:lang w:val="en-US"/>
          </w:rPr>
          <w:t>https://doi.org/10.1016/j.cbpb.2021.110705</w:t>
        </w:r>
      </w:hyperlink>
    </w:p>
    <w:p w14:paraId="542D5F5C" w14:textId="4607FC3E" w:rsidR="00AB04AA" w:rsidRPr="00EA49C7" w:rsidRDefault="00EA49C7" w:rsidP="00EA49C7">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EA49C7">
        <w:rPr>
          <w:rFonts w:ascii="Times New Roman" w:eastAsia="Times New Roman" w:hAnsi="Times New Roman" w:cs="Times New Roman"/>
          <w:sz w:val="24"/>
          <w:szCs w:val="24"/>
          <w:lang w:val="nl-BE"/>
        </w:rPr>
        <w:t xml:space="preserve">Zheng, P., Ma, Z., Guo, H., Zhang, D., Fu, M., Zhang, N., &amp; Jiang, S. (2016). </w:t>
      </w:r>
      <w:r w:rsidRPr="00EA49C7">
        <w:rPr>
          <w:rFonts w:ascii="Times New Roman" w:eastAsia="Times New Roman" w:hAnsi="Times New Roman" w:cs="Times New Roman"/>
          <w:sz w:val="24"/>
          <w:szCs w:val="24"/>
          <w:lang w:val="en-US"/>
        </w:rPr>
        <w:t xml:space="preserve">Effect of salinity on the rearing performance of juvenile golden pompano, </w:t>
      </w:r>
      <w:r w:rsidRPr="00EA49C7">
        <w:rPr>
          <w:rFonts w:ascii="Times New Roman" w:eastAsia="Times New Roman" w:hAnsi="Times New Roman" w:cs="Times New Roman"/>
          <w:i/>
          <w:iCs/>
          <w:sz w:val="24"/>
          <w:szCs w:val="24"/>
          <w:lang w:val="en-US"/>
        </w:rPr>
        <w:t>Trachinotus ovatus</w:t>
      </w:r>
      <w:r w:rsidRPr="00EA49C7">
        <w:rPr>
          <w:rFonts w:ascii="Times New Roman" w:eastAsia="Times New Roman" w:hAnsi="Times New Roman" w:cs="Times New Roman"/>
          <w:sz w:val="24"/>
          <w:szCs w:val="24"/>
          <w:lang w:val="en-US"/>
        </w:rPr>
        <w:t xml:space="preserve"> (Linnaeus, 1758). </w:t>
      </w:r>
      <w:r w:rsidRPr="00EA49C7">
        <w:rPr>
          <w:rFonts w:ascii="Times New Roman" w:eastAsia="Times New Roman" w:hAnsi="Times New Roman" w:cs="Times New Roman"/>
          <w:i/>
          <w:iCs/>
          <w:sz w:val="24"/>
          <w:szCs w:val="24"/>
          <w:lang w:val="en-US"/>
        </w:rPr>
        <w:t>Aquaculture Research, 47</w:t>
      </w:r>
      <w:r w:rsidRPr="00EA49C7">
        <w:rPr>
          <w:rFonts w:ascii="Times New Roman" w:eastAsia="Times New Roman" w:hAnsi="Times New Roman" w:cs="Times New Roman"/>
          <w:sz w:val="24"/>
          <w:szCs w:val="24"/>
          <w:lang w:val="en-US"/>
        </w:rPr>
        <w:t xml:space="preserve">(6), 1761–1769. </w:t>
      </w:r>
      <w:hyperlink r:id="rId62" w:history="1">
        <w:r w:rsidRPr="00EA49C7">
          <w:rPr>
            <w:rFonts w:ascii="Times New Roman" w:eastAsia="Times New Roman" w:hAnsi="Times New Roman" w:cs="Times New Roman"/>
            <w:color w:val="0000FF"/>
            <w:sz w:val="24"/>
            <w:szCs w:val="24"/>
            <w:u w:val="single"/>
            <w:lang w:val="en-US"/>
          </w:rPr>
          <w:t>https://doi.org/10.1111/are.12605</w:t>
        </w:r>
      </w:hyperlink>
    </w:p>
    <w:sectPr w:rsidR="00AB04AA" w:rsidRPr="00EA49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9D1A" w14:textId="77777777" w:rsidR="00746614" w:rsidRDefault="00746614" w:rsidP="00C830B9">
      <w:pPr>
        <w:spacing w:after="0" w:line="240" w:lineRule="auto"/>
      </w:pPr>
      <w:r>
        <w:separator/>
      </w:r>
    </w:p>
  </w:endnote>
  <w:endnote w:type="continuationSeparator" w:id="0">
    <w:p w14:paraId="7B825FC9" w14:textId="77777777" w:rsidR="00746614" w:rsidRDefault="00746614" w:rsidP="00C8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6B691" w14:textId="77777777" w:rsidR="00746614" w:rsidRDefault="00746614" w:rsidP="00C830B9">
      <w:pPr>
        <w:spacing w:after="0" w:line="240" w:lineRule="auto"/>
      </w:pPr>
      <w:r>
        <w:separator/>
      </w:r>
    </w:p>
  </w:footnote>
  <w:footnote w:type="continuationSeparator" w:id="0">
    <w:p w14:paraId="0BC981E0" w14:textId="77777777" w:rsidR="00746614" w:rsidRDefault="00746614" w:rsidP="00C830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EB9"/>
    <w:multiLevelType w:val="multilevel"/>
    <w:tmpl w:val="32D2208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9626B"/>
    <w:multiLevelType w:val="multilevel"/>
    <w:tmpl w:val="F854549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B87846"/>
    <w:multiLevelType w:val="multilevel"/>
    <w:tmpl w:val="E40EA04E"/>
    <w:lvl w:ilvl="0">
      <w:start w:val="3"/>
      <w:numFmt w:val="decimal"/>
      <w:lvlText w:val="%1"/>
      <w:lvlJc w:val="left"/>
      <w:pPr>
        <w:ind w:left="360" w:hanging="360"/>
      </w:pPr>
      <w:rPr>
        <w:rFonts w:hint="default"/>
      </w:rPr>
    </w:lvl>
    <w:lvl w:ilvl="1">
      <w:start w:val="2"/>
      <w:numFmt w:val="decimal"/>
      <w:lvlText w:val="%1.%2"/>
      <w:lvlJc w:val="left"/>
      <w:pPr>
        <w:ind w:left="542" w:hanging="36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3" w15:restartNumberingAfterBreak="0">
    <w:nsid w:val="49E9346F"/>
    <w:multiLevelType w:val="multilevel"/>
    <w:tmpl w:val="975C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7930A4"/>
    <w:multiLevelType w:val="multilevel"/>
    <w:tmpl w:val="6A6649C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5F616E6"/>
    <w:multiLevelType w:val="hybridMultilevel"/>
    <w:tmpl w:val="782CCCFA"/>
    <w:lvl w:ilvl="0" w:tplc="3B9063A8">
      <w:start w:val="1"/>
      <w:numFmt w:val="lowerRoman"/>
      <w:lvlText w:val="%1."/>
      <w:lvlJc w:val="left"/>
      <w:pPr>
        <w:ind w:left="905" w:hanging="480"/>
        <w:jc w:val="right"/>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1" w:tplc="7960E0B2">
      <w:numFmt w:val="bullet"/>
      <w:lvlText w:val="•"/>
      <w:lvlJc w:val="left"/>
      <w:pPr>
        <w:ind w:left="1856" w:hanging="480"/>
      </w:pPr>
      <w:rPr>
        <w:rFonts w:hint="default"/>
        <w:lang w:val="en-US" w:eastAsia="en-US" w:bidi="ar-SA"/>
      </w:rPr>
    </w:lvl>
    <w:lvl w:ilvl="2" w:tplc="A268F26E">
      <w:numFmt w:val="bullet"/>
      <w:lvlText w:val="•"/>
      <w:lvlJc w:val="left"/>
      <w:pPr>
        <w:ind w:left="2752" w:hanging="480"/>
      </w:pPr>
      <w:rPr>
        <w:rFonts w:hint="default"/>
        <w:lang w:val="en-US" w:eastAsia="en-US" w:bidi="ar-SA"/>
      </w:rPr>
    </w:lvl>
    <w:lvl w:ilvl="3" w:tplc="22D0D118">
      <w:numFmt w:val="bullet"/>
      <w:lvlText w:val="•"/>
      <w:lvlJc w:val="left"/>
      <w:pPr>
        <w:ind w:left="3648" w:hanging="480"/>
      </w:pPr>
      <w:rPr>
        <w:rFonts w:hint="default"/>
        <w:lang w:val="en-US" w:eastAsia="en-US" w:bidi="ar-SA"/>
      </w:rPr>
    </w:lvl>
    <w:lvl w:ilvl="4" w:tplc="45122938">
      <w:numFmt w:val="bullet"/>
      <w:lvlText w:val="•"/>
      <w:lvlJc w:val="left"/>
      <w:pPr>
        <w:ind w:left="4544" w:hanging="480"/>
      </w:pPr>
      <w:rPr>
        <w:rFonts w:hint="default"/>
        <w:lang w:val="en-US" w:eastAsia="en-US" w:bidi="ar-SA"/>
      </w:rPr>
    </w:lvl>
    <w:lvl w:ilvl="5" w:tplc="9CBC52DC">
      <w:numFmt w:val="bullet"/>
      <w:lvlText w:val="•"/>
      <w:lvlJc w:val="left"/>
      <w:pPr>
        <w:ind w:left="5441" w:hanging="480"/>
      </w:pPr>
      <w:rPr>
        <w:rFonts w:hint="default"/>
        <w:lang w:val="en-US" w:eastAsia="en-US" w:bidi="ar-SA"/>
      </w:rPr>
    </w:lvl>
    <w:lvl w:ilvl="6" w:tplc="536A723C">
      <w:numFmt w:val="bullet"/>
      <w:lvlText w:val="•"/>
      <w:lvlJc w:val="left"/>
      <w:pPr>
        <w:ind w:left="6337" w:hanging="480"/>
      </w:pPr>
      <w:rPr>
        <w:rFonts w:hint="default"/>
        <w:lang w:val="en-US" w:eastAsia="en-US" w:bidi="ar-SA"/>
      </w:rPr>
    </w:lvl>
    <w:lvl w:ilvl="7" w:tplc="09BE1980">
      <w:numFmt w:val="bullet"/>
      <w:lvlText w:val="•"/>
      <w:lvlJc w:val="left"/>
      <w:pPr>
        <w:ind w:left="7233" w:hanging="480"/>
      </w:pPr>
      <w:rPr>
        <w:rFonts w:hint="default"/>
        <w:lang w:val="en-US" w:eastAsia="en-US" w:bidi="ar-SA"/>
      </w:rPr>
    </w:lvl>
    <w:lvl w:ilvl="8" w:tplc="A08CA370">
      <w:numFmt w:val="bullet"/>
      <w:lvlText w:val="•"/>
      <w:lvlJc w:val="left"/>
      <w:pPr>
        <w:ind w:left="8129" w:hanging="480"/>
      </w:pPr>
      <w:rPr>
        <w:rFonts w:hint="default"/>
        <w:lang w:val="en-US" w:eastAsia="en-US" w:bidi="ar-SA"/>
      </w:rPr>
    </w:lvl>
  </w:abstractNum>
  <w:abstractNum w:abstractNumId="6" w15:restartNumberingAfterBreak="0">
    <w:nsid w:val="5EB5088D"/>
    <w:multiLevelType w:val="hybridMultilevel"/>
    <w:tmpl w:val="8D043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209FC"/>
    <w:multiLevelType w:val="multilevel"/>
    <w:tmpl w:val="6E02CDC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803EFB"/>
    <w:multiLevelType w:val="multilevel"/>
    <w:tmpl w:val="AA8A07C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40662643">
    <w:abstractNumId w:val="2"/>
  </w:num>
  <w:num w:numId="2" w16cid:durableId="1275865309">
    <w:abstractNumId w:val="8"/>
  </w:num>
  <w:num w:numId="3" w16cid:durableId="3091511">
    <w:abstractNumId w:val="5"/>
  </w:num>
  <w:num w:numId="4" w16cid:durableId="1003433990">
    <w:abstractNumId w:val="4"/>
  </w:num>
  <w:num w:numId="5" w16cid:durableId="394012137">
    <w:abstractNumId w:val="3"/>
  </w:num>
  <w:num w:numId="6" w16cid:durableId="93550218">
    <w:abstractNumId w:val="1"/>
  </w:num>
  <w:num w:numId="7" w16cid:durableId="2079131291">
    <w:abstractNumId w:val="7"/>
  </w:num>
  <w:num w:numId="8" w16cid:durableId="1714846809">
    <w:abstractNumId w:val="0"/>
  </w:num>
  <w:num w:numId="9" w16cid:durableId="18255064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91"/>
    <w:rsid w:val="00007340"/>
    <w:rsid w:val="00012D54"/>
    <w:rsid w:val="00012E7E"/>
    <w:rsid w:val="00026F4C"/>
    <w:rsid w:val="00035242"/>
    <w:rsid w:val="00035FAC"/>
    <w:rsid w:val="00043B26"/>
    <w:rsid w:val="00055A30"/>
    <w:rsid w:val="00056FE2"/>
    <w:rsid w:val="000578A4"/>
    <w:rsid w:val="000617A6"/>
    <w:rsid w:val="000627D5"/>
    <w:rsid w:val="00071120"/>
    <w:rsid w:val="0007548E"/>
    <w:rsid w:val="00082347"/>
    <w:rsid w:val="00085389"/>
    <w:rsid w:val="00090D90"/>
    <w:rsid w:val="000A19EF"/>
    <w:rsid w:val="000A3E26"/>
    <w:rsid w:val="000A63AD"/>
    <w:rsid w:val="000B2981"/>
    <w:rsid w:val="000C1462"/>
    <w:rsid w:val="000C1B7C"/>
    <w:rsid w:val="000C3134"/>
    <w:rsid w:val="000C4069"/>
    <w:rsid w:val="000C5676"/>
    <w:rsid w:val="000C6D6A"/>
    <w:rsid w:val="000D0210"/>
    <w:rsid w:val="000E650D"/>
    <w:rsid w:val="00102B40"/>
    <w:rsid w:val="00106ECF"/>
    <w:rsid w:val="00112757"/>
    <w:rsid w:val="001150ED"/>
    <w:rsid w:val="0011598D"/>
    <w:rsid w:val="00117E0B"/>
    <w:rsid w:val="001230ED"/>
    <w:rsid w:val="001462A9"/>
    <w:rsid w:val="00181E2F"/>
    <w:rsid w:val="00186CE8"/>
    <w:rsid w:val="00190E4C"/>
    <w:rsid w:val="001A7823"/>
    <w:rsid w:val="001C41E2"/>
    <w:rsid w:val="001C69C2"/>
    <w:rsid w:val="001D0EEB"/>
    <w:rsid w:val="001F0640"/>
    <w:rsid w:val="001F2A1D"/>
    <w:rsid w:val="001F68FE"/>
    <w:rsid w:val="00207CD8"/>
    <w:rsid w:val="002211E1"/>
    <w:rsid w:val="00232A2B"/>
    <w:rsid w:val="002353EF"/>
    <w:rsid w:val="00237388"/>
    <w:rsid w:val="00245DD9"/>
    <w:rsid w:val="00246ED3"/>
    <w:rsid w:val="0025754D"/>
    <w:rsid w:val="00261959"/>
    <w:rsid w:val="00263F57"/>
    <w:rsid w:val="0026406F"/>
    <w:rsid w:val="00283105"/>
    <w:rsid w:val="002A7D3C"/>
    <w:rsid w:val="002B3B85"/>
    <w:rsid w:val="002B4BC5"/>
    <w:rsid w:val="002C353E"/>
    <w:rsid w:val="002C630B"/>
    <w:rsid w:val="002D1F86"/>
    <w:rsid w:val="002D75AA"/>
    <w:rsid w:val="002E0B18"/>
    <w:rsid w:val="002E394A"/>
    <w:rsid w:val="00340A1E"/>
    <w:rsid w:val="00352EA0"/>
    <w:rsid w:val="003614F2"/>
    <w:rsid w:val="00364E78"/>
    <w:rsid w:val="00387177"/>
    <w:rsid w:val="003908DC"/>
    <w:rsid w:val="003B3D02"/>
    <w:rsid w:val="003B4C8A"/>
    <w:rsid w:val="003C6578"/>
    <w:rsid w:val="003D4040"/>
    <w:rsid w:val="003F1B9F"/>
    <w:rsid w:val="003F1C7C"/>
    <w:rsid w:val="00407392"/>
    <w:rsid w:val="004268B0"/>
    <w:rsid w:val="00434924"/>
    <w:rsid w:val="00451C28"/>
    <w:rsid w:val="00453ABD"/>
    <w:rsid w:val="00456F58"/>
    <w:rsid w:val="00462C87"/>
    <w:rsid w:val="004A2C55"/>
    <w:rsid w:val="004A723A"/>
    <w:rsid w:val="004B0A33"/>
    <w:rsid w:val="004C193A"/>
    <w:rsid w:val="004D2643"/>
    <w:rsid w:val="004D2FEA"/>
    <w:rsid w:val="004E0052"/>
    <w:rsid w:val="004F2F30"/>
    <w:rsid w:val="004F5864"/>
    <w:rsid w:val="00504D35"/>
    <w:rsid w:val="00507462"/>
    <w:rsid w:val="005103B3"/>
    <w:rsid w:val="005413E9"/>
    <w:rsid w:val="00544681"/>
    <w:rsid w:val="00547DB7"/>
    <w:rsid w:val="00561AEF"/>
    <w:rsid w:val="00572F4B"/>
    <w:rsid w:val="00575334"/>
    <w:rsid w:val="00576FF1"/>
    <w:rsid w:val="00577512"/>
    <w:rsid w:val="005A0828"/>
    <w:rsid w:val="005A2629"/>
    <w:rsid w:val="005B1112"/>
    <w:rsid w:val="005C5031"/>
    <w:rsid w:val="005E2FE9"/>
    <w:rsid w:val="005F10F9"/>
    <w:rsid w:val="00605170"/>
    <w:rsid w:val="00613D73"/>
    <w:rsid w:val="00615578"/>
    <w:rsid w:val="006319AB"/>
    <w:rsid w:val="00645871"/>
    <w:rsid w:val="00646950"/>
    <w:rsid w:val="00646EA3"/>
    <w:rsid w:val="00647A91"/>
    <w:rsid w:val="0065100F"/>
    <w:rsid w:val="00657B3E"/>
    <w:rsid w:val="00661414"/>
    <w:rsid w:val="00661ADB"/>
    <w:rsid w:val="006A64D5"/>
    <w:rsid w:val="006B07C5"/>
    <w:rsid w:val="006B0ADE"/>
    <w:rsid w:val="006C19D0"/>
    <w:rsid w:val="006C45C8"/>
    <w:rsid w:val="006D73CB"/>
    <w:rsid w:val="006E1EDB"/>
    <w:rsid w:val="006F2BB9"/>
    <w:rsid w:val="0070264A"/>
    <w:rsid w:val="007131EF"/>
    <w:rsid w:val="00725163"/>
    <w:rsid w:val="00726637"/>
    <w:rsid w:val="0073363B"/>
    <w:rsid w:val="00734E21"/>
    <w:rsid w:val="00746614"/>
    <w:rsid w:val="00752FD7"/>
    <w:rsid w:val="00757593"/>
    <w:rsid w:val="007607AE"/>
    <w:rsid w:val="00763B4F"/>
    <w:rsid w:val="00771CCB"/>
    <w:rsid w:val="007A2E68"/>
    <w:rsid w:val="007A3788"/>
    <w:rsid w:val="007A5FD6"/>
    <w:rsid w:val="007B2333"/>
    <w:rsid w:val="007C0B4A"/>
    <w:rsid w:val="007D5874"/>
    <w:rsid w:val="007D5E59"/>
    <w:rsid w:val="007D6CFB"/>
    <w:rsid w:val="007E1DD0"/>
    <w:rsid w:val="00801F9B"/>
    <w:rsid w:val="00806D61"/>
    <w:rsid w:val="00812337"/>
    <w:rsid w:val="00813944"/>
    <w:rsid w:val="00821C69"/>
    <w:rsid w:val="008221A7"/>
    <w:rsid w:val="00823301"/>
    <w:rsid w:val="008241F0"/>
    <w:rsid w:val="00833E66"/>
    <w:rsid w:val="00846382"/>
    <w:rsid w:val="008674AC"/>
    <w:rsid w:val="008708CE"/>
    <w:rsid w:val="008710FF"/>
    <w:rsid w:val="00896412"/>
    <w:rsid w:val="008A0889"/>
    <w:rsid w:val="008A15C1"/>
    <w:rsid w:val="008A15E3"/>
    <w:rsid w:val="008A5029"/>
    <w:rsid w:val="008D2C1E"/>
    <w:rsid w:val="008D4B3E"/>
    <w:rsid w:val="008E4D0F"/>
    <w:rsid w:val="008F16A9"/>
    <w:rsid w:val="00902D39"/>
    <w:rsid w:val="00907A0E"/>
    <w:rsid w:val="009116D6"/>
    <w:rsid w:val="00912CEF"/>
    <w:rsid w:val="009161B9"/>
    <w:rsid w:val="009201A6"/>
    <w:rsid w:val="00921AA7"/>
    <w:rsid w:val="00933CDE"/>
    <w:rsid w:val="009423CC"/>
    <w:rsid w:val="0094473C"/>
    <w:rsid w:val="0094664D"/>
    <w:rsid w:val="009545F4"/>
    <w:rsid w:val="0095684D"/>
    <w:rsid w:val="00962AC6"/>
    <w:rsid w:val="00974010"/>
    <w:rsid w:val="00987C23"/>
    <w:rsid w:val="009B1478"/>
    <w:rsid w:val="009B369A"/>
    <w:rsid w:val="009B56BF"/>
    <w:rsid w:val="009D3284"/>
    <w:rsid w:val="009D41FA"/>
    <w:rsid w:val="009F1C4D"/>
    <w:rsid w:val="009F4D79"/>
    <w:rsid w:val="00A014B5"/>
    <w:rsid w:val="00A0249F"/>
    <w:rsid w:val="00A07800"/>
    <w:rsid w:val="00A30E0B"/>
    <w:rsid w:val="00A31DF2"/>
    <w:rsid w:val="00A33CA1"/>
    <w:rsid w:val="00A44165"/>
    <w:rsid w:val="00A449FB"/>
    <w:rsid w:val="00A65CC3"/>
    <w:rsid w:val="00A805D6"/>
    <w:rsid w:val="00A84174"/>
    <w:rsid w:val="00A84900"/>
    <w:rsid w:val="00A9426C"/>
    <w:rsid w:val="00A94334"/>
    <w:rsid w:val="00A96FF0"/>
    <w:rsid w:val="00AA2E96"/>
    <w:rsid w:val="00AA4959"/>
    <w:rsid w:val="00AB04AA"/>
    <w:rsid w:val="00AB4A3E"/>
    <w:rsid w:val="00AB5FDD"/>
    <w:rsid w:val="00AC679F"/>
    <w:rsid w:val="00AC720B"/>
    <w:rsid w:val="00AD6031"/>
    <w:rsid w:val="00AE56F7"/>
    <w:rsid w:val="00AE5881"/>
    <w:rsid w:val="00B0082D"/>
    <w:rsid w:val="00B133D7"/>
    <w:rsid w:val="00B30C1C"/>
    <w:rsid w:val="00B519C7"/>
    <w:rsid w:val="00B56D23"/>
    <w:rsid w:val="00B606DF"/>
    <w:rsid w:val="00B7171D"/>
    <w:rsid w:val="00B802E4"/>
    <w:rsid w:val="00B857DF"/>
    <w:rsid w:val="00B85BDD"/>
    <w:rsid w:val="00B861E1"/>
    <w:rsid w:val="00B92B1D"/>
    <w:rsid w:val="00B973CD"/>
    <w:rsid w:val="00BA7638"/>
    <w:rsid w:val="00BB21F8"/>
    <w:rsid w:val="00BC7BB8"/>
    <w:rsid w:val="00BE0299"/>
    <w:rsid w:val="00BF2373"/>
    <w:rsid w:val="00BF3904"/>
    <w:rsid w:val="00BF6BD3"/>
    <w:rsid w:val="00C073ED"/>
    <w:rsid w:val="00C13E89"/>
    <w:rsid w:val="00C151AF"/>
    <w:rsid w:val="00C316F7"/>
    <w:rsid w:val="00C52F74"/>
    <w:rsid w:val="00C54B9C"/>
    <w:rsid w:val="00C723D3"/>
    <w:rsid w:val="00C7672E"/>
    <w:rsid w:val="00C82A57"/>
    <w:rsid w:val="00C830B9"/>
    <w:rsid w:val="00C85755"/>
    <w:rsid w:val="00C96078"/>
    <w:rsid w:val="00C9651B"/>
    <w:rsid w:val="00CA034D"/>
    <w:rsid w:val="00CA500D"/>
    <w:rsid w:val="00CC46DE"/>
    <w:rsid w:val="00CD0E93"/>
    <w:rsid w:val="00CD1339"/>
    <w:rsid w:val="00CD531F"/>
    <w:rsid w:val="00CD67CA"/>
    <w:rsid w:val="00CE22AF"/>
    <w:rsid w:val="00CE41FA"/>
    <w:rsid w:val="00CF0648"/>
    <w:rsid w:val="00CF11CB"/>
    <w:rsid w:val="00CF55CE"/>
    <w:rsid w:val="00CF6EB4"/>
    <w:rsid w:val="00D17405"/>
    <w:rsid w:val="00D270B2"/>
    <w:rsid w:val="00D3643B"/>
    <w:rsid w:val="00D376D7"/>
    <w:rsid w:val="00D4300D"/>
    <w:rsid w:val="00D4470F"/>
    <w:rsid w:val="00D44A2B"/>
    <w:rsid w:val="00D45073"/>
    <w:rsid w:val="00D466B0"/>
    <w:rsid w:val="00D52E84"/>
    <w:rsid w:val="00D63C0B"/>
    <w:rsid w:val="00D657C5"/>
    <w:rsid w:val="00D730F6"/>
    <w:rsid w:val="00D81097"/>
    <w:rsid w:val="00D845A5"/>
    <w:rsid w:val="00D85814"/>
    <w:rsid w:val="00D8600A"/>
    <w:rsid w:val="00DA0277"/>
    <w:rsid w:val="00DA0BFC"/>
    <w:rsid w:val="00DA7D63"/>
    <w:rsid w:val="00DB7FA0"/>
    <w:rsid w:val="00DC5E30"/>
    <w:rsid w:val="00DC710E"/>
    <w:rsid w:val="00DD1FE2"/>
    <w:rsid w:val="00DD7B75"/>
    <w:rsid w:val="00DE3287"/>
    <w:rsid w:val="00DE4775"/>
    <w:rsid w:val="00DE7B44"/>
    <w:rsid w:val="00DF19CD"/>
    <w:rsid w:val="00E06BF8"/>
    <w:rsid w:val="00E10B4F"/>
    <w:rsid w:val="00E12026"/>
    <w:rsid w:val="00E301E4"/>
    <w:rsid w:val="00E30500"/>
    <w:rsid w:val="00E9040D"/>
    <w:rsid w:val="00E92A71"/>
    <w:rsid w:val="00EA49C7"/>
    <w:rsid w:val="00EA6105"/>
    <w:rsid w:val="00EC0749"/>
    <w:rsid w:val="00EC3B6E"/>
    <w:rsid w:val="00EC4B38"/>
    <w:rsid w:val="00EC5240"/>
    <w:rsid w:val="00EC64E3"/>
    <w:rsid w:val="00ED0E9E"/>
    <w:rsid w:val="00ED1EB0"/>
    <w:rsid w:val="00ED6F8C"/>
    <w:rsid w:val="00EE3D9D"/>
    <w:rsid w:val="00EE4E0F"/>
    <w:rsid w:val="00EF0C27"/>
    <w:rsid w:val="00EF0F66"/>
    <w:rsid w:val="00EF4D13"/>
    <w:rsid w:val="00F0118F"/>
    <w:rsid w:val="00F224B2"/>
    <w:rsid w:val="00F25177"/>
    <w:rsid w:val="00F5298A"/>
    <w:rsid w:val="00F62A43"/>
    <w:rsid w:val="00F647E5"/>
    <w:rsid w:val="00FA4EAE"/>
    <w:rsid w:val="00FB6C9D"/>
    <w:rsid w:val="00FC6C87"/>
    <w:rsid w:val="00FD64AA"/>
    <w:rsid w:val="00FD726A"/>
    <w:rsid w:val="00FD775B"/>
    <w:rsid w:val="00FD786F"/>
    <w:rsid w:val="00FE5159"/>
    <w:rsid w:val="00FE61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A1AF1"/>
  <w15:chartTrackingRefBased/>
  <w15:docId w15:val="{AA4BEB85-6EA5-4B5B-B70C-525FB8F7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647A9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A9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A9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A9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7A9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7A9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7A9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7A9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7A9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A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A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A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A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A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A91"/>
    <w:rPr>
      <w:rFonts w:eastAsiaTheme="majorEastAsia" w:cstheme="majorBidi"/>
      <w:color w:val="272727" w:themeColor="text1" w:themeTint="D8"/>
    </w:rPr>
  </w:style>
  <w:style w:type="paragraph" w:styleId="Title">
    <w:name w:val="Title"/>
    <w:basedOn w:val="Normal"/>
    <w:next w:val="Normal"/>
    <w:link w:val="TitleChar"/>
    <w:uiPriority w:val="10"/>
    <w:qFormat/>
    <w:rsid w:val="00647A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A9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A9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7A91"/>
    <w:rPr>
      <w:i/>
      <w:iCs/>
      <w:color w:val="404040" w:themeColor="text1" w:themeTint="BF"/>
    </w:rPr>
  </w:style>
  <w:style w:type="paragraph" w:styleId="ListParagraph">
    <w:name w:val="List Paragraph"/>
    <w:basedOn w:val="Normal"/>
    <w:uiPriority w:val="34"/>
    <w:qFormat/>
    <w:rsid w:val="00647A9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7A91"/>
    <w:rPr>
      <w:i/>
      <w:iCs/>
      <w:color w:val="2F5496" w:themeColor="accent1" w:themeShade="BF"/>
    </w:rPr>
  </w:style>
  <w:style w:type="paragraph" w:styleId="IntenseQuote">
    <w:name w:val="Intense Quote"/>
    <w:basedOn w:val="Normal"/>
    <w:next w:val="Normal"/>
    <w:link w:val="IntenseQuoteChar"/>
    <w:uiPriority w:val="30"/>
    <w:qFormat/>
    <w:rsid w:val="00647A9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7A91"/>
    <w:rPr>
      <w:i/>
      <w:iCs/>
      <w:color w:val="2F5496" w:themeColor="accent1" w:themeShade="BF"/>
    </w:rPr>
  </w:style>
  <w:style w:type="character" w:styleId="IntenseReference">
    <w:name w:val="Intense Reference"/>
    <w:basedOn w:val="DefaultParagraphFont"/>
    <w:uiPriority w:val="32"/>
    <w:qFormat/>
    <w:rsid w:val="00647A91"/>
    <w:rPr>
      <w:b/>
      <w:bCs/>
      <w:smallCaps/>
      <w:color w:val="2F5496" w:themeColor="accent1" w:themeShade="BF"/>
      <w:spacing w:val="5"/>
    </w:rPr>
  </w:style>
  <w:style w:type="paragraph" w:styleId="BodyText">
    <w:name w:val="Body Text"/>
    <w:basedOn w:val="Normal"/>
    <w:link w:val="BodyTextChar"/>
    <w:uiPriority w:val="1"/>
    <w:qFormat/>
    <w:rsid w:val="00AB04A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B04AA"/>
    <w:rPr>
      <w:rFonts w:ascii="Arial" w:eastAsia="Arial" w:hAnsi="Arial" w:cs="Arial"/>
      <w:kern w:val="0"/>
      <w:lang w:val="en-US"/>
      <w14:ligatures w14:val="none"/>
    </w:rPr>
  </w:style>
  <w:style w:type="table" w:styleId="TableGrid">
    <w:name w:val="Table Grid"/>
    <w:basedOn w:val="TableNormal"/>
    <w:uiPriority w:val="39"/>
    <w:rsid w:val="00FA4EA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B9"/>
    <w:rPr>
      <w:kern w:val="0"/>
      <w:sz w:val="22"/>
      <w:szCs w:val="22"/>
      <w14:ligatures w14:val="none"/>
    </w:rPr>
  </w:style>
  <w:style w:type="paragraph" w:styleId="Footer">
    <w:name w:val="footer"/>
    <w:basedOn w:val="Normal"/>
    <w:link w:val="FooterChar"/>
    <w:uiPriority w:val="99"/>
    <w:unhideWhenUsed/>
    <w:rsid w:val="00C83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B9"/>
    <w:rPr>
      <w:kern w:val="0"/>
      <w:sz w:val="22"/>
      <w:szCs w:val="22"/>
      <w14:ligatures w14:val="none"/>
    </w:rPr>
  </w:style>
  <w:style w:type="character" w:styleId="Emphasis">
    <w:name w:val="Emphasis"/>
    <w:basedOn w:val="DefaultParagraphFont"/>
    <w:uiPriority w:val="20"/>
    <w:qFormat/>
    <w:rsid w:val="00BF2373"/>
    <w:rPr>
      <w:i/>
      <w:iCs/>
    </w:rPr>
  </w:style>
  <w:style w:type="character" w:styleId="Hyperlink">
    <w:name w:val="Hyperlink"/>
    <w:basedOn w:val="DefaultParagraphFont"/>
    <w:uiPriority w:val="99"/>
    <w:unhideWhenUsed/>
    <w:rsid w:val="00BF2373"/>
    <w:rPr>
      <w:color w:val="0563C1" w:themeColor="hyperlink"/>
      <w:u w:val="single"/>
    </w:rPr>
  </w:style>
  <w:style w:type="paragraph" w:styleId="NormalWeb">
    <w:name w:val="Normal (Web)"/>
    <w:basedOn w:val="Normal"/>
    <w:uiPriority w:val="99"/>
    <w:semiHidden/>
    <w:unhideWhenUsed/>
    <w:rsid w:val="00CD531F"/>
    <w:rPr>
      <w:rFonts w:ascii="Times New Roman" w:hAnsi="Times New Roman" w:cs="Times New Roman"/>
      <w:sz w:val="24"/>
      <w:szCs w:val="24"/>
    </w:rPr>
  </w:style>
  <w:style w:type="paragraph" w:customStyle="1" w:styleId="pdq2pgselectionanchorcontainer">
    <w:name w:val="pdq2pg_selectionanchorcontainer"/>
    <w:basedOn w:val="Normal"/>
    <w:rsid w:val="007B233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chart" Target="charts/chart4.xml"/><Relationship Id="rId26" Type="http://schemas.openxmlformats.org/officeDocument/2006/relationships/hyperlink" Target="https://doi.org/10.1242/jeb.002568" TargetMode="External"/><Relationship Id="rId39" Type="http://schemas.openxmlformats.org/officeDocument/2006/relationships/hyperlink" Target="https://doi.org/10.1016/j.aquaculture.2008.10.024" TargetMode="External"/><Relationship Id="rId21" Type="http://schemas.openxmlformats.org/officeDocument/2006/relationships/hyperlink" Target="https://doi.org/10.1016/j.aquaculture.2008.10.047" TargetMode="External"/><Relationship Id="rId34" Type="http://schemas.openxmlformats.org/officeDocument/2006/relationships/hyperlink" Target="https://doi.org/10.1002/jez.a.181" TargetMode="External"/><Relationship Id="rId42" Type="http://schemas.openxmlformats.org/officeDocument/2006/relationships/hyperlink" Target="https://doi.org/10.56093/ijans.v89i5.90045" TargetMode="External"/><Relationship Id="rId47" Type="http://schemas.openxmlformats.org/officeDocument/2006/relationships/hyperlink" Target="https://doi.org/10.12962/j23373520.v2i2.485" TargetMode="External"/><Relationship Id="rId50" Type="http://schemas.openxmlformats.org/officeDocument/2006/relationships/hyperlink" Target="https://doi.org/10.1590/S0103-84782003000400023" TargetMode="External"/><Relationship Id="rId55" Type="http://schemas.openxmlformats.org/officeDocument/2006/relationships/hyperlink" Target="https://doi.org/10.1016/j.ygcen.2008.12.003"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2.xml"/><Relationship Id="rId29" Type="http://schemas.openxmlformats.org/officeDocument/2006/relationships/hyperlink" Target="https://doi.org/10.1007/s10695-012-9672-9" TargetMode="External"/><Relationship Id="rId11" Type="http://schemas.openxmlformats.org/officeDocument/2006/relationships/image" Target="media/image5.jpeg"/><Relationship Id="rId24" Type="http://schemas.openxmlformats.org/officeDocument/2006/relationships/hyperlink" Target="https://doi.org/10.1016/j.fsirep.2021.100025" TargetMode="External"/><Relationship Id="rId32" Type="http://schemas.openxmlformats.org/officeDocument/2006/relationships/hyperlink" Target="https://doi.org/10.1016/S0044-8486(03)00074-2" TargetMode="External"/><Relationship Id="rId37" Type="http://schemas.openxmlformats.org/officeDocument/2006/relationships/hyperlink" Target="https://doi.org/10.1023/A:1008924418720" TargetMode="External"/><Relationship Id="rId40" Type="http://schemas.openxmlformats.org/officeDocument/2006/relationships/hyperlink" Target="https://pubmed.ncbi.nlm.nih.gov/6066618/" TargetMode="External"/><Relationship Id="rId45" Type="http://schemas.openxmlformats.org/officeDocument/2006/relationships/hyperlink" Target="https://doi.org/10.9734/ajfar/2024/v26i10819" TargetMode="External"/><Relationship Id="rId53" Type="http://schemas.openxmlformats.org/officeDocument/2006/relationships/hyperlink" Target="https://doi.org/10.3390/ijms26062791" TargetMode="External"/><Relationship Id="rId58" Type="http://schemas.openxmlformats.org/officeDocument/2006/relationships/hyperlink" Target="https://doi.org/10.1023/A:1022689805031" TargetMode="External"/><Relationship Id="rId5" Type="http://schemas.openxmlformats.org/officeDocument/2006/relationships/footnotes" Target="footnotes.xml"/><Relationship Id="rId61" Type="http://schemas.openxmlformats.org/officeDocument/2006/relationships/hyperlink" Target="https://doi.org/10.1016/j.cbpb.2021.110705" TargetMode="External"/><Relationship Id="rId19" Type="http://schemas.openxmlformats.org/officeDocument/2006/relationships/chart" Target="charts/chart5.xml"/><Relationship Id="rId14" Type="http://schemas.openxmlformats.org/officeDocument/2006/relationships/image" Target="media/image8.jpeg"/><Relationship Id="rId22" Type="http://schemas.openxmlformats.org/officeDocument/2006/relationships/hyperlink" Target="https://doi.org/10.1046/j.1365-2109.2001.00617.x" TargetMode="External"/><Relationship Id="rId27" Type="http://schemas.openxmlformats.org/officeDocument/2006/relationships/hyperlink" Target="https://doi.org/10.1023/A:1022689805031" TargetMode="External"/><Relationship Id="rId30" Type="http://schemas.openxmlformats.org/officeDocument/2006/relationships/hyperlink" Target="https://doi.org/10.1016/j.aquaculture.2007.11.021" TargetMode="External"/><Relationship Id="rId35" Type="http://schemas.openxmlformats.org/officeDocument/2006/relationships/hyperlink" Target="https://doi.org/10.1242/jeb.037275" TargetMode="External"/><Relationship Id="rId43" Type="http://schemas.openxmlformats.org/officeDocument/2006/relationships/hyperlink" Target="https://doi.org/10.1139/f97-315" TargetMode="External"/><Relationship Id="rId48" Type="http://schemas.openxmlformats.org/officeDocument/2006/relationships/hyperlink" Target="https://doi.org/10.1016/j.jembe.2004.09.017" TargetMode="External"/><Relationship Id="rId56" Type="http://schemas.openxmlformats.org/officeDocument/2006/relationships/hyperlink" Target="https://doi.org/10.1590/S0102-09352007000500031" TargetMode="Externa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doi.org/10.1152/ajpregu.00074.2003"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chart" Target="charts/chart3.xml"/><Relationship Id="rId25" Type="http://schemas.openxmlformats.org/officeDocument/2006/relationships/hyperlink" Target="https://doi.org/10.1016/S1532-0456(01)00268-X" TargetMode="External"/><Relationship Id="rId33" Type="http://schemas.openxmlformats.org/officeDocument/2006/relationships/hyperlink" Target="https://doi.org/10.1016/0003-9861(78)90479-4" TargetMode="External"/><Relationship Id="rId38" Type="http://schemas.openxmlformats.org/officeDocument/2006/relationships/hyperlink" Target="https://doi.org/10.1139/f91-247" TargetMode="External"/><Relationship Id="rId46" Type="http://schemas.openxmlformats.org/officeDocument/2006/relationships/hyperlink" Target="https://doi.org/10.56557/joban/2026/v18i110566" TargetMode="External"/><Relationship Id="rId59" Type="http://schemas.openxmlformats.org/officeDocument/2006/relationships/hyperlink" Target="https://pubs.usgs.gov/publication/2001039" TargetMode="External"/><Relationship Id="rId20" Type="http://schemas.openxmlformats.org/officeDocument/2006/relationships/chart" Target="charts/chart6.xml"/><Relationship Id="rId41" Type="http://schemas.openxmlformats.org/officeDocument/2006/relationships/hyperlink" Target="https://doi.org/10.15578/ma.7.1.2012.44-51" TargetMode="External"/><Relationship Id="rId54" Type="http://schemas.openxmlformats.org/officeDocument/2006/relationships/hyperlink" Target="https://doi.org/10.1172/JCI104075" TargetMode="External"/><Relationship Id="rId62" Type="http://schemas.openxmlformats.org/officeDocument/2006/relationships/hyperlink" Target="https://doi.org/10.1111/are.1260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hyperlink" Target="https://doi.org/10.1007/s10499-004-2479-5" TargetMode="External"/><Relationship Id="rId28" Type="http://schemas.openxmlformats.org/officeDocument/2006/relationships/hyperlink" Target="https://doi.org/10.1111/j.1095-8649.2010.02590.x" TargetMode="External"/><Relationship Id="rId36" Type="http://schemas.openxmlformats.org/officeDocument/2006/relationships/hyperlink" Target="https://doi.org/10.3389/fmars.2025.1559871" TargetMode="External"/><Relationship Id="rId49" Type="http://schemas.openxmlformats.org/officeDocument/2006/relationships/hyperlink" Target="https://doi.org/10.1016/j.physbeh.2005.04.022" TargetMode="External"/><Relationship Id="rId57" Type="http://schemas.openxmlformats.org/officeDocument/2006/relationships/hyperlink" Target="https://doi.org/10.1016/j.cbpc.2008.04.009" TargetMode="External"/><Relationship Id="rId10" Type="http://schemas.openxmlformats.org/officeDocument/2006/relationships/image" Target="media/image4.png"/><Relationship Id="rId31" Type="http://schemas.openxmlformats.org/officeDocument/2006/relationships/hyperlink" Target="https://doi.org/10.1139/z89-294" TargetMode="External"/><Relationship Id="rId44" Type="http://schemas.openxmlformats.org/officeDocument/2006/relationships/hyperlink" Target="https://doi.org/10.1590/S1679-62252008000400011" TargetMode="External"/><Relationship Id="rId52" Type="http://schemas.openxmlformats.org/officeDocument/2006/relationships/hyperlink" Target="https://doi.org/10.1590/0103-8478cr20131298" TargetMode="External"/><Relationship Id="rId60" Type="http://schemas.openxmlformats.org/officeDocument/2006/relationships/hyperlink" Target="https://doi.org/10.1577/A07-045.1" TargetMode="External"/><Relationship Id="rId4" Type="http://schemas.openxmlformats.org/officeDocument/2006/relationships/webSettings" Target="web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latin typeface="Times New Roman" panose="02020603050405020304" pitchFamily="18" charset="0"/>
                <a:cs typeface="Times New Roman" panose="02020603050405020304" pitchFamily="18" charset="0"/>
              </a:rPr>
              <a:t>Cortisol(ng/ml)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Sheet1!$T$123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Sheet1!$U$123:$X$123</c:f>
              <c:numCache>
                <c:formatCode>General</c:formatCode>
                <c:ptCount val="4"/>
                <c:pt idx="0">
                  <c:v>40.5</c:v>
                </c:pt>
                <c:pt idx="1">
                  <c:v>56.45</c:v>
                </c:pt>
                <c:pt idx="2">
                  <c:v>65.760000000000005</c:v>
                </c:pt>
                <c:pt idx="3">
                  <c:v>72.73</c:v>
                </c:pt>
              </c:numCache>
            </c:numRef>
          </c:val>
          <c:extLst>
            <c:ext xmlns:c16="http://schemas.microsoft.com/office/drawing/2014/chart" uri="{C3380CC4-5D6E-409C-BE32-E72D297353CC}">
              <c16:uniqueId val="{00000000-8225-4B29-851A-C39C1BAC9710}"/>
            </c:ext>
          </c:extLst>
        </c:ser>
        <c:ser>
          <c:idx val="1"/>
          <c:order val="1"/>
          <c:tx>
            <c:strRef>
              <c:f>Sheet1!$T$124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Sheet1!$U$124:$X$124</c:f>
              <c:numCache>
                <c:formatCode>General</c:formatCode>
                <c:ptCount val="4"/>
                <c:pt idx="0">
                  <c:v>41.7</c:v>
                </c:pt>
                <c:pt idx="1">
                  <c:v>54.76</c:v>
                </c:pt>
                <c:pt idx="2">
                  <c:v>61.32</c:v>
                </c:pt>
                <c:pt idx="3">
                  <c:v>73.67</c:v>
                </c:pt>
              </c:numCache>
            </c:numRef>
          </c:val>
          <c:extLst>
            <c:ext xmlns:c16="http://schemas.microsoft.com/office/drawing/2014/chart" uri="{C3380CC4-5D6E-409C-BE32-E72D297353CC}">
              <c16:uniqueId val="{00000001-8225-4B29-851A-C39C1BAC9710}"/>
            </c:ext>
          </c:extLst>
        </c:ser>
        <c:ser>
          <c:idx val="2"/>
          <c:order val="2"/>
          <c:tx>
            <c:strRef>
              <c:f>Sheet1!$T$125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Sheet1!$U$125:$X$125</c:f>
              <c:numCache>
                <c:formatCode>General</c:formatCode>
                <c:ptCount val="4"/>
                <c:pt idx="0">
                  <c:v>43.76</c:v>
                </c:pt>
                <c:pt idx="1">
                  <c:v>55.87</c:v>
                </c:pt>
                <c:pt idx="2">
                  <c:v>63.21</c:v>
                </c:pt>
                <c:pt idx="3">
                  <c:v>73.459999999999994</c:v>
                </c:pt>
              </c:numCache>
            </c:numRef>
          </c:val>
          <c:extLst>
            <c:ext xmlns:c16="http://schemas.microsoft.com/office/drawing/2014/chart" uri="{C3380CC4-5D6E-409C-BE32-E72D297353CC}">
              <c16:uniqueId val="{00000002-8225-4B29-851A-C39C1BAC9710}"/>
            </c:ext>
          </c:extLst>
        </c:ser>
        <c:dLbls>
          <c:showLegendKey val="0"/>
          <c:showVal val="0"/>
          <c:showCatName val="0"/>
          <c:showSerName val="0"/>
          <c:showPercent val="0"/>
          <c:showBubbleSize val="0"/>
        </c:dLbls>
        <c:gapWidth val="115"/>
        <c:overlap val="-20"/>
        <c:axId val="144137903"/>
        <c:axId val="144138863"/>
      </c:barChart>
      <c:catAx>
        <c:axId val="144137903"/>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 group</a:t>
                </a:r>
              </a:p>
            </c:rich>
          </c:tx>
          <c:layout>
            <c:manualLayout>
              <c:xMode val="edge"/>
              <c:yMode val="edge"/>
              <c:x val="3.0555555555555555E-2"/>
              <c:y val="0.316774569845436"/>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8863"/>
        <c:crosses val="autoZero"/>
        <c:auto val="1"/>
        <c:lblAlgn val="ctr"/>
        <c:lblOffset val="100"/>
        <c:noMultiLvlLbl val="0"/>
      </c:catAx>
      <c:valAx>
        <c:axId val="144138863"/>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7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Plasma</a:t>
            </a:r>
            <a:r>
              <a:rPr lang="en-IN" sz="1400" baseline="0">
                <a:latin typeface="Times New Roman" panose="02020603050405020304" pitchFamily="18" charset="0"/>
                <a:cs typeface="Times New Roman" panose="02020603050405020304" pitchFamily="18" charset="0"/>
              </a:rPr>
              <a:t> glucose(mg/dL)</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Sheet1!$Z$123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Sheet1!$AA$123:$AD$123</c:f>
              <c:numCache>
                <c:formatCode>General</c:formatCode>
                <c:ptCount val="4"/>
                <c:pt idx="0">
                  <c:v>55.7</c:v>
                </c:pt>
                <c:pt idx="1">
                  <c:v>74.5</c:v>
                </c:pt>
                <c:pt idx="2">
                  <c:v>86.8</c:v>
                </c:pt>
                <c:pt idx="3">
                  <c:v>91.1</c:v>
                </c:pt>
              </c:numCache>
            </c:numRef>
          </c:val>
          <c:extLst>
            <c:ext xmlns:c16="http://schemas.microsoft.com/office/drawing/2014/chart" uri="{C3380CC4-5D6E-409C-BE32-E72D297353CC}">
              <c16:uniqueId val="{00000000-157C-4C95-A787-5E4EACF62532}"/>
            </c:ext>
          </c:extLst>
        </c:ser>
        <c:ser>
          <c:idx val="1"/>
          <c:order val="1"/>
          <c:tx>
            <c:strRef>
              <c:f>Sheet1!$Z$124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Sheet1!$AA$124:$AD$124</c:f>
              <c:numCache>
                <c:formatCode>General</c:formatCode>
                <c:ptCount val="4"/>
                <c:pt idx="0">
                  <c:v>60.1</c:v>
                </c:pt>
                <c:pt idx="1">
                  <c:v>74.5</c:v>
                </c:pt>
                <c:pt idx="2">
                  <c:v>86.5</c:v>
                </c:pt>
                <c:pt idx="3">
                  <c:v>92.7</c:v>
                </c:pt>
              </c:numCache>
            </c:numRef>
          </c:val>
          <c:extLst>
            <c:ext xmlns:c16="http://schemas.microsoft.com/office/drawing/2014/chart" uri="{C3380CC4-5D6E-409C-BE32-E72D297353CC}">
              <c16:uniqueId val="{00000001-157C-4C95-A787-5E4EACF62532}"/>
            </c:ext>
          </c:extLst>
        </c:ser>
        <c:ser>
          <c:idx val="2"/>
          <c:order val="2"/>
          <c:tx>
            <c:strRef>
              <c:f>Sheet1!$Z$125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Sheet1!$AA$125:$AD$125</c:f>
              <c:numCache>
                <c:formatCode>General</c:formatCode>
                <c:ptCount val="4"/>
                <c:pt idx="0">
                  <c:v>57.9</c:v>
                </c:pt>
                <c:pt idx="1">
                  <c:v>73.7</c:v>
                </c:pt>
                <c:pt idx="2">
                  <c:v>87.6</c:v>
                </c:pt>
                <c:pt idx="3">
                  <c:v>93.9</c:v>
                </c:pt>
              </c:numCache>
            </c:numRef>
          </c:val>
          <c:extLst>
            <c:ext xmlns:c16="http://schemas.microsoft.com/office/drawing/2014/chart" uri="{C3380CC4-5D6E-409C-BE32-E72D297353CC}">
              <c16:uniqueId val="{00000002-157C-4C95-A787-5E4EACF62532}"/>
            </c:ext>
          </c:extLst>
        </c:ser>
        <c:dLbls>
          <c:showLegendKey val="0"/>
          <c:showVal val="0"/>
          <c:showCatName val="0"/>
          <c:showSerName val="0"/>
          <c:showPercent val="0"/>
          <c:showBubbleSize val="0"/>
        </c:dLbls>
        <c:gapWidth val="115"/>
        <c:overlap val="-20"/>
        <c:axId val="330998191"/>
        <c:axId val="330998671"/>
      </c:barChart>
      <c:catAx>
        <c:axId val="330998191"/>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671"/>
        <c:crosses val="autoZero"/>
        <c:auto val="1"/>
        <c:lblAlgn val="ctr"/>
        <c:lblOffset val="100"/>
        <c:noMultiLvlLbl val="0"/>
      </c:catAx>
      <c:valAx>
        <c:axId val="330998671"/>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Hematocrit</a:t>
            </a:r>
            <a:r>
              <a:rPr lang="en-IN" sz="1400" baseline="0">
                <a:latin typeface="Times New Roman" panose="02020603050405020304" pitchFamily="18" charset="0"/>
                <a:cs typeface="Times New Roman" panose="02020603050405020304" pitchFamily="18" charset="0"/>
              </a:rPr>
              <a:t> value(%)</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Sheet1!$AF$115</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Sheet1!$AG$115:$AJ$115</c:f>
              <c:numCache>
                <c:formatCode>General</c:formatCode>
                <c:ptCount val="4"/>
                <c:pt idx="0">
                  <c:v>42.2</c:v>
                </c:pt>
                <c:pt idx="1">
                  <c:v>35.4</c:v>
                </c:pt>
                <c:pt idx="2">
                  <c:v>30.43</c:v>
                </c:pt>
                <c:pt idx="3">
                  <c:v>29.56</c:v>
                </c:pt>
              </c:numCache>
            </c:numRef>
          </c:val>
          <c:extLst>
            <c:ext xmlns:c16="http://schemas.microsoft.com/office/drawing/2014/chart" uri="{C3380CC4-5D6E-409C-BE32-E72D297353CC}">
              <c16:uniqueId val="{00000000-778B-42F0-9F05-6956326AACBC}"/>
            </c:ext>
          </c:extLst>
        </c:ser>
        <c:ser>
          <c:idx val="1"/>
          <c:order val="1"/>
          <c:tx>
            <c:strRef>
              <c:f>Sheet1!$AF$116</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Sheet1!$AG$116:$AJ$116</c:f>
              <c:numCache>
                <c:formatCode>General</c:formatCode>
                <c:ptCount val="4"/>
                <c:pt idx="0">
                  <c:v>40.4</c:v>
                </c:pt>
                <c:pt idx="1">
                  <c:v>35.299999999999997</c:v>
                </c:pt>
                <c:pt idx="2">
                  <c:v>29.5</c:v>
                </c:pt>
                <c:pt idx="3">
                  <c:v>28.56</c:v>
                </c:pt>
              </c:numCache>
            </c:numRef>
          </c:val>
          <c:extLst>
            <c:ext xmlns:c16="http://schemas.microsoft.com/office/drawing/2014/chart" uri="{C3380CC4-5D6E-409C-BE32-E72D297353CC}">
              <c16:uniqueId val="{00000001-778B-42F0-9F05-6956326AACBC}"/>
            </c:ext>
          </c:extLst>
        </c:ser>
        <c:ser>
          <c:idx val="2"/>
          <c:order val="2"/>
          <c:tx>
            <c:strRef>
              <c:f>Sheet1!$AF$117</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Sheet1!$AG$117:$AJ$117</c:f>
              <c:numCache>
                <c:formatCode>General</c:formatCode>
                <c:ptCount val="4"/>
                <c:pt idx="0">
                  <c:v>42.5</c:v>
                </c:pt>
                <c:pt idx="1">
                  <c:v>34.200000000000003</c:v>
                </c:pt>
                <c:pt idx="2">
                  <c:v>31.34</c:v>
                </c:pt>
                <c:pt idx="3">
                  <c:v>28.23</c:v>
                </c:pt>
              </c:numCache>
            </c:numRef>
          </c:val>
          <c:extLst>
            <c:ext xmlns:c16="http://schemas.microsoft.com/office/drawing/2014/chart" uri="{C3380CC4-5D6E-409C-BE32-E72D297353CC}">
              <c16:uniqueId val="{00000002-778B-42F0-9F05-6956326AACBC}"/>
            </c:ext>
          </c:extLst>
        </c:ser>
        <c:dLbls>
          <c:showLegendKey val="0"/>
          <c:showVal val="0"/>
          <c:showCatName val="0"/>
          <c:showSerName val="0"/>
          <c:showPercent val="0"/>
          <c:showBubbleSize val="0"/>
        </c:dLbls>
        <c:gapWidth val="115"/>
        <c:overlap val="-20"/>
        <c:axId val="103798719"/>
        <c:axId val="103799679"/>
      </c:barChart>
      <c:catAx>
        <c:axId val="103798719"/>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9679"/>
        <c:crosses val="autoZero"/>
        <c:auto val="1"/>
        <c:lblAlgn val="ctr"/>
        <c:lblOffset val="100"/>
        <c:noMultiLvlLbl val="0"/>
      </c:catAx>
      <c:valAx>
        <c:axId val="103799679"/>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Catalase</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Sheet1!$Z$115</c:f>
              <c:strCache>
                <c:ptCount val="1"/>
                <c:pt idx="0">
                  <c:v>DAY 10</c:v>
                </c:pt>
              </c:strCache>
            </c:strRef>
          </c:tx>
          <c:spPr>
            <a:solidFill>
              <a:schemeClr val="accent1"/>
            </a:solidFill>
            <a:ln>
              <a:noFill/>
            </a:ln>
            <a:effectLst/>
          </c:spPr>
          <c:invertIfNegative val="0"/>
          <c:cat>
            <c:strRef>
              <c:f>Sheet1!$AA$114:$AD$114</c:f>
              <c:strCache>
                <c:ptCount val="4"/>
                <c:pt idx="0">
                  <c:v>C1</c:v>
                </c:pt>
                <c:pt idx="1">
                  <c:v>T1</c:v>
                </c:pt>
                <c:pt idx="2">
                  <c:v>T2</c:v>
                </c:pt>
                <c:pt idx="3">
                  <c:v>T3</c:v>
                </c:pt>
              </c:strCache>
            </c:strRef>
          </c:cat>
          <c:val>
            <c:numRef>
              <c:f>Sheet1!$AA$115:$AD$115</c:f>
              <c:numCache>
                <c:formatCode>General</c:formatCode>
                <c:ptCount val="4"/>
                <c:pt idx="0">
                  <c:v>0.59</c:v>
                </c:pt>
                <c:pt idx="1">
                  <c:v>0.61099999999999999</c:v>
                </c:pt>
                <c:pt idx="2">
                  <c:v>0.64</c:v>
                </c:pt>
                <c:pt idx="3">
                  <c:v>0.70299999999999996</c:v>
                </c:pt>
              </c:numCache>
            </c:numRef>
          </c:val>
          <c:extLst>
            <c:ext xmlns:c16="http://schemas.microsoft.com/office/drawing/2014/chart" uri="{C3380CC4-5D6E-409C-BE32-E72D297353CC}">
              <c16:uniqueId val="{00000000-8093-42D1-A065-3E3265CDCB96}"/>
            </c:ext>
          </c:extLst>
        </c:ser>
        <c:ser>
          <c:idx val="1"/>
          <c:order val="1"/>
          <c:tx>
            <c:strRef>
              <c:f>Sheet1!$Z$116</c:f>
              <c:strCache>
                <c:ptCount val="1"/>
                <c:pt idx="0">
                  <c:v>DAY 30</c:v>
                </c:pt>
              </c:strCache>
            </c:strRef>
          </c:tx>
          <c:spPr>
            <a:solidFill>
              <a:schemeClr val="accent2"/>
            </a:solidFill>
            <a:ln>
              <a:noFill/>
            </a:ln>
            <a:effectLst/>
          </c:spPr>
          <c:invertIfNegative val="0"/>
          <c:cat>
            <c:strRef>
              <c:f>Sheet1!$AA$114:$AD$114</c:f>
              <c:strCache>
                <c:ptCount val="4"/>
                <c:pt idx="0">
                  <c:v>C1</c:v>
                </c:pt>
                <c:pt idx="1">
                  <c:v>T1</c:v>
                </c:pt>
                <c:pt idx="2">
                  <c:v>T2</c:v>
                </c:pt>
                <c:pt idx="3">
                  <c:v>T3</c:v>
                </c:pt>
              </c:strCache>
            </c:strRef>
          </c:cat>
          <c:val>
            <c:numRef>
              <c:f>Sheet1!$AA$116:$AD$116</c:f>
              <c:numCache>
                <c:formatCode>General</c:formatCode>
                <c:ptCount val="4"/>
                <c:pt idx="0">
                  <c:v>0.53</c:v>
                </c:pt>
                <c:pt idx="1">
                  <c:v>0.63300000000000001</c:v>
                </c:pt>
                <c:pt idx="2">
                  <c:v>0.67300000000000004</c:v>
                </c:pt>
                <c:pt idx="3">
                  <c:v>0.71099999999999997</c:v>
                </c:pt>
              </c:numCache>
            </c:numRef>
          </c:val>
          <c:extLst>
            <c:ext xmlns:c16="http://schemas.microsoft.com/office/drawing/2014/chart" uri="{C3380CC4-5D6E-409C-BE32-E72D297353CC}">
              <c16:uniqueId val="{00000001-8093-42D1-A065-3E3265CDCB96}"/>
            </c:ext>
          </c:extLst>
        </c:ser>
        <c:ser>
          <c:idx val="2"/>
          <c:order val="2"/>
          <c:tx>
            <c:strRef>
              <c:f>Sheet1!$Z$117</c:f>
              <c:strCache>
                <c:ptCount val="1"/>
                <c:pt idx="0">
                  <c:v>DAY 60</c:v>
                </c:pt>
              </c:strCache>
            </c:strRef>
          </c:tx>
          <c:spPr>
            <a:solidFill>
              <a:schemeClr val="accent3"/>
            </a:solidFill>
            <a:ln>
              <a:noFill/>
            </a:ln>
            <a:effectLst/>
          </c:spPr>
          <c:invertIfNegative val="0"/>
          <c:cat>
            <c:strRef>
              <c:f>Sheet1!$AA$114:$AD$114</c:f>
              <c:strCache>
                <c:ptCount val="4"/>
                <c:pt idx="0">
                  <c:v>C1</c:v>
                </c:pt>
                <c:pt idx="1">
                  <c:v>T1</c:v>
                </c:pt>
                <c:pt idx="2">
                  <c:v>T2</c:v>
                </c:pt>
                <c:pt idx="3">
                  <c:v>T3</c:v>
                </c:pt>
              </c:strCache>
            </c:strRef>
          </c:cat>
          <c:val>
            <c:numRef>
              <c:f>Sheet1!$AA$117:$AD$117</c:f>
              <c:numCache>
                <c:formatCode>General</c:formatCode>
                <c:ptCount val="4"/>
                <c:pt idx="0">
                  <c:v>0.49</c:v>
                </c:pt>
                <c:pt idx="1">
                  <c:v>0.621</c:v>
                </c:pt>
                <c:pt idx="2">
                  <c:v>0.69399999999999995</c:v>
                </c:pt>
                <c:pt idx="3">
                  <c:v>0.72799999999999998</c:v>
                </c:pt>
              </c:numCache>
            </c:numRef>
          </c:val>
          <c:extLst>
            <c:ext xmlns:c16="http://schemas.microsoft.com/office/drawing/2014/chart" uri="{C3380CC4-5D6E-409C-BE32-E72D297353CC}">
              <c16:uniqueId val="{00000002-8093-42D1-A065-3E3265CDCB96}"/>
            </c:ext>
          </c:extLst>
        </c:ser>
        <c:dLbls>
          <c:showLegendKey val="0"/>
          <c:showVal val="0"/>
          <c:showCatName val="0"/>
          <c:showSerName val="0"/>
          <c:showPercent val="0"/>
          <c:showBubbleSize val="0"/>
        </c:dLbls>
        <c:gapWidth val="182"/>
        <c:axId val="1586704352"/>
        <c:axId val="1588040928"/>
      </c:barChart>
      <c:catAx>
        <c:axId val="158670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040928"/>
        <c:crosses val="autoZero"/>
        <c:auto val="1"/>
        <c:lblAlgn val="ctr"/>
        <c:lblOffset val="100"/>
        <c:noMultiLvlLbl val="0"/>
      </c:catAx>
      <c:valAx>
        <c:axId val="158804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7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SOD</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Sheet1!$T$108</c:f>
              <c:strCache>
                <c:ptCount val="1"/>
                <c:pt idx="0">
                  <c:v>DAY 10</c:v>
                </c:pt>
              </c:strCache>
            </c:strRef>
          </c:tx>
          <c:spPr>
            <a:solidFill>
              <a:schemeClr val="accent1"/>
            </a:solidFill>
            <a:ln>
              <a:noFill/>
            </a:ln>
            <a:effectLst/>
          </c:spPr>
          <c:invertIfNegative val="0"/>
          <c:cat>
            <c:strRef>
              <c:f>Sheet1!$U$107:$X$107</c:f>
              <c:strCache>
                <c:ptCount val="4"/>
                <c:pt idx="0">
                  <c:v>C1</c:v>
                </c:pt>
                <c:pt idx="1">
                  <c:v>T1</c:v>
                </c:pt>
                <c:pt idx="2">
                  <c:v>T2</c:v>
                </c:pt>
                <c:pt idx="3">
                  <c:v>T3</c:v>
                </c:pt>
              </c:strCache>
            </c:strRef>
          </c:cat>
          <c:val>
            <c:numRef>
              <c:f>Sheet1!$U$108:$X$108</c:f>
              <c:numCache>
                <c:formatCode>General</c:formatCode>
                <c:ptCount val="4"/>
                <c:pt idx="0">
                  <c:v>0.20499999999999999</c:v>
                </c:pt>
                <c:pt idx="1">
                  <c:v>0.255</c:v>
                </c:pt>
                <c:pt idx="2">
                  <c:v>0.308</c:v>
                </c:pt>
                <c:pt idx="3">
                  <c:v>0.39300000000000002</c:v>
                </c:pt>
              </c:numCache>
            </c:numRef>
          </c:val>
          <c:extLst>
            <c:ext xmlns:c16="http://schemas.microsoft.com/office/drawing/2014/chart" uri="{C3380CC4-5D6E-409C-BE32-E72D297353CC}">
              <c16:uniqueId val="{00000000-C1C3-4E6A-AD9F-00D1A3A63196}"/>
            </c:ext>
          </c:extLst>
        </c:ser>
        <c:ser>
          <c:idx val="1"/>
          <c:order val="1"/>
          <c:tx>
            <c:strRef>
              <c:f>Sheet1!$T$109</c:f>
              <c:strCache>
                <c:ptCount val="1"/>
                <c:pt idx="0">
                  <c:v>DAY 30</c:v>
                </c:pt>
              </c:strCache>
            </c:strRef>
          </c:tx>
          <c:spPr>
            <a:solidFill>
              <a:schemeClr val="accent2"/>
            </a:solidFill>
            <a:ln>
              <a:noFill/>
            </a:ln>
            <a:effectLst/>
          </c:spPr>
          <c:invertIfNegative val="0"/>
          <c:cat>
            <c:strRef>
              <c:f>Sheet1!$U$107:$X$107</c:f>
              <c:strCache>
                <c:ptCount val="4"/>
                <c:pt idx="0">
                  <c:v>C1</c:v>
                </c:pt>
                <c:pt idx="1">
                  <c:v>T1</c:v>
                </c:pt>
                <c:pt idx="2">
                  <c:v>T2</c:v>
                </c:pt>
                <c:pt idx="3">
                  <c:v>T3</c:v>
                </c:pt>
              </c:strCache>
            </c:strRef>
          </c:cat>
          <c:val>
            <c:numRef>
              <c:f>Sheet1!$U$109:$X$109</c:f>
              <c:numCache>
                <c:formatCode>General</c:formatCode>
                <c:ptCount val="4"/>
                <c:pt idx="0">
                  <c:v>0.21</c:v>
                </c:pt>
                <c:pt idx="1">
                  <c:v>0.24099999999999999</c:v>
                </c:pt>
                <c:pt idx="2">
                  <c:v>0.31</c:v>
                </c:pt>
                <c:pt idx="3">
                  <c:v>0.38900000000000001</c:v>
                </c:pt>
              </c:numCache>
            </c:numRef>
          </c:val>
          <c:extLst>
            <c:ext xmlns:c16="http://schemas.microsoft.com/office/drawing/2014/chart" uri="{C3380CC4-5D6E-409C-BE32-E72D297353CC}">
              <c16:uniqueId val="{00000001-C1C3-4E6A-AD9F-00D1A3A63196}"/>
            </c:ext>
          </c:extLst>
        </c:ser>
        <c:ser>
          <c:idx val="2"/>
          <c:order val="2"/>
          <c:tx>
            <c:strRef>
              <c:f>Sheet1!$T$110</c:f>
              <c:strCache>
                <c:ptCount val="1"/>
                <c:pt idx="0">
                  <c:v>DAY 60</c:v>
                </c:pt>
              </c:strCache>
            </c:strRef>
          </c:tx>
          <c:spPr>
            <a:solidFill>
              <a:schemeClr val="accent3"/>
            </a:solidFill>
            <a:ln>
              <a:noFill/>
            </a:ln>
            <a:effectLst/>
          </c:spPr>
          <c:invertIfNegative val="0"/>
          <c:cat>
            <c:strRef>
              <c:f>Sheet1!$U$107:$X$107</c:f>
              <c:strCache>
                <c:ptCount val="4"/>
                <c:pt idx="0">
                  <c:v>C1</c:v>
                </c:pt>
                <c:pt idx="1">
                  <c:v>T1</c:v>
                </c:pt>
                <c:pt idx="2">
                  <c:v>T2</c:v>
                </c:pt>
                <c:pt idx="3">
                  <c:v>T3</c:v>
                </c:pt>
              </c:strCache>
            </c:strRef>
          </c:cat>
          <c:val>
            <c:numRef>
              <c:f>Sheet1!$U$110:$X$110</c:f>
              <c:numCache>
                <c:formatCode>General</c:formatCode>
                <c:ptCount val="4"/>
                <c:pt idx="0">
                  <c:v>0.20300000000000001</c:v>
                </c:pt>
                <c:pt idx="1">
                  <c:v>0.253</c:v>
                </c:pt>
                <c:pt idx="2">
                  <c:v>0.30499999999999999</c:v>
                </c:pt>
                <c:pt idx="3">
                  <c:v>0.39100000000000001</c:v>
                </c:pt>
              </c:numCache>
            </c:numRef>
          </c:val>
          <c:extLst>
            <c:ext xmlns:c16="http://schemas.microsoft.com/office/drawing/2014/chart" uri="{C3380CC4-5D6E-409C-BE32-E72D297353CC}">
              <c16:uniqueId val="{00000002-C1C3-4E6A-AD9F-00D1A3A63196}"/>
            </c:ext>
          </c:extLst>
        </c:ser>
        <c:dLbls>
          <c:showLegendKey val="0"/>
          <c:showVal val="0"/>
          <c:showCatName val="0"/>
          <c:showSerName val="0"/>
          <c:showPercent val="0"/>
          <c:showBubbleSize val="0"/>
        </c:dLbls>
        <c:gapWidth val="182"/>
        <c:axId val="1583245808"/>
        <c:axId val="1583246288"/>
      </c:barChart>
      <c:catAx>
        <c:axId val="158324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6288"/>
        <c:crosses val="autoZero"/>
        <c:auto val="1"/>
        <c:lblAlgn val="ctr"/>
        <c:lblOffset val="100"/>
        <c:noMultiLvlLbl val="0"/>
      </c:catAx>
      <c:valAx>
        <c:axId val="158324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GPx</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Sheet1!$T$115</c:f>
              <c:strCache>
                <c:ptCount val="1"/>
                <c:pt idx="0">
                  <c:v>DAY 10</c:v>
                </c:pt>
              </c:strCache>
            </c:strRef>
          </c:tx>
          <c:spPr>
            <a:solidFill>
              <a:schemeClr val="accent1"/>
            </a:solidFill>
            <a:ln>
              <a:noFill/>
            </a:ln>
            <a:effectLst/>
          </c:spPr>
          <c:invertIfNegative val="0"/>
          <c:cat>
            <c:strRef>
              <c:f>Sheet1!$U$114:$X$114</c:f>
              <c:strCache>
                <c:ptCount val="4"/>
                <c:pt idx="0">
                  <c:v>C1</c:v>
                </c:pt>
                <c:pt idx="1">
                  <c:v>T1</c:v>
                </c:pt>
                <c:pt idx="2">
                  <c:v>T2</c:v>
                </c:pt>
                <c:pt idx="3">
                  <c:v>T3</c:v>
                </c:pt>
              </c:strCache>
            </c:strRef>
          </c:cat>
          <c:val>
            <c:numRef>
              <c:f>Sheet1!$U$115:$X$115</c:f>
              <c:numCache>
                <c:formatCode>General</c:formatCode>
                <c:ptCount val="4"/>
                <c:pt idx="0">
                  <c:v>0.126</c:v>
                </c:pt>
                <c:pt idx="1">
                  <c:v>0.14699999999999999</c:v>
                </c:pt>
                <c:pt idx="2">
                  <c:v>0.193</c:v>
                </c:pt>
                <c:pt idx="3">
                  <c:v>0.26400000000000001</c:v>
                </c:pt>
              </c:numCache>
            </c:numRef>
          </c:val>
          <c:extLst>
            <c:ext xmlns:c16="http://schemas.microsoft.com/office/drawing/2014/chart" uri="{C3380CC4-5D6E-409C-BE32-E72D297353CC}">
              <c16:uniqueId val="{00000000-F578-4A99-ADFA-AC7ABF2A1561}"/>
            </c:ext>
          </c:extLst>
        </c:ser>
        <c:ser>
          <c:idx val="1"/>
          <c:order val="1"/>
          <c:tx>
            <c:strRef>
              <c:f>Sheet1!$T$116</c:f>
              <c:strCache>
                <c:ptCount val="1"/>
                <c:pt idx="0">
                  <c:v>DAY 30</c:v>
                </c:pt>
              </c:strCache>
            </c:strRef>
          </c:tx>
          <c:spPr>
            <a:solidFill>
              <a:schemeClr val="accent2"/>
            </a:solidFill>
            <a:ln>
              <a:noFill/>
            </a:ln>
            <a:effectLst/>
          </c:spPr>
          <c:invertIfNegative val="0"/>
          <c:cat>
            <c:strRef>
              <c:f>Sheet1!$U$114:$X$114</c:f>
              <c:strCache>
                <c:ptCount val="4"/>
                <c:pt idx="0">
                  <c:v>C1</c:v>
                </c:pt>
                <c:pt idx="1">
                  <c:v>T1</c:v>
                </c:pt>
                <c:pt idx="2">
                  <c:v>T2</c:v>
                </c:pt>
                <c:pt idx="3">
                  <c:v>T3</c:v>
                </c:pt>
              </c:strCache>
            </c:strRef>
          </c:cat>
          <c:val>
            <c:numRef>
              <c:f>Sheet1!$U$116:$X$116</c:f>
              <c:numCache>
                <c:formatCode>General</c:formatCode>
                <c:ptCount val="4"/>
                <c:pt idx="0">
                  <c:v>0.11700000000000001</c:v>
                </c:pt>
                <c:pt idx="1">
                  <c:v>0.151</c:v>
                </c:pt>
                <c:pt idx="2">
                  <c:v>0.189</c:v>
                </c:pt>
                <c:pt idx="3">
                  <c:v>0.19900000000000001</c:v>
                </c:pt>
              </c:numCache>
            </c:numRef>
          </c:val>
          <c:extLst>
            <c:ext xmlns:c16="http://schemas.microsoft.com/office/drawing/2014/chart" uri="{C3380CC4-5D6E-409C-BE32-E72D297353CC}">
              <c16:uniqueId val="{00000001-F578-4A99-ADFA-AC7ABF2A1561}"/>
            </c:ext>
          </c:extLst>
        </c:ser>
        <c:ser>
          <c:idx val="2"/>
          <c:order val="2"/>
          <c:tx>
            <c:strRef>
              <c:f>Sheet1!$T$117</c:f>
              <c:strCache>
                <c:ptCount val="1"/>
                <c:pt idx="0">
                  <c:v>DAY 60</c:v>
                </c:pt>
              </c:strCache>
            </c:strRef>
          </c:tx>
          <c:spPr>
            <a:solidFill>
              <a:schemeClr val="accent3"/>
            </a:solidFill>
            <a:ln>
              <a:noFill/>
            </a:ln>
            <a:effectLst/>
          </c:spPr>
          <c:invertIfNegative val="0"/>
          <c:cat>
            <c:strRef>
              <c:f>Sheet1!$U$114:$X$114</c:f>
              <c:strCache>
                <c:ptCount val="4"/>
                <c:pt idx="0">
                  <c:v>C1</c:v>
                </c:pt>
                <c:pt idx="1">
                  <c:v>T1</c:v>
                </c:pt>
                <c:pt idx="2">
                  <c:v>T2</c:v>
                </c:pt>
                <c:pt idx="3">
                  <c:v>T3</c:v>
                </c:pt>
              </c:strCache>
            </c:strRef>
          </c:cat>
          <c:val>
            <c:numRef>
              <c:f>Sheet1!$U$117:$X$117</c:f>
              <c:numCache>
                <c:formatCode>General</c:formatCode>
                <c:ptCount val="4"/>
                <c:pt idx="0">
                  <c:v>0.10299999999999999</c:v>
                </c:pt>
                <c:pt idx="1">
                  <c:v>0.16200000000000001</c:v>
                </c:pt>
                <c:pt idx="2">
                  <c:v>0.192</c:v>
                </c:pt>
                <c:pt idx="3">
                  <c:v>0.21099999999999999</c:v>
                </c:pt>
              </c:numCache>
            </c:numRef>
          </c:val>
          <c:extLst>
            <c:ext xmlns:c16="http://schemas.microsoft.com/office/drawing/2014/chart" uri="{C3380CC4-5D6E-409C-BE32-E72D297353CC}">
              <c16:uniqueId val="{00000002-F578-4A99-ADFA-AC7ABF2A1561}"/>
            </c:ext>
          </c:extLst>
        </c:ser>
        <c:dLbls>
          <c:showLegendKey val="0"/>
          <c:showVal val="0"/>
          <c:showCatName val="0"/>
          <c:showSerName val="0"/>
          <c:showPercent val="0"/>
          <c:showBubbleSize val="0"/>
        </c:dLbls>
        <c:gapWidth val="182"/>
        <c:axId val="1345573824"/>
        <c:axId val="1345560864"/>
      </c:barChart>
      <c:catAx>
        <c:axId val="1345573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60864"/>
        <c:crosses val="autoZero"/>
        <c:auto val="1"/>
        <c:lblAlgn val="ctr"/>
        <c:lblOffset val="100"/>
        <c:noMultiLvlLbl val="0"/>
      </c:catAx>
      <c:valAx>
        <c:axId val="1345560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7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24</Pages>
  <Words>9484</Words>
  <Characters>54062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Rumandla Bhargavi</dc:creator>
  <cp:keywords/>
  <dc:description/>
  <cp:lastModifiedBy>Editor-90</cp:lastModifiedBy>
  <cp:revision>14</cp:revision>
  <cp:lastPrinted>2026-07-16T05:56:00Z</cp:lastPrinted>
  <dcterms:created xsi:type="dcterms:W3CDTF">2026-07-16T06:44:00Z</dcterms:created>
  <dcterms:modified xsi:type="dcterms:W3CDTF">2026-07-21T12:44:00Z</dcterms:modified>
</cp:coreProperties>
</file>