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A416" w14:textId="77777777" w:rsidR="007E1DD0" w:rsidRDefault="007E1DD0" w:rsidP="007E1DD0">
      <w:pPr>
        <w:tabs>
          <w:tab w:val="left" w:pos="2895"/>
        </w:tabs>
        <w:spacing w:line="360" w:lineRule="auto"/>
        <w:jc w:val="center"/>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b/>
          <w:bCs/>
          <w:i/>
          <w:iCs/>
          <w:color w:val="000000" w:themeColor="text1"/>
          <w:sz w:val="24"/>
          <w:szCs w:val="24"/>
        </w:rPr>
        <w:t>Trachinotus blochii</w:t>
      </w:r>
      <w:r w:rsidRPr="00E301E4">
        <w:rPr>
          <w:rFonts w:ascii="Times New Roman" w:hAnsi="Times New Roman" w:cs="Times New Roman"/>
          <w:b/>
          <w:bCs/>
          <w:color w:val="000000" w:themeColor="text1"/>
          <w:sz w:val="24"/>
          <w:szCs w:val="24"/>
        </w:rPr>
        <w:t>) Under Varying Salinities</w:t>
      </w:r>
    </w:p>
    <w:p w14:paraId="0516F879" w14:textId="77777777" w:rsidR="00245DD9" w:rsidRDefault="00AB04AA" w:rsidP="00245DD9">
      <w:pPr>
        <w:pStyle w:val="ListParagraph"/>
        <w:tabs>
          <w:tab w:val="left" w:pos="5640"/>
        </w:tabs>
        <w:spacing w:after="0" w:line="360" w:lineRule="auto"/>
        <w:ind w:left="0"/>
        <w:jc w:val="both"/>
        <w:rPr>
          <w:rFonts w:ascii="Times New Roman" w:eastAsia="Times New Roman" w:hAnsi="Times New Roman" w:cs="Times New Roman"/>
          <w:b/>
          <w:bCs/>
          <w:lang w:eastAsia="en-IN"/>
        </w:rPr>
      </w:pPr>
      <w:r w:rsidRPr="00E301E4">
        <w:rPr>
          <w:rFonts w:ascii="Times New Roman" w:eastAsia="Times New Roman" w:hAnsi="Times New Roman" w:cs="Times New Roman"/>
          <w:b/>
          <w:bCs/>
          <w:lang w:eastAsia="en-IN"/>
        </w:rPr>
        <w:t>Abstract</w:t>
      </w:r>
      <w:r w:rsidR="002C630B">
        <w:rPr>
          <w:rFonts w:ascii="Times New Roman" w:eastAsia="Times New Roman" w:hAnsi="Times New Roman" w:cs="Times New Roman"/>
          <w:b/>
          <w:bCs/>
          <w:lang w:eastAsia="en-IN"/>
        </w:rPr>
        <w:tab/>
      </w:r>
    </w:p>
    <w:p w14:paraId="6F72DF58" w14:textId="7D61868E" w:rsidR="00605170" w:rsidRPr="00245DD9" w:rsidRDefault="004F5864" w:rsidP="00245DD9">
      <w:pPr>
        <w:pStyle w:val="ListParagraph"/>
        <w:tabs>
          <w:tab w:val="left" w:pos="5640"/>
        </w:tabs>
        <w:spacing w:after="0" w:line="276" w:lineRule="auto"/>
        <w:ind w:left="0"/>
        <w:jc w:val="both"/>
        <w:rPr>
          <w:rFonts w:ascii="Times New Roman" w:eastAsia="Times New Roman" w:hAnsi="Times New Roman" w:cs="Times New Roman"/>
          <w:b/>
          <w:bCs/>
          <w:lang w:eastAsia="en-IN"/>
        </w:rPr>
      </w:pPr>
      <w:r w:rsidRPr="004F5864">
        <w:rPr>
          <w:rFonts w:ascii="Times New Roman" w:eastAsia="Times New Roman" w:hAnsi="Times New Roman" w:cs="Times New Roman"/>
          <w:lang w:eastAsia="en-IN"/>
        </w:rPr>
        <w:t xml:space="preserve">This study evaluated the </w:t>
      </w:r>
      <w:r w:rsidR="00B519C7">
        <w:rPr>
          <w:rFonts w:ascii="Times New Roman" w:eastAsia="Times New Roman" w:hAnsi="Times New Roman" w:cs="Times New Roman"/>
          <w:lang w:eastAsia="en-IN"/>
        </w:rPr>
        <w:t xml:space="preserve">interactive </w:t>
      </w:r>
      <w:r w:rsidRPr="004F5864">
        <w:rPr>
          <w:rFonts w:ascii="Times New Roman" w:eastAsia="Times New Roman" w:hAnsi="Times New Roman" w:cs="Times New Roman"/>
          <w:lang w:eastAsia="en-IN"/>
        </w:rPr>
        <w:t>effects of different salinity levels</w:t>
      </w:r>
      <w:r w:rsidR="00245DD9">
        <w:rPr>
          <w:rFonts w:ascii="Times New Roman" w:eastAsia="Times New Roman" w:hAnsi="Times New Roman" w:cs="Times New Roman"/>
          <w:lang w:eastAsia="en-IN"/>
        </w:rPr>
        <w:t xml:space="preserve"> and periphyton</w:t>
      </w:r>
      <w:r w:rsidRPr="004F5864">
        <w:rPr>
          <w:rFonts w:ascii="Times New Roman" w:eastAsia="Times New Roman" w:hAnsi="Times New Roman" w:cs="Times New Roman"/>
          <w:lang w:eastAsia="en-IN"/>
        </w:rPr>
        <w:t xml:space="preserve"> on the growth performance, osmoregulation, stress physiology, and histological responses of juvenile silver pompano (</w:t>
      </w:r>
      <w:r w:rsidRPr="004F5864">
        <w:rPr>
          <w:rFonts w:ascii="Times New Roman" w:eastAsia="Times New Roman" w:hAnsi="Times New Roman" w:cs="Times New Roman"/>
          <w:i/>
          <w:iCs/>
          <w:lang w:eastAsia="en-IN"/>
        </w:rPr>
        <w:t>Trachinotus blochii</w:t>
      </w:r>
      <w:r w:rsidRPr="004F5864">
        <w:rPr>
          <w:rFonts w:ascii="Times New Roman" w:eastAsia="Times New Roman" w:hAnsi="Times New Roman" w:cs="Times New Roman"/>
          <w:lang w:eastAsia="en-IN"/>
        </w:rPr>
        <w:t>) cultured in a periphyton-based system.</w:t>
      </w:r>
      <w:r w:rsidR="00AB04AA" w:rsidRPr="00E301E4">
        <w:rPr>
          <w:rFonts w:ascii="Times New Roman" w:hAnsi="Times New Roman" w:cs="Times New Roman"/>
          <w:bCs/>
        </w:rPr>
        <w:t xml:space="preserve"> </w:t>
      </w:r>
      <w:r w:rsidR="00AB04AA" w:rsidRPr="00E301E4">
        <w:rPr>
          <w:rFonts w:ascii="Times New Roman" w:hAnsi="Times New Roman" w:cs="Times New Roman"/>
        </w:rPr>
        <w:t xml:space="preserve">In aquaculture systems, salinity has a significant impact on physiological function, water quality, and total </w:t>
      </w:r>
      <w:r w:rsidR="00071120" w:rsidRPr="00E301E4">
        <w:rPr>
          <w:rFonts w:ascii="Times New Roman" w:hAnsi="Times New Roman" w:cs="Times New Roman"/>
        </w:rPr>
        <w:t>productivity.</w:t>
      </w:r>
      <w:r w:rsidR="00071120" w:rsidRPr="00E301E4">
        <w:rPr>
          <w:rFonts w:ascii="Times New Roman" w:hAnsi="Times New Roman" w:cs="Times New Roman"/>
          <w:bCs/>
        </w:rPr>
        <w:t xml:space="preserve"> </w:t>
      </w:r>
      <w:r w:rsidR="00026F4C" w:rsidRPr="00026F4C">
        <w:rPr>
          <w:rFonts w:ascii="Times New Roman" w:hAnsi="Times New Roman" w:cs="Times New Roman"/>
          <w:bCs/>
        </w:rPr>
        <w:t>A 60-day experiment was conducted to evaluate the effects of different salinity levels on the growth, osmoregulation, stress physiology, and histological responses of silver pompano.</w:t>
      </w:r>
      <w:r w:rsidR="00026F4C">
        <w:rPr>
          <w:rFonts w:ascii="Times New Roman" w:hAnsi="Times New Roman" w:cs="Times New Roman"/>
          <w:bCs/>
        </w:rPr>
        <w:t xml:space="preserve"> </w:t>
      </w:r>
      <w:r w:rsidR="009116D6" w:rsidRPr="009116D6">
        <w:rPr>
          <w:rFonts w:ascii="Times New Roman" w:hAnsi="Times New Roman" w:cs="Times New Roman"/>
          <w:bCs/>
        </w:rPr>
        <w:t>Healthy juvenile silver pompano were used in the experimental trial.</w:t>
      </w:r>
      <w:r w:rsidR="009116D6" w:rsidRPr="009116D6">
        <w:t xml:space="preserve"> </w:t>
      </w:r>
      <w:r w:rsidR="009116D6" w:rsidRPr="009116D6">
        <w:rPr>
          <w:rFonts w:ascii="Times New Roman" w:hAnsi="Times New Roman" w:cs="Times New Roman"/>
          <w:bCs/>
        </w:rPr>
        <w:t>Fish were acclimated before being exposed to the experimental salinity treatments</w:t>
      </w:r>
      <w:r w:rsidR="009116D6">
        <w:rPr>
          <w:rFonts w:ascii="Times New Roman" w:hAnsi="Times New Roman" w:cs="Times New Roman"/>
          <w:bCs/>
        </w:rPr>
        <w:t>.</w:t>
      </w:r>
      <w:r w:rsidR="00D466B0" w:rsidRPr="00D466B0">
        <w:t xml:space="preserve"> </w:t>
      </w:r>
      <w:r w:rsidR="00D466B0" w:rsidRPr="00D466B0">
        <w:rPr>
          <w:rFonts w:ascii="Times New Roman" w:hAnsi="Times New Roman" w:cs="Times New Roman"/>
          <w:bCs/>
        </w:rPr>
        <w:t>The experiment consisted of four salinity treatments (35, 25, 15, and 5 ppt) with triplicate tanks for each treatment.</w:t>
      </w:r>
      <w:r w:rsidR="00577512" w:rsidRPr="00577512">
        <w:t xml:space="preserve"> </w:t>
      </w:r>
      <w:r w:rsidR="00577512" w:rsidRPr="00577512">
        <w:rPr>
          <w:rFonts w:ascii="Times New Roman" w:hAnsi="Times New Roman" w:cs="Times New Roman"/>
          <w:bCs/>
        </w:rPr>
        <w:t>Periphyton-based substrates were provided to promote natural food availability during the culture period.</w:t>
      </w:r>
      <w:r w:rsidR="006C45C8" w:rsidRPr="006C45C8">
        <w:t xml:space="preserve"> </w:t>
      </w:r>
      <w:r w:rsidR="006C45C8" w:rsidRPr="006C45C8">
        <w:rPr>
          <w:rFonts w:ascii="Times New Roman" w:hAnsi="Times New Roman" w:cs="Times New Roman"/>
          <w:bCs/>
        </w:rPr>
        <w:t>Histological alterations in the gill and liver tissues were examined to assess the effects of salinity stress.</w:t>
      </w:r>
      <w:r w:rsidR="00D466B0">
        <w:rPr>
          <w:rFonts w:ascii="Times New Roman" w:hAnsi="Times New Roman" w:cs="Times New Roman"/>
          <w:bCs/>
        </w:rPr>
        <w:t xml:space="preserve"> </w:t>
      </w:r>
      <w:r w:rsidR="006C45C8" w:rsidRPr="006C45C8">
        <w:rPr>
          <w:rFonts w:ascii="Times New Roman" w:hAnsi="Times New Roman" w:cs="Times New Roman"/>
          <w:bCs/>
        </w:rPr>
        <w:t>Fish were maintained under their respective salinity conditions throughout the 60-day experimental period.</w:t>
      </w:r>
      <w:r w:rsidR="006C45C8" w:rsidRPr="006C45C8">
        <w:t xml:space="preserve"> </w:t>
      </w:r>
      <w:r w:rsidR="006C45C8" w:rsidRPr="006C45C8">
        <w:rPr>
          <w:rFonts w:ascii="Times New Roman" w:hAnsi="Times New Roman" w:cs="Times New Roman"/>
          <w:bCs/>
        </w:rPr>
        <w:t>Uniform-sized juvenile silver pompano were stocked in each treatment to ensure comparable experimental conditions.</w:t>
      </w:r>
      <w:r w:rsidR="00AB04AA" w:rsidRPr="00E301E4">
        <w:rPr>
          <w:rFonts w:ascii="Times New Roman" w:hAnsi="Times New Roman" w:cs="Times New Roman"/>
        </w:rPr>
        <w:t xml:space="preserve"> </w:t>
      </w:r>
      <w:r w:rsidR="00A65CC3" w:rsidRPr="00A65CC3">
        <w:rPr>
          <w:rFonts w:ascii="Times New Roman" w:hAnsi="Times New Roman" w:cs="Times New Roman"/>
        </w:rPr>
        <w:t>Fish were provided with a balanced diet and maintained under standard culture practices throughout the experiment</w:t>
      </w:r>
      <w:r w:rsidR="00605170">
        <w:rPr>
          <w:rFonts w:ascii="Times New Roman" w:hAnsi="Times New Roman" w:cs="Times New Roman"/>
        </w:rPr>
        <w:t>.</w:t>
      </w:r>
    </w:p>
    <w:p w14:paraId="2DBAE806" w14:textId="2EA13ED3" w:rsidR="009201A6" w:rsidRPr="00613D73" w:rsidRDefault="00605170" w:rsidP="00613D73">
      <w:pPr>
        <w:tabs>
          <w:tab w:val="left" w:pos="2895"/>
        </w:tabs>
        <w:spacing w:line="276" w:lineRule="auto"/>
        <w:jc w:val="both"/>
        <w:rPr>
          <w:rFonts w:ascii="Times New Roman" w:hAnsi="Times New Roman" w:cs="Times New Roman"/>
          <w:sz w:val="28"/>
          <w:szCs w:val="28"/>
        </w:rPr>
      </w:pPr>
      <w:r w:rsidRPr="00605170">
        <w:rPr>
          <w:rFonts w:ascii="Times New Roman" w:hAnsi="Times New Roman" w:cs="Times New Roman"/>
          <w:sz w:val="24"/>
          <w:szCs w:val="24"/>
        </w:rPr>
        <w:t>Growth performance, osmoregulatory responses, antioxidant enzyme activities, cortisol concentration, and histological alterations were evaluated under different salinity treatments.</w:t>
      </w:r>
      <w:r w:rsidR="009B369A">
        <w:rPr>
          <w:rFonts w:ascii="Times New Roman" w:hAnsi="Times New Roman" w:cs="Times New Roman"/>
          <w:sz w:val="24"/>
          <w:szCs w:val="24"/>
        </w:rPr>
        <w:t xml:space="preserve"> </w:t>
      </w:r>
      <w:r w:rsidR="008241F0" w:rsidRPr="008241F0">
        <w:rPr>
          <w:rFonts w:ascii="Times New Roman" w:hAnsi="Times New Roman" w:cs="Times New Roman"/>
          <w:sz w:val="24"/>
          <w:szCs w:val="24"/>
        </w:rPr>
        <w:t>The 15 ppt salinity treatment (T2) significantly improved the growth performance of silver pompano and supported enhanced periphyton development.</w:t>
      </w:r>
      <w:r w:rsidR="008241F0">
        <w:rPr>
          <w:rFonts w:ascii="Times New Roman" w:hAnsi="Times New Roman" w:cs="Times New Roman"/>
          <w:sz w:val="24"/>
          <w:szCs w:val="24"/>
        </w:rPr>
        <w:t xml:space="preserve"> </w:t>
      </w:r>
      <w:r w:rsidR="008241F0" w:rsidRPr="008241F0">
        <w:rPr>
          <w:rFonts w:ascii="Times New Roman" w:hAnsi="Times New Roman" w:cs="Times New Roman"/>
          <w:sz w:val="24"/>
          <w:szCs w:val="24"/>
        </w:rPr>
        <w:t>Osmoregulatory parameters, including osmotic performance rate, hematocrit, and blood glucose concentration, were analysed.</w:t>
      </w:r>
      <w:r w:rsidR="008241F0">
        <w:rPr>
          <w:rFonts w:ascii="Times New Roman" w:hAnsi="Times New Roman" w:cs="Times New Roman"/>
          <w:sz w:val="24"/>
          <w:szCs w:val="24"/>
        </w:rPr>
        <w:t xml:space="preserve"> </w:t>
      </w:r>
      <w:r w:rsidR="0065100F" w:rsidRPr="0065100F">
        <w:rPr>
          <w:rFonts w:ascii="Times New Roman" w:hAnsi="Times New Roman" w:cs="Times New Roman"/>
          <w:sz w:val="24"/>
          <w:szCs w:val="24"/>
        </w:rPr>
        <w:t>Stress physiology was evaluated by measuring cortisol concentration and antioxidant enzymes, including superoxide dismutase (SOD), catalase (CAT), and glutathione peroxidase (GPx).</w:t>
      </w:r>
      <w:r w:rsidR="0065100F">
        <w:rPr>
          <w:rFonts w:ascii="Times New Roman" w:hAnsi="Times New Roman" w:cs="Times New Roman"/>
          <w:sz w:val="24"/>
          <w:szCs w:val="24"/>
        </w:rPr>
        <w:t xml:space="preserve"> </w:t>
      </w:r>
      <w:r w:rsidR="0065100F" w:rsidRPr="0065100F">
        <w:rPr>
          <w:rFonts w:ascii="Times New Roman" w:hAnsi="Times New Roman" w:cs="Times New Roman"/>
          <w:sz w:val="24"/>
          <w:szCs w:val="24"/>
        </w:rPr>
        <w:t>Histological examination of the gill and liver tissues was performed at the end of the experiment.</w:t>
      </w:r>
      <w:r w:rsidR="0065100F">
        <w:rPr>
          <w:rFonts w:ascii="Times New Roman" w:hAnsi="Times New Roman" w:cs="Times New Roman"/>
          <w:sz w:val="24"/>
          <w:szCs w:val="24"/>
        </w:rPr>
        <w:t xml:space="preserve"> </w:t>
      </w:r>
      <w:r w:rsidR="00035FAC" w:rsidRPr="00035FAC">
        <w:rPr>
          <w:rFonts w:ascii="Times New Roman" w:hAnsi="Times New Roman" w:cs="Times New Roman"/>
          <w:sz w:val="24"/>
          <w:szCs w:val="24"/>
        </w:rPr>
        <w:t>Antioxidant enzyme activities increased under low-salinity stress and were highest in T3 (5 ppt).</w:t>
      </w:r>
      <w:r w:rsidR="00035FAC">
        <w:rPr>
          <w:rFonts w:ascii="Times New Roman" w:hAnsi="Times New Roman" w:cs="Times New Roman"/>
          <w:sz w:val="24"/>
          <w:szCs w:val="24"/>
        </w:rPr>
        <w:t xml:space="preserve"> </w:t>
      </w:r>
      <w:r w:rsidR="00035FAC" w:rsidRPr="00035FAC">
        <w:rPr>
          <w:rFonts w:ascii="Times New Roman" w:hAnsi="Times New Roman" w:cs="Times New Roman"/>
          <w:sz w:val="24"/>
          <w:szCs w:val="24"/>
        </w:rPr>
        <w:t>The highest cortisol concentration was recorded in T3 (5 ppt), indicating greater physiological stress under low-salinity conditions.</w:t>
      </w:r>
      <w:r w:rsidR="00035FAC">
        <w:rPr>
          <w:rFonts w:ascii="Times New Roman" w:hAnsi="Times New Roman" w:cs="Times New Roman"/>
          <w:sz w:val="24"/>
          <w:szCs w:val="24"/>
        </w:rPr>
        <w:t xml:space="preserve"> </w:t>
      </w:r>
      <w:r w:rsidR="007D5874" w:rsidRPr="007D5874">
        <w:rPr>
          <w:rFonts w:ascii="Times New Roman" w:hAnsi="Times New Roman" w:cs="Times New Roman"/>
          <w:sz w:val="24"/>
          <w:szCs w:val="24"/>
        </w:rPr>
        <w:t>Histological examination revealed that the liver of fish reared at 15 ppt (T2) maintained nearly normal hepatic architecture with only mild alterations, whereas fish reared at 5 ppt (T3) exhibited severe histopathological changes, including hepatocyte necrosis, hemorrhage, and vacuolation.</w:t>
      </w:r>
      <w:r w:rsidR="007D5874">
        <w:rPr>
          <w:rFonts w:ascii="Times New Roman" w:hAnsi="Times New Roman" w:cs="Times New Roman"/>
          <w:sz w:val="24"/>
          <w:szCs w:val="24"/>
        </w:rPr>
        <w:t xml:space="preserve"> </w:t>
      </w:r>
      <w:r w:rsidR="00071120" w:rsidRPr="009B369A">
        <w:rPr>
          <w:rFonts w:ascii="Times New Roman" w:hAnsi="Times New Roman" w:cs="Times New Roman"/>
          <w:sz w:val="24"/>
          <w:szCs w:val="24"/>
        </w:rPr>
        <w:t>After</w:t>
      </w:r>
      <w:r w:rsidR="00AB04AA" w:rsidRPr="009B369A">
        <w:rPr>
          <w:rFonts w:ascii="Times New Roman" w:hAnsi="Times New Roman" w:cs="Times New Roman"/>
          <w:sz w:val="24"/>
          <w:szCs w:val="24"/>
        </w:rPr>
        <w:t xml:space="preserve"> 60 days of the experiment, higher body weight gain was observed in T2 at 15ppt (13.12± 0.525</w:t>
      </w:r>
      <w:r w:rsidR="00AB04AA" w:rsidRPr="009B369A">
        <w:rPr>
          <w:rFonts w:ascii="Times New Roman" w:hAnsi="Times New Roman" w:cs="Times New Roman"/>
          <w:color w:val="000000"/>
          <w:sz w:val="24"/>
          <w:szCs w:val="24"/>
        </w:rPr>
        <w:t>ᵃ</w:t>
      </w:r>
      <w:r w:rsidR="00AB04AA" w:rsidRPr="009B369A">
        <w:rPr>
          <w:rFonts w:ascii="Times New Roman" w:hAnsi="Times New Roman" w:cs="Times New Roman"/>
          <w:sz w:val="24"/>
          <w:szCs w:val="24"/>
        </w:rPr>
        <w:t>g), followed by T1 at 25ppt (10.58± 0.608</w:t>
      </w:r>
      <w:r w:rsidR="00AB04AA" w:rsidRPr="009B369A">
        <w:rPr>
          <w:rFonts w:ascii="Times New Roman" w:hAnsi="Times New Roman" w:cs="Times New Roman"/>
          <w:color w:val="000000"/>
          <w:sz w:val="24"/>
          <w:szCs w:val="24"/>
        </w:rPr>
        <w:t>ᵇg</w:t>
      </w:r>
      <w:r w:rsidR="00AB04AA" w:rsidRPr="009B369A">
        <w:rPr>
          <w:rFonts w:ascii="Times New Roman" w:hAnsi="Times New Roman" w:cs="Times New Roman"/>
          <w:sz w:val="24"/>
          <w:szCs w:val="24"/>
        </w:rPr>
        <w:t>). Maximum average daily growth (ADWG) and weight gain percentage (WG %) were recorded in T2 (15ppt) with 15.26±0.958</w:t>
      </w:r>
      <w:r w:rsidR="00AB04AA" w:rsidRPr="009B369A">
        <w:rPr>
          <w:rFonts w:ascii="Times New Roman" w:hAnsi="Times New Roman" w:cs="Times New Roman"/>
          <w:color w:val="000000"/>
          <w:sz w:val="24"/>
          <w:szCs w:val="24"/>
        </w:rPr>
        <w:t>ᵃ</w:t>
      </w:r>
      <w:r w:rsidR="00AB04AA" w:rsidRPr="009B369A">
        <w:rPr>
          <w:rFonts w:ascii="Times New Roman" w:hAnsi="Times New Roman" w:cs="Times New Roman"/>
          <w:sz w:val="24"/>
          <w:szCs w:val="24"/>
        </w:rPr>
        <w:t>and 615.77±104.56</w:t>
      </w:r>
      <w:r w:rsidR="00AB04AA" w:rsidRPr="009B369A">
        <w:rPr>
          <w:rFonts w:ascii="Times New Roman" w:hAnsi="Times New Roman" w:cs="Times New Roman"/>
          <w:color w:val="000000"/>
          <w:sz w:val="24"/>
          <w:szCs w:val="24"/>
        </w:rPr>
        <w:t xml:space="preserve">ᵃ </w:t>
      </w:r>
      <w:r w:rsidR="00AB04AA" w:rsidRPr="009B369A">
        <w:rPr>
          <w:rFonts w:ascii="Times New Roman" w:hAnsi="Times New Roman" w:cs="Times New Roman"/>
          <w:sz w:val="24"/>
          <w:szCs w:val="24"/>
        </w:rPr>
        <w:t xml:space="preserve">respectively. </w:t>
      </w:r>
      <w:r w:rsidR="00D4300D" w:rsidRPr="00D4300D">
        <w:rPr>
          <w:rFonts w:ascii="Times New Roman" w:hAnsi="Times New Roman" w:cs="Times New Roman"/>
          <w:sz w:val="24"/>
          <w:szCs w:val="24"/>
        </w:rPr>
        <w:t xml:space="preserve">The highest total biomass and specific growth rate (SGR) were recorded in T2 (15 ppt) </w:t>
      </w:r>
      <w:r w:rsidR="00D4300D" w:rsidRPr="009B369A">
        <w:rPr>
          <w:rFonts w:ascii="Times New Roman" w:hAnsi="Times New Roman" w:cs="Times New Roman"/>
          <w:sz w:val="24"/>
          <w:szCs w:val="24"/>
        </w:rPr>
        <w:t xml:space="preserve">with </w:t>
      </w:r>
      <w:r w:rsidR="00D4300D" w:rsidRPr="009B369A">
        <w:rPr>
          <w:rFonts w:ascii="Times New Roman" w:hAnsi="Times New Roman" w:cs="Times New Roman"/>
          <w:color w:val="000000"/>
          <w:sz w:val="24"/>
          <w:szCs w:val="24"/>
        </w:rPr>
        <w:t>270.24</w:t>
      </w:r>
      <w:r w:rsidR="00D4300D" w:rsidRPr="009B369A">
        <w:rPr>
          <w:rFonts w:ascii="Times New Roman" w:hAnsi="Times New Roman" w:cs="Times New Roman"/>
          <w:sz w:val="24"/>
          <w:szCs w:val="24"/>
        </w:rPr>
        <w:t>±</w:t>
      </w:r>
      <w:r w:rsidR="00D4300D" w:rsidRPr="009B369A">
        <w:rPr>
          <w:rFonts w:ascii="Times New Roman" w:hAnsi="Times New Roman" w:cs="Times New Roman"/>
          <w:color w:val="000000"/>
          <w:sz w:val="24"/>
          <w:szCs w:val="24"/>
        </w:rPr>
        <w:t>14.04</w:t>
      </w:r>
      <w:r w:rsidR="00D4300D" w:rsidRPr="009B369A">
        <w:rPr>
          <w:rFonts w:ascii="Times New Roman" w:hAnsi="Times New Roman" w:cs="Times New Roman"/>
          <w:sz w:val="24"/>
          <w:szCs w:val="24"/>
        </w:rPr>
        <w:t xml:space="preserve">g, </w:t>
      </w:r>
      <w:r w:rsidR="00D4300D" w:rsidRPr="009B369A">
        <w:rPr>
          <w:rFonts w:ascii="Times New Roman" w:hAnsi="Times New Roman" w:cs="Times New Roman"/>
          <w:color w:val="000000"/>
          <w:sz w:val="24"/>
          <w:szCs w:val="24"/>
        </w:rPr>
        <w:t>211.66</w:t>
      </w:r>
      <w:r w:rsidR="00D4300D" w:rsidRPr="009B369A">
        <w:rPr>
          <w:rFonts w:ascii="Times New Roman" w:hAnsi="Times New Roman" w:cs="Times New Roman"/>
          <w:sz w:val="24"/>
          <w:szCs w:val="24"/>
        </w:rPr>
        <w:t>±0.23</w:t>
      </w:r>
      <w:r w:rsidR="00D4300D" w:rsidRPr="009B369A">
        <w:rPr>
          <w:rFonts w:ascii="Times New Roman" w:hAnsi="Times New Roman" w:cs="Times New Roman"/>
          <w:color w:val="000000"/>
          <w:sz w:val="24"/>
          <w:szCs w:val="24"/>
        </w:rPr>
        <w:t>ᵃ %</w:t>
      </w:r>
      <w:r w:rsidR="00D4300D" w:rsidRPr="00D4300D">
        <w:rPr>
          <w:rFonts w:ascii="Times New Roman" w:hAnsi="Times New Roman" w:cs="Times New Roman"/>
          <w:sz w:val="24"/>
          <w:szCs w:val="24"/>
        </w:rPr>
        <w:t>, whereas the lowest values were observed in the control treatment C1</w:t>
      </w:r>
      <w:r w:rsidR="00AB04AA" w:rsidRPr="009B369A">
        <w:rPr>
          <w:rFonts w:ascii="Times New Roman" w:hAnsi="Times New Roman" w:cs="Times New Roman"/>
          <w:sz w:val="24"/>
          <w:szCs w:val="24"/>
        </w:rPr>
        <w:t>with 99.92±3.9217.83, 2.86± 0.338</w:t>
      </w:r>
      <w:r w:rsidR="00AB04AA" w:rsidRPr="009B369A">
        <w:rPr>
          <w:rFonts w:ascii="Times New Roman" w:hAnsi="Times New Roman" w:cs="Times New Roman"/>
          <w:color w:val="000000"/>
          <w:sz w:val="24"/>
          <w:szCs w:val="24"/>
        </w:rPr>
        <w:t>ᵈ</w:t>
      </w:r>
      <w:r w:rsidR="00AB04AA" w:rsidRPr="009B369A">
        <w:rPr>
          <w:rFonts w:ascii="Times New Roman" w:hAnsi="Times New Roman" w:cs="Times New Roman"/>
          <w:sz w:val="24"/>
          <w:szCs w:val="24"/>
        </w:rPr>
        <w:t xml:space="preserve">. </w:t>
      </w:r>
      <w:r w:rsidR="004F5864" w:rsidRPr="004F5864">
        <w:rPr>
          <w:rFonts w:ascii="Times New Roman" w:hAnsi="Times New Roman" w:cs="Times New Roman"/>
          <w:sz w:val="24"/>
          <w:szCs w:val="24"/>
        </w:rPr>
        <w:t>Overall, the findings indicate that a salinity of 15 ppt provided favourable conditions for growth and physiological performance in juvenile silver pompano under the experimental conditions of this study.</w:t>
      </w:r>
    </w:p>
    <w:p w14:paraId="7C5AF178" w14:textId="7AF3F9EB" w:rsidR="00CD67CA" w:rsidRDefault="009201A6" w:rsidP="00752FD7">
      <w:pPr>
        <w:pStyle w:val="ListParagraph"/>
        <w:spacing w:after="0" w:line="276" w:lineRule="auto"/>
        <w:ind w:left="0"/>
        <w:jc w:val="both"/>
        <w:rPr>
          <w:rFonts w:ascii="Times New Roman" w:hAnsi="Times New Roman" w:cs="Times New Roman"/>
        </w:rPr>
      </w:pPr>
      <w:r w:rsidRPr="00E301E4">
        <w:rPr>
          <w:rFonts w:ascii="Times New Roman" w:hAnsi="Times New Roman" w:cs="Times New Roman"/>
        </w:rPr>
        <w:t xml:space="preserve">Keywords: </w:t>
      </w:r>
      <w:r w:rsidR="00646EA3" w:rsidRPr="00E301E4">
        <w:rPr>
          <w:rFonts w:ascii="Times New Roman" w:hAnsi="Times New Roman" w:cs="Times New Roman"/>
        </w:rPr>
        <w:t>Salinity, Silver pompano, Osmoregulation, Stress tolerance</w:t>
      </w:r>
    </w:p>
    <w:p w14:paraId="1185288D" w14:textId="77777777" w:rsidR="00613D73" w:rsidRPr="00613D73" w:rsidRDefault="00613D73" w:rsidP="00752FD7">
      <w:pPr>
        <w:pStyle w:val="ListParagraph"/>
        <w:spacing w:after="0" w:line="276" w:lineRule="auto"/>
        <w:ind w:left="0"/>
        <w:jc w:val="both"/>
        <w:rPr>
          <w:rFonts w:ascii="Times New Roman" w:hAnsi="Times New Roman" w:cs="Times New Roman"/>
        </w:rPr>
      </w:pPr>
    </w:p>
    <w:p w14:paraId="3F970E1C" w14:textId="0C1E2AC1" w:rsidR="00AB04AA" w:rsidRPr="00E301E4" w:rsidRDefault="00752FD7" w:rsidP="00752FD7">
      <w:pPr>
        <w:pStyle w:val="ListParagraph"/>
        <w:spacing w:after="0" w:line="276" w:lineRule="auto"/>
        <w:ind w:left="0"/>
        <w:jc w:val="both"/>
        <w:rPr>
          <w:rFonts w:ascii="Times New Roman" w:hAnsi="Times New Roman" w:cs="Times New Roman"/>
          <w:b/>
          <w:bCs/>
        </w:rPr>
      </w:pPr>
      <w:r w:rsidRPr="00E301E4">
        <w:rPr>
          <w:rFonts w:ascii="Times New Roman" w:hAnsi="Times New Roman" w:cs="Times New Roman"/>
          <w:b/>
          <w:bCs/>
        </w:rPr>
        <w:t>Introduction</w:t>
      </w:r>
    </w:p>
    <w:p w14:paraId="326BAD3B" w14:textId="6628A67C" w:rsidR="00647A91" w:rsidRDefault="006A64D5" w:rsidP="00752FD7">
      <w:pPr>
        <w:tabs>
          <w:tab w:val="left" w:pos="2895"/>
        </w:tabs>
        <w:spacing w:line="276" w:lineRule="auto"/>
        <w:jc w:val="both"/>
        <w:rPr>
          <w:rFonts w:ascii="Times New Roman" w:hAnsi="Times New Roman" w:cs="Times New Roman"/>
          <w:bCs/>
          <w:color w:val="000000" w:themeColor="text1"/>
          <w:sz w:val="24"/>
          <w:szCs w:val="24"/>
        </w:rPr>
      </w:pPr>
      <w:r w:rsidRPr="006A64D5">
        <w:rPr>
          <w:rFonts w:ascii="Times New Roman" w:hAnsi="Times New Roman" w:cs="Times New Roman"/>
          <w:bCs/>
          <w:color w:val="000000" w:themeColor="text1"/>
          <w:sz w:val="24"/>
          <w:szCs w:val="24"/>
        </w:rPr>
        <w:t xml:space="preserve">The silver pompano, </w:t>
      </w:r>
      <w:r w:rsidRPr="006A64D5">
        <w:rPr>
          <w:rFonts w:ascii="Times New Roman" w:hAnsi="Times New Roman" w:cs="Times New Roman"/>
          <w:bCs/>
          <w:i/>
          <w:iCs/>
          <w:color w:val="000000" w:themeColor="text1"/>
          <w:sz w:val="24"/>
          <w:szCs w:val="24"/>
        </w:rPr>
        <w:t>Trachinotus blochii</w:t>
      </w:r>
      <w:r w:rsidRPr="006A64D5">
        <w:rPr>
          <w:rFonts w:ascii="Times New Roman" w:hAnsi="Times New Roman" w:cs="Times New Roman"/>
          <w:bCs/>
          <w:color w:val="000000" w:themeColor="text1"/>
          <w:sz w:val="24"/>
          <w:szCs w:val="24"/>
        </w:rPr>
        <w:t xml:space="preserve"> (Lacépède, 1801), belongs to the order Carangiformes and the family Carangidae and is commonly known as silver pompano.</w:t>
      </w:r>
      <w:r>
        <w:rPr>
          <w:rFonts w:ascii="Times New Roman" w:hAnsi="Times New Roman" w:cs="Times New Roman"/>
          <w:bCs/>
          <w:color w:val="000000" w:themeColor="text1"/>
          <w:sz w:val="24"/>
          <w:szCs w:val="24"/>
        </w:rPr>
        <w:t xml:space="preserve"> </w:t>
      </w:r>
      <w:r w:rsidR="002D1F86" w:rsidRPr="002D1F86">
        <w:rPr>
          <w:rFonts w:ascii="Times New Roman" w:hAnsi="Times New Roman" w:cs="Times New Roman"/>
          <w:bCs/>
          <w:color w:val="000000" w:themeColor="text1"/>
          <w:sz w:val="24"/>
          <w:szCs w:val="24"/>
        </w:rPr>
        <w:t>It is a pelagic marine fish valued for its excellent flesh quality, rapid growth, and high market demand (Jayakumar et al., 2014).</w:t>
      </w:r>
      <w:r w:rsidR="002D1F86">
        <w:rPr>
          <w:rFonts w:ascii="Times New Roman" w:hAnsi="Times New Roman" w:cs="Times New Roman"/>
          <w:bCs/>
          <w:color w:val="000000" w:themeColor="text1"/>
          <w:sz w:val="24"/>
          <w:szCs w:val="24"/>
        </w:rPr>
        <w:t xml:space="preserve"> </w:t>
      </w:r>
      <w:r w:rsidR="00647A91" w:rsidRPr="00E301E4">
        <w:rPr>
          <w:rFonts w:ascii="Times New Roman" w:hAnsi="Times New Roman" w:cs="Times New Roman"/>
          <w:bCs/>
          <w:color w:val="000000" w:themeColor="text1"/>
          <w:sz w:val="24"/>
          <w:szCs w:val="24"/>
        </w:rPr>
        <w:t xml:space="preserve">It withstands a broad spectrum of salinities </w:t>
      </w:r>
      <w:r w:rsidR="00647A91" w:rsidRPr="00E301E4">
        <w:rPr>
          <w:rFonts w:ascii="Times New Roman" w:hAnsi="Times New Roman" w:cs="Times New Roman"/>
          <w:color w:val="000000" w:themeColor="text1"/>
          <w:sz w:val="24"/>
          <w:szCs w:val="24"/>
        </w:rPr>
        <w:t>(McMaster et al., 200</w:t>
      </w:r>
      <w:r w:rsidR="00547DB7">
        <w:rPr>
          <w:rFonts w:ascii="Times New Roman" w:hAnsi="Times New Roman" w:cs="Times New Roman"/>
          <w:color w:val="000000" w:themeColor="text1"/>
          <w:sz w:val="24"/>
          <w:szCs w:val="24"/>
        </w:rPr>
        <w:t>7</w:t>
      </w:r>
      <w:r w:rsidR="00647A91" w:rsidRPr="00E301E4">
        <w:rPr>
          <w:rFonts w:ascii="Times New Roman" w:hAnsi="Times New Roman" w:cs="Times New Roman"/>
          <w:color w:val="000000" w:themeColor="text1"/>
          <w:sz w:val="24"/>
          <w:szCs w:val="24"/>
        </w:rPr>
        <w:t>)</w:t>
      </w:r>
      <w:r w:rsidR="002D1F86" w:rsidRPr="002D1F86">
        <w:rPr>
          <w:rFonts w:ascii="Times New Roman" w:hAnsi="Times New Roman" w:cs="Times New Roman"/>
          <w:bCs/>
          <w:color w:val="000000" w:themeColor="text1"/>
          <w:sz w:val="24"/>
          <w:szCs w:val="24"/>
        </w:rPr>
        <w:t>. Previous studies have reported survival at salinities as low as 4 ppt, although prolonged exposure to such low salinities may affect growth and physiological performance.</w:t>
      </w:r>
      <w:r w:rsidR="00907A0E">
        <w:rPr>
          <w:rFonts w:ascii="Times New Roman" w:hAnsi="Times New Roman" w:cs="Times New Roman"/>
          <w:bCs/>
          <w:color w:val="000000" w:themeColor="text1"/>
          <w:sz w:val="24"/>
          <w:szCs w:val="24"/>
        </w:rPr>
        <w:t xml:space="preserve"> </w:t>
      </w:r>
      <w:r w:rsidR="00907A0E" w:rsidRPr="00907A0E">
        <w:rPr>
          <w:rFonts w:ascii="Times New Roman" w:hAnsi="Times New Roman" w:cs="Times New Roman"/>
          <w:bCs/>
          <w:color w:val="000000" w:themeColor="text1"/>
          <w:sz w:val="24"/>
          <w:szCs w:val="24"/>
        </w:rPr>
        <w:t>Optimizing salinity in periphyton-based culture systems is essential because salinity influences both fish performance and periphyton productivity.</w:t>
      </w:r>
      <w:r w:rsidR="00907A0E">
        <w:rPr>
          <w:rFonts w:ascii="Times New Roman" w:hAnsi="Times New Roman" w:cs="Times New Roman"/>
          <w:bCs/>
          <w:color w:val="000000" w:themeColor="text1"/>
          <w:sz w:val="24"/>
          <w:szCs w:val="24"/>
        </w:rPr>
        <w:t xml:space="preserve"> </w:t>
      </w:r>
      <w:r w:rsidR="00907A0E" w:rsidRPr="00907A0E">
        <w:rPr>
          <w:rFonts w:ascii="Times New Roman" w:hAnsi="Times New Roman" w:cs="Times New Roman"/>
          <w:bCs/>
          <w:color w:val="000000" w:themeColor="text1"/>
          <w:sz w:val="24"/>
          <w:szCs w:val="24"/>
        </w:rPr>
        <w:t>Previous studies have reported that salinities between 14 and 19 ppt provide favourable growth conditions for juvenile silver pompano (Pathak et al., 2019), demonstrating the species' ability to acclimate to reduced salinities.</w:t>
      </w:r>
      <w:r w:rsidR="00907A0E">
        <w:rPr>
          <w:rFonts w:ascii="Times New Roman" w:hAnsi="Times New Roman" w:cs="Times New Roman"/>
          <w:bCs/>
          <w:color w:val="000000" w:themeColor="text1"/>
          <w:sz w:val="24"/>
          <w:szCs w:val="24"/>
        </w:rPr>
        <w:t xml:space="preserve"> </w:t>
      </w:r>
      <w:r w:rsidR="00726637" w:rsidRPr="00726637">
        <w:rPr>
          <w:rFonts w:ascii="Times New Roman" w:hAnsi="Times New Roman" w:cs="Times New Roman"/>
          <w:bCs/>
          <w:color w:val="000000" w:themeColor="text1"/>
          <w:sz w:val="24"/>
          <w:szCs w:val="24"/>
        </w:rPr>
        <w:t>Silver pompano has also been reported to tolerate salinities ranging from 7 to 58 ppt following gradual acclimation (McMaster et al., 2003).</w:t>
      </w:r>
      <w:r w:rsidR="00726637">
        <w:rPr>
          <w:rFonts w:ascii="Times New Roman" w:hAnsi="Times New Roman" w:cs="Times New Roman"/>
          <w:bCs/>
          <w:color w:val="000000" w:themeColor="text1"/>
          <w:sz w:val="24"/>
          <w:szCs w:val="24"/>
        </w:rPr>
        <w:t xml:space="preserve"> </w:t>
      </w:r>
      <w:r w:rsidR="007131EF" w:rsidRPr="007131EF">
        <w:rPr>
          <w:rFonts w:ascii="Times New Roman" w:hAnsi="Times New Roman" w:cs="Times New Roman"/>
          <w:bCs/>
          <w:color w:val="000000" w:themeColor="text1"/>
          <w:sz w:val="24"/>
          <w:szCs w:val="24"/>
        </w:rPr>
        <w:t xml:space="preserve">Due to its rapid growth, high market demand, and tolerance to a wide range of environmental conditions, </w:t>
      </w:r>
      <w:r w:rsidR="007131EF" w:rsidRPr="007131EF">
        <w:rPr>
          <w:rFonts w:ascii="Times New Roman" w:hAnsi="Times New Roman" w:cs="Times New Roman"/>
          <w:bCs/>
          <w:i/>
          <w:iCs/>
          <w:color w:val="000000" w:themeColor="text1"/>
          <w:sz w:val="24"/>
          <w:szCs w:val="24"/>
        </w:rPr>
        <w:t>T. blochii</w:t>
      </w:r>
      <w:r w:rsidR="007131EF" w:rsidRPr="007131EF">
        <w:rPr>
          <w:rFonts w:ascii="Times New Roman" w:hAnsi="Times New Roman" w:cs="Times New Roman"/>
          <w:bCs/>
          <w:color w:val="000000" w:themeColor="text1"/>
          <w:sz w:val="24"/>
          <w:szCs w:val="24"/>
        </w:rPr>
        <w:t xml:space="preserve"> has emerged as one of the most promising marine finfish species for aquaculture diversification. However, optimizing culture conditions, particularly salinity, remains essential for maximizing growth performance and physiological health.</w:t>
      </w:r>
    </w:p>
    <w:p w14:paraId="0FD77E94" w14:textId="25AA0710" w:rsidR="00AB04AA" w:rsidRDefault="007131EF" w:rsidP="00752FD7">
      <w:pPr>
        <w:tabs>
          <w:tab w:val="left" w:pos="2895"/>
        </w:tabs>
        <w:spacing w:line="276" w:lineRule="auto"/>
        <w:jc w:val="both"/>
        <w:rPr>
          <w:rFonts w:ascii="Times New Roman" w:hAnsi="Times New Roman" w:cs="Times New Roman"/>
          <w:color w:val="000000" w:themeColor="text1"/>
          <w:sz w:val="24"/>
          <w:szCs w:val="24"/>
        </w:rPr>
      </w:pPr>
      <w:r w:rsidRPr="007131EF">
        <w:rPr>
          <w:rFonts w:ascii="Times New Roman" w:hAnsi="Times New Roman" w:cs="Times New Roman"/>
          <w:color w:val="000000" w:themeColor="text1"/>
          <w:sz w:val="24"/>
          <w:szCs w:val="24"/>
        </w:rPr>
        <w:t xml:space="preserve">Salinity is one of the most important environmental factors influencing the growth, survival, metabolism, and physiological performance of marine fishes (Boeuf and Payan, 2001; Evans et al., 2005). Changes in environmental salinity disrupt osmotic balance, requiring fish to expend considerable energy on osmoregulation to maintain internal ionic and water homeostasis (Arjona et al., 2009; Evans et al., 2010). Increased energy allocation towards osmoregulation reduces the energy available for growth and other physiological processes, particularly under hypo- or hypersaline conditions (Boeuf and Payan, 2001; Ern et al., 2014). </w:t>
      </w:r>
      <w:r w:rsidR="00DA0BFC" w:rsidRPr="00DA0BFC">
        <w:rPr>
          <w:rFonts w:ascii="Times New Roman" w:hAnsi="Times New Roman" w:cs="Times New Roman"/>
          <w:color w:val="000000" w:themeColor="text1"/>
          <w:sz w:val="24"/>
          <w:szCs w:val="24"/>
        </w:rPr>
        <w:t xml:space="preserve">Previous studies have demonstrated that juvenile </w:t>
      </w:r>
      <w:r w:rsidR="00DA0BFC" w:rsidRPr="00DA0BFC">
        <w:rPr>
          <w:rFonts w:ascii="Times New Roman" w:hAnsi="Times New Roman" w:cs="Times New Roman"/>
          <w:i/>
          <w:iCs/>
          <w:color w:val="000000" w:themeColor="text1"/>
          <w:sz w:val="24"/>
          <w:szCs w:val="24"/>
        </w:rPr>
        <w:t>Trachinotus blochii</w:t>
      </w:r>
      <w:r w:rsidR="00DA0BFC" w:rsidRPr="00DA0BFC">
        <w:rPr>
          <w:rFonts w:ascii="Times New Roman" w:hAnsi="Times New Roman" w:cs="Times New Roman"/>
          <w:color w:val="000000" w:themeColor="text1"/>
          <w:sz w:val="24"/>
          <w:szCs w:val="24"/>
        </w:rPr>
        <w:t xml:space="preserve"> exhibits optimal growth under intermediate salinity conditions, highlighting the importance of identifying suitable salinity levels for sustainable aquaculture (Kalidas et al., 2012; Jayakumar et al., 2014).</w:t>
      </w:r>
    </w:p>
    <w:p w14:paraId="7B0825DE" w14:textId="0CD35FA5" w:rsidR="00FC6C87" w:rsidRPr="00FC6C87" w:rsidRDefault="00FC6C87" w:rsidP="00FC6C87">
      <w:pPr>
        <w:tabs>
          <w:tab w:val="left" w:pos="2895"/>
        </w:tabs>
        <w:spacing w:line="276" w:lineRule="auto"/>
        <w:jc w:val="both"/>
        <w:rPr>
          <w:rFonts w:ascii="Times New Roman" w:hAnsi="Times New Roman" w:cs="Times New Roman"/>
          <w:color w:val="000000" w:themeColor="text1"/>
          <w:sz w:val="24"/>
          <w:szCs w:val="24"/>
        </w:rPr>
      </w:pPr>
      <w:r w:rsidRPr="00FC6C87">
        <w:rPr>
          <w:rFonts w:ascii="Times New Roman" w:hAnsi="Times New Roman" w:cs="Times New Roman"/>
          <w:color w:val="000000" w:themeColor="text1"/>
          <w:sz w:val="24"/>
          <w:szCs w:val="24"/>
        </w:rPr>
        <w:t xml:space="preserve">Osmoregulation is an energy-demanding physiological process, with fish utilizing approximately 20–50% of their metabolic energy to maintain ionic and osmotic homeostasis under fluctuating salinity conditions (Ern et al., 2014). Consequently, salinity is one of the most critical environmental factors regulating the growth, survival, metabolism, and physiological performance of aquatic organisms (Huang et al., 2019). </w:t>
      </w:r>
      <w:r w:rsidR="008221A7" w:rsidRPr="008221A7">
        <w:rPr>
          <w:rFonts w:ascii="Times New Roman" w:hAnsi="Times New Roman" w:cs="Times New Roman"/>
          <w:color w:val="000000" w:themeColor="text1"/>
          <w:sz w:val="24"/>
          <w:szCs w:val="24"/>
        </w:rPr>
        <w:t>Exposure to hypo- or hypersaline conditions disrupts osmotic balance, increasing the energetic cost of ion regulation and consequently reducing the energy available for growth, metabolism, and overall physiological performance (Chourasia et al., 2018; Bertucci et al., 2017).</w:t>
      </w:r>
      <w:r w:rsidRPr="00FC6C87">
        <w:rPr>
          <w:rFonts w:ascii="Times New Roman" w:hAnsi="Times New Roman" w:cs="Times New Roman"/>
          <w:color w:val="000000" w:themeColor="text1"/>
          <w:sz w:val="24"/>
          <w:szCs w:val="24"/>
        </w:rPr>
        <w:t xml:space="preserve">Previous studies have shown that the optimum salinity for growth varies among species, while prolonged exposure to suboptimal salinities induces physiological stress and structural alterations in osmoregulatory organs, particularly the gills, thereby impairing respiration, ion regulation, and waste excretion (Chand et al., 2015; Weirich et al., 2009; Abou Anni et al., 2016; Reis et al., 2009). </w:t>
      </w:r>
      <w:r w:rsidR="00DC710E" w:rsidRPr="00DC710E">
        <w:rPr>
          <w:rFonts w:ascii="Times New Roman" w:hAnsi="Times New Roman" w:cs="Times New Roman"/>
          <w:color w:val="000000" w:themeColor="text1"/>
          <w:sz w:val="24"/>
          <w:szCs w:val="24"/>
        </w:rPr>
        <w:t>Histopathological alterations in gill tissues are widely recognized as reliable indicators of salinity-induced stress in teleost fishes (Fanta et al., 2003; Heath, 1995).</w:t>
      </w:r>
    </w:p>
    <w:p w14:paraId="299B4F2B" w14:textId="14C8B267" w:rsidR="00FC6C87" w:rsidRPr="00E301E4" w:rsidRDefault="00FC6C87" w:rsidP="00752FD7">
      <w:pPr>
        <w:tabs>
          <w:tab w:val="left" w:pos="2895"/>
        </w:tabs>
        <w:spacing w:line="276" w:lineRule="auto"/>
        <w:jc w:val="both"/>
        <w:rPr>
          <w:rFonts w:ascii="Times New Roman" w:hAnsi="Times New Roman" w:cs="Times New Roman"/>
          <w:color w:val="000000" w:themeColor="text1"/>
          <w:sz w:val="24"/>
          <w:szCs w:val="24"/>
        </w:rPr>
      </w:pPr>
      <w:r w:rsidRPr="00FC6C87">
        <w:rPr>
          <w:rFonts w:ascii="Times New Roman" w:hAnsi="Times New Roman" w:cs="Times New Roman"/>
          <w:color w:val="000000" w:themeColor="text1"/>
          <w:sz w:val="24"/>
          <w:szCs w:val="24"/>
        </w:rPr>
        <w:lastRenderedPageBreak/>
        <w:t>In addition to optimizing salinity, periphyton-based aquaculture has emerged as a sustainable culture strategy for enhancing fish production. Periphyton is a complex community of algae, bacteria, fungi, protozoa, detritus, and other microorganisms attached to submerged substrates, serving as a natural source of nutrients for cultured fish (Azim et al., 2001).</w:t>
      </w:r>
      <w:r w:rsidR="00AD6031" w:rsidRPr="00AD6031">
        <w:t xml:space="preserve"> </w:t>
      </w:r>
      <w:r w:rsidR="00AD6031" w:rsidRPr="00AD6031">
        <w:rPr>
          <w:rFonts w:ascii="Times New Roman" w:hAnsi="Times New Roman" w:cs="Times New Roman"/>
          <w:color w:val="000000" w:themeColor="text1"/>
          <w:sz w:val="24"/>
          <w:szCs w:val="24"/>
        </w:rPr>
        <w:t>In addition to providing natural food, periphyton enhances water quality through nutrient recycling, promotes beneficial microbial communities, reduces feed requirements, and minimizes environmental pollution, making it an environmentally sustainable and cost-effective aquaculture practice (Dutta et al., 2018).</w:t>
      </w:r>
      <w:r w:rsidRPr="00FC6C87">
        <w:rPr>
          <w:rFonts w:ascii="Times New Roman" w:hAnsi="Times New Roman" w:cs="Times New Roman"/>
          <w:color w:val="000000" w:themeColor="text1"/>
          <w:sz w:val="24"/>
          <w:szCs w:val="24"/>
        </w:rPr>
        <w:t xml:space="preserve"> </w:t>
      </w:r>
    </w:p>
    <w:p w14:paraId="4A1D0475" w14:textId="77777777" w:rsidR="00A31DF2" w:rsidRPr="00E301E4" w:rsidRDefault="00A31DF2" w:rsidP="00752FD7">
      <w:pPr>
        <w:tabs>
          <w:tab w:val="left" w:pos="2895"/>
        </w:tabs>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Salinity acclimatization</w:t>
      </w:r>
    </w:p>
    <w:p w14:paraId="0D8E7B82" w14:textId="7DA12152" w:rsidR="00FC6C87" w:rsidRDefault="00FC6C87" w:rsidP="00E92A71">
      <w:pPr>
        <w:tabs>
          <w:tab w:val="left" w:pos="2895"/>
        </w:tabs>
        <w:spacing w:line="276" w:lineRule="auto"/>
        <w:jc w:val="both"/>
        <w:rPr>
          <w:rFonts w:ascii="Times New Roman" w:hAnsi="Times New Roman" w:cs="Times New Roman"/>
          <w:color w:val="000000" w:themeColor="text1"/>
          <w:sz w:val="24"/>
          <w:szCs w:val="24"/>
        </w:rPr>
      </w:pPr>
      <w:r w:rsidRPr="00FC6C87">
        <w:rPr>
          <w:rFonts w:ascii="Times New Roman" w:hAnsi="Times New Roman" w:cs="Times New Roman"/>
          <w:color w:val="000000" w:themeColor="text1"/>
          <w:sz w:val="24"/>
          <w:szCs w:val="24"/>
        </w:rPr>
        <w:t xml:space="preserve">Salinity acclimation is a fundamental physiological process that enables  </w:t>
      </w:r>
      <w:r w:rsidRPr="00FC6C87">
        <w:rPr>
          <w:rFonts w:ascii="Times New Roman" w:hAnsi="Times New Roman" w:cs="Times New Roman"/>
          <w:i/>
          <w:iCs/>
          <w:color w:val="000000" w:themeColor="text1"/>
          <w:sz w:val="24"/>
          <w:szCs w:val="24"/>
        </w:rPr>
        <w:t>Trachinotus blochii</w:t>
      </w:r>
      <w:r w:rsidRPr="00FC6C87">
        <w:rPr>
          <w:rFonts w:ascii="Times New Roman" w:hAnsi="Times New Roman" w:cs="Times New Roman"/>
          <w:color w:val="000000" w:themeColor="text1"/>
          <w:sz w:val="24"/>
          <w:szCs w:val="24"/>
        </w:rPr>
        <w:t xml:space="preserve"> to maintain osmotic and ionic homeostasis under changing environmental conditions.</w:t>
      </w:r>
      <w:r w:rsidR="002E0B18">
        <w:rPr>
          <w:rFonts w:ascii="Times New Roman" w:hAnsi="Times New Roman" w:cs="Times New Roman"/>
          <w:color w:val="000000" w:themeColor="text1"/>
          <w:sz w:val="24"/>
          <w:szCs w:val="24"/>
        </w:rPr>
        <w:t xml:space="preserve"> </w:t>
      </w:r>
      <w:r w:rsidRPr="00FC6C87">
        <w:rPr>
          <w:rFonts w:ascii="Times New Roman" w:hAnsi="Times New Roman" w:cs="Times New Roman"/>
          <w:color w:val="000000" w:themeColor="text1"/>
          <w:sz w:val="24"/>
          <w:szCs w:val="24"/>
        </w:rPr>
        <w:t xml:space="preserve">Successful acclimation involves coordinated physiological, biochemical, and endocrine responses that regulate ion transport, energy metabolism, and overall health (Evans et al., 2005). </w:t>
      </w:r>
      <w:r w:rsidR="00D4470F" w:rsidRPr="00D4470F">
        <w:rPr>
          <w:rFonts w:ascii="Times New Roman" w:hAnsi="Times New Roman" w:cs="Times New Roman"/>
          <w:color w:val="000000" w:themeColor="text1"/>
          <w:sz w:val="24"/>
          <w:szCs w:val="24"/>
        </w:rPr>
        <w:t xml:space="preserve">Previous studies have demonstrated that </w:t>
      </w:r>
      <w:r w:rsidR="00D4470F" w:rsidRPr="00D4470F">
        <w:rPr>
          <w:rFonts w:ascii="Times New Roman" w:hAnsi="Times New Roman" w:cs="Times New Roman"/>
          <w:i/>
          <w:iCs/>
          <w:color w:val="000000" w:themeColor="text1"/>
          <w:sz w:val="24"/>
          <w:szCs w:val="24"/>
        </w:rPr>
        <w:t>Trachinotus</w:t>
      </w:r>
      <w:r w:rsidR="00D4470F" w:rsidRPr="00D4470F">
        <w:rPr>
          <w:rFonts w:ascii="Times New Roman" w:hAnsi="Times New Roman" w:cs="Times New Roman"/>
          <w:color w:val="000000" w:themeColor="text1"/>
          <w:sz w:val="24"/>
          <w:szCs w:val="24"/>
        </w:rPr>
        <w:t xml:space="preserve"> species possess a broad salinity tolerance and can be gradually acclimated to low-salinity environments with high survival. However, optimal growth is generally achieved under intermediate salinity conditions (Kalidas et al., 2012; Weirich et al., 2009).</w:t>
      </w:r>
      <w:r w:rsidR="00D4470F">
        <w:rPr>
          <w:rFonts w:ascii="Times New Roman" w:hAnsi="Times New Roman" w:cs="Times New Roman"/>
          <w:color w:val="000000" w:themeColor="text1"/>
          <w:sz w:val="24"/>
          <w:szCs w:val="24"/>
        </w:rPr>
        <w:t xml:space="preserve"> </w:t>
      </w:r>
      <w:r w:rsidRPr="00FC6C87">
        <w:rPr>
          <w:rFonts w:ascii="Times New Roman" w:hAnsi="Times New Roman" w:cs="Times New Roman"/>
          <w:color w:val="000000" w:themeColor="text1"/>
          <w:sz w:val="24"/>
          <w:szCs w:val="24"/>
        </w:rPr>
        <w:t>Earlier investigations also established the remarkable euryhaline nature of pompano species and their ability to withstand wide salinity fluctuations through gradual acclimation (Altman and Dittmer, 1966; Garside and Jordan, 1968; Chervinski, 1973; Kumpf, 1972).</w:t>
      </w:r>
      <w:r w:rsidR="009161B9" w:rsidRPr="009161B9">
        <w:rPr>
          <w:rFonts w:ascii="Times New Roman" w:hAnsi="Times New Roman" w:cs="Times New Roman"/>
          <w:color w:val="000000" w:themeColor="text1"/>
          <w:sz w:val="24"/>
          <w:szCs w:val="24"/>
        </w:rPr>
        <w:t>Nevertheless, growth performance and survival are strongly influenced by rearing salinity, with intermediate salinity levels generally providing more favourable conditions than extremely low salinities (McMaster et al., 2006; Main et al., 2008; Wills et al., 2007; Jian-sheng et al., 2008).</w:t>
      </w:r>
    </w:p>
    <w:p w14:paraId="6C1586A9" w14:textId="77777777" w:rsidR="002D75AA" w:rsidRDefault="00DB7FA0" w:rsidP="00902D39">
      <w:pPr>
        <w:tabs>
          <w:tab w:val="left" w:pos="2895"/>
        </w:tabs>
        <w:spacing w:line="276" w:lineRule="auto"/>
        <w:jc w:val="both"/>
        <w:rPr>
          <w:rFonts w:ascii="Times New Roman" w:hAnsi="Times New Roman" w:cs="Times New Roman"/>
          <w:sz w:val="24"/>
          <w:szCs w:val="24"/>
        </w:rPr>
      </w:pPr>
      <w:r w:rsidRPr="00DB7FA0">
        <w:rPr>
          <w:rFonts w:ascii="Times New Roman" w:hAnsi="Times New Roman" w:cs="Times New Roman"/>
          <w:sz w:val="24"/>
          <w:szCs w:val="24"/>
        </w:rPr>
        <w:t xml:space="preserve">Previous studies have demonstrated that </w:t>
      </w:r>
      <w:r w:rsidRPr="00DB7FA0">
        <w:rPr>
          <w:rFonts w:ascii="Times New Roman" w:hAnsi="Times New Roman" w:cs="Times New Roman"/>
          <w:i/>
          <w:iCs/>
          <w:sz w:val="24"/>
          <w:szCs w:val="24"/>
        </w:rPr>
        <w:t>Trachinotus</w:t>
      </w:r>
      <w:r w:rsidRPr="00DB7FA0">
        <w:rPr>
          <w:rFonts w:ascii="Times New Roman" w:hAnsi="Times New Roman" w:cs="Times New Roman"/>
          <w:sz w:val="24"/>
          <w:szCs w:val="24"/>
        </w:rPr>
        <w:t xml:space="preserve"> species possess considerable adaptability to a wide range of salinity conditions, confirming their suitability for brackish water aquaculture (Finucane, 1969; Perret et al., 1971; Gilbert and Parsons, 1986). Nevertheless, growth performance and survival are strongly influenced by the rearing salinity, with intermediate salinity levels generally providing more favorable conditions than extremely low salinities (McMaster et al., 2006; Main et al., 2008; Wills et al., 2007; Jian-sheng et al., 2008). Culture trials have also demonstrated the excellent production potential of </w:t>
      </w:r>
      <w:r w:rsidRPr="00DB7FA0">
        <w:rPr>
          <w:rFonts w:ascii="Times New Roman" w:hAnsi="Times New Roman" w:cs="Times New Roman"/>
          <w:i/>
          <w:iCs/>
          <w:sz w:val="24"/>
          <w:szCs w:val="24"/>
        </w:rPr>
        <w:t>T. blochii</w:t>
      </w:r>
      <w:r w:rsidRPr="00DB7FA0">
        <w:rPr>
          <w:rFonts w:ascii="Times New Roman" w:hAnsi="Times New Roman" w:cs="Times New Roman"/>
          <w:sz w:val="24"/>
          <w:szCs w:val="24"/>
        </w:rPr>
        <w:t xml:space="preserve"> under appropriate environmental conditions, including high survival, rapid growth, and efficient feed utilization (Chavez et al., 2011; Gopakumar et al., 2012; Kalidas et al., 2012). In addition to suitable environmental conditions, adequate dietary protein is essential for maximizing the growth and production performance of juvenile pompano (Lazo et al., 1998). Collectively, these studies emphasize that optimizing both culture conditions and nutrition is fundamental for achieving sustainable and profitable silver pompano farming.</w:t>
      </w:r>
      <w:r>
        <w:rPr>
          <w:rFonts w:ascii="Times New Roman" w:hAnsi="Times New Roman" w:cs="Times New Roman"/>
          <w:sz w:val="24"/>
          <w:szCs w:val="24"/>
        </w:rPr>
        <w:t xml:space="preserve"> </w:t>
      </w:r>
    </w:p>
    <w:p w14:paraId="4CCE496D" w14:textId="77777777" w:rsidR="00456F58" w:rsidRPr="00456F58" w:rsidRDefault="00902D39" w:rsidP="00902D39">
      <w:pPr>
        <w:tabs>
          <w:tab w:val="left" w:pos="2895"/>
        </w:tabs>
        <w:spacing w:line="276" w:lineRule="auto"/>
        <w:jc w:val="both"/>
        <w:rPr>
          <w:rFonts w:ascii="Times New Roman" w:hAnsi="Times New Roman" w:cs="Times New Roman"/>
          <w:b/>
          <w:bCs/>
          <w:sz w:val="24"/>
          <w:szCs w:val="24"/>
        </w:rPr>
      </w:pPr>
      <w:r w:rsidRPr="00456F58">
        <w:rPr>
          <w:rFonts w:ascii="Times New Roman" w:hAnsi="Times New Roman" w:cs="Times New Roman"/>
          <w:b/>
          <w:bCs/>
          <w:sz w:val="24"/>
          <w:szCs w:val="24"/>
        </w:rPr>
        <w:t>Osmoregulation of Silver pompano</w:t>
      </w:r>
      <w:r w:rsidR="00DB7FA0" w:rsidRPr="00456F58">
        <w:rPr>
          <w:rFonts w:ascii="Times New Roman" w:hAnsi="Times New Roman" w:cs="Times New Roman"/>
          <w:b/>
          <w:bCs/>
          <w:sz w:val="24"/>
          <w:szCs w:val="24"/>
        </w:rPr>
        <w:t xml:space="preserve"> (</w:t>
      </w:r>
      <w:r w:rsidR="00DB7FA0" w:rsidRPr="00456F58">
        <w:rPr>
          <w:rFonts w:ascii="Times New Roman" w:hAnsi="Times New Roman" w:cs="Times New Roman"/>
          <w:b/>
          <w:bCs/>
          <w:i/>
          <w:iCs/>
          <w:sz w:val="24"/>
          <w:szCs w:val="24"/>
        </w:rPr>
        <w:t>Trachinotus blochii</w:t>
      </w:r>
      <w:r w:rsidR="00DB7FA0" w:rsidRPr="00456F58">
        <w:rPr>
          <w:rFonts w:ascii="Times New Roman" w:hAnsi="Times New Roman" w:cs="Times New Roman"/>
          <w:b/>
          <w:bCs/>
          <w:sz w:val="24"/>
          <w:szCs w:val="24"/>
        </w:rPr>
        <w:t>)</w:t>
      </w:r>
      <w:r w:rsidRPr="00456F58">
        <w:rPr>
          <w:rFonts w:ascii="Times New Roman" w:hAnsi="Times New Roman" w:cs="Times New Roman"/>
          <w:b/>
          <w:bCs/>
          <w:sz w:val="24"/>
          <w:szCs w:val="24"/>
        </w:rPr>
        <w:t xml:space="preserve"> </w:t>
      </w:r>
    </w:p>
    <w:p w14:paraId="6C1EB180" w14:textId="45FCE794" w:rsidR="00CD67CA" w:rsidRPr="00DB7FA0" w:rsidRDefault="00DB7FA0" w:rsidP="00902D39">
      <w:pPr>
        <w:tabs>
          <w:tab w:val="left" w:pos="2895"/>
        </w:tabs>
        <w:spacing w:line="276" w:lineRule="auto"/>
        <w:jc w:val="both"/>
        <w:rPr>
          <w:rFonts w:ascii="Times New Roman" w:hAnsi="Times New Roman" w:cs="Times New Roman"/>
          <w:sz w:val="24"/>
          <w:szCs w:val="24"/>
        </w:rPr>
      </w:pPr>
      <w:r w:rsidRPr="00DB7FA0">
        <w:rPr>
          <w:rFonts w:ascii="Times New Roman" w:hAnsi="Times New Roman" w:cs="Times New Roman"/>
          <w:sz w:val="24"/>
          <w:szCs w:val="24"/>
        </w:rPr>
        <w:t xml:space="preserve">Efficient osmoregulation is essential for maintaining physiological homeostasis in euryhaline fishes exposed to varying salinity conditions. </w:t>
      </w:r>
      <w:r w:rsidR="002A7D3C" w:rsidRPr="002A7D3C">
        <w:rPr>
          <w:rFonts w:ascii="Times New Roman" w:hAnsi="Times New Roman" w:cs="Times New Roman"/>
          <w:sz w:val="24"/>
          <w:szCs w:val="24"/>
        </w:rPr>
        <w:t>The gills are the primary osmoregulatory organs in teleost fishes, where specialized chloride cells and Na⁺/K⁺-ATPase play key roles in regulating ion transport and maintaining osmotic and ionic homeostasis (Evans et al., 2005).</w:t>
      </w:r>
      <w:r w:rsidR="00E9040D" w:rsidRPr="00E9040D">
        <w:t xml:space="preserve"> </w:t>
      </w:r>
      <w:r w:rsidR="00E9040D" w:rsidRPr="00E9040D">
        <w:rPr>
          <w:rFonts w:ascii="Times New Roman" w:hAnsi="Times New Roman" w:cs="Times New Roman"/>
          <w:sz w:val="24"/>
          <w:szCs w:val="24"/>
        </w:rPr>
        <w:lastRenderedPageBreak/>
        <w:t xml:space="preserve">Previous studies have demonstrated that </w:t>
      </w:r>
      <w:r w:rsidR="00E9040D" w:rsidRPr="00E9040D">
        <w:rPr>
          <w:rFonts w:ascii="Times New Roman" w:hAnsi="Times New Roman" w:cs="Times New Roman"/>
          <w:i/>
          <w:iCs/>
          <w:sz w:val="24"/>
          <w:szCs w:val="24"/>
        </w:rPr>
        <w:t>Trachinotus blochii</w:t>
      </w:r>
      <w:r w:rsidR="00E9040D" w:rsidRPr="00E9040D">
        <w:rPr>
          <w:rFonts w:ascii="Times New Roman" w:hAnsi="Times New Roman" w:cs="Times New Roman"/>
          <w:sz w:val="24"/>
          <w:szCs w:val="24"/>
        </w:rPr>
        <w:t xml:space="preserve"> exhibits optimal physiological performance at intermediate salinities (approximately 10–15 ppt), where osmoregulatory energy expenditure is minimized. In contrast, exposure to very low or high salinities increases metabolic costs and may impair growth, survival, and physiological performance (Mulyadi et al., 2020; Bradshaw et al., 2023).</w:t>
      </w:r>
      <w:r w:rsidR="00D376D7">
        <w:rPr>
          <w:rFonts w:ascii="Times New Roman" w:hAnsi="Times New Roman" w:cs="Times New Roman"/>
          <w:sz w:val="24"/>
          <w:szCs w:val="24"/>
        </w:rPr>
        <w:t xml:space="preserve"> </w:t>
      </w:r>
      <w:r w:rsidRPr="00DB7FA0">
        <w:rPr>
          <w:rFonts w:ascii="Times New Roman" w:hAnsi="Times New Roman" w:cs="Times New Roman"/>
          <w:sz w:val="24"/>
          <w:szCs w:val="24"/>
        </w:rPr>
        <w:t xml:space="preserve">Salinity acclimation is accompanied by changes in gill Na⁺/K⁺-ATPase activity and endocrine regulation, particularly through cortisol, which enhances ion transport and supports osmotic adaptation under environmental stress (McCormick, 1995; Abou Anni et al., 2016; Evans et al., 2005). </w:t>
      </w:r>
      <w:r w:rsidR="00D376D7" w:rsidRPr="00D376D7">
        <w:rPr>
          <w:rFonts w:ascii="Times New Roman" w:hAnsi="Times New Roman" w:cs="Times New Roman"/>
          <w:sz w:val="24"/>
          <w:szCs w:val="24"/>
        </w:rPr>
        <w:t xml:space="preserve">Therefore, evaluating physiological indicators such as cortisol levels and osmoregulatory responses provides valuable insights into the adaptive capacity and health status of </w:t>
      </w:r>
      <w:r w:rsidR="00D376D7" w:rsidRPr="00D376D7">
        <w:rPr>
          <w:rFonts w:ascii="Times New Roman" w:hAnsi="Times New Roman" w:cs="Times New Roman"/>
          <w:i/>
          <w:iCs/>
          <w:sz w:val="24"/>
          <w:szCs w:val="24"/>
        </w:rPr>
        <w:t>T. blochii</w:t>
      </w:r>
      <w:r w:rsidR="00D376D7" w:rsidRPr="00D376D7">
        <w:rPr>
          <w:rFonts w:ascii="Times New Roman" w:hAnsi="Times New Roman" w:cs="Times New Roman"/>
          <w:sz w:val="24"/>
          <w:szCs w:val="24"/>
        </w:rPr>
        <w:t xml:space="preserve"> under different salinity conditions.</w:t>
      </w:r>
    </w:p>
    <w:p w14:paraId="5B06DEFB" w14:textId="77777777" w:rsidR="0007548E" w:rsidRPr="00E301E4" w:rsidRDefault="0007548E" w:rsidP="0007548E">
      <w:pPr>
        <w:spacing w:line="276" w:lineRule="auto"/>
        <w:ind w:right="567"/>
        <w:jc w:val="both"/>
        <w:rPr>
          <w:rFonts w:ascii="Times New Roman" w:hAnsi="Times New Roman" w:cs="Times New Roman"/>
          <w:b/>
          <w:bCs/>
          <w:iCs/>
          <w:sz w:val="24"/>
          <w:szCs w:val="24"/>
        </w:rPr>
      </w:pPr>
      <w:r w:rsidRPr="00E301E4">
        <w:rPr>
          <w:rFonts w:ascii="Times New Roman" w:hAnsi="Times New Roman" w:cs="Times New Roman"/>
          <w:b/>
          <w:bCs/>
          <w:iCs/>
          <w:sz w:val="24"/>
          <w:szCs w:val="24"/>
        </w:rPr>
        <w:t>Ethical approval</w:t>
      </w:r>
    </w:p>
    <w:p w14:paraId="31A52F9B" w14:textId="793A406A" w:rsidR="0007548E" w:rsidRPr="00E301E4" w:rsidRDefault="0007548E" w:rsidP="0007548E">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iCs/>
          <w:sz w:val="24"/>
          <w:szCs w:val="24"/>
        </w:rPr>
        <w:t>The Institutional Animal Ethics Committee (IAEC) of Fisheries College and Research Institute, Thoothukudi, Tamil Nadu, India, reviewed and approved the experimental protocol titled "</w:t>
      </w:r>
      <w:r w:rsidRPr="00E301E4">
        <w:rPr>
          <w:rFonts w:ascii="Times New Roman" w:hAnsi="Times New Roman" w:cs="Times New Roman"/>
          <w:b/>
          <w:bCs/>
          <w:color w:val="000000" w:themeColor="text1"/>
          <w:sz w:val="24"/>
          <w:szCs w:val="24"/>
        </w:rPr>
        <w:t xml:space="preserve"> </w:t>
      </w:r>
      <w:r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i/>
          <w:iCs/>
          <w:color w:val="000000" w:themeColor="text1"/>
          <w:sz w:val="24"/>
          <w:szCs w:val="24"/>
        </w:rPr>
        <w:t>Trachinotus blochii</w:t>
      </w:r>
      <w:r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iCs/>
          <w:sz w:val="24"/>
          <w:szCs w:val="24"/>
        </w:rPr>
        <w:t>" in compliance with the suggestions made by the Ministry of Fisheries, Animal Husbandry, and Dairy, Government of India's Committee for the Purpose of Control and Supervision of Experiments on Animals (CPCSEA).</w:t>
      </w:r>
      <w:r w:rsidR="004A723A">
        <w:rPr>
          <w:rFonts w:ascii="Times New Roman" w:hAnsi="Times New Roman" w:cs="Times New Roman"/>
          <w:iCs/>
          <w:sz w:val="24"/>
          <w:szCs w:val="24"/>
        </w:rPr>
        <w:t xml:space="preserve"> </w:t>
      </w:r>
      <w:r w:rsidR="004A723A" w:rsidRPr="004A723A">
        <w:rPr>
          <w:rFonts w:ascii="Times New Roman" w:hAnsi="Times New Roman" w:cs="Times New Roman"/>
          <w:iCs/>
          <w:sz w:val="24"/>
          <w:szCs w:val="24"/>
        </w:rPr>
        <w:t>All experimental procedures involving animals were conducted in accordance with the institutional ethical guidelines and applicable national regulations for the care and use of laboratory animals.</w:t>
      </w:r>
    </w:p>
    <w:p w14:paraId="79B3335D" w14:textId="77777777" w:rsidR="003908DC" w:rsidRPr="00E301E4" w:rsidRDefault="003908DC" w:rsidP="003908DC">
      <w:pPr>
        <w:spacing w:line="276" w:lineRule="auto"/>
        <w:ind w:right="567"/>
        <w:rPr>
          <w:rFonts w:ascii="Times New Roman" w:hAnsi="Times New Roman" w:cs="Times New Roman"/>
          <w:bCs/>
          <w:sz w:val="24"/>
          <w:szCs w:val="24"/>
        </w:rPr>
      </w:pPr>
      <w:r w:rsidRPr="00E301E4">
        <w:rPr>
          <w:rFonts w:ascii="Times New Roman" w:hAnsi="Times New Roman" w:cs="Times New Roman"/>
          <w:b/>
          <w:bCs/>
          <w:iCs/>
          <w:sz w:val="24"/>
          <w:szCs w:val="24"/>
        </w:rPr>
        <w:t>Material and methods</w:t>
      </w:r>
    </w:p>
    <w:p w14:paraId="50C7A52A" w14:textId="76B3520C" w:rsidR="00AA2E96" w:rsidRPr="00E301E4" w:rsidRDefault="003908DC" w:rsidP="003908DC">
      <w:pPr>
        <w:spacing w:line="276" w:lineRule="auto"/>
        <w:ind w:right="567"/>
        <w:rPr>
          <w:rFonts w:ascii="Times New Roman" w:hAnsi="Times New Roman" w:cs="Times New Roman"/>
          <w:iCs/>
          <w:sz w:val="24"/>
          <w:szCs w:val="24"/>
        </w:rPr>
      </w:pPr>
      <w:r w:rsidRPr="00E301E4">
        <w:rPr>
          <w:rFonts w:ascii="Times New Roman" w:hAnsi="Times New Roman" w:cs="Times New Roman"/>
          <w:b/>
          <w:bCs/>
          <w:sz w:val="24"/>
          <w:szCs w:val="24"/>
        </w:rPr>
        <w:t>Experimental</w:t>
      </w:r>
      <w:r w:rsidRPr="00E301E4">
        <w:rPr>
          <w:rFonts w:ascii="Times New Roman" w:hAnsi="Times New Roman" w:cs="Times New Roman"/>
          <w:b/>
          <w:bCs/>
          <w:spacing w:val="-7"/>
          <w:sz w:val="24"/>
          <w:szCs w:val="24"/>
        </w:rPr>
        <w:t xml:space="preserve"> </w:t>
      </w:r>
      <w:r w:rsidRPr="00E301E4">
        <w:rPr>
          <w:rFonts w:ascii="Times New Roman" w:hAnsi="Times New Roman" w:cs="Times New Roman"/>
          <w:b/>
          <w:bCs/>
          <w:spacing w:val="-2"/>
          <w:sz w:val="24"/>
          <w:szCs w:val="24"/>
        </w:rPr>
        <w:t>Setup</w:t>
      </w:r>
      <w:r w:rsidR="00AA2E96" w:rsidRPr="00E301E4">
        <w:rPr>
          <w:rFonts w:ascii="Times New Roman" w:hAnsi="Times New Roman" w:cs="Times New Roman"/>
          <w:b/>
          <w:bCs/>
          <w:sz w:val="24"/>
          <w:szCs w:val="24"/>
        </w:rPr>
        <w:t xml:space="preserve">                                      </w:t>
      </w:r>
    </w:p>
    <w:p w14:paraId="45A08232" w14:textId="7B61F281" w:rsidR="00FA4EAE" w:rsidRPr="00181E2F" w:rsidRDefault="00C151AF" w:rsidP="003908DC">
      <w:pPr>
        <w:spacing w:line="276" w:lineRule="auto"/>
        <w:jc w:val="both"/>
        <w:rPr>
          <w:rFonts w:ascii="Times New Roman" w:hAnsi="Times New Roman" w:cs="Times New Roman"/>
          <w:sz w:val="24"/>
          <w:szCs w:val="24"/>
        </w:rPr>
      </w:pPr>
      <w:r w:rsidRPr="00C151AF">
        <w:rPr>
          <w:rFonts w:ascii="Times New Roman" w:hAnsi="Times New Roman" w:cs="Times New Roman"/>
          <w:sz w:val="24"/>
          <w:szCs w:val="24"/>
        </w:rPr>
        <w:t>The experiment was conducted for 60 days at the Mariculture Research Farm Facility (MRFF), Fisheries College and Research Institute, Thoothukudi, Tamil Nadu, India, to evaluate the interactive effects of salinity and periphyton on the growth, osmoregulation, and stress physiology of juvenile silver pompano (</w:t>
      </w:r>
      <w:r w:rsidRPr="00C151AF">
        <w:rPr>
          <w:rFonts w:ascii="Times New Roman" w:hAnsi="Times New Roman" w:cs="Times New Roman"/>
          <w:i/>
          <w:iCs/>
          <w:sz w:val="24"/>
          <w:szCs w:val="24"/>
        </w:rPr>
        <w:t>Trachinotus blochii</w:t>
      </w:r>
      <w:r w:rsidRPr="00C151AF">
        <w:rPr>
          <w:rFonts w:ascii="Times New Roman" w:hAnsi="Times New Roman" w:cs="Times New Roman"/>
          <w:sz w:val="24"/>
          <w:szCs w:val="24"/>
        </w:rPr>
        <w:t>).</w:t>
      </w:r>
      <w:r w:rsidR="00C7672E" w:rsidRPr="00C7672E">
        <w:t xml:space="preserve"> </w:t>
      </w:r>
      <w:r w:rsidR="00C7672E" w:rsidRPr="00C7672E">
        <w:rPr>
          <w:rFonts w:ascii="Times New Roman" w:hAnsi="Times New Roman" w:cs="Times New Roman"/>
          <w:sz w:val="24"/>
          <w:szCs w:val="24"/>
        </w:rPr>
        <w:t>A total of 1,000 juvenile silver pompano (</w:t>
      </w:r>
      <w:r w:rsidR="00C7672E" w:rsidRPr="00C7672E">
        <w:rPr>
          <w:rFonts w:ascii="Times New Roman" w:hAnsi="Times New Roman" w:cs="Times New Roman"/>
          <w:i/>
          <w:iCs/>
          <w:sz w:val="24"/>
          <w:szCs w:val="24"/>
        </w:rPr>
        <w:t>Trachinotus blochii</w:t>
      </w:r>
      <w:r w:rsidR="00C7672E" w:rsidRPr="00C7672E">
        <w:rPr>
          <w:rFonts w:ascii="Times New Roman" w:hAnsi="Times New Roman" w:cs="Times New Roman"/>
          <w:sz w:val="24"/>
          <w:szCs w:val="24"/>
        </w:rPr>
        <w:t>) with an initial mean body weight of 0.382 ± 0.213 g were procured from the Rajiv Gandhi Centre for Sustainable Aquaculture (RGCA), Poozhiyur, Kerala, India</w:t>
      </w:r>
      <w:r w:rsidR="00181E2F">
        <w:rPr>
          <w:rFonts w:ascii="Times New Roman" w:hAnsi="Times New Roman" w:cs="Times New Roman"/>
          <w:sz w:val="24"/>
          <w:szCs w:val="24"/>
        </w:rPr>
        <w:t xml:space="preserve">. </w:t>
      </w:r>
      <w:r w:rsidR="006D73CB" w:rsidRPr="00181E2F">
        <w:rPr>
          <w:rFonts w:ascii="Times New Roman" w:hAnsi="Times New Roman" w:cs="Times New Roman"/>
          <w:sz w:val="24"/>
          <w:szCs w:val="24"/>
        </w:rPr>
        <w:t>The fish were transported in oxygenated double-layered polyethylene bags at a packing density of 125 fish per bag</w:t>
      </w:r>
      <w:r w:rsidR="00AA2E96" w:rsidRPr="00181E2F">
        <w:rPr>
          <w:rFonts w:ascii="Times New Roman" w:hAnsi="Times New Roman" w:cs="Times New Roman"/>
          <w:sz w:val="24"/>
          <w:szCs w:val="24"/>
        </w:rPr>
        <w:t>.</w:t>
      </w:r>
      <w:r w:rsidR="00012D54" w:rsidRPr="00012D54">
        <w:rPr>
          <w:rFonts w:ascii="Times New Roman" w:eastAsia="Times New Roman" w:hAnsi="Times New Roman" w:cs="Times New Roman"/>
          <w:b/>
          <w:bCs/>
          <w:sz w:val="24"/>
          <w:szCs w:val="24"/>
          <w:lang w:eastAsia="en-IN"/>
        </w:rPr>
        <w:t xml:space="preserve"> </w:t>
      </w:r>
      <w:r w:rsidR="00012D54" w:rsidRPr="00012D54">
        <w:rPr>
          <w:rFonts w:ascii="Times New Roman" w:hAnsi="Times New Roman" w:cs="Times New Roman"/>
          <w:sz w:val="24"/>
          <w:szCs w:val="24"/>
        </w:rPr>
        <w:t>Upon arrival, the fish were acclimatized for two weeks in a circular 500 L tank under continuous aeration before initiating the experiment.</w:t>
      </w:r>
      <w:r w:rsidR="00AA2E96" w:rsidRPr="00E301E4">
        <w:rPr>
          <w:rFonts w:ascii="Times New Roman" w:hAnsi="Times New Roman" w:cs="Times New Roman"/>
          <w:sz w:val="24"/>
          <w:szCs w:val="24"/>
        </w:rPr>
        <w:t xml:space="preserve"> </w:t>
      </w:r>
      <w:r w:rsidR="00207CD8" w:rsidRPr="00207CD8">
        <w:rPr>
          <w:rFonts w:ascii="Times New Roman" w:hAnsi="Times New Roman" w:cs="Times New Roman"/>
          <w:sz w:val="24"/>
          <w:szCs w:val="24"/>
        </w:rPr>
        <w:t>During the acclimation period,</w:t>
      </w:r>
      <w:r w:rsidR="00CA034D" w:rsidRPr="00CA034D">
        <w:rPr>
          <w:i/>
          <w:iCs/>
        </w:rPr>
        <w:t xml:space="preserve"> </w:t>
      </w:r>
      <w:r w:rsidR="00CA034D" w:rsidRPr="00CA034D">
        <w:rPr>
          <w:rFonts w:ascii="Times New Roman" w:hAnsi="Times New Roman" w:cs="Times New Roman"/>
          <w:sz w:val="24"/>
          <w:szCs w:val="24"/>
        </w:rPr>
        <w:t>the fry were maintained at 35 ppt (ambient seawater salinity</w:t>
      </w:r>
      <w:r w:rsidR="00CA034D" w:rsidRPr="00CA034D">
        <w:rPr>
          <w:rFonts w:ascii="Times New Roman" w:hAnsi="Times New Roman" w:cs="Times New Roman"/>
          <w:b/>
          <w:bCs/>
          <w:sz w:val="24"/>
          <w:szCs w:val="24"/>
        </w:rPr>
        <w:t>)</w:t>
      </w:r>
      <w:r w:rsidR="00CA034D" w:rsidRPr="00CA034D">
        <w:rPr>
          <w:rFonts w:ascii="Times New Roman" w:hAnsi="Times New Roman" w:cs="Times New Roman"/>
          <w:sz w:val="24"/>
          <w:szCs w:val="24"/>
        </w:rPr>
        <w:t xml:space="preserve"> under continuous aeration before being gradually transferred to the experimental salinity treatments</w:t>
      </w:r>
      <w:r w:rsidR="00CA034D" w:rsidRPr="00833E66">
        <w:rPr>
          <w:rFonts w:ascii="Times New Roman" w:hAnsi="Times New Roman" w:cs="Times New Roman"/>
          <w:sz w:val="24"/>
          <w:szCs w:val="24"/>
        </w:rPr>
        <w:t xml:space="preserve">." </w:t>
      </w:r>
      <w:r w:rsidR="001F0640" w:rsidRPr="001F0640">
        <w:rPr>
          <w:rFonts w:ascii="Times New Roman" w:hAnsi="Times New Roman" w:cs="Times New Roman"/>
          <w:sz w:val="24"/>
          <w:szCs w:val="24"/>
        </w:rPr>
        <w:t>Fish were fed a commercial floating pellet diet containing 45% crude protein, 10% crude lipid, 4% crude fibre, and 12% ash throughout the experimental period.</w:t>
      </w:r>
      <w:r w:rsidR="001F0640">
        <w:rPr>
          <w:rFonts w:ascii="Times New Roman" w:hAnsi="Times New Roman" w:cs="Times New Roman"/>
          <w:sz w:val="24"/>
          <w:szCs w:val="24"/>
        </w:rPr>
        <w:t xml:space="preserve"> </w:t>
      </w:r>
      <w:r w:rsidR="009545F4" w:rsidRPr="009545F4">
        <w:rPr>
          <w:rFonts w:ascii="Times New Roman" w:hAnsi="Times New Roman" w:cs="Times New Roman"/>
          <w:sz w:val="24"/>
          <w:szCs w:val="24"/>
        </w:rPr>
        <w:t>Water quality parameters, including temperature, pH, dissolved oxygen, and salinity, were monitored regularly and maintained within the recommended range for silver pompano culture throughout the experiment.</w:t>
      </w:r>
    </w:p>
    <w:p w14:paraId="7966AB4A" w14:textId="37FF4679" w:rsidR="00B56D23" w:rsidRPr="00833E66" w:rsidRDefault="004D2643" w:rsidP="002E394A">
      <w:pPr>
        <w:pStyle w:val="BodyText"/>
        <w:spacing w:before="143" w:line="276" w:lineRule="auto"/>
        <w:jc w:val="both"/>
        <w:rPr>
          <w:rFonts w:ascii="Times New Roman" w:hAnsi="Times New Roman" w:cs="Times New Roman"/>
          <w:bCs/>
        </w:rPr>
      </w:pPr>
      <w:r w:rsidRPr="004D2643">
        <w:rPr>
          <w:rFonts w:ascii="Times New Roman" w:hAnsi="Times New Roman" w:cs="Times New Roman"/>
          <w:bCs/>
          <w:lang w:val="en-IN"/>
        </w:rPr>
        <w:t xml:space="preserve">The experiment was conducted using a completely randomized design (CRD) with four salinity treatments: 35 ppt (Control, C1), 25 ppt (T1), 15 ppt (T2), and 5 ppt (T3). Each treatment was </w:t>
      </w:r>
      <w:r w:rsidRPr="004D2643">
        <w:rPr>
          <w:rFonts w:ascii="Times New Roman" w:hAnsi="Times New Roman" w:cs="Times New Roman"/>
          <w:bCs/>
          <w:lang w:val="en-IN"/>
        </w:rPr>
        <w:lastRenderedPageBreak/>
        <w:t>maintained in triplicate using 250 L FRP tanks.</w:t>
      </w:r>
      <w:r>
        <w:rPr>
          <w:rFonts w:ascii="Times New Roman" w:hAnsi="Times New Roman" w:cs="Times New Roman"/>
          <w:bCs/>
          <w:lang w:val="en-IN"/>
        </w:rPr>
        <w:t xml:space="preserve"> </w:t>
      </w:r>
      <w:r w:rsidR="00AA4959" w:rsidRPr="00AA4959">
        <w:rPr>
          <w:rFonts w:ascii="Times New Roman" w:hAnsi="Times New Roman" w:cs="Times New Roman"/>
          <w:bCs/>
          <w:lang w:val="en-IN"/>
        </w:rPr>
        <w:t>21 silver pompano juveniles were randomly stocked into each 250 L FRP tank. Based on the effective water surface area of the tanks, this stocking level corresponded to a stocking density of approximately 75 juveniles m⁻²</w:t>
      </w:r>
      <w:r w:rsidR="00AA4959">
        <w:rPr>
          <w:rFonts w:ascii="Times New Roman" w:hAnsi="Times New Roman" w:cs="Times New Roman"/>
          <w:bCs/>
          <w:lang w:val="en-IN"/>
        </w:rPr>
        <w:t>.</w:t>
      </w:r>
      <w:r w:rsidR="00207CD8" w:rsidRPr="00207CD8">
        <w:rPr>
          <w:rFonts w:ascii="Times New Roman" w:hAnsi="Times New Roman" w:cs="Times New Roman"/>
          <w:bCs/>
          <w:lang w:val="en-IN"/>
        </w:rPr>
        <w:t xml:space="preserve"> </w:t>
      </w:r>
      <w:r w:rsidR="00833E66" w:rsidRPr="00833E66">
        <w:rPr>
          <w:rFonts w:ascii="Times New Roman" w:hAnsi="Times New Roman" w:cs="Times New Roman"/>
          <w:bCs/>
          <w:lang w:val="en-IN"/>
        </w:rPr>
        <w:t xml:space="preserve">Fish </w:t>
      </w:r>
      <w:r w:rsidR="00232A2B" w:rsidRPr="00232A2B">
        <w:rPr>
          <w:rFonts w:ascii="Times New Roman" w:hAnsi="Times New Roman" w:cs="Times New Roman"/>
          <w:bCs/>
          <w:lang w:val="en-IN"/>
        </w:rPr>
        <w:t>Fish were randomly allocated to the experimental treatments with an initial mean body weight of 1.75 ± 0.16 g and total length of 4.46 ± 0.08 cm. No significant differences were observed among treatments before stocking (P &gt; 0.05).</w:t>
      </w:r>
    </w:p>
    <w:p w14:paraId="0922278B" w14:textId="7B3A56CC" w:rsidR="00207CD8" w:rsidRDefault="00207CD8" w:rsidP="002E394A">
      <w:pPr>
        <w:pStyle w:val="BodyText"/>
        <w:spacing w:before="143" w:line="276" w:lineRule="auto"/>
        <w:jc w:val="both"/>
        <w:rPr>
          <w:rFonts w:ascii="Times New Roman" w:hAnsi="Times New Roman" w:cs="Times New Roman"/>
          <w:bCs/>
          <w:lang w:val="en-IN"/>
        </w:rPr>
      </w:pPr>
      <w:r w:rsidRPr="00207CD8">
        <w:rPr>
          <w:rFonts w:ascii="Times New Roman" w:hAnsi="Times New Roman" w:cs="Times New Roman"/>
          <w:bCs/>
          <w:lang w:val="en-IN"/>
        </w:rPr>
        <w:t xml:space="preserve">Salinity levels were prepared by mixing filtered seawater and freshwater to obtain the desired salinity (35, 25, 15 and 5 ppt). </w:t>
      </w:r>
      <w:r w:rsidR="00232A2B" w:rsidRPr="00232A2B">
        <w:rPr>
          <w:rFonts w:ascii="Times New Roman" w:hAnsi="Times New Roman" w:cs="Times New Roman"/>
          <w:bCs/>
          <w:lang w:val="en-IN"/>
        </w:rPr>
        <w:t>Salinity was monitored daily using a handheld refractometer and maintained within ±1 ppt of the target values throughout the experimental period by periodic water exchange.</w:t>
      </w:r>
      <w:r w:rsidR="00232A2B">
        <w:rPr>
          <w:rFonts w:ascii="Times New Roman" w:hAnsi="Times New Roman" w:cs="Times New Roman"/>
          <w:bCs/>
          <w:lang w:val="en-IN"/>
        </w:rPr>
        <w:t xml:space="preserve"> </w:t>
      </w:r>
      <w:r w:rsidR="00DE4775" w:rsidRPr="00DE4775">
        <w:rPr>
          <w:rFonts w:ascii="Times New Roman" w:hAnsi="Times New Roman" w:cs="Times New Roman"/>
          <w:bCs/>
          <w:lang w:val="en-IN"/>
        </w:rPr>
        <w:t xml:space="preserve">Fish were fed at </w:t>
      </w:r>
      <w:r w:rsidR="00DE4775" w:rsidRPr="00DE4775">
        <w:rPr>
          <w:rFonts w:ascii="Times New Roman" w:hAnsi="Times New Roman" w:cs="Times New Roman"/>
          <w:lang w:val="en-IN"/>
        </w:rPr>
        <w:t>3% of body weight per day, divided into two equal meals (09:30 and 14:30 h). Feed ration was adjusted after each sampling</w:t>
      </w:r>
      <w:r w:rsidR="00DE4775" w:rsidRPr="00DE4775">
        <w:rPr>
          <w:rFonts w:ascii="Times New Roman" w:hAnsi="Times New Roman" w:cs="Times New Roman"/>
          <w:bCs/>
          <w:lang w:val="en-IN"/>
        </w:rPr>
        <w:t xml:space="preserve"> according to biomass.</w:t>
      </w:r>
    </w:p>
    <w:p w14:paraId="24909F19" w14:textId="4275D460" w:rsidR="00207CD8" w:rsidRDefault="00207CD8" w:rsidP="002E394A">
      <w:pPr>
        <w:pStyle w:val="BodyText"/>
        <w:spacing w:before="143" w:line="276" w:lineRule="auto"/>
        <w:jc w:val="both"/>
        <w:rPr>
          <w:rFonts w:ascii="Times New Roman" w:hAnsi="Times New Roman" w:cs="Times New Roman"/>
          <w:b/>
          <w:lang w:val="en-IN"/>
        </w:rPr>
      </w:pPr>
      <w:r w:rsidRPr="00207CD8">
        <w:rPr>
          <w:rFonts w:ascii="Times New Roman" w:hAnsi="Times New Roman" w:cs="Times New Roman"/>
          <w:b/>
          <w:lang w:val="en-IN"/>
        </w:rPr>
        <w:t>Periphyton Development</w:t>
      </w:r>
    </w:p>
    <w:p w14:paraId="244D1654" w14:textId="53B6E71D" w:rsidR="00207CD8" w:rsidRPr="00A9426C" w:rsidRDefault="00190E4C" w:rsidP="002E394A">
      <w:pPr>
        <w:pStyle w:val="BodyText"/>
        <w:spacing w:before="143" w:line="276" w:lineRule="auto"/>
        <w:jc w:val="both"/>
        <w:rPr>
          <w:rFonts w:ascii="Times New Roman" w:hAnsi="Times New Roman" w:cs="Times New Roman"/>
          <w:bCs/>
          <w:lang w:val="en-IN"/>
        </w:rPr>
      </w:pPr>
      <w:r w:rsidRPr="00190E4C">
        <w:rPr>
          <w:rFonts w:ascii="Times New Roman" w:hAnsi="Times New Roman" w:cs="Times New Roman"/>
          <w:bCs/>
          <w:lang w:val="en-IN"/>
        </w:rPr>
        <w:t>Eleven split bamboo substrates (approximately 400 cm² surface area each) were installed vertically in each tank to serve as artificial substrates for periphyton colonization.</w:t>
      </w:r>
      <w:r w:rsidR="00207CD8" w:rsidRPr="00207CD8">
        <w:rPr>
          <w:rFonts w:ascii="Times New Roman" w:hAnsi="Times New Roman" w:cs="Times New Roman"/>
          <w:bCs/>
          <w:lang w:val="en-IN"/>
        </w:rPr>
        <w:t xml:space="preserve"> </w:t>
      </w:r>
      <w:r w:rsidR="00012E7E" w:rsidRPr="00012E7E">
        <w:rPr>
          <w:rFonts w:ascii="Times New Roman" w:hAnsi="Times New Roman" w:cs="Times New Roman"/>
          <w:bCs/>
          <w:lang w:val="en-IN"/>
        </w:rPr>
        <w:t>The substrates were installed ten days before fish stocking to allow natural periphyton colonization.</w:t>
      </w:r>
      <w:r w:rsidR="00012E7E">
        <w:rPr>
          <w:rFonts w:ascii="Times New Roman" w:hAnsi="Times New Roman" w:cs="Times New Roman"/>
          <w:bCs/>
          <w:lang w:val="en-IN"/>
        </w:rPr>
        <w:t xml:space="preserve"> </w:t>
      </w:r>
      <w:r w:rsidR="00207CD8" w:rsidRPr="00207CD8">
        <w:rPr>
          <w:rFonts w:ascii="Times New Roman" w:hAnsi="Times New Roman" w:cs="Times New Roman"/>
          <w:bCs/>
          <w:lang w:val="en-IN"/>
        </w:rPr>
        <w:t>No cleaning of the substrates was carried out during the experimental period.</w:t>
      </w:r>
    </w:p>
    <w:p w14:paraId="6855237A" w14:textId="581DC52D" w:rsidR="002E394A" w:rsidRPr="00207CD8" w:rsidRDefault="00207CD8" w:rsidP="002E394A">
      <w:pPr>
        <w:pStyle w:val="BodyText"/>
        <w:spacing w:before="143" w:line="276" w:lineRule="auto"/>
        <w:jc w:val="both"/>
        <w:rPr>
          <w:rFonts w:ascii="Times New Roman" w:eastAsia="Times New Roman" w:hAnsi="Times New Roman" w:cs="Times New Roman"/>
          <w:b/>
          <w:color w:val="000000" w:themeColor="text1"/>
          <w:lang w:eastAsia="en-IN"/>
        </w:rPr>
      </w:pPr>
      <w:r w:rsidRPr="00207CD8">
        <w:rPr>
          <w:rFonts w:ascii="Times New Roman" w:hAnsi="Times New Roman" w:cs="Times New Roman"/>
          <w:b/>
        </w:rPr>
        <w:t>Sampling</w:t>
      </w:r>
      <w:r w:rsidR="003614F2" w:rsidRPr="00207CD8">
        <w:rPr>
          <w:rFonts w:ascii="Times New Roman" w:hAnsi="Times New Roman" w:cs="Times New Roman"/>
          <w:b/>
          <w:spacing w:val="-4"/>
        </w:rPr>
        <w:t xml:space="preserve"> </w:t>
      </w:r>
      <w:r w:rsidR="003614F2" w:rsidRPr="00207CD8">
        <w:rPr>
          <w:rFonts w:ascii="Times New Roman" w:hAnsi="Times New Roman" w:cs="Times New Roman"/>
          <w:b/>
        </w:rPr>
        <w:t>for</w:t>
      </w:r>
      <w:r w:rsidR="003614F2" w:rsidRPr="00207CD8">
        <w:rPr>
          <w:rFonts w:ascii="Times New Roman" w:hAnsi="Times New Roman" w:cs="Times New Roman"/>
          <w:b/>
          <w:spacing w:val="-3"/>
        </w:rPr>
        <w:t xml:space="preserve"> </w:t>
      </w:r>
      <w:r w:rsidR="003614F2" w:rsidRPr="00207CD8">
        <w:rPr>
          <w:rFonts w:ascii="Times New Roman" w:hAnsi="Times New Roman" w:cs="Times New Roman"/>
          <w:b/>
        </w:rPr>
        <w:t>histological</w:t>
      </w:r>
      <w:r w:rsidR="003614F2" w:rsidRPr="00207CD8">
        <w:rPr>
          <w:rFonts w:ascii="Times New Roman" w:hAnsi="Times New Roman" w:cs="Times New Roman"/>
          <w:b/>
          <w:spacing w:val="-4"/>
        </w:rPr>
        <w:t xml:space="preserve"> </w:t>
      </w:r>
      <w:r w:rsidR="003614F2" w:rsidRPr="00207CD8">
        <w:rPr>
          <w:rFonts w:ascii="Times New Roman" w:hAnsi="Times New Roman" w:cs="Times New Roman"/>
          <w:b/>
          <w:spacing w:val="-2"/>
        </w:rPr>
        <w:t>analysis</w:t>
      </w:r>
      <w:r w:rsidR="003614F2" w:rsidRPr="00207CD8">
        <w:rPr>
          <w:rFonts w:ascii="Times New Roman" w:eastAsia="Times New Roman" w:hAnsi="Times New Roman" w:cs="Times New Roman"/>
          <w:b/>
          <w:color w:val="000000" w:themeColor="text1"/>
          <w:lang w:eastAsia="en-IN"/>
        </w:rPr>
        <w:t xml:space="preserve"> through salinity stress assessment</w:t>
      </w:r>
    </w:p>
    <w:p w14:paraId="4F366F34" w14:textId="77777777" w:rsidR="005413E9" w:rsidRDefault="00012E7E" w:rsidP="002E394A">
      <w:pPr>
        <w:pStyle w:val="BodyText"/>
        <w:spacing w:line="276" w:lineRule="auto"/>
        <w:ind w:right="133"/>
        <w:jc w:val="both"/>
        <w:rPr>
          <w:rFonts w:ascii="Times New Roman" w:hAnsi="Times New Roman" w:cs="Times New Roman"/>
          <w:color w:val="000000" w:themeColor="text1"/>
          <w:lang w:val="en-IN"/>
        </w:rPr>
      </w:pPr>
      <w:r w:rsidRPr="00012E7E">
        <w:rPr>
          <w:rFonts w:ascii="Times New Roman" w:hAnsi="Times New Roman" w:cs="Times New Roman"/>
          <w:lang w:val="en-IN"/>
        </w:rPr>
        <w:t>Sampling was conducted at the end of the 60-day experimental period.</w:t>
      </w:r>
      <w:r>
        <w:rPr>
          <w:rFonts w:ascii="Times New Roman" w:hAnsi="Times New Roman" w:cs="Times New Roman"/>
          <w:lang w:val="en-IN"/>
        </w:rPr>
        <w:t xml:space="preserve"> </w:t>
      </w:r>
      <w:r w:rsidR="00085389" w:rsidRPr="00085389">
        <w:rPr>
          <w:rFonts w:ascii="Times New Roman" w:hAnsi="Times New Roman" w:cs="Times New Roman"/>
          <w:lang w:val="en-IN"/>
        </w:rPr>
        <w:t>Growth performance was recorded at 15-day intervals, and five fish from each replicate were sampled at the end of the experiment for biochemical and histological analyses</w:t>
      </w:r>
      <w:r w:rsidR="00085389">
        <w:rPr>
          <w:rFonts w:ascii="Times New Roman" w:hAnsi="Times New Roman" w:cs="Times New Roman"/>
          <w:lang w:val="en-IN"/>
        </w:rPr>
        <w:t xml:space="preserve">. </w:t>
      </w:r>
      <w:r w:rsidR="00085389" w:rsidRPr="00085389">
        <w:rPr>
          <w:rFonts w:ascii="Times New Roman" w:hAnsi="Times New Roman" w:cs="Times New Roman"/>
          <w:lang w:val="en-IN"/>
        </w:rPr>
        <w:t>Sampling was carried out in the morning before feeding to ensure that the fish had empty digestive tracts</w:t>
      </w:r>
      <w:r w:rsidR="002B4BC5" w:rsidRPr="00E301E4">
        <w:rPr>
          <w:rFonts w:ascii="Times New Roman" w:hAnsi="Times New Roman" w:cs="Times New Roman"/>
        </w:rPr>
        <w:t xml:space="preserve">. </w:t>
      </w:r>
      <w:r w:rsidR="0025754D" w:rsidRPr="0025754D">
        <w:rPr>
          <w:rFonts w:ascii="Times New Roman" w:hAnsi="Times New Roman" w:cs="Times New Roman"/>
          <w:lang w:val="en-IN"/>
        </w:rPr>
        <w:t>Body weight and total length of each fish were recorded before tissue collection.</w:t>
      </w:r>
      <w:r w:rsidR="00646950" w:rsidRPr="00646950">
        <w:rPr>
          <w:rFonts w:asciiTheme="minorHAnsi" w:eastAsiaTheme="minorHAnsi" w:hAnsiTheme="minorHAnsi" w:cstheme="minorBidi"/>
          <w:sz w:val="22"/>
          <w:szCs w:val="22"/>
          <w:lang w:val="en-IN"/>
        </w:rPr>
        <w:t xml:space="preserve"> </w:t>
      </w:r>
      <w:r w:rsidR="00646950" w:rsidRPr="00646950">
        <w:rPr>
          <w:rFonts w:ascii="Times New Roman" w:hAnsi="Times New Roman" w:cs="Times New Roman"/>
          <w:lang w:val="en-IN"/>
        </w:rPr>
        <w:t>The gill and liver tissue of the fish specimens subjected to salinities of 35 ppt (natural habitat condition), 25 ppt, 15 ppt, and 5 ppt were collected at the end of the experiment</w:t>
      </w:r>
      <w:r w:rsidR="002B4BC5" w:rsidRPr="00237388">
        <w:rPr>
          <w:rFonts w:ascii="Times New Roman" w:hAnsi="Times New Roman" w:cs="Times New Roman"/>
          <w:color w:val="000000" w:themeColor="text1"/>
          <w:lang w:val="en-IN"/>
        </w:rPr>
        <w:t>.</w:t>
      </w:r>
      <w:r w:rsidR="00763B4F">
        <w:rPr>
          <w:rFonts w:ascii="Times New Roman" w:hAnsi="Times New Roman" w:cs="Times New Roman"/>
          <w:color w:val="000000" w:themeColor="text1"/>
          <w:lang w:val="en-IN"/>
        </w:rPr>
        <w:t xml:space="preserve"> </w:t>
      </w:r>
    </w:p>
    <w:p w14:paraId="0CC71256" w14:textId="3C7167A3" w:rsidR="000617A6" w:rsidRPr="00613D73" w:rsidRDefault="000617A6" w:rsidP="00E92A71">
      <w:pPr>
        <w:spacing w:after="200" w:line="276" w:lineRule="auto"/>
        <w:jc w:val="both"/>
        <w:rPr>
          <w:rFonts w:ascii="Times New Roman" w:eastAsia="Times New Roman" w:hAnsi="Times New Roman" w:cs="Times New Roman"/>
          <w:color w:val="000000" w:themeColor="text1"/>
          <w:sz w:val="24"/>
          <w:szCs w:val="24"/>
          <w:lang w:eastAsia="en-IN"/>
        </w:rPr>
      </w:pPr>
      <w:r w:rsidRPr="000617A6">
        <w:rPr>
          <w:rFonts w:ascii="Times New Roman" w:eastAsia="Times New Roman" w:hAnsi="Times New Roman" w:cs="Times New Roman"/>
          <w:color w:val="000000" w:themeColor="text1"/>
          <w:sz w:val="24"/>
          <w:szCs w:val="24"/>
          <w:lang w:eastAsia="en-IN"/>
        </w:rPr>
        <w:t>For histological analysis, the operculum was lifted and gills were excised by cutting at the base, while liver samples were carefully dissected from the visceral cavity. The collected tissue samples were immediately preserved in 10% neutral buffered formalin (NBF) at room temperature for 24 to 48 hours (Genten et al., 2009; Biswas et al., 2021). The NBF fixative was prepared by combining 4 g of sodium dihydrogen phosphate, 6.5 g of disodium hydrogen phosphate, 100 mL of formalin, and 900 mL of distilled water. Following fixation, the tissues were dehydrated through a graded series of progressive alcohol solutions, cleared in xylol, and embedded in paraffin blocks using an automated tissue processor. Paraffin blocks were sectioned at a thickness of 3–5 µm using a microtome, incubated in a water bath at 40°C, and air-dried for one hour. The sections were subsequently stained with hematoxylin and eosin (H&amp;E) and examined under a light microscope at 400× magnification.</w:t>
      </w:r>
    </w:p>
    <w:p w14:paraId="5EE8816E" w14:textId="1EFE100F" w:rsidR="00E92A71"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eastAsia="Times New Roman" w:hAnsi="Times New Roman" w:cs="Times New Roman"/>
          <w:b/>
          <w:bCs/>
          <w:color w:val="000000" w:themeColor="text1"/>
          <w:sz w:val="24"/>
          <w:szCs w:val="24"/>
          <w:lang w:eastAsia="en-IN"/>
        </w:rPr>
        <w:t xml:space="preserve">Trial with </w:t>
      </w:r>
      <w:r w:rsidR="00056FE2">
        <w:rPr>
          <w:rFonts w:ascii="Times New Roman" w:eastAsia="Times New Roman" w:hAnsi="Times New Roman" w:cs="Times New Roman"/>
          <w:b/>
          <w:bCs/>
          <w:color w:val="000000" w:themeColor="text1"/>
          <w:sz w:val="24"/>
          <w:szCs w:val="24"/>
          <w:lang w:eastAsia="en-IN"/>
        </w:rPr>
        <w:t xml:space="preserve">Varying </w:t>
      </w:r>
      <w:r w:rsidRPr="00E301E4">
        <w:rPr>
          <w:rFonts w:ascii="Times New Roman" w:eastAsia="Times New Roman" w:hAnsi="Times New Roman" w:cs="Times New Roman"/>
          <w:b/>
          <w:bCs/>
          <w:color w:val="000000" w:themeColor="text1"/>
          <w:sz w:val="24"/>
          <w:szCs w:val="24"/>
          <w:lang w:eastAsia="en-IN"/>
        </w:rPr>
        <w:t>diffe</w:t>
      </w:r>
      <w:r w:rsidR="00056FE2">
        <w:rPr>
          <w:rFonts w:ascii="Times New Roman" w:eastAsia="Times New Roman" w:hAnsi="Times New Roman" w:cs="Times New Roman"/>
          <w:b/>
          <w:bCs/>
          <w:color w:val="000000" w:themeColor="text1"/>
          <w:sz w:val="24"/>
          <w:szCs w:val="24"/>
          <w:lang w:eastAsia="en-IN"/>
        </w:rPr>
        <w:t>rent S</w:t>
      </w:r>
      <w:r w:rsidRPr="00E301E4">
        <w:rPr>
          <w:rFonts w:ascii="Times New Roman" w:eastAsia="Times New Roman" w:hAnsi="Times New Roman" w:cs="Times New Roman"/>
          <w:b/>
          <w:bCs/>
          <w:color w:val="000000" w:themeColor="text1"/>
          <w:sz w:val="24"/>
          <w:szCs w:val="24"/>
          <w:lang w:eastAsia="en-IN"/>
        </w:rPr>
        <w:t>alinities</w:t>
      </w:r>
      <w:r w:rsidR="00056FE2">
        <w:rPr>
          <w:rFonts w:ascii="Times New Roman" w:eastAsia="Times New Roman" w:hAnsi="Times New Roman" w:cs="Times New Roman"/>
          <w:b/>
          <w:bCs/>
          <w:color w:val="000000" w:themeColor="text1"/>
          <w:sz w:val="24"/>
          <w:szCs w:val="24"/>
          <w:lang w:eastAsia="en-IN"/>
        </w:rPr>
        <w:t xml:space="preserve"> and Sampling</w:t>
      </w:r>
    </w:p>
    <w:p w14:paraId="25B09124" w14:textId="0B854961" w:rsidR="002B4BC5"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hAnsi="Times New Roman" w:cs="Times New Roman"/>
          <w:color w:val="212121"/>
          <w:sz w:val="24"/>
          <w:szCs w:val="24"/>
        </w:rPr>
        <w:t xml:space="preserve"> </w:t>
      </w:r>
      <w:r w:rsidR="00056FE2" w:rsidRPr="00056FE2">
        <w:rPr>
          <w:rFonts w:ascii="Times New Roman" w:hAnsi="Times New Roman" w:cs="Times New Roman"/>
          <w:color w:val="212121"/>
          <w:sz w:val="24"/>
          <w:szCs w:val="24"/>
        </w:rPr>
        <w:t xml:space="preserve">Sampling was conducted fortnightly to monitor and record growth performance metrics. Fish from the control group and the three distinct salinity treatments were carefully collected using a soft mesh dip net. Individual body weights (g) were recorded using a high-precision digital weighing balance, and total lengths (cm) were measured using a calibrated linear scale to track </w:t>
      </w:r>
      <w:r w:rsidR="00056FE2" w:rsidRPr="00056FE2">
        <w:rPr>
          <w:rFonts w:ascii="Times New Roman" w:hAnsi="Times New Roman" w:cs="Times New Roman"/>
          <w:color w:val="212121"/>
          <w:sz w:val="24"/>
          <w:szCs w:val="24"/>
        </w:rPr>
        <w:lastRenderedPageBreak/>
        <w:t>development. Throughout the sampling process, specimens were handled with utmost care and kept in well-aerated water to minimize handling-induced stress.</w:t>
      </w:r>
    </w:p>
    <w:p w14:paraId="68A8EE0B" w14:textId="77777777" w:rsidR="008A5029" w:rsidRPr="00E301E4" w:rsidRDefault="002B4BC5" w:rsidP="008A5029">
      <w:pPr>
        <w:spacing w:after="20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Observation of osmoregulatory parameters</w:t>
      </w:r>
    </w:p>
    <w:p w14:paraId="2C3F32D3" w14:textId="782CD459" w:rsidR="002B4BC5" w:rsidRPr="00E301E4" w:rsidRDefault="002B4BC5" w:rsidP="00CE41FA">
      <w:pPr>
        <w:spacing w:after="20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Cortisol </w:t>
      </w:r>
      <w:r w:rsidR="000A3E26">
        <w:rPr>
          <w:rFonts w:ascii="Times New Roman" w:hAnsi="Times New Roman" w:cs="Times New Roman"/>
          <w:b/>
          <w:bCs/>
          <w:sz w:val="24"/>
          <w:szCs w:val="24"/>
        </w:rPr>
        <w:t>H</w:t>
      </w:r>
      <w:r w:rsidRPr="00E301E4">
        <w:rPr>
          <w:rFonts w:ascii="Times New Roman" w:hAnsi="Times New Roman" w:cs="Times New Roman"/>
          <w:b/>
          <w:bCs/>
          <w:sz w:val="24"/>
          <w:szCs w:val="24"/>
        </w:rPr>
        <w:t xml:space="preserve">ormone </w:t>
      </w:r>
      <w:r w:rsidR="00CD67CA" w:rsidRPr="00E301E4">
        <w:rPr>
          <w:rFonts w:ascii="Times New Roman" w:hAnsi="Times New Roman" w:cs="Times New Roman"/>
          <w:b/>
          <w:bCs/>
          <w:sz w:val="24"/>
          <w:szCs w:val="24"/>
        </w:rPr>
        <w:t>analysis</w:t>
      </w:r>
      <w:r w:rsidR="00CD67CA">
        <w:rPr>
          <w:rFonts w:ascii="Times New Roman" w:hAnsi="Times New Roman" w:cs="Times New Roman"/>
          <w:b/>
          <w:bCs/>
          <w:sz w:val="24"/>
          <w:szCs w:val="24"/>
        </w:rPr>
        <w:t>:</w:t>
      </w:r>
      <w:r w:rsidR="00CD67CA" w:rsidRPr="00E301E4">
        <w:rPr>
          <w:rFonts w:ascii="Times New Roman" w:hAnsi="Times New Roman" w:cs="Times New Roman"/>
          <w:color w:val="000000" w:themeColor="text1"/>
          <w:sz w:val="24"/>
          <w:szCs w:val="24"/>
        </w:rPr>
        <w:t xml:space="preserve"> </w:t>
      </w:r>
      <w:r w:rsidR="00D85814" w:rsidRPr="00D85814">
        <w:rPr>
          <w:rFonts w:ascii="Times New Roman" w:hAnsi="Times New Roman" w:cs="Times New Roman"/>
          <w:color w:val="000000" w:themeColor="text1"/>
          <w:sz w:val="24"/>
          <w:szCs w:val="24"/>
        </w:rPr>
        <w:t>Plasma cortisol levels were quantified using a commercially available enzyme-linked immunosorbent assay (ELISA) kit, following the protocols described by Zhang et al. (2022).</w:t>
      </w:r>
    </w:p>
    <w:p w14:paraId="452729E6" w14:textId="694BA048" w:rsidR="002B4BC5" w:rsidRPr="00CD67CA"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Estimation of Plasma Glucose </w:t>
      </w:r>
      <w:r w:rsidR="00CD67CA" w:rsidRPr="00E301E4">
        <w:rPr>
          <w:rFonts w:ascii="Times New Roman" w:hAnsi="Times New Roman" w:cs="Times New Roman"/>
          <w:b/>
          <w:bCs/>
          <w:sz w:val="24"/>
          <w:szCs w:val="24"/>
        </w:rPr>
        <w:t>Concentration</w:t>
      </w:r>
      <w:r w:rsidR="00CD67CA">
        <w:rPr>
          <w:rFonts w:ascii="Times New Roman" w:hAnsi="Times New Roman" w:cs="Times New Roman"/>
          <w:b/>
          <w:bCs/>
          <w:sz w:val="24"/>
          <w:szCs w:val="24"/>
        </w:rPr>
        <w:t>:</w:t>
      </w:r>
      <w:r w:rsidRPr="00E301E4">
        <w:rPr>
          <w:rFonts w:ascii="Times New Roman" w:hAnsi="Times New Roman" w:cs="Times New Roman"/>
          <w:color w:val="000000" w:themeColor="text1"/>
          <w:w w:val="105"/>
          <w:sz w:val="24"/>
          <w:szCs w:val="24"/>
        </w:rPr>
        <w:t xml:space="preserve"> </w:t>
      </w:r>
      <w:r w:rsidR="00D85814" w:rsidRPr="00D85814">
        <w:rPr>
          <w:rFonts w:ascii="Times New Roman" w:hAnsi="Times New Roman" w:cs="Times New Roman"/>
          <w:color w:val="000000" w:themeColor="text1"/>
          <w:w w:val="105"/>
          <w:sz w:val="24"/>
          <w:szCs w:val="24"/>
        </w:rPr>
        <w:t>Plasma glucose concentration was determined spectrophotometrically utilizing a commercial enzymatic glucose oxidase (GOD-POD) assay kit, following standard diagnostic methods (Wedemeyer and Yasutake, 1977).</w:t>
      </w:r>
    </w:p>
    <w:p w14:paraId="78CEFCD6" w14:textId="2C1D6C55" w:rsidR="002B4BC5" w:rsidRPr="00B133D7" w:rsidRDefault="002B4BC5" w:rsidP="008A5029">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Estimation of Haematocrit </w:t>
      </w:r>
      <w:r w:rsidR="00B133D7">
        <w:rPr>
          <w:rFonts w:ascii="Times New Roman" w:hAnsi="Times New Roman" w:cs="Times New Roman"/>
          <w:b/>
          <w:bCs/>
          <w:sz w:val="24"/>
          <w:szCs w:val="24"/>
        </w:rPr>
        <w:t>V</w:t>
      </w:r>
      <w:r w:rsidRPr="00E301E4">
        <w:rPr>
          <w:rFonts w:ascii="Times New Roman" w:hAnsi="Times New Roman" w:cs="Times New Roman"/>
          <w:b/>
          <w:bCs/>
          <w:sz w:val="24"/>
          <w:szCs w:val="24"/>
        </w:rPr>
        <w:t>alue</w:t>
      </w:r>
      <w:r w:rsidR="00B133D7">
        <w:rPr>
          <w:rFonts w:ascii="Times New Roman" w:hAnsi="Times New Roman" w:cs="Times New Roman"/>
          <w:b/>
          <w:bCs/>
          <w:sz w:val="24"/>
          <w:szCs w:val="24"/>
        </w:rPr>
        <w:t>:</w:t>
      </w:r>
      <w:r w:rsidRPr="00E301E4">
        <w:rPr>
          <w:rFonts w:ascii="Times New Roman" w:hAnsi="Times New Roman" w:cs="Times New Roman"/>
          <w:b/>
          <w:bCs/>
          <w:sz w:val="24"/>
          <w:szCs w:val="24"/>
        </w:rPr>
        <w:t xml:space="preserve"> </w:t>
      </w:r>
      <w:r w:rsidR="00B133D7" w:rsidRPr="00B133D7">
        <w:rPr>
          <w:rFonts w:ascii="Times New Roman" w:hAnsi="Times New Roman" w:cs="Times New Roman"/>
          <w:sz w:val="24"/>
          <w:szCs w:val="24"/>
        </w:rPr>
        <w:t xml:space="preserve">The haematocrit (packed cell volume) percentage of the experimental fish was determined using a micro-haematocrit centrifuge (Micro spin, Centribio, Shanghai, China). Blood-filled capillary tubes were sealed and centrifuged at 9,000 × </w:t>
      </w:r>
      <w:r w:rsidR="00B133D7" w:rsidRPr="00B133D7">
        <w:rPr>
          <w:rFonts w:ascii="Times New Roman" w:hAnsi="Times New Roman" w:cs="Times New Roman"/>
          <w:i/>
          <w:iCs/>
          <w:sz w:val="24"/>
          <w:szCs w:val="24"/>
        </w:rPr>
        <w:t>g</w:t>
      </w:r>
      <w:r w:rsidR="00B133D7" w:rsidRPr="00B133D7">
        <w:rPr>
          <w:rFonts w:ascii="Times New Roman" w:hAnsi="Times New Roman" w:cs="Times New Roman"/>
          <w:sz w:val="24"/>
          <w:szCs w:val="24"/>
        </w:rPr>
        <w:t xml:space="preserve"> for 5 minutes, after which the percentage of packed red blood cells was read using a micro-haematocrit reader card.</w:t>
      </w:r>
    </w:p>
    <w:p w14:paraId="4662F2FA" w14:textId="2B68FE3D" w:rsidR="002B4BC5" w:rsidRPr="00E301E4"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Antioxidant</w:t>
      </w:r>
      <w:r w:rsidRPr="00E301E4">
        <w:rPr>
          <w:rFonts w:ascii="Times New Roman" w:hAnsi="Times New Roman" w:cs="Times New Roman"/>
          <w:b/>
          <w:bCs/>
          <w:spacing w:val="-5"/>
          <w:sz w:val="24"/>
          <w:szCs w:val="24"/>
        </w:rPr>
        <w:t xml:space="preserve"> </w:t>
      </w:r>
      <w:r w:rsidR="00B133D7">
        <w:rPr>
          <w:rFonts w:ascii="Times New Roman" w:hAnsi="Times New Roman" w:cs="Times New Roman"/>
          <w:b/>
          <w:bCs/>
          <w:sz w:val="24"/>
          <w:szCs w:val="24"/>
        </w:rPr>
        <w:t>E</w:t>
      </w:r>
      <w:r w:rsidRPr="00E301E4">
        <w:rPr>
          <w:rFonts w:ascii="Times New Roman" w:hAnsi="Times New Roman" w:cs="Times New Roman"/>
          <w:b/>
          <w:bCs/>
          <w:sz w:val="24"/>
          <w:szCs w:val="24"/>
        </w:rPr>
        <w:t>nzyme</w:t>
      </w:r>
      <w:r w:rsidRPr="00E301E4">
        <w:rPr>
          <w:rFonts w:ascii="Times New Roman" w:hAnsi="Times New Roman" w:cs="Times New Roman"/>
          <w:b/>
          <w:bCs/>
          <w:spacing w:val="-2"/>
          <w:sz w:val="24"/>
          <w:szCs w:val="24"/>
        </w:rPr>
        <w:t xml:space="preserve"> analysis</w:t>
      </w:r>
    </w:p>
    <w:p w14:paraId="50A2DBF6" w14:textId="121C0654" w:rsidR="002B4BC5" w:rsidRPr="00FD775B" w:rsidRDefault="002B4BC5" w:rsidP="00F5298A">
      <w:pPr>
        <w:widowControl w:val="0"/>
        <w:tabs>
          <w:tab w:val="left" w:pos="975"/>
        </w:tabs>
        <w:autoSpaceDE w:val="0"/>
        <w:autoSpaceDN w:val="0"/>
        <w:spacing w:before="139" w:after="0" w:line="276" w:lineRule="auto"/>
        <w:jc w:val="both"/>
        <w:rPr>
          <w:rFonts w:ascii="Times New Roman" w:hAnsi="Times New Roman" w:cs="Times New Roman"/>
          <w:color w:val="000000" w:themeColor="text1"/>
        </w:rPr>
      </w:pPr>
      <w:r w:rsidRPr="00E301E4">
        <w:rPr>
          <w:rFonts w:ascii="Times New Roman" w:hAnsi="Times New Roman" w:cs="Times New Roman"/>
          <w:b/>
          <w:bCs/>
          <w:sz w:val="24"/>
          <w:szCs w:val="24"/>
        </w:rPr>
        <w:t>Superoxide Dismutase</w:t>
      </w:r>
      <w:r w:rsidRPr="00E301E4">
        <w:rPr>
          <w:rFonts w:ascii="Times New Roman" w:hAnsi="Times New Roman" w:cs="Times New Roman"/>
          <w:b/>
          <w:bCs/>
          <w:spacing w:val="-2"/>
          <w:sz w:val="24"/>
          <w:szCs w:val="24"/>
        </w:rPr>
        <w:t xml:space="preserve"> </w:t>
      </w:r>
      <w:r w:rsidR="00B133D7">
        <w:rPr>
          <w:rFonts w:ascii="Times New Roman" w:hAnsi="Times New Roman" w:cs="Times New Roman"/>
          <w:b/>
          <w:bCs/>
          <w:spacing w:val="-2"/>
          <w:sz w:val="24"/>
          <w:szCs w:val="24"/>
        </w:rPr>
        <w:t>(SOD)</w:t>
      </w:r>
      <w:r w:rsidR="00FD775B">
        <w:rPr>
          <w:rFonts w:ascii="Times New Roman" w:hAnsi="Times New Roman" w:cs="Times New Roman"/>
          <w:b/>
          <w:bCs/>
          <w:spacing w:val="-2"/>
          <w:sz w:val="24"/>
          <w:szCs w:val="24"/>
        </w:rPr>
        <w:t>A</w:t>
      </w:r>
      <w:r w:rsidRPr="00E301E4">
        <w:rPr>
          <w:rFonts w:ascii="Times New Roman" w:hAnsi="Times New Roman" w:cs="Times New Roman"/>
          <w:b/>
          <w:bCs/>
          <w:spacing w:val="-2"/>
          <w:sz w:val="24"/>
          <w:szCs w:val="24"/>
        </w:rPr>
        <w:t>ctivity</w:t>
      </w:r>
      <w:r w:rsidR="00F5298A">
        <w:rPr>
          <w:rFonts w:ascii="Times New Roman" w:hAnsi="Times New Roman" w:cs="Times New Roman"/>
          <w:b/>
          <w:bCs/>
          <w:spacing w:val="-2"/>
          <w:sz w:val="24"/>
          <w:szCs w:val="24"/>
        </w:rPr>
        <w:t>:</w:t>
      </w:r>
      <w:r w:rsidR="00CD67CA">
        <w:rPr>
          <w:rFonts w:ascii="Times New Roman" w:hAnsi="Times New Roman" w:cs="Times New Roman"/>
          <w:color w:val="000000" w:themeColor="text1"/>
        </w:rPr>
        <w:t xml:space="preserve"> </w:t>
      </w:r>
      <w:r w:rsidR="00FD775B" w:rsidRPr="00FD775B">
        <w:rPr>
          <w:rFonts w:ascii="Times New Roman" w:hAnsi="Times New Roman" w:cs="Times New Roman"/>
          <w:color w:val="000000" w:themeColor="text1"/>
        </w:rPr>
        <w:t>Superoxide dismutase activity was determined according to the nitroblue tetrazolium (NBT) photochemical reduction method described by Kono (1978). One unit of SOD activity was defined as the amount of enzyme required to inhibit the reduction rate of NBT by 50%. The specific activity was expressed as units per milligram of protein (</w:t>
      </w:r>
      <m:oMath>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U mg</m:t>
            </m:r>
          </m:e>
          <m:sup>
            <m:r>
              <w:rPr>
                <w:rFonts w:ascii="Cambria Math" w:hAnsi="Cambria Math" w:cs="Times New Roman"/>
                <w:color w:val="000000" w:themeColor="text1"/>
              </w:rPr>
              <m:t>-1</m:t>
            </m:r>
          </m:sup>
        </m:sSup>
        <m:r>
          <m:rPr>
            <m:nor/>
          </m:rPr>
          <w:rPr>
            <w:rFonts w:ascii="Times New Roman" w:hAnsi="Times New Roman" w:cs="Times New Roman"/>
            <w:color w:val="000000" w:themeColor="text1"/>
          </w:rPr>
          <m:t> protein</m:t>
        </m:r>
      </m:oMath>
      <w:r w:rsidR="00FD775B" w:rsidRPr="00FD775B">
        <w:rPr>
          <w:rFonts w:ascii="Times New Roman" w:hAnsi="Times New Roman" w:cs="Times New Roman"/>
          <w:color w:val="000000" w:themeColor="text1"/>
        </w:rPr>
        <w:t>).</w:t>
      </w:r>
    </w:p>
    <w:p w14:paraId="10876993" w14:textId="65A1BDD1" w:rsidR="005B1112" w:rsidRPr="005B1112" w:rsidRDefault="002B4BC5" w:rsidP="005B1112">
      <w:pPr>
        <w:pStyle w:val="Heading1"/>
        <w:tabs>
          <w:tab w:val="left" w:pos="975"/>
        </w:tabs>
        <w:spacing w:before="80" w:line="276" w:lineRule="auto"/>
        <w:jc w:val="both"/>
        <w:rPr>
          <w:rFonts w:ascii="Times New Roman" w:hAnsi="Times New Roman" w:cs="Times New Roman"/>
          <w:b/>
          <w:bCs/>
          <w:color w:val="000000" w:themeColor="text1"/>
          <w:spacing w:val="-2"/>
          <w:sz w:val="24"/>
          <w:szCs w:val="24"/>
        </w:rPr>
      </w:pPr>
      <w:r w:rsidRPr="00E301E4">
        <w:rPr>
          <w:rFonts w:ascii="Times New Roman" w:hAnsi="Times New Roman" w:cs="Times New Roman"/>
          <w:b/>
          <w:bCs/>
          <w:color w:val="000000" w:themeColor="text1"/>
          <w:sz w:val="24"/>
          <w:szCs w:val="24"/>
        </w:rPr>
        <w:t>Catalase</w:t>
      </w:r>
      <w:r w:rsidR="00613D73">
        <w:rPr>
          <w:rFonts w:ascii="Times New Roman" w:hAnsi="Times New Roman" w:cs="Times New Roman"/>
          <w:b/>
          <w:bCs/>
          <w:color w:val="000000" w:themeColor="text1"/>
          <w:sz w:val="24"/>
          <w:szCs w:val="24"/>
        </w:rPr>
        <w:t xml:space="preserve"> </w:t>
      </w:r>
      <w:r w:rsidR="00FD775B" w:rsidRPr="00FD775B">
        <w:rPr>
          <w:rFonts w:ascii="Times New Roman" w:hAnsi="Times New Roman" w:cs="Times New Roman"/>
          <w:b/>
          <w:bCs/>
          <w:color w:val="000000" w:themeColor="text1"/>
          <w:sz w:val="24"/>
          <w:szCs w:val="24"/>
        </w:rPr>
        <w:t>(CAT)</w:t>
      </w:r>
      <w:r w:rsidRPr="00E301E4">
        <w:rPr>
          <w:rFonts w:ascii="Times New Roman" w:hAnsi="Times New Roman" w:cs="Times New Roman"/>
          <w:b/>
          <w:bCs/>
          <w:color w:val="000000" w:themeColor="text1"/>
          <w:spacing w:val="-2"/>
          <w:sz w:val="24"/>
          <w:szCs w:val="24"/>
        </w:rPr>
        <w:t>activity</w:t>
      </w:r>
      <w:r w:rsidR="00F5298A">
        <w:rPr>
          <w:rFonts w:ascii="Times New Roman" w:hAnsi="Times New Roman" w:cs="Times New Roman"/>
          <w:b/>
          <w:bCs/>
          <w:color w:val="000000" w:themeColor="text1"/>
          <w:spacing w:val="-2"/>
          <w:sz w:val="24"/>
          <w:szCs w:val="24"/>
        </w:rPr>
        <w:t>:</w:t>
      </w:r>
      <w:r w:rsidR="005B1112" w:rsidRPr="005B1112">
        <w:rPr>
          <w:rFonts w:ascii="Times New Roman" w:eastAsia="Arial" w:hAnsi="Times New Roman" w:cs="Times New Roman"/>
          <w:bCs/>
          <w:color w:val="000000" w:themeColor="text1"/>
          <w:sz w:val="24"/>
          <w:szCs w:val="24"/>
        </w:rPr>
        <w:t xml:space="preserve">Catalase activity was measured spectrophotometrically by monitoring the decrease in absorbance due to hydrogen peroxide consumption at 240 nm, following the method of Takahara et al. (1960). One unit of CAT activity was defined as the amount of enzyme needed to decompose </w:t>
      </w:r>
      <m:oMath>
        <m:r>
          <w:rPr>
            <w:rFonts w:ascii="Cambria Math" w:hAnsi="Cambria Math" w:cs="Times New Roman"/>
            <w:color w:val="000000" w:themeColor="text1"/>
            <w:sz w:val="28"/>
            <w:szCs w:val="28"/>
          </w:rPr>
          <m:t>1 μ</m:t>
        </m:r>
        <m:r>
          <m:rPr>
            <m:nor/>
          </m:rPr>
          <w:rPr>
            <w:rFonts w:ascii="Times New Roman" w:eastAsia="Arial" w:hAnsi="Times New Roman" w:cs="Times New Roman"/>
            <w:bCs/>
            <w:color w:val="000000" w:themeColor="text1"/>
            <w:sz w:val="18"/>
            <w:szCs w:val="18"/>
          </w:rPr>
          <m:t>mol</m:t>
        </m:r>
      </m:oMath>
      <w:r w:rsidR="005B1112" w:rsidRPr="00823301">
        <w:rPr>
          <w:rFonts w:ascii="Times New Roman" w:eastAsia="Arial" w:hAnsi="Times New Roman" w:cs="Times New Roman"/>
          <w:bCs/>
          <w:color w:val="000000" w:themeColor="text1"/>
          <w:sz w:val="18"/>
          <w:szCs w:val="18"/>
        </w:rPr>
        <w:t xml:space="preserve"> </w:t>
      </w:r>
      <w:r w:rsidR="005B1112" w:rsidRPr="005B1112">
        <w:rPr>
          <w:rFonts w:ascii="Times New Roman" w:eastAsia="Arial" w:hAnsi="Times New Roman" w:cs="Times New Roman"/>
          <w:bCs/>
          <w:color w:val="000000" w:themeColor="text1"/>
          <w:sz w:val="24"/>
          <w:szCs w:val="24"/>
        </w:rPr>
        <w:t xml:space="preserve">of </w:t>
      </w:r>
      <m:oMath>
        <m:sSub>
          <m:sSubPr>
            <m:ctrlPr>
              <w:rPr>
                <w:rFonts w:ascii="Cambria Math" w:eastAsia="Arial" w:hAnsi="Cambria Math" w:cs="Times New Roman"/>
                <w:bCs/>
                <w:color w:val="000000" w:themeColor="text1"/>
                <w:sz w:val="24"/>
                <w:szCs w:val="24"/>
              </w:rPr>
            </m:ctrlPr>
          </m:sSubPr>
          <m:e>
            <m:r>
              <m:rPr>
                <m:nor/>
              </m:rPr>
              <w:rPr>
                <w:rFonts w:ascii="Times New Roman" w:eastAsia="Arial" w:hAnsi="Times New Roman" w:cs="Times New Roman"/>
                <w:bCs/>
                <w:color w:val="000000" w:themeColor="text1"/>
                <w:sz w:val="24"/>
                <w:szCs w:val="24"/>
              </w:rPr>
              <m:t>H</m:t>
            </m:r>
          </m:e>
          <m:sub>
            <m:r>
              <w:rPr>
                <w:rFonts w:ascii="Cambria Math" w:hAnsi="Cambria Math" w:cs="Times New Roman"/>
                <w:color w:val="000000" w:themeColor="text1"/>
              </w:rPr>
              <m:t>2</m:t>
            </m:r>
          </m:sub>
        </m:sSub>
        <m:sSub>
          <m:sSubPr>
            <m:ctrlPr>
              <w:rPr>
                <w:rFonts w:ascii="Cambria Math" w:eastAsia="Arial" w:hAnsi="Cambria Math" w:cs="Times New Roman"/>
                <w:bCs/>
                <w:color w:val="000000" w:themeColor="text1"/>
                <w:sz w:val="24"/>
                <w:szCs w:val="24"/>
              </w:rPr>
            </m:ctrlPr>
          </m:sSubPr>
          <m:e>
            <m:r>
              <m:rPr>
                <m:nor/>
              </m:rPr>
              <w:rPr>
                <w:rFonts w:ascii="Times New Roman" w:eastAsia="Arial" w:hAnsi="Times New Roman" w:cs="Times New Roman"/>
                <w:bCs/>
                <w:color w:val="000000" w:themeColor="text1"/>
                <w:sz w:val="24"/>
                <w:szCs w:val="24"/>
              </w:rPr>
              <m:t>O</m:t>
            </m:r>
          </m:e>
          <m:sub>
            <m:r>
              <w:rPr>
                <w:rFonts w:ascii="Cambria Math" w:hAnsi="Cambria Math" w:cs="Times New Roman"/>
                <w:color w:val="000000" w:themeColor="text1"/>
              </w:rPr>
              <m:t>2</m:t>
            </m:r>
          </m:sub>
        </m:sSub>
      </m:oMath>
      <w:r w:rsidR="005B1112" w:rsidRPr="005B1112">
        <w:rPr>
          <w:rFonts w:ascii="Times New Roman" w:eastAsia="Arial" w:hAnsi="Times New Roman" w:cs="Times New Roman"/>
          <w:bCs/>
          <w:color w:val="000000" w:themeColor="text1"/>
          <w:sz w:val="24"/>
          <w:szCs w:val="24"/>
        </w:rPr>
        <w:t xml:space="preserve"> per minute. Activity values were expressed as </w:t>
      </w:r>
      <m:oMath>
        <m:r>
          <w:rPr>
            <w:rFonts w:ascii="Cambria Math" w:hAnsi="Cambria Math" w:cs="Times New Roman"/>
            <w:color w:val="000000" w:themeColor="text1"/>
            <w:sz w:val="36"/>
            <w:szCs w:val="36"/>
          </w:rPr>
          <m:t>μ</m:t>
        </m:r>
        <m:sSup>
          <m:sSupPr>
            <m:ctrlPr>
              <w:rPr>
                <w:rFonts w:ascii="Cambria Math" w:eastAsia="Arial" w:hAnsi="Cambria Math" w:cs="Times New Roman"/>
                <w:bCs/>
                <w:color w:val="000000" w:themeColor="text1"/>
                <w:sz w:val="22"/>
                <w:szCs w:val="22"/>
              </w:rPr>
            </m:ctrlPr>
          </m:sSupPr>
          <m:e>
            <m:r>
              <m:rPr>
                <m:nor/>
              </m:rPr>
              <w:rPr>
                <w:rFonts w:ascii="Times New Roman" w:eastAsia="Arial" w:hAnsi="Times New Roman" w:cs="Times New Roman"/>
                <w:bCs/>
                <w:color w:val="000000" w:themeColor="text1"/>
                <w:sz w:val="22"/>
                <w:szCs w:val="22"/>
              </w:rPr>
              <m:t>mol min</m:t>
            </m:r>
          </m:e>
          <m:sup>
            <m:r>
              <w:rPr>
                <w:rFonts w:ascii="Cambria Math" w:hAnsi="Cambria Math" w:cs="Times New Roman"/>
                <w:color w:val="000000" w:themeColor="text1"/>
                <w:sz w:val="36"/>
                <w:szCs w:val="36"/>
              </w:rPr>
              <m:t>-1</m:t>
            </m:r>
          </m:sup>
        </m:sSup>
        <m:sSup>
          <m:sSupPr>
            <m:ctrlPr>
              <w:rPr>
                <w:rFonts w:ascii="Cambria Math" w:eastAsia="Arial" w:hAnsi="Cambria Math" w:cs="Times New Roman"/>
                <w:bCs/>
                <w:color w:val="000000" w:themeColor="text1"/>
                <w:sz w:val="22"/>
                <w:szCs w:val="22"/>
              </w:rPr>
            </m:ctrlPr>
          </m:sSupPr>
          <m:e>
            <m:r>
              <m:rPr>
                <m:nor/>
              </m:rPr>
              <w:rPr>
                <w:rFonts w:ascii="Times New Roman" w:eastAsia="Arial" w:hAnsi="Times New Roman" w:cs="Times New Roman"/>
                <w:bCs/>
                <w:color w:val="000000" w:themeColor="text1"/>
                <w:sz w:val="22"/>
                <w:szCs w:val="22"/>
              </w:rPr>
              <m:t> mg</m:t>
            </m:r>
          </m:e>
          <m:sup>
            <m:r>
              <w:rPr>
                <w:rFonts w:ascii="Cambria Math" w:hAnsi="Cambria Math" w:cs="Times New Roman"/>
                <w:color w:val="000000" w:themeColor="text1"/>
                <w:sz w:val="36"/>
                <w:szCs w:val="36"/>
              </w:rPr>
              <m:t>-1</m:t>
            </m:r>
          </m:sup>
        </m:sSup>
        <m:r>
          <m:rPr>
            <m:nor/>
          </m:rPr>
          <w:rPr>
            <w:rFonts w:ascii="Times New Roman" w:eastAsia="Arial" w:hAnsi="Times New Roman" w:cs="Times New Roman"/>
            <w:bCs/>
            <w:color w:val="000000" w:themeColor="text1"/>
            <w:sz w:val="22"/>
            <w:szCs w:val="22"/>
          </w:rPr>
          <m:t> protein</m:t>
        </m:r>
      </m:oMath>
      <w:r w:rsidR="005B1112" w:rsidRPr="00823301">
        <w:rPr>
          <w:rFonts w:ascii="Times New Roman" w:eastAsia="Arial" w:hAnsi="Times New Roman" w:cs="Times New Roman"/>
          <w:bCs/>
          <w:color w:val="000000" w:themeColor="text1"/>
          <w:sz w:val="22"/>
          <w:szCs w:val="22"/>
        </w:rPr>
        <w:t>.</w:t>
      </w:r>
    </w:p>
    <w:p w14:paraId="185AE564" w14:textId="5F5416D2" w:rsidR="00A9426C" w:rsidRPr="00987C23" w:rsidRDefault="002B4BC5" w:rsidP="004A2C55">
      <w:pPr>
        <w:pStyle w:val="BodyText"/>
        <w:spacing w:before="144" w:line="276" w:lineRule="auto"/>
        <w:jc w:val="both"/>
        <w:rPr>
          <w:rFonts w:ascii="Times New Roman" w:hAnsi="Times New Roman" w:cs="Times New Roman"/>
          <w:bCs/>
        </w:rPr>
      </w:pPr>
      <w:r w:rsidRPr="00E301E4">
        <w:rPr>
          <w:rFonts w:ascii="Times New Roman" w:hAnsi="Times New Roman" w:cs="Times New Roman"/>
          <w:b/>
          <w:lang w:val="en-IN"/>
        </w:rPr>
        <w:t>GPx activity</w:t>
      </w:r>
      <w:r w:rsidR="00F5298A">
        <w:rPr>
          <w:rFonts w:ascii="Times New Roman" w:hAnsi="Times New Roman" w:cs="Times New Roman"/>
          <w:b/>
          <w:lang w:val="en-IN"/>
        </w:rPr>
        <w:t xml:space="preserve">: </w:t>
      </w:r>
      <w:r w:rsidR="00987C23" w:rsidRPr="00987C23">
        <w:rPr>
          <w:rFonts w:ascii="Times New Roman" w:hAnsi="Times New Roman" w:cs="Times New Roman"/>
          <w:bCs/>
        </w:rPr>
        <w:t xml:space="preserve">Glutathione peroxidase activity was assayed according to the method of Paglia and Valentine (1967). One unit of GPx activity was defined as the amount of enzyme required to oxidize </w:t>
      </w:r>
      <m:oMath>
        <m:r>
          <w:rPr>
            <w:rFonts w:ascii="Cambria Math" w:hAnsi="Cambria Math" w:cs="Times New Roman"/>
          </w:rPr>
          <m:t>1 μ</m:t>
        </m:r>
        <m:r>
          <m:rPr>
            <m:nor/>
          </m:rPr>
          <w:rPr>
            <w:rFonts w:ascii="Times New Roman" w:hAnsi="Times New Roman" w:cs="Times New Roman"/>
            <w:bCs/>
          </w:rPr>
          <m:t>mol</m:t>
        </m:r>
      </m:oMath>
      <w:r w:rsidR="00987C23" w:rsidRPr="00987C23">
        <w:rPr>
          <w:rFonts w:ascii="Times New Roman" w:hAnsi="Times New Roman" w:cs="Times New Roman"/>
          <w:bCs/>
        </w:rPr>
        <w:t xml:space="preserve"> of reduced glutathione (GSH) per minute. The specific activity was expressed as </w:t>
      </w:r>
      <m:oMath>
        <m:sSup>
          <m:sSupPr>
            <m:ctrlPr>
              <w:rPr>
                <w:rFonts w:ascii="Cambria Math" w:hAnsi="Cambria Math" w:cs="Times New Roman"/>
                <w:bCs/>
              </w:rPr>
            </m:ctrlPr>
          </m:sSupPr>
          <m:e>
            <m:r>
              <m:rPr>
                <m:nor/>
              </m:rPr>
              <w:rPr>
                <w:rFonts w:ascii="Times New Roman" w:hAnsi="Times New Roman" w:cs="Times New Roman"/>
                <w:bCs/>
              </w:rPr>
              <m:t>U mg</m:t>
            </m:r>
          </m:e>
          <m:sup>
            <m:r>
              <w:rPr>
                <w:rFonts w:ascii="Cambria Math" w:hAnsi="Cambria Math" w:cs="Times New Roman"/>
              </w:rPr>
              <m:t>-1</m:t>
            </m:r>
          </m:sup>
        </m:sSup>
        <m:r>
          <m:rPr>
            <m:nor/>
          </m:rPr>
          <w:rPr>
            <w:rFonts w:ascii="Times New Roman" w:hAnsi="Times New Roman" w:cs="Times New Roman"/>
            <w:bCs/>
          </w:rPr>
          <m:t> protein</m:t>
        </m:r>
      </m:oMath>
      <w:r w:rsidR="00987C23" w:rsidRPr="00987C23">
        <w:rPr>
          <w:rFonts w:ascii="Times New Roman" w:hAnsi="Times New Roman" w:cs="Times New Roman"/>
          <w:bCs/>
        </w:rPr>
        <w:t>.</w:t>
      </w:r>
    </w:p>
    <w:p w14:paraId="5200C53B" w14:textId="77777777" w:rsidR="00C13E89" w:rsidRDefault="00A9426C" w:rsidP="004A2C55">
      <w:pPr>
        <w:spacing w:line="276" w:lineRule="auto"/>
        <w:jc w:val="both"/>
        <w:rPr>
          <w:rFonts w:ascii="Times New Roman" w:hAnsi="Times New Roman" w:cs="Times New Roman"/>
          <w:sz w:val="24"/>
          <w:szCs w:val="24"/>
        </w:rPr>
      </w:pPr>
      <w:r w:rsidRPr="00A9426C">
        <w:rPr>
          <w:rFonts w:ascii="Times New Roman" w:hAnsi="Times New Roman" w:cs="Times New Roman"/>
          <w:b/>
          <w:bCs/>
          <w:sz w:val="24"/>
          <w:szCs w:val="24"/>
        </w:rPr>
        <w:t>Statistical analysis</w:t>
      </w:r>
    </w:p>
    <w:p w14:paraId="23141BB8" w14:textId="6E908CD3" w:rsidR="00DA7D63" w:rsidRPr="00C13E89" w:rsidRDefault="00C13E89" w:rsidP="004A2C55">
      <w:pPr>
        <w:spacing w:line="276" w:lineRule="auto"/>
        <w:jc w:val="both"/>
        <w:rPr>
          <w:rFonts w:ascii="Times New Roman" w:hAnsi="Times New Roman" w:cs="Times New Roman"/>
          <w:bCs/>
          <w:sz w:val="24"/>
          <w:szCs w:val="24"/>
        </w:rPr>
      </w:pPr>
      <w:r w:rsidRPr="00C13E89">
        <w:rPr>
          <w:rFonts w:ascii="Times New Roman" w:hAnsi="Times New Roman" w:cs="Times New Roman"/>
          <w:bCs/>
          <w:sz w:val="24"/>
          <w:szCs w:val="24"/>
        </w:rPr>
        <w:t xml:space="preserve">All experimental data are presented as mean </w:t>
      </w:r>
      <m:oMath>
        <m:r>
          <w:rPr>
            <w:rFonts w:ascii="Cambria Math" w:hAnsi="Cambria Math" w:cs="Times New Roman"/>
            <w:sz w:val="24"/>
            <w:szCs w:val="24"/>
          </w:rPr>
          <m:t>±</m:t>
        </m:r>
      </m:oMath>
      <w:r w:rsidRPr="00C13E89">
        <w:rPr>
          <w:rFonts w:ascii="Times New Roman" w:hAnsi="Times New Roman" w:cs="Times New Roman"/>
          <w:bCs/>
          <w:sz w:val="24"/>
          <w:szCs w:val="24"/>
        </w:rPr>
        <w:t xml:space="preserve"> standard error (SE). Statistical analyses were performed using SPSS software (version 16.0). The data were then subjected to a two-way analysis of variance (ANOVA) to evaluate the interactive effects of salinity levels and periphyton substrate. When significant differences or interactive effects were detected (</w:t>
      </w:r>
      <m:oMath>
        <m:r>
          <w:rPr>
            <w:rFonts w:ascii="Cambria Math" w:hAnsi="Cambria Math" w:cs="Times New Roman"/>
            <w:sz w:val="24"/>
            <w:szCs w:val="24"/>
          </w:rPr>
          <m:t>p&lt;0.05</m:t>
        </m:r>
      </m:oMath>
      <w:r w:rsidRPr="00C13E89">
        <w:rPr>
          <w:rFonts w:ascii="Times New Roman" w:hAnsi="Times New Roman" w:cs="Times New Roman"/>
          <w:bCs/>
          <w:sz w:val="24"/>
          <w:szCs w:val="24"/>
        </w:rPr>
        <w:t>), mean separation was completed using Tukey's Honestly Significant Difference (HSD) post-hoc test.</w:t>
      </w:r>
      <w:r w:rsidR="002B4BC5" w:rsidRPr="00E301E4">
        <w:rPr>
          <w:rFonts w:ascii="Times New Roman" w:hAnsi="Times New Roman" w:cs="Times New Roman"/>
          <w:b/>
        </w:rPr>
        <w:t xml:space="preserve">      </w:t>
      </w:r>
    </w:p>
    <w:p w14:paraId="41DEA0B3" w14:textId="77777777" w:rsidR="00613D73" w:rsidRDefault="00613D73" w:rsidP="00A96FF0">
      <w:pPr>
        <w:spacing w:after="0" w:line="360" w:lineRule="auto"/>
        <w:jc w:val="both"/>
        <w:rPr>
          <w:rFonts w:ascii="Times New Roman" w:hAnsi="Times New Roman" w:cs="Times New Roman"/>
          <w:b/>
          <w:bCs/>
          <w:sz w:val="28"/>
          <w:szCs w:val="28"/>
        </w:rPr>
      </w:pPr>
    </w:p>
    <w:p w14:paraId="5980831C" w14:textId="08FBE075" w:rsidR="00771CCB" w:rsidRPr="00CD67CA" w:rsidRDefault="00CD67CA" w:rsidP="00A96FF0">
      <w:pPr>
        <w:spacing w:after="0" w:line="360" w:lineRule="auto"/>
        <w:jc w:val="both"/>
        <w:rPr>
          <w:rFonts w:ascii="Times New Roman" w:hAnsi="Times New Roman" w:cs="Times New Roman"/>
          <w:b/>
          <w:bCs/>
          <w:sz w:val="28"/>
          <w:szCs w:val="28"/>
        </w:rPr>
      </w:pPr>
      <w:r w:rsidRPr="00CD67CA">
        <w:rPr>
          <w:rFonts w:ascii="Times New Roman" w:hAnsi="Times New Roman" w:cs="Times New Roman"/>
          <w:b/>
          <w:bCs/>
          <w:sz w:val="28"/>
          <w:szCs w:val="28"/>
        </w:rPr>
        <w:lastRenderedPageBreak/>
        <w:t xml:space="preserve"> </w:t>
      </w:r>
      <w:r w:rsidR="008D2C1E" w:rsidRPr="00CD67CA">
        <w:rPr>
          <w:rFonts w:ascii="Times New Roman" w:hAnsi="Times New Roman" w:cs="Times New Roman"/>
          <w:b/>
          <w:bCs/>
          <w:sz w:val="28"/>
          <w:szCs w:val="28"/>
        </w:rPr>
        <w:t>Results</w:t>
      </w:r>
    </w:p>
    <w:p w14:paraId="63F062B9" w14:textId="77777777" w:rsidR="00A96FF0" w:rsidRPr="00A96FF0" w:rsidRDefault="00A96FF0" w:rsidP="00A96FF0">
      <w:pPr>
        <w:spacing w:line="240" w:lineRule="auto"/>
        <w:jc w:val="both"/>
        <w:rPr>
          <w:rFonts w:ascii="Times New Roman" w:hAnsi="Times New Roman" w:cs="Times New Roman"/>
          <w:b/>
          <w:bCs/>
          <w:sz w:val="24"/>
          <w:szCs w:val="24"/>
        </w:rPr>
      </w:pPr>
      <w:r w:rsidRPr="00A96FF0">
        <w:rPr>
          <w:rFonts w:ascii="Times New Roman" w:hAnsi="Times New Roman" w:cs="Times New Roman"/>
          <w:b/>
          <w:bCs/>
          <w:sz w:val="24"/>
          <w:szCs w:val="24"/>
        </w:rPr>
        <w:t>Growth Performance and Periphyton Interaction</w:t>
      </w:r>
    </w:p>
    <w:p w14:paraId="18084B3F" w14:textId="46065131" w:rsidR="00A96FF0" w:rsidRDefault="00A96FF0" w:rsidP="004A2C55">
      <w:pPr>
        <w:spacing w:line="240" w:lineRule="auto"/>
        <w:jc w:val="both"/>
        <w:rPr>
          <w:rFonts w:ascii="Times New Roman" w:hAnsi="Times New Roman" w:cs="Times New Roman"/>
          <w:sz w:val="24"/>
          <w:szCs w:val="24"/>
        </w:rPr>
      </w:pPr>
      <w:r w:rsidRPr="00A96FF0">
        <w:rPr>
          <w:rFonts w:ascii="Times New Roman" w:hAnsi="Times New Roman" w:cs="Times New Roman"/>
          <w:sz w:val="24"/>
          <w:szCs w:val="24"/>
        </w:rPr>
        <w:t>The growth performance parameters of silver pompano (Trachinotus blochii) reared under different salinity levels and periphyton treatments over the 60-day experimental period are summarized in Table 1. The combination of salinity and periphyton substrate significantly influenced the specific growth rate (SGR) and final weight gain (</w:t>
      </w:r>
      <m:oMath>
        <m:r>
          <m:rPr>
            <m:sty m:val="p"/>
          </m:rPr>
          <w:rPr>
            <w:rFonts w:ascii="Cambria Math" w:hAnsi="Cambria Math" w:cs="Times New Roman"/>
            <w:sz w:val="24"/>
            <w:szCs w:val="24"/>
          </w:rPr>
          <m:t>p&lt;0.05</m:t>
        </m:r>
      </m:oMath>
      <w:r w:rsidRPr="00A96FF0">
        <w:rPr>
          <w:rFonts w:ascii="Times New Roman" w:hAnsi="Times New Roman" w:cs="Times New Roman"/>
          <w:sz w:val="24"/>
          <w:szCs w:val="24"/>
        </w:rPr>
        <w:t>). The highest total biomass and optimal SGR values were observed in the group maintained at 15 ppt salinity with periphyton substrate compared to the control and high-salinity treatments.</w:t>
      </w:r>
    </w:p>
    <w:p w14:paraId="3FEF7F4C" w14:textId="77777777" w:rsidR="00504D35" w:rsidRPr="009749EA" w:rsidRDefault="00504D35" w:rsidP="00504D35">
      <w:pPr>
        <w:spacing w:line="360" w:lineRule="auto"/>
        <w:ind w:right="567"/>
        <w:jc w:val="both"/>
        <w:rPr>
          <w:rFonts w:ascii="Times New Roman" w:hAnsi="Times New Roman" w:cs="Times New Roman"/>
        </w:rPr>
      </w:pPr>
    </w:p>
    <w:tbl>
      <w:tblPr>
        <w:tblStyle w:val="TableGrid"/>
        <w:tblW w:w="0" w:type="auto"/>
        <w:tblLook w:val="04A0" w:firstRow="1" w:lastRow="0" w:firstColumn="1" w:lastColumn="0" w:noHBand="0" w:noVBand="1"/>
      </w:tblPr>
      <w:tblGrid>
        <w:gridCol w:w="1861"/>
        <w:gridCol w:w="1984"/>
        <w:gridCol w:w="1731"/>
        <w:gridCol w:w="1722"/>
        <w:gridCol w:w="1718"/>
      </w:tblGrid>
      <w:tr w:rsidR="00504D35" w:rsidRPr="00643008" w14:paraId="0502EB74" w14:textId="77777777" w:rsidTr="00504D35">
        <w:tc>
          <w:tcPr>
            <w:tcW w:w="1863" w:type="dxa"/>
          </w:tcPr>
          <w:p w14:paraId="61F34C71" w14:textId="77777777" w:rsidR="00504D35" w:rsidRPr="00643008" w:rsidRDefault="00504D35" w:rsidP="007167C0">
            <w:pPr>
              <w:spacing w:line="360" w:lineRule="auto"/>
            </w:pPr>
            <w:r w:rsidRPr="00643008">
              <w:rPr>
                <w:rFonts w:ascii="Times New Roman" w:hAnsi="Times New Roman" w:cs="Times New Roman"/>
                <w:b/>
                <w:bCs/>
                <w:lang w:val="en-US"/>
              </w:rPr>
              <w:t>Treatment</w:t>
            </w:r>
          </w:p>
        </w:tc>
        <w:tc>
          <w:tcPr>
            <w:tcW w:w="1989" w:type="dxa"/>
          </w:tcPr>
          <w:p w14:paraId="4DC86FFB" w14:textId="77777777" w:rsidR="00504D35" w:rsidRPr="00643008" w:rsidRDefault="00504D35" w:rsidP="007167C0">
            <w:pPr>
              <w:spacing w:line="360" w:lineRule="auto"/>
              <w:jc w:val="right"/>
            </w:pPr>
            <w:r w:rsidRPr="00643008">
              <w:rPr>
                <w:rFonts w:ascii="Times New Roman" w:hAnsi="Times New Roman" w:cs="Times New Roman"/>
                <w:b/>
                <w:bCs/>
                <w:lang w:val="en-US"/>
              </w:rPr>
              <w:t>C1</w:t>
            </w:r>
          </w:p>
        </w:tc>
        <w:tc>
          <w:tcPr>
            <w:tcW w:w="1732" w:type="dxa"/>
          </w:tcPr>
          <w:p w14:paraId="1D7CBD5D" w14:textId="77777777" w:rsidR="00504D35" w:rsidRPr="00643008" w:rsidRDefault="00504D35" w:rsidP="007167C0">
            <w:pPr>
              <w:spacing w:line="360" w:lineRule="auto"/>
              <w:jc w:val="right"/>
            </w:pPr>
            <w:r w:rsidRPr="00643008">
              <w:rPr>
                <w:rFonts w:ascii="Times New Roman" w:hAnsi="Times New Roman" w:cs="Times New Roman"/>
                <w:b/>
                <w:bCs/>
                <w:lang w:val="en-US"/>
              </w:rPr>
              <w:t>T1</w:t>
            </w:r>
          </w:p>
        </w:tc>
        <w:tc>
          <w:tcPr>
            <w:tcW w:w="1723" w:type="dxa"/>
          </w:tcPr>
          <w:p w14:paraId="55794FB5" w14:textId="77777777" w:rsidR="00504D35" w:rsidRPr="00643008" w:rsidRDefault="00504D35" w:rsidP="007167C0">
            <w:pPr>
              <w:spacing w:line="360" w:lineRule="auto"/>
              <w:jc w:val="right"/>
            </w:pPr>
            <w:r w:rsidRPr="00643008">
              <w:rPr>
                <w:rFonts w:ascii="Times New Roman" w:hAnsi="Times New Roman" w:cs="Times New Roman"/>
                <w:b/>
                <w:bCs/>
                <w:lang w:val="en-US"/>
              </w:rPr>
              <w:t>T2</w:t>
            </w:r>
          </w:p>
        </w:tc>
        <w:tc>
          <w:tcPr>
            <w:tcW w:w="1719" w:type="dxa"/>
          </w:tcPr>
          <w:p w14:paraId="29F3B210" w14:textId="77777777" w:rsidR="00504D35" w:rsidRPr="00643008" w:rsidRDefault="00504D35" w:rsidP="007167C0">
            <w:pPr>
              <w:spacing w:line="360" w:lineRule="auto"/>
              <w:jc w:val="right"/>
              <w:rPr>
                <w:rFonts w:ascii="Times New Roman" w:hAnsi="Times New Roman" w:cs="Times New Roman"/>
                <w:b/>
                <w:bCs/>
                <w:lang w:val="en-US"/>
              </w:rPr>
            </w:pPr>
            <w:r w:rsidRPr="00643008">
              <w:rPr>
                <w:rFonts w:ascii="Times New Roman" w:hAnsi="Times New Roman" w:cs="Times New Roman"/>
                <w:b/>
                <w:bCs/>
                <w:lang w:val="en-US"/>
              </w:rPr>
              <w:t>T3</w:t>
            </w:r>
          </w:p>
        </w:tc>
      </w:tr>
      <w:tr w:rsidR="00504D35" w:rsidRPr="00643008" w14:paraId="08AB6D23" w14:textId="77777777" w:rsidTr="00504D35">
        <w:tc>
          <w:tcPr>
            <w:tcW w:w="1863" w:type="dxa"/>
          </w:tcPr>
          <w:p w14:paraId="5C0F7A3C" w14:textId="77777777" w:rsidR="00504D35" w:rsidRPr="00643008" w:rsidRDefault="00504D35" w:rsidP="007167C0">
            <w:pPr>
              <w:spacing w:line="360" w:lineRule="auto"/>
              <w:jc w:val="both"/>
              <w:rPr>
                <w:rFonts w:ascii="Times New Roman" w:hAnsi="Times New Roman" w:cs="Times New Roman"/>
              </w:rPr>
            </w:pPr>
            <w:r w:rsidRPr="00643008">
              <w:rPr>
                <w:rFonts w:ascii="Times New Roman" w:hAnsi="Times New Roman" w:cs="Times New Roman"/>
                <w:b/>
                <w:bCs/>
                <w:lang w:val="en-US"/>
              </w:rPr>
              <w:t>Initial MBW(g)</w:t>
            </w:r>
          </w:p>
        </w:tc>
        <w:tc>
          <w:tcPr>
            <w:tcW w:w="1989" w:type="dxa"/>
          </w:tcPr>
          <w:p w14:paraId="58D1395F" w14:textId="77777777" w:rsidR="00504D35" w:rsidRPr="00643008" w:rsidRDefault="00504D35" w:rsidP="007167C0">
            <w:pPr>
              <w:spacing w:line="360" w:lineRule="auto"/>
              <w:jc w:val="right"/>
            </w:pPr>
            <w:r w:rsidRPr="00643008">
              <w:rPr>
                <w:rFonts w:ascii="Times New Roman" w:hAnsi="Times New Roman" w:cs="Times New Roman"/>
                <w:lang w:val="en-US"/>
              </w:rPr>
              <w:t>1.75± 0.160</w:t>
            </w:r>
            <w:r w:rsidRPr="00643008">
              <w:rPr>
                <w:rFonts w:ascii="Times New Roman" w:hAnsi="Times New Roman" w:cs="Times New Roman"/>
                <w:color w:val="000000"/>
              </w:rPr>
              <w:t>ᵃ</w:t>
            </w:r>
          </w:p>
        </w:tc>
        <w:tc>
          <w:tcPr>
            <w:tcW w:w="1732" w:type="dxa"/>
          </w:tcPr>
          <w:p w14:paraId="6D92C8BA" w14:textId="77777777" w:rsidR="00504D35" w:rsidRPr="00643008" w:rsidRDefault="00504D35" w:rsidP="007167C0">
            <w:pPr>
              <w:spacing w:line="360" w:lineRule="auto"/>
              <w:jc w:val="right"/>
            </w:pPr>
            <w:r w:rsidRPr="00643008">
              <w:rPr>
                <w:rFonts w:ascii="Times New Roman" w:hAnsi="Times New Roman" w:cs="Times New Roman"/>
                <w:lang w:val="en-US"/>
              </w:rPr>
              <w:t>1.91± 0.185</w:t>
            </w:r>
            <w:r w:rsidRPr="00643008">
              <w:rPr>
                <w:rFonts w:ascii="Times New Roman" w:hAnsi="Times New Roman" w:cs="Times New Roman"/>
                <w:color w:val="000000"/>
              </w:rPr>
              <w:t>ᵃ</w:t>
            </w:r>
          </w:p>
        </w:tc>
        <w:tc>
          <w:tcPr>
            <w:tcW w:w="1723" w:type="dxa"/>
            <w:vAlign w:val="center"/>
          </w:tcPr>
          <w:p w14:paraId="332B71E5" w14:textId="77777777" w:rsidR="00504D35" w:rsidRPr="00643008" w:rsidRDefault="00504D35" w:rsidP="007167C0">
            <w:pPr>
              <w:spacing w:line="360" w:lineRule="auto"/>
              <w:jc w:val="right"/>
            </w:pPr>
            <w:r w:rsidRPr="00643008">
              <w:rPr>
                <w:rFonts w:ascii="Times New Roman" w:hAnsi="Times New Roman" w:cs="Times New Roman"/>
                <w:lang w:val="en-US"/>
              </w:rPr>
              <w:t>2.18± 0.440</w:t>
            </w:r>
            <w:r w:rsidRPr="00643008">
              <w:rPr>
                <w:rFonts w:ascii="Times New Roman" w:hAnsi="Times New Roman" w:cs="Times New Roman"/>
                <w:color w:val="000000"/>
              </w:rPr>
              <w:t>ᵃ</w:t>
            </w:r>
          </w:p>
        </w:tc>
        <w:tc>
          <w:tcPr>
            <w:tcW w:w="1719" w:type="dxa"/>
            <w:vAlign w:val="center"/>
          </w:tcPr>
          <w:p w14:paraId="24BD2E71" w14:textId="77777777" w:rsidR="00504D35" w:rsidRPr="00643008" w:rsidRDefault="00504D35" w:rsidP="007167C0">
            <w:pPr>
              <w:spacing w:line="360" w:lineRule="auto"/>
              <w:jc w:val="right"/>
            </w:pPr>
            <w:r w:rsidRPr="00643008">
              <w:rPr>
                <w:rFonts w:ascii="Times New Roman" w:hAnsi="Times New Roman" w:cs="Times New Roman"/>
                <w:lang w:val="en-US"/>
              </w:rPr>
              <w:t>1.64± 0.102</w:t>
            </w:r>
            <w:r w:rsidRPr="00643008">
              <w:rPr>
                <w:rFonts w:ascii="Times New Roman" w:hAnsi="Times New Roman" w:cs="Times New Roman"/>
                <w:color w:val="000000"/>
              </w:rPr>
              <w:t>ᵃ</w:t>
            </w:r>
          </w:p>
        </w:tc>
      </w:tr>
      <w:tr w:rsidR="00504D35" w:rsidRPr="00643008" w14:paraId="05E9C7E9" w14:textId="77777777" w:rsidTr="00504D35">
        <w:tc>
          <w:tcPr>
            <w:tcW w:w="1863" w:type="dxa"/>
          </w:tcPr>
          <w:p w14:paraId="33868127" w14:textId="77777777" w:rsidR="00504D35" w:rsidRPr="00643008" w:rsidRDefault="00504D35" w:rsidP="007167C0">
            <w:pPr>
              <w:spacing w:line="360" w:lineRule="auto"/>
              <w:jc w:val="both"/>
              <w:rPr>
                <w:rFonts w:ascii="Times New Roman" w:hAnsi="Times New Roman" w:cs="Times New Roman"/>
              </w:rPr>
            </w:pPr>
            <w:r w:rsidRPr="00643008">
              <w:rPr>
                <w:rFonts w:ascii="Times New Roman" w:hAnsi="Times New Roman" w:cs="Times New Roman"/>
                <w:b/>
                <w:bCs/>
                <w:lang w:val="en-US"/>
              </w:rPr>
              <w:t>Final MBW(g)</w:t>
            </w:r>
          </w:p>
        </w:tc>
        <w:tc>
          <w:tcPr>
            <w:tcW w:w="1989" w:type="dxa"/>
          </w:tcPr>
          <w:p w14:paraId="4A1579CD" w14:textId="77777777" w:rsidR="00504D35" w:rsidRPr="00643008" w:rsidRDefault="00504D35" w:rsidP="007167C0">
            <w:pPr>
              <w:spacing w:line="360" w:lineRule="auto"/>
              <w:jc w:val="right"/>
            </w:pPr>
            <w:r w:rsidRPr="00643008">
              <w:rPr>
                <w:rFonts w:ascii="Times New Roman" w:hAnsi="Times New Roman" w:cs="Times New Roman"/>
                <w:lang w:val="en-US"/>
              </w:rPr>
              <w:t>5.78± 0.577</w:t>
            </w:r>
            <w:r w:rsidRPr="00643008">
              <w:rPr>
                <w:rFonts w:ascii="Times New Roman" w:hAnsi="Times New Roman" w:cs="Times New Roman"/>
                <w:color w:val="000000"/>
              </w:rPr>
              <w:t>ᵈ</w:t>
            </w:r>
          </w:p>
        </w:tc>
        <w:tc>
          <w:tcPr>
            <w:tcW w:w="1732" w:type="dxa"/>
            <w:vAlign w:val="center"/>
          </w:tcPr>
          <w:p w14:paraId="34EE9600" w14:textId="77777777" w:rsidR="00504D35" w:rsidRPr="00643008" w:rsidRDefault="00504D35" w:rsidP="007167C0">
            <w:pPr>
              <w:spacing w:line="360" w:lineRule="auto"/>
              <w:jc w:val="right"/>
            </w:pPr>
            <w:r w:rsidRPr="00643008">
              <w:rPr>
                <w:rFonts w:ascii="Times New Roman" w:hAnsi="Times New Roman" w:cs="Times New Roman"/>
                <w:lang w:val="en-US"/>
              </w:rPr>
              <w:t>12.49 ± 0.793</w:t>
            </w:r>
            <w:r w:rsidRPr="00643008">
              <w:rPr>
                <w:rFonts w:ascii="Times New Roman" w:hAnsi="Times New Roman" w:cs="Times New Roman"/>
                <w:color w:val="000000"/>
              </w:rPr>
              <w:t>ᵇ</w:t>
            </w:r>
          </w:p>
        </w:tc>
        <w:tc>
          <w:tcPr>
            <w:tcW w:w="1723" w:type="dxa"/>
          </w:tcPr>
          <w:p w14:paraId="3FFD4063" w14:textId="77777777" w:rsidR="00504D35" w:rsidRPr="00643008" w:rsidRDefault="00504D35" w:rsidP="007167C0">
            <w:pPr>
              <w:spacing w:line="360" w:lineRule="auto"/>
              <w:jc w:val="right"/>
            </w:pPr>
            <w:r w:rsidRPr="00643008">
              <w:rPr>
                <w:rFonts w:ascii="Times New Roman" w:hAnsi="Times New Roman" w:cs="Times New Roman"/>
                <w:lang w:val="en-US"/>
              </w:rPr>
              <w:t>15.3 ± 0.965</w:t>
            </w:r>
            <w:r w:rsidRPr="00643008">
              <w:rPr>
                <w:rFonts w:ascii="Times New Roman" w:hAnsi="Times New Roman" w:cs="Times New Roman"/>
                <w:color w:val="000000"/>
              </w:rPr>
              <w:t>ᵃ</w:t>
            </w:r>
          </w:p>
        </w:tc>
        <w:tc>
          <w:tcPr>
            <w:tcW w:w="1719" w:type="dxa"/>
            <w:vAlign w:val="center"/>
          </w:tcPr>
          <w:p w14:paraId="719BED41" w14:textId="77777777" w:rsidR="00504D35" w:rsidRPr="00643008" w:rsidRDefault="00504D35" w:rsidP="007167C0">
            <w:pPr>
              <w:spacing w:line="360" w:lineRule="auto"/>
              <w:jc w:val="right"/>
            </w:pPr>
            <w:r w:rsidRPr="00643008">
              <w:rPr>
                <w:rFonts w:ascii="Times New Roman" w:hAnsi="Times New Roman" w:cs="Times New Roman"/>
                <w:lang w:val="en-US"/>
              </w:rPr>
              <w:t>8.47 ± 1.075</w:t>
            </w:r>
            <w:r w:rsidRPr="00643008">
              <w:rPr>
                <w:rFonts w:ascii="Times New Roman" w:hAnsi="Times New Roman" w:cs="Times New Roman"/>
                <w:color w:val="000000"/>
              </w:rPr>
              <w:t>ᶜ</w:t>
            </w:r>
          </w:p>
        </w:tc>
      </w:tr>
      <w:tr w:rsidR="00504D35" w:rsidRPr="00643008" w14:paraId="3E44D411" w14:textId="77777777" w:rsidTr="00504D35">
        <w:tc>
          <w:tcPr>
            <w:tcW w:w="1863" w:type="dxa"/>
          </w:tcPr>
          <w:p w14:paraId="74A6DB55" w14:textId="77777777" w:rsidR="00504D35" w:rsidRPr="00643008" w:rsidRDefault="00504D35" w:rsidP="007167C0">
            <w:pPr>
              <w:spacing w:line="360" w:lineRule="auto"/>
              <w:rPr>
                <w:rFonts w:ascii="Times New Roman" w:hAnsi="Times New Roman" w:cs="Times New Roman"/>
                <w:b/>
                <w:bCs/>
              </w:rPr>
            </w:pPr>
            <w:r w:rsidRPr="00643008">
              <w:rPr>
                <w:rFonts w:ascii="Times New Roman" w:hAnsi="Times New Roman" w:cs="Times New Roman"/>
                <w:b/>
                <w:bCs/>
              </w:rPr>
              <w:t>Total WG(g)</w:t>
            </w:r>
          </w:p>
        </w:tc>
        <w:tc>
          <w:tcPr>
            <w:tcW w:w="1989" w:type="dxa"/>
          </w:tcPr>
          <w:p w14:paraId="403933BB" w14:textId="77777777" w:rsidR="00504D35" w:rsidRPr="00643008" w:rsidRDefault="00504D35" w:rsidP="007167C0">
            <w:pPr>
              <w:spacing w:line="360" w:lineRule="auto"/>
              <w:jc w:val="right"/>
            </w:pPr>
            <w:r w:rsidRPr="00643008">
              <w:rPr>
                <w:rFonts w:ascii="Times New Roman" w:hAnsi="Times New Roman" w:cs="Times New Roman"/>
              </w:rPr>
              <w:t>4.03 ±0.475</w:t>
            </w:r>
            <w:r w:rsidRPr="00643008">
              <w:rPr>
                <w:rFonts w:ascii="Times New Roman" w:hAnsi="Times New Roman" w:cs="Times New Roman"/>
                <w:color w:val="000000"/>
              </w:rPr>
              <w:t>ᵈ</w:t>
            </w:r>
          </w:p>
        </w:tc>
        <w:tc>
          <w:tcPr>
            <w:tcW w:w="1732" w:type="dxa"/>
          </w:tcPr>
          <w:p w14:paraId="6D825D7B" w14:textId="77777777" w:rsidR="00504D35" w:rsidRPr="00643008" w:rsidRDefault="00504D35" w:rsidP="007167C0">
            <w:pPr>
              <w:spacing w:line="360" w:lineRule="auto"/>
              <w:jc w:val="right"/>
            </w:pPr>
            <w:r w:rsidRPr="00643008">
              <w:rPr>
                <w:rFonts w:ascii="Times New Roman" w:hAnsi="Times New Roman" w:cs="Times New Roman"/>
              </w:rPr>
              <w:t>10.58± 0.608</w:t>
            </w:r>
            <w:r w:rsidRPr="00643008">
              <w:rPr>
                <w:rFonts w:ascii="Times New Roman" w:hAnsi="Times New Roman" w:cs="Times New Roman"/>
                <w:color w:val="000000"/>
              </w:rPr>
              <w:t>ᵇ</w:t>
            </w:r>
          </w:p>
        </w:tc>
        <w:tc>
          <w:tcPr>
            <w:tcW w:w="1723" w:type="dxa"/>
          </w:tcPr>
          <w:p w14:paraId="3D491BA3" w14:textId="77777777" w:rsidR="00504D35" w:rsidRPr="00643008" w:rsidRDefault="00504D35" w:rsidP="007167C0">
            <w:pPr>
              <w:spacing w:line="360" w:lineRule="auto"/>
              <w:jc w:val="right"/>
            </w:pPr>
            <w:r w:rsidRPr="00643008">
              <w:rPr>
                <w:rFonts w:ascii="Times New Roman" w:hAnsi="Times New Roman" w:cs="Times New Roman"/>
              </w:rPr>
              <w:t>13.12± 0.525</w:t>
            </w:r>
            <w:r w:rsidRPr="00643008">
              <w:rPr>
                <w:rFonts w:ascii="Times New Roman" w:hAnsi="Times New Roman" w:cs="Times New Roman"/>
                <w:color w:val="000000"/>
              </w:rPr>
              <w:t>ᵃ</w:t>
            </w:r>
          </w:p>
        </w:tc>
        <w:tc>
          <w:tcPr>
            <w:tcW w:w="1719" w:type="dxa"/>
          </w:tcPr>
          <w:p w14:paraId="38B6220B" w14:textId="77777777" w:rsidR="00504D35" w:rsidRPr="00643008" w:rsidRDefault="00504D35" w:rsidP="007167C0">
            <w:pPr>
              <w:spacing w:line="360" w:lineRule="auto"/>
              <w:jc w:val="right"/>
            </w:pPr>
            <w:r w:rsidRPr="00643008">
              <w:rPr>
                <w:rFonts w:ascii="Times New Roman" w:hAnsi="Times New Roman" w:cs="Times New Roman"/>
              </w:rPr>
              <w:t>6.83± 0.973</w:t>
            </w:r>
            <w:r w:rsidRPr="00643008">
              <w:rPr>
                <w:rFonts w:ascii="Times New Roman" w:hAnsi="Times New Roman" w:cs="Times New Roman"/>
                <w:color w:val="000000"/>
              </w:rPr>
              <w:t>ᶜ</w:t>
            </w:r>
          </w:p>
        </w:tc>
      </w:tr>
      <w:tr w:rsidR="00504D35" w:rsidRPr="00643008" w14:paraId="608021FE" w14:textId="77777777" w:rsidTr="00504D35">
        <w:tc>
          <w:tcPr>
            <w:tcW w:w="1863" w:type="dxa"/>
          </w:tcPr>
          <w:p w14:paraId="7188625F" w14:textId="77777777" w:rsidR="00504D35" w:rsidRPr="00643008" w:rsidRDefault="00504D35" w:rsidP="007167C0">
            <w:pPr>
              <w:spacing w:line="360" w:lineRule="auto"/>
              <w:jc w:val="both"/>
              <w:rPr>
                <w:rFonts w:ascii="Times New Roman" w:hAnsi="Times New Roman" w:cs="Times New Roman"/>
                <w:b/>
                <w:bCs/>
              </w:rPr>
            </w:pPr>
            <w:r w:rsidRPr="00643008">
              <w:rPr>
                <w:rFonts w:ascii="Times New Roman" w:hAnsi="Times New Roman" w:cs="Times New Roman"/>
                <w:b/>
                <w:bCs/>
              </w:rPr>
              <w:t>Weight gain (%)</w:t>
            </w:r>
            <w:r w:rsidRPr="00643008">
              <w:rPr>
                <w:rFonts w:ascii="Times New Roman" w:eastAsia="Times New Roman" w:hAnsi="Times New Roman" w:cs="Times New Roman"/>
                <w:b/>
                <w:bCs/>
                <w:color w:val="000000"/>
                <w:lang w:eastAsia="en-IN"/>
              </w:rPr>
              <w:t xml:space="preserve">  </w:t>
            </w:r>
          </w:p>
        </w:tc>
        <w:tc>
          <w:tcPr>
            <w:tcW w:w="1989" w:type="dxa"/>
          </w:tcPr>
          <w:p w14:paraId="1832BA52" w14:textId="77777777" w:rsidR="00504D35" w:rsidRPr="00643008" w:rsidRDefault="00504D35" w:rsidP="007167C0">
            <w:pPr>
              <w:spacing w:line="360" w:lineRule="auto"/>
              <w:jc w:val="right"/>
              <w:rPr>
                <w:rFonts w:ascii="Times New Roman" w:hAnsi="Times New Roman" w:cs="Times New Roman"/>
              </w:rPr>
            </w:pPr>
            <w:r w:rsidRPr="00643008">
              <w:rPr>
                <w:rFonts w:ascii="Times New Roman" w:hAnsi="Times New Roman" w:cs="Times New Roman"/>
              </w:rPr>
              <w:t>229.95 ±11.58</w:t>
            </w:r>
            <w:r w:rsidRPr="00643008">
              <w:rPr>
                <w:rFonts w:ascii="Times New Roman" w:hAnsi="Times New Roman" w:cs="Times New Roman"/>
                <w:color w:val="000000"/>
              </w:rPr>
              <w:t>ᵈ</w:t>
            </w:r>
          </w:p>
        </w:tc>
        <w:tc>
          <w:tcPr>
            <w:tcW w:w="1732" w:type="dxa"/>
          </w:tcPr>
          <w:p w14:paraId="6D228D2A" w14:textId="77777777" w:rsidR="00504D35" w:rsidRPr="00643008" w:rsidRDefault="00504D35" w:rsidP="007167C0">
            <w:pPr>
              <w:spacing w:line="360" w:lineRule="auto"/>
              <w:jc w:val="right"/>
            </w:pPr>
            <w:r w:rsidRPr="00643008">
              <w:rPr>
                <w:rFonts w:ascii="Times New Roman" w:hAnsi="Times New Roman" w:cs="Times New Roman"/>
              </w:rPr>
              <w:t>553.54±228.05</w:t>
            </w:r>
            <w:r w:rsidRPr="00643008">
              <w:rPr>
                <w:rFonts w:ascii="Times New Roman" w:hAnsi="Times New Roman" w:cs="Times New Roman"/>
                <w:color w:val="000000"/>
              </w:rPr>
              <w:t>ᵇ</w:t>
            </w:r>
          </w:p>
        </w:tc>
        <w:tc>
          <w:tcPr>
            <w:tcW w:w="1723" w:type="dxa"/>
            <w:vAlign w:val="center"/>
          </w:tcPr>
          <w:p w14:paraId="618E78FF" w14:textId="77777777" w:rsidR="00504D35" w:rsidRPr="00643008" w:rsidRDefault="00504D35" w:rsidP="007167C0">
            <w:pPr>
              <w:spacing w:line="360" w:lineRule="auto"/>
              <w:jc w:val="right"/>
              <w:rPr>
                <w:rFonts w:ascii="Times New Roman" w:hAnsi="Times New Roman" w:cs="Times New Roman"/>
              </w:rPr>
            </w:pPr>
            <w:r w:rsidRPr="00643008">
              <w:rPr>
                <w:rFonts w:ascii="Times New Roman" w:hAnsi="Times New Roman" w:cs="Times New Roman"/>
              </w:rPr>
              <w:t>615.77±104.56</w:t>
            </w:r>
            <w:r w:rsidRPr="00643008">
              <w:rPr>
                <w:rFonts w:ascii="Times New Roman" w:hAnsi="Times New Roman" w:cs="Times New Roman"/>
                <w:color w:val="000000"/>
              </w:rPr>
              <w:t>ᵃ</w:t>
            </w:r>
          </w:p>
        </w:tc>
        <w:tc>
          <w:tcPr>
            <w:tcW w:w="1719" w:type="dxa"/>
            <w:vAlign w:val="center"/>
          </w:tcPr>
          <w:p w14:paraId="31C4A87A" w14:textId="77777777" w:rsidR="00504D35" w:rsidRPr="00643008" w:rsidRDefault="00504D35" w:rsidP="007167C0">
            <w:pPr>
              <w:spacing w:line="360" w:lineRule="auto"/>
              <w:jc w:val="right"/>
              <w:rPr>
                <w:rFonts w:ascii="Times New Roman" w:hAnsi="Times New Roman" w:cs="Times New Roman"/>
              </w:rPr>
            </w:pPr>
            <w:r w:rsidRPr="00643008">
              <w:rPr>
                <w:rFonts w:ascii="Times New Roman" w:hAnsi="Times New Roman" w:cs="Times New Roman"/>
              </w:rPr>
              <w:t>413.423±32.63</w:t>
            </w:r>
            <w:r w:rsidRPr="00643008">
              <w:rPr>
                <w:rFonts w:ascii="Times New Roman" w:hAnsi="Times New Roman" w:cs="Times New Roman"/>
                <w:color w:val="000000"/>
              </w:rPr>
              <w:t>ᶜ</w:t>
            </w:r>
          </w:p>
        </w:tc>
      </w:tr>
      <w:tr w:rsidR="00504D35" w:rsidRPr="00643008" w14:paraId="15A7F929" w14:textId="77777777" w:rsidTr="00504D35">
        <w:tc>
          <w:tcPr>
            <w:tcW w:w="1863" w:type="dxa"/>
          </w:tcPr>
          <w:p w14:paraId="335FE80B" w14:textId="77777777" w:rsidR="00504D35" w:rsidRPr="00643008" w:rsidRDefault="00504D35" w:rsidP="007167C0">
            <w:pPr>
              <w:spacing w:line="360" w:lineRule="auto"/>
            </w:pPr>
            <w:r w:rsidRPr="00643008">
              <w:rPr>
                <w:rFonts w:ascii="Times New Roman" w:hAnsi="Times New Roman" w:cs="Times New Roman"/>
                <w:b/>
                <w:bCs/>
              </w:rPr>
              <w:t>SGR</w:t>
            </w:r>
          </w:p>
        </w:tc>
        <w:tc>
          <w:tcPr>
            <w:tcW w:w="1989" w:type="dxa"/>
          </w:tcPr>
          <w:p w14:paraId="0155C8F7" w14:textId="77777777" w:rsidR="00504D35" w:rsidRPr="00643008" w:rsidRDefault="00504D35" w:rsidP="007167C0">
            <w:pPr>
              <w:spacing w:line="360" w:lineRule="auto"/>
              <w:jc w:val="right"/>
            </w:pPr>
            <w:r w:rsidRPr="00643008">
              <w:rPr>
                <w:rFonts w:ascii="Times New Roman" w:hAnsi="Times New Roman" w:cs="Times New Roman"/>
              </w:rPr>
              <w:t>2.86± 0.338</w:t>
            </w:r>
            <w:r w:rsidRPr="00643008">
              <w:rPr>
                <w:rFonts w:ascii="Times New Roman" w:hAnsi="Times New Roman" w:cs="Times New Roman"/>
                <w:color w:val="000000"/>
              </w:rPr>
              <w:t>ᵈ</w:t>
            </w:r>
          </w:p>
        </w:tc>
        <w:tc>
          <w:tcPr>
            <w:tcW w:w="1732" w:type="dxa"/>
          </w:tcPr>
          <w:p w14:paraId="530B4C79" w14:textId="77777777" w:rsidR="00504D35" w:rsidRPr="00643008" w:rsidRDefault="00504D35" w:rsidP="007167C0">
            <w:pPr>
              <w:spacing w:line="360" w:lineRule="auto"/>
              <w:jc w:val="right"/>
            </w:pPr>
            <w:r w:rsidRPr="00643008">
              <w:rPr>
                <w:rFonts w:ascii="Times New Roman" w:hAnsi="Times New Roman" w:cs="Times New Roman"/>
              </w:rPr>
              <w:t>9.30± 0.521</w:t>
            </w:r>
            <w:r w:rsidRPr="00643008">
              <w:rPr>
                <w:rFonts w:ascii="Times New Roman" w:hAnsi="Times New Roman" w:cs="Times New Roman"/>
                <w:color w:val="000000"/>
              </w:rPr>
              <w:t>ᵇ</w:t>
            </w:r>
          </w:p>
        </w:tc>
        <w:tc>
          <w:tcPr>
            <w:tcW w:w="1723" w:type="dxa"/>
          </w:tcPr>
          <w:p w14:paraId="7381A641" w14:textId="77777777" w:rsidR="00504D35" w:rsidRPr="00643008" w:rsidRDefault="00504D35" w:rsidP="007167C0">
            <w:pPr>
              <w:spacing w:line="360" w:lineRule="auto"/>
              <w:jc w:val="right"/>
              <w:rPr>
                <w:rFonts w:ascii="Times New Roman" w:hAnsi="Times New Roman" w:cs="Times New Roman"/>
              </w:rPr>
            </w:pPr>
            <w:r w:rsidRPr="00643008">
              <w:rPr>
                <w:rFonts w:ascii="Times New Roman" w:hAnsi="Times New Roman" w:cs="Times New Roman"/>
              </w:rPr>
              <w:t>11.66±0.23</w:t>
            </w:r>
            <w:r w:rsidRPr="00643008">
              <w:rPr>
                <w:rFonts w:ascii="Times New Roman" w:hAnsi="Times New Roman" w:cs="Times New Roman"/>
                <w:color w:val="000000"/>
              </w:rPr>
              <w:t>ᵃ</w:t>
            </w:r>
          </w:p>
        </w:tc>
        <w:tc>
          <w:tcPr>
            <w:tcW w:w="1719" w:type="dxa"/>
          </w:tcPr>
          <w:p w14:paraId="4FD41149" w14:textId="77777777" w:rsidR="00504D35" w:rsidRPr="00643008" w:rsidRDefault="00504D35" w:rsidP="007167C0">
            <w:pPr>
              <w:spacing w:line="360" w:lineRule="auto"/>
              <w:jc w:val="right"/>
            </w:pPr>
            <w:r w:rsidRPr="00643008">
              <w:rPr>
                <w:rFonts w:ascii="Times New Roman" w:hAnsi="Times New Roman" w:cs="Times New Roman"/>
              </w:rPr>
              <w:t>5.73± 0.904</w:t>
            </w:r>
            <w:r w:rsidRPr="00643008">
              <w:rPr>
                <w:rFonts w:ascii="Times New Roman" w:hAnsi="Times New Roman" w:cs="Times New Roman"/>
                <w:color w:val="000000"/>
              </w:rPr>
              <w:t>ᶜ</w:t>
            </w:r>
          </w:p>
        </w:tc>
      </w:tr>
    </w:tbl>
    <w:p w14:paraId="1CB0A67B" w14:textId="317346D5" w:rsidR="00504D35" w:rsidRPr="00504D35" w:rsidRDefault="00504D35" w:rsidP="00504D35">
      <w:r>
        <w:rPr>
          <w:rFonts w:ascii="Times New Roman" w:hAnsi="Times New Roman" w:cs="Times New Roman"/>
          <w:b/>
          <w:bCs/>
          <w:color w:val="000000" w:themeColor="text1"/>
        </w:rPr>
        <w:t xml:space="preserve">Table 1. </w:t>
      </w:r>
      <w:r w:rsidRPr="00D95166">
        <w:rPr>
          <w:rFonts w:ascii="Times New Roman" w:hAnsi="Times New Roman" w:cs="Times New Roman"/>
          <w:color w:val="000000" w:themeColor="text1"/>
        </w:rPr>
        <w:t xml:space="preserve">Growth performance of </w:t>
      </w:r>
      <w:r w:rsidRPr="00D95166">
        <w:rPr>
          <w:rFonts w:ascii="Times New Roman" w:hAnsi="Times New Roman" w:cs="Times New Roman"/>
          <w:i/>
          <w:iCs/>
          <w:color w:val="000000" w:themeColor="text1"/>
        </w:rPr>
        <w:t>T. blochii</w:t>
      </w:r>
      <w:r w:rsidRPr="00D95166">
        <w:rPr>
          <w:rFonts w:ascii="Times New Roman" w:hAnsi="Times New Roman" w:cs="Times New Roman"/>
          <w:color w:val="000000" w:themeColor="text1"/>
        </w:rPr>
        <w:t xml:space="preserve"> raised in varying salinities</w:t>
      </w:r>
    </w:p>
    <w:p w14:paraId="7932D034" w14:textId="77777777" w:rsidR="00CD67CA" w:rsidRDefault="00A30E0B" w:rsidP="004A2C55">
      <w:pPr>
        <w:spacing w:line="240"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Histopathology</w:t>
      </w:r>
    </w:p>
    <w:p w14:paraId="24C9FAE1" w14:textId="77777777" w:rsidR="004A2C55" w:rsidRPr="004A2C55" w:rsidRDefault="004A2C55" w:rsidP="004A2C55">
      <w:pPr>
        <w:spacing w:line="240" w:lineRule="auto"/>
        <w:jc w:val="both"/>
        <w:rPr>
          <w:rFonts w:ascii="Times New Roman" w:hAnsi="Times New Roman" w:cs="Times New Roman"/>
          <w:sz w:val="24"/>
          <w:szCs w:val="24"/>
        </w:rPr>
      </w:pPr>
      <w:r w:rsidRPr="004A2C55">
        <w:rPr>
          <w:rFonts w:ascii="Times New Roman" w:hAnsi="Times New Roman" w:cs="Times New Roman"/>
          <w:sz w:val="24"/>
          <w:szCs w:val="24"/>
        </w:rPr>
        <w:t>Histopathological examination of the gill and liver tissues revealed distinct structural differences among the salinity treatments (Figures 1.1–1.4). Specimens maintained at the control salinity (35 ppt) and 15 ppt exhibited normal gill architectural design and healthy hepatic cell arrangements. Conversely, fish exposed to severe low-salinity stress (5 ppt) displayed notable structural alterations, including lamellar fusion, epithelial lifting in the gill filaments, and localized cellular vacuolation within the liver tissue.</w:t>
      </w:r>
    </w:p>
    <w:p w14:paraId="0AC9031E" w14:textId="107CF4DA" w:rsidR="00CD67CA" w:rsidRDefault="000C6D6A" w:rsidP="00DA7D63">
      <w:pPr>
        <w:spacing w:line="276" w:lineRule="auto"/>
        <w:rPr>
          <w:rFonts w:ascii="Times New Roman" w:hAnsi="Times New Roman" w:cs="Times New Roman"/>
          <w:b/>
          <w:bCs/>
          <w:sz w:val="24"/>
          <w:szCs w:val="24"/>
        </w:rPr>
      </w:pPr>
      <w:r w:rsidRPr="00E301E4">
        <w:rPr>
          <w:rFonts w:ascii="Times New Roman" w:hAnsi="Times New Roman" w:cs="Times New Roman"/>
          <w:b/>
          <w:bCs/>
          <w:sz w:val="24"/>
          <w:szCs w:val="24"/>
        </w:rPr>
        <w:t>Histopathology of silver pompano Liver</w:t>
      </w:r>
    </w:p>
    <w:p w14:paraId="5ECE6603" w14:textId="2FA29208" w:rsidR="000C6D6A" w:rsidRPr="00E301E4" w:rsidRDefault="00F0118F" w:rsidP="00DA7D63">
      <w:pPr>
        <w:spacing w:line="276" w:lineRule="auto"/>
        <w:rPr>
          <w:rFonts w:ascii="Times New Roman" w:hAnsi="Times New Roman" w:cs="Times New Roman"/>
          <w:b/>
          <w:bCs/>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3530DBF" wp14:editId="623053BD">
                <wp:simplePos x="0" y="0"/>
                <wp:positionH relativeFrom="column">
                  <wp:posOffset>1607993</wp:posOffset>
                </wp:positionH>
                <wp:positionV relativeFrom="paragraph">
                  <wp:posOffset>24938</wp:posOffset>
                </wp:positionV>
                <wp:extent cx="2756708" cy="1932536"/>
                <wp:effectExtent l="0" t="0" r="24765" b="10795"/>
                <wp:wrapNone/>
                <wp:docPr id="1907625549" name="Text Box 30"/>
                <wp:cNvGraphicFramePr/>
                <a:graphic xmlns:a="http://schemas.openxmlformats.org/drawingml/2006/main">
                  <a:graphicData uri="http://schemas.microsoft.com/office/word/2010/wordprocessingShape">
                    <wps:wsp>
                      <wps:cNvSpPr txBox="1"/>
                      <wps:spPr>
                        <a:xfrm>
                          <a:off x="0" y="0"/>
                          <a:ext cx="2756708" cy="1932536"/>
                        </a:xfrm>
                        <a:prstGeom prst="rect">
                          <a:avLst/>
                        </a:prstGeom>
                        <a:solidFill>
                          <a:schemeClr val="lt1"/>
                        </a:solidFill>
                        <a:ln w="6350">
                          <a:solidFill>
                            <a:schemeClr val="bg1"/>
                          </a:solidFill>
                        </a:ln>
                      </wps:spPr>
                      <wps:txb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7"/>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30DBF" id="_x0000_t202" coordsize="21600,21600" o:spt="202" path="m,l,21600r21600,l21600,xe">
                <v:stroke joinstyle="miter"/>
                <v:path gradientshapeok="t" o:connecttype="rect"/>
              </v:shapetype>
              <v:shape id="Text Box 30" o:spid="_x0000_s1026" type="#_x0000_t202" style="position:absolute;margin-left:126.6pt;margin-top:1.95pt;width:217.05pt;height:15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" fillcolor="white [3201]" strokecolor="white [3212]" strokeweight=".5pt">
                <v:textbo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8"/>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v:textbox>
              </v:shape>
            </w:pict>
          </mc:Fallback>
        </mc:AlternateContent>
      </w:r>
    </w:p>
    <w:p w14:paraId="2F2C6D10" w14:textId="77777777" w:rsidR="000C6D6A" w:rsidRPr="00E301E4" w:rsidRDefault="000C6D6A" w:rsidP="000C6D6A">
      <w:pPr>
        <w:rPr>
          <w:rFonts w:ascii="Times New Roman" w:hAnsi="Times New Roman" w:cs="Times New Roman"/>
          <w:b/>
          <w:bCs/>
          <w:sz w:val="24"/>
          <w:szCs w:val="24"/>
        </w:rPr>
      </w:pPr>
    </w:p>
    <w:p w14:paraId="5660CED6" w14:textId="77777777" w:rsidR="000C6D6A" w:rsidRPr="00E301E4" w:rsidRDefault="000C6D6A" w:rsidP="000C6D6A">
      <w:pPr>
        <w:rPr>
          <w:rFonts w:ascii="Times New Roman" w:hAnsi="Times New Roman" w:cs="Times New Roman"/>
          <w:b/>
          <w:bCs/>
          <w:sz w:val="24"/>
          <w:szCs w:val="24"/>
        </w:rPr>
      </w:pPr>
    </w:p>
    <w:p w14:paraId="60F8ABE1" w14:textId="77777777" w:rsidR="00DA7D63" w:rsidRDefault="00DA7D63" w:rsidP="00E92A71">
      <w:pPr>
        <w:spacing w:line="276" w:lineRule="auto"/>
        <w:jc w:val="both"/>
        <w:rPr>
          <w:rFonts w:ascii="Times New Roman" w:hAnsi="Times New Roman" w:cs="Times New Roman"/>
          <w:b/>
          <w:bCs/>
          <w:sz w:val="24"/>
          <w:szCs w:val="24"/>
        </w:rPr>
      </w:pPr>
    </w:p>
    <w:p w14:paraId="2E6FD744" w14:textId="77777777" w:rsidR="00CD67CA" w:rsidRDefault="00CD67CA" w:rsidP="00E92A71">
      <w:pPr>
        <w:spacing w:line="276" w:lineRule="auto"/>
        <w:jc w:val="both"/>
        <w:rPr>
          <w:rFonts w:ascii="Times New Roman" w:hAnsi="Times New Roman" w:cs="Times New Roman"/>
          <w:b/>
          <w:bCs/>
          <w:sz w:val="24"/>
          <w:szCs w:val="24"/>
        </w:rPr>
      </w:pPr>
    </w:p>
    <w:p w14:paraId="107920F7" w14:textId="77777777" w:rsidR="00CD67CA" w:rsidRDefault="00CD67CA" w:rsidP="00E92A71">
      <w:pPr>
        <w:spacing w:line="276" w:lineRule="auto"/>
        <w:jc w:val="both"/>
        <w:rPr>
          <w:rFonts w:ascii="Times New Roman" w:hAnsi="Times New Roman" w:cs="Times New Roman"/>
          <w:b/>
          <w:bCs/>
          <w:sz w:val="24"/>
          <w:szCs w:val="24"/>
        </w:rPr>
      </w:pPr>
    </w:p>
    <w:p w14:paraId="660AB324" w14:textId="77777777" w:rsidR="00F224B2" w:rsidRDefault="00F224B2" w:rsidP="00E92A71">
      <w:pPr>
        <w:spacing w:line="276" w:lineRule="auto"/>
        <w:jc w:val="both"/>
        <w:rPr>
          <w:rFonts w:ascii="Times New Roman" w:hAnsi="Times New Roman" w:cs="Times New Roman"/>
          <w:b/>
          <w:bCs/>
          <w:sz w:val="24"/>
          <w:szCs w:val="24"/>
        </w:rPr>
      </w:pPr>
    </w:p>
    <w:p w14:paraId="0023F075" w14:textId="5A2133ED" w:rsidR="00F224B2"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1.  </w:t>
      </w:r>
      <w:r w:rsidR="00F224B2" w:rsidRPr="00F224B2">
        <w:rPr>
          <w:rFonts w:ascii="Times New Roman" w:hAnsi="Times New Roman" w:cs="Times New Roman"/>
          <w:sz w:val="24"/>
          <w:szCs w:val="24"/>
        </w:rPr>
        <w:t>Photomicrograph of hepatic tissue from a healthy juvenile silver pompano (</w:t>
      </w:r>
      <w:r w:rsidR="00F224B2" w:rsidRPr="00F224B2">
        <w:rPr>
          <w:rFonts w:ascii="Times New Roman" w:hAnsi="Times New Roman" w:cs="Times New Roman"/>
          <w:i/>
          <w:iCs/>
          <w:sz w:val="24"/>
          <w:szCs w:val="24"/>
        </w:rPr>
        <w:t>Trachinotus blochii</w:t>
      </w:r>
      <w:r w:rsidR="00F224B2" w:rsidRPr="00F224B2">
        <w:rPr>
          <w:rFonts w:ascii="Times New Roman" w:hAnsi="Times New Roman" w:cs="Times New Roman"/>
          <w:sz w:val="24"/>
          <w:szCs w:val="24"/>
        </w:rPr>
        <w:t xml:space="preserve">) reared under control conditions (C1, </w:t>
      </w:r>
      <m:oMath>
        <m:r>
          <w:rPr>
            <w:rFonts w:ascii="Cambria Math" w:hAnsi="Cambria Math" w:cs="Times New Roman"/>
            <w:sz w:val="24"/>
            <w:szCs w:val="24"/>
          </w:rPr>
          <m:t>35</m:t>
        </m:r>
        <m:r>
          <m:rPr>
            <m:nor/>
          </m:rPr>
          <w:rPr>
            <w:rFonts w:ascii="Times New Roman" w:hAnsi="Times New Roman" w:cs="Times New Roman"/>
            <w:sz w:val="24"/>
            <w:szCs w:val="24"/>
          </w:rPr>
          <m:t> ppt</m:t>
        </m:r>
      </m:oMath>
      <w:r w:rsidR="00F224B2" w:rsidRPr="00F224B2">
        <w:rPr>
          <w:rFonts w:ascii="Times New Roman" w:hAnsi="Times New Roman" w:cs="Times New Roman"/>
          <w:sz w:val="24"/>
          <w:szCs w:val="24"/>
        </w:rPr>
        <w:t>) (</w:t>
      </w:r>
      <m:oMath>
        <m:r>
          <w:rPr>
            <w:rFonts w:ascii="Cambria Math" w:hAnsi="Cambria Math" w:cs="Times New Roman"/>
            <w:sz w:val="24"/>
            <w:szCs w:val="24"/>
          </w:rPr>
          <m:t>20×</m:t>
        </m:r>
      </m:oMath>
      <w:r w:rsidR="00F224B2" w:rsidRPr="00F224B2">
        <w:rPr>
          <w:rFonts w:ascii="Times New Roman" w:hAnsi="Times New Roman" w:cs="Times New Roman"/>
          <w:sz w:val="24"/>
          <w:szCs w:val="24"/>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oMath>
      <w:r w:rsidR="00F224B2" w:rsidRPr="00F224B2">
        <w:rPr>
          <w:rFonts w:ascii="Times New Roman" w:hAnsi="Times New Roman" w:cs="Times New Roman"/>
          <w:sz w:val="24"/>
          <w:szCs w:val="24"/>
        </w:rPr>
        <w:t xml:space="preserve">). The parenchyma displays a well-defined, unremarkable architectural arrangement of hepatocytes characterized by intact, centrally located nuclei and clearly </w:t>
      </w:r>
      <w:r w:rsidR="00F224B2" w:rsidRPr="00F224B2">
        <w:rPr>
          <w:rFonts w:ascii="Times New Roman" w:hAnsi="Times New Roman" w:cs="Times New Roman"/>
          <w:sz w:val="24"/>
          <w:szCs w:val="24"/>
        </w:rPr>
        <w:lastRenderedPageBreak/>
        <w:t>delineated sinusoidal spaces. Intravascular erythrocytes appear regular and uniform with no structural anomalies.</w:t>
      </w:r>
    </w:p>
    <w:p w14:paraId="7C37FF2D" w14:textId="60CEFF45"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6F5273E" wp14:editId="75EF3775">
                <wp:simplePos x="0" y="0"/>
                <wp:positionH relativeFrom="column">
                  <wp:posOffset>1441740</wp:posOffset>
                </wp:positionH>
                <wp:positionV relativeFrom="paragraph">
                  <wp:posOffset>44681</wp:posOffset>
                </wp:positionV>
                <wp:extent cx="2943802" cy="2112818"/>
                <wp:effectExtent l="0" t="0" r="28575" b="20955"/>
                <wp:wrapNone/>
                <wp:docPr id="1176203159" name="Text Box 31"/>
                <wp:cNvGraphicFramePr/>
                <a:graphic xmlns:a="http://schemas.openxmlformats.org/drawingml/2006/main">
                  <a:graphicData uri="http://schemas.microsoft.com/office/word/2010/wordprocessingShape">
                    <wps:wsp>
                      <wps:cNvSpPr txBox="1"/>
                      <wps:spPr>
                        <a:xfrm>
                          <a:off x="0" y="0"/>
                          <a:ext cx="2943802" cy="2112818"/>
                        </a:xfrm>
                        <a:prstGeom prst="rect">
                          <a:avLst/>
                        </a:prstGeom>
                        <a:solidFill>
                          <a:schemeClr val="lt1"/>
                        </a:solidFill>
                        <a:ln w="6350">
                          <a:solidFill>
                            <a:schemeClr val="bg1"/>
                          </a:solidFill>
                        </a:ln>
                      </wps:spPr>
                      <wps:txb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9"/>
                                          <a:stretch>
                                            <a:fillRect/>
                                          </a:stretch>
                                        </pic:blipFill>
                                        <pic:spPr>
                                          <a:xfrm>
                                            <a:off x="0" y="0"/>
                                            <a:ext cx="2615941" cy="2049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273E" id="Text Box 31" o:spid="_x0000_s1027" type="#_x0000_t202" style="position:absolute;left:0;text-align:left;margin-left:113.5pt;margin-top:3.5pt;width:231.8pt;height:16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" fillcolor="white [3201]" strokecolor="white [3212]" strokeweight=".5pt">
                <v:textbo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10"/>
                                    <a:stretch>
                                      <a:fillRect/>
                                    </a:stretch>
                                  </pic:blipFill>
                                  <pic:spPr>
                                    <a:xfrm>
                                      <a:off x="0" y="0"/>
                                      <a:ext cx="2615941" cy="2049155"/>
                                    </a:xfrm>
                                    <a:prstGeom prst="rect">
                                      <a:avLst/>
                                    </a:prstGeom>
                                  </pic:spPr>
                                </pic:pic>
                              </a:graphicData>
                            </a:graphic>
                          </wp:inline>
                        </w:drawing>
                      </w:r>
                    </w:p>
                  </w:txbxContent>
                </v:textbox>
              </v:shape>
            </w:pict>
          </mc:Fallback>
        </mc:AlternateContent>
      </w:r>
    </w:p>
    <w:p w14:paraId="0B455604" w14:textId="77777777" w:rsidR="000C6D6A" w:rsidRPr="00E301E4" w:rsidRDefault="000C6D6A" w:rsidP="000C6D6A">
      <w:pPr>
        <w:rPr>
          <w:rFonts w:ascii="Times New Roman" w:hAnsi="Times New Roman" w:cs="Times New Roman"/>
          <w:sz w:val="24"/>
          <w:szCs w:val="24"/>
        </w:rPr>
      </w:pPr>
    </w:p>
    <w:p w14:paraId="6D07CA35" w14:textId="77777777" w:rsidR="000C6D6A" w:rsidRDefault="000C6D6A" w:rsidP="000C6D6A">
      <w:pPr>
        <w:rPr>
          <w:rFonts w:ascii="Times New Roman" w:hAnsi="Times New Roman" w:cs="Times New Roman"/>
          <w:sz w:val="24"/>
          <w:szCs w:val="24"/>
        </w:rPr>
      </w:pPr>
    </w:p>
    <w:p w14:paraId="515E630F" w14:textId="77777777" w:rsidR="00613D73" w:rsidRDefault="00613D73" w:rsidP="000C6D6A">
      <w:pPr>
        <w:rPr>
          <w:rFonts w:ascii="Times New Roman" w:hAnsi="Times New Roman" w:cs="Times New Roman"/>
          <w:sz w:val="24"/>
          <w:szCs w:val="24"/>
        </w:rPr>
      </w:pPr>
    </w:p>
    <w:p w14:paraId="1E48A3DD" w14:textId="77777777" w:rsidR="00613D73" w:rsidRDefault="00613D73" w:rsidP="000C6D6A">
      <w:pPr>
        <w:rPr>
          <w:rFonts w:ascii="Times New Roman" w:hAnsi="Times New Roman" w:cs="Times New Roman"/>
          <w:sz w:val="24"/>
          <w:szCs w:val="24"/>
        </w:rPr>
      </w:pPr>
    </w:p>
    <w:p w14:paraId="50CE7D7D" w14:textId="77777777" w:rsidR="00613D73" w:rsidRDefault="00613D73" w:rsidP="000C6D6A">
      <w:pPr>
        <w:rPr>
          <w:rFonts w:ascii="Times New Roman" w:hAnsi="Times New Roman" w:cs="Times New Roman"/>
          <w:sz w:val="24"/>
          <w:szCs w:val="24"/>
        </w:rPr>
      </w:pPr>
    </w:p>
    <w:p w14:paraId="4CC6328B" w14:textId="77777777" w:rsidR="00613D73" w:rsidRDefault="00613D73" w:rsidP="000C6D6A">
      <w:pPr>
        <w:rPr>
          <w:rFonts w:ascii="Times New Roman" w:hAnsi="Times New Roman" w:cs="Times New Roman"/>
          <w:sz w:val="24"/>
          <w:szCs w:val="24"/>
        </w:rPr>
      </w:pPr>
    </w:p>
    <w:p w14:paraId="18E2FF9C" w14:textId="77777777" w:rsidR="00CD67CA" w:rsidRPr="00E301E4" w:rsidRDefault="00CD67CA" w:rsidP="000C6D6A">
      <w:pPr>
        <w:rPr>
          <w:rFonts w:ascii="Times New Roman" w:eastAsia="Times New Roman" w:hAnsi="Times New Roman" w:cs="Times New Roman"/>
          <w:b/>
          <w:bCs/>
          <w:sz w:val="24"/>
          <w:szCs w:val="24"/>
          <w:lang w:eastAsia="en-IN"/>
        </w:rPr>
      </w:pPr>
    </w:p>
    <w:p w14:paraId="2A29E350" w14:textId="69844570"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Figure</w:t>
      </w:r>
      <w:r w:rsidR="00EC3B6E">
        <w:rPr>
          <w:rFonts w:ascii="Times New Roman" w:hAnsi="Times New Roman" w:cs="Times New Roman"/>
          <w:b/>
          <w:bCs/>
          <w:sz w:val="24"/>
          <w:szCs w:val="24"/>
        </w:rPr>
        <w:t xml:space="preserve"> </w:t>
      </w:r>
      <w:r w:rsidRPr="00E301E4">
        <w:rPr>
          <w:rFonts w:ascii="Times New Roman" w:hAnsi="Times New Roman" w:cs="Times New Roman"/>
          <w:b/>
          <w:bCs/>
          <w:sz w:val="24"/>
          <w:szCs w:val="24"/>
        </w:rPr>
        <w:t xml:space="preserve">.2. </w:t>
      </w:r>
      <w:r w:rsidR="00F224B2" w:rsidRPr="00F224B2">
        <w:rPr>
          <w:rFonts w:ascii="Times New Roman" w:hAnsi="Times New Roman" w:cs="Times New Roman"/>
          <w:sz w:val="24"/>
          <w:szCs w:val="24"/>
        </w:rPr>
        <w:t>Photomicrograph of hepatic tissue from juvenile silver pompano (</w:t>
      </w:r>
      <w:r w:rsidR="00F224B2" w:rsidRPr="00F224B2">
        <w:rPr>
          <w:rFonts w:ascii="Times New Roman" w:hAnsi="Times New Roman" w:cs="Times New Roman"/>
          <w:i/>
          <w:iCs/>
          <w:sz w:val="24"/>
          <w:szCs w:val="24"/>
        </w:rPr>
        <w:t>Trachinotus blochii</w:t>
      </w:r>
      <w:r w:rsidR="00F224B2" w:rsidRPr="00F224B2">
        <w:rPr>
          <w:rFonts w:ascii="Times New Roman" w:hAnsi="Times New Roman" w:cs="Times New Roman"/>
          <w:sz w:val="24"/>
          <w:szCs w:val="24"/>
        </w:rPr>
        <w:t xml:space="preserve">) reared at </w:t>
      </w:r>
      <m:oMath>
        <m:r>
          <w:rPr>
            <w:rFonts w:ascii="Cambria Math" w:hAnsi="Cambria Math" w:cs="Times New Roman"/>
            <w:sz w:val="24"/>
            <w:szCs w:val="24"/>
          </w:rPr>
          <m:t>25</m:t>
        </m:r>
        <m:r>
          <m:rPr>
            <m:nor/>
          </m:rPr>
          <w:rPr>
            <w:rFonts w:ascii="Times New Roman" w:hAnsi="Times New Roman" w:cs="Times New Roman"/>
            <w:sz w:val="24"/>
            <w:szCs w:val="24"/>
          </w:rPr>
          <m:t> ppt</m:t>
        </m:r>
      </m:oMath>
      <w:r w:rsidR="00F224B2" w:rsidRPr="00F224B2">
        <w:rPr>
          <w:rFonts w:ascii="Times New Roman" w:hAnsi="Times New Roman" w:cs="Times New Roman"/>
          <w:sz w:val="24"/>
          <w:szCs w:val="24"/>
        </w:rPr>
        <w:t xml:space="preserve"> (T1), observed under </w:t>
      </w:r>
      <m:oMath>
        <m:r>
          <w:rPr>
            <w:rFonts w:ascii="Cambria Math" w:hAnsi="Cambria Math" w:cs="Times New Roman"/>
            <w:sz w:val="24"/>
            <w:szCs w:val="24"/>
          </w:rPr>
          <m:t>20×</m:t>
        </m:r>
      </m:oMath>
      <w:r w:rsidR="00F224B2" w:rsidRPr="00F224B2">
        <w:rPr>
          <w:rFonts w:ascii="Times New Roman" w:hAnsi="Times New Roman" w:cs="Times New Roman"/>
          <w:sz w:val="24"/>
          <w:szCs w:val="24"/>
        </w:rPr>
        <w:t xml:space="preserve"> magnification. Hepatocytes exhibit mild intracytoplasmic vacuolation (indicated by the red arrow).</w:t>
      </w:r>
    </w:p>
    <w:p w14:paraId="24023D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52F7DB6" wp14:editId="39F692D9">
                <wp:simplePos x="0" y="0"/>
                <wp:positionH relativeFrom="column">
                  <wp:posOffset>1340485</wp:posOffset>
                </wp:positionH>
                <wp:positionV relativeFrom="paragraph">
                  <wp:posOffset>3175</wp:posOffset>
                </wp:positionV>
                <wp:extent cx="3137997" cy="2175163"/>
                <wp:effectExtent l="0" t="0" r="24765" b="15875"/>
                <wp:wrapNone/>
                <wp:docPr id="213155154" name="Text Box 32"/>
                <wp:cNvGraphicFramePr/>
                <a:graphic xmlns:a="http://schemas.openxmlformats.org/drawingml/2006/main">
                  <a:graphicData uri="http://schemas.microsoft.com/office/word/2010/wordprocessingShape">
                    <wps:wsp>
                      <wps:cNvSpPr txBox="1"/>
                      <wps:spPr>
                        <a:xfrm>
                          <a:off x="0" y="0"/>
                          <a:ext cx="3137997" cy="2175163"/>
                        </a:xfrm>
                        <a:prstGeom prst="rect">
                          <a:avLst/>
                        </a:prstGeom>
                        <a:solidFill>
                          <a:schemeClr val="lt1"/>
                        </a:solidFill>
                        <a:ln w="6350">
                          <a:solidFill>
                            <a:schemeClr val="bg1"/>
                          </a:solidFill>
                        </a:ln>
                      </wps:spPr>
                      <wps:txb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11"/>
                                          <a:stretch>
                                            <a:fillRect/>
                                          </a:stretch>
                                        </pic:blipFill>
                                        <pic:spPr>
                                          <a:xfrm>
                                            <a:off x="0" y="0"/>
                                            <a:ext cx="2639177" cy="2088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F7DB6" id="Text Box 32" o:spid="_x0000_s1028" type="#_x0000_t202" style="position:absolute;left:0;text-align:left;margin-left:105.55pt;margin-top:.25pt;width:247.1pt;height:1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" fillcolor="white [3201]" strokecolor="white [3212]" strokeweight=".5pt">
                <v:textbo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12"/>
                                    <a:stretch>
                                      <a:fillRect/>
                                    </a:stretch>
                                  </pic:blipFill>
                                  <pic:spPr>
                                    <a:xfrm>
                                      <a:off x="0" y="0"/>
                                      <a:ext cx="2639177" cy="2088603"/>
                                    </a:xfrm>
                                    <a:prstGeom prst="rect">
                                      <a:avLst/>
                                    </a:prstGeom>
                                  </pic:spPr>
                                </pic:pic>
                              </a:graphicData>
                            </a:graphic>
                          </wp:inline>
                        </w:drawing>
                      </w:r>
                    </w:p>
                  </w:txbxContent>
                </v:textbox>
              </v:shape>
            </w:pict>
          </mc:Fallback>
        </mc:AlternateContent>
      </w:r>
    </w:p>
    <w:p w14:paraId="0500C4C9" w14:textId="77777777" w:rsidR="000C6D6A" w:rsidRPr="00E301E4" w:rsidRDefault="000C6D6A" w:rsidP="000C6D6A">
      <w:pPr>
        <w:spacing w:line="360" w:lineRule="auto"/>
        <w:jc w:val="both"/>
        <w:rPr>
          <w:rFonts w:ascii="Times New Roman" w:hAnsi="Times New Roman" w:cs="Times New Roman"/>
          <w:sz w:val="24"/>
          <w:szCs w:val="24"/>
        </w:rPr>
      </w:pPr>
    </w:p>
    <w:p w14:paraId="098A1616" w14:textId="77777777" w:rsidR="000C6D6A" w:rsidRPr="00E301E4" w:rsidRDefault="000C6D6A" w:rsidP="000C6D6A">
      <w:pPr>
        <w:spacing w:line="360" w:lineRule="auto"/>
        <w:jc w:val="both"/>
        <w:rPr>
          <w:rFonts w:ascii="Times New Roman" w:hAnsi="Times New Roman" w:cs="Times New Roman"/>
          <w:sz w:val="24"/>
          <w:szCs w:val="24"/>
        </w:rPr>
      </w:pPr>
    </w:p>
    <w:p w14:paraId="117DECE9" w14:textId="77777777" w:rsidR="000C6D6A" w:rsidRPr="00E301E4" w:rsidRDefault="000C6D6A" w:rsidP="000C6D6A">
      <w:pPr>
        <w:spacing w:line="360" w:lineRule="auto"/>
        <w:jc w:val="both"/>
        <w:rPr>
          <w:rFonts w:ascii="Times New Roman" w:hAnsi="Times New Roman" w:cs="Times New Roman"/>
          <w:sz w:val="24"/>
          <w:szCs w:val="24"/>
        </w:rPr>
      </w:pPr>
    </w:p>
    <w:p w14:paraId="26F672D9" w14:textId="77777777" w:rsidR="000C6D6A" w:rsidRPr="00E301E4" w:rsidRDefault="000C6D6A" w:rsidP="000C6D6A">
      <w:pPr>
        <w:spacing w:line="360" w:lineRule="auto"/>
        <w:jc w:val="both"/>
        <w:rPr>
          <w:rFonts w:ascii="Times New Roman" w:hAnsi="Times New Roman" w:cs="Times New Roman"/>
          <w:sz w:val="24"/>
          <w:szCs w:val="24"/>
        </w:rPr>
      </w:pPr>
    </w:p>
    <w:p w14:paraId="037CCCD3" w14:textId="77777777" w:rsidR="008674AC" w:rsidRPr="00E301E4" w:rsidRDefault="008674AC" w:rsidP="000C6D6A">
      <w:pPr>
        <w:rPr>
          <w:rFonts w:ascii="Times New Roman" w:eastAsia="Times New Roman" w:hAnsi="Times New Roman" w:cs="Times New Roman"/>
          <w:b/>
          <w:bCs/>
          <w:sz w:val="24"/>
          <w:szCs w:val="24"/>
          <w:lang w:eastAsia="en-IN"/>
        </w:rPr>
      </w:pPr>
    </w:p>
    <w:p w14:paraId="2D51AA96" w14:textId="77777777" w:rsidR="00F224B2" w:rsidRDefault="00F224B2" w:rsidP="00F224B2">
      <w:pPr>
        <w:spacing w:line="276" w:lineRule="auto"/>
        <w:jc w:val="both"/>
        <w:rPr>
          <w:rFonts w:ascii="Times New Roman" w:hAnsi="Times New Roman" w:cs="Times New Roman"/>
          <w:b/>
          <w:bCs/>
          <w:sz w:val="24"/>
          <w:szCs w:val="24"/>
        </w:rPr>
      </w:pPr>
    </w:p>
    <w:p w14:paraId="4D8066D4" w14:textId="580C3913" w:rsidR="000C6D6A" w:rsidRPr="00E301E4" w:rsidRDefault="000C6D6A" w:rsidP="00CD67CA">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3. </w:t>
      </w:r>
      <w:r w:rsidR="00F224B2" w:rsidRPr="00F224B2">
        <w:rPr>
          <w:rFonts w:ascii="Times New Roman" w:hAnsi="Times New Roman" w:cs="Times New Roman"/>
          <w:sz w:val="24"/>
          <w:szCs w:val="24"/>
        </w:rPr>
        <w:t>Light micrograph of hepatic parenchyma from juvenile silver pompano (</w:t>
      </w:r>
      <w:r w:rsidR="00F224B2" w:rsidRPr="00F224B2">
        <w:rPr>
          <w:rFonts w:ascii="Times New Roman" w:hAnsi="Times New Roman" w:cs="Times New Roman"/>
          <w:i/>
          <w:iCs/>
          <w:sz w:val="24"/>
          <w:szCs w:val="24"/>
        </w:rPr>
        <w:t>Trachinotus blochii</w:t>
      </w:r>
      <w:r w:rsidR="00F224B2" w:rsidRPr="00F224B2">
        <w:rPr>
          <w:rFonts w:ascii="Times New Roman" w:hAnsi="Times New Roman" w:cs="Times New Roman"/>
          <w:sz w:val="24"/>
          <w:szCs w:val="24"/>
        </w:rPr>
        <w:t xml:space="preserve">) reared at </w:t>
      </w:r>
      <m:oMath>
        <m:r>
          <w:rPr>
            <w:rFonts w:ascii="Cambria Math" w:hAnsi="Cambria Math" w:cs="Times New Roman"/>
            <w:sz w:val="24"/>
            <w:szCs w:val="24"/>
          </w:rPr>
          <m:t>15</m:t>
        </m:r>
        <m:r>
          <m:rPr>
            <m:nor/>
          </m:rPr>
          <w:rPr>
            <w:rFonts w:ascii="Times New Roman" w:hAnsi="Times New Roman" w:cs="Times New Roman"/>
            <w:sz w:val="24"/>
            <w:szCs w:val="24"/>
          </w:rPr>
          <m:t> ppt</m:t>
        </m:r>
      </m:oMath>
      <w:r w:rsidR="00F224B2" w:rsidRPr="00F224B2">
        <w:rPr>
          <w:rFonts w:ascii="Times New Roman" w:hAnsi="Times New Roman" w:cs="Times New Roman"/>
          <w:sz w:val="24"/>
          <w:szCs w:val="24"/>
        </w:rPr>
        <w:t xml:space="preserve"> (T2) under </w:t>
      </w:r>
      <m:oMath>
        <m:r>
          <w:rPr>
            <w:rFonts w:ascii="Cambria Math" w:hAnsi="Cambria Math" w:cs="Times New Roman"/>
            <w:sz w:val="24"/>
            <w:szCs w:val="24"/>
          </w:rPr>
          <m:t>60×</m:t>
        </m:r>
      </m:oMath>
      <w:r w:rsidR="00F224B2" w:rsidRPr="00F224B2">
        <w:rPr>
          <w:rFonts w:ascii="Times New Roman" w:hAnsi="Times New Roman" w:cs="Times New Roman"/>
          <w:sz w:val="24"/>
          <w:szCs w:val="24"/>
        </w:rPr>
        <w:t xml:space="preserve"> magnification. The tissue maintains a well-preserved hepatic architecture, displaying only localized, minor histological alterations characterized by occasional hepatocytes with pyknotic nuclei (indicated by the yellow arrow).</w:t>
      </w:r>
    </w:p>
    <w:p w14:paraId="6EB4CD89" w14:textId="15790EBE" w:rsidR="00CD67CA" w:rsidRPr="00E301E4" w:rsidRDefault="00CD67CA" w:rsidP="000C6D6A">
      <w:pPr>
        <w:spacing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68480" behindDoc="0" locked="0" layoutInCell="1" allowOverlap="1" wp14:anchorId="60374A84" wp14:editId="48CE52E3">
                <wp:simplePos x="0" y="0"/>
                <wp:positionH relativeFrom="column">
                  <wp:posOffset>1341120</wp:posOffset>
                </wp:positionH>
                <wp:positionV relativeFrom="paragraph">
                  <wp:posOffset>13335</wp:posOffset>
                </wp:positionV>
                <wp:extent cx="2766060" cy="1752600"/>
                <wp:effectExtent l="0" t="0" r="15240" b="19050"/>
                <wp:wrapNone/>
                <wp:docPr id="732742250" name="Text Box 12"/>
                <wp:cNvGraphicFramePr/>
                <a:graphic xmlns:a="http://schemas.openxmlformats.org/drawingml/2006/main">
                  <a:graphicData uri="http://schemas.microsoft.com/office/word/2010/wordprocessingShape">
                    <wps:wsp>
                      <wps:cNvSpPr txBox="1"/>
                      <wps:spPr>
                        <a:xfrm>
                          <a:off x="0" y="0"/>
                          <a:ext cx="2766060" cy="1752600"/>
                        </a:xfrm>
                        <a:prstGeom prst="rect">
                          <a:avLst/>
                        </a:prstGeom>
                        <a:solidFill>
                          <a:schemeClr val="lt1"/>
                        </a:solidFill>
                        <a:ln w="6350">
                          <a:solidFill>
                            <a:schemeClr val="bg1"/>
                          </a:solidFill>
                        </a:ln>
                      </wps:spPr>
                      <wps:txb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3"/>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4A84" id="Text Box 12" o:spid="_x0000_s1029" type="#_x0000_t202" style="position:absolute;left:0;text-align:left;margin-left:105.6pt;margin-top:1.05pt;width:217.8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" fillcolor="white [3201]" strokecolor="white [3212]" strokeweight=".5pt">
                <v:textbo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4"/>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C6D6A" w:rsidRPr="00E301E4">
        <w:rPr>
          <w:rFonts w:ascii="Times New Roman" w:hAnsi="Times New Roman" w:cs="Times New Roman"/>
          <w:sz w:val="24"/>
          <w:szCs w:val="24"/>
        </w:rPr>
        <w:t xml:space="preserve">  </w:t>
      </w:r>
    </w:p>
    <w:p w14:paraId="5AAA0B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488AD334" w14:textId="77777777" w:rsidR="000C6D6A" w:rsidRPr="00E301E4" w:rsidRDefault="000C6D6A" w:rsidP="000C6D6A">
      <w:pPr>
        <w:spacing w:line="360" w:lineRule="auto"/>
        <w:jc w:val="both"/>
        <w:rPr>
          <w:rFonts w:ascii="Times New Roman" w:hAnsi="Times New Roman" w:cs="Times New Roman"/>
          <w:sz w:val="24"/>
          <w:szCs w:val="24"/>
        </w:rPr>
      </w:pPr>
    </w:p>
    <w:p w14:paraId="3D4F8988" w14:textId="4EA01941" w:rsidR="000C6D6A" w:rsidRPr="00E301E4" w:rsidRDefault="000C6D6A" w:rsidP="00F0118F">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649D5084" w14:textId="77777777" w:rsidR="00F0118F" w:rsidRPr="00E301E4" w:rsidRDefault="00F0118F" w:rsidP="00F0118F">
      <w:pPr>
        <w:spacing w:line="360" w:lineRule="auto"/>
        <w:jc w:val="both"/>
        <w:rPr>
          <w:rFonts w:ascii="Times New Roman" w:hAnsi="Times New Roman" w:cs="Times New Roman"/>
          <w:sz w:val="24"/>
          <w:szCs w:val="24"/>
        </w:rPr>
      </w:pPr>
    </w:p>
    <w:p w14:paraId="2F5BF11C" w14:textId="7227BF01"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lastRenderedPageBreak/>
        <w:t xml:space="preserve">Figure 4. </w:t>
      </w:r>
      <w:r w:rsidR="00F224B2" w:rsidRPr="00F224B2">
        <w:rPr>
          <w:rFonts w:ascii="Times New Roman" w:hAnsi="Times New Roman" w:cs="Times New Roman"/>
          <w:sz w:val="24"/>
          <w:szCs w:val="24"/>
        </w:rPr>
        <w:t>Light micrograph of hepatic tissue from juvenile silver pompano (</w:t>
      </w:r>
      <w:r w:rsidR="00F224B2" w:rsidRPr="00F224B2">
        <w:rPr>
          <w:rFonts w:ascii="Times New Roman" w:hAnsi="Times New Roman" w:cs="Times New Roman"/>
          <w:i/>
          <w:iCs/>
          <w:sz w:val="24"/>
          <w:szCs w:val="24"/>
        </w:rPr>
        <w:t>Trachinotus blochii</w:t>
      </w:r>
      <w:r w:rsidR="00F224B2" w:rsidRPr="00F224B2">
        <w:rPr>
          <w:rFonts w:ascii="Times New Roman" w:hAnsi="Times New Roman" w:cs="Times New Roman"/>
          <w:sz w:val="24"/>
          <w:szCs w:val="24"/>
        </w:rPr>
        <w:t xml:space="preserve">) exposed to a low salinity of </w:t>
      </w:r>
      <m:oMath>
        <m:r>
          <w:rPr>
            <w:rFonts w:ascii="Cambria Math" w:hAnsi="Cambria Math" w:cs="Times New Roman"/>
            <w:sz w:val="24"/>
            <w:szCs w:val="24"/>
          </w:rPr>
          <m:t>5</m:t>
        </m:r>
        <m:r>
          <m:rPr>
            <m:nor/>
          </m:rPr>
          <w:rPr>
            <w:rFonts w:ascii="Times New Roman" w:hAnsi="Times New Roman" w:cs="Times New Roman"/>
            <w:sz w:val="24"/>
            <w:szCs w:val="24"/>
          </w:rPr>
          <m:t> ppt</m:t>
        </m:r>
      </m:oMath>
      <w:r w:rsidR="00F224B2" w:rsidRPr="00F224B2">
        <w:rPr>
          <w:rFonts w:ascii="Times New Roman" w:hAnsi="Times New Roman" w:cs="Times New Roman"/>
          <w:sz w:val="24"/>
          <w:szCs w:val="24"/>
        </w:rPr>
        <w:t xml:space="preserve"> (T3) (</w:t>
      </w:r>
      <m:oMath>
        <m:r>
          <w:rPr>
            <w:rFonts w:ascii="Cambria Math" w:hAnsi="Cambria Math" w:cs="Times New Roman"/>
            <w:sz w:val="24"/>
            <w:szCs w:val="24"/>
          </w:rPr>
          <m:t>60×</m:t>
        </m:r>
      </m:oMath>
      <w:r w:rsidR="00F224B2" w:rsidRPr="00F224B2">
        <w:rPr>
          <w:rFonts w:ascii="Times New Roman" w:hAnsi="Times New Roman" w:cs="Times New Roman"/>
          <w:sz w:val="24"/>
          <w:szCs w:val="24"/>
        </w:rPr>
        <w:t xml:space="preserve"> magnification). The section exhibits localized cellular alterations, including scattered hepatocytes with pyknotic nuclei (indicated by the thin arrow) and occasional instances of cellular hypertrophy (indicated by the black arrow). Intravascular erythrocytes within the sinusoidal networks remain structurally regular.</w:t>
      </w:r>
    </w:p>
    <w:p w14:paraId="753D9CAE"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sz w:val="24"/>
          <w:szCs w:val="24"/>
          <w:lang w:eastAsia="en-IN"/>
        </w:rPr>
        <w:t xml:space="preserve">                                  Histology of silver pompano gills</w:t>
      </w:r>
    </w:p>
    <w:p w14:paraId="57B0B36C"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4384" behindDoc="0" locked="0" layoutInCell="1" allowOverlap="1" wp14:anchorId="128C150B" wp14:editId="23100EA1">
                <wp:simplePos x="0" y="0"/>
                <wp:positionH relativeFrom="column">
                  <wp:posOffset>1310120</wp:posOffset>
                </wp:positionH>
                <wp:positionV relativeFrom="paragraph">
                  <wp:posOffset>70947</wp:posOffset>
                </wp:positionV>
                <wp:extent cx="2909455" cy="2092036"/>
                <wp:effectExtent l="0" t="0" r="24765" b="22860"/>
                <wp:wrapNone/>
                <wp:docPr id="1488172240" name="Text Box 34"/>
                <wp:cNvGraphicFramePr/>
                <a:graphic xmlns:a="http://schemas.openxmlformats.org/drawingml/2006/main">
                  <a:graphicData uri="http://schemas.microsoft.com/office/word/2010/wordprocessingShape">
                    <wps:wsp>
                      <wps:cNvSpPr txBox="1"/>
                      <wps:spPr>
                        <a:xfrm>
                          <a:off x="0" y="0"/>
                          <a:ext cx="2909455" cy="2092036"/>
                        </a:xfrm>
                        <a:prstGeom prst="rect">
                          <a:avLst/>
                        </a:prstGeom>
                        <a:solidFill>
                          <a:schemeClr val="lt1"/>
                        </a:solidFill>
                        <a:ln w="6350">
                          <a:solidFill>
                            <a:schemeClr val="bg1"/>
                          </a:solidFill>
                        </a:ln>
                      </wps:spPr>
                      <wps:txb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150B" id="Text Box 34" o:spid="_x0000_s1030" type="#_x0000_t202" style="position:absolute;margin-left:103.15pt;margin-top:5.6pt;width:229.1pt;height:16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" fillcolor="white [3201]" strokecolor="white [3212]" strokeweight=".5pt">
                <v:textbo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v:textbox>
              </v:shape>
            </w:pict>
          </mc:Fallback>
        </mc:AlternateContent>
      </w:r>
    </w:p>
    <w:p w14:paraId="30E02BF3" w14:textId="77777777" w:rsidR="000C6D6A" w:rsidRPr="00E301E4" w:rsidRDefault="000C6D6A" w:rsidP="000C6D6A">
      <w:pPr>
        <w:rPr>
          <w:rFonts w:ascii="Times New Roman" w:eastAsia="Times New Roman" w:hAnsi="Times New Roman" w:cs="Times New Roman"/>
          <w:b/>
          <w:bCs/>
          <w:sz w:val="24"/>
          <w:szCs w:val="24"/>
          <w:lang w:eastAsia="en-IN"/>
        </w:rPr>
      </w:pPr>
    </w:p>
    <w:p w14:paraId="2302CA78" w14:textId="77777777" w:rsidR="000C6D6A" w:rsidRPr="00E301E4" w:rsidRDefault="000C6D6A" w:rsidP="000C6D6A">
      <w:pPr>
        <w:rPr>
          <w:rFonts w:ascii="Times New Roman" w:eastAsia="Times New Roman" w:hAnsi="Times New Roman" w:cs="Times New Roman"/>
          <w:b/>
          <w:bCs/>
          <w:sz w:val="24"/>
          <w:szCs w:val="24"/>
          <w:lang w:eastAsia="en-IN"/>
        </w:rPr>
      </w:pPr>
    </w:p>
    <w:p w14:paraId="3D1E121E" w14:textId="77777777" w:rsidR="000C6D6A" w:rsidRPr="00E301E4" w:rsidRDefault="000C6D6A" w:rsidP="000C6D6A">
      <w:pPr>
        <w:rPr>
          <w:rFonts w:ascii="Times New Roman" w:eastAsia="Times New Roman" w:hAnsi="Times New Roman" w:cs="Times New Roman"/>
          <w:b/>
          <w:bCs/>
          <w:sz w:val="24"/>
          <w:szCs w:val="24"/>
          <w:lang w:eastAsia="en-IN"/>
        </w:rPr>
      </w:pPr>
    </w:p>
    <w:p w14:paraId="56CA438F" w14:textId="77777777" w:rsidR="000C6D6A" w:rsidRDefault="000C6D6A" w:rsidP="00E92A71">
      <w:pPr>
        <w:spacing w:line="276" w:lineRule="auto"/>
        <w:rPr>
          <w:rFonts w:ascii="Times New Roman" w:eastAsia="Times New Roman" w:hAnsi="Times New Roman" w:cs="Times New Roman"/>
          <w:b/>
          <w:bCs/>
          <w:sz w:val="24"/>
          <w:szCs w:val="24"/>
          <w:lang w:eastAsia="en-IN"/>
        </w:rPr>
      </w:pPr>
    </w:p>
    <w:p w14:paraId="5EAB6D2C" w14:textId="77777777" w:rsidR="00613D73" w:rsidRDefault="00613D73" w:rsidP="00E92A71">
      <w:pPr>
        <w:spacing w:line="276" w:lineRule="auto"/>
        <w:rPr>
          <w:rFonts w:ascii="Times New Roman" w:eastAsia="Times New Roman" w:hAnsi="Times New Roman" w:cs="Times New Roman"/>
          <w:b/>
          <w:bCs/>
          <w:sz w:val="24"/>
          <w:szCs w:val="24"/>
          <w:lang w:eastAsia="en-IN"/>
        </w:rPr>
      </w:pPr>
    </w:p>
    <w:p w14:paraId="0C3F04E1" w14:textId="77777777" w:rsidR="00613D73" w:rsidRDefault="00613D73" w:rsidP="00E92A71">
      <w:pPr>
        <w:spacing w:line="276" w:lineRule="auto"/>
        <w:rPr>
          <w:rFonts w:ascii="Times New Roman" w:eastAsia="Times New Roman" w:hAnsi="Times New Roman" w:cs="Times New Roman"/>
          <w:b/>
          <w:bCs/>
          <w:sz w:val="24"/>
          <w:szCs w:val="24"/>
          <w:lang w:eastAsia="en-IN"/>
        </w:rPr>
      </w:pPr>
    </w:p>
    <w:p w14:paraId="7D399E8C" w14:textId="77777777" w:rsidR="00613D73" w:rsidRPr="00E301E4" w:rsidRDefault="00613D73" w:rsidP="00E92A71">
      <w:pPr>
        <w:spacing w:line="276" w:lineRule="auto"/>
        <w:rPr>
          <w:rFonts w:ascii="Times New Roman" w:eastAsia="Times New Roman" w:hAnsi="Times New Roman" w:cs="Times New Roman"/>
          <w:b/>
          <w:bCs/>
          <w:sz w:val="24"/>
          <w:szCs w:val="24"/>
          <w:lang w:eastAsia="en-IN"/>
        </w:rPr>
      </w:pPr>
    </w:p>
    <w:p w14:paraId="031DD52B" w14:textId="5B2D23C9" w:rsidR="000C6D6A" w:rsidRPr="00813944" w:rsidRDefault="000C6D6A" w:rsidP="00CD67CA">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Figure 5.  </w:t>
      </w:r>
      <w:r w:rsidR="00813944" w:rsidRPr="00813944">
        <w:rPr>
          <w:rFonts w:ascii="Times New Roman" w:hAnsi="Times New Roman" w:cs="Times New Roman"/>
          <w:sz w:val="24"/>
          <w:szCs w:val="24"/>
        </w:rPr>
        <w:t>Light micrograph showing the branchial microarchitecture of a healthy juvenile silver pompano (</w:t>
      </w:r>
      <w:r w:rsidR="00813944" w:rsidRPr="00813944">
        <w:rPr>
          <w:rFonts w:ascii="Times New Roman" w:hAnsi="Times New Roman" w:cs="Times New Roman"/>
          <w:i/>
          <w:iCs/>
          <w:sz w:val="24"/>
          <w:szCs w:val="24"/>
        </w:rPr>
        <w:t>Trachinotus blochii</w:t>
      </w:r>
      <w:r w:rsidR="00813944" w:rsidRPr="00813944">
        <w:rPr>
          <w:rFonts w:ascii="Times New Roman" w:hAnsi="Times New Roman" w:cs="Times New Roman"/>
          <w:sz w:val="24"/>
          <w:szCs w:val="24"/>
        </w:rPr>
        <w:t xml:space="preserve">) reared under control conditions (C1, </w:t>
      </w:r>
      <m:oMath>
        <m:r>
          <w:rPr>
            <w:rFonts w:ascii="Cambria Math" w:hAnsi="Cambria Math" w:cs="Times New Roman"/>
            <w:sz w:val="24"/>
            <w:szCs w:val="24"/>
          </w:rPr>
          <m:t>35</m:t>
        </m:r>
        <m:r>
          <m:rPr>
            <m:nor/>
          </m:rPr>
          <w:rPr>
            <w:rFonts w:ascii="Times New Roman" w:hAnsi="Times New Roman" w:cs="Times New Roman"/>
            <w:sz w:val="24"/>
            <w:szCs w:val="24"/>
          </w:rPr>
          <m:t> ppt</m:t>
        </m:r>
      </m:oMath>
      <w:r w:rsidR="00813944" w:rsidRPr="00813944">
        <w:rPr>
          <w:rFonts w:ascii="Times New Roman" w:hAnsi="Times New Roman" w:cs="Times New Roman"/>
          <w:sz w:val="24"/>
          <w:szCs w:val="24"/>
        </w:rPr>
        <w:t>) (</w:t>
      </w:r>
      <m:oMath>
        <m:r>
          <w:rPr>
            <w:rFonts w:ascii="Cambria Math" w:hAnsi="Cambria Math" w:cs="Times New Roman"/>
            <w:sz w:val="24"/>
            <w:szCs w:val="24"/>
          </w:rPr>
          <m:t>20×</m:t>
        </m:r>
      </m:oMath>
      <w:r w:rsidR="00813944" w:rsidRPr="00813944">
        <w:rPr>
          <w:rFonts w:ascii="Times New Roman" w:hAnsi="Times New Roman" w:cs="Times New Roman"/>
          <w:sz w:val="24"/>
          <w:szCs w:val="24"/>
        </w:rPr>
        <w:t xml:space="preserve"> magnification). The tissue displays typical structural integrity, characterized by well-defined primary and secondary lamellae alongside normally developed branchial ionocytes (chloride cells).</w:t>
      </w:r>
    </w:p>
    <w:p w14:paraId="2A8796CF" w14:textId="77777777" w:rsidR="000C6D6A" w:rsidRPr="00E301E4" w:rsidRDefault="000C6D6A" w:rsidP="000C6D6A">
      <w:pPr>
        <w:rPr>
          <w:rFonts w:ascii="Times New Roman" w:eastAsia="Times New Roman" w:hAnsi="Times New Roman" w:cs="Times New Roman"/>
          <w:b/>
          <w:bCs/>
          <w:sz w:val="24"/>
          <w:szCs w:val="24"/>
          <w:lang w:eastAsia="en-IN"/>
        </w:rPr>
      </w:pPr>
    </w:p>
    <w:p w14:paraId="2EB141EB"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5408" behindDoc="0" locked="0" layoutInCell="1" allowOverlap="1" wp14:anchorId="3A0E02D7" wp14:editId="468FCF77">
                <wp:simplePos x="0" y="0"/>
                <wp:positionH relativeFrom="column">
                  <wp:posOffset>1220065</wp:posOffset>
                </wp:positionH>
                <wp:positionV relativeFrom="paragraph">
                  <wp:posOffset>-379845</wp:posOffset>
                </wp:positionV>
                <wp:extent cx="3172691" cy="1891145"/>
                <wp:effectExtent l="0" t="0" r="27940" b="13970"/>
                <wp:wrapNone/>
                <wp:docPr id="258683873" name="Text Box 35"/>
                <wp:cNvGraphicFramePr/>
                <a:graphic xmlns:a="http://schemas.openxmlformats.org/drawingml/2006/main">
                  <a:graphicData uri="http://schemas.microsoft.com/office/word/2010/wordprocessingShape">
                    <wps:wsp>
                      <wps:cNvSpPr txBox="1"/>
                      <wps:spPr>
                        <a:xfrm>
                          <a:off x="0" y="0"/>
                          <a:ext cx="3172691" cy="1891145"/>
                        </a:xfrm>
                        <a:prstGeom prst="rect">
                          <a:avLst/>
                        </a:prstGeom>
                        <a:solidFill>
                          <a:schemeClr val="lt1"/>
                        </a:solidFill>
                        <a:ln w="6350">
                          <a:solidFill>
                            <a:schemeClr val="bg1"/>
                          </a:solidFill>
                        </a:ln>
                      </wps:spPr>
                      <wps:txb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02D7" id="Text Box 35" o:spid="_x0000_s1031" type="#_x0000_t202" style="position:absolute;margin-left:96.05pt;margin-top:-29.9pt;width:249.8pt;height:14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" fillcolor="white [3201]" strokecolor="white [3212]" strokeweight=".5pt">
                <v:textbo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v:textbox>
              </v:shape>
            </w:pict>
          </mc:Fallback>
        </mc:AlternateContent>
      </w:r>
      <w:r w:rsidRPr="00E301E4">
        <w:rPr>
          <w:rFonts w:ascii="Times New Roman" w:eastAsia="Times New Roman" w:hAnsi="Times New Roman" w:cs="Times New Roman"/>
          <w:b/>
          <w:bCs/>
          <w:sz w:val="24"/>
          <w:szCs w:val="24"/>
          <w:lang w:eastAsia="en-IN"/>
        </w:rPr>
        <w:t xml:space="preserve">  </w:t>
      </w:r>
    </w:p>
    <w:p w14:paraId="613AA01F" w14:textId="77777777" w:rsidR="000C6D6A" w:rsidRPr="00E301E4" w:rsidRDefault="000C6D6A" w:rsidP="000C6D6A">
      <w:pPr>
        <w:rPr>
          <w:rFonts w:ascii="Times New Roman" w:eastAsia="Times New Roman" w:hAnsi="Times New Roman" w:cs="Times New Roman"/>
          <w:b/>
          <w:bCs/>
          <w:sz w:val="24"/>
          <w:szCs w:val="24"/>
          <w:lang w:eastAsia="en-IN"/>
        </w:rPr>
      </w:pPr>
    </w:p>
    <w:p w14:paraId="211DB79B" w14:textId="77777777" w:rsidR="000C6D6A" w:rsidRDefault="000C6D6A" w:rsidP="000C6D6A">
      <w:pPr>
        <w:rPr>
          <w:rFonts w:ascii="Times New Roman" w:eastAsia="Times New Roman" w:hAnsi="Times New Roman" w:cs="Times New Roman"/>
          <w:b/>
          <w:bCs/>
          <w:sz w:val="24"/>
          <w:szCs w:val="24"/>
          <w:lang w:eastAsia="en-IN"/>
        </w:rPr>
      </w:pPr>
    </w:p>
    <w:p w14:paraId="18657E93" w14:textId="77777777" w:rsidR="00CD67CA" w:rsidRPr="00E301E4" w:rsidRDefault="00CD67CA" w:rsidP="000C6D6A">
      <w:pPr>
        <w:rPr>
          <w:rFonts w:ascii="Times New Roman" w:eastAsia="Times New Roman" w:hAnsi="Times New Roman" w:cs="Times New Roman"/>
          <w:b/>
          <w:bCs/>
          <w:sz w:val="24"/>
          <w:szCs w:val="24"/>
          <w:lang w:eastAsia="en-IN"/>
        </w:rPr>
      </w:pPr>
    </w:p>
    <w:p w14:paraId="59270A3B" w14:textId="77777777" w:rsidR="00813944" w:rsidRPr="00E301E4" w:rsidRDefault="00813944" w:rsidP="00E92A71">
      <w:pPr>
        <w:spacing w:line="276" w:lineRule="auto"/>
        <w:rPr>
          <w:rFonts w:ascii="Times New Roman" w:eastAsia="Times New Roman" w:hAnsi="Times New Roman" w:cs="Times New Roman"/>
          <w:b/>
          <w:bCs/>
          <w:sz w:val="24"/>
          <w:szCs w:val="24"/>
          <w:lang w:eastAsia="en-IN"/>
        </w:rPr>
      </w:pPr>
    </w:p>
    <w:p w14:paraId="6C39C295" w14:textId="63540066" w:rsidR="000C6D6A" w:rsidRPr="0081394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6. </w:t>
      </w:r>
      <w:r w:rsidR="00813944" w:rsidRPr="00813944">
        <w:rPr>
          <w:rFonts w:ascii="Times New Roman" w:hAnsi="Times New Roman" w:cs="Times New Roman"/>
          <w:sz w:val="24"/>
          <w:szCs w:val="24"/>
        </w:rPr>
        <w:t>Light micrograph showing branchial tissues of juvenile silver pompano (</w:t>
      </w:r>
      <w:r w:rsidR="00813944" w:rsidRPr="00813944">
        <w:rPr>
          <w:rFonts w:ascii="Times New Roman" w:hAnsi="Times New Roman" w:cs="Times New Roman"/>
          <w:i/>
          <w:iCs/>
          <w:sz w:val="24"/>
          <w:szCs w:val="24"/>
        </w:rPr>
        <w:t>Trachinotus blochii</w:t>
      </w:r>
      <w:r w:rsidR="00813944" w:rsidRPr="00813944">
        <w:rPr>
          <w:rFonts w:ascii="Times New Roman" w:hAnsi="Times New Roman" w:cs="Times New Roman"/>
          <w:sz w:val="24"/>
          <w:szCs w:val="24"/>
        </w:rPr>
        <w:t xml:space="preserve">) reared at </w:t>
      </w:r>
      <m:oMath>
        <m:r>
          <w:rPr>
            <w:rFonts w:ascii="Cambria Math" w:hAnsi="Cambria Math" w:cs="Times New Roman"/>
            <w:sz w:val="24"/>
            <w:szCs w:val="24"/>
          </w:rPr>
          <m:t>25</m:t>
        </m:r>
        <m:r>
          <m:rPr>
            <m:nor/>
          </m:rPr>
          <w:rPr>
            <w:rFonts w:ascii="Times New Roman" w:hAnsi="Times New Roman" w:cs="Times New Roman"/>
            <w:sz w:val="24"/>
            <w:szCs w:val="24"/>
          </w:rPr>
          <m:t> ppt</m:t>
        </m:r>
      </m:oMath>
      <w:r w:rsidR="00813944" w:rsidRPr="00813944">
        <w:rPr>
          <w:rFonts w:ascii="Times New Roman" w:hAnsi="Times New Roman" w:cs="Times New Roman"/>
          <w:sz w:val="24"/>
          <w:szCs w:val="24"/>
        </w:rPr>
        <w:t xml:space="preserve"> (T1) under </w:t>
      </w:r>
      <m:oMath>
        <m:r>
          <w:rPr>
            <w:rFonts w:ascii="Cambria Math" w:hAnsi="Cambria Math" w:cs="Times New Roman"/>
            <w:sz w:val="24"/>
            <w:szCs w:val="24"/>
          </w:rPr>
          <m:t>20×</m:t>
        </m:r>
      </m:oMath>
      <w:r w:rsidR="00813944" w:rsidRPr="00813944">
        <w:rPr>
          <w:rFonts w:ascii="Times New Roman" w:hAnsi="Times New Roman" w:cs="Times New Roman"/>
          <w:sz w:val="24"/>
          <w:szCs w:val="24"/>
        </w:rPr>
        <w:t xml:space="preserve"> magnification. The specimen exhibits mild epithelial hyperplasia along the lamellae; however, distinct pathological cellular anomalies such as severe lamellar hypertrophy or intercellular edema are absent.</w:t>
      </w:r>
    </w:p>
    <w:p w14:paraId="7EEACE7A" w14:textId="77777777" w:rsidR="000C6D6A" w:rsidRPr="00E301E4" w:rsidRDefault="000C6D6A" w:rsidP="000C6D6A">
      <w:pPr>
        <w:spacing w:line="360" w:lineRule="auto"/>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6432" behindDoc="0" locked="0" layoutInCell="1" allowOverlap="1" wp14:anchorId="1616EE83" wp14:editId="08C8C8BF">
                <wp:simplePos x="0" y="0"/>
                <wp:positionH relativeFrom="column">
                  <wp:posOffset>1220066</wp:posOffset>
                </wp:positionH>
                <wp:positionV relativeFrom="paragraph">
                  <wp:posOffset>95884</wp:posOffset>
                </wp:positionV>
                <wp:extent cx="3241790" cy="2126673"/>
                <wp:effectExtent l="0" t="0" r="15875" b="26035"/>
                <wp:wrapNone/>
                <wp:docPr id="1129263398" name="Text Box 36"/>
                <wp:cNvGraphicFramePr/>
                <a:graphic xmlns:a="http://schemas.openxmlformats.org/drawingml/2006/main">
                  <a:graphicData uri="http://schemas.microsoft.com/office/word/2010/wordprocessingShape">
                    <wps:wsp>
                      <wps:cNvSpPr txBox="1"/>
                      <wps:spPr>
                        <a:xfrm>
                          <a:off x="0" y="0"/>
                          <a:ext cx="3241790" cy="2126673"/>
                        </a:xfrm>
                        <a:prstGeom prst="rect">
                          <a:avLst/>
                        </a:prstGeom>
                        <a:solidFill>
                          <a:schemeClr val="lt1"/>
                        </a:solidFill>
                        <a:ln w="6350">
                          <a:solidFill>
                            <a:schemeClr val="bg1"/>
                          </a:solidFill>
                        </a:ln>
                      </wps:spPr>
                      <wps:txb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EE83" id="Text Box 36" o:spid="_x0000_s1032" type="#_x0000_t202" style="position:absolute;left:0;text-align:left;margin-left:96.05pt;margin-top:7.55pt;width:255.25pt;height:16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" fillcolor="white [3201]" strokecolor="white [3212]" strokeweight=".5pt">
                <v:textbo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v:textbox>
              </v:shape>
            </w:pict>
          </mc:Fallback>
        </mc:AlternateContent>
      </w:r>
    </w:p>
    <w:p w14:paraId="1100245F" w14:textId="77777777" w:rsidR="000C6D6A" w:rsidRDefault="000C6D6A" w:rsidP="000C6D6A">
      <w:pPr>
        <w:rPr>
          <w:rFonts w:ascii="Times New Roman" w:eastAsia="Times New Roman" w:hAnsi="Times New Roman" w:cs="Times New Roman"/>
          <w:sz w:val="24"/>
          <w:szCs w:val="24"/>
          <w:lang w:eastAsia="en-IN"/>
        </w:rPr>
      </w:pPr>
    </w:p>
    <w:p w14:paraId="0F3AC087" w14:textId="77777777" w:rsidR="00813944" w:rsidRPr="00E301E4" w:rsidRDefault="00813944" w:rsidP="000C6D6A">
      <w:pPr>
        <w:rPr>
          <w:rFonts w:ascii="Times New Roman" w:eastAsia="Times New Roman" w:hAnsi="Times New Roman" w:cs="Times New Roman"/>
          <w:b/>
          <w:bCs/>
          <w:sz w:val="24"/>
          <w:szCs w:val="24"/>
          <w:lang w:eastAsia="en-IN"/>
        </w:rPr>
      </w:pPr>
    </w:p>
    <w:p w14:paraId="51860735" w14:textId="25AED71A" w:rsidR="00813944" w:rsidRPr="00813944" w:rsidRDefault="00813944" w:rsidP="00813944">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noProof/>
          <w:sz w:val="24"/>
          <w:szCs w:val="24"/>
          <w:lang w:eastAsia="en-IN"/>
        </w:rPr>
        <w:lastRenderedPageBreak/>
        <mc:AlternateContent>
          <mc:Choice Requires="wps">
            <w:drawing>
              <wp:anchor distT="0" distB="0" distL="114300" distR="114300" simplePos="0" relativeHeight="251667456" behindDoc="0" locked="0" layoutInCell="1" allowOverlap="1" wp14:anchorId="19CA00DC" wp14:editId="44A59783">
                <wp:simplePos x="0" y="0"/>
                <wp:positionH relativeFrom="column">
                  <wp:posOffset>1268037</wp:posOffset>
                </wp:positionH>
                <wp:positionV relativeFrom="paragraph">
                  <wp:posOffset>871220</wp:posOffset>
                </wp:positionV>
                <wp:extent cx="3075363" cy="2286000"/>
                <wp:effectExtent l="0" t="0" r="0" b="0"/>
                <wp:wrapNone/>
                <wp:docPr id="940120698" name="Text Box 38"/>
                <wp:cNvGraphicFramePr/>
                <a:graphic xmlns:a="http://schemas.openxmlformats.org/drawingml/2006/main">
                  <a:graphicData uri="http://schemas.microsoft.com/office/word/2010/wordprocessingShape">
                    <wps:wsp>
                      <wps:cNvSpPr txBox="1"/>
                      <wps:spPr>
                        <a:xfrm>
                          <a:off x="0" y="0"/>
                          <a:ext cx="3075363" cy="2286000"/>
                        </a:xfrm>
                        <a:prstGeom prst="rect">
                          <a:avLst/>
                        </a:prstGeom>
                        <a:solidFill>
                          <a:schemeClr val="lt1"/>
                        </a:solidFill>
                        <a:ln w="6350">
                          <a:noFill/>
                        </a:ln>
                      </wps:spPr>
                      <wps:txb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374BEE13">
                                  <wp:extent cx="2742565" cy="1759164"/>
                                  <wp:effectExtent l="0" t="0" r="635" b="0"/>
                                  <wp:docPr id="6862406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8950" cy="17889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00DC" id="Text Box 38" o:spid="_x0000_s1033" type="#_x0000_t202" style="position:absolute;left:0;text-align:left;margin-left:99.85pt;margin-top:68.6pt;width:242.15pt;height:18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V6Mg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" fillcolor="white [3201]" stroked="f" strokeweight=".5pt">
                <v:textbo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374BEE13">
                            <wp:extent cx="2742565" cy="1759164"/>
                            <wp:effectExtent l="0" t="0" r="635" b="0"/>
                            <wp:docPr id="6862406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8950" cy="1788917"/>
                                    </a:xfrm>
                                    <a:prstGeom prst="rect">
                                      <a:avLst/>
                                    </a:prstGeom>
                                    <a:noFill/>
                                    <a:ln>
                                      <a:noFill/>
                                    </a:ln>
                                  </pic:spPr>
                                </pic:pic>
                              </a:graphicData>
                            </a:graphic>
                          </wp:inline>
                        </w:drawing>
                      </w:r>
                    </w:p>
                  </w:txbxContent>
                </v:textbox>
              </v:shape>
            </w:pict>
          </mc:Fallback>
        </mc:AlternateContent>
      </w:r>
      <w:r w:rsidR="000C6D6A" w:rsidRPr="00E301E4">
        <w:rPr>
          <w:rFonts w:ascii="Times New Roman" w:hAnsi="Times New Roman" w:cs="Times New Roman"/>
          <w:b/>
          <w:bCs/>
          <w:sz w:val="24"/>
          <w:szCs w:val="24"/>
        </w:rPr>
        <w:t>Figure 7.</w:t>
      </w:r>
      <w:r w:rsidRPr="00813944">
        <w:rPr>
          <w:rFonts w:ascii="Times New Roman" w:eastAsia="Times New Roman" w:hAnsi="Times New Roman" w:cs="Times New Roman"/>
          <w:sz w:val="24"/>
          <w:szCs w:val="24"/>
          <w:lang w:eastAsia="en-IN"/>
        </w:rPr>
        <w:t xml:space="preserve"> </w:t>
      </w:r>
      <w:r w:rsidRPr="00813944">
        <w:rPr>
          <w:rFonts w:ascii="Times New Roman" w:hAnsi="Times New Roman" w:cs="Times New Roman"/>
          <w:sz w:val="24"/>
          <w:szCs w:val="24"/>
        </w:rPr>
        <w:t>Light micrograph of the branchial microarchitecture from a juvenile silver pompano (</w:t>
      </w:r>
      <w:r w:rsidRPr="00813944">
        <w:rPr>
          <w:rFonts w:ascii="Times New Roman" w:hAnsi="Times New Roman" w:cs="Times New Roman"/>
          <w:i/>
          <w:iCs/>
          <w:sz w:val="24"/>
          <w:szCs w:val="24"/>
        </w:rPr>
        <w:t>Trachinotus blochii</w:t>
      </w:r>
      <w:r w:rsidRPr="00813944">
        <w:rPr>
          <w:rFonts w:ascii="Times New Roman" w:hAnsi="Times New Roman" w:cs="Times New Roman"/>
          <w:sz w:val="24"/>
          <w:szCs w:val="24"/>
        </w:rPr>
        <w:t xml:space="preserve">) reared at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813944">
        <w:rPr>
          <w:rFonts w:ascii="Times New Roman" w:hAnsi="Times New Roman" w:cs="Times New Roman"/>
          <w:sz w:val="24"/>
          <w:szCs w:val="24"/>
        </w:rPr>
        <w:t xml:space="preserve"> (T2) (</w:t>
      </w:r>
      <m:oMath>
        <m:r>
          <w:rPr>
            <w:rFonts w:ascii="Cambria Math" w:hAnsi="Cambria Math" w:cs="Times New Roman"/>
            <w:sz w:val="24"/>
            <w:szCs w:val="24"/>
          </w:rPr>
          <m:t>60×</m:t>
        </m:r>
      </m:oMath>
      <w:r w:rsidRPr="00813944">
        <w:rPr>
          <w:rFonts w:ascii="Times New Roman" w:hAnsi="Times New Roman" w:cs="Times New Roman"/>
          <w:sz w:val="24"/>
          <w:szCs w:val="24"/>
        </w:rPr>
        <w:t xml:space="preserve"> magnification). Vital structural components, including functional pillar cells, blood lacunae, and clear secondary lamellar boundaries, are well preserved within the functional gill architecture (cf. Wahyuni et al., 2017).</w:t>
      </w:r>
    </w:p>
    <w:p w14:paraId="4F883791" w14:textId="77777777" w:rsidR="00813944" w:rsidRPr="00E301E4" w:rsidRDefault="00813944" w:rsidP="00E92A71">
      <w:pPr>
        <w:spacing w:line="276" w:lineRule="auto"/>
        <w:jc w:val="both"/>
        <w:rPr>
          <w:rFonts w:ascii="Times New Roman" w:eastAsia="Times New Roman" w:hAnsi="Times New Roman" w:cs="Times New Roman"/>
          <w:color w:val="000000" w:themeColor="text1"/>
          <w:sz w:val="24"/>
          <w:szCs w:val="24"/>
          <w:lang w:eastAsia="en-IN"/>
        </w:rPr>
      </w:pPr>
    </w:p>
    <w:p w14:paraId="22FF5DED" w14:textId="413FB4F1" w:rsidR="000C6D6A" w:rsidRPr="00E301E4" w:rsidRDefault="000C6D6A" w:rsidP="000C6D6A">
      <w:pPr>
        <w:jc w:val="both"/>
        <w:rPr>
          <w:rFonts w:ascii="Times New Roman" w:eastAsia="Times New Roman" w:hAnsi="Times New Roman" w:cs="Times New Roman"/>
          <w:sz w:val="24"/>
          <w:szCs w:val="24"/>
          <w:lang w:eastAsia="en-IN"/>
        </w:rPr>
      </w:pPr>
    </w:p>
    <w:p w14:paraId="349BA81B" w14:textId="77777777" w:rsidR="00E92A71" w:rsidRDefault="00E92A71" w:rsidP="000C6D6A">
      <w:pPr>
        <w:spacing w:line="360" w:lineRule="auto"/>
        <w:jc w:val="both"/>
        <w:rPr>
          <w:rFonts w:ascii="Times New Roman" w:eastAsia="Times New Roman" w:hAnsi="Times New Roman" w:cs="Times New Roman"/>
          <w:sz w:val="24"/>
          <w:szCs w:val="24"/>
          <w:lang w:eastAsia="en-IN"/>
        </w:rPr>
      </w:pPr>
    </w:p>
    <w:p w14:paraId="43CFCB45" w14:textId="77777777" w:rsidR="00813944" w:rsidRDefault="00813944" w:rsidP="000C6D6A">
      <w:pPr>
        <w:spacing w:line="360" w:lineRule="auto"/>
        <w:jc w:val="both"/>
        <w:rPr>
          <w:rFonts w:ascii="Times New Roman" w:eastAsia="Times New Roman" w:hAnsi="Times New Roman" w:cs="Times New Roman"/>
          <w:sz w:val="24"/>
          <w:szCs w:val="24"/>
          <w:lang w:eastAsia="en-IN"/>
        </w:rPr>
      </w:pPr>
    </w:p>
    <w:p w14:paraId="61354FAD" w14:textId="77777777" w:rsidR="00613D73" w:rsidRDefault="00613D73" w:rsidP="000C6D6A">
      <w:pPr>
        <w:spacing w:line="360" w:lineRule="auto"/>
        <w:jc w:val="both"/>
        <w:rPr>
          <w:rFonts w:ascii="Times New Roman" w:eastAsia="Times New Roman" w:hAnsi="Times New Roman" w:cs="Times New Roman"/>
          <w:sz w:val="24"/>
          <w:szCs w:val="24"/>
          <w:lang w:eastAsia="en-IN"/>
        </w:rPr>
      </w:pPr>
    </w:p>
    <w:p w14:paraId="52E29B3F" w14:textId="77777777" w:rsidR="00613D73" w:rsidRDefault="00613D73" w:rsidP="000C6D6A">
      <w:pPr>
        <w:spacing w:line="360" w:lineRule="auto"/>
        <w:jc w:val="both"/>
        <w:rPr>
          <w:rFonts w:ascii="Times New Roman" w:eastAsia="Times New Roman" w:hAnsi="Times New Roman" w:cs="Times New Roman"/>
          <w:sz w:val="24"/>
          <w:szCs w:val="24"/>
          <w:lang w:eastAsia="en-IN"/>
        </w:rPr>
      </w:pPr>
    </w:p>
    <w:p w14:paraId="452856CC" w14:textId="77777777" w:rsidR="00613D73" w:rsidRPr="00E301E4" w:rsidRDefault="00613D73" w:rsidP="000C6D6A">
      <w:pPr>
        <w:spacing w:line="360" w:lineRule="auto"/>
        <w:jc w:val="both"/>
        <w:rPr>
          <w:rFonts w:ascii="Times New Roman" w:eastAsia="Times New Roman" w:hAnsi="Times New Roman" w:cs="Times New Roman"/>
          <w:sz w:val="24"/>
          <w:szCs w:val="24"/>
          <w:lang w:eastAsia="en-IN"/>
        </w:rPr>
      </w:pPr>
    </w:p>
    <w:p w14:paraId="04BC6E7A" w14:textId="0486BFC5"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w:t>
      </w:r>
      <w:r w:rsidR="00EC3B6E">
        <w:rPr>
          <w:rFonts w:ascii="Times New Roman" w:hAnsi="Times New Roman" w:cs="Times New Roman"/>
          <w:b/>
          <w:bCs/>
          <w:sz w:val="24"/>
          <w:szCs w:val="24"/>
        </w:rPr>
        <w:t>8</w:t>
      </w:r>
      <w:r w:rsidRPr="00E301E4">
        <w:rPr>
          <w:rFonts w:ascii="Times New Roman" w:hAnsi="Times New Roman" w:cs="Times New Roman"/>
          <w:b/>
          <w:bCs/>
          <w:sz w:val="24"/>
          <w:szCs w:val="24"/>
        </w:rPr>
        <w:t xml:space="preserve">. </w:t>
      </w:r>
      <w:r w:rsidR="00813944" w:rsidRPr="00813944">
        <w:rPr>
          <w:rFonts w:ascii="Times New Roman" w:hAnsi="Times New Roman" w:cs="Times New Roman"/>
          <w:sz w:val="24"/>
          <w:szCs w:val="24"/>
        </w:rPr>
        <w:t>Light micrograph of the branchial tissue from a juvenile silver pompano (</w:t>
      </w:r>
      <w:r w:rsidR="00813944" w:rsidRPr="00813944">
        <w:rPr>
          <w:rFonts w:ascii="Times New Roman" w:hAnsi="Times New Roman" w:cs="Times New Roman"/>
          <w:i/>
          <w:iCs/>
          <w:sz w:val="24"/>
          <w:szCs w:val="24"/>
        </w:rPr>
        <w:t>Trachinotus blochii</w:t>
      </w:r>
      <w:r w:rsidR="00813944" w:rsidRPr="00813944">
        <w:rPr>
          <w:rFonts w:ascii="Times New Roman" w:hAnsi="Times New Roman" w:cs="Times New Roman"/>
          <w:sz w:val="24"/>
          <w:szCs w:val="24"/>
        </w:rPr>
        <w:t xml:space="preserve">) exposed to a low salinity of </w:t>
      </w:r>
      <m:oMath>
        <m:r>
          <w:rPr>
            <w:rFonts w:ascii="Cambria Math" w:hAnsi="Cambria Math" w:cs="Times New Roman"/>
            <w:sz w:val="24"/>
            <w:szCs w:val="24"/>
          </w:rPr>
          <m:t>5</m:t>
        </m:r>
        <m:r>
          <m:rPr>
            <m:nor/>
          </m:rPr>
          <w:rPr>
            <w:rFonts w:ascii="Times New Roman" w:hAnsi="Times New Roman" w:cs="Times New Roman"/>
            <w:sz w:val="24"/>
            <w:szCs w:val="24"/>
          </w:rPr>
          <m:t> ppt</m:t>
        </m:r>
      </m:oMath>
      <w:r w:rsidR="00813944" w:rsidRPr="00813944">
        <w:rPr>
          <w:rFonts w:ascii="Times New Roman" w:hAnsi="Times New Roman" w:cs="Times New Roman"/>
          <w:sz w:val="24"/>
          <w:szCs w:val="24"/>
        </w:rPr>
        <w:t xml:space="preserve"> (T3) (</w:t>
      </w:r>
      <m:oMath>
        <m:r>
          <w:rPr>
            <w:rFonts w:ascii="Cambria Math" w:hAnsi="Cambria Math" w:cs="Times New Roman"/>
            <w:sz w:val="24"/>
            <w:szCs w:val="24"/>
          </w:rPr>
          <m:t>60×</m:t>
        </m:r>
      </m:oMath>
      <w:r w:rsidR="00813944" w:rsidRPr="00813944">
        <w:rPr>
          <w:rFonts w:ascii="Times New Roman" w:hAnsi="Times New Roman" w:cs="Times New Roman"/>
          <w:sz w:val="24"/>
          <w:szCs w:val="24"/>
        </w:rPr>
        <w:t xml:space="preserve"> magnification). The section displays marked environmental stress responses, characterized by prominent lamellar epithelial hyperplasia, a reduction in working secondary lamellar thickness, and altered morphology/density of branchial ionocytes (chloride cells).</w:t>
      </w:r>
    </w:p>
    <w:p w14:paraId="4B2A64A9" w14:textId="77777777" w:rsidR="00EC64E3" w:rsidRDefault="00EC64E3" w:rsidP="00E92A71">
      <w:pPr>
        <w:spacing w:line="276" w:lineRule="auto"/>
        <w:jc w:val="both"/>
        <w:rPr>
          <w:rFonts w:ascii="Times New Roman" w:hAnsi="Times New Roman" w:cs="Times New Roman"/>
          <w:b/>
          <w:color w:val="000000" w:themeColor="text1"/>
          <w:sz w:val="24"/>
          <w:szCs w:val="24"/>
        </w:rPr>
      </w:pPr>
      <w:r w:rsidRPr="00EC64E3">
        <w:rPr>
          <w:rFonts w:ascii="Times New Roman" w:hAnsi="Times New Roman" w:cs="Times New Roman"/>
          <w:bCs/>
          <w:color w:val="000000" w:themeColor="text1"/>
          <w:sz w:val="24"/>
          <w:szCs w:val="24"/>
        </w:rPr>
        <w:t>Histological examination revealed that fish reared at 35, 25 and 15 ppt maintained relatively normal gill architecture with only minor alterations. In contrast, fish reared at 5 ppt exhibited marked hyperplasia together with reduced gill epithelial thickness and reduced chloride cell area and density, indicating structural modifications associated with hypoosmotic stress.</w:t>
      </w:r>
    </w:p>
    <w:p w14:paraId="6462FBD4" w14:textId="476011A3" w:rsidR="00BF2373" w:rsidRPr="00E301E4" w:rsidRDefault="00BF2373" w:rsidP="00E92A71">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Observation of </w:t>
      </w:r>
      <w:r w:rsidR="00734E21">
        <w:rPr>
          <w:rFonts w:ascii="Times New Roman" w:hAnsi="Times New Roman" w:cs="Times New Roman"/>
          <w:b/>
          <w:color w:val="000000" w:themeColor="text1"/>
          <w:sz w:val="24"/>
          <w:szCs w:val="24"/>
          <w:lang w:val="en-GB"/>
        </w:rPr>
        <w:t>O</w:t>
      </w:r>
      <w:r w:rsidRPr="00E301E4">
        <w:rPr>
          <w:rFonts w:ascii="Times New Roman" w:hAnsi="Times New Roman" w:cs="Times New Roman"/>
          <w:b/>
          <w:color w:val="000000" w:themeColor="text1"/>
          <w:sz w:val="24"/>
          <w:szCs w:val="24"/>
          <w:lang w:val="en-GB"/>
        </w:rPr>
        <w:t xml:space="preserve">smoregulatory </w:t>
      </w:r>
      <w:r w:rsidR="00734E21">
        <w:rPr>
          <w:rFonts w:ascii="Times New Roman" w:hAnsi="Times New Roman" w:cs="Times New Roman"/>
          <w:b/>
          <w:color w:val="000000" w:themeColor="text1"/>
          <w:sz w:val="24"/>
          <w:szCs w:val="24"/>
          <w:lang w:val="en-GB"/>
        </w:rPr>
        <w:t>P</w:t>
      </w:r>
      <w:r w:rsidRPr="00E301E4">
        <w:rPr>
          <w:rFonts w:ascii="Times New Roman" w:hAnsi="Times New Roman" w:cs="Times New Roman"/>
          <w:b/>
          <w:color w:val="000000" w:themeColor="text1"/>
          <w:sz w:val="24"/>
          <w:szCs w:val="24"/>
          <w:lang w:val="en-GB"/>
        </w:rPr>
        <w:t>arameters</w:t>
      </w:r>
    </w:p>
    <w:p w14:paraId="4080FC11" w14:textId="7E1A4AC9" w:rsidR="00246ED3" w:rsidRPr="00246ED3" w:rsidRDefault="00246ED3" w:rsidP="00E30500">
      <w:pPr>
        <w:spacing w:line="276" w:lineRule="auto"/>
        <w:jc w:val="both"/>
        <w:rPr>
          <w:rFonts w:ascii="Times New Roman" w:hAnsi="Times New Roman" w:cs="Times New Roman"/>
          <w:b/>
          <w:color w:val="000000" w:themeColor="text1"/>
          <w:sz w:val="24"/>
          <w:szCs w:val="24"/>
          <w:lang w:val="en-GB"/>
        </w:rPr>
      </w:pPr>
      <w:r w:rsidRPr="00246ED3">
        <w:rPr>
          <w:rFonts w:ascii="Times New Roman" w:hAnsi="Times New Roman" w:cs="Times New Roman"/>
          <w:b/>
          <w:color w:val="000000" w:themeColor="text1"/>
          <w:sz w:val="24"/>
          <w:szCs w:val="24"/>
        </w:rPr>
        <w:t>Plasma Cortisol, Glucose, and Haematocrit Profiles</w:t>
      </w:r>
    </w:p>
    <w:p w14:paraId="366FFEBD" w14:textId="19BCDA17" w:rsidR="00E30500" w:rsidRPr="00E30500" w:rsidRDefault="00E30500" w:rsidP="00E30500">
      <w:pPr>
        <w:spacing w:line="276" w:lineRule="auto"/>
        <w:jc w:val="both"/>
        <w:rPr>
          <w:rFonts w:ascii="Times New Roman" w:hAnsi="Times New Roman" w:cs="Times New Roman"/>
          <w:bCs/>
          <w:color w:val="000000" w:themeColor="text1"/>
          <w:sz w:val="24"/>
          <w:szCs w:val="24"/>
        </w:rPr>
      </w:pPr>
      <w:r w:rsidRPr="00E30500">
        <w:rPr>
          <w:rFonts w:ascii="Times New Roman" w:hAnsi="Times New Roman" w:cs="Times New Roman"/>
          <w:bCs/>
          <w:color w:val="000000" w:themeColor="text1"/>
          <w:sz w:val="24"/>
          <w:szCs w:val="24"/>
        </w:rPr>
        <w:t>The physiological stress response of silver pompano (</w:t>
      </w:r>
      <w:r w:rsidRPr="00E30500">
        <w:rPr>
          <w:rFonts w:ascii="Times New Roman" w:hAnsi="Times New Roman" w:cs="Times New Roman"/>
          <w:bCs/>
          <w:i/>
          <w:iCs/>
          <w:color w:val="000000" w:themeColor="text1"/>
          <w:sz w:val="24"/>
          <w:szCs w:val="24"/>
        </w:rPr>
        <w:t>Trachinotus blochii</w:t>
      </w:r>
      <w:r w:rsidRPr="00E30500">
        <w:rPr>
          <w:rFonts w:ascii="Times New Roman" w:hAnsi="Times New Roman" w:cs="Times New Roman"/>
          <w:bCs/>
          <w:color w:val="000000" w:themeColor="text1"/>
          <w:sz w:val="24"/>
          <w:szCs w:val="24"/>
        </w:rPr>
        <w:t>) exposed to varying salinity treatments was evaluated through plasma cortisol, glucose, and haematocrit values (Table 1.). Plasma cortisol levels significantly varied among the groups (</w:t>
      </w:r>
      <m:oMath>
        <m:r>
          <w:rPr>
            <w:rFonts w:ascii="Cambria Math" w:hAnsi="Cambria Math" w:cs="Times New Roman"/>
            <w:color w:val="000000" w:themeColor="text1"/>
            <w:sz w:val="24"/>
            <w:szCs w:val="24"/>
          </w:rPr>
          <m:t>p&lt;0.05</m:t>
        </m:r>
      </m:oMath>
      <w:r w:rsidRPr="00E30500">
        <w:rPr>
          <w:rFonts w:ascii="Times New Roman" w:hAnsi="Times New Roman" w:cs="Times New Roman"/>
          <w:bCs/>
          <w:color w:val="000000" w:themeColor="text1"/>
          <w:sz w:val="24"/>
          <w:szCs w:val="24"/>
        </w:rPr>
        <w:t xml:space="preserve">), ranging from </w:t>
      </w:r>
      <m:oMath>
        <m:r>
          <w:rPr>
            <w:rFonts w:ascii="Cambria Math" w:hAnsi="Cambria Math" w:cs="Times New Roman"/>
            <w:color w:val="000000" w:themeColor="text1"/>
            <w:sz w:val="24"/>
            <w:szCs w:val="24"/>
          </w:rPr>
          <m:t>41.98±1.64</m:t>
        </m:r>
        <m:sSup>
          <m:sSupPr>
            <m:ctrlPr>
              <w:rPr>
                <w:rFonts w:ascii="Cambria Math" w:hAnsi="Cambria Math" w:cs="Times New Roman"/>
                <w:bCs/>
                <w:color w:val="000000" w:themeColor="text1"/>
                <w:sz w:val="24"/>
                <w:szCs w:val="24"/>
              </w:rPr>
            </m:ctrlPr>
          </m:sSupPr>
          <m:e>
            <m:r>
              <m:rPr>
                <m:nor/>
              </m:rPr>
              <w:rPr>
                <w:rFonts w:ascii="Times New Roman" w:hAnsi="Times New Roman" w:cs="Times New Roman"/>
                <w:bCs/>
                <w:color w:val="000000" w:themeColor="text1"/>
                <w:sz w:val="24"/>
                <w:szCs w:val="24"/>
              </w:rPr>
              <m:t> ng mL</m:t>
            </m:r>
          </m:e>
          <m:sup>
            <m:r>
              <w:rPr>
                <w:rFonts w:ascii="Cambria Math" w:hAnsi="Cambria Math" w:cs="Times New Roman"/>
                <w:color w:val="000000" w:themeColor="text1"/>
                <w:sz w:val="24"/>
                <w:szCs w:val="24"/>
              </w:rPr>
              <m:t>-1</m:t>
            </m:r>
          </m:sup>
        </m:sSup>
      </m:oMath>
      <w:r w:rsidRPr="00E30500">
        <w:rPr>
          <w:rFonts w:ascii="Times New Roman" w:hAnsi="Times New Roman" w:cs="Times New Roman"/>
          <w:bCs/>
          <w:color w:val="000000" w:themeColor="text1"/>
          <w:sz w:val="24"/>
          <w:szCs w:val="24"/>
        </w:rPr>
        <w:t xml:space="preserve"> in the control group (C1) to a peak of </w:t>
      </w:r>
      <m:oMath>
        <m:r>
          <w:rPr>
            <w:rFonts w:ascii="Cambria Math" w:hAnsi="Cambria Math" w:cs="Times New Roman"/>
            <w:color w:val="000000" w:themeColor="text1"/>
            <w:sz w:val="24"/>
            <w:szCs w:val="24"/>
          </w:rPr>
          <m:t>73.28±0.49</m:t>
        </m:r>
        <m:sSup>
          <m:sSupPr>
            <m:ctrlPr>
              <w:rPr>
                <w:rFonts w:ascii="Cambria Math" w:hAnsi="Cambria Math" w:cs="Times New Roman"/>
                <w:bCs/>
                <w:color w:val="000000" w:themeColor="text1"/>
                <w:sz w:val="24"/>
                <w:szCs w:val="24"/>
              </w:rPr>
            </m:ctrlPr>
          </m:sSupPr>
          <m:e>
            <m:r>
              <m:rPr>
                <m:nor/>
              </m:rPr>
              <w:rPr>
                <w:rFonts w:ascii="Times New Roman" w:hAnsi="Times New Roman" w:cs="Times New Roman"/>
                <w:bCs/>
                <w:color w:val="000000" w:themeColor="text1"/>
                <w:sz w:val="24"/>
                <w:szCs w:val="24"/>
              </w:rPr>
              <m:t> ng mL</m:t>
            </m:r>
          </m:e>
          <m:sup>
            <m:r>
              <w:rPr>
                <w:rFonts w:ascii="Cambria Math" w:hAnsi="Cambria Math" w:cs="Times New Roman"/>
                <w:color w:val="000000" w:themeColor="text1"/>
                <w:sz w:val="24"/>
                <w:szCs w:val="24"/>
              </w:rPr>
              <m:t>-1</m:t>
            </m:r>
          </m:sup>
        </m:sSup>
      </m:oMath>
      <w:r w:rsidRPr="00E30500">
        <w:rPr>
          <w:rFonts w:ascii="Times New Roman" w:hAnsi="Times New Roman" w:cs="Times New Roman"/>
          <w:bCs/>
          <w:color w:val="000000" w:themeColor="text1"/>
          <w:sz w:val="24"/>
          <w:szCs w:val="24"/>
        </w:rPr>
        <w:t xml:space="preserve"> in the lowest salinity treatment (T3). A corresponding significant increase (</w:t>
      </w:r>
      <m:oMath>
        <m:r>
          <w:rPr>
            <w:rFonts w:ascii="Cambria Math" w:hAnsi="Cambria Math" w:cs="Times New Roman"/>
            <w:color w:val="000000" w:themeColor="text1"/>
            <w:sz w:val="24"/>
            <w:szCs w:val="24"/>
          </w:rPr>
          <m:t>p&lt;0.05</m:t>
        </m:r>
      </m:oMath>
      <w:r w:rsidRPr="00E30500">
        <w:rPr>
          <w:rFonts w:ascii="Times New Roman" w:hAnsi="Times New Roman" w:cs="Times New Roman"/>
          <w:bCs/>
          <w:color w:val="000000" w:themeColor="text1"/>
          <w:sz w:val="24"/>
          <w:szCs w:val="24"/>
        </w:rPr>
        <w:t>) in plasma glucose concentration was observed with decreasing salinity,</w:t>
      </w:r>
      <w:r w:rsidR="00F25177">
        <w:rPr>
          <w:rFonts w:ascii="Times New Roman" w:hAnsi="Times New Roman" w:cs="Times New Roman"/>
          <w:bCs/>
          <w:color w:val="000000" w:themeColor="text1"/>
          <w:sz w:val="24"/>
          <w:szCs w:val="24"/>
        </w:rPr>
        <w:t xml:space="preserve"> </w:t>
      </w:r>
      <w:r w:rsidRPr="00E30500">
        <w:rPr>
          <w:rFonts w:ascii="Times New Roman" w:hAnsi="Times New Roman" w:cs="Times New Roman"/>
          <w:bCs/>
          <w:color w:val="000000" w:themeColor="text1"/>
          <w:sz w:val="24"/>
          <w:szCs w:val="24"/>
        </w:rPr>
        <w:t xml:space="preserve">climbing from </w:t>
      </w:r>
      <m:oMath>
        <m:r>
          <w:rPr>
            <w:rFonts w:ascii="Cambria Math" w:hAnsi="Cambria Math" w:cs="Times New Roman"/>
            <w:color w:val="000000" w:themeColor="text1"/>
            <w:sz w:val="24"/>
            <w:szCs w:val="24"/>
          </w:rPr>
          <m:t>57.9±2.20</m:t>
        </m:r>
        <m:sSup>
          <m:sSupPr>
            <m:ctrlPr>
              <w:rPr>
                <w:rFonts w:ascii="Cambria Math" w:hAnsi="Cambria Math" w:cs="Times New Roman"/>
                <w:bCs/>
                <w:color w:val="000000" w:themeColor="text1"/>
                <w:sz w:val="24"/>
                <w:szCs w:val="24"/>
              </w:rPr>
            </m:ctrlPr>
          </m:sSupPr>
          <m:e>
            <m:r>
              <m:rPr>
                <m:nor/>
              </m:rPr>
              <w:rPr>
                <w:rFonts w:ascii="Times New Roman" w:hAnsi="Times New Roman" w:cs="Times New Roman"/>
                <w:bCs/>
                <w:color w:val="000000" w:themeColor="text1"/>
                <w:sz w:val="24"/>
                <w:szCs w:val="24"/>
              </w:rPr>
              <m:t> mg dL</m:t>
            </m:r>
          </m:e>
          <m:sup>
            <m:r>
              <w:rPr>
                <w:rFonts w:ascii="Cambria Math" w:hAnsi="Cambria Math" w:cs="Times New Roman"/>
                <w:color w:val="000000" w:themeColor="text1"/>
                <w:sz w:val="24"/>
                <w:szCs w:val="24"/>
              </w:rPr>
              <m:t>-1</m:t>
            </m:r>
          </m:sup>
        </m:sSup>
      </m:oMath>
      <w:r w:rsidRPr="00E30500">
        <w:rPr>
          <w:rFonts w:ascii="Times New Roman" w:hAnsi="Times New Roman" w:cs="Times New Roman"/>
          <w:bCs/>
          <w:color w:val="000000" w:themeColor="text1"/>
          <w:sz w:val="24"/>
          <w:szCs w:val="24"/>
        </w:rPr>
        <w:t>(C1)</w:t>
      </w:r>
      <w:r w:rsidR="00F25177">
        <w:rPr>
          <w:rFonts w:ascii="Times New Roman" w:hAnsi="Times New Roman" w:cs="Times New Roman"/>
          <w:bCs/>
          <w:color w:val="000000" w:themeColor="text1"/>
          <w:sz w:val="24"/>
          <w:szCs w:val="24"/>
        </w:rPr>
        <w:t xml:space="preserve"> </w:t>
      </w:r>
      <w:r w:rsidRPr="00E30500">
        <w:rPr>
          <w:rFonts w:ascii="Times New Roman" w:hAnsi="Times New Roman" w:cs="Times New Roman"/>
          <w:bCs/>
          <w:color w:val="000000" w:themeColor="text1"/>
          <w:sz w:val="24"/>
          <w:szCs w:val="24"/>
        </w:rPr>
        <w:t>to</w:t>
      </w:r>
      <w:r w:rsidR="00F25177">
        <w:rPr>
          <w:rFonts w:ascii="Times New Roman" w:hAnsi="Times New Roman" w:cs="Times New Roman"/>
          <w:bCs/>
          <w:color w:val="000000" w:themeColor="text1"/>
          <w:sz w:val="24"/>
          <w:szCs w:val="24"/>
        </w:rPr>
        <w:t xml:space="preserve"> </w:t>
      </w:r>
      <m:oMath>
        <m:r>
          <w:rPr>
            <w:rFonts w:ascii="Cambria Math" w:hAnsi="Cambria Math" w:cs="Times New Roman"/>
            <w:color w:val="000000" w:themeColor="text1"/>
            <w:sz w:val="24"/>
            <w:szCs w:val="24"/>
          </w:rPr>
          <m:t>92.56±1.40</m:t>
        </m:r>
        <m:sSup>
          <m:sSupPr>
            <m:ctrlPr>
              <w:rPr>
                <w:rFonts w:ascii="Cambria Math" w:hAnsi="Cambria Math" w:cs="Times New Roman"/>
                <w:bCs/>
                <w:color w:val="000000" w:themeColor="text1"/>
                <w:sz w:val="24"/>
                <w:szCs w:val="24"/>
              </w:rPr>
            </m:ctrlPr>
          </m:sSupPr>
          <m:e>
            <m:r>
              <m:rPr>
                <m:nor/>
              </m:rPr>
              <w:rPr>
                <w:rFonts w:ascii="Times New Roman" w:hAnsi="Times New Roman" w:cs="Times New Roman"/>
                <w:bCs/>
                <w:color w:val="000000" w:themeColor="text1"/>
                <w:sz w:val="24"/>
                <w:szCs w:val="24"/>
              </w:rPr>
              <m:t> mg dL</m:t>
            </m:r>
          </m:e>
          <m:sup>
            <m:r>
              <w:rPr>
                <w:rFonts w:ascii="Cambria Math" w:hAnsi="Cambria Math" w:cs="Times New Roman"/>
                <w:color w:val="000000" w:themeColor="text1"/>
                <w:sz w:val="24"/>
                <w:szCs w:val="24"/>
              </w:rPr>
              <m:t>-1</m:t>
            </m:r>
          </m:sup>
        </m:sSup>
      </m:oMath>
      <w:r w:rsidRPr="00E30500">
        <w:rPr>
          <w:rFonts w:ascii="Times New Roman" w:hAnsi="Times New Roman" w:cs="Times New Roman"/>
          <w:bCs/>
          <w:color w:val="000000" w:themeColor="text1"/>
          <w:sz w:val="24"/>
          <w:szCs w:val="24"/>
        </w:rPr>
        <w:t xml:space="preserve"> (T3).</w:t>
      </w:r>
      <w:r w:rsidR="00F25177">
        <w:rPr>
          <w:rFonts w:ascii="Times New Roman" w:hAnsi="Times New Roman" w:cs="Times New Roman"/>
          <w:bCs/>
          <w:color w:val="000000" w:themeColor="text1"/>
          <w:sz w:val="24"/>
          <w:szCs w:val="24"/>
        </w:rPr>
        <w:t xml:space="preserve"> </w:t>
      </w:r>
      <w:r w:rsidRPr="00E30500">
        <w:rPr>
          <w:rFonts w:ascii="Times New Roman" w:hAnsi="Times New Roman" w:cs="Times New Roman"/>
          <w:bCs/>
          <w:color w:val="000000" w:themeColor="text1"/>
          <w:sz w:val="24"/>
          <w:szCs w:val="24"/>
        </w:rPr>
        <w:t>Conversely, haematocrit values demonstrated a significant downward trend (</w:t>
      </w:r>
      <m:oMath>
        <m:r>
          <w:rPr>
            <w:rFonts w:ascii="Cambria Math" w:hAnsi="Cambria Math" w:cs="Times New Roman"/>
            <w:color w:val="000000" w:themeColor="text1"/>
            <w:sz w:val="24"/>
            <w:szCs w:val="24"/>
          </w:rPr>
          <m:t>p&lt;0.05</m:t>
        </m:r>
      </m:oMath>
      <w:r w:rsidRPr="00E30500">
        <w:rPr>
          <w:rFonts w:ascii="Times New Roman" w:hAnsi="Times New Roman" w:cs="Times New Roman"/>
          <w:bCs/>
          <w:color w:val="000000" w:themeColor="text1"/>
          <w:sz w:val="24"/>
          <w:szCs w:val="24"/>
        </w:rPr>
        <w:t xml:space="preserve">) as hypoosmotic stress increased, declining from a maximum of </w:t>
      </w:r>
      <m:oMath>
        <m:r>
          <w:rPr>
            <w:rFonts w:ascii="Cambria Math" w:hAnsi="Cambria Math" w:cs="Times New Roman"/>
            <w:color w:val="000000" w:themeColor="text1"/>
            <w:sz w:val="24"/>
            <w:szCs w:val="24"/>
          </w:rPr>
          <m:t>41.7±1.13%</m:t>
        </m:r>
      </m:oMath>
      <w:r w:rsidRPr="00E30500">
        <w:rPr>
          <w:rFonts w:ascii="Times New Roman" w:hAnsi="Times New Roman" w:cs="Times New Roman"/>
          <w:bCs/>
          <w:color w:val="000000" w:themeColor="text1"/>
          <w:sz w:val="24"/>
          <w:szCs w:val="24"/>
        </w:rPr>
        <w:t xml:space="preserve"> in the control group to </w:t>
      </w:r>
      <m:oMath>
        <m:r>
          <w:rPr>
            <w:rFonts w:ascii="Cambria Math" w:hAnsi="Cambria Math" w:cs="Times New Roman"/>
            <w:color w:val="000000" w:themeColor="text1"/>
            <w:sz w:val="24"/>
            <w:szCs w:val="24"/>
          </w:rPr>
          <m:t>28.78±0.69%</m:t>
        </m:r>
      </m:oMath>
      <w:r w:rsidRPr="00E30500">
        <w:rPr>
          <w:rFonts w:ascii="Times New Roman" w:hAnsi="Times New Roman" w:cs="Times New Roman"/>
          <w:bCs/>
          <w:color w:val="000000" w:themeColor="text1"/>
          <w:sz w:val="24"/>
          <w:szCs w:val="24"/>
        </w:rPr>
        <w:t xml:space="preserve"> in the T3 treatment group.</w:t>
      </w:r>
    </w:p>
    <w:p w14:paraId="28817248" w14:textId="77777777" w:rsidR="00613D73" w:rsidRDefault="00613D73" w:rsidP="00E92A71">
      <w:pPr>
        <w:spacing w:line="276" w:lineRule="auto"/>
        <w:jc w:val="both"/>
        <w:rPr>
          <w:rFonts w:ascii="Times New Roman" w:hAnsi="Times New Roman" w:cs="Times New Roman"/>
          <w:b/>
          <w:color w:val="000000" w:themeColor="text1"/>
          <w:sz w:val="24"/>
          <w:szCs w:val="24"/>
          <w:lang w:val="en-GB"/>
        </w:rPr>
      </w:pPr>
    </w:p>
    <w:p w14:paraId="5E3B6A2D" w14:textId="77777777" w:rsidR="00613D73" w:rsidRDefault="00613D73" w:rsidP="00E92A71">
      <w:pPr>
        <w:spacing w:line="276" w:lineRule="auto"/>
        <w:jc w:val="both"/>
        <w:rPr>
          <w:rFonts w:ascii="Times New Roman" w:hAnsi="Times New Roman" w:cs="Times New Roman"/>
          <w:b/>
          <w:color w:val="000000" w:themeColor="text1"/>
          <w:sz w:val="24"/>
          <w:szCs w:val="24"/>
          <w:lang w:val="en-GB"/>
        </w:rPr>
      </w:pPr>
    </w:p>
    <w:p w14:paraId="7E3AC147" w14:textId="2EF468AF" w:rsidR="00BF2373" w:rsidRPr="00CD531F" w:rsidRDefault="00BF2373" w:rsidP="00E92A71">
      <w:pPr>
        <w:spacing w:line="276" w:lineRule="auto"/>
        <w:jc w:val="both"/>
        <w:rPr>
          <w:rFonts w:ascii="Times New Roman" w:hAnsi="Times New Roman" w:cs="Times New Roman"/>
          <w:b/>
          <w:color w:val="000000" w:themeColor="text1"/>
        </w:rPr>
      </w:pPr>
      <w:r w:rsidRPr="00CD531F">
        <w:rPr>
          <w:rFonts w:ascii="Times New Roman" w:hAnsi="Times New Roman" w:cs="Times New Roman"/>
          <w:b/>
          <w:color w:val="000000" w:themeColor="text1"/>
          <w:sz w:val="24"/>
          <w:szCs w:val="24"/>
          <w:lang w:val="en-GB"/>
        </w:rPr>
        <w:lastRenderedPageBreak/>
        <w:t>Table 1</w:t>
      </w:r>
      <w:r w:rsidR="00CD531F" w:rsidRPr="00CD531F">
        <w:rPr>
          <w:rFonts w:ascii="Times New Roman" w:hAnsi="Times New Roman" w:cs="Times New Roman"/>
          <w:b/>
          <w:color w:val="000000" w:themeColor="text1"/>
          <w:sz w:val="24"/>
          <w:szCs w:val="24"/>
          <w:lang w:val="en-GB"/>
        </w:rPr>
        <w:t>.</w:t>
      </w:r>
      <w:r w:rsidRPr="00CD531F">
        <w:rPr>
          <w:rFonts w:ascii="Times New Roman" w:hAnsi="Times New Roman" w:cs="Times New Roman"/>
          <w:b/>
          <w:color w:val="000000" w:themeColor="text1"/>
          <w:sz w:val="24"/>
          <w:szCs w:val="24"/>
          <w:lang w:val="en-GB"/>
        </w:rPr>
        <w:t xml:space="preserve"> </w:t>
      </w:r>
      <w:r w:rsidR="00CD531F" w:rsidRPr="00CD531F">
        <w:rPr>
          <w:rFonts w:ascii="Times New Roman" w:hAnsi="Times New Roman" w:cs="Times New Roman"/>
          <w:b/>
          <w:bCs/>
          <w:color w:val="000000" w:themeColor="text1"/>
          <w:sz w:val="24"/>
          <w:szCs w:val="24"/>
        </w:rPr>
        <w:t>Plasma cortisol, glucose, and haematocrit values of silver pompano (</w:t>
      </w:r>
      <w:r w:rsidR="00CD531F" w:rsidRPr="00CD531F">
        <w:rPr>
          <w:rFonts w:ascii="Times New Roman" w:hAnsi="Times New Roman" w:cs="Times New Roman"/>
          <w:b/>
          <w:bCs/>
          <w:i/>
          <w:iCs/>
          <w:color w:val="000000" w:themeColor="text1"/>
          <w:sz w:val="24"/>
          <w:szCs w:val="24"/>
        </w:rPr>
        <w:t>Trachinotus blochii</w:t>
      </w:r>
      <w:r w:rsidR="00CD531F" w:rsidRPr="00CD531F">
        <w:rPr>
          <w:rFonts w:ascii="Times New Roman" w:hAnsi="Times New Roman" w:cs="Times New Roman"/>
          <w:b/>
          <w:bCs/>
          <w:color w:val="000000" w:themeColor="text1"/>
          <w:sz w:val="24"/>
          <w:szCs w:val="24"/>
        </w:rPr>
        <w:t>) under different salinity treatments.</w:t>
      </w:r>
    </w:p>
    <w:tbl>
      <w:tblPr>
        <w:tblStyle w:val="TableGrid"/>
        <w:tblW w:w="0" w:type="auto"/>
        <w:tblLook w:val="04A0" w:firstRow="1" w:lastRow="0" w:firstColumn="1" w:lastColumn="0" w:noHBand="0" w:noVBand="1"/>
      </w:tblPr>
      <w:tblGrid>
        <w:gridCol w:w="1309"/>
        <w:gridCol w:w="2372"/>
        <w:gridCol w:w="2760"/>
        <w:gridCol w:w="2575"/>
      </w:tblGrid>
      <w:tr w:rsidR="00AA4959" w:rsidRPr="00E301E4" w14:paraId="553EC852" w14:textId="283020A1" w:rsidTr="00AA4959">
        <w:tc>
          <w:tcPr>
            <w:tcW w:w="1309" w:type="dxa"/>
          </w:tcPr>
          <w:p w14:paraId="2F15AAD1" w14:textId="77777777" w:rsidR="00AA4959" w:rsidRPr="00E301E4" w:rsidRDefault="00AA4959"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2372" w:type="dxa"/>
          </w:tcPr>
          <w:p w14:paraId="53B15452" w14:textId="396FEC6F" w:rsidR="00FE5159" w:rsidRPr="00FE5159" w:rsidRDefault="00AA4959" w:rsidP="00FE5159">
            <w:pPr>
              <w:spacing w:line="276" w:lineRule="auto"/>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Cortisol</w:t>
            </w:r>
            <w:r w:rsidR="00FE5159">
              <w:rPr>
                <w:rFonts w:ascii="Times New Roman" w:hAnsi="Times New Roman" w:cs="Times New Roman"/>
                <w:b/>
                <w:bCs/>
                <w:color w:val="000000" w:themeColor="text1"/>
                <w:sz w:val="24"/>
                <w:szCs w:val="24"/>
              </w:rPr>
              <w:t xml:space="preserve"> </w:t>
            </w:r>
            <w:r w:rsidRPr="00E301E4">
              <w:rPr>
                <w:rFonts w:ascii="Times New Roman" w:hAnsi="Times New Roman" w:cs="Times New Roman"/>
                <w:b/>
                <w:bCs/>
                <w:color w:val="000000" w:themeColor="text1"/>
                <w:sz w:val="24"/>
                <w:szCs w:val="24"/>
              </w:rPr>
              <w:t xml:space="preserve">level </w:t>
            </w:r>
            <w:r w:rsidR="00FE5159" w:rsidRPr="00FE5159">
              <w:rPr>
                <w:rFonts w:ascii="Times New Roman" w:hAnsi="Times New Roman" w:cs="Times New Roman"/>
                <w:b/>
                <w:bCs/>
                <w:color w:val="000000" w:themeColor="text1"/>
                <w:sz w:val="24"/>
                <w:szCs w:val="24"/>
              </w:rPr>
              <w:t>(</w:t>
            </w:r>
            <m:oMath>
              <m:sSup>
                <m:sSupPr>
                  <m:ctrlPr>
                    <w:rPr>
                      <w:rFonts w:ascii="Cambria Math" w:hAnsi="Cambria Math" w:cs="Times New Roman"/>
                      <w:b/>
                      <w:bCs/>
                      <w:color w:val="000000" w:themeColor="text1"/>
                      <w:sz w:val="24"/>
                      <w:szCs w:val="24"/>
                    </w:rPr>
                  </m:ctrlPr>
                </m:sSupPr>
                <m:e>
                  <m:r>
                    <m:rPr>
                      <m:nor/>
                    </m:rPr>
                    <w:rPr>
                      <w:rFonts w:ascii="Times New Roman" w:hAnsi="Times New Roman" w:cs="Times New Roman"/>
                      <w:b/>
                      <w:bCs/>
                      <w:color w:val="000000" w:themeColor="text1"/>
                      <w:sz w:val="24"/>
                      <w:szCs w:val="24"/>
                    </w:rPr>
                    <m:t>ng mL</m:t>
                  </m:r>
                </m:e>
                <m:sup>
                  <m:r>
                    <m:rPr>
                      <m:sty m:val="bi"/>
                    </m:rPr>
                    <w:rPr>
                      <w:rFonts w:ascii="Cambria Math" w:hAnsi="Cambria Math" w:cs="Times New Roman"/>
                      <w:color w:val="000000" w:themeColor="text1"/>
                      <w:sz w:val="24"/>
                      <w:szCs w:val="24"/>
                    </w:rPr>
                    <m:t>-1</m:t>
                  </m:r>
                </m:sup>
              </m:sSup>
            </m:oMath>
            <w:r w:rsidR="00FE5159" w:rsidRPr="00FE5159">
              <w:rPr>
                <w:rFonts w:ascii="Times New Roman" w:hAnsi="Times New Roman" w:cs="Times New Roman"/>
                <w:b/>
                <w:bCs/>
                <w:color w:val="000000" w:themeColor="text1"/>
                <w:sz w:val="24"/>
                <w:szCs w:val="24"/>
              </w:rPr>
              <w:t>)</w:t>
            </w:r>
          </w:p>
          <w:p w14:paraId="6D46EEA9" w14:textId="54FCB317" w:rsidR="00AA4959" w:rsidRPr="00E301E4" w:rsidRDefault="00AA4959" w:rsidP="00E92A71">
            <w:pPr>
              <w:spacing w:line="276" w:lineRule="auto"/>
              <w:jc w:val="both"/>
              <w:rPr>
                <w:rFonts w:ascii="Times New Roman" w:hAnsi="Times New Roman" w:cs="Times New Roman"/>
                <w:sz w:val="24"/>
                <w:szCs w:val="24"/>
              </w:rPr>
            </w:pPr>
          </w:p>
        </w:tc>
        <w:tc>
          <w:tcPr>
            <w:tcW w:w="2760" w:type="dxa"/>
          </w:tcPr>
          <w:p w14:paraId="5EF14A4D" w14:textId="175E4D77" w:rsidR="006B07C5" w:rsidRPr="006B07C5" w:rsidRDefault="00AA4959" w:rsidP="006B07C5">
            <w:pPr>
              <w:spacing w:line="276" w:lineRule="auto"/>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 xml:space="preserve">Plasma glucose level </w:t>
            </w:r>
            <w:r w:rsidR="006B07C5" w:rsidRPr="006B07C5">
              <w:rPr>
                <w:rFonts w:ascii="Times New Roman" w:hAnsi="Times New Roman" w:cs="Times New Roman"/>
                <w:b/>
                <w:bCs/>
                <w:color w:val="000000" w:themeColor="text1"/>
                <w:sz w:val="24"/>
                <w:szCs w:val="24"/>
              </w:rPr>
              <w:t>(</w:t>
            </w:r>
            <m:oMath>
              <m:sSup>
                <m:sSupPr>
                  <m:ctrlPr>
                    <w:rPr>
                      <w:rFonts w:ascii="Cambria Math" w:hAnsi="Cambria Math" w:cs="Times New Roman"/>
                      <w:b/>
                      <w:bCs/>
                      <w:color w:val="000000" w:themeColor="text1"/>
                      <w:sz w:val="24"/>
                      <w:szCs w:val="24"/>
                    </w:rPr>
                  </m:ctrlPr>
                </m:sSupPr>
                <m:e>
                  <m:r>
                    <m:rPr>
                      <m:nor/>
                    </m:rPr>
                    <w:rPr>
                      <w:rFonts w:ascii="Times New Roman" w:hAnsi="Times New Roman" w:cs="Times New Roman"/>
                      <w:b/>
                      <w:bCs/>
                      <w:color w:val="000000" w:themeColor="text1"/>
                      <w:sz w:val="24"/>
                      <w:szCs w:val="24"/>
                    </w:rPr>
                    <m:t>mg dL</m:t>
                  </m:r>
                </m:e>
                <m:sup>
                  <m:r>
                    <m:rPr>
                      <m:sty m:val="bi"/>
                    </m:rPr>
                    <w:rPr>
                      <w:rFonts w:ascii="Cambria Math" w:hAnsi="Cambria Math" w:cs="Times New Roman"/>
                      <w:color w:val="000000" w:themeColor="text1"/>
                      <w:sz w:val="24"/>
                      <w:szCs w:val="24"/>
                    </w:rPr>
                    <m:t>-1</m:t>
                  </m:r>
                </m:sup>
              </m:sSup>
            </m:oMath>
            <w:r w:rsidR="006B07C5" w:rsidRPr="006B07C5">
              <w:rPr>
                <w:rFonts w:ascii="Times New Roman" w:hAnsi="Times New Roman" w:cs="Times New Roman"/>
                <w:b/>
                <w:bCs/>
                <w:color w:val="000000" w:themeColor="text1"/>
                <w:sz w:val="24"/>
                <w:szCs w:val="24"/>
              </w:rPr>
              <w:t>)</w:t>
            </w:r>
          </w:p>
          <w:p w14:paraId="4734605D" w14:textId="69BC5C10" w:rsidR="00AA4959" w:rsidRPr="00E301E4" w:rsidRDefault="00AA4959" w:rsidP="00E92A71">
            <w:pPr>
              <w:spacing w:line="276" w:lineRule="auto"/>
              <w:jc w:val="both"/>
              <w:rPr>
                <w:rFonts w:ascii="Times New Roman" w:hAnsi="Times New Roman" w:cs="Times New Roman"/>
                <w:b/>
                <w:bCs/>
                <w:color w:val="000000" w:themeColor="text1"/>
                <w:sz w:val="24"/>
                <w:szCs w:val="24"/>
              </w:rPr>
            </w:pPr>
          </w:p>
        </w:tc>
        <w:tc>
          <w:tcPr>
            <w:tcW w:w="2575" w:type="dxa"/>
          </w:tcPr>
          <w:p w14:paraId="59607D54" w14:textId="7301BFE9" w:rsidR="00AA4959" w:rsidRPr="00E301E4" w:rsidRDefault="00AA4959" w:rsidP="00E92A71">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rPr>
              <w:t>Haematocrit value (%)</w:t>
            </w:r>
          </w:p>
        </w:tc>
      </w:tr>
      <w:tr w:rsidR="00AA4959" w:rsidRPr="00E301E4" w14:paraId="077D33ED" w14:textId="65B4EC3C" w:rsidTr="00AA4959">
        <w:tc>
          <w:tcPr>
            <w:tcW w:w="1309" w:type="dxa"/>
          </w:tcPr>
          <w:p w14:paraId="6497E69A" w14:textId="77777777" w:rsidR="00AA4959" w:rsidRPr="00E301E4" w:rsidRDefault="00AA4959"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2372" w:type="dxa"/>
          </w:tcPr>
          <w:p w14:paraId="3276829B" w14:textId="4796D7AF"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41.98±1.64</w:t>
            </w:r>
            <w:r w:rsidR="008A15C1" w:rsidRPr="008A15C1">
              <w:rPr>
                <w:rFonts w:ascii="Times New Roman" w:hAnsi="Times New Roman" w:cs="Times New Roman"/>
                <w:color w:val="000000" w:themeColor="text1"/>
                <w:sz w:val="24"/>
                <w:szCs w:val="24"/>
                <w:vertAlign w:val="superscript"/>
              </w:rPr>
              <w:t>a</w:t>
            </w:r>
          </w:p>
        </w:tc>
        <w:tc>
          <w:tcPr>
            <w:tcW w:w="2760" w:type="dxa"/>
          </w:tcPr>
          <w:p w14:paraId="2313CC84" w14:textId="014659D4" w:rsidR="00AA4959" w:rsidRPr="00E301E4" w:rsidRDefault="00AA4959" w:rsidP="00E92A71">
            <w:pPr>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57.9±2.20</w:t>
            </w:r>
            <w:r w:rsidR="008A15C1" w:rsidRPr="00F25177">
              <w:rPr>
                <w:rFonts w:ascii="Times New Roman" w:hAnsi="Times New Roman" w:cs="Times New Roman"/>
                <w:color w:val="000000" w:themeColor="text1"/>
                <w:sz w:val="24"/>
                <w:szCs w:val="24"/>
                <w:vertAlign w:val="superscript"/>
              </w:rPr>
              <w:t>a</w:t>
            </w:r>
          </w:p>
        </w:tc>
        <w:tc>
          <w:tcPr>
            <w:tcW w:w="2575" w:type="dxa"/>
          </w:tcPr>
          <w:p w14:paraId="68D7A923" w14:textId="60FD44F6" w:rsidR="00AA4959" w:rsidRPr="00E301E4" w:rsidRDefault="00AA4959" w:rsidP="00E92A71">
            <w:pPr>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41.7±1.13</w:t>
            </w:r>
            <w:r w:rsidR="008A15C1" w:rsidRPr="00F25177">
              <w:rPr>
                <w:rFonts w:ascii="Times New Roman" w:hAnsi="Times New Roman" w:cs="Times New Roman"/>
                <w:color w:val="000000" w:themeColor="text1"/>
                <w:sz w:val="24"/>
                <w:szCs w:val="24"/>
                <w:vertAlign w:val="superscript"/>
              </w:rPr>
              <w:t>d</w:t>
            </w:r>
          </w:p>
        </w:tc>
      </w:tr>
      <w:tr w:rsidR="00AA4959" w:rsidRPr="00E301E4" w14:paraId="0FA9CB61" w14:textId="3480A0C5" w:rsidTr="00AA4959">
        <w:tc>
          <w:tcPr>
            <w:tcW w:w="1309" w:type="dxa"/>
          </w:tcPr>
          <w:p w14:paraId="693DC6BD" w14:textId="77777777" w:rsidR="00AA4959" w:rsidRPr="00E301E4" w:rsidRDefault="00AA4959"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2372" w:type="dxa"/>
          </w:tcPr>
          <w:p w14:paraId="01FE30FB" w14:textId="00DD20A1"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55.69</w:t>
            </w:r>
            <w:r w:rsidRPr="00E301E4">
              <w:rPr>
                <w:rFonts w:ascii="Times New Roman" w:hAnsi="Times New Roman" w:cs="Times New Roman"/>
                <w:color w:val="000000" w:themeColor="text1"/>
                <w:sz w:val="24"/>
                <w:szCs w:val="24"/>
              </w:rPr>
              <w:t>±0.85</w:t>
            </w:r>
            <w:r w:rsidR="008A15C1" w:rsidRPr="00F25177">
              <w:rPr>
                <w:rFonts w:ascii="Times New Roman" w:hAnsi="Times New Roman" w:cs="Times New Roman"/>
                <w:color w:val="000000" w:themeColor="text1"/>
                <w:sz w:val="24"/>
                <w:szCs w:val="24"/>
                <w:vertAlign w:val="superscript"/>
              </w:rPr>
              <w:t>b</w:t>
            </w:r>
          </w:p>
        </w:tc>
        <w:tc>
          <w:tcPr>
            <w:tcW w:w="2760" w:type="dxa"/>
          </w:tcPr>
          <w:p w14:paraId="24D1A2F2" w14:textId="02F0D98F"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74.23±</w:t>
            </w:r>
            <w:r w:rsidRPr="00E301E4">
              <w:rPr>
                <w:rFonts w:ascii="Times New Roman" w:hAnsi="Times New Roman" w:cs="Times New Roman"/>
                <w:color w:val="000000"/>
                <w:sz w:val="24"/>
                <w:szCs w:val="24"/>
              </w:rPr>
              <w:t>0.46</w:t>
            </w:r>
            <w:r w:rsidR="008A15C1" w:rsidRPr="00F25177">
              <w:rPr>
                <w:rFonts w:ascii="Times New Roman" w:hAnsi="Times New Roman" w:cs="Times New Roman"/>
                <w:color w:val="000000"/>
                <w:sz w:val="24"/>
                <w:szCs w:val="24"/>
                <w:vertAlign w:val="superscript"/>
              </w:rPr>
              <w:t>b</w:t>
            </w:r>
          </w:p>
        </w:tc>
        <w:tc>
          <w:tcPr>
            <w:tcW w:w="2575" w:type="dxa"/>
          </w:tcPr>
          <w:p w14:paraId="45A48579" w14:textId="6F4B8CB2"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34.96±</w:t>
            </w:r>
            <w:r w:rsidRPr="00E301E4">
              <w:rPr>
                <w:rFonts w:ascii="Times New Roman" w:hAnsi="Times New Roman" w:cs="Times New Roman"/>
                <w:color w:val="000000"/>
                <w:sz w:val="24"/>
                <w:szCs w:val="24"/>
              </w:rPr>
              <w:t>0.66</w:t>
            </w:r>
            <w:r w:rsidR="008A15C1" w:rsidRPr="00F25177">
              <w:rPr>
                <w:rFonts w:ascii="Times New Roman" w:hAnsi="Times New Roman" w:cs="Times New Roman"/>
                <w:color w:val="000000"/>
                <w:sz w:val="24"/>
                <w:szCs w:val="24"/>
                <w:vertAlign w:val="superscript"/>
              </w:rPr>
              <w:t>c</w:t>
            </w:r>
          </w:p>
        </w:tc>
      </w:tr>
      <w:tr w:rsidR="00AA4959" w:rsidRPr="00E301E4" w14:paraId="55604C44" w14:textId="53A15FFA" w:rsidTr="00AA4959">
        <w:tc>
          <w:tcPr>
            <w:tcW w:w="1309" w:type="dxa"/>
          </w:tcPr>
          <w:p w14:paraId="7FEBF292" w14:textId="77777777" w:rsidR="00AA4959" w:rsidRPr="00E301E4" w:rsidRDefault="00AA4959"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2372" w:type="dxa"/>
          </w:tcPr>
          <w:p w14:paraId="19C5D3F0" w14:textId="3E3981FA"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63.43</w:t>
            </w:r>
            <w:r w:rsidRPr="00E301E4">
              <w:rPr>
                <w:rFonts w:ascii="Times New Roman" w:hAnsi="Times New Roman" w:cs="Times New Roman"/>
                <w:color w:val="000000" w:themeColor="text1"/>
                <w:sz w:val="24"/>
                <w:szCs w:val="24"/>
              </w:rPr>
              <w:t>±2.22</w:t>
            </w:r>
            <w:r w:rsidR="008A15C1" w:rsidRPr="00F25177">
              <w:rPr>
                <w:rFonts w:ascii="Times New Roman" w:hAnsi="Times New Roman" w:cs="Times New Roman"/>
                <w:color w:val="000000" w:themeColor="text1"/>
                <w:sz w:val="24"/>
                <w:szCs w:val="24"/>
                <w:vertAlign w:val="superscript"/>
              </w:rPr>
              <w:t>c</w:t>
            </w:r>
          </w:p>
        </w:tc>
        <w:tc>
          <w:tcPr>
            <w:tcW w:w="2760" w:type="dxa"/>
          </w:tcPr>
          <w:p w14:paraId="4D42E9AB" w14:textId="6CD6F79F"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86.96±</w:t>
            </w:r>
            <w:r w:rsidRPr="00E301E4">
              <w:rPr>
                <w:rFonts w:ascii="Times New Roman" w:hAnsi="Times New Roman" w:cs="Times New Roman"/>
                <w:color w:val="000000"/>
                <w:sz w:val="24"/>
                <w:szCs w:val="24"/>
              </w:rPr>
              <w:t>0.56</w:t>
            </w:r>
            <w:r w:rsidR="008A15C1" w:rsidRPr="00F25177">
              <w:rPr>
                <w:rFonts w:ascii="Times New Roman" w:hAnsi="Times New Roman" w:cs="Times New Roman"/>
                <w:color w:val="000000"/>
                <w:sz w:val="24"/>
                <w:szCs w:val="24"/>
                <w:vertAlign w:val="superscript"/>
              </w:rPr>
              <w:t>c</w:t>
            </w:r>
          </w:p>
        </w:tc>
        <w:tc>
          <w:tcPr>
            <w:tcW w:w="2575" w:type="dxa"/>
          </w:tcPr>
          <w:p w14:paraId="70EBDEAC" w14:textId="4061881E"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30.42±</w:t>
            </w:r>
            <w:r w:rsidRPr="00E301E4">
              <w:rPr>
                <w:rFonts w:ascii="Times New Roman" w:hAnsi="Times New Roman" w:cs="Times New Roman"/>
                <w:color w:val="000000"/>
                <w:sz w:val="24"/>
                <w:szCs w:val="24"/>
              </w:rPr>
              <w:t>0.92</w:t>
            </w:r>
            <w:r w:rsidR="008A15C1" w:rsidRPr="00F25177">
              <w:rPr>
                <w:rFonts w:ascii="Times New Roman" w:hAnsi="Times New Roman" w:cs="Times New Roman"/>
                <w:color w:val="000000"/>
                <w:sz w:val="24"/>
                <w:szCs w:val="24"/>
                <w:vertAlign w:val="superscript"/>
              </w:rPr>
              <w:t>b</w:t>
            </w:r>
          </w:p>
        </w:tc>
      </w:tr>
      <w:tr w:rsidR="00AA4959" w:rsidRPr="00E301E4" w14:paraId="1A831553" w14:textId="23CA590F" w:rsidTr="00AA4959">
        <w:tc>
          <w:tcPr>
            <w:tcW w:w="1309" w:type="dxa"/>
          </w:tcPr>
          <w:p w14:paraId="6A5AC1BD" w14:textId="77777777" w:rsidR="00AA4959" w:rsidRPr="00E301E4" w:rsidRDefault="00AA4959"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2372" w:type="dxa"/>
          </w:tcPr>
          <w:p w14:paraId="36C76539" w14:textId="3F3C2438" w:rsidR="00AA4959" w:rsidRPr="00E301E4" w:rsidRDefault="00AA4959"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73.28±0.49</w:t>
            </w:r>
            <w:r w:rsidR="008A15C1" w:rsidRPr="00F25177">
              <w:rPr>
                <w:rFonts w:ascii="Times New Roman" w:hAnsi="Times New Roman" w:cs="Times New Roman"/>
                <w:color w:val="000000" w:themeColor="text1"/>
                <w:sz w:val="24"/>
                <w:szCs w:val="24"/>
                <w:vertAlign w:val="superscript"/>
              </w:rPr>
              <w:t>d</w:t>
            </w:r>
          </w:p>
        </w:tc>
        <w:tc>
          <w:tcPr>
            <w:tcW w:w="2760" w:type="dxa"/>
          </w:tcPr>
          <w:p w14:paraId="18196DBA" w14:textId="0DE68EB4" w:rsidR="00AA4959" w:rsidRPr="00E301E4" w:rsidRDefault="00AA4959" w:rsidP="00E92A71">
            <w:pPr>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92.56±1.40</w:t>
            </w:r>
            <w:r w:rsidR="008A15C1" w:rsidRPr="00F25177">
              <w:rPr>
                <w:rFonts w:ascii="Times New Roman" w:hAnsi="Times New Roman" w:cs="Times New Roman"/>
                <w:color w:val="000000" w:themeColor="text1"/>
                <w:sz w:val="24"/>
                <w:szCs w:val="24"/>
                <w:vertAlign w:val="superscript"/>
              </w:rPr>
              <w:t>d</w:t>
            </w:r>
          </w:p>
        </w:tc>
        <w:tc>
          <w:tcPr>
            <w:tcW w:w="2575" w:type="dxa"/>
          </w:tcPr>
          <w:p w14:paraId="24C74F92" w14:textId="778D14EE" w:rsidR="00AA4959" w:rsidRPr="00E301E4" w:rsidRDefault="00AA4959" w:rsidP="00E92A71">
            <w:pPr>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28.78±0.69</w:t>
            </w:r>
            <w:r w:rsidR="00F25177" w:rsidRPr="00F25177">
              <w:rPr>
                <w:rFonts w:ascii="Times New Roman" w:hAnsi="Times New Roman" w:cs="Times New Roman"/>
                <w:color w:val="000000" w:themeColor="text1"/>
                <w:sz w:val="24"/>
                <w:szCs w:val="24"/>
                <w:vertAlign w:val="superscript"/>
              </w:rPr>
              <w:t>a</w:t>
            </w:r>
          </w:p>
        </w:tc>
      </w:tr>
    </w:tbl>
    <w:p w14:paraId="2B210EC1" w14:textId="560C0D41" w:rsidR="001F2A1D" w:rsidRPr="001F2A1D" w:rsidRDefault="001F2A1D" w:rsidP="001F2A1D">
      <w:pPr>
        <w:spacing w:line="276" w:lineRule="auto"/>
        <w:jc w:val="both"/>
        <w:rPr>
          <w:rFonts w:ascii="Times New Roman" w:hAnsi="Times New Roman" w:cs="Times New Roman"/>
          <w:bCs/>
          <w:color w:val="000000" w:themeColor="text1"/>
          <w:sz w:val="24"/>
          <w:szCs w:val="24"/>
        </w:rPr>
      </w:pPr>
      <w:r w:rsidRPr="001F2A1D">
        <w:rPr>
          <w:rFonts w:ascii="Times New Roman" w:hAnsi="Times New Roman" w:cs="Times New Roman"/>
          <w:bCs/>
          <w:color w:val="000000" w:themeColor="text1"/>
          <w:sz w:val="24"/>
          <w:szCs w:val="24"/>
        </w:rPr>
        <w:t xml:space="preserve">Values are presented as mean </w:t>
      </w:r>
      <m:oMath>
        <m:r>
          <w:rPr>
            <w:rFonts w:ascii="Cambria Math" w:hAnsi="Cambria Math" w:cs="Times New Roman"/>
            <w:color w:val="000000" w:themeColor="text1"/>
            <w:sz w:val="24"/>
            <w:szCs w:val="24"/>
          </w:rPr>
          <m:t>±</m:t>
        </m:r>
      </m:oMath>
      <w:r w:rsidRPr="001F2A1D">
        <w:rPr>
          <w:rFonts w:ascii="Times New Roman" w:hAnsi="Times New Roman" w:cs="Times New Roman"/>
          <w:bCs/>
          <w:color w:val="000000" w:themeColor="text1"/>
          <w:sz w:val="24"/>
          <w:szCs w:val="24"/>
        </w:rPr>
        <w:t xml:space="preserve"> standard error (SE). Means within the same column sharing different superscript letters (</w:t>
      </w:r>
      <m:oMath>
        <m:r>
          <m:rPr>
            <m:nor/>
          </m:rPr>
          <w:rPr>
            <w:rFonts w:ascii="Times New Roman" w:hAnsi="Times New Roman" w:cs="Times New Roman"/>
            <w:bCs/>
            <w:color w:val="000000" w:themeColor="text1"/>
            <w:sz w:val="24"/>
            <w:szCs w:val="24"/>
          </w:rPr>
          <m:t>a–d</m:t>
        </m:r>
      </m:oMath>
      <w:r w:rsidRPr="001F2A1D">
        <w:rPr>
          <w:rFonts w:ascii="Times New Roman" w:hAnsi="Times New Roman" w:cs="Times New Roman"/>
          <w:bCs/>
          <w:color w:val="000000" w:themeColor="text1"/>
          <w:sz w:val="24"/>
          <w:szCs w:val="24"/>
        </w:rPr>
        <w:t>) indicate statistically significant differences (</w:t>
      </w:r>
      <m:oMath>
        <m:r>
          <w:rPr>
            <w:rFonts w:ascii="Cambria Math" w:hAnsi="Cambria Math" w:cs="Times New Roman"/>
            <w:color w:val="000000" w:themeColor="text1"/>
            <w:sz w:val="24"/>
            <w:szCs w:val="24"/>
          </w:rPr>
          <m:t>p&lt;0.05</m:t>
        </m:r>
      </m:oMath>
      <w:r w:rsidRPr="001F2A1D">
        <w:rPr>
          <w:rFonts w:ascii="Times New Roman" w:hAnsi="Times New Roman" w:cs="Times New Roman"/>
          <w:bCs/>
          <w:color w:val="000000" w:themeColor="text1"/>
          <w:sz w:val="24"/>
          <w:szCs w:val="24"/>
        </w:rPr>
        <w:t>) based on Tukey's HSD test.</w:t>
      </w:r>
    </w:p>
    <w:p w14:paraId="7249961F" w14:textId="77777777" w:rsidR="00BF2373" w:rsidRPr="00E301E4" w:rsidRDefault="00BF2373" w:rsidP="00E92A71">
      <w:pPr>
        <w:spacing w:line="276" w:lineRule="auto"/>
        <w:jc w:val="both"/>
        <w:rPr>
          <w:rFonts w:ascii="Times New Roman" w:hAnsi="Times New Roman" w:cs="Times New Roman"/>
          <w:bCs/>
          <w:color w:val="000000" w:themeColor="text1"/>
          <w:sz w:val="24"/>
          <w:szCs w:val="24"/>
          <w:lang w:val="en-GB"/>
        </w:rPr>
      </w:pPr>
      <w:r w:rsidRPr="00E301E4">
        <w:rPr>
          <w:rFonts w:ascii="Times New Roman" w:hAnsi="Times New Roman" w:cs="Times New Roman"/>
          <w:noProof/>
          <w:sz w:val="24"/>
          <w:szCs w:val="24"/>
        </w:rPr>
        <w:drawing>
          <wp:inline distT="0" distB="0" distL="0" distR="0" wp14:anchorId="7D2A5AB0" wp14:editId="46150BF4">
            <wp:extent cx="4762500" cy="2286000"/>
            <wp:effectExtent l="0" t="0" r="0" b="0"/>
            <wp:docPr id="245951783" name="Chart 1">
              <a:extLst xmlns:a="http://schemas.openxmlformats.org/drawingml/2006/main">
                <a:ext uri="{FF2B5EF4-FFF2-40B4-BE49-F238E27FC236}">
                  <a16:creationId xmlns:a16="http://schemas.microsoft.com/office/drawing/2014/main" id="{6D075EA8-7A49-DE25-952E-7A3FAE36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1116BB" w14:textId="457F5CA1" w:rsidR="00BF2373" w:rsidRPr="00B802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9</w:t>
      </w:r>
      <w:r w:rsidRPr="00E301E4">
        <w:rPr>
          <w:rFonts w:ascii="Times New Roman" w:hAnsi="Times New Roman" w:cs="Times New Roman"/>
          <w:bCs/>
          <w:color w:val="000000" w:themeColor="text1"/>
          <w:sz w:val="24"/>
          <w:szCs w:val="24"/>
          <w:lang w:val="en-GB"/>
        </w:rPr>
        <w:t xml:space="preserve"> </w:t>
      </w:r>
      <w:r w:rsidR="00B802E4" w:rsidRPr="00B802E4">
        <w:rPr>
          <w:rFonts w:ascii="Times New Roman" w:hAnsi="Times New Roman" w:cs="Times New Roman"/>
          <w:b/>
          <w:color w:val="000000" w:themeColor="text1"/>
          <w:sz w:val="24"/>
          <w:szCs w:val="24"/>
        </w:rPr>
        <w:t>Plasma cortisol levels (</w:t>
      </w:r>
      <m:oMath>
        <m:sSup>
          <m:sSupPr>
            <m:ctrlPr>
              <w:rPr>
                <w:rFonts w:ascii="Cambria Math" w:hAnsi="Cambria Math" w:cs="Times New Roman"/>
                <w:b/>
                <w:color w:val="000000" w:themeColor="text1"/>
                <w:sz w:val="24"/>
                <w:szCs w:val="24"/>
              </w:rPr>
            </m:ctrlPr>
          </m:sSupPr>
          <m:e>
            <m:r>
              <m:rPr>
                <m:nor/>
              </m:rPr>
              <w:rPr>
                <w:rFonts w:ascii="Times New Roman" w:hAnsi="Times New Roman" w:cs="Times New Roman"/>
                <w:b/>
                <w:color w:val="000000" w:themeColor="text1"/>
                <w:sz w:val="24"/>
                <w:szCs w:val="24"/>
              </w:rPr>
              <m:t>ng mL</m:t>
            </m:r>
          </m:e>
          <m:sup>
            <m:r>
              <m:rPr>
                <m:sty m:val="bi"/>
              </m:rPr>
              <w:rPr>
                <w:rFonts w:ascii="Cambria Math" w:hAnsi="Cambria Math" w:cs="Times New Roman"/>
                <w:color w:val="000000" w:themeColor="text1"/>
                <w:sz w:val="24"/>
                <w:szCs w:val="24"/>
              </w:rPr>
              <m:t>-1</m:t>
            </m:r>
          </m:sup>
        </m:sSup>
      </m:oMath>
      <w:r w:rsidR="00B802E4" w:rsidRPr="00B802E4">
        <w:rPr>
          <w:rFonts w:ascii="Times New Roman" w:hAnsi="Times New Roman" w:cs="Times New Roman"/>
          <w:b/>
          <w:color w:val="000000" w:themeColor="text1"/>
          <w:sz w:val="24"/>
          <w:szCs w:val="24"/>
        </w:rPr>
        <w:t>) of silver pompano (</w:t>
      </w:r>
      <w:r w:rsidR="00B802E4" w:rsidRPr="00B802E4">
        <w:rPr>
          <w:rFonts w:ascii="Times New Roman" w:hAnsi="Times New Roman" w:cs="Times New Roman"/>
          <w:b/>
          <w:i/>
          <w:iCs/>
          <w:color w:val="000000" w:themeColor="text1"/>
          <w:sz w:val="24"/>
          <w:szCs w:val="24"/>
        </w:rPr>
        <w:t>Trachinotus blochii</w:t>
      </w:r>
      <w:r w:rsidR="00B802E4" w:rsidRPr="00B802E4">
        <w:rPr>
          <w:rFonts w:ascii="Times New Roman" w:hAnsi="Times New Roman" w:cs="Times New Roman"/>
          <w:b/>
          <w:color w:val="000000" w:themeColor="text1"/>
          <w:sz w:val="24"/>
          <w:szCs w:val="24"/>
        </w:rPr>
        <w:t>) exposed to different salinity treatments over the experimental periods.</w:t>
      </w:r>
    </w:p>
    <w:p w14:paraId="06A1B3F7" w14:textId="33CB4AC4" w:rsidR="00BF2373" w:rsidRPr="00E301E4" w:rsidRDefault="00BF2373" w:rsidP="00D63C0B">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Plasma </w:t>
      </w:r>
      <w:r w:rsidR="00B802E4">
        <w:rPr>
          <w:rFonts w:ascii="Times New Roman" w:hAnsi="Times New Roman" w:cs="Times New Roman"/>
          <w:b/>
          <w:color w:val="000000" w:themeColor="text1"/>
          <w:sz w:val="24"/>
          <w:szCs w:val="24"/>
          <w:lang w:val="en-GB"/>
        </w:rPr>
        <w:t>G</w:t>
      </w:r>
      <w:r w:rsidRPr="00E301E4">
        <w:rPr>
          <w:rFonts w:ascii="Times New Roman" w:hAnsi="Times New Roman" w:cs="Times New Roman"/>
          <w:b/>
          <w:color w:val="000000" w:themeColor="text1"/>
          <w:sz w:val="24"/>
          <w:szCs w:val="24"/>
          <w:lang w:val="en-GB"/>
        </w:rPr>
        <w:t xml:space="preserve">lucose </w:t>
      </w:r>
      <w:r w:rsidR="00B802E4">
        <w:rPr>
          <w:rFonts w:ascii="Times New Roman" w:hAnsi="Times New Roman" w:cs="Times New Roman"/>
          <w:b/>
          <w:color w:val="000000" w:themeColor="text1"/>
          <w:sz w:val="24"/>
          <w:szCs w:val="24"/>
          <w:lang w:val="en-GB"/>
        </w:rPr>
        <w:t>C</w:t>
      </w:r>
      <w:r w:rsidRPr="00E301E4">
        <w:rPr>
          <w:rFonts w:ascii="Times New Roman" w:hAnsi="Times New Roman" w:cs="Times New Roman"/>
          <w:b/>
          <w:color w:val="000000" w:themeColor="text1"/>
          <w:sz w:val="24"/>
          <w:szCs w:val="24"/>
          <w:lang w:val="en-GB"/>
        </w:rPr>
        <w:t>oncentration</w:t>
      </w:r>
    </w:p>
    <w:p w14:paraId="6FA77530" w14:textId="18B43050" w:rsidR="00ED1EB0" w:rsidRPr="00ED1EB0" w:rsidRDefault="00ED1EB0" w:rsidP="00ED1EB0">
      <w:pPr>
        <w:spacing w:line="276" w:lineRule="auto"/>
        <w:jc w:val="both"/>
        <w:rPr>
          <w:rFonts w:ascii="Times New Roman" w:hAnsi="Times New Roman" w:cs="Times New Roman"/>
          <w:bCs/>
          <w:color w:val="000000" w:themeColor="text1"/>
          <w:sz w:val="24"/>
          <w:szCs w:val="24"/>
        </w:rPr>
      </w:pPr>
      <w:r w:rsidRPr="00ED1EB0">
        <w:rPr>
          <w:rFonts w:ascii="Times New Roman" w:hAnsi="Times New Roman" w:cs="Times New Roman"/>
          <w:bCs/>
          <w:color w:val="000000" w:themeColor="text1"/>
          <w:sz w:val="24"/>
          <w:szCs w:val="24"/>
        </w:rPr>
        <w:t>Plasma glucose concentration served as a primary secondary stress indicator during the salinity challenges (Table 1.; Figure 10). A distinct, time-dependent elevation in plasma glucose levels was observed in groups exposed to hypoosmotic conditions, showing a progressive increase from Day 10 through Day 60. The highest overall glucose levels were systematically recorded in the 5 ppt treatment group (T3) across all sampling intervals, reflecting a sustained metabolic mobilization to meet increased energy demands under low-salinity stress conditions (</w:t>
      </w:r>
      <m:oMath>
        <m:r>
          <w:rPr>
            <w:rFonts w:ascii="Cambria Math" w:hAnsi="Cambria Math" w:cs="Times New Roman"/>
            <w:color w:val="000000" w:themeColor="text1"/>
            <w:sz w:val="24"/>
            <w:szCs w:val="24"/>
          </w:rPr>
          <m:t>p&lt;0.05</m:t>
        </m:r>
      </m:oMath>
      <w:r w:rsidRPr="00ED1EB0">
        <w:rPr>
          <w:rFonts w:ascii="Times New Roman" w:hAnsi="Times New Roman" w:cs="Times New Roman"/>
          <w:bCs/>
          <w:color w:val="000000" w:themeColor="text1"/>
          <w:sz w:val="24"/>
          <w:szCs w:val="24"/>
        </w:rPr>
        <w:t>).</w:t>
      </w:r>
    </w:p>
    <w:p w14:paraId="27F80519" w14:textId="77777777" w:rsidR="00BF2373" w:rsidRPr="00E301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lastRenderedPageBreak/>
        <w:drawing>
          <wp:inline distT="0" distB="0" distL="0" distR="0" wp14:anchorId="02A031D4" wp14:editId="4FDF5E47">
            <wp:extent cx="4610100" cy="2110740"/>
            <wp:effectExtent l="0" t="0" r="0" b="3810"/>
            <wp:docPr id="1948162592" name="Chart 1">
              <a:extLst xmlns:a="http://schemas.openxmlformats.org/drawingml/2006/main">
                <a:ext uri="{FF2B5EF4-FFF2-40B4-BE49-F238E27FC236}">
                  <a16:creationId xmlns:a16="http://schemas.microsoft.com/office/drawing/2014/main" id="{E25B6047-6C75-D60D-3E63-04477E7DD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E86B0B" w14:textId="28110E3F" w:rsidR="00BF2373" w:rsidRPr="00ED1EB0"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rPr>
        <w:t>Fig.</w:t>
      </w:r>
      <w:r w:rsidR="00C54B9C">
        <w:rPr>
          <w:rFonts w:ascii="Times New Roman" w:hAnsi="Times New Roman" w:cs="Times New Roman"/>
          <w:b/>
          <w:color w:val="000000" w:themeColor="text1"/>
          <w:sz w:val="24"/>
          <w:szCs w:val="24"/>
        </w:rPr>
        <w:t>10</w:t>
      </w:r>
      <w:r w:rsidRPr="00E301E4">
        <w:rPr>
          <w:rFonts w:ascii="Times New Roman" w:hAnsi="Times New Roman" w:cs="Times New Roman"/>
          <w:b/>
          <w:color w:val="000000" w:themeColor="text1"/>
          <w:sz w:val="24"/>
          <w:szCs w:val="24"/>
        </w:rPr>
        <w:t xml:space="preserve"> </w:t>
      </w:r>
      <w:r w:rsidR="00ED1EB0" w:rsidRPr="00ED1EB0">
        <w:rPr>
          <w:rFonts w:ascii="Times New Roman" w:hAnsi="Times New Roman" w:cs="Times New Roman"/>
          <w:b/>
          <w:color w:val="000000" w:themeColor="text1"/>
          <w:sz w:val="24"/>
          <w:szCs w:val="24"/>
        </w:rPr>
        <w:t>Plasma glucose concentration (</w:t>
      </w:r>
      <m:oMath>
        <m:sSup>
          <m:sSupPr>
            <m:ctrlPr>
              <w:rPr>
                <w:rFonts w:ascii="Cambria Math" w:hAnsi="Cambria Math" w:cs="Times New Roman"/>
                <w:b/>
                <w:color w:val="000000" w:themeColor="text1"/>
                <w:sz w:val="24"/>
                <w:szCs w:val="24"/>
              </w:rPr>
            </m:ctrlPr>
          </m:sSupPr>
          <m:e>
            <m:r>
              <m:rPr>
                <m:nor/>
              </m:rPr>
              <w:rPr>
                <w:rFonts w:ascii="Times New Roman" w:hAnsi="Times New Roman" w:cs="Times New Roman"/>
                <w:b/>
                <w:color w:val="000000" w:themeColor="text1"/>
                <w:sz w:val="24"/>
                <w:szCs w:val="24"/>
              </w:rPr>
              <m:t>mg dL</m:t>
            </m:r>
          </m:e>
          <m:sup>
            <m:r>
              <m:rPr>
                <m:sty m:val="bi"/>
              </m:rPr>
              <w:rPr>
                <w:rFonts w:ascii="Cambria Math" w:hAnsi="Cambria Math" w:cs="Times New Roman"/>
                <w:color w:val="000000" w:themeColor="text1"/>
                <w:sz w:val="24"/>
                <w:szCs w:val="24"/>
              </w:rPr>
              <m:t>-1</m:t>
            </m:r>
          </m:sup>
        </m:sSup>
      </m:oMath>
      <w:r w:rsidR="00ED1EB0" w:rsidRPr="00ED1EB0">
        <w:rPr>
          <w:rFonts w:ascii="Times New Roman" w:hAnsi="Times New Roman" w:cs="Times New Roman"/>
          <w:b/>
          <w:color w:val="000000" w:themeColor="text1"/>
          <w:sz w:val="24"/>
          <w:szCs w:val="24"/>
        </w:rPr>
        <w:t>) of silver pompano (</w:t>
      </w:r>
      <w:r w:rsidR="00ED1EB0" w:rsidRPr="00ED1EB0">
        <w:rPr>
          <w:rFonts w:ascii="Times New Roman" w:hAnsi="Times New Roman" w:cs="Times New Roman"/>
          <w:b/>
          <w:i/>
          <w:iCs/>
          <w:color w:val="000000" w:themeColor="text1"/>
          <w:sz w:val="24"/>
          <w:szCs w:val="24"/>
        </w:rPr>
        <w:t>Trachinotus blochii</w:t>
      </w:r>
      <w:r w:rsidR="00ED1EB0" w:rsidRPr="00ED1EB0">
        <w:rPr>
          <w:rFonts w:ascii="Times New Roman" w:hAnsi="Times New Roman" w:cs="Times New Roman"/>
          <w:b/>
          <w:color w:val="000000" w:themeColor="text1"/>
          <w:sz w:val="24"/>
          <w:szCs w:val="24"/>
        </w:rPr>
        <w:t>) subjected to different salinity treatments across Day 10, Day 30, and Day 60 sampling intervals.</w:t>
      </w:r>
    </w:p>
    <w:p w14:paraId="534DF816" w14:textId="77777777" w:rsidR="005A0828" w:rsidRPr="005A0828" w:rsidRDefault="005A0828" w:rsidP="00D63C0B">
      <w:pPr>
        <w:spacing w:line="276" w:lineRule="auto"/>
        <w:jc w:val="both"/>
        <w:rPr>
          <w:rFonts w:ascii="Times New Roman" w:hAnsi="Times New Roman" w:cs="Times New Roman"/>
          <w:b/>
          <w:color w:val="000000" w:themeColor="text1"/>
          <w:sz w:val="24"/>
          <w:szCs w:val="24"/>
        </w:rPr>
      </w:pPr>
      <w:r w:rsidRPr="005A0828">
        <w:rPr>
          <w:rFonts w:ascii="Times New Roman" w:hAnsi="Times New Roman" w:cs="Times New Roman"/>
          <w:b/>
          <w:color w:val="000000" w:themeColor="text1"/>
          <w:sz w:val="24"/>
          <w:szCs w:val="24"/>
        </w:rPr>
        <w:t>Blood Haematocrit Value</w:t>
      </w:r>
    </w:p>
    <w:p w14:paraId="2183203D" w14:textId="1DB91A91" w:rsidR="000C3134" w:rsidRPr="000C3134" w:rsidRDefault="000C3134" w:rsidP="009D3284">
      <w:pPr>
        <w:spacing w:line="276" w:lineRule="auto"/>
        <w:jc w:val="both"/>
        <w:rPr>
          <w:rFonts w:ascii="Times New Roman" w:hAnsi="Times New Roman" w:cs="Times New Roman"/>
          <w:bCs/>
          <w:color w:val="000000" w:themeColor="text1"/>
          <w:sz w:val="24"/>
          <w:szCs w:val="24"/>
        </w:rPr>
      </w:pPr>
      <w:r w:rsidRPr="000C3134">
        <w:rPr>
          <w:rFonts w:ascii="Times New Roman" w:hAnsi="Times New Roman" w:cs="Times New Roman"/>
          <w:bCs/>
          <w:color w:val="000000" w:themeColor="text1"/>
          <w:sz w:val="24"/>
          <w:szCs w:val="24"/>
        </w:rPr>
        <w:t>The haematocrit (packed cell volume) percentages of silver pompano (</w:t>
      </w:r>
      <w:r w:rsidRPr="000C3134">
        <w:rPr>
          <w:rFonts w:ascii="Times New Roman" w:hAnsi="Times New Roman" w:cs="Times New Roman"/>
          <w:bCs/>
          <w:i/>
          <w:iCs/>
          <w:color w:val="000000" w:themeColor="text1"/>
          <w:sz w:val="24"/>
          <w:szCs w:val="24"/>
        </w:rPr>
        <w:t>Trachinotus blochii</w:t>
      </w:r>
      <w:r w:rsidRPr="000C3134">
        <w:rPr>
          <w:rFonts w:ascii="Times New Roman" w:hAnsi="Times New Roman" w:cs="Times New Roman"/>
          <w:bCs/>
          <w:color w:val="000000" w:themeColor="text1"/>
          <w:sz w:val="24"/>
          <w:szCs w:val="24"/>
        </w:rPr>
        <w:t>) showed an inverse relationship with decreasing environmental salinity over the 60-day trial (Table .1; Figure.11). The highest haematocrit values were systematically maintained in the control group (C1, 35 ppt) across all temporal sampling points (Day 10, 30, and 60). Conversely, progressive exposure to low salinity triggered a significant decrease (</w:t>
      </w:r>
      <m:oMath>
        <m:r>
          <w:rPr>
            <w:rFonts w:ascii="Cambria Math" w:hAnsi="Cambria Math" w:cs="Times New Roman"/>
            <w:color w:val="000000" w:themeColor="text1"/>
            <w:sz w:val="24"/>
            <w:szCs w:val="24"/>
          </w:rPr>
          <m:t>p&lt;0.05</m:t>
        </m:r>
      </m:oMath>
      <w:r w:rsidRPr="000C3134">
        <w:rPr>
          <w:rFonts w:ascii="Times New Roman" w:hAnsi="Times New Roman" w:cs="Times New Roman"/>
          <w:bCs/>
          <w:color w:val="000000" w:themeColor="text1"/>
          <w:sz w:val="24"/>
          <w:szCs w:val="24"/>
        </w:rPr>
        <w:t>) in haematocrit values, with the lowest measurements observed in the 5 ppt treatment group (T3). This downward trend became more pronounced over time, indicating a steady, long-term physiological shift across the experimental duration.</w:t>
      </w:r>
    </w:p>
    <w:p w14:paraId="62B63CB6" w14:textId="77777777" w:rsidR="00BF2373" w:rsidRPr="00E301E4" w:rsidRDefault="00BF2373" w:rsidP="00BF2373">
      <w:pPr>
        <w:spacing w:line="360"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drawing>
          <wp:inline distT="0" distB="0" distL="0" distR="0" wp14:anchorId="755E77B7" wp14:editId="53F3033D">
            <wp:extent cx="4602480" cy="2042160"/>
            <wp:effectExtent l="0" t="0" r="7620" b="0"/>
            <wp:docPr id="702196064" name="Chart 1">
              <a:extLst xmlns:a="http://schemas.openxmlformats.org/drawingml/2006/main">
                <a:ext uri="{FF2B5EF4-FFF2-40B4-BE49-F238E27FC236}">
                  <a16:creationId xmlns:a16="http://schemas.microsoft.com/office/drawing/2014/main" id="{32659D2A-7F64-3022-A8CA-78F83E893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443F52D" w14:textId="3E98E105" w:rsidR="00BF2373" w:rsidRPr="00E301E4"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rPr>
        <w:t xml:space="preserve">Fig </w:t>
      </w:r>
      <w:r w:rsidR="00C54B9C">
        <w:rPr>
          <w:rFonts w:ascii="Times New Roman" w:hAnsi="Times New Roman" w:cs="Times New Roman"/>
          <w:b/>
          <w:color w:val="000000" w:themeColor="text1"/>
          <w:sz w:val="24"/>
          <w:szCs w:val="24"/>
        </w:rPr>
        <w:t>11</w:t>
      </w:r>
      <w:r w:rsidRPr="00E301E4">
        <w:rPr>
          <w:rFonts w:ascii="Times New Roman" w:hAnsi="Times New Roman" w:cs="Times New Roman"/>
          <w:b/>
          <w:color w:val="000000" w:themeColor="text1"/>
          <w:sz w:val="24"/>
          <w:szCs w:val="24"/>
        </w:rPr>
        <w:t xml:space="preserve"> </w:t>
      </w:r>
      <w:r w:rsidR="00340A1E" w:rsidRPr="00340A1E">
        <w:rPr>
          <w:rFonts w:ascii="Times New Roman" w:hAnsi="Times New Roman" w:cs="Times New Roman"/>
          <w:b/>
          <w:color w:val="000000" w:themeColor="text1"/>
          <w:sz w:val="24"/>
          <w:szCs w:val="24"/>
        </w:rPr>
        <w:t>Changes in blood haematocrit values (</w:t>
      </w:r>
      <m:oMath>
        <m:r>
          <m:rPr>
            <m:sty m:val="bi"/>
          </m:rPr>
          <w:rPr>
            <w:rFonts w:ascii="Cambria Math" w:hAnsi="Cambria Math" w:cs="Times New Roman"/>
            <w:color w:val="000000" w:themeColor="text1"/>
            <w:sz w:val="24"/>
            <w:szCs w:val="24"/>
          </w:rPr>
          <m:t>%</m:t>
        </m:r>
      </m:oMath>
      <w:r w:rsidR="00340A1E" w:rsidRPr="00340A1E">
        <w:rPr>
          <w:rFonts w:ascii="Times New Roman" w:hAnsi="Times New Roman" w:cs="Times New Roman"/>
          <w:b/>
          <w:color w:val="000000" w:themeColor="text1"/>
          <w:sz w:val="24"/>
          <w:szCs w:val="24"/>
        </w:rPr>
        <w:t>) of silver pompano (</w:t>
      </w:r>
      <w:r w:rsidR="00340A1E" w:rsidRPr="00340A1E">
        <w:rPr>
          <w:rFonts w:ascii="Times New Roman" w:hAnsi="Times New Roman" w:cs="Times New Roman"/>
          <w:b/>
          <w:i/>
          <w:iCs/>
          <w:color w:val="000000" w:themeColor="text1"/>
          <w:sz w:val="24"/>
          <w:szCs w:val="24"/>
        </w:rPr>
        <w:t>Trachinotus blochii</w:t>
      </w:r>
      <w:r w:rsidR="00340A1E" w:rsidRPr="00340A1E">
        <w:rPr>
          <w:rFonts w:ascii="Times New Roman" w:hAnsi="Times New Roman" w:cs="Times New Roman"/>
          <w:b/>
          <w:color w:val="000000" w:themeColor="text1"/>
          <w:sz w:val="24"/>
          <w:szCs w:val="24"/>
        </w:rPr>
        <w:t>) exposed to different salinity levels on Day 10, Day 30, and Day 60.</w:t>
      </w:r>
    </w:p>
    <w:p w14:paraId="3E2177C5" w14:textId="175264DE" w:rsidR="00BF2373" w:rsidRPr="00E301E4" w:rsidRDefault="00BF2373" w:rsidP="00D8600A">
      <w:pPr>
        <w:spacing w:line="276" w:lineRule="auto"/>
        <w:jc w:val="both"/>
        <w:rPr>
          <w:rFonts w:ascii="Times New Roman" w:hAnsi="Times New Roman" w:cs="Times New Roman"/>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Antioxidant </w:t>
      </w:r>
      <w:r w:rsidR="00102B40">
        <w:rPr>
          <w:rFonts w:ascii="Times New Roman" w:hAnsi="Times New Roman" w:cs="Times New Roman"/>
          <w:b/>
          <w:color w:val="000000" w:themeColor="text1"/>
          <w:sz w:val="24"/>
          <w:szCs w:val="24"/>
          <w:lang w:val="en-GB"/>
        </w:rPr>
        <w:t>E</w:t>
      </w:r>
      <w:r w:rsidRPr="00E301E4">
        <w:rPr>
          <w:rFonts w:ascii="Times New Roman" w:hAnsi="Times New Roman" w:cs="Times New Roman"/>
          <w:b/>
          <w:color w:val="000000" w:themeColor="text1"/>
          <w:sz w:val="24"/>
          <w:szCs w:val="24"/>
          <w:lang w:val="en-GB"/>
        </w:rPr>
        <w:t xml:space="preserve">nzyme </w:t>
      </w:r>
      <w:r w:rsidR="00102B40">
        <w:rPr>
          <w:rFonts w:ascii="Times New Roman" w:hAnsi="Times New Roman" w:cs="Times New Roman"/>
          <w:b/>
          <w:color w:val="000000" w:themeColor="text1"/>
          <w:sz w:val="24"/>
          <w:szCs w:val="24"/>
          <w:lang w:val="en-GB"/>
        </w:rPr>
        <w:t>Profiles</w:t>
      </w:r>
    </w:p>
    <w:p w14:paraId="0871C854" w14:textId="3AA91C5D" w:rsidR="00BF2373" w:rsidRPr="00E301E4" w:rsidRDefault="005103B3" w:rsidP="005103B3">
      <w:pPr>
        <w:spacing w:after="0" w:line="276" w:lineRule="auto"/>
        <w:ind w:firstLine="720"/>
        <w:jc w:val="both"/>
        <w:rPr>
          <w:rFonts w:ascii="Times New Roman" w:hAnsi="Times New Roman" w:cs="Times New Roman"/>
          <w:color w:val="000000" w:themeColor="text1"/>
          <w:sz w:val="24"/>
          <w:szCs w:val="24"/>
        </w:rPr>
      </w:pPr>
      <w:r w:rsidRPr="005103B3">
        <w:rPr>
          <w:rFonts w:ascii="Times New Roman" w:hAnsi="Times New Roman" w:cs="Times New Roman"/>
          <w:color w:val="000000" w:themeColor="text1"/>
          <w:sz w:val="24"/>
          <w:szCs w:val="24"/>
        </w:rPr>
        <w:t>The hepatic antioxidant enzyme activities of silver pompano (Trachinotus blochii) exposed to varying salinities are presented in Table 1.4. Chronic exposure to hypoosmotic conditions induced oxidative stress, leading to a significant, salinity-dependent elevation in all tested enzymes (</w:t>
      </w:r>
      <m:oMath>
        <m:r>
          <m:rPr>
            <m:sty m:val="p"/>
          </m:rPr>
          <w:rPr>
            <w:rFonts w:ascii="Cambria Math" w:hAnsi="Cambria Math" w:cs="Times New Roman"/>
            <w:color w:val="000000" w:themeColor="text1"/>
            <w:sz w:val="24"/>
            <w:szCs w:val="24"/>
          </w:rPr>
          <m:t>p&lt;0.05</m:t>
        </m:r>
      </m:oMath>
      <w:r w:rsidRPr="005103B3">
        <w:rPr>
          <w:rFonts w:ascii="Times New Roman" w:hAnsi="Times New Roman" w:cs="Times New Roman"/>
          <w:color w:val="000000" w:themeColor="text1"/>
          <w:sz w:val="24"/>
          <w:szCs w:val="24"/>
        </w:rPr>
        <w:t xml:space="preserve">). Hepatic catalase (CAT) activity significantly increased with </w:t>
      </w:r>
      <w:r w:rsidRPr="005103B3">
        <w:rPr>
          <w:rFonts w:ascii="Times New Roman" w:hAnsi="Times New Roman" w:cs="Times New Roman"/>
          <w:color w:val="000000" w:themeColor="text1"/>
          <w:sz w:val="24"/>
          <w:szCs w:val="24"/>
        </w:rPr>
        <w:lastRenderedPageBreak/>
        <w:t xml:space="preserve">decreasing salinity, rising from a minimum of </w:t>
      </w:r>
      <m:oMath>
        <m:r>
          <m:rPr>
            <m:sty m:val="p"/>
          </m:rPr>
          <w:rPr>
            <w:rFonts w:ascii="Cambria Math" w:hAnsi="Cambria Math" w:cs="Times New Roman"/>
            <w:color w:val="000000" w:themeColor="text1"/>
            <w:sz w:val="24"/>
            <w:szCs w:val="24"/>
          </w:rPr>
          <m:t>0.49±0.05</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 xml:space="preserve"> in the control group (C1) to a peak of </w:t>
      </w:r>
      <m:oMath>
        <m:r>
          <m:rPr>
            <m:sty m:val="p"/>
          </m:rPr>
          <w:rPr>
            <w:rFonts w:ascii="Cambria Math" w:hAnsi="Cambria Math" w:cs="Times New Roman"/>
            <w:color w:val="000000" w:themeColor="text1"/>
            <w:sz w:val="24"/>
            <w:szCs w:val="24"/>
          </w:rPr>
          <m:t>0.71±0.012</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 xml:space="preserve"> in the 5 ppt treatment group (T3). Superoxide dismutase (SOD) activity followed an identical trend, peaking significantly in T3 (</w:t>
      </w:r>
      <m:oMath>
        <m:r>
          <m:rPr>
            <m:sty m:val="p"/>
          </m:rPr>
          <w:rPr>
            <w:rFonts w:ascii="Cambria Math" w:hAnsi="Cambria Math" w:cs="Times New Roman"/>
            <w:color w:val="000000" w:themeColor="text1"/>
            <w:sz w:val="24"/>
            <w:szCs w:val="24"/>
          </w:rPr>
          <m:t>0.391±0.002</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 compared to C1 (</w:t>
      </w:r>
      <m:oMath>
        <m:r>
          <m:rPr>
            <m:sty m:val="p"/>
          </m:rPr>
          <w:rPr>
            <w:rFonts w:ascii="Cambria Math" w:hAnsi="Cambria Math" w:cs="Times New Roman"/>
            <w:color w:val="000000" w:themeColor="text1"/>
            <w:sz w:val="24"/>
            <w:szCs w:val="24"/>
          </w:rPr>
          <m:t>0.206±0.003</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 Furthermore, the highest glutathione peroxidase (GPx) activity was recorded in the T3 group (</w:t>
      </w:r>
      <m:oMath>
        <m:r>
          <m:rPr>
            <m:sty m:val="p"/>
          </m:rPr>
          <w:rPr>
            <w:rFonts w:ascii="Cambria Math" w:hAnsi="Cambria Math" w:cs="Times New Roman"/>
            <w:color w:val="000000" w:themeColor="text1"/>
            <w:sz w:val="24"/>
            <w:szCs w:val="24"/>
          </w:rPr>
          <m:t>0.22±0.034</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 while the lowest baseline levels were observed in the C1 control group (</w:t>
      </w:r>
      <m:oMath>
        <m:r>
          <m:rPr>
            <m:sty m:val="p"/>
          </m:rPr>
          <w:rPr>
            <w:rFonts w:ascii="Cambria Math" w:hAnsi="Cambria Math" w:cs="Times New Roman"/>
            <w:color w:val="000000" w:themeColor="text1"/>
            <w:sz w:val="24"/>
            <w:szCs w:val="24"/>
          </w:rPr>
          <m:t>0.11±0.01</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U mg</m:t>
            </m:r>
          </m:e>
          <m:sup>
            <m:r>
              <m:rPr>
                <m:sty m:val="p"/>
              </m:rPr>
              <w:rPr>
                <w:rFonts w:ascii="Cambria Math" w:hAnsi="Cambria Math" w:cs="Times New Roman"/>
                <w:color w:val="000000" w:themeColor="text1"/>
                <w:sz w:val="24"/>
                <w:szCs w:val="24"/>
              </w:rPr>
              <m:t>-1</m:t>
            </m:r>
          </m:sup>
        </m:sSup>
        <m:r>
          <m:rPr>
            <m:nor/>
          </m:rPr>
          <w:rPr>
            <w:rFonts w:ascii="Times New Roman" w:hAnsi="Times New Roman" w:cs="Times New Roman"/>
            <w:color w:val="000000" w:themeColor="text1"/>
            <w:sz w:val="24"/>
            <w:szCs w:val="24"/>
          </w:rPr>
          <m:t> protein</m:t>
        </m:r>
      </m:oMath>
      <w:r w:rsidRPr="005103B3">
        <w:rPr>
          <w:rFonts w:ascii="Times New Roman" w:hAnsi="Times New Roman" w:cs="Times New Roman"/>
          <w:color w:val="000000" w:themeColor="text1"/>
          <w:sz w:val="24"/>
          <w:szCs w:val="24"/>
        </w:rPr>
        <w:t>).</w:t>
      </w:r>
    </w:p>
    <w:p w14:paraId="101EFF1B" w14:textId="577C367F"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 xml:space="preserve">Table </w:t>
      </w:r>
      <w:r w:rsidR="00575334">
        <w:rPr>
          <w:rFonts w:ascii="Times New Roman" w:hAnsi="Times New Roman" w:cs="Times New Roman"/>
          <w:b/>
          <w:color w:val="000000" w:themeColor="text1"/>
          <w:sz w:val="24"/>
          <w:szCs w:val="24"/>
        </w:rPr>
        <w:t>2</w:t>
      </w:r>
      <w:r w:rsidRPr="00E301E4">
        <w:rPr>
          <w:rFonts w:ascii="Times New Roman" w:hAnsi="Times New Roman" w:cs="Times New Roman"/>
          <w:b/>
          <w:color w:val="000000" w:themeColor="text1"/>
          <w:sz w:val="24"/>
          <w:szCs w:val="24"/>
        </w:rPr>
        <w:t xml:space="preserve"> </w:t>
      </w:r>
      <w:r w:rsidRPr="00E301E4">
        <w:rPr>
          <w:rFonts w:ascii="Times New Roman" w:hAnsi="Times New Roman" w:cs="Times New Roman"/>
          <w:b/>
          <w:color w:val="000000" w:themeColor="text1"/>
          <w:sz w:val="24"/>
          <w:szCs w:val="24"/>
          <w:lang w:val="en-GB"/>
        </w:rPr>
        <w:t>Antioxidant enzyme activit</w:t>
      </w:r>
      <w:r w:rsidR="007607AE">
        <w:rPr>
          <w:rFonts w:ascii="Times New Roman" w:hAnsi="Times New Roman" w:cs="Times New Roman"/>
          <w:b/>
          <w:color w:val="000000" w:themeColor="text1"/>
          <w:sz w:val="24"/>
          <w:szCs w:val="24"/>
          <w:lang w:val="en-GB"/>
        </w:rPr>
        <w:t>es</w:t>
      </w:r>
      <w:r w:rsidRPr="00E301E4">
        <w:rPr>
          <w:rFonts w:ascii="Times New Roman" w:hAnsi="Times New Roman" w:cs="Times New Roman"/>
          <w:b/>
          <w:color w:val="000000" w:themeColor="text1"/>
          <w:sz w:val="24"/>
          <w:szCs w:val="24"/>
          <w:lang w:val="en-GB"/>
        </w:rPr>
        <w:t xml:space="preserve"> </w:t>
      </w:r>
      <w:r w:rsidR="007607AE" w:rsidRPr="007607AE">
        <w:rPr>
          <w:rFonts w:ascii="Times New Roman" w:hAnsi="Times New Roman" w:cs="Times New Roman"/>
          <w:b/>
          <w:color w:val="000000" w:themeColor="text1"/>
          <w:sz w:val="24"/>
          <w:szCs w:val="24"/>
        </w:rPr>
        <w:t>(CAT, SOD, and GPx) of silver pompano (</w:t>
      </w:r>
      <w:r w:rsidR="007607AE" w:rsidRPr="007607AE">
        <w:rPr>
          <w:rFonts w:ascii="Times New Roman" w:hAnsi="Times New Roman" w:cs="Times New Roman"/>
          <w:b/>
          <w:i/>
          <w:iCs/>
          <w:color w:val="000000" w:themeColor="text1"/>
          <w:sz w:val="24"/>
          <w:szCs w:val="24"/>
        </w:rPr>
        <w:t>Trachinotus blochii</w:t>
      </w:r>
      <w:r w:rsidR="007607AE" w:rsidRPr="007607AE">
        <w:rPr>
          <w:rFonts w:ascii="Times New Roman" w:hAnsi="Times New Roman" w:cs="Times New Roman"/>
          <w:b/>
          <w:color w:val="000000" w:themeColor="text1"/>
          <w:sz w:val="24"/>
          <w:szCs w:val="24"/>
        </w:rPr>
        <w:t>) under different salinity treatments.</w:t>
      </w:r>
    </w:p>
    <w:tbl>
      <w:tblPr>
        <w:tblStyle w:val="TableGrid"/>
        <w:tblW w:w="0" w:type="auto"/>
        <w:tblLook w:val="04A0" w:firstRow="1" w:lastRow="0" w:firstColumn="1" w:lastColumn="0" w:noHBand="0" w:noVBand="1"/>
      </w:tblPr>
      <w:tblGrid>
        <w:gridCol w:w="2254"/>
        <w:gridCol w:w="2254"/>
        <w:gridCol w:w="2254"/>
        <w:gridCol w:w="2254"/>
      </w:tblGrid>
      <w:tr w:rsidR="00BF2373" w:rsidRPr="00E301E4" w14:paraId="7A4441ED" w14:textId="77777777" w:rsidTr="009A7272">
        <w:tc>
          <w:tcPr>
            <w:tcW w:w="2254" w:type="dxa"/>
          </w:tcPr>
          <w:p w14:paraId="102D7851"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Treatment</w:t>
            </w:r>
          </w:p>
        </w:tc>
        <w:tc>
          <w:tcPr>
            <w:tcW w:w="2254" w:type="dxa"/>
          </w:tcPr>
          <w:p w14:paraId="3B6D762C" w14:textId="2F72ED39"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CAT (</w:t>
            </w:r>
            <m:oMath>
              <m:sSup>
                <m:sSupPr>
                  <m:ctrlPr>
                    <w:rPr>
                      <w:rFonts w:ascii="Cambria Math" w:eastAsia="Times New Roman" w:hAnsi="Cambria Math" w:cs="Times New Roman"/>
                      <w:b/>
                      <w:bCs/>
                      <w:color w:val="000000" w:themeColor="text1"/>
                      <w:sz w:val="24"/>
                      <w:szCs w:val="24"/>
                    </w:rPr>
                  </m:ctrlPr>
                </m:sSupPr>
                <m:e>
                  <m:r>
                    <m:rPr>
                      <m:nor/>
                    </m:rPr>
                    <w:rPr>
                      <w:rFonts w:ascii="Times New Roman" w:eastAsia="Times New Roman" w:hAnsi="Times New Roman" w:cs="Times New Roman"/>
                      <w:b/>
                      <w:bCs/>
                      <w:color w:val="000000" w:themeColor="text1"/>
                      <w:sz w:val="24"/>
                      <w:szCs w:val="24"/>
                    </w:rPr>
                    <m:t>U mg</m:t>
                  </m:r>
                </m:e>
                <m:sup>
                  <m:r>
                    <m:rPr>
                      <m:sty m:val="bi"/>
                    </m:rPr>
                    <w:rPr>
                      <w:rFonts w:ascii="Cambria Math" w:eastAsia="Times New Roman" w:hAnsi="Cambria Math" w:cs="Times New Roman"/>
                      <w:color w:val="000000" w:themeColor="text1"/>
                      <w:sz w:val="24"/>
                      <w:szCs w:val="24"/>
                    </w:rPr>
                    <m:t>-1</m:t>
                  </m:r>
                </m:sup>
              </m:sSup>
              <m:r>
                <m:rPr>
                  <m:nor/>
                </m:rPr>
                <w:rPr>
                  <w:rFonts w:ascii="Times New Roman" w:eastAsia="Times New Roman" w:hAnsi="Times New Roman" w:cs="Times New Roman"/>
                  <w:b/>
                  <w:bCs/>
                  <w:color w:val="000000" w:themeColor="text1"/>
                  <w:sz w:val="24"/>
                  <w:szCs w:val="24"/>
                </w:rPr>
                <m:t> protein</m:t>
              </m:r>
            </m:oMath>
            <w:r w:rsidRPr="004B0A33">
              <w:rPr>
                <w:rFonts w:ascii="Times New Roman" w:eastAsia="Times New Roman" w:hAnsi="Times New Roman" w:cs="Times New Roman"/>
                <w:b/>
                <w:bCs/>
                <w:color w:val="000000" w:themeColor="text1"/>
                <w:sz w:val="24"/>
                <w:szCs w:val="24"/>
                <w:lang w:val="en-GB" w:eastAsia="en-IN"/>
              </w:rPr>
              <w:t>)</w:t>
            </w:r>
          </w:p>
        </w:tc>
        <w:tc>
          <w:tcPr>
            <w:tcW w:w="2254" w:type="dxa"/>
          </w:tcPr>
          <w:p w14:paraId="134F51EC" w14:textId="77777777" w:rsidR="00BF2373" w:rsidRDefault="00BF2373" w:rsidP="00D8600A">
            <w:pPr>
              <w:spacing w:line="276" w:lineRule="auto"/>
              <w:jc w:val="both"/>
              <w:rPr>
                <w:rFonts w:ascii="Times New Roman" w:eastAsia="Times New Roman" w:hAnsi="Times New Roman" w:cs="Times New Roman"/>
                <w:b/>
                <w:bCs/>
                <w:color w:val="000000" w:themeColor="text1"/>
                <w:sz w:val="24"/>
                <w:szCs w:val="24"/>
                <w:lang w:val="en-GB" w:eastAsia="en-IN"/>
              </w:rPr>
            </w:pPr>
            <w:r w:rsidRPr="00E301E4">
              <w:rPr>
                <w:rFonts w:ascii="Times New Roman" w:eastAsia="Times New Roman" w:hAnsi="Times New Roman" w:cs="Times New Roman"/>
                <w:b/>
                <w:bCs/>
                <w:color w:val="000000" w:themeColor="text1"/>
                <w:sz w:val="24"/>
                <w:szCs w:val="24"/>
                <w:lang w:val="en-GB" w:eastAsia="en-IN"/>
              </w:rPr>
              <w:t xml:space="preserve">SOD </w:t>
            </w:r>
          </w:p>
          <w:p w14:paraId="715B390B" w14:textId="13D6614C" w:rsidR="004B0A33" w:rsidRPr="004B0A33" w:rsidRDefault="004B0A33" w:rsidP="00D8600A">
            <w:pPr>
              <w:spacing w:line="276" w:lineRule="auto"/>
              <w:jc w:val="both"/>
              <w:rPr>
                <w:rFonts w:ascii="Times New Roman" w:hAnsi="Times New Roman" w:cs="Times New Roman"/>
                <w:b/>
                <w:bCs/>
                <w:sz w:val="24"/>
                <w:szCs w:val="24"/>
              </w:rPr>
            </w:pPr>
            <w:r w:rsidRPr="004B0A33">
              <w:rPr>
                <w:rFonts w:ascii="Times New Roman" w:hAnsi="Times New Roman" w:cs="Times New Roman"/>
                <w:b/>
                <w:bCs/>
                <w:sz w:val="24"/>
                <w:szCs w:val="24"/>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rPr>
                    <m:t>U mg</m:t>
                  </m:r>
                </m:e>
                <m:sup>
                  <m:r>
                    <m:rPr>
                      <m:sty m:val="bi"/>
                    </m:rPr>
                    <w:rPr>
                      <w:rFonts w:ascii="Cambria Math" w:hAnsi="Cambria Math" w:cs="Times New Roman"/>
                      <w:sz w:val="24"/>
                      <w:szCs w:val="24"/>
                    </w:rPr>
                    <m:t>-1</m:t>
                  </m:r>
                </m:sup>
              </m:sSup>
              <m:r>
                <m:rPr>
                  <m:nor/>
                </m:rPr>
                <w:rPr>
                  <w:rFonts w:ascii="Times New Roman" w:hAnsi="Times New Roman" w:cs="Times New Roman"/>
                  <w:b/>
                  <w:bCs/>
                  <w:sz w:val="24"/>
                  <w:szCs w:val="24"/>
                </w:rPr>
                <m:t> protein</m:t>
              </m:r>
            </m:oMath>
            <w:r w:rsidRPr="004B0A33">
              <w:rPr>
                <w:rFonts w:ascii="Times New Roman" w:hAnsi="Times New Roman" w:cs="Times New Roman"/>
                <w:b/>
                <w:bCs/>
                <w:sz w:val="24"/>
                <w:szCs w:val="24"/>
              </w:rPr>
              <w:t>)</w:t>
            </w:r>
          </w:p>
        </w:tc>
        <w:tc>
          <w:tcPr>
            <w:tcW w:w="2254" w:type="dxa"/>
          </w:tcPr>
          <w:p w14:paraId="3C806AE3" w14:textId="77777777" w:rsidR="00BF2373" w:rsidRDefault="00BF2373" w:rsidP="00D8600A">
            <w:pPr>
              <w:spacing w:line="276" w:lineRule="auto"/>
              <w:jc w:val="both"/>
              <w:rPr>
                <w:rFonts w:ascii="Times New Roman" w:eastAsia="Times New Roman" w:hAnsi="Times New Roman" w:cs="Times New Roman"/>
                <w:b/>
                <w:bCs/>
                <w:color w:val="000000" w:themeColor="text1"/>
                <w:sz w:val="24"/>
                <w:szCs w:val="24"/>
                <w:lang w:val="en-GB" w:eastAsia="en-IN"/>
              </w:rPr>
            </w:pPr>
            <w:r w:rsidRPr="00E301E4">
              <w:rPr>
                <w:rFonts w:ascii="Times New Roman" w:eastAsia="Times New Roman" w:hAnsi="Times New Roman" w:cs="Times New Roman"/>
                <w:b/>
                <w:bCs/>
                <w:color w:val="000000" w:themeColor="text1"/>
                <w:sz w:val="24"/>
                <w:szCs w:val="24"/>
                <w:lang w:val="en-GB" w:eastAsia="en-IN"/>
              </w:rPr>
              <w:t xml:space="preserve">GPx </w:t>
            </w:r>
          </w:p>
          <w:p w14:paraId="53A84AA3" w14:textId="0B6CD31C" w:rsidR="004B0A33" w:rsidRPr="0011598D" w:rsidRDefault="0011598D" w:rsidP="00D8600A">
            <w:pPr>
              <w:spacing w:line="276" w:lineRule="auto"/>
              <w:jc w:val="both"/>
              <w:rPr>
                <w:rFonts w:ascii="Times New Roman" w:hAnsi="Times New Roman" w:cs="Times New Roman"/>
                <w:b/>
                <w:bCs/>
                <w:sz w:val="24"/>
                <w:szCs w:val="24"/>
              </w:rPr>
            </w:pPr>
            <w:r w:rsidRPr="0011598D">
              <w:rPr>
                <w:rFonts w:ascii="Times New Roman" w:hAnsi="Times New Roman" w:cs="Times New Roman"/>
                <w:b/>
                <w:bCs/>
                <w:sz w:val="24"/>
                <w:szCs w:val="24"/>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rPr>
                    <m:t>U mg</m:t>
                  </m:r>
                </m:e>
                <m:sup>
                  <m:r>
                    <m:rPr>
                      <m:sty m:val="bi"/>
                    </m:rPr>
                    <w:rPr>
                      <w:rFonts w:ascii="Cambria Math" w:hAnsi="Cambria Math" w:cs="Times New Roman"/>
                      <w:sz w:val="24"/>
                      <w:szCs w:val="24"/>
                    </w:rPr>
                    <m:t>-1</m:t>
                  </m:r>
                </m:sup>
              </m:sSup>
              <m:r>
                <m:rPr>
                  <m:nor/>
                </m:rPr>
                <w:rPr>
                  <w:rFonts w:ascii="Times New Roman" w:hAnsi="Times New Roman" w:cs="Times New Roman"/>
                  <w:b/>
                  <w:bCs/>
                  <w:sz w:val="24"/>
                  <w:szCs w:val="24"/>
                </w:rPr>
                <m:t> protein</m:t>
              </m:r>
            </m:oMath>
            <w:r w:rsidRPr="0011598D">
              <w:rPr>
                <w:rFonts w:ascii="Times New Roman" w:hAnsi="Times New Roman" w:cs="Times New Roman"/>
                <w:b/>
                <w:bCs/>
                <w:sz w:val="24"/>
                <w:szCs w:val="24"/>
              </w:rPr>
              <w:t>)</w:t>
            </w:r>
          </w:p>
        </w:tc>
      </w:tr>
      <w:tr w:rsidR="00BF2373" w:rsidRPr="00E301E4" w14:paraId="7D57A44E" w14:textId="77777777" w:rsidTr="009A7272">
        <w:tc>
          <w:tcPr>
            <w:tcW w:w="2254" w:type="dxa"/>
          </w:tcPr>
          <w:p w14:paraId="27A224D3"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2254" w:type="dxa"/>
          </w:tcPr>
          <w:p w14:paraId="126B72B8" w14:textId="68EB9470"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0.05</w:t>
            </w:r>
            <w:r w:rsidR="0011598D" w:rsidRPr="0011598D">
              <w:rPr>
                <w:rFonts w:ascii="Times New Roman" w:hAnsi="Times New Roman" w:cs="Times New Roman"/>
                <w:color w:val="000000"/>
                <w:sz w:val="24"/>
                <w:szCs w:val="24"/>
                <w:vertAlign w:val="superscript"/>
              </w:rPr>
              <w:t>a</w:t>
            </w:r>
          </w:p>
        </w:tc>
        <w:tc>
          <w:tcPr>
            <w:tcW w:w="2254" w:type="dxa"/>
          </w:tcPr>
          <w:p w14:paraId="3F1CBBEF" w14:textId="37506A99"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0.206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0.003</w:t>
            </w:r>
            <w:r w:rsidR="0011598D" w:rsidRPr="0011598D">
              <w:rPr>
                <w:rFonts w:ascii="Times New Roman" w:hAnsi="Times New Roman" w:cs="Times New Roman"/>
                <w:color w:val="000000"/>
                <w:sz w:val="24"/>
                <w:szCs w:val="24"/>
                <w:vertAlign w:val="superscript"/>
              </w:rPr>
              <w:t>a</w:t>
            </w:r>
          </w:p>
        </w:tc>
        <w:tc>
          <w:tcPr>
            <w:tcW w:w="2254" w:type="dxa"/>
          </w:tcPr>
          <w:p w14:paraId="4C62976A" w14:textId="1199F401"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r w:rsidR="0011598D" w:rsidRPr="0011598D">
              <w:rPr>
                <w:rFonts w:ascii="Times New Roman" w:hAnsi="Times New Roman" w:cs="Times New Roman"/>
                <w:color w:val="000000"/>
                <w:sz w:val="24"/>
                <w:szCs w:val="24"/>
                <w:vertAlign w:val="superscript"/>
              </w:rPr>
              <w:t>a</w:t>
            </w:r>
          </w:p>
        </w:tc>
      </w:tr>
      <w:tr w:rsidR="00BF2373" w:rsidRPr="00E301E4" w14:paraId="227DF56B" w14:textId="77777777" w:rsidTr="009A7272">
        <w:tc>
          <w:tcPr>
            <w:tcW w:w="2254" w:type="dxa"/>
          </w:tcPr>
          <w:p w14:paraId="26474CA2"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2254" w:type="dxa"/>
          </w:tcPr>
          <w:p w14:paraId="1853A5EA" w14:textId="30AA808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r w:rsidR="0011598D" w:rsidRPr="0011598D">
              <w:rPr>
                <w:rFonts w:ascii="Times New Roman" w:hAnsi="Times New Roman" w:cs="Times New Roman"/>
                <w:color w:val="000000"/>
                <w:sz w:val="24"/>
                <w:szCs w:val="24"/>
                <w:vertAlign w:val="superscript"/>
              </w:rPr>
              <w:t>b</w:t>
            </w:r>
          </w:p>
        </w:tc>
        <w:tc>
          <w:tcPr>
            <w:tcW w:w="2254" w:type="dxa"/>
          </w:tcPr>
          <w:p w14:paraId="5C10CB49" w14:textId="23164108"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r w:rsidR="0011598D" w:rsidRPr="0011598D">
              <w:rPr>
                <w:rFonts w:ascii="Times New Roman" w:hAnsi="Times New Roman" w:cs="Times New Roman"/>
                <w:color w:val="000000"/>
                <w:sz w:val="24"/>
                <w:szCs w:val="24"/>
                <w:vertAlign w:val="superscript"/>
              </w:rPr>
              <w:t>b</w:t>
            </w:r>
          </w:p>
        </w:tc>
        <w:tc>
          <w:tcPr>
            <w:tcW w:w="2254" w:type="dxa"/>
          </w:tcPr>
          <w:p w14:paraId="0B53A217" w14:textId="5A327A8A"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0.15</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r w:rsidR="0011598D" w:rsidRPr="0011598D">
              <w:rPr>
                <w:rFonts w:ascii="Times New Roman" w:hAnsi="Times New Roman" w:cs="Times New Roman"/>
                <w:color w:val="000000"/>
                <w:sz w:val="24"/>
                <w:szCs w:val="24"/>
                <w:vertAlign w:val="superscript"/>
              </w:rPr>
              <w:t>b</w:t>
            </w:r>
          </w:p>
        </w:tc>
      </w:tr>
      <w:tr w:rsidR="00BF2373" w:rsidRPr="00E301E4" w14:paraId="7C21E533" w14:textId="77777777" w:rsidTr="009A7272">
        <w:tc>
          <w:tcPr>
            <w:tcW w:w="2254" w:type="dxa"/>
          </w:tcPr>
          <w:p w14:paraId="553CD207"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2254" w:type="dxa"/>
          </w:tcPr>
          <w:p w14:paraId="19522D50" w14:textId="18118DD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0.02</w:t>
            </w:r>
            <w:r w:rsidR="0011598D" w:rsidRPr="0011598D">
              <w:rPr>
                <w:rFonts w:ascii="Times New Roman" w:hAnsi="Times New Roman" w:cs="Times New Roman"/>
                <w:color w:val="000000"/>
                <w:sz w:val="24"/>
                <w:szCs w:val="24"/>
                <w:vertAlign w:val="superscript"/>
              </w:rPr>
              <w:t>c</w:t>
            </w:r>
          </w:p>
        </w:tc>
        <w:tc>
          <w:tcPr>
            <w:tcW w:w="2254" w:type="dxa"/>
          </w:tcPr>
          <w:p w14:paraId="00A11694" w14:textId="27C99464"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0.307</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r w:rsidR="0011598D" w:rsidRPr="0011598D">
              <w:rPr>
                <w:rFonts w:ascii="Times New Roman" w:hAnsi="Times New Roman" w:cs="Times New Roman"/>
                <w:color w:val="000000"/>
                <w:sz w:val="24"/>
                <w:szCs w:val="24"/>
                <w:vertAlign w:val="superscript"/>
              </w:rPr>
              <w:t>c</w:t>
            </w:r>
          </w:p>
        </w:tc>
        <w:tc>
          <w:tcPr>
            <w:tcW w:w="2254" w:type="dxa"/>
          </w:tcPr>
          <w:p w14:paraId="3EEBEE4D" w14:textId="5D93F8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r w:rsidR="0011598D" w:rsidRPr="0011598D">
              <w:rPr>
                <w:rFonts w:ascii="Times New Roman" w:hAnsi="Times New Roman" w:cs="Times New Roman"/>
                <w:color w:val="000000"/>
                <w:sz w:val="24"/>
                <w:szCs w:val="24"/>
                <w:vertAlign w:val="superscript"/>
              </w:rPr>
              <w:t>c</w:t>
            </w:r>
          </w:p>
        </w:tc>
      </w:tr>
      <w:tr w:rsidR="00BF2373" w:rsidRPr="00E301E4" w14:paraId="762C1C01" w14:textId="77777777" w:rsidTr="009A7272">
        <w:tc>
          <w:tcPr>
            <w:tcW w:w="2254" w:type="dxa"/>
          </w:tcPr>
          <w:p w14:paraId="3B62CA0B"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2254" w:type="dxa"/>
          </w:tcPr>
          <w:p w14:paraId="57EDCCDB" w14:textId="747B3FED"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0.71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0.012</w:t>
            </w:r>
            <w:r w:rsidR="0011598D" w:rsidRPr="0011598D">
              <w:rPr>
                <w:rFonts w:ascii="Times New Roman" w:hAnsi="Times New Roman" w:cs="Times New Roman"/>
                <w:color w:val="000000"/>
                <w:sz w:val="24"/>
                <w:szCs w:val="24"/>
                <w:vertAlign w:val="superscript"/>
              </w:rPr>
              <w:t>d</w:t>
            </w:r>
          </w:p>
        </w:tc>
        <w:tc>
          <w:tcPr>
            <w:tcW w:w="2254" w:type="dxa"/>
          </w:tcPr>
          <w:p w14:paraId="58D8C4A0" w14:textId="7B4E9AEA"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0.391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r w:rsidR="0011598D" w:rsidRPr="0011598D">
              <w:rPr>
                <w:rFonts w:ascii="Times New Roman" w:hAnsi="Times New Roman" w:cs="Times New Roman"/>
                <w:color w:val="000000"/>
                <w:sz w:val="24"/>
                <w:szCs w:val="24"/>
                <w:vertAlign w:val="superscript"/>
              </w:rPr>
              <w:t>d</w:t>
            </w:r>
          </w:p>
        </w:tc>
        <w:tc>
          <w:tcPr>
            <w:tcW w:w="2254" w:type="dxa"/>
          </w:tcPr>
          <w:p w14:paraId="0EFC0A84" w14:textId="10AFE27F"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0.22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0.034</w:t>
            </w:r>
            <w:r w:rsidR="0011598D" w:rsidRPr="0011598D">
              <w:rPr>
                <w:rFonts w:ascii="Times New Roman" w:hAnsi="Times New Roman" w:cs="Times New Roman"/>
                <w:color w:val="000000"/>
                <w:sz w:val="24"/>
                <w:szCs w:val="24"/>
                <w:vertAlign w:val="superscript"/>
              </w:rPr>
              <w:t>d</w:t>
            </w:r>
          </w:p>
        </w:tc>
      </w:tr>
    </w:tbl>
    <w:p w14:paraId="15337B1D" w14:textId="275D6980" w:rsidR="00EC4B38" w:rsidRPr="00DF19CD" w:rsidRDefault="00EC4B38" w:rsidP="00D8600A">
      <w:pPr>
        <w:spacing w:after="0" w:line="276" w:lineRule="auto"/>
        <w:jc w:val="both"/>
        <w:rPr>
          <w:rFonts w:ascii="Times New Roman" w:hAnsi="Times New Roman" w:cs="Times New Roman"/>
          <w:bCs/>
          <w:color w:val="000000" w:themeColor="text1"/>
          <w:sz w:val="24"/>
          <w:szCs w:val="24"/>
        </w:rPr>
      </w:pPr>
      <w:r w:rsidRPr="00EC4B38">
        <w:rPr>
          <w:rFonts w:ascii="Times New Roman" w:hAnsi="Times New Roman" w:cs="Times New Roman"/>
          <w:bCs/>
          <w:color w:val="000000" w:themeColor="text1"/>
          <w:sz w:val="24"/>
          <w:szCs w:val="24"/>
        </w:rPr>
        <w:t xml:space="preserve">Values are expressed as mean </w:t>
      </w:r>
      <m:oMath>
        <m:r>
          <w:rPr>
            <w:rFonts w:ascii="Cambria Math" w:hAnsi="Cambria Math" w:cs="Times New Roman"/>
            <w:color w:val="000000" w:themeColor="text1"/>
            <w:sz w:val="24"/>
            <w:szCs w:val="24"/>
          </w:rPr>
          <m:t>±</m:t>
        </m:r>
      </m:oMath>
      <w:r w:rsidRPr="00EC4B38">
        <w:rPr>
          <w:rFonts w:ascii="Times New Roman" w:hAnsi="Times New Roman" w:cs="Times New Roman"/>
          <w:bCs/>
          <w:color w:val="000000" w:themeColor="text1"/>
          <w:sz w:val="24"/>
          <w:szCs w:val="24"/>
        </w:rPr>
        <w:t xml:space="preserve"> standard error (SE). Column values with different superscript letters (</w:t>
      </w:r>
      <m:oMath>
        <m:r>
          <m:rPr>
            <m:nor/>
          </m:rPr>
          <w:rPr>
            <w:rFonts w:ascii="Times New Roman" w:hAnsi="Times New Roman" w:cs="Times New Roman"/>
            <w:bCs/>
            <w:color w:val="000000" w:themeColor="text1"/>
            <w:sz w:val="24"/>
            <w:szCs w:val="24"/>
          </w:rPr>
          <m:t>a–d</m:t>
        </m:r>
      </m:oMath>
      <w:r w:rsidRPr="00EC4B38">
        <w:rPr>
          <w:rFonts w:ascii="Times New Roman" w:hAnsi="Times New Roman" w:cs="Times New Roman"/>
          <w:bCs/>
          <w:color w:val="000000" w:themeColor="text1"/>
          <w:sz w:val="24"/>
          <w:szCs w:val="24"/>
        </w:rPr>
        <w:t>) differ significantly (</w:t>
      </w:r>
      <m:oMath>
        <m:r>
          <w:rPr>
            <w:rFonts w:ascii="Cambria Math" w:hAnsi="Cambria Math" w:cs="Times New Roman"/>
            <w:color w:val="000000" w:themeColor="text1"/>
            <w:sz w:val="24"/>
            <w:szCs w:val="24"/>
          </w:rPr>
          <m:t>p&lt;0.05</m:t>
        </m:r>
      </m:oMath>
      <w:r w:rsidRPr="00EC4B38">
        <w:rPr>
          <w:rFonts w:ascii="Times New Roman" w:hAnsi="Times New Roman" w:cs="Times New Roman"/>
          <w:bCs/>
          <w:color w:val="000000" w:themeColor="text1"/>
          <w:sz w:val="24"/>
          <w:szCs w:val="24"/>
        </w:rPr>
        <w:t>) according to Tukey's HSD test.</w:t>
      </w:r>
    </w:p>
    <w:p w14:paraId="6454009A" w14:textId="77777777" w:rsidR="00DF19CD" w:rsidRDefault="00BF2373" w:rsidP="00DF19CD">
      <w:pPr>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b/>
          <w:color w:val="000000" w:themeColor="text1"/>
          <w:sz w:val="24"/>
          <w:szCs w:val="24"/>
          <w:lang w:val="en-GB"/>
        </w:rPr>
        <w:t xml:space="preserve">Catalase activity level in </w:t>
      </w:r>
      <w:r w:rsidRPr="00E301E4">
        <w:rPr>
          <w:rFonts w:ascii="Times New Roman" w:hAnsi="Times New Roman" w:cs="Times New Roman"/>
          <w:b/>
          <w:i/>
          <w:color w:val="000000" w:themeColor="text1"/>
          <w:sz w:val="24"/>
          <w:szCs w:val="24"/>
          <w:lang w:val="en-GB"/>
        </w:rPr>
        <w:t xml:space="preserve">T.blochii </w:t>
      </w:r>
      <w:r w:rsidRPr="00E301E4">
        <w:rPr>
          <w:rFonts w:ascii="Times New Roman" w:hAnsi="Times New Roman" w:cs="Times New Roman"/>
          <w:b/>
          <w:color w:val="000000" w:themeColor="text1"/>
          <w:sz w:val="24"/>
          <w:szCs w:val="24"/>
          <w:lang w:val="en-GB"/>
        </w:rPr>
        <w:t xml:space="preserve">reared </w:t>
      </w:r>
      <w:r w:rsidR="00D730F6">
        <w:rPr>
          <w:rFonts w:ascii="Times New Roman" w:hAnsi="Times New Roman" w:cs="Times New Roman"/>
          <w:b/>
          <w:color w:val="000000" w:themeColor="text1"/>
          <w:sz w:val="24"/>
          <w:szCs w:val="24"/>
          <w:lang w:val="en-GB"/>
        </w:rPr>
        <w:t xml:space="preserve">under </w:t>
      </w:r>
      <w:r w:rsidRPr="00E301E4">
        <w:rPr>
          <w:rFonts w:ascii="Times New Roman" w:hAnsi="Times New Roman" w:cs="Times New Roman"/>
          <w:b/>
          <w:color w:val="000000" w:themeColor="text1"/>
          <w:sz w:val="24"/>
          <w:szCs w:val="24"/>
          <w:lang w:val="en-GB"/>
        </w:rPr>
        <w:t xml:space="preserve">different </w:t>
      </w:r>
      <w:r w:rsidR="00D730F6">
        <w:rPr>
          <w:rFonts w:ascii="Times New Roman" w:hAnsi="Times New Roman" w:cs="Times New Roman"/>
          <w:b/>
          <w:color w:val="000000" w:themeColor="text1"/>
          <w:sz w:val="24"/>
          <w:szCs w:val="24"/>
          <w:lang w:val="en-GB"/>
        </w:rPr>
        <w:t>salinity treatments</w:t>
      </w:r>
    </w:p>
    <w:p w14:paraId="742AF178" w14:textId="6CA3D5F5" w:rsidR="00DF19CD" w:rsidRPr="00DF19CD" w:rsidRDefault="00DF19CD" w:rsidP="00DF19CD">
      <w:pPr>
        <w:spacing w:after="0" w:line="276" w:lineRule="auto"/>
        <w:jc w:val="both"/>
        <w:rPr>
          <w:rFonts w:ascii="Times New Roman" w:hAnsi="Times New Roman" w:cs="Times New Roman"/>
          <w:color w:val="000000" w:themeColor="text1"/>
          <w:sz w:val="24"/>
          <w:szCs w:val="24"/>
        </w:rPr>
      </w:pPr>
      <w:r w:rsidRPr="00DF19CD">
        <w:rPr>
          <w:rFonts w:ascii="Times New Roman" w:hAnsi="Times New Roman" w:cs="Times New Roman"/>
          <w:noProof/>
          <w:sz w:val="24"/>
          <w:szCs w:val="24"/>
        </w:rPr>
        <w:t>The temporal changes in hepatic catalase (CAT) activity across the 60-day experimental period showed an upward trend as exposure time increased, particularly under low-salinity stress (Figure 1.12). On Day 10, variations between the treatments were minimal, though T3 remained elevated. By Day 30 and Day 60, a pronounced, significant increase (</w:t>
      </w:r>
      <m:oMath>
        <m:r>
          <w:rPr>
            <w:rFonts w:ascii="Cambria Math" w:hAnsi="Cambria Math" w:cs="Times New Roman"/>
            <w:noProof/>
            <w:sz w:val="24"/>
            <w:szCs w:val="24"/>
          </w:rPr>
          <m:t>p&lt;0.05</m:t>
        </m:r>
      </m:oMath>
      <w:r w:rsidRPr="00DF19CD">
        <w:rPr>
          <w:rFonts w:ascii="Times New Roman" w:hAnsi="Times New Roman" w:cs="Times New Roman"/>
          <w:noProof/>
          <w:sz w:val="24"/>
          <w:szCs w:val="24"/>
        </w:rPr>
        <w:t>) in CAT activity was clear in the low-salinity groups (T2 and T3) compared to the baseline values maintained in the control group (C1).</w:t>
      </w:r>
    </w:p>
    <w:p w14:paraId="7F460561" w14:textId="77777777" w:rsidR="00BF2373" w:rsidRPr="00E301E4" w:rsidRDefault="00BF2373"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drawing>
          <wp:inline distT="0" distB="0" distL="0" distR="0" wp14:anchorId="248ED139" wp14:editId="15D3C151">
            <wp:extent cx="4572000" cy="2743200"/>
            <wp:effectExtent l="0" t="0" r="0" b="0"/>
            <wp:docPr id="567811209" name="Chart 1">
              <a:extLst xmlns:a="http://schemas.openxmlformats.org/drawingml/2006/main">
                <a:ext uri="{FF2B5EF4-FFF2-40B4-BE49-F238E27FC236}">
                  <a16:creationId xmlns:a16="http://schemas.microsoft.com/office/drawing/2014/main" id="{9A6C2F26-0D39-F6BB-5E89-E2EC154F8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4954D2" w14:textId="5E9A369D" w:rsidR="00BF2373" w:rsidRPr="00DF19CD"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Fig.</w:t>
      </w:r>
      <w:r w:rsidR="00FD64AA">
        <w:rPr>
          <w:rFonts w:ascii="Times New Roman" w:hAnsi="Times New Roman" w:cs="Times New Roman"/>
          <w:b/>
          <w:color w:val="000000" w:themeColor="text1"/>
          <w:sz w:val="24"/>
          <w:szCs w:val="24"/>
          <w:lang w:val="en-GB"/>
        </w:rPr>
        <w:t xml:space="preserve"> 12 </w:t>
      </w:r>
      <w:r w:rsidR="00DF19CD" w:rsidRPr="00DF19CD">
        <w:rPr>
          <w:rFonts w:ascii="Times New Roman" w:hAnsi="Times New Roman" w:cs="Times New Roman"/>
          <w:b/>
          <w:color w:val="000000" w:themeColor="text1"/>
          <w:sz w:val="24"/>
          <w:szCs w:val="24"/>
        </w:rPr>
        <w:t>Hepatic catalase (CAT) activity (</w:t>
      </w:r>
      <m:oMath>
        <m:sSup>
          <m:sSupPr>
            <m:ctrlPr>
              <w:rPr>
                <w:rFonts w:ascii="Cambria Math" w:hAnsi="Cambria Math" w:cs="Times New Roman"/>
                <w:b/>
                <w:color w:val="000000" w:themeColor="text1"/>
                <w:sz w:val="24"/>
                <w:szCs w:val="24"/>
              </w:rPr>
            </m:ctrlPr>
          </m:sSupPr>
          <m:e>
            <m:r>
              <m:rPr>
                <m:nor/>
              </m:rPr>
              <w:rPr>
                <w:rFonts w:ascii="Times New Roman" w:hAnsi="Times New Roman" w:cs="Times New Roman"/>
                <w:b/>
                <w:color w:val="000000" w:themeColor="text1"/>
                <w:sz w:val="24"/>
                <w:szCs w:val="24"/>
              </w:rPr>
              <m:t>U mg</m:t>
            </m:r>
          </m:e>
          <m:sup>
            <m:r>
              <m:rPr>
                <m:sty m:val="bi"/>
              </m:rPr>
              <w:rPr>
                <w:rFonts w:ascii="Cambria Math" w:hAnsi="Cambria Math" w:cs="Times New Roman"/>
                <w:color w:val="000000" w:themeColor="text1"/>
                <w:sz w:val="24"/>
                <w:szCs w:val="24"/>
              </w:rPr>
              <m:t>-1</m:t>
            </m:r>
          </m:sup>
        </m:sSup>
        <m:r>
          <m:rPr>
            <m:nor/>
          </m:rPr>
          <w:rPr>
            <w:rFonts w:ascii="Times New Roman" w:hAnsi="Times New Roman" w:cs="Times New Roman"/>
            <w:b/>
            <w:color w:val="000000" w:themeColor="text1"/>
            <w:sz w:val="24"/>
            <w:szCs w:val="24"/>
          </w:rPr>
          <m:t> protein</m:t>
        </m:r>
      </m:oMath>
      <w:r w:rsidR="00DF19CD" w:rsidRPr="00DF19CD">
        <w:rPr>
          <w:rFonts w:ascii="Times New Roman" w:hAnsi="Times New Roman" w:cs="Times New Roman"/>
          <w:b/>
          <w:color w:val="000000" w:themeColor="text1"/>
          <w:sz w:val="24"/>
          <w:szCs w:val="24"/>
        </w:rPr>
        <w:t>) of silver pompano (</w:t>
      </w:r>
      <w:r w:rsidR="00DF19CD" w:rsidRPr="00DF19CD">
        <w:rPr>
          <w:rFonts w:ascii="Times New Roman" w:hAnsi="Times New Roman" w:cs="Times New Roman"/>
          <w:b/>
          <w:i/>
          <w:iCs/>
          <w:color w:val="000000" w:themeColor="text1"/>
          <w:sz w:val="24"/>
          <w:szCs w:val="24"/>
        </w:rPr>
        <w:t>Trachinotus blochii</w:t>
      </w:r>
      <w:r w:rsidR="00DF19CD" w:rsidRPr="00DF19CD">
        <w:rPr>
          <w:rFonts w:ascii="Times New Roman" w:hAnsi="Times New Roman" w:cs="Times New Roman"/>
          <w:b/>
          <w:color w:val="000000" w:themeColor="text1"/>
          <w:sz w:val="24"/>
          <w:szCs w:val="24"/>
        </w:rPr>
        <w:t>) subjected to different salinity levels on Day 10, Day 30, and Day 60.</w:t>
      </w:r>
    </w:p>
    <w:p w14:paraId="4948B982" w14:textId="77777777" w:rsidR="00613D73" w:rsidRDefault="00613D73" w:rsidP="00D8600A">
      <w:pPr>
        <w:spacing w:after="0" w:line="276" w:lineRule="auto"/>
        <w:jc w:val="both"/>
        <w:rPr>
          <w:rFonts w:ascii="Times New Roman" w:hAnsi="Times New Roman" w:cs="Times New Roman"/>
          <w:b/>
          <w:color w:val="000000" w:themeColor="text1"/>
          <w:sz w:val="24"/>
          <w:szCs w:val="24"/>
          <w:lang w:val="en-GB"/>
        </w:rPr>
      </w:pPr>
    </w:p>
    <w:p w14:paraId="6447DC6C" w14:textId="286517A4"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lastRenderedPageBreak/>
        <w:t xml:space="preserve">SOD activity level in </w:t>
      </w:r>
      <w:r w:rsidRPr="00E301E4">
        <w:rPr>
          <w:rFonts w:ascii="Times New Roman" w:hAnsi="Times New Roman" w:cs="Times New Roman"/>
          <w:b/>
          <w:i/>
          <w:color w:val="000000" w:themeColor="text1"/>
          <w:sz w:val="24"/>
          <w:szCs w:val="24"/>
          <w:lang w:val="en-GB"/>
        </w:rPr>
        <w:t xml:space="preserve">T.blochii </w:t>
      </w:r>
      <w:r w:rsidRPr="00E301E4">
        <w:rPr>
          <w:rFonts w:ascii="Times New Roman" w:hAnsi="Times New Roman" w:cs="Times New Roman"/>
          <w:b/>
          <w:color w:val="000000" w:themeColor="text1"/>
          <w:sz w:val="24"/>
          <w:szCs w:val="24"/>
          <w:lang w:val="en-GB"/>
        </w:rPr>
        <w:t xml:space="preserve">reared </w:t>
      </w:r>
      <w:r w:rsidR="00D730F6">
        <w:rPr>
          <w:rFonts w:ascii="Times New Roman" w:hAnsi="Times New Roman" w:cs="Times New Roman"/>
          <w:b/>
          <w:color w:val="000000" w:themeColor="text1"/>
          <w:sz w:val="24"/>
          <w:szCs w:val="24"/>
          <w:lang w:val="en-GB"/>
        </w:rPr>
        <w:t>under</w:t>
      </w:r>
      <w:r w:rsidRPr="00E301E4">
        <w:rPr>
          <w:rFonts w:ascii="Times New Roman" w:hAnsi="Times New Roman" w:cs="Times New Roman"/>
          <w:b/>
          <w:color w:val="000000" w:themeColor="text1"/>
          <w:sz w:val="24"/>
          <w:szCs w:val="24"/>
          <w:lang w:val="en-GB"/>
        </w:rPr>
        <w:t xml:space="preserve"> different </w:t>
      </w:r>
      <w:r w:rsidR="00D730F6">
        <w:rPr>
          <w:rFonts w:ascii="Times New Roman" w:hAnsi="Times New Roman" w:cs="Times New Roman"/>
          <w:b/>
          <w:color w:val="000000" w:themeColor="text1"/>
          <w:sz w:val="24"/>
          <w:szCs w:val="24"/>
          <w:lang w:val="en-GB"/>
        </w:rPr>
        <w:t>salinity treatments</w:t>
      </w:r>
    </w:p>
    <w:p w14:paraId="20ECA8B1" w14:textId="673213CF" w:rsidR="00DF19CD" w:rsidRPr="00DF19CD" w:rsidRDefault="00DF19CD" w:rsidP="00DF19CD">
      <w:pPr>
        <w:spacing w:line="276" w:lineRule="auto"/>
        <w:jc w:val="both"/>
        <w:rPr>
          <w:rFonts w:ascii="Times New Roman" w:hAnsi="Times New Roman" w:cs="Times New Roman"/>
          <w:noProof/>
          <w:sz w:val="24"/>
          <w:szCs w:val="24"/>
        </w:rPr>
      </w:pPr>
      <w:r w:rsidRPr="00DF19CD">
        <w:rPr>
          <w:rFonts w:ascii="Times New Roman" w:hAnsi="Times New Roman" w:cs="Times New Roman"/>
          <w:noProof/>
          <w:sz w:val="24"/>
          <w:szCs w:val="24"/>
        </w:rPr>
        <w:t>Hepatic superoxide dismutase (SOD) activity mirrors the trends seen in CAT, demonstrating a time-dependent and salinity-dependent response across all evaluation intervals (Figure 1.13). At all three sampling checkpoints (Day 10, 30, and 60), the 5 ppt low-salinity treatment group (T3) consistently exhibited the highest enzyme values (</w:t>
      </w:r>
      <m:oMath>
        <m:r>
          <w:rPr>
            <w:rFonts w:ascii="Cambria Math" w:hAnsi="Cambria Math" w:cs="Times New Roman"/>
            <w:noProof/>
            <w:sz w:val="24"/>
            <w:szCs w:val="24"/>
          </w:rPr>
          <m:t>p&lt;0.05</m:t>
        </m:r>
      </m:oMath>
      <w:r w:rsidRPr="00DF19CD">
        <w:rPr>
          <w:rFonts w:ascii="Times New Roman" w:hAnsi="Times New Roman" w:cs="Times New Roman"/>
          <w:noProof/>
          <w:sz w:val="24"/>
          <w:szCs w:val="24"/>
        </w:rPr>
        <w:t>). The mid-salinity treatment groups (T1 and T2) maintained intermediate levels, while the control group (C1, 35 ppt) presented stable, baseline values throughout the entire 60-day experimental timeline.</w:t>
      </w:r>
    </w:p>
    <w:p w14:paraId="091B8348" w14:textId="77777777" w:rsidR="00BF2373" w:rsidRPr="00E301E4" w:rsidRDefault="00BF2373" w:rsidP="00BF2373">
      <w:pPr>
        <w:spacing w:line="360" w:lineRule="auto"/>
        <w:jc w:val="both"/>
        <w:rPr>
          <w:rFonts w:ascii="Times New Roman" w:hAnsi="Times New Roman" w:cs="Times New Roman"/>
          <w:noProof/>
          <w:sz w:val="24"/>
          <w:szCs w:val="24"/>
        </w:rPr>
      </w:pPr>
      <w:r w:rsidRPr="00E301E4">
        <w:rPr>
          <w:rFonts w:ascii="Times New Roman" w:hAnsi="Times New Roman" w:cs="Times New Roman"/>
          <w:noProof/>
          <w:sz w:val="24"/>
          <w:szCs w:val="24"/>
        </w:rPr>
        <w:drawing>
          <wp:inline distT="0" distB="0" distL="0" distR="0" wp14:anchorId="2F6279BC" wp14:editId="77D5BD3A">
            <wp:extent cx="4572000" cy="2339340"/>
            <wp:effectExtent l="0" t="0" r="0" b="3810"/>
            <wp:docPr id="1543775216" name="Chart 1">
              <a:extLst xmlns:a="http://schemas.openxmlformats.org/drawingml/2006/main">
                <a:ext uri="{FF2B5EF4-FFF2-40B4-BE49-F238E27FC236}">
                  <a16:creationId xmlns:a16="http://schemas.microsoft.com/office/drawing/2014/main" id="{75AAC378-4A97-7B67-BE75-A268FE29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8811A2" w14:textId="49E51A0B" w:rsidR="00BF2373" w:rsidRPr="00DF19CD"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13</w:t>
      </w:r>
      <w:r w:rsidRPr="00E301E4">
        <w:rPr>
          <w:rFonts w:ascii="Times New Roman" w:hAnsi="Times New Roman" w:cs="Times New Roman"/>
          <w:b/>
          <w:color w:val="000000" w:themeColor="text1"/>
          <w:sz w:val="24"/>
          <w:szCs w:val="24"/>
          <w:lang w:val="en-GB"/>
        </w:rPr>
        <w:t xml:space="preserve"> </w:t>
      </w:r>
      <w:r w:rsidR="00DF19CD" w:rsidRPr="00DF19CD">
        <w:rPr>
          <w:rFonts w:ascii="Times New Roman" w:hAnsi="Times New Roman" w:cs="Times New Roman"/>
          <w:b/>
          <w:color w:val="000000" w:themeColor="text1"/>
          <w:sz w:val="24"/>
          <w:szCs w:val="24"/>
        </w:rPr>
        <w:t>Hepatic superoxide dismutase (SOD) activity (</w:t>
      </w:r>
      <m:oMath>
        <m:sSup>
          <m:sSupPr>
            <m:ctrlPr>
              <w:rPr>
                <w:rFonts w:ascii="Cambria Math" w:hAnsi="Cambria Math" w:cs="Times New Roman"/>
                <w:b/>
                <w:color w:val="000000" w:themeColor="text1"/>
                <w:sz w:val="24"/>
                <w:szCs w:val="24"/>
              </w:rPr>
            </m:ctrlPr>
          </m:sSupPr>
          <m:e>
            <m:r>
              <m:rPr>
                <m:nor/>
              </m:rPr>
              <w:rPr>
                <w:rFonts w:ascii="Times New Roman" w:hAnsi="Times New Roman" w:cs="Times New Roman"/>
                <w:b/>
                <w:color w:val="000000" w:themeColor="text1"/>
                <w:sz w:val="24"/>
                <w:szCs w:val="24"/>
              </w:rPr>
              <m:t>U mg</m:t>
            </m:r>
          </m:e>
          <m:sup>
            <m:r>
              <m:rPr>
                <m:sty m:val="bi"/>
              </m:rPr>
              <w:rPr>
                <w:rFonts w:ascii="Cambria Math" w:hAnsi="Cambria Math" w:cs="Times New Roman"/>
                <w:color w:val="000000" w:themeColor="text1"/>
                <w:sz w:val="24"/>
                <w:szCs w:val="24"/>
              </w:rPr>
              <m:t>-1</m:t>
            </m:r>
          </m:sup>
        </m:sSup>
        <m:r>
          <m:rPr>
            <m:nor/>
          </m:rPr>
          <w:rPr>
            <w:rFonts w:ascii="Times New Roman" w:hAnsi="Times New Roman" w:cs="Times New Roman"/>
            <w:b/>
            <w:color w:val="000000" w:themeColor="text1"/>
            <w:sz w:val="24"/>
            <w:szCs w:val="24"/>
          </w:rPr>
          <m:t> protein</m:t>
        </m:r>
      </m:oMath>
      <w:r w:rsidR="00DF19CD" w:rsidRPr="00DF19CD">
        <w:rPr>
          <w:rFonts w:ascii="Times New Roman" w:hAnsi="Times New Roman" w:cs="Times New Roman"/>
          <w:b/>
          <w:color w:val="000000" w:themeColor="text1"/>
          <w:sz w:val="24"/>
          <w:szCs w:val="24"/>
        </w:rPr>
        <w:t>) of silver pompano (</w:t>
      </w:r>
      <w:r w:rsidR="00DF19CD" w:rsidRPr="00DF19CD">
        <w:rPr>
          <w:rFonts w:ascii="Times New Roman" w:hAnsi="Times New Roman" w:cs="Times New Roman"/>
          <w:b/>
          <w:i/>
          <w:iCs/>
          <w:color w:val="000000" w:themeColor="text1"/>
          <w:sz w:val="24"/>
          <w:szCs w:val="24"/>
        </w:rPr>
        <w:t>Trachinotus blochii</w:t>
      </w:r>
      <w:r w:rsidR="00DF19CD" w:rsidRPr="00DF19CD">
        <w:rPr>
          <w:rFonts w:ascii="Times New Roman" w:hAnsi="Times New Roman" w:cs="Times New Roman"/>
          <w:b/>
          <w:color w:val="000000" w:themeColor="text1"/>
          <w:sz w:val="24"/>
          <w:szCs w:val="24"/>
        </w:rPr>
        <w:t>) subjected to different salinity levels on Day 10, Day 30, and Day 60.</w:t>
      </w:r>
    </w:p>
    <w:p w14:paraId="2C0F5487" w14:textId="77777777" w:rsidR="00DF19CD" w:rsidRPr="00DF19CD" w:rsidRDefault="00DF19CD" w:rsidP="00D8600A">
      <w:pPr>
        <w:spacing w:line="276" w:lineRule="auto"/>
        <w:jc w:val="both"/>
        <w:rPr>
          <w:rFonts w:ascii="Times New Roman" w:hAnsi="Times New Roman" w:cs="Times New Roman"/>
          <w:b/>
          <w:bCs/>
          <w:sz w:val="24"/>
          <w:szCs w:val="24"/>
        </w:rPr>
      </w:pPr>
      <w:r w:rsidRPr="00DF19CD">
        <w:rPr>
          <w:rFonts w:ascii="Times New Roman" w:hAnsi="Times New Roman" w:cs="Times New Roman"/>
          <w:b/>
          <w:bCs/>
          <w:sz w:val="24"/>
          <w:szCs w:val="24"/>
        </w:rPr>
        <w:t>Glutathione Peroxidase (GPx) Activity</w:t>
      </w:r>
    </w:p>
    <w:p w14:paraId="38C76C96" w14:textId="23A943EF" w:rsidR="00DF19CD" w:rsidRPr="00DF19CD" w:rsidRDefault="00DF19CD" w:rsidP="00DF19CD">
      <w:pPr>
        <w:spacing w:line="276" w:lineRule="auto"/>
        <w:jc w:val="both"/>
        <w:rPr>
          <w:rFonts w:ascii="Times New Roman" w:hAnsi="Times New Roman" w:cs="Times New Roman"/>
          <w:sz w:val="24"/>
          <w:szCs w:val="24"/>
        </w:rPr>
      </w:pPr>
      <w:r w:rsidRPr="00DF19CD">
        <w:rPr>
          <w:rFonts w:ascii="Times New Roman" w:hAnsi="Times New Roman" w:cs="Times New Roman"/>
          <w:sz w:val="24"/>
          <w:szCs w:val="24"/>
        </w:rPr>
        <w:t>The temporal and treatment-specific variations in hepatic glutathione peroxidase (GPx) activity are illustrated in Figure 1.14. Hepatic GPx activity showed a distinct, significant up-regulation as environmental salinity levels decreased (</w:t>
      </w:r>
      <m:oMath>
        <m:r>
          <w:rPr>
            <w:rFonts w:ascii="Cambria Math" w:hAnsi="Cambria Math" w:cs="Times New Roman"/>
            <w:sz w:val="24"/>
            <w:szCs w:val="24"/>
          </w:rPr>
          <m:t>p&lt;0.05</m:t>
        </m:r>
      </m:oMath>
      <w:r w:rsidRPr="00DF19CD">
        <w:rPr>
          <w:rFonts w:ascii="Times New Roman" w:hAnsi="Times New Roman" w:cs="Times New Roman"/>
          <w:sz w:val="24"/>
          <w:szCs w:val="24"/>
        </w:rPr>
        <w:t>). On Day 10, the lowest salinity group (T3, 5 ppt) exhibited a notable acute peak in activity compared to all other groups. By Day 30 and Day 60, while the values in T3 remained higher than the baseline control group (C1, 35 ppt), an overall time-dependent stabilization was observed across all treatments, with the mid-range salinities (T1 and T2) maintaining intermediate values throughout the trial.</w:t>
      </w:r>
    </w:p>
    <w:p w14:paraId="39936A65" w14:textId="0E5AC328" w:rsidR="00BF2373" w:rsidRPr="00E301E4" w:rsidRDefault="00BF2373" w:rsidP="00D8600A">
      <w:pPr>
        <w:spacing w:line="276" w:lineRule="auto"/>
        <w:jc w:val="both"/>
        <w:rPr>
          <w:rFonts w:ascii="Times New Roman" w:hAnsi="Times New Roman" w:cs="Times New Roman"/>
          <w:sz w:val="24"/>
          <w:szCs w:val="24"/>
        </w:rPr>
      </w:pPr>
    </w:p>
    <w:p w14:paraId="676581FA" w14:textId="47F87E59" w:rsidR="00BF2373" w:rsidRPr="00E301E4" w:rsidRDefault="008E4D0F"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3CFF30D9" wp14:editId="67783057">
            <wp:simplePos x="0" y="0"/>
            <wp:positionH relativeFrom="column">
              <wp:posOffset>502920</wp:posOffset>
            </wp:positionH>
            <wp:positionV relativeFrom="paragraph">
              <wp:posOffset>8255</wp:posOffset>
            </wp:positionV>
            <wp:extent cx="4572000" cy="2743200"/>
            <wp:effectExtent l="0" t="0" r="0" b="0"/>
            <wp:wrapSquare wrapText="bothSides"/>
            <wp:docPr id="10740236" name="Chart 1">
              <a:extLst xmlns:a="http://schemas.openxmlformats.org/drawingml/2006/main">
                <a:ext uri="{FF2B5EF4-FFF2-40B4-BE49-F238E27FC236}">
                  <a16:creationId xmlns:a16="http://schemas.microsoft.com/office/drawing/2014/main" id="{29D30B56-E6D9-0F78-34BA-C38ED8025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3C383321" w14:textId="0EB5A889" w:rsidR="00BF2373" w:rsidRPr="00E301E4" w:rsidRDefault="00BF2373" w:rsidP="00BF2373">
      <w:pPr>
        <w:spacing w:line="360" w:lineRule="auto"/>
        <w:jc w:val="both"/>
        <w:rPr>
          <w:rFonts w:ascii="Times New Roman" w:hAnsi="Times New Roman" w:cs="Times New Roman"/>
          <w:sz w:val="24"/>
          <w:szCs w:val="24"/>
        </w:rPr>
      </w:pPr>
    </w:p>
    <w:p w14:paraId="530E54A0" w14:textId="1E3160E6" w:rsidR="00BF2373" w:rsidRPr="00E301E4" w:rsidRDefault="00BF2373" w:rsidP="00BF2373">
      <w:pPr>
        <w:spacing w:line="360" w:lineRule="auto"/>
        <w:jc w:val="both"/>
        <w:rPr>
          <w:rFonts w:ascii="Times New Roman" w:hAnsi="Times New Roman" w:cs="Times New Roman"/>
          <w:sz w:val="24"/>
          <w:szCs w:val="24"/>
        </w:rPr>
      </w:pPr>
    </w:p>
    <w:p w14:paraId="67D15D95" w14:textId="77777777" w:rsidR="00BF2373" w:rsidRPr="00E301E4" w:rsidRDefault="00BF2373" w:rsidP="00BF2373">
      <w:pPr>
        <w:spacing w:line="360" w:lineRule="auto"/>
        <w:jc w:val="both"/>
        <w:rPr>
          <w:rFonts w:ascii="Times New Roman" w:hAnsi="Times New Roman" w:cs="Times New Roman"/>
          <w:sz w:val="24"/>
          <w:szCs w:val="24"/>
        </w:rPr>
      </w:pPr>
    </w:p>
    <w:p w14:paraId="660006B3" w14:textId="77777777" w:rsidR="00BF2373" w:rsidRPr="00E301E4" w:rsidRDefault="00BF2373" w:rsidP="00BF2373">
      <w:pPr>
        <w:spacing w:line="360" w:lineRule="auto"/>
        <w:jc w:val="both"/>
        <w:rPr>
          <w:rFonts w:ascii="Times New Roman" w:hAnsi="Times New Roman" w:cs="Times New Roman"/>
          <w:sz w:val="24"/>
          <w:szCs w:val="24"/>
        </w:rPr>
      </w:pPr>
    </w:p>
    <w:p w14:paraId="2A0DFE9C" w14:textId="77777777" w:rsidR="00BF2373" w:rsidRPr="00E301E4" w:rsidRDefault="00BF2373" w:rsidP="00BF2373">
      <w:pPr>
        <w:spacing w:line="360" w:lineRule="auto"/>
        <w:jc w:val="both"/>
        <w:rPr>
          <w:rFonts w:ascii="Times New Roman" w:hAnsi="Times New Roman" w:cs="Times New Roman"/>
          <w:sz w:val="24"/>
          <w:szCs w:val="24"/>
        </w:rPr>
      </w:pPr>
    </w:p>
    <w:p w14:paraId="75ED6AA1" w14:textId="77777777" w:rsidR="00BF2373" w:rsidRPr="00E301E4" w:rsidRDefault="00BF2373" w:rsidP="00BF2373">
      <w:pPr>
        <w:spacing w:line="360" w:lineRule="auto"/>
        <w:jc w:val="both"/>
        <w:rPr>
          <w:rFonts w:ascii="Times New Roman" w:hAnsi="Times New Roman" w:cs="Times New Roman"/>
          <w:sz w:val="24"/>
          <w:szCs w:val="24"/>
        </w:rPr>
      </w:pPr>
    </w:p>
    <w:p w14:paraId="30209907" w14:textId="77777777" w:rsidR="00BF2373" w:rsidRPr="00E301E4" w:rsidRDefault="00BF2373" w:rsidP="00BF2373">
      <w:pPr>
        <w:spacing w:line="360" w:lineRule="auto"/>
        <w:jc w:val="both"/>
        <w:rPr>
          <w:rFonts w:ascii="Times New Roman" w:hAnsi="Times New Roman" w:cs="Times New Roman"/>
          <w:sz w:val="24"/>
          <w:szCs w:val="24"/>
        </w:rPr>
      </w:pPr>
    </w:p>
    <w:p w14:paraId="46A5DED9" w14:textId="52B3BB87" w:rsidR="00BF2373" w:rsidRPr="00DF19CD"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14</w:t>
      </w:r>
      <w:r w:rsidRPr="00E301E4">
        <w:rPr>
          <w:rFonts w:ascii="Times New Roman" w:hAnsi="Times New Roman" w:cs="Times New Roman"/>
          <w:b/>
          <w:color w:val="000000" w:themeColor="text1"/>
          <w:sz w:val="24"/>
          <w:szCs w:val="24"/>
          <w:lang w:val="en-GB"/>
        </w:rPr>
        <w:t xml:space="preserve"> </w:t>
      </w:r>
      <w:r w:rsidR="00DF19CD" w:rsidRPr="00DF19CD">
        <w:rPr>
          <w:rFonts w:ascii="Times New Roman" w:hAnsi="Times New Roman" w:cs="Times New Roman"/>
          <w:b/>
          <w:color w:val="000000" w:themeColor="text1"/>
          <w:sz w:val="24"/>
          <w:szCs w:val="24"/>
        </w:rPr>
        <w:t>Figure 14. Hepatic glutathione peroxidase (GPx) activity (</w:t>
      </w:r>
      <m:oMath>
        <m:sSup>
          <m:sSupPr>
            <m:ctrlPr>
              <w:rPr>
                <w:rFonts w:ascii="Cambria Math" w:hAnsi="Cambria Math" w:cs="Times New Roman"/>
                <w:b/>
                <w:color w:val="000000" w:themeColor="text1"/>
                <w:sz w:val="24"/>
                <w:szCs w:val="24"/>
              </w:rPr>
            </m:ctrlPr>
          </m:sSupPr>
          <m:e>
            <m:r>
              <m:rPr>
                <m:nor/>
              </m:rPr>
              <w:rPr>
                <w:rFonts w:ascii="Times New Roman" w:hAnsi="Times New Roman" w:cs="Times New Roman"/>
                <w:b/>
                <w:color w:val="000000" w:themeColor="text1"/>
                <w:sz w:val="24"/>
                <w:szCs w:val="24"/>
              </w:rPr>
              <m:t>U mg</m:t>
            </m:r>
          </m:e>
          <m:sup>
            <m:r>
              <m:rPr>
                <m:sty m:val="bi"/>
              </m:rPr>
              <w:rPr>
                <w:rFonts w:ascii="Cambria Math" w:hAnsi="Cambria Math" w:cs="Times New Roman"/>
                <w:color w:val="000000" w:themeColor="text1"/>
                <w:sz w:val="24"/>
                <w:szCs w:val="24"/>
              </w:rPr>
              <m:t>-1</m:t>
            </m:r>
          </m:sup>
        </m:sSup>
        <m:r>
          <m:rPr>
            <m:nor/>
          </m:rPr>
          <w:rPr>
            <w:rFonts w:ascii="Times New Roman" w:hAnsi="Times New Roman" w:cs="Times New Roman"/>
            <w:b/>
            <w:color w:val="000000" w:themeColor="text1"/>
            <w:sz w:val="24"/>
            <w:szCs w:val="24"/>
          </w:rPr>
          <m:t> protein</m:t>
        </m:r>
      </m:oMath>
      <w:r w:rsidR="00DF19CD" w:rsidRPr="00DF19CD">
        <w:rPr>
          <w:rFonts w:ascii="Times New Roman" w:hAnsi="Times New Roman" w:cs="Times New Roman"/>
          <w:b/>
          <w:color w:val="000000" w:themeColor="text1"/>
          <w:sz w:val="24"/>
          <w:szCs w:val="24"/>
        </w:rPr>
        <w:t>) of silver pompano (</w:t>
      </w:r>
      <w:r w:rsidR="00DF19CD" w:rsidRPr="00DF19CD">
        <w:rPr>
          <w:rFonts w:ascii="Times New Roman" w:hAnsi="Times New Roman" w:cs="Times New Roman"/>
          <w:b/>
          <w:i/>
          <w:iCs/>
          <w:color w:val="000000" w:themeColor="text1"/>
          <w:sz w:val="24"/>
          <w:szCs w:val="24"/>
        </w:rPr>
        <w:t>Trachinotus blochii</w:t>
      </w:r>
      <w:r w:rsidR="00DF19CD" w:rsidRPr="00DF19CD">
        <w:rPr>
          <w:rFonts w:ascii="Times New Roman" w:hAnsi="Times New Roman" w:cs="Times New Roman"/>
          <w:b/>
          <w:color w:val="000000" w:themeColor="text1"/>
          <w:sz w:val="24"/>
          <w:szCs w:val="24"/>
        </w:rPr>
        <w:t>) subjected to different salinity levels on Day 10, Day 30, and Day 60.</w:t>
      </w:r>
    </w:p>
    <w:p w14:paraId="76923C5E" w14:textId="77777777" w:rsidR="00974010" w:rsidRPr="00E301E4" w:rsidRDefault="00974010" w:rsidP="00D8600A">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Discussion</w:t>
      </w:r>
    </w:p>
    <w:p w14:paraId="582ECE8B" w14:textId="6F329116" w:rsidR="00DF19CD" w:rsidRPr="00DF19CD" w:rsidRDefault="00757593" w:rsidP="00DF19CD">
      <w:pPr>
        <w:pStyle w:val="BodyText"/>
        <w:spacing w:line="276" w:lineRule="auto"/>
        <w:jc w:val="both"/>
        <w:rPr>
          <w:rFonts w:ascii="Times New Roman" w:hAnsi="Times New Roman" w:cs="Times New Roman"/>
          <w:color w:val="000000" w:themeColor="text1"/>
          <w:lang w:val="en-IN"/>
        </w:rPr>
      </w:pPr>
      <w:r w:rsidRPr="00757593">
        <w:rPr>
          <w:rFonts w:ascii="Times New Roman" w:hAnsi="Times New Roman" w:cs="Times New Roman"/>
          <w:color w:val="000000" w:themeColor="text1"/>
          <w:lang w:val="en-IN"/>
        </w:rPr>
        <w:t xml:space="preserve">The present study </w:t>
      </w:r>
      <w:r w:rsidR="00812337">
        <w:rPr>
          <w:rFonts w:ascii="Times New Roman" w:hAnsi="Times New Roman" w:cs="Times New Roman"/>
          <w:color w:val="000000" w:themeColor="text1"/>
          <w:lang w:val="en-IN"/>
        </w:rPr>
        <w:t xml:space="preserve">investigated </w:t>
      </w:r>
      <w:r w:rsidRPr="00757593">
        <w:rPr>
          <w:rFonts w:ascii="Times New Roman" w:hAnsi="Times New Roman" w:cs="Times New Roman"/>
          <w:color w:val="000000" w:themeColor="text1"/>
          <w:lang w:val="en-IN"/>
        </w:rPr>
        <w:t>the combined effects of salinity and periphyton-based culture on the growth performance, osmoregulatory responses, stress physiology, and histopathology of juvenile silver pompano (</w:t>
      </w:r>
      <w:r w:rsidRPr="00757593">
        <w:rPr>
          <w:rFonts w:ascii="Times New Roman" w:hAnsi="Times New Roman" w:cs="Times New Roman"/>
          <w:i/>
          <w:iCs/>
          <w:color w:val="000000" w:themeColor="text1"/>
          <w:lang w:val="en-IN"/>
        </w:rPr>
        <w:t>Trachinotus blochii</w:t>
      </w:r>
      <w:r w:rsidRPr="00757593">
        <w:rPr>
          <w:rFonts w:ascii="Times New Roman" w:hAnsi="Times New Roman" w:cs="Times New Roman"/>
          <w:color w:val="000000" w:themeColor="text1"/>
          <w:lang w:val="en-IN"/>
        </w:rPr>
        <w:t xml:space="preserve">). Fish reared at 15 ppt exhibited significantly higher survival (95.24 ± 2.35%), final body weight (15.30 ± 0.97 g), and total length (12.60 ± 0.10 cm) than those reared at other salinity levels. The improved performance at 15 ppt can be attributed to reduced osmoregulatory energy expenditure under near-isosmotic conditions. Furthermore, the periphyton developed on the split bamboo substrates likely provided supplementary natural food, enhanced microbial productivity, and contributed to a better culture environment, thereby supporting improved growth and survival. These findings indicate that the combined effects of suitable salinity and periphyton-based culture can improve nursery performance in juvenile silver pompano. </w:t>
      </w:r>
      <w:r w:rsidR="00D3643B" w:rsidRPr="00D3643B">
        <w:rPr>
          <w:rFonts w:ascii="Times New Roman" w:hAnsi="Times New Roman" w:cs="Times New Roman"/>
          <w:color w:val="000000" w:themeColor="text1"/>
          <w:lang w:val="en-IN"/>
        </w:rPr>
        <w:t xml:space="preserve">Furthermore, the periphyton developed on the split bamboo substrates likely provided supplementary natural food, enhanced microbial productivity, and contributed to a better culture environment, thereby supporting improved growth and survival. </w:t>
      </w:r>
      <w:r w:rsidR="00507462" w:rsidRPr="00507462">
        <w:rPr>
          <w:rFonts w:ascii="Times New Roman" w:hAnsi="Times New Roman" w:cs="Times New Roman"/>
          <w:color w:val="000000" w:themeColor="text1"/>
          <w:lang w:val="en-IN"/>
        </w:rPr>
        <w:t>Similar benefits of periphyton-based culture systems have been reported by Azim et al. (2001) and Dutta et al. (2018).</w:t>
      </w:r>
    </w:p>
    <w:p w14:paraId="4AFC57C2" w14:textId="72694800" w:rsidR="00974010" w:rsidRPr="00E301E4" w:rsidRDefault="00974010" w:rsidP="00D8600A">
      <w:pPr>
        <w:pStyle w:val="BodyText"/>
        <w:spacing w:line="276" w:lineRule="auto"/>
        <w:jc w:val="both"/>
        <w:rPr>
          <w:rFonts w:ascii="Times New Roman" w:hAnsi="Times New Roman" w:cs="Times New Roman"/>
          <w:b/>
          <w:bCs/>
          <w:color w:val="000000" w:themeColor="text1"/>
        </w:rPr>
      </w:pPr>
      <w:r w:rsidRPr="00E301E4">
        <w:rPr>
          <w:rFonts w:ascii="Times New Roman" w:hAnsi="Times New Roman" w:cs="Times New Roman"/>
          <w:b/>
          <w:bCs/>
          <w:color w:val="000000" w:themeColor="text1"/>
        </w:rPr>
        <w:t>Assessment of the impact of salinity acclimatization</w:t>
      </w:r>
      <w:r w:rsidR="006C19D0" w:rsidRPr="00E301E4">
        <w:rPr>
          <w:rFonts w:ascii="Times New Roman" w:hAnsi="Times New Roman" w:cs="Times New Roman"/>
          <w:b/>
          <w:bCs/>
          <w:color w:val="000000" w:themeColor="text1"/>
        </w:rPr>
        <w:t xml:space="preserve"> </w:t>
      </w:r>
      <w:r w:rsidRPr="00E301E4">
        <w:rPr>
          <w:rFonts w:ascii="Times New Roman" w:hAnsi="Times New Roman" w:cs="Times New Roman"/>
          <w:b/>
          <w:bCs/>
          <w:color w:val="000000" w:themeColor="text1"/>
        </w:rPr>
        <w:t xml:space="preserve">in </w:t>
      </w:r>
      <w:r w:rsidRPr="00E301E4">
        <w:rPr>
          <w:rFonts w:ascii="Times New Roman" w:hAnsi="Times New Roman" w:cs="Times New Roman"/>
          <w:b/>
          <w:bCs/>
          <w:i/>
          <w:iCs/>
          <w:color w:val="000000" w:themeColor="text1"/>
        </w:rPr>
        <w:t>T. blochii</w:t>
      </w:r>
    </w:p>
    <w:p w14:paraId="238A0973" w14:textId="059FCE2F" w:rsidR="00DF19CD" w:rsidRDefault="00DF19CD" w:rsidP="00D8600A">
      <w:pPr>
        <w:pStyle w:val="BodyText"/>
        <w:spacing w:line="276" w:lineRule="auto"/>
        <w:jc w:val="both"/>
        <w:rPr>
          <w:rFonts w:ascii="Times New Roman" w:hAnsi="Times New Roman" w:cs="Times New Roman"/>
          <w:color w:val="000000" w:themeColor="text1"/>
          <w:lang w:val="en-IN"/>
        </w:rPr>
      </w:pPr>
      <w:r w:rsidRPr="00DF19CD">
        <w:rPr>
          <w:rFonts w:ascii="Times New Roman" w:hAnsi="Times New Roman" w:cs="Times New Roman"/>
          <w:color w:val="000000" w:themeColor="text1"/>
          <w:lang w:val="en-IN"/>
        </w:rPr>
        <w:t xml:space="preserve">The experimental outcomes indicate that juvenile </w:t>
      </w:r>
      <w:r w:rsidRPr="00DF19CD">
        <w:rPr>
          <w:rFonts w:ascii="Times New Roman" w:hAnsi="Times New Roman" w:cs="Times New Roman"/>
          <w:i/>
          <w:iCs/>
          <w:color w:val="000000" w:themeColor="text1"/>
          <w:lang w:val="en-IN"/>
        </w:rPr>
        <w:t>T. blochii</w:t>
      </w:r>
      <w:r w:rsidRPr="00DF19CD">
        <w:rPr>
          <w:rFonts w:ascii="Times New Roman" w:hAnsi="Times New Roman" w:cs="Times New Roman"/>
          <w:color w:val="000000" w:themeColor="text1"/>
          <w:lang w:val="en-IN"/>
        </w:rPr>
        <w:t xml:space="preserve"> acclimate to environmental salinities ranging from </w:t>
      </w:r>
      <w:r w:rsidR="00D3643B">
        <w:rPr>
          <w:rFonts w:ascii="Times New Roman" w:hAnsi="Times New Roman" w:cs="Times New Roman"/>
          <w:color w:val="000000" w:themeColor="text1"/>
          <w:lang w:val="en-IN"/>
        </w:rPr>
        <w:t>seawater salinity</w:t>
      </w:r>
      <w:r w:rsidRPr="00DF19CD">
        <w:rPr>
          <w:rFonts w:ascii="Times New Roman" w:hAnsi="Times New Roman" w:cs="Times New Roman"/>
          <w:color w:val="000000" w:themeColor="text1"/>
          <w:lang w:val="en-IN"/>
        </w:rPr>
        <w:t xml:space="preserve"> (35 ppt) down to severe hypoosmotic (5 ppt) conditions, provided progressive acclimation protocols are enforced. As a teleost species of marine origin, silver pompano are evolutionar</w:t>
      </w:r>
      <w:r w:rsidR="00D3643B">
        <w:rPr>
          <w:rFonts w:ascii="Times New Roman" w:hAnsi="Times New Roman" w:cs="Times New Roman"/>
          <w:color w:val="000000" w:themeColor="text1"/>
          <w:lang w:val="en-IN"/>
        </w:rPr>
        <w:t>il</w:t>
      </w:r>
      <w:r w:rsidRPr="00DF19CD">
        <w:rPr>
          <w:rFonts w:ascii="Times New Roman" w:hAnsi="Times New Roman" w:cs="Times New Roman"/>
          <w:color w:val="000000" w:themeColor="text1"/>
          <w:lang w:val="en-IN"/>
        </w:rPr>
        <w:t xml:space="preserve">y </w:t>
      </w:r>
      <w:r w:rsidR="00D3643B">
        <w:rPr>
          <w:rFonts w:ascii="Times New Roman" w:hAnsi="Times New Roman" w:cs="Times New Roman"/>
          <w:color w:val="000000" w:themeColor="text1"/>
          <w:lang w:val="en-IN"/>
        </w:rPr>
        <w:t>adapted</w:t>
      </w:r>
      <w:r w:rsidRPr="00DF19CD">
        <w:rPr>
          <w:rFonts w:ascii="Times New Roman" w:hAnsi="Times New Roman" w:cs="Times New Roman"/>
          <w:color w:val="000000" w:themeColor="text1"/>
          <w:lang w:val="en-IN"/>
        </w:rPr>
        <w:t xml:space="preserve"> for hyperosmotic medium maintenance; consequently, moving them into extreme hypoosmotic settings (such as 5 ppt) challenges their homeostatic systems with passive ion loss and </w:t>
      </w:r>
      <w:r w:rsidR="00D3643B">
        <w:rPr>
          <w:rFonts w:ascii="Times New Roman" w:hAnsi="Times New Roman" w:cs="Times New Roman"/>
          <w:color w:val="000000" w:themeColor="text1"/>
          <w:lang w:val="en-IN"/>
        </w:rPr>
        <w:t xml:space="preserve">excessive </w:t>
      </w:r>
      <w:r w:rsidRPr="00DF19CD">
        <w:rPr>
          <w:rFonts w:ascii="Times New Roman" w:hAnsi="Times New Roman" w:cs="Times New Roman"/>
          <w:color w:val="000000" w:themeColor="text1"/>
          <w:lang w:val="en-IN"/>
        </w:rPr>
        <w:t xml:space="preserve">water influx. This physiological strain explains the severe elevations in plasma cortisol and glucose observed in the 5 ppt (T3) treatment group within this study. However, the absence of acute mortality and </w:t>
      </w:r>
      <w:r w:rsidRPr="00DF19CD">
        <w:rPr>
          <w:rFonts w:ascii="Times New Roman" w:hAnsi="Times New Roman" w:cs="Times New Roman"/>
          <w:color w:val="000000" w:themeColor="text1"/>
          <w:lang w:val="en-IN"/>
        </w:rPr>
        <w:lastRenderedPageBreak/>
        <w:t xml:space="preserve">the stabilizing trends seen in antioxidant defenses over the 60-day trial imply that the species can </w:t>
      </w:r>
      <w:r w:rsidR="00D3643B">
        <w:rPr>
          <w:rFonts w:ascii="Times New Roman" w:hAnsi="Times New Roman" w:cs="Times New Roman"/>
          <w:color w:val="000000" w:themeColor="text1"/>
          <w:lang w:val="en-IN"/>
        </w:rPr>
        <w:t xml:space="preserve">reduce </w:t>
      </w:r>
      <w:r w:rsidRPr="00DF19CD">
        <w:rPr>
          <w:rFonts w:ascii="Times New Roman" w:hAnsi="Times New Roman" w:cs="Times New Roman"/>
          <w:color w:val="000000" w:themeColor="text1"/>
          <w:lang w:val="en-IN"/>
        </w:rPr>
        <w:t xml:space="preserve">long-term </w:t>
      </w:r>
      <w:r w:rsidR="00D3643B">
        <w:rPr>
          <w:rFonts w:ascii="Times New Roman" w:hAnsi="Times New Roman" w:cs="Times New Roman"/>
          <w:color w:val="000000" w:themeColor="text1"/>
          <w:lang w:val="en-IN"/>
        </w:rPr>
        <w:t xml:space="preserve">cellular </w:t>
      </w:r>
      <w:r w:rsidRPr="00DF19CD">
        <w:rPr>
          <w:rFonts w:ascii="Times New Roman" w:hAnsi="Times New Roman" w:cs="Times New Roman"/>
          <w:color w:val="000000" w:themeColor="text1"/>
          <w:lang w:val="en-IN"/>
        </w:rPr>
        <w:t xml:space="preserve">damage </w:t>
      </w:r>
      <w:r w:rsidR="00D3643B">
        <w:rPr>
          <w:rFonts w:ascii="Times New Roman" w:hAnsi="Times New Roman" w:cs="Times New Roman"/>
          <w:color w:val="000000" w:themeColor="text1"/>
          <w:lang w:val="en-IN"/>
        </w:rPr>
        <w:t>through</w:t>
      </w:r>
      <w:r w:rsidRPr="00DF19CD">
        <w:rPr>
          <w:rFonts w:ascii="Times New Roman" w:hAnsi="Times New Roman" w:cs="Times New Roman"/>
          <w:color w:val="000000" w:themeColor="text1"/>
          <w:lang w:val="en-IN"/>
        </w:rPr>
        <w:t xml:space="preserve"> </w:t>
      </w:r>
      <w:r w:rsidR="00D3643B">
        <w:rPr>
          <w:rFonts w:ascii="Times New Roman" w:hAnsi="Times New Roman" w:cs="Times New Roman"/>
          <w:color w:val="000000" w:themeColor="text1"/>
          <w:lang w:val="en-IN"/>
        </w:rPr>
        <w:t>physiological adaptation.</w:t>
      </w:r>
    </w:p>
    <w:p w14:paraId="1CE00570" w14:textId="36CD118C" w:rsidR="00E12026" w:rsidRPr="00E12026" w:rsidRDefault="00E12026" w:rsidP="00E12026">
      <w:pPr>
        <w:pStyle w:val="BodyText"/>
        <w:spacing w:line="276" w:lineRule="auto"/>
        <w:jc w:val="both"/>
        <w:rPr>
          <w:rFonts w:ascii="Times New Roman" w:hAnsi="Times New Roman" w:cs="Times New Roman"/>
          <w:lang w:val="en-IN"/>
        </w:rPr>
      </w:pPr>
      <w:r w:rsidRPr="00E12026">
        <w:rPr>
          <w:rFonts w:ascii="Times New Roman" w:hAnsi="Times New Roman" w:cs="Times New Roman"/>
          <w:lang w:val="en-IN"/>
        </w:rPr>
        <w:t xml:space="preserve">These outcomes align with previous investigations by Pillai et al. (2011) and Sahu et al. (2013), which demonstrated that </w:t>
      </w:r>
      <w:r w:rsidRPr="00E12026">
        <w:rPr>
          <w:rFonts w:ascii="Times New Roman" w:hAnsi="Times New Roman" w:cs="Times New Roman"/>
          <w:i/>
          <w:iCs/>
          <w:lang w:val="en-IN"/>
        </w:rPr>
        <w:t>T. blochii</w:t>
      </w:r>
      <w:r w:rsidRPr="00E12026">
        <w:rPr>
          <w:rFonts w:ascii="Times New Roman" w:hAnsi="Times New Roman" w:cs="Times New Roman"/>
          <w:lang w:val="en-IN"/>
        </w:rPr>
        <w:t xml:space="preserve"> can sustain growth and high survival rates at reduced salinities (</w:t>
      </w:r>
      <m:oMath>
        <m:r>
          <w:rPr>
            <w:rFonts w:ascii="Cambria Math" w:hAnsi="Cambria Math" w:cs="Times New Roman"/>
            <w:lang w:val="en-IN"/>
          </w:rPr>
          <m:t>5</m:t>
        </m:r>
        <m:r>
          <m:rPr>
            <m:nor/>
          </m:rPr>
          <w:rPr>
            <w:rFonts w:ascii="Times New Roman" w:hAnsi="Times New Roman" w:cs="Times New Roman"/>
            <w:lang w:val="en-IN"/>
          </w:rPr>
          <m:t>–</m:t>
        </m:r>
        <m:r>
          <w:rPr>
            <w:rFonts w:ascii="Cambria Math" w:hAnsi="Cambria Math" w:cs="Times New Roman"/>
            <w:lang w:val="en-IN"/>
          </w:rPr>
          <m:t>10</m:t>
        </m:r>
        <m:r>
          <m:rPr>
            <m:nor/>
          </m:rPr>
          <w:rPr>
            <w:rFonts w:ascii="Times New Roman" w:hAnsi="Times New Roman" w:cs="Times New Roman"/>
            <w:lang w:val="en-IN"/>
          </w:rPr>
          <m:t> ppt</m:t>
        </m:r>
      </m:oMath>
      <w:r w:rsidRPr="00E12026">
        <w:rPr>
          <w:rFonts w:ascii="Times New Roman" w:hAnsi="Times New Roman" w:cs="Times New Roman"/>
          <w:lang w:val="en-IN"/>
        </w:rPr>
        <w:t xml:space="preserve">) when subjected to systemic, step-down acclimation regimes. </w:t>
      </w:r>
      <w:r w:rsidR="00D3643B" w:rsidRPr="00D3643B">
        <w:rPr>
          <w:rFonts w:ascii="Times New Roman" w:hAnsi="Times New Roman" w:cs="Times New Roman"/>
          <w:lang w:val="en-IN"/>
        </w:rPr>
        <w:t xml:space="preserve">The present findings further suggest that periphyton acted as a complementary component of the culture system by improving natural food availability and supporting fish performance under the optimal salinity treatment. </w:t>
      </w:r>
      <w:r w:rsidR="00EF0C27" w:rsidRPr="00EF0C27">
        <w:rPr>
          <w:rFonts w:ascii="Times New Roman" w:hAnsi="Times New Roman" w:cs="Times New Roman"/>
          <w:lang w:val="en-IN"/>
        </w:rPr>
        <w:t xml:space="preserve">Besides the direct effect of salinity, periphyton likely contributed to the enhanced performance of fish by providing a continuous source of natural food rich in proteins, lipids, vitamins, minerals, algae, bacteria, and other microorganisms. Periphyton also improves nutrient recycling and assists in maintaining water quality by utilizing dissolved nutrients. These combined benefits may have improved feed utilization and reduced environmental stress, thereby supporting the superior growth and survival observed in fish reared at 15 ppt. Although the present study did not quantify the independent contribution of periphyton, its presence probably complemented the favourable salinity conditions and enhanced overall production performance. Similar observations have been reported by Azim et al. (2001) and Dutta et al. (2018). </w:t>
      </w:r>
      <w:r w:rsidRPr="00E12026">
        <w:rPr>
          <w:rFonts w:ascii="Times New Roman" w:hAnsi="Times New Roman" w:cs="Times New Roman"/>
          <w:lang w:val="en-IN"/>
        </w:rPr>
        <w:t>Notably, the juvenile pompano evaluated in the present study exhibited enhanced physiological resilience at an intermediate salinity (</w:t>
      </w:r>
      <m:oMath>
        <m:r>
          <w:rPr>
            <w:rFonts w:ascii="Cambria Math" w:hAnsi="Cambria Math" w:cs="Times New Roman"/>
            <w:lang w:val="en-IN"/>
          </w:rPr>
          <m:t>15</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E12026">
        <w:rPr>
          <w:rFonts w:ascii="Times New Roman" w:hAnsi="Times New Roman" w:cs="Times New Roman"/>
          <w:lang w:val="en-IN"/>
        </w:rPr>
        <w:t>) compared to historical baselines established for related carangids (Sampaio et al., 2003). While individuals across all salinity cohorts (</w:t>
      </w:r>
      <m:oMath>
        <m:r>
          <w:rPr>
            <w:rFonts w:ascii="Cambria Math" w:hAnsi="Cambria Math" w:cs="Times New Roman"/>
            <w:lang w:val="en-IN"/>
          </w:rPr>
          <m:t>5</m:t>
        </m:r>
      </m:oMath>
      <w:r w:rsidRPr="00E12026">
        <w:rPr>
          <w:rFonts w:ascii="Times New Roman" w:hAnsi="Times New Roman" w:cs="Times New Roman"/>
          <w:lang w:val="en-IN"/>
        </w:rPr>
        <w:t xml:space="preserve">, </w:t>
      </w:r>
      <m:oMath>
        <m:r>
          <w:rPr>
            <w:rFonts w:ascii="Cambria Math" w:hAnsi="Cambria Math" w:cs="Times New Roman"/>
            <w:lang w:val="en-IN"/>
          </w:rPr>
          <m:t>15</m:t>
        </m:r>
      </m:oMath>
      <w:r w:rsidRPr="00E12026">
        <w:rPr>
          <w:rFonts w:ascii="Times New Roman" w:hAnsi="Times New Roman" w:cs="Times New Roman"/>
          <w:lang w:val="en-IN"/>
        </w:rPr>
        <w:t xml:space="preserve">, </w:t>
      </w:r>
      <m:oMath>
        <m:r>
          <w:rPr>
            <w:rFonts w:ascii="Cambria Math" w:hAnsi="Cambria Math" w:cs="Times New Roman"/>
            <w:lang w:val="en-IN"/>
          </w:rPr>
          <m:t>25</m:t>
        </m:r>
      </m:oMath>
      <w:r w:rsidRPr="00E12026">
        <w:rPr>
          <w:rFonts w:ascii="Times New Roman" w:hAnsi="Times New Roman" w:cs="Times New Roman"/>
          <w:lang w:val="en-IN"/>
        </w:rPr>
        <w:t xml:space="preserve">, and </w:t>
      </w:r>
      <m:oMath>
        <m:r>
          <w:rPr>
            <w:rFonts w:ascii="Cambria Math" w:hAnsi="Cambria Math" w:cs="Times New Roman"/>
            <w:lang w:val="en-IN"/>
          </w:rPr>
          <m:t>35</m:t>
        </m:r>
        <m:r>
          <m:rPr>
            <m:nor/>
          </m:rPr>
          <w:rPr>
            <w:rFonts w:ascii="Times New Roman" w:hAnsi="Times New Roman" w:cs="Times New Roman"/>
            <w:lang w:val="en-IN"/>
          </w:rPr>
          <m:t> ppt</m:t>
        </m:r>
      </m:oMath>
      <w:r w:rsidRPr="00E12026">
        <w:rPr>
          <w:rFonts w:ascii="Times New Roman" w:hAnsi="Times New Roman" w:cs="Times New Roman"/>
          <w:lang w:val="en-IN"/>
        </w:rPr>
        <w:t xml:space="preserve">) displayed uniform growth metrics during the initial experimental phases, environmental divergence became pronounced by the termination of the 60-day trial. At day 60, the </w:t>
      </w:r>
      <m:oMath>
        <m:r>
          <w:rPr>
            <w:rFonts w:ascii="Cambria Math" w:hAnsi="Cambria Math" w:cs="Times New Roman"/>
            <w:lang w:val="en-IN"/>
          </w:rPr>
          <m:t>15</m:t>
        </m:r>
        <m:r>
          <m:rPr>
            <m:nor/>
          </m:rPr>
          <w:rPr>
            <w:rFonts w:ascii="Times New Roman" w:hAnsi="Times New Roman" w:cs="Times New Roman"/>
            <w:lang w:val="en-IN"/>
          </w:rPr>
          <m:t> ppt</m:t>
        </m:r>
      </m:oMath>
      <w:r w:rsidRPr="00E12026">
        <w:rPr>
          <w:rFonts w:ascii="Times New Roman" w:hAnsi="Times New Roman" w:cs="Times New Roman"/>
          <w:lang w:val="en-IN"/>
        </w:rPr>
        <w:t xml:space="preserve"> treatment group exhibited significantly superior somatic growth (</w:t>
      </w:r>
      <m:oMath>
        <m:r>
          <w:rPr>
            <w:rFonts w:ascii="Cambria Math" w:hAnsi="Cambria Math" w:cs="Times New Roman"/>
            <w:lang w:val="en-IN"/>
          </w:rPr>
          <m:t>p&lt;0.05</m:t>
        </m:r>
      </m:oMath>
      <w:r w:rsidRPr="00E12026">
        <w:rPr>
          <w:rFonts w:ascii="Times New Roman" w:hAnsi="Times New Roman" w:cs="Times New Roman"/>
          <w:lang w:val="en-IN"/>
        </w:rPr>
        <w:t>), confirming that an isosmotic environment minimizes maintenance costs.</w:t>
      </w:r>
    </w:p>
    <w:p w14:paraId="31A7A5BB" w14:textId="77777777" w:rsidR="00E12026" w:rsidRPr="00E12026" w:rsidRDefault="00E12026" w:rsidP="00D8600A">
      <w:pPr>
        <w:pStyle w:val="BodyText"/>
        <w:spacing w:line="276" w:lineRule="auto"/>
        <w:jc w:val="both"/>
        <w:rPr>
          <w:rFonts w:ascii="Times New Roman" w:hAnsi="Times New Roman" w:cs="Times New Roman"/>
          <w:b/>
          <w:bCs/>
          <w:lang w:val="en-IN"/>
        </w:rPr>
      </w:pPr>
      <w:r w:rsidRPr="00E12026">
        <w:rPr>
          <w:rFonts w:ascii="Times New Roman" w:hAnsi="Times New Roman" w:cs="Times New Roman"/>
          <w:b/>
          <w:bCs/>
          <w:lang w:val="en-IN"/>
        </w:rPr>
        <w:t>Hepatic Histopathological Alterations</w:t>
      </w:r>
    </w:p>
    <w:p w14:paraId="203BE63D" w14:textId="2EEF5D22" w:rsidR="00E12026" w:rsidRPr="00E12026" w:rsidRDefault="00E12026" w:rsidP="00E12026">
      <w:pPr>
        <w:spacing w:line="240" w:lineRule="auto"/>
        <w:jc w:val="both"/>
        <w:rPr>
          <w:rFonts w:ascii="Times New Roman" w:hAnsi="Times New Roman" w:cs="Times New Roman"/>
          <w:sz w:val="24"/>
          <w:szCs w:val="24"/>
        </w:rPr>
      </w:pPr>
      <w:r w:rsidRPr="00E12026">
        <w:rPr>
          <w:rFonts w:ascii="Times New Roman" w:hAnsi="Times New Roman" w:cs="Times New Roman"/>
          <w:sz w:val="24"/>
          <w:szCs w:val="24"/>
        </w:rPr>
        <w:t>Histopathological evaluations of the hepatic architecture revealed distinct structural variations among the experimental groups, diverging from the uniform profiles noted by Mulyadi et al. (20</w:t>
      </w:r>
      <w:r w:rsidR="00547DB7">
        <w:rPr>
          <w:rFonts w:ascii="Times New Roman" w:hAnsi="Times New Roman" w:cs="Times New Roman"/>
          <w:sz w:val="24"/>
          <w:szCs w:val="24"/>
        </w:rPr>
        <w:t>20</w:t>
      </w:r>
      <w:r w:rsidRPr="00E12026">
        <w:rPr>
          <w:rFonts w:ascii="Times New Roman" w:hAnsi="Times New Roman" w:cs="Times New Roman"/>
          <w:sz w:val="24"/>
          <w:szCs w:val="24"/>
        </w:rPr>
        <w:t>). Control specimens (</w:t>
      </w:r>
      <m:oMath>
        <m:r>
          <w:rPr>
            <w:rFonts w:ascii="Cambria Math" w:hAnsi="Cambria Math" w:cs="Times New Roman"/>
            <w:sz w:val="24"/>
            <w:szCs w:val="24"/>
          </w:rPr>
          <m:t>35</m:t>
        </m:r>
        <m:r>
          <m:rPr>
            <m:nor/>
          </m:rPr>
          <w:rPr>
            <w:rFonts w:ascii="Times New Roman" w:hAnsi="Times New Roman" w:cs="Times New Roman"/>
            <w:sz w:val="24"/>
            <w:szCs w:val="24"/>
          </w:rPr>
          <m:t> ppt</m:t>
        </m:r>
      </m:oMath>
      <w:r w:rsidRPr="00E12026">
        <w:rPr>
          <w:rFonts w:ascii="Times New Roman" w:hAnsi="Times New Roman" w:cs="Times New Roman"/>
          <w:sz w:val="24"/>
          <w:szCs w:val="24"/>
        </w:rPr>
        <w:t>) and those maintained at intermediate salinity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E12026">
        <w:rPr>
          <w:rFonts w:ascii="Times New Roman" w:hAnsi="Times New Roman" w:cs="Times New Roman"/>
          <w:sz w:val="24"/>
          <w:szCs w:val="24"/>
        </w:rPr>
        <w:t>, T2) exhibited normal parenchymal arrangements characterized by regular cord-like arrays of polygonal hepatocytes. Conversely, fish subjected to severe environmental variations demonstrated clear structural anomalies. Liver sections from the hypoosmotic group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E12026">
        <w:rPr>
          <w:rFonts w:ascii="Times New Roman" w:hAnsi="Times New Roman" w:cs="Times New Roman"/>
          <w:sz w:val="24"/>
          <w:szCs w:val="24"/>
        </w:rPr>
        <w:t>, T3) exhibited pronounced cellular pathologies, including diffuse intracytoplasmic vacuolation, localized hepatocyte hypertrophy, cellular swelling, and occasional pyknotic nuclei. Furthermore, the extreme low-salinity group (T3) revealed structural degradation marked by focal necrosis and intensive sinusoidal hemorrhage, indicating cellular stress from prolonged osmoregulatory strain.</w:t>
      </w:r>
    </w:p>
    <w:p w14:paraId="2023A479" w14:textId="77777777" w:rsidR="00E12026" w:rsidRPr="00E12026" w:rsidRDefault="00E12026" w:rsidP="00DF19CD">
      <w:pPr>
        <w:spacing w:line="240" w:lineRule="auto"/>
        <w:jc w:val="both"/>
        <w:rPr>
          <w:rFonts w:ascii="Times New Roman" w:hAnsi="Times New Roman" w:cs="Times New Roman"/>
          <w:b/>
          <w:bCs/>
          <w:sz w:val="24"/>
          <w:szCs w:val="24"/>
        </w:rPr>
      </w:pPr>
      <w:r w:rsidRPr="00E12026">
        <w:rPr>
          <w:rFonts w:ascii="Times New Roman" w:hAnsi="Times New Roman" w:cs="Times New Roman"/>
          <w:b/>
          <w:bCs/>
          <w:sz w:val="24"/>
          <w:szCs w:val="24"/>
        </w:rPr>
        <w:t>Growth Dynamics and Periphyton Interaction</w:t>
      </w:r>
    </w:p>
    <w:p w14:paraId="1CB2FDA3" w14:textId="4FFF8756" w:rsidR="00E12026" w:rsidRPr="00E12026" w:rsidRDefault="00E12026" w:rsidP="00E12026">
      <w:pPr>
        <w:spacing w:line="240" w:lineRule="auto"/>
        <w:jc w:val="both"/>
        <w:rPr>
          <w:rFonts w:ascii="Times New Roman" w:hAnsi="Times New Roman" w:cs="Times New Roman"/>
          <w:color w:val="000000" w:themeColor="text1"/>
          <w:sz w:val="24"/>
          <w:szCs w:val="24"/>
        </w:rPr>
      </w:pPr>
      <w:r w:rsidRPr="00E12026">
        <w:rPr>
          <w:rFonts w:ascii="Times New Roman" w:hAnsi="Times New Roman" w:cs="Times New Roman"/>
          <w:color w:val="000000" w:themeColor="text1"/>
          <w:sz w:val="24"/>
          <w:szCs w:val="24"/>
        </w:rPr>
        <w:t>The experimental data indicate that extreme environmental salinities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and </w:t>
      </w:r>
      <m:oMath>
        <m:r>
          <m:rPr>
            <m:sty m:val="p"/>
          </m:rPr>
          <w:rPr>
            <w:rFonts w:ascii="Cambria Math" w:hAnsi="Cambria Math" w:cs="Times New Roman"/>
            <w:color w:val="000000" w:themeColor="text1"/>
            <w:sz w:val="24"/>
            <w:szCs w:val="24"/>
          </w:rPr>
          <m:t>35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exert restrictive pressures on the growth indices and survival rates of juvenile T. blochii. In contrast, an intermediate salinity regimen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T2) significantly accelerated somatic growth metrics and fostered optimal periphyton colonization on the provided substrates. This optimization matches the observations of Hamed et al. (2016), who determined that acclimated T. blochii perform optimally within a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m:t>
        </m:r>
        <m:r>
          <m:rPr>
            <m:sty m:val="p"/>
          </m:rPr>
          <w:rPr>
            <w:rFonts w:ascii="Cambria Math" w:hAnsi="Cambria Math" w:cs="Times New Roman"/>
            <w:color w:val="000000" w:themeColor="text1"/>
            <w:sz w:val="24"/>
            <w:szCs w:val="24"/>
          </w:rPr>
          <m:t>25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range, whereas performance collapses at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Pompano reared at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exhibited a maximized specific growth rate (</w:t>
      </w:r>
      <m:oMath>
        <m:r>
          <m:rPr>
            <m:nor/>
          </m:rPr>
          <w:rPr>
            <w:rFonts w:ascii="Times New Roman" w:hAnsi="Times New Roman" w:cs="Times New Roman"/>
            <w:color w:val="000000" w:themeColor="text1"/>
            <w:sz w:val="24"/>
            <w:szCs w:val="24"/>
          </w:rPr>
          <m:t>SGR</m:t>
        </m:r>
        <m:r>
          <m:rPr>
            <m:sty m:val="p"/>
          </m:rPr>
          <w:rPr>
            <w:rFonts w:ascii="Cambria Math" w:hAnsi="Cambria Math" w:cs="Times New Roman"/>
            <w:color w:val="000000" w:themeColor="text1"/>
            <w:sz w:val="24"/>
            <w:szCs w:val="24"/>
          </w:rPr>
          <m:t>=11.66±0.23%</m:t>
        </m:r>
        <m:sSup>
          <m:sSupPr>
            <m:ctrlPr>
              <w:rPr>
                <w:rFonts w:ascii="Cambria Math" w:hAnsi="Cambria Math" w:cs="Times New Roman"/>
                <w:color w:val="000000" w:themeColor="text1"/>
                <w:sz w:val="24"/>
                <w:szCs w:val="24"/>
              </w:rPr>
            </m:ctrlPr>
          </m:sSupPr>
          <m:e>
            <m:r>
              <m:rPr>
                <m:nor/>
              </m:rPr>
              <w:rPr>
                <w:rFonts w:ascii="Times New Roman" w:hAnsi="Times New Roman" w:cs="Times New Roman"/>
                <w:color w:val="000000" w:themeColor="text1"/>
                <w:sz w:val="24"/>
                <w:szCs w:val="24"/>
              </w:rPr>
              <m:t> day</m:t>
            </m:r>
          </m:e>
          <m:sup>
            <m:r>
              <m:rPr>
                <m:sty m:val="p"/>
              </m:rPr>
              <w:rPr>
                <w:rFonts w:ascii="Cambria Math" w:hAnsi="Cambria Math" w:cs="Times New Roman"/>
                <w:color w:val="000000" w:themeColor="text1"/>
                <w:sz w:val="24"/>
                <w:szCs w:val="24"/>
              </w:rPr>
              <m:t>-1</m:t>
            </m:r>
          </m:sup>
        </m:sSup>
      </m:oMath>
      <w:r w:rsidRPr="00E12026">
        <w:rPr>
          <w:rFonts w:ascii="Times New Roman" w:hAnsi="Times New Roman" w:cs="Times New Roman"/>
          <w:color w:val="000000" w:themeColor="text1"/>
          <w:sz w:val="24"/>
          <w:szCs w:val="24"/>
        </w:rPr>
        <w:t>), confirming that intermediate salinities (</w:t>
      </w:r>
      <m:oMath>
        <m:r>
          <m:rPr>
            <m:sty m:val="p"/>
          </m:rPr>
          <w:rPr>
            <w:rFonts w:ascii="Cambria Math" w:hAnsi="Cambria Math" w:cs="Times New Roman"/>
            <w:color w:val="000000" w:themeColor="text1"/>
            <w:sz w:val="24"/>
            <w:szCs w:val="24"/>
          </w:rPr>
          <m:t>10</m:t>
        </m:r>
        <m:r>
          <m:rPr>
            <m:nor/>
          </m:rPr>
          <w:rPr>
            <w:rFonts w:ascii="Times New Roman" w:hAnsi="Times New Roman" w:cs="Times New Roman"/>
            <w:color w:val="000000" w:themeColor="text1"/>
            <w:sz w:val="24"/>
            <w:szCs w:val="24"/>
          </w:rPr>
          <m:t>–</m:t>
        </m:r>
        <m:r>
          <m:rPr>
            <m:sty m:val="p"/>
          </m:rPr>
          <w:rPr>
            <w:rFonts w:ascii="Cambria Math" w:hAnsi="Cambria Math" w:cs="Times New Roman"/>
            <w:color w:val="000000" w:themeColor="text1"/>
            <w:sz w:val="24"/>
            <w:szCs w:val="24"/>
          </w:rPr>
          <m:t>25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minimize internal energy allocations </w:t>
      </w:r>
      <w:r w:rsidRPr="00E12026">
        <w:rPr>
          <w:rFonts w:ascii="Times New Roman" w:hAnsi="Times New Roman" w:cs="Times New Roman"/>
          <w:color w:val="000000" w:themeColor="text1"/>
          <w:sz w:val="24"/>
          <w:szCs w:val="24"/>
        </w:rPr>
        <w:lastRenderedPageBreak/>
        <w:t>toward osmotic regulation, as documented in both carangids and Atlantic cod (Gadus morhua) (Kalidas et al., 2012).</w:t>
      </w:r>
      <w:r w:rsidR="00112757" w:rsidRPr="00112757">
        <w:t xml:space="preserve"> </w:t>
      </w:r>
      <w:r w:rsidR="00112757" w:rsidRPr="00112757">
        <w:rPr>
          <w:rFonts w:ascii="Times New Roman" w:hAnsi="Times New Roman" w:cs="Times New Roman"/>
          <w:color w:val="000000" w:themeColor="text1"/>
          <w:sz w:val="24"/>
          <w:szCs w:val="24"/>
        </w:rPr>
        <w:t>Periphyton developed on the split bamboo substrates likely contributed to improved fish performance by providing a continuous source of natural food, enhancing microbial productivity, and improving water quality. Although periphyton biomass was not evaluated independently from salinity effects, the culture system supported enhanced growth under intermediate salinity, suggesting that periphyton-based substrates complemented the culture environment.</w:t>
      </w:r>
      <w:r w:rsidR="00B0082D">
        <w:rPr>
          <w:rFonts w:ascii="Times New Roman" w:hAnsi="Times New Roman" w:cs="Times New Roman"/>
          <w:color w:val="000000" w:themeColor="text1"/>
          <w:sz w:val="24"/>
          <w:szCs w:val="24"/>
        </w:rPr>
        <w:t>E</w:t>
      </w:r>
    </w:p>
    <w:p w14:paraId="2CE5747B" w14:textId="41CE0409" w:rsidR="00E12026" w:rsidRPr="00E12026" w:rsidRDefault="00E12026" w:rsidP="00E12026">
      <w:pPr>
        <w:pStyle w:val="BodyText"/>
        <w:spacing w:line="276" w:lineRule="auto"/>
        <w:jc w:val="both"/>
        <w:rPr>
          <w:rFonts w:ascii="Times New Roman" w:hAnsi="Times New Roman" w:cs="Times New Roman"/>
          <w:lang w:val="en-IN"/>
        </w:rPr>
      </w:pPr>
      <w:r w:rsidRPr="00E12026">
        <w:rPr>
          <w:rFonts w:ascii="Times New Roman" w:hAnsi="Times New Roman" w:cs="Times New Roman"/>
          <w:lang w:val="en-IN"/>
        </w:rPr>
        <w:t>These findings indicate that an intermediate salinity environment reduces metabolic stress and provides optimal conditions for physiological acclimation and growth. Our results concur with Signor et al. (2015), who recommended maintaining environmental salinities above 10 ppt for related carangids, noting a sharp drop in survival below this threshold. Similarly, optimized growth performance at intermediate salinities (</w:t>
      </w:r>
      <m:oMath>
        <m:r>
          <w:rPr>
            <w:rFonts w:ascii="Cambria Math" w:hAnsi="Cambria Math" w:cs="Times New Roman"/>
            <w:lang w:val="en-IN"/>
          </w:rPr>
          <m:t>10</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E12026">
        <w:rPr>
          <w:rFonts w:ascii="Times New Roman" w:hAnsi="Times New Roman" w:cs="Times New Roman"/>
          <w:lang w:val="en-IN"/>
        </w:rPr>
        <w:t>) has been widely documented in euryhaline teleosts, including Atlantic cod (</w:t>
      </w:r>
      <w:r w:rsidRPr="00E12026">
        <w:rPr>
          <w:rFonts w:ascii="Times New Roman" w:hAnsi="Times New Roman" w:cs="Times New Roman"/>
          <w:i/>
          <w:iCs/>
          <w:lang w:val="en-IN"/>
        </w:rPr>
        <w:t>Gadus morhua</w:t>
      </w:r>
      <w:r w:rsidRPr="00E12026">
        <w:rPr>
          <w:rFonts w:ascii="Times New Roman" w:hAnsi="Times New Roman" w:cs="Times New Roman"/>
          <w:lang w:val="en-IN"/>
        </w:rPr>
        <w:t xml:space="preserve">) and various pompano species (Imsland et al., 2011; Kalidas et al., 2012). Furthermore, the present data reinforce the assertions of Jayakumar et al. (2012) that juvenile silver pompano thrive within a </w:t>
      </w:r>
      <m:oMath>
        <m:r>
          <w:rPr>
            <w:rFonts w:ascii="Cambria Math" w:hAnsi="Cambria Math" w:cs="Times New Roman"/>
            <w:lang w:val="en-IN"/>
          </w:rPr>
          <m:t>10</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E12026">
        <w:rPr>
          <w:rFonts w:ascii="Times New Roman" w:hAnsi="Times New Roman" w:cs="Times New Roman"/>
          <w:lang w:val="en-IN"/>
        </w:rPr>
        <w:t xml:space="preserve"> range. Conversely, fry exposed to extreme hypoosmotic (</w:t>
      </w:r>
      <m:oMath>
        <m:r>
          <w:rPr>
            <w:rFonts w:ascii="Cambria Math" w:hAnsi="Cambria Math" w:cs="Times New Roman"/>
            <w:lang w:val="en-IN"/>
          </w:rPr>
          <m:t>5</m:t>
        </m:r>
        <m:r>
          <m:rPr>
            <m:nor/>
          </m:rPr>
          <w:rPr>
            <w:rFonts w:ascii="Times New Roman" w:hAnsi="Times New Roman" w:cs="Times New Roman"/>
            <w:lang w:val="en-IN"/>
          </w:rPr>
          <m:t> ppt</m:t>
        </m:r>
      </m:oMath>
      <w:r w:rsidRPr="00E12026">
        <w:rPr>
          <w:rFonts w:ascii="Times New Roman" w:hAnsi="Times New Roman" w:cs="Times New Roman"/>
          <w:lang w:val="en-IN"/>
        </w:rPr>
        <w:t>, T3) and hyperosmotic (</w:t>
      </w:r>
      <m:oMath>
        <m:r>
          <w:rPr>
            <w:rFonts w:ascii="Cambria Math" w:hAnsi="Cambria Math" w:cs="Times New Roman"/>
            <w:lang w:val="en-IN"/>
          </w:rPr>
          <m:t>35</m:t>
        </m:r>
        <m:r>
          <m:rPr>
            <m:nor/>
          </m:rPr>
          <w:rPr>
            <w:rFonts w:ascii="Times New Roman" w:hAnsi="Times New Roman" w:cs="Times New Roman"/>
            <w:lang w:val="en-IN"/>
          </w:rPr>
          <m:t> ppt</m:t>
        </m:r>
      </m:oMath>
      <w:r w:rsidRPr="00E12026">
        <w:rPr>
          <w:rFonts w:ascii="Times New Roman" w:hAnsi="Times New Roman" w:cs="Times New Roman"/>
          <w:lang w:val="en-IN"/>
        </w:rPr>
        <w:t xml:space="preserve">, C1) regimes exhibited significantly suppressed growth, with specific growth rates dropping to </w:t>
      </w:r>
      <m:oMath>
        <m:r>
          <w:rPr>
            <w:rFonts w:ascii="Cambria Math" w:hAnsi="Cambria Math" w:cs="Times New Roman"/>
            <w:lang w:val="en-IN"/>
          </w:rPr>
          <m:t>5.73±0.90%</m:t>
        </m:r>
        <m:sSup>
          <m:sSupPr>
            <m:ctrlPr>
              <w:rPr>
                <w:rFonts w:ascii="Cambria Math" w:hAnsi="Cambria Math" w:cs="Times New Roman"/>
                <w:lang w:val="en-IN"/>
              </w:rPr>
            </m:ctrlPr>
          </m:sSupPr>
          <m:e>
            <m:r>
              <m:rPr>
                <m:nor/>
              </m:rPr>
              <w:rPr>
                <w:rFonts w:ascii="Times New Roman" w:hAnsi="Times New Roman" w:cs="Times New Roman"/>
                <w:lang w:val="en-IN"/>
              </w:rPr>
              <m:t> day</m:t>
            </m:r>
          </m:e>
          <m:sup>
            <m:r>
              <w:rPr>
                <w:rFonts w:ascii="Cambria Math" w:hAnsi="Cambria Math" w:cs="Times New Roman"/>
                <w:lang w:val="en-IN"/>
              </w:rPr>
              <m:t>-1</m:t>
            </m:r>
          </m:sup>
        </m:sSup>
      </m:oMath>
      <w:r w:rsidRPr="00E12026">
        <w:rPr>
          <w:rFonts w:ascii="Times New Roman" w:hAnsi="Times New Roman" w:cs="Times New Roman"/>
          <w:lang w:val="en-IN"/>
        </w:rPr>
        <w:t xml:space="preserve"> and </w:t>
      </w:r>
      <m:oMath>
        <m:r>
          <w:rPr>
            <w:rFonts w:ascii="Cambria Math" w:hAnsi="Cambria Math" w:cs="Times New Roman"/>
            <w:lang w:val="en-IN"/>
          </w:rPr>
          <m:t>2.86±0.34%</m:t>
        </m:r>
        <m:sSup>
          <m:sSupPr>
            <m:ctrlPr>
              <w:rPr>
                <w:rFonts w:ascii="Cambria Math" w:hAnsi="Cambria Math" w:cs="Times New Roman"/>
                <w:lang w:val="en-IN"/>
              </w:rPr>
            </m:ctrlPr>
          </m:sSupPr>
          <m:e>
            <m:r>
              <m:rPr>
                <m:nor/>
              </m:rPr>
              <w:rPr>
                <w:rFonts w:ascii="Times New Roman" w:hAnsi="Times New Roman" w:cs="Times New Roman"/>
                <w:lang w:val="en-IN"/>
              </w:rPr>
              <m:t> day</m:t>
            </m:r>
          </m:e>
          <m:sup>
            <m:r>
              <w:rPr>
                <w:rFonts w:ascii="Cambria Math" w:hAnsi="Cambria Math" w:cs="Times New Roman"/>
                <w:lang w:val="en-IN"/>
              </w:rPr>
              <m:t>-1</m:t>
            </m:r>
          </m:sup>
        </m:sSup>
      </m:oMath>
      <w:r w:rsidRPr="00E12026">
        <w:rPr>
          <w:rFonts w:ascii="Times New Roman" w:hAnsi="Times New Roman" w:cs="Times New Roman"/>
          <w:lang w:val="en-IN"/>
        </w:rPr>
        <w:t>, respectively. This response varies from patterns reported for the Florida pompano (</w:t>
      </w:r>
      <w:r w:rsidRPr="00E12026">
        <w:rPr>
          <w:rFonts w:ascii="Times New Roman" w:hAnsi="Times New Roman" w:cs="Times New Roman"/>
          <w:i/>
          <w:iCs/>
          <w:lang w:val="en-IN"/>
        </w:rPr>
        <w:t>T. carolinus</w:t>
      </w:r>
      <w:r w:rsidRPr="00E12026">
        <w:rPr>
          <w:rFonts w:ascii="Times New Roman" w:hAnsi="Times New Roman" w:cs="Times New Roman"/>
          <w:lang w:val="en-IN"/>
        </w:rPr>
        <w:t xml:space="preserve">), which demonstrated unexpected low-salinity tolerance in distinct coastal trials (Van Dam et al., 2002). Overall, the physiological resilience exhibited by the 2-month-old </w:t>
      </w:r>
      <w:r w:rsidRPr="00E12026">
        <w:rPr>
          <w:rFonts w:ascii="Times New Roman" w:hAnsi="Times New Roman" w:cs="Times New Roman"/>
          <w:i/>
          <w:iCs/>
          <w:lang w:val="en-IN"/>
        </w:rPr>
        <w:t>T. blochii</w:t>
      </w:r>
      <w:r w:rsidRPr="00E12026">
        <w:rPr>
          <w:rFonts w:ascii="Times New Roman" w:hAnsi="Times New Roman" w:cs="Times New Roman"/>
          <w:lang w:val="en-IN"/>
        </w:rPr>
        <w:t xml:space="preserve"> juveniles (mean length: </w:t>
      </w:r>
      <m:oMath>
        <m:r>
          <w:rPr>
            <w:rFonts w:ascii="Cambria Math" w:hAnsi="Cambria Math" w:cs="Times New Roman"/>
            <w:lang w:val="en-IN"/>
          </w:rPr>
          <m:t>12.60±0.10</m:t>
        </m:r>
        <m:r>
          <m:rPr>
            <m:nor/>
          </m:rPr>
          <w:rPr>
            <w:rFonts w:ascii="Times New Roman" w:hAnsi="Times New Roman" w:cs="Times New Roman"/>
            <w:lang w:val="en-IN"/>
          </w:rPr>
          <m:t> cm</m:t>
        </m:r>
      </m:oMath>
      <w:r w:rsidRPr="00E12026">
        <w:rPr>
          <w:rFonts w:ascii="Times New Roman" w:hAnsi="Times New Roman" w:cs="Times New Roman"/>
          <w:lang w:val="en-IN"/>
        </w:rPr>
        <w:t xml:space="preserve">; mean weight: </w:t>
      </w:r>
      <m:oMath>
        <m:r>
          <w:rPr>
            <w:rFonts w:ascii="Cambria Math" w:hAnsi="Cambria Math" w:cs="Times New Roman"/>
            <w:lang w:val="en-IN"/>
          </w:rPr>
          <m:t>15.30±0.97</m:t>
        </m:r>
        <m:r>
          <m:rPr>
            <m:nor/>
          </m:rPr>
          <w:rPr>
            <w:rFonts w:ascii="Times New Roman" w:hAnsi="Times New Roman" w:cs="Times New Roman"/>
            <w:lang w:val="en-IN"/>
          </w:rPr>
          <m:t> g</m:t>
        </m:r>
      </m:oMath>
      <w:r w:rsidRPr="00E12026">
        <w:rPr>
          <w:rFonts w:ascii="Times New Roman" w:hAnsi="Times New Roman" w:cs="Times New Roman"/>
          <w:lang w:val="en-IN"/>
        </w:rPr>
        <w:t>) confirms their capacity to acclimate effectively to intermediate salinities (</w:t>
      </w:r>
      <m:oMath>
        <m:r>
          <w:rPr>
            <w:rFonts w:ascii="Cambria Math" w:hAnsi="Cambria Math" w:cs="Times New Roman"/>
            <w:lang w:val="en-IN"/>
          </w:rPr>
          <m:t>15</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E12026">
        <w:rPr>
          <w:rFonts w:ascii="Times New Roman" w:hAnsi="Times New Roman" w:cs="Times New Roman"/>
          <w:lang w:val="en-IN"/>
        </w:rPr>
        <w:t>), whereas extreme hypoosmotic (</w:t>
      </w:r>
      <m:oMath>
        <m:r>
          <w:rPr>
            <w:rFonts w:ascii="Cambria Math" w:hAnsi="Cambria Math" w:cs="Times New Roman"/>
            <w:lang w:val="en-IN"/>
          </w:rPr>
          <m:t>5</m:t>
        </m:r>
        <m:r>
          <m:rPr>
            <m:nor/>
          </m:rPr>
          <w:rPr>
            <w:rFonts w:ascii="Times New Roman" w:hAnsi="Times New Roman" w:cs="Times New Roman"/>
            <w:lang w:val="en-IN"/>
          </w:rPr>
          <m:t> ppt</m:t>
        </m:r>
      </m:oMath>
      <w:r w:rsidRPr="00E12026">
        <w:rPr>
          <w:rFonts w:ascii="Times New Roman" w:hAnsi="Times New Roman" w:cs="Times New Roman"/>
          <w:lang w:val="en-IN"/>
        </w:rPr>
        <w:t>) and marine baseline (</w:t>
      </w:r>
      <m:oMath>
        <m:r>
          <w:rPr>
            <w:rFonts w:ascii="Cambria Math" w:hAnsi="Cambria Math" w:cs="Times New Roman"/>
            <w:lang w:val="en-IN"/>
          </w:rPr>
          <m:t>35</m:t>
        </m:r>
        <m:r>
          <m:rPr>
            <m:nor/>
          </m:rPr>
          <w:rPr>
            <w:rFonts w:ascii="Times New Roman" w:hAnsi="Times New Roman" w:cs="Times New Roman"/>
            <w:lang w:val="en-IN"/>
          </w:rPr>
          <m:t> ppt</m:t>
        </m:r>
      </m:oMath>
      <w:r w:rsidRPr="00E12026">
        <w:rPr>
          <w:rFonts w:ascii="Times New Roman" w:hAnsi="Times New Roman" w:cs="Times New Roman"/>
          <w:lang w:val="en-IN"/>
        </w:rPr>
        <w:t>) conditions restrict their growth potential.</w:t>
      </w:r>
    </w:p>
    <w:p w14:paraId="0FB3FD9E" w14:textId="77777777" w:rsidR="00974010" w:rsidRPr="00E301E4" w:rsidRDefault="00974010"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 xml:space="preserve">Osmoregulatory parameters of </w:t>
      </w:r>
      <w:r w:rsidRPr="00E301E4">
        <w:rPr>
          <w:rFonts w:ascii="Times New Roman" w:hAnsi="Times New Roman" w:cs="Times New Roman"/>
          <w:b/>
          <w:bCs/>
          <w:i/>
          <w:iCs/>
        </w:rPr>
        <w:t>T.blochii</w:t>
      </w:r>
      <w:r w:rsidRPr="00E301E4">
        <w:rPr>
          <w:rFonts w:ascii="Times New Roman" w:hAnsi="Times New Roman" w:cs="Times New Roman"/>
          <w:b/>
          <w:bCs/>
        </w:rPr>
        <w:t xml:space="preserve"> reared at different salinities</w:t>
      </w:r>
    </w:p>
    <w:p w14:paraId="68237C59" w14:textId="53AF6228" w:rsidR="00E12026" w:rsidRPr="00E12026" w:rsidRDefault="00E12026" w:rsidP="00E12026">
      <w:pPr>
        <w:tabs>
          <w:tab w:val="left" w:pos="2895"/>
        </w:tabs>
        <w:spacing w:line="276" w:lineRule="auto"/>
        <w:jc w:val="both"/>
        <w:rPr>
          <w:rFonts w:ascii="Times New Roman" w:hAnsi="Times New Roman" w:cs="Times New Roman"/>
          <w:color w:val="000000" w:themeColor="text1"/>
          <w:sz w:val="24"/>
          <w:szCs w:val="24"/>
        </w:rPr>
      </w:pPr>
      <w:r w:rsidRPr="00E12026">
        <w:rPr>
          <w:rFonts w:ascii="Times New Roman" w:hAnsi="Times New Roman" w:cs="Times New Roman"/>
          <w:color w:val="000000" w:themeColor="text1"/>
          <w:sz w:val="24"/>
          <w:szCs w:val="24"/>
        </w:rPr>
        <w:t xml:space="preserve">The biological data indicate that extreme hypoosmotic and hyperosmotic environments impose severe osmoregulatory burdens on T. blochii, shifting energy budgets away from somatic growth toward basic homeostatic maintenance. This process is consistent with the established paradigm that teleost fishes exhibit minimized energy requirements for osmoregulation when reared close to their internal isosmotic point, which sits near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(Mulyadi et al., 20</w:t>
      </w:r>
      <w:r w:rsidR="00547DB7">
        <w:rPr>
          <w:rFonts w:ascii="Times New Roman" w:hAnsi="Times New Roman" w:cs="Times New Roman"/>
          <w:color w:val="000000" w:themeColor="text1"/>
          <w:sz w:val="24"/>
          <w:szCs w:val="24"/>
        </w:rPr>
        <w:t>20</w:t>
      </w:r>
      <w:r w:rsidRPr="00E12026">
        <w:rPr>
          <w:rFonts w:ascii="Times New Roman" w:hAnsi="Times New Roman" w:cs="Times New Roman"/>
          <w:color w:val="000000" w:themeColor="text1"/>
          <w:sz w:val="24"/>
          <w:szCs w:val="24"/>
        </w:rPr>
        <w:t xml:space="preserve">). The clear reduction in growth performance at </w:t>
      </w:r>
      <m:oMath>
        <m:r>
          <m:rPr>
            <m:sty m:val="p"/>
          </m:rPr>
          <w:rPr>
            <w:rFonts w:ascii="Cambria Math" w:hAnsi="Cambria Math" w:cs="Times New Roman"/>
            <w:color w:val="000000" w:themeColor="text1"/>
            <w:sz w:val="24"/>
            <w:szCs w:val="24"/>
          </w:rPr>
          <m:t>35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xml:space="preserve"> demonstrates that while juvenile silver pompano survive under full marine conditions, they are physiologically optimized for brackish or estuarine environments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during their early developmental stages (Mulyadi et al., 20</w:t>
      </w:r>
      <w:r w:rsidR="00547DB7">
        <w:rPr>
          <w:rFonts w:ascii="Times New Roman" w:hAnsi="Times New Roman" w:cs="Times New Roman"/>
          <w:color w:val="000000" w:themeColor="text1"/>
          <w:sz w:val="24"/>
          <w:szCs w:val="24"/>
        </w:rPr>
        <w:t>20</w:t>
      </w:r>
      <w:r w:rsidRPr="00E12026">
        <w:rPr>
          <w:rFonts w:ascii="Times New Roman" w:hAnsi="Times New Roman" w:cs="Times New Roman"/>
          <w:color w:val="000000" w:themeColor="text1"/>
          <w:sz w:val="24"/>
          <w:szCs w:val="24"/>
        </w:rPr>
        <w:t>).</w:t>
      </w:r>
    </w:p>
    <w:p w14:paraId="35018507" w14:textId="77777777" w:rsidR="00CE22AF" w:rsidRDefault="00E12026" w:rsidP="00D8600A">
      <w:pPr>
        <w:tabs>
          <w:tab w:val="left" w:pos="2895"/>
        </w:tabs>
        <w:spacing w:line="276" w:lineRule="auto"/>
        <w:jc w:val="both"/>
        <w:rPr>
          <w:rFonts w:ascii="Times New Roman" w:hAnsi="Times New Roman" w:cs="Times New Roman"/>
          <w:color w:val="000000" w:themeColor="text1"/>
          <w:sz w:val="24"/>
          <w:szCs w:val="24"/>
        </w:rPr>
      </w:pPr>
      <w:r w:rsidRPr="00E12026">
        <w:rPr>
          <w:rFonts w:ascii="Times New Roman" w:hAnsi="Times New Roman" w:cs="Times New Roman"/>
          <w:color w:val="000000" w:themeColor="text1"/>
          <w:sz w:val="24"/>
          <w:szCs w:val="24"/>
        </w:rPr>
        <w:t>Previous physiological models confirm that the elevated energy costs required to maintain ionic gradients under severe salinity variations significantly reduce the net energy available for mass accumulation (Imsland et al., 2008; Evans et al., 2010; Mahmudul et al., 2014). Consequently, juveniles exposed to the extreme low-salinity treatment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T3) faced heavy ion-regulatory workloads, contrasting with the metabolic comfort zone observed at the intermediate isosmotic salinity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E12026">
        <w:rPr>
          <w:rFonts w:ascii="Times New Roman" w:hAnsi="Times New Roman" w:cs="Times New Roman"/>
          <w:color w:val="000000" w:themeColor="text1"/>
          <w:sz w:val="24"/>
          <w:szCs w:val="24"/>
        </w:rPr>
        <w:t>, T2).</w:t>
      </w:r>
      <w:r w:rsidR="00CE22AF" w:rsidRPr="00CE22AF">
        <w:rPr>
          <w:rFonts w:ascii="Times New Roman" w:hAnsi="Times New Roman" w:cs="Times New Roman"/>
          <w:color w:val="000000" w:themeColor="text1"/>
          <w:sz w:val="24"/>
          <w:szCs w:val="24"/>
        </w:rPr>
        <w:t xml:space="preserve">This physiological trend is consistent with patterns documented in other marine teleosts subjected to hypoosmotic environments (Rocha et al., 2005; Tsuzuki et al., 2007; Zheng et al., 2008). Ambient salinities that match the natural habitat or isosmotic point </w:t>
      </w:r>
      <w:r w:rsidR="00CE22AF" w:rsidRPr="00CE22AF">
        <w:rPr>
          <w:rFonts w:ascii="Times New Roman" w:hAnsi="Times New Roman" w:cs="Times New Roman"/>
          <w:color w:val="000000" w:themeColor="text1"/>
          <w:sz w:val="24"/>
          <w:szCs w:val="24"/>
        </w:rPr>
        <w:lastRenderedPageBreak/>
        <w:t>of a species typically minimize standard metabolic rates by optimizing energy allocation (Morgan and Iwama, 1991).</w:t>
      </w:r>
    </w:p>
    <w:p w14:paraId="411029B2" w14:textId="2195E5BA" w:rsidR="00974010" w:rsidRPr="00E301E4" w:rsidRDefault="00CE22AF" w:rsidP="00D8600A">
      <w:pPr>
        <w:tabs>
          <w:tab w:val="left" w:pos="2895"/>
        </w:tabs>
        <w:spacing w:line="276" w:lineRule="auto"/>
        <w:jc w:val="both"/>
        <w:rPr>
          <w:rFonts w:ascii="Times New Roman" w:hAnsi="Times New Roman" w:cs="Times New Roman"/>
          <w:color w:val="000000" w:themeColor="text1"/>
          <w:sz w:val="24"/>
          <w:szCs w:val="24"/>
        </w:rPr>
      </w:pPr>
      <w:r w:rsidRPr="00CE22AF">
        <w:rPr>
          <w:rFonts w:ascii="Times New Roman" w:hAnsi="Times New Roman" w:cs="Times New Roman"/>
          <w:color w:val="000000" w:themeColor="text1"/>
          <w:sz w:val="24"/>
          <w:szCs w:val="24"/>
        </w:rPr>
        <w:t>Furthermore, Retnani and Abdulgani (2013) demonstrated that the capacity for salinity adaptation depends heavily on body size and developmental stage, with osmoregulatory efficiency exhibiting clear ontogenetic shifts. According to Lantu (2010), the osmosensitivity of specialized ionocytes (chloride cells) plays an integral role in mediating homeostatic adjustments in euryhaline species. These cells function as specialized receptors that detect changes in external osmotic pressure. Upon exposure to fluctuating ambient salinities, branchial ionocytes participate in signaling cascades directed toward the neuroendocrine system, modulating the pituitary gland's secretion of growth hormone and prolactin to coordinate systemic acclimation.</w:t>
      </w:r>
      <w:r w:rsidRPr="00CE22AF">
        <w:t xml:space="preserve"> </w:t>
      </w:r>
      <w:r w:rsidRPr="00CE22AF">
        <w:rPr>
          <w:rFonts w:ascii="Times New Roman" w:hAnsi="Times New Roman" w:cs="Times New Roman"/>
          <w:color w:val="000000" w:themeColor="text1"/>
          <w:sz w:val="24"/>
          <w:szCs w:val="24"/>
        </w:rPr>
        <w:t>These endocrine pathways subsequently regulate the proliferation, size, and ion-transport capacity of ionocytes within primary osmoregulatory tissues, such as the gills. Consequently, a strong correlation exists between environmental salinity and the metabolic adjustments required for teleost osmoregulation. Acute, unmitigated shifts in environmental salinity can induce catastrophic osmotic shocks, disrupting systemic ion balances, exhausting cellular energy reserves, and ultimately leading to severe mortality.</w:t>
      </w:r>
    </w:p>
    <w:p w14:paraId="60F50BAC" w14:textId="3D6E0123" w:rsidR="00CE22AF" w:rsidRPr="00CE22AF" w:rsidRDefault="00CE22AF" w:rsidP="00CE22AF">
      <w:pPr>
        <w:pStyle w:val="BodyText"/>
        <w:spacing w:before="1" w:line="276" w:lineRule="auto"/>
        <w:ind w:right="131" w:firstLine="719"/>
        <w:jc w:val="both"/>
        <w:rPr>
          <w:rFonts w:ascii="Times New Roman" w:hAnsi="Times New Roman" w:cs="Times New Roman"/>
          <w:color w:val="000000" w:themeColor="text1"/>
          <w:lang w:val="en-IN"/>
        </w:rPr>
      </w:pPr>
      <w:r w:rsidRPr="00CE22AF">
        <w:rPr>
          <w:rFonts w:ascii="Times New Roman" w:hAnsi="Times New Roman" w:cs="Times New Roman"/>
          <w:color w:val="000000" w:themeColor="text1"/>
          <w:lang w:val="en-IN"/>
        </w:rPr>
        <w:t xml:space="preserve">The initial physiological response of </w:t>
      </w:r>
      <w:r w:rsidRPr="00CE22AF">
        <w:rPr>
          <w:rFonts w:ascii="Times New Roman" w:hAnsi="Times New Roman" w:cs="Times New Roman"/>
          <w:i/>
          <w:iCs/>
          <w:color w:val="000000" w:themeColor="text1"/>
          <w:lang w:val="en-IN"/>
        </w:rPr>
        <w:t>T. blochii</w:t>
      </w:r>
      <w:r w:rsidRPr="00CE22AF">
        <w:rPr>
          <w:rFonts w:ascii="Times New Roman" w:hAnsi="Times New Roman" w:cs="Times New Roman"/>
          <w:color w:val="000000" w:themeColor="text1"/>
          <w:lang w:val="en-IN"/>
        </w:rPr>
        <w:t xml:space="preserve"> transferred to reduced salinity regimes (</w:t>
      </w:r>
      <m:oMath>
        <m:r>
          <w:rPr>
            <w:rFonts w:ascii="Cambria Math" w:hAnsi="Cambria Math" w:cs="Times New Roman"/>
            <w:color w:val="000000" w:themeColor="text1"/>
            <w:lang w:val="en-IN"/>
          </w:rPr>
          <m:t>25</m:t>
        </m:r>
      </m:oMath>
      <w:r w:rsidRPr="00CE22AF">
        <w:rPr>
          <w:rFonts w:ascii="Times New Roman" w:hAnsi="Times New Roman" w:cs="Times New Roman"/>
          <w:color w:val="000000" w:themeColor="text1"/>
          <w:lang w:val="en-IN"/>
        </w:rPr>
        <w:t xml:space="preserve">, </w:t>
      </w:r>
      <m:oMath>
        <m:r>
          <w:rPr>
            <w:rFonts w:ascii="Cambria Math" w:hAnsi="Cambria Math" w:cs="Times New Roman"/>
            <w:color w:val="000000" w:themeColor="text1"/>
            <w:lang w:val="en-IN"/>
          </w:rPr>
          <m:t>15</m:t>
        </m:r>
      </m:oMath>
      <w:r w:rsidRPr="00CE22AF">
        <w:rPr>
          <w:rFonts w:ascii="Times New Roman" w:hAnsi="Times New Roman" w:cs="Times New Roman"/>
          <w:color w:val="000000" w:themeColor="text1"/>
          <w:lang w:val="en-IN"/>
        </w:rPr>
        <w:t xml:space="preserve">, and </w:t>
      </w:r>
      <m:oMath>
        <m:r>
          <w:rPr>
            <w:rFonts w:ascii="Cambria Math" w:hAnsi="Cambria Math" w:cs="Times New Roman"/>
            <w:color w:val="000000" w:themeColor="text1"/>
            <w:lang w:val="en-IN"/>
          </w:rPr>
          <m:t>5</m:t>
        </m:r>
        <m:r>
          <m:rPr>
            <m:nor/>
          </m:rPr>
          <w:rPr>
            <w:rFonts w:ascii="Times New Roman" w:hAnsi="Times New Roman" w:cs="Times New Roman"/>
            <w:color w:val="000000" w:themeColor="text1"/>
            <w:lang w:val="en-IN"/>
          </w:rPr>
          <m:t> ppt</m:t>
        </m:r>
      </m:oMath>
      <w:r w:rsidRPr="00CE22AF">
        <w:rPr>
          <w:rFonts w:ascii="Times New Roman" w:hAnsi="Times New Roman" w:cs="Times New Roman"/>
          <w:color w:val="000000" w:themeColor="text1"/>
          <w:lang w:val="en-IN"/>
        </w:rPr>
        <w:t>) was characterized by a sharp elevation in circulating plasma cortisol levels on Day 1 relative to the control group (</w:t>
      </w:r>
      <m:oMath>
        <m:r>
          <w:rPr>
            <w:rFonts w:ascii="Cambria Math" w:hAnsi="Cambria Math" w:cs="Times New Roman"/>
            <w:color w:val="000000" w:themeColor="text1"/>
            <w:lang w:val="en-IN"/>
          </w:rPr>
          <m:t>35</m:t>
        </m:r>
        <m:r>
          <m:rPr>
            <m:nor/>
          </m:rPr>
          <w:rPr>
            <w:rFonts w:ascii="Times New Roman" w:hAnsi="Times New Roman" w:cs="Times New Roman"/>
            <w:color w:val="000000" w:themeColor="text1"/>
            <w:lang w:val="en-IN"/>
          </w:rPr>
          <m:t> ppt</m:t>
        </m:r>
      </m:oMath>
      <w:r w:rsidRPr="00CE22AF">
        <w:rPr>
          <w:rFonts w:ascii="Times New Roman" w:hAnsi="Times New Roman" w:cs="Times New Roman"/>
          <w:color w:val="000000" w:themeColor="text1"/>
          <w:lang w:val="en-IN"/>
        </w:rPr>
        <w:t>; Figure 1.9). This immediate surge represents a classic primary neuroendocrine stress response elicited by acute osmotic disruption. As noted by Setiyoningsih (2014), environmental alterations stimulate the hypothalamic-pituitary-interrenal (HPI) axis, triggering the rapid systemic release of catecholamines and glucocorticoids to initiate homeostatic compensation.</w:t>
      </w:r>
    </w:p>
    <w:p w14:paraId="7C580F68" w14:textId="65428C99" w:rsidR="00CE22AF" w:rsidRPr="00CE22AF" w:rsidRDefault="00CE22AF" w:rsidP="00CE22AF">
      <w:pPr>
        <w:pStyle w:val="BodyText"/>
        <w:spacing w:before="1" w:line="276" w:lineRule="auto"/>
        <w:ind w:right="131" w:firstLine="719"/>
        <w:jc w:val="both"/>
        <w:rPr>
          <w:rFonts w:ascii="Times New Roman" w:hAnsi="Times New Roman" w:cs="Times New Roman"/>
          <w:color w:val="000000" w:themeColor="text1"/>
        </w:rPr>
      </w:pPr>
      <w:r w:rsidRPr="00CE22AF">
        <w:rPr>
          <w:rFonts w:ascii="Times New Roman" w:hAnsi="Times New Roman" w:cs="Times New Roman"/>
          <w:color w:val="000000" w:themeColor="text1"/>
        </w:rPr>
        <w:t xml:space="preserve">Following the initial acute peak, plasma cortisol concentrations systematically declined from Day 30 to Day 60 in the </w:t>
      </w:r>
      <m:oMath>
        <m:r>
          <w:rPr>
            <w:rFonts w:ascii="Cambria Math" w:hAnsi="Cambria Math" w:cs="Times New Roman"/>
            <w:color w:val="000000" w:themeColor="text1"/>
          </w:rPr>
          <m:t>25</m:t>
        </m:r>
        <m:r>
          <m:rPr>
            <m:nor/>
          </m:rPr>
          <w:rPr>
            <w:rFonts w:ascii="Times New Roman" w:hAnsi="Times New Roman" w:cs="Times New Roman"/>
            <w:color w:val="000000" w:themeColor="text1"/>
          </w:rPr>
          <m:t> ppt</m:t>
        </m:r>
      </m:oMath>
      <w:r w:rsidRPr="00CE22AF">
        <w:rPr>
          <w:rFonts w:ascii="Times New Roman" w:hAnsi="Times New Roman" w:cs="Times New Roman"/>
          <w:color w:val="000000" w:themeColor="text1"/>
        </w:rPr>
        <w:t xml:space="preserve"> (T1) and </w:t>
      </w:r>
      <m:oMath>
        <m:r>
          <w:rPr>
            <w:rFonts w:ascii="Cambria Math" w:hAnsi="Cambria Math" w:cs="Times New Roman"/>
            <w:color w:val="000000" w:themeColor="text1"/>
          </w:rPr>
          <m:t>15</m:t>
        </m:r>
        <m:r>
          <m:rPr>
            <m:nor/>
          </m:rPr>
          <w:rPr>
            <w:rFonts w:ascii="Times New Roman" w:hAnsi="Times New Roman" w:cs="Times New Roman"/>
            <w:color w:val="000000" w:themeColor="text1"/>
          </w:rPr>
          <m:t> ppt</m:t>
        </m:r>
      </m:oMath>
      <w:r w:rsidRPr="00CE22AF">
        <w:rPr>
          <w:rFonts w:ascii="Times New Roman" w:hAnsi="Times New Roman" w:cs="Times New Roman"/>
          <w:color w:val="000000" w:themeColor="text1"/>
        </w:rPr>
        <w:t xml:space="preserve"> (T2) treatment cohorts, indicating effective long-term physiological adaptation. Conversely, the </w:t>
      </w:r>
      <m:oMath>
        <m:r>
          <w:rPr>
            <w:rFonts w:ascii="Cambria Math" w:hAnsi="Cambria Math" w:cs="Times New Roman"/>
            <w:color w:val="000000" w:themeColor="text1"/>
          </w:rPr>
          <m:t>5</m:t>
        </m:r>
        <m:r>
          <m:rPr>
            <m:nor/>
          </m:rPr>
          <w:rPr>
            <w:rFonts w:ascii="Times New Roman" w:hAnsi="Times New Roman" w:cs="Times New Roman"/>
            <w:color w:val="000000" w:themeColor="text1"/>
          </w:rPr>
          <m:t> ppt</m:t>
        </m:r>
      </m:oMath>
      <w:r w:rsidRPr="00CE22AF">
        <w:rPr>
          <w:rFonts w:ascii="Times New Roman" w:hAnsi="Times New Roman" w:cs="Times New Roman"/>
          <w:color w:val="000000" w:themeColor="text1"/>
        </w:rPr>
        <w:t xml:space="preserve"> hypoosmotic treatment group (T3) maintained significantly elevated cortisol levels (</w:t>
      </w:r>
      <m:oMath>
        <m:r>
          <w:rPr>
            <w:rFonts w:ascii="Cambria Math" w:hAnsi="Cambria Math" w:cs="Times New Roman"/>
            <w:color w:val="000000" w:themeColor="text1"/>
          </w:rPr>
          <m:t>73.28±0.49</m:t>
        </m:r>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 ng mL</m:t>
            </m:r>
          </m:e>
          <m:sup>
            <m:r>
              <w:rPr>
                <w:rFonts w:ascii="Cambria Math" w:hAnsi="Cambria Math" w:cs="Times New Roman"/>
                <w:color w:val="000000" w:themeColor="text1"/>
              </w:rPr>
              <m:t>-1</m:t>
            </m:r>
          </m:sup>
        </m:sSup>
      </m:oMath>
      <w:r w:rsidRPr="00CE22AF">
        <w:rPr>
          <w:rFonts w:ascii="Times New Roman" w:hAnsi="Times New Roman" w:cs="Times New Roman"/>
          <w:color w:val="000000" w:themeColor="text1"/>
        </w:rPr>
        <w:t xml:space="preserve">) up to Day 60, pointing to a state of chronic osmoregulatory stress. At an intermediate salinity of </w:t>
      </w:r>
      <m:oMath>
        <m:r>
          <w:rPr>
            <w:rFonts w:ascii="Cambria Math" w:hAnsi="Cambria Math" w:cs="Times New Roman"/>
            <w:color w:val="000000" w:themeColor="text1"/>
          </w:rPr>
          <m:t>15</m:t>
        </m:r>
        <m:r>
          <m:rPr>
            <m:nor/>
          </m:rPr>
          <w:rPr>
            <w:rFonts w:ascii="Times New Roman" w:hAnsi="Times New Roman" w:cs="Times New Roman"/>
            <w:color w:val="000000" w:themeColor="text1"/>
          </w:rPr>
          <m:t> ppt</m:t>
        </m:r>
      </m:oMath>
      <w:r w:rsidRPr="00CE22AF">
        <w:rPr>
          <w:rFonts w:ascii="Times New Roman" w:hAnsi="Times New Roman" w:cs="Times New Roman"/>
          <w:color w:val="000000" w:themeColor="text1"/>
        </w:rPr>
        <w:t>, baseline stabilization of cortisol levels indicates an optimal osmoregulatory equilibrium. Prolactin and cortisol operate synergistically to coordinate teleost osmoregulation by modulating ion influx and efflux mechanisms, respectively (Pamungkas, 2012). Cortisol regulates hyperosmoregulatory pathways by driving the differentiation and up-regulation of branchial ionocytes to maintain systemic homeostatic balances.</w:t>
      </w:r>
    </w:p>
    <w:p w14:paraId="60ECCCD1" w14:textId="110445E4" w:rsidR="00CE22AF" w:rsidRPr="00CE22AF" w:rsidRDefault="00CE22AF" w:rsidP="00CE22AF">
      <w:pPr>
        <w:tabs>
          <w:tab w:val="left" w:pos="2895"/>
        </w:tabs>
        <w:spacing w:line="276" w:lineRule="auto"/>
        <w:jc w:val="both"/>
        <w:rPr>
          <w:rFonts w:ascii="Times New Roman" w:hAnsi="Times New Roman" w:cs="Times New Roman"/>
          <w:color w:val="000000" w:themeColor="text1"/>
          <w:sz w:val="24"/>
          <w:szCs w:val="24"/>
        </w:rPr>
      </w:pPr>
      <w:r w:rsidRPr="00CE22AF">
        <w:rPr>
          <w:rFonts w:ascii="Times New Roman" w:hAnsi="Times New Roman" w:cs="Times New Roman"/>
          <w:color w:val="000000" w:themeColor="text1"/>
          <w:sz w:val="24"/>
          <w:szCs w:val="24"/>
        </w:rPr>
        <w:t xml:space="preserve">This hormone mobilization matches the models proposed by Scabra (2018), where elevated stress factors correspond to a depletion of hepatic glycogen reserves to fuel downstream metabolic demands. To sustain homeostatic corrections, stressed teleosts increase their basal metabolic activity, driving up cellular oxygen consumption. By the conclusion of the 60-day trial, the plasma cortisol levels in the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xml:space="preserve"> and </w:t>
      </w:r>
      <m:oMath>
        <m:r>
          <m:rPr>
            <m:sty m:val="p"/>
          </m:rPr>
          <w:rPr>
            <w:rFonts w:ascii="Cambria Math" w:hAnsi="Cambria Math" w:cs="Times New Roman"/>
            <w:color w:val="000000" w:themeColor="text1"/>
            <w:sz w:val="24"/>
            <w:szCs w:val="24"/>
          </w:rPr>
          <m:t>25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xml:space="preserve"> treatment cohorts approached the baselin</w:t>
      </w:r>
      <w:r w:rsidR="00D3643B">
        <w:rPr>
          <w:rFonts w:ascii="Times New Roman" w:hAnsi="Times New Roman" w:cs="Times New Roman"/>
          <w:color w:val="000000" w:themeColor="text1"/>
          <w:sz w:val="24"/>
          <w:szCs w:val="24"/>
        </w:rPr>
        <w:t xml:space="preserve">e </w:t>
      </w:r>
      <w:r w:rsidRPr="00CE22AF">
        <w:rPr>
          <w:rFonts w:ascii="Times New Roman" w:hAnsi="Times New Roman" w:cs="Times New Roman"/>
          <w:color w:val="000000" w:themeColor="text1"/>
          <w:sz w:val="24"/>
          <w:szCs w:val="24"/>
        </w:rPr>
        <w:t xml:space="preserve">values recorded in the </w:t>
      </w:r>
      <m:oMath>
        <m:r>
          <m:rPr>
            <m:sty m:val="p"/>
          </m:rPr>
          <w:rPr>
            <w:rFonts w:ascii="Cambria Math" w:hAnsi="Cambria Math" w:cs="Times New Roman"/>
            <w:color w:val="000000" w:themeColor="text1"/>
            <w:sz w:val="24"/>
            <w:szCs w:val="24"/>
          </w:rPr>
          <m:t>35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xml:space="preserve"> control group, demonstrating successful systemic acclimation.</w:t>
      </w:r>
    </w:p>
    <w:p w14:paraId="777A5D57" w14:textId="38C67D05" w:rsidR="00CE22AF" w:rsidRPr="00CE22AF" w:rsidRDefault="00CE22AF" w:rsidP="00CE22AF">
      <w:pPr>
        <w:tabs>
          <w:tab w:val="left" w:pos="2895"/>
        </w:tabs>
        <w:spacing w:line="276" w:lineRule="auto"/>
        <w:jc w:val="both"/>
        <w:rPr>
          <w:rFonts w:ascii="Times New Roman" w:hAnsi="Times New Roman" w:cs="Times New Roman"/>
          <w:color w:val="000000" w:themeColor="text1"/>
          <w:sz w:val="24"/>
          <w:szCs w:val="24"/>
        </w:rPr>
      </w:pPr>
      <w:r w:rsidRPr="00CE22AF">
        <w:rPr>
          <w:rFonts w:ascii="Times New Roman" w:hAnsi="Times New Roman" w:cs="Times New Roman"/>
          <w:color w:val="000000" w:themeColor="text1"/>
          <w:sz w:val="24"/>
          <w:szCs w:val="24"/>
        </w:rPr>
        <w:lastRenderedPageBreak/>
        <w:t>Euryhaline teleosts are characterized by their capacity to regulate internal osmotic and plasma ionic compositions when subjected to environmental salinity shifts (Aragão et al., 2010; Mylonas et al., 2009; Nordlie, 2009; Tomy et al., 2009). In the present study, long-term exposure to varying salinities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m:t>
        </m:r>
        <m:r>
          <m:rPr>
            <m:sty m:val="p"/>
          </m:rPr>
          <w:rPr>
            <w:rFonts w:ascii="Cambria Math" w:hAnsi="Cambria Math" w:cs="Times New Roman"/>
            <w:color w:val="000000" w:themeColor="text1"/>
            <w:sz w:val="24"/>
            <w:szCs w:val="24"/>
          </w:rPr>
          <m:t>35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induced distinct, permanent shifts in secondary stress indicators. Rather than returning completely to baseline, the sustained modifications in plasma glucose concentrations and haematocrit percentages reflect a continuous metabolic reorganization required to support survival under chronic hypoosmotic conditions, matching the metabolic shift patterns documented by Herrera et al. (20</w:t>
      </w:r>
      <w:r w:rsidR="00364E78">
        <w:rPr>
          <w:rFonts w:ascii="Times New Roman" w:hAnsi="Times New Roman" w:cs="Times New Roman"/>
          <w:color w:val="000000" w:themeColor="text1"/>
          <w:sz w:val="24"/>
          <w:szCs w:val="24"/>
        </w:rPr>
        <w:t>12</w:t>
      </w:r>
      <w:r w:rsidRPr="00CE22AF">
        <w:rPr>
          <w:rFonts w:ascii="Times New Roman" w:hAnsi="Times New Roman" w:cs="Times New Roman"/>
          <w:color w:val="000000" w:themeColor="text1"/>
          <w:sz w:val="24"/>
          <w:szCs w:val="24"/>
        </w:rPr>
        <w:t>) and Sangiao-Alvarellos et al. (2003).</w:t>
      </w:r>
    </w:p>
    <w:p w14:paraId="54E7059E" w14:textId="1C6F4517" w:rsidR="00CE22AF" w:rsidRPr="00CE22AF" w:rsidRDefault="00CE22AF" w:rsidP="00CE22AF">
      <w:pPr>
        <w:pStyle w:val="BodyText"/>
        <w:spacing w:line="276" w:lineRule="auto"/>
        <w:jc w:val="both"/>
        <w:rPr>
          <w:rFonts w:ascii="Times New Roman" w:hAnsi="Times New Roman" w:cs="Times New Roman"/>
          <w:lang w:val="en-IN"/>
        </w:rPr>
      </w:pPr>
      <w:r w:rsidRPr="00CE22AF">
        <w:rPr>
          <w:rFonts w:ascii="Times New Roman" w:hAnsi="Times New Roman" w:cs="Times New Roman"/>
          <w:lang w:val="en-IN"/>
        </w:rPr>
        <w:t xml:space="preserve">This trend represents a secondary stress response linked to modifications in energy pathways driven by osmoregulatory demands (Arjona et al., 2009; Tseng and Hwang, 2008). While literature suggests that stable acclimation to intermediate salinities typically yields well-regulated, baseline plasma glucose levels (Bystriansky et al., 2007; Martínez-Álvarez et al., 2002), chronic challenges provoke prolonged homeostatic shifts. Fluctuations in blood haematocrit levels reflect shifts in total blood water content, erythrocyte mobilization, and metabolic adjustments (Iwama et al., 1989; Prodocimo et al., 2008). These parameters serve as sensitive biomarkers for evaluating the long-term physiological state of teleosts subjected to varying ambient salinities (Martínez-Álvarez et al., 2002; Jarvis and Ballantyne, 2003). Consequently, the sustained elevations in glucose and diminished haematocrit observed on Day 60 demonstrate that while </w:t>
      </w:r>
      <w:r w:rsidRPr="00CE22AF">
        <w:rPr>
          <w:rFonts w:ascii="Times New Roman" w:hAnsi="Times New Roman" w:cs="Times New Roman"/>
          <w:i/>
          <w:iCs/>
          <w:lang w:val="en-IN"/>
        </w:rPr>
        <w:t>T. blochii</w:t>
      </w:r>
      <w:r w:rsidRPr="00CE22AF">
        <w:rPr>
          <w:rFonts w:ascii="Times New Roman" w:hAnsi="Times New Roman" w:cs="Times New Roman"/>
          <w:lang w:val="en-IN"/>
        </w:rPr>
        <w:t xml:space="preserve"> survived the hyperosmotic and hypoosmotic trials, the extreme boundaries (</w:t>
      </w:r>
      <m:oMath>
        <m:r>
          <w:rPr>
            <w:rFonts w:ascii="Cambria Math" w:hAnsi="Cambria Math" w:cs="Times New Roman"/>
            <w:lang w:val="en-IN"/>
          </w:rPr>
          <m:t>5</m:t>
        </m:r>
        <m:r>
          <m:rPr>
            <m:nor/>
          </m:rPr>
          <w:rPr>
            <w:rFonts w:ascii="Times New Roman" w:hAnsi="Times New Roman" w:cs="Times New Roman"/>
            <w:lang w:val="en-IN"/>
          </w:rPr>
          <m:t> ppt</m:t>
        </m:r>
      </m:oMath>
      <w:r w:rsidRPr="00CE22AF">
        <w:rPr>
          <w:rFonts w:ascii="Times New Roman" w:hAnsi="Times New Roman" w:cs="Times New Roman"/>
          <w:lang w:val="en-IN"/>
        </w:rPr>
        <w:t xml:space="preserve"> and </w:t>
      </w:r>
      <m:oMath>
        <m:r>
          <w:rPr>
            <w:rFonts w:ascii="Cambria Math" w:hAnsi="Cambria Math" w:cs="Times New Roman"/>
            <w:lang w:val="en-IN"/>
          </w:rPr>
          <m:t>35</m:t>
        </m:r>
        <m:r>
          <m:rPr>
            <m:nor/>
          </m:rPr>
          <w:rPr>
            <w:rFonts w:ascii="Times New Roman" w:hAnsi="Times New Roman" w:cs="Times New Roman"/>
            <w:lang w:val="en-IN"/>
          </w:rPr>
          <m:t> ppt</m:t>
        </m:r>
      </m:oMath>
      <w:r w:rsidRPr="00CE22AF">
        <w:rPr>
          <w:rFonts w:ascii="Times New Roman" w:hAnsi="Times New Roman" w:cs="Times New Roman"/>
          <w:lang w:val="en-IN"/>
        </w:rPr>
        <w:t>) required continuous metabolic compensation.</w:t>
      </w:r>
    </w:p>
    <w:p w14:paraId="4EB8F98F" w14:textId="77777777" w:rsidR="005F10F9" w:rsidRPr="00E301E4" w:rsidRDefault="005F10F9"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Impact of salinity on growth performance and osmoregulation</w:t>
      </w:r>
    </w:p>
    <w:p w14:paraId="3CCA5782" w14:textId="11383ECF" w:rsidR="00CE22AF" w:rsidRPr="00CE22AF" w:rsidRDefault="00CE22AF" w:rsidP="00CE22AF">
      <w:pPr>
        <w:tabs>
          <w:tab w:val="left" w:pos="2895"/>
        </w:tabs>
        <w:spacing w:line="276" w:lineRule="auto"/>
        <w:jc w:val="both"/>
        <w:rPr>
          <w:rFonts w:ascii="Times New Roman" w:hAnsi="Times New Roman" w:cs="Times New Roman"/>
          <w:color w:val="000000" w:themeColor="text1"/>
          <w:sz w:val="24"/>
          <w:szCs w:val="24"/>
        </w:rPr>
      </w:pPr>
      <w:r w:rsidRPr="00CE22AF">
        <w:rPr>
          <w:rFonts w:ascii="Times New Roman" w:hAnsi="Times New Roman" w:cs="Times New Roman"/>
          <w:color w:val="000000" w:themeColor="text1"/>
          <w:sz w:val="24"/>
          <w:szCs w:val="24"/>
        </w:rPr>
        <w:t xml:space="preserve">Ambient salinity acts as a major limiting factor governing the growth dynamics and osmoregulatory budgets of teleosts, including carangids (Ma et al., 2016; Barman et al., 2005; Boeuf and Payan, 2001; Martínez-Palacios et al., 2004; Rocha et al., 2005). Interestingly, the growth response of T. blochii differs slightly from the patterns reported for juvenile Florida pompano (Trachinotus carolinus). While T. carolinus demonstrated excellent growth metrics when reared at a low salinity of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xml:space="preserve"> over an extended 110-day trial, the juvenile T. blochii in the present study achieved maximum somatic growth (body length and weight gain) at an intermediate isosmotic salinity (</w:t>
      </w:r>
      <m:oMath>
        <m:r>
          <m:rPr>
            <m:sty m:val="p"/>
          </m:rPr>
          <w:rPr>
            <w:rFonts w:ascii="Cambria Math" w:hAnsi="Cambria Math" w:cs="Times New Roman"/>
            <w:color w:val="000000" w:themeColor="text1"/>
            <w:sz w:val="24"/>
            <w:szCs w:val="24"/>
          </w:rPr>
          <m:t>15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outperforming both the full marine (</w:t>
      </w:r>
      <m:oMath>
        <m:r>
          <m:rPr>
            <m:sty m:val="p"/>
          </m:rPr>
          <w:rPr>
            <w:rFonts w:ascii="Cambria Math" w:hAnsi="Cambria Math" w:cs="Times New Roman"/>
            <w:color w:val="000000" w:themeColor="text1"/>
            <w:sz w:val="24"/>
            <w:szCs w:val="24"/>
          </w:rPr>
          <m:t>35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and extreme hypoosmotic (</w:t>
      </w:r>
      <m:oMath>
        <m:r>
          <m:rPr>
            <m:sty m:val="p"/>
          </m:rPr>
          <w:rPr>
            <w:rFonts w:ascii="Cambria Math" w:hAnsi="Cambria Math" w:cs="Times New Roman"/>
            <w:color w:val="000000" w:themeColor="text1"/>
            <w:sz w:val="24"/>
            <w:szCs w:val="24"/>
          </w:rPr>
          <m:t>5</m:t>
        </m:r>
        <m:r>
          <m:rPr>
            <m:nor/>
          </m:rPr>
          <w:rPr>
            <w:rFonts w:ascii="Times New Roman" w:hAnsi="Times New Roman" w:cs="Times New Roman"/>
            <w:color w:val="000000" w:themeColor="text1"/>
            <w:sz w:val="24"/>
            <w:szCs w:val="24"/>
          </w:rPr>
          <m:t> ppt</m:t>
        </m:r>
      </m:oMath>
      <w:r w:rsidRPr="00CE22AF">
        <w:rPr>
          <w:rFonts w:ascii="Times New Roman" w:hAnsi="Times New Roman" w:cs="Times New Roman"/>
          <w:color w:val="000000" w:themeColor="text1"/>
          <w:sz w:val="24"/>
          <w:szCs w:val="24"/>
        </w:rPr>
        <w:t>) cohorts over the 60-day trial (Weirich et al., 2009).</w:t>
      </w:r>
    </w:p>
    <w:p w14:paraId="0221A8F1" w14:textId="605AD7C0" w:rsidR="00C52F74" w:rsidRDefault="00CE22AF" w:rsidP="00D8600A">
      <w:pPr>
        <w:tabs>
          <w:tab w:val="left" w:pos="2895"/>
        </w:tabs>
        <w:spacing w:line="276" w:lineRule="auto"/>
        <w:jc w:val="both"/>
        <w:rPr>
          <w:rFonts w:ascii="Times New Roman" w:hAnsi="Times New Roman" w:cs="Times New Roman"/>
          <w:color w:val="000000" w:themeColor="text1"/>
          <w:sz w:val="24"/>
          <w:szCs w:val="24"/>
        </w:rPr>
      </w:pPr>
      <w:r w:rsidRPr="00CE22AF">
        <w:rPr>
          <w:rFonts w:ascii="Times New Roman" w:hAnsi="Times New Roman" w:cs="Times New Roman"/>
          <w:color w:val="000000" w:themeColor="text1"/>
          <w:spacing w:val="-4"/>
          <w:w w:val="105"/>
          <w:sz w:val="24"/>
          <w:szCs w:val="24"/>
        </w:rPr>
        <w:t xml:space="preserve">The active transport of </w:t>
      </w:r>
      <m:oMath>
        <m:sSup>
          <m:sSupPr>
            <m:ctrlPr>
              <w:rPr>
                <w:rFonts w:ascii="Cambria Math" w:hAnsi="Cambria Math" w:cs="Times New Roman"/>
                <w:color w:val="000000" w:themeColor="text1"/>
                <w:spacing w:val="-4"/>
                <w:w w:val="105"/>
                <w:sz w:val="24"/>
                <w:szCs w:val="24"/>
              </w:rPr>
            </m:ctrlPr>
          </m:sSupPr>
          <m:e>
            <m:r>
              <m:rPr>
                <m:nor/>
              </m:rPr>
              <w:rPr>
                <w:rFonts w:ascii="Times New Roman" w:hAnsi="Times New Roman" w:cs="Times New Roman"/>
                <w:color w:val="000000" w:themeColor="text1"/>
                <w:spacing w:val="-4"/>
                <w:w w:val="105"/>
                <w:sz w:val="24"/>
                <w:szCs w:val="24"/>
              </w:rPr>
              <m:t>Na</m:t>
            </m:r>
          </m:e>
          <m:sup>
            <m:r>
              <w:rPr>
                <w:rFonts w:ascii="Cambria Math" w:hAnsi="Cambria Math" w:cs="Times New Roman"/>
                <w:color w:val="000000" w:themeColor="text1"/>
                <w:spacing w:val="-4"/>
                <w:w w:val="105"/>
                <w:sz w:val="24"/>
                <w:szCs w:val="24"/>
              </w:rPr>
              <m:t>+</m:t>
            </m:r>
          </m:sup>
        </m:sSup>
      </m:oMath>
      <w:r w:rsidRPr="00CE22AF">
        <w:rPr>
          <w:rFonts w:ascii="Times New Roman" w:hAnsi="Times New Roman" w:cs="Times New Roman"/>
          <w:color w:val="000000" w:themeColor="text1"/>
          <w:spacing w:val="-4"/>
          <w:w w:val="105"/>
          <w:sz w:val="24"/>
          <w:szCs w:val="24"/>
        </w:rPr>
        <w:t xml:space="preserve"> and </w:t>
      </w:r>
      <m:oMath>
        <m:sSup>
          <m:sSupPr>
            <m:ctrlPr>
              <w:rPr>
                <w:rFonts w:ascii="Cambria Math" w:hAnsi="Cambria Math" w:cs="Times New Roman"/>
                <w:color w:val="000000" w:themeColor="text1"/>
                <w:spacing w:val="-4"/>
                <w:w w:val="105"/>
                <w:sz w:val="24"/>
                <w:szCs w:val="24"/>
              </w:rPr>
            </m:ctrlPr>
          </m:sSupPr>
          <m:e>
            <m:r>
              <m:rPr>
                <m:nor/>
              </m:rPr>
              <w:rPr>
                <w:rFonts w:ascii="Times New Roman" w:hAnsi="Times New Roman" w:cs="Times New Roman"/>
                <w:color w:val="000000" w:themeColor="text1"/>
                <w:spacing w:val="-4"/>
                <w:w w:val="105"/>
                <w:sz w:val="24"/>
                <w:szCs w:val="24"/>
              </w:rPr>
              <m:t>Cl</m:t>
            </m:r>
          </m:e>
          <m:sup>
            <m:r>
              <w:rPr>
                <w:rFonts w:ascii="Cambria Math" w:hAnsi="Cambria Math" w:cs="Times New Roman"/>
                <w:color w:val="000000" w:themeColor="text1"/>
                <w:spacing w:val="-4"/>
                <w:w w:val="105"/>
                <w:sz w:val="24"/>
                <w:szCs w:val="24"/>
              </w:rPr>
              <m:t>-</m:t>
            </m:r>
          </m:sup>
        </m:sSup>
      </m:oMath>
      <w:r w:rsidRPr="00CE22AF">
        <w:rPr>
          <w:rFonts w:ascii="Times New Roman" w:hAnsi="Times New Roman" w:cs="Times New Roman"/>
          <w:color w:val="000000" w:themeColor="text1"/>
          <w:spacing w:val="-4"/>
          <w:w w:val="105"/>
          <w:sz w:val="24"/>
          <w:szCs w:val="24"/>
        </w:rPr>
        <w:t xml:space="preserve"> ions across the branchial epithelium during osmotic transitions is mediated by specialized ionocytes (chloride cells) located within the gills, which orchestrate systemic ionic homeostasis in euryhaline species (Kaplan et al., 2002; Herrera et al., 2009; Laiz-Carrión et al., 2005; McCormick et al., 2009). Comparative histomorphometrical evaluations among the experimental cohorts revealed profound alterations in gill epithelial thickness, ionocyte counts, and mucosal cell populations. Notably, juveniles reared at </w:t>
      </w:r>
      <m:oMath>
        <m:r>
          <w:rPr>
            <w:rFonts w:ascii="Cambria Math" w:hAnsi="Cambria Math" w:cs="Times New Roman"/>
            <w:color w:val="000000" w:themeColor="text1"/>
            <w:spacing w:val="-4"/>
            <w:w w:val="105"/>
            <w:sz w:val="24"/>
            <w:szCs w:val="24"/>
          </w:rPr>
          <m:t>5</m:t>
        </m:r>
        <m:r>
          <m:rPr>
            <m:nor/>
          </m:rPr>
          <w:rPr>
            <w:rFonts w:ascii="Times New Roman" w:hAnsi="Times New Roman" w:cs="Times New Roman"/>
            <w:color w:val="000000" w:themeColor="text1"/>
            <w:spacing w:val="-4"/>
            <w:w w:val="105"/>
            <w:sz w:val="24"/>
            <w:szCs w:val="24"/>
          </w:rPr>
          <m:t> ppt</m:t>
        </m:r>
      </m:oMath>
      <w:r w:rsidRPr="00CE22AF">
        <w:rPr>
          <w:rFonts w:ascii="Times New Roman" w:hAnsi="Times New Roman" w:cs="Times New Roman"/>
          <w:color w:val="000000" w:themeColor="text1"/>
          <w:spacing w:val="-4"/>
          <w:w w:val="105"/>
          <w:sz w:val="24"/>
          <w:szCs w:val="24"/>
        </w:rPr>
        <w:t xml:space="preserve"> presented a lower density of mature mucosal cells and active branchial ionocytes relative to the hyperosmotic control cohort (</w:t>
      </w:r>
      <m:oMath>
        <m:r>
          <w:rPr>
            <w:rFonts w:ascii="Cambria Math" w:hAnsi="Cambria Math" w:cs="Times New Roman"/>
            <w:color w:val="000000" w:themeColor="text1"/>
            <w:spacing w:val="-4"/>
            <w:w w:val="105"/>
            <w:sz w:val="24"/>
            <w:szCs w:val="24"/>
          </w:rPr>
          <m:t>35</m:t>
        </m:r>
        <m:r>
          <m:rPr>
            <m:nor/>
          </m:rPr>
          <w:rPr>
            <w:rFonts w:ascii="Times New Roman" w:hAnsi="Times New Roman" w:cs="Times New Roman"/>
            <w:color w:val="000000" w:themeColor="text1"/>
            <w:spacing w:val="-4"/>
            <w:w w:val="105"/>
            <w:sz w:val="24"/>
            <w:szCs w:val="24"/>
          </w:rPr>
          <m:t> ppt</m:t>
        </m:r>
      </m:oMath>
      <w:r w:rsidRPr="00CE22AF">
        <w:rPr>
          <w:rFonts w:ascii="Times New Roman" w:hAnsi="Times New Roman" w:cs="Times New Roman"/>
          <w:color w:val="000000" w:themeColor="text1"/>
          <w:spacing w:val="-4"/>
          <w:w w:val="105"/>
          <w:sz w:val="24"/>
          <w:szCs w:val="24"/>
        </w:rPr>
        <w:t>), matching the structural adaptations typically seen during long-term dilute-medium acclimation.</w:t>
      </w:r>
      <w:r w:rsidR="00C52F74">
        <w:rPr>
          <w:rFonts w:ascii="Times New Roman" w:hAnsi="Times New Roman" w:cs="Times New Roman"/>
          <w:color w:val="000000" w:themeColor="text1"/>
          <w:spacing w:val="-4"/>
          <w:w w:val="105"/>
          <w:sz w:val="24"/>
          <w:szCs w:val="24"/>
        </w:rPr>
        <w:t xml:space="preserve"> </w:t>
      </w:r>
      <w:r w:rsidR="00C52F74" w:rsidRPr="00C52F74">
        <w:rPr>
          <w:rFonts w:ascii="Times New Roman" w:hAnsi="Times New Roman" w:cs="Times New Roman"/>
          <w:color w:val="000000" w:themeColor="text1"/>
          <w:sz w:val="24"/>
          <w:szCs w:val="24"/>
        </w:rPr>
        <w:t xml:space="preserve">Consequently, these observations suggest that in juvenile </w:t>
      </w:r>
      <w:r w:rsidR="00C52F74" w:rsidRPr="00C52F74">
        <w:rPr>
          <w:rFonts w:ascii="Times New Roman" w:hAnsi="Times New Roman" w:cs="Times New Roman"/>
          <w:i/>
          <w:iCs/>
          <w:color w:val="000000" w:themeColor="text1"/>
          <w:sz w:val="24"/>
          <w:szCs w:val="24"/>
        </w:rPr>
        <w:t>T. blochii</w:t>
      </w:r>
      <w:r w:rsidR="00C52F74" w:rsidRPr="00C52F74">
        <w:rPr>
          <w:rFonts w:ascii="Times New Roman" w:hAnsi="Times New Roman" w:cs="Times New Roman"/>
          <w:color w:val="000000" w:themeColor="text1"/>
          <w:sz w:val="24"/>
          <w:szCs w:val="24"/>
        </w:rPr>
        <w:t xml:space="preserve"> exposed to hypoosmotic </w:t>
      </w:r>
      <w:r w:rsidR="00C52F74" w:rsidRPr="00C52F74">
        <w:rPr>
          <w:rFonts w:ascii="Times New Roman" w:hAnsi="Times New Roman" w:cs="Times New Roman"/>
          <w:color w:val="000000" w:themeColor="text1"/>
          <w:sz w:val="24"/>
          <w:szCs w:val="24"/>
        </w:rPr>
        <w:lastRenderedPageBreak/>
        <w:t>environments, homeostatic adjustments do not always change symmetrically with circulating physiological stress markers.</w:t>
      </w:r>
    </w:p>
    <w:p w14:paraId="2BEDFE51" w14:textId="071380E0" w:rsidR="00C52F74" w:rsidRPr="00C52F74" w:rsidRDefault="00C52F74" w:rsidP="00C52F74">
      <w:pPr>
        <w:spacing w:after="0" w:line="276" w:lineRule="auto"/>
        <w:jc w:val="both"/>
        <w:rPr>
          <w:rFonts w:ascii="Times New Roman" w:hAnsi="Times New Roman" w:cs="Times New Roman"/>
          <w:sz w:val="24"/>
          <w:szCs w:val="24"/>
        </w:rPr>
      </w:pPr>
      <w:r w:rsidRPr="00C52F74">
        <w:rPr>
          <w:rFonts w:ascii="Times New Roman" w:hAnsi="Times New Roman" w:cs="Times New Roman"/>
          <w:sz w:val="24"/>
          <w:szCs w:val="24"/>
        </w:rPr>
        <w:t>In teleosts, the hepatic tissue serves as the primary metabolic center for fatty acid synthesis, ammoniogenesis, gluconeogenesis, and glycogen-glucose cycling (Mommsen et al., 1999; Peragón et al., 1998). The present</w:t>
      </w:r>
      <w:r>
        <w:rPr>
          <w:rFonts w:ascii="Times New Roman" w:hAnsi="Times New Roman" w:cs="Times New Roman"/>
          <w:sz w:val="24"/>
          <w:szCs w:val="24"/>
        </w:rPr>
        <w:t xml:space="preserve"> study</w:t>
      </w:r>
      <w:r w:rsidRPr="00C52F74">
        <w:rPr>
          <w:rFonts w:ascii="Times New Roman" w:hAnsi="Times New Roman" w:cs="Times New Roman"/>
          <w:sz w:val="24"/>
          <w:szCs w:val="24"/>
        </w:rPr>
        <w:t xml:space="preserve"> revealed that decreasing environmental salinity triggered a substantial depletion of hepatic glycogen reserves. This indicates that the energetic costs of hyper-osmoregulation in juvenile </w:t>
      </w:r>
      <w:r w:rsidRPr="00C52F74">
        <w:rPr>
          <w:rFonts w:ascii="Times New Roman" w:hAnsi="Times New Roman" w:cs="Times New Roman"/>
          <w:i/>
          <w:iCs/>
          <w:sz w:val="24"/>
          <w:szCs w:val="24"/>
        </w:rPr>
        <w:t>T. blochii</w:t>
      </w:r>
      <w:r w:rsidRPr="00C52F74">
        <w:rPr>
          <w:rFonts w:ascii="Times New Roman" w:hAnsi="Times New Roman" w:cs="Times New Roman"/>
          <w:sz w:val="24"/>
          <w:szCs w:val="24"/>
        </w:rPr>
        <w:t xml:space="preserve"> increase significantly under severe hypoosmotic stress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C52F74">
        <w:rPr>
          <w:rFonts w:ascii="Times New Roman" w:hAnsi="Times New Roman" w:cs="Times New Roman"/>
          <w:sz w:val="24"/>
          <w:szCs w:val="24"/>
        </w:rPr>
        <w:t>). Such elevated metabolic demands can subsequently alter feed ingestion, digestive enzyme activity, and nutrient absorption efficiency due to the high metabolic overhead dictated by active ion transport mechanisms in dilute media (Rubio et al., 2005).</w:t>
      </w:r>
    </w:p>
    <w:p w14:paraId="1987EF39" w14:textId="4AC71EBB" w:rsidR="008D2C1E" w:rsidRPr="00E301E4" w:rsidRDefault="005F10F9" w:rsidP="00D8600A">
      <w:pPr>
        <w:spacing w:after="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Summary and Conclusion</w:t>
      </w:r>
    </w:p>
    <w:p w14:paraId="747D720C" w14:textId="67357F76" w:rsidR="001F68FE" w:rsidRPr="001F68FE" w:rsidRDefault="001F68FE" w:rsidP="001F68FE">
      <w:pPr>
        <w:pStyle w:val="BodyText"/>
        <w:spacing w:line="276" w:lineRule="auto"/>
        <w:jc w:val="both"/>
        <w:rPr>
          <w:rFonts w:ascii="Times New Roman" w:hAnsi="Times New Roman" w:cs="Times New Roman"/>
          <w:lang w:val="en-IN"/>
        </w:rPr>
      </w:pPr>
      <w:r w:rsidRPr="001F68FE">
        <w:rPr>
          <w:rFonts w:ascii="Times New Roman" w:hAnsi="Times New Roman" w:cs="Times New Roman"/>
          <w:lang w:val="en-IN"/>
        </w:rPr>
        <w:t>The 60-day experimental trial demonstrates that integrating split bamboo substrates for periphyton development provides an effective production framework for juvenile silver pompano (</w:t>
      </w:r>
      <w:r w:rsidRPr="001F68FE">
        <w:rPr>
          <w:rFonts w:ascii="Times New Roman" w:hAnsi="Times New Roman" w:cs="Times New Roman"/>
          <w:i/>
          <w:iCs/>
          <w:lang w:val="en-IN"/>
        </w:rPr>
        <w:t>Trachinotus blochii</w:t>
      </w:r>
      <w:r w:rsidRPr="001F68FE">
        <w:rPr>
          <w:rFonts w:ascii="Times New Roman" w:hAnsi="Times New Roman" w:cs="Times New Roman"/>
          <w:lang w:val="en-IN"/>
        </w:rPr>
        <w:t xml:space="preserve">) reared under brackish water conditions, with optimal performance achieved at an intermediate salinity of </w:t>
      </w:r>
      <m:oMath>
        <m:r>
          <w:rPr>
            <w:rFonts w:ascii="Cambria Math" w:hAnsi="Cambria Math" w:cs="Times New Roman"/>
            <w:lang w:val="en-IN"/>
          </w:rPr>
          <m:t>15</m:t>
        </m:r>
        <m:r>
          <m:rPr>
            <m:nor/>
          </m:rPr>
          <w:rPr>
            <w:rFonts w:ascii="Times New Roman" w:hAnsi="Times New Roman" w:cs="Times New Roman"/>
            <w:lang w:val="en-IN"/>
          </w:rPr>
          <m:t> ppt</m:t>
        </m:r>
      </m:oMath>
      <w:r w:rsidRPr="001F68FE">
        <w:rPr>
          <w:rFonts w:ascii="Times New Roman" w:hAnsi="Times New Roman" w:cs="Times New Roman"/>
          <w:lang w:val="en-IN"/>
        </w:rPr>
        <w:t xml:space="preserve"> (T2). This specific combination optimizes ambient water quality parameters, supports robust periphyton colonization, and significantly enhances somatic growth rates, metabolic efficiency, and juvenile survival. Operating at this isosmotic salinity zone (</w:t>
      </w:r>
      <m:oMath>
        <m:r>
          <w:rPr>
            <w:rFonts w:ascii="Cambria Math" w:hAnsi="Cambria Math" w:cs="Times New Roman"/>
            <w:lang w:val="en-IN"/>
          </w:rPr>
          <m:t>15</m:t>
        </m:r>
        <m:r>
          <m:rPr>
            <m:nor/>
          </m:rPr>
          <w:rPr>
            <w:rFonts w:ascii="Times New Roman" w:hAnsi="Times New Roman" w:cs="Times New Roman"/>
            <w:lang w:val="en-IN"/>
          </w:rPr>
          <m:t> ppt</m:t>
        </m:r>
      </m:oMath>
      <w:r w:rsidRPr="001F68FE">
        <w:rPr>
          <w:rFonts w:ascii="Times New Roman" w:hAnsi="Times New Roman" w:cs="Times New Roman"/>
          <w:lang w:val="en-IN"/>
        </w:rPr>
        <w:t xml:space="preserve">) effectively minimizes internal osmoregulatory energetic workloads, allowing maximum dietary energy allocation toward tissue synthesis and biomass accumulation. Consequently, for the commercial optimization of </w:t>
      </w:r>
      <w:r w:rsidRPr="001F68FE">
        <w:rPr>
          <w:rFonts w:ascii="Times New Roman" w:hAnsi="Times New Roman" w:cs="Times New Roman"/>
          <w:i/>
          <w:iCs/>
          <w:lang w:val="en-IN"/>
        </w:rPr>
        <w:t>T. blochii</w:t>
      </w:r>
      <w:r w:rsidRPr="001F68FE">
        <w:rPr>
          <w:rFonts w:ascii="Times New Roman" w:hAnsi="Times New Roman" w:cs="Times New Roman"/>
          <w:lang w:val="en-IN"/>
        </w:rPr>
        <w:t xml:space="preserve"> nursery systems, managing production facilities within an intermediate salinity range (</w:t>
      </w:r>
      <m:oMath>
        <m:r>
          <w:rPr>
            <w:rFonts w:ascii="Cambria Math" w:hAnsi="Cambria Math" w:cs="Times New Roman"/>
            <w:lang w:val="en-IN"/>
          </w:rPr>
          <m:t>15</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1F68FE">
        <w:rPr>
          <w:rFonts w:ascii="Times New Roman" w:hAnsi="Times New Roman" w:cs="Times New Roman"/>
          <w:lang w:val="en-IN"/>
        </w:rPr>
        <w:t>) alongside natural periphyton substrate supplementation offers a highly viable strategy for improving growth performance, physiological stamina, and overall production efficiency.</w:t>
      </w:r>
    </w:p>
    <w:p w14:paraId="03374482" w14:textId="77B74EB1" w:rsidR="001F68FE" w:rsidRPr="001F68FE" w:rsidRDefault="001F68FE" w:rsidP="001F68FE">
      <w:pPr>
        <w:pStyle w:val="BodyText"/>
        <w:spacing w:line="276" w:lineRule="auto"/>
        <w:ind w:firstLine="239"/>
        <w:jc w:val="both"/>
        <w:rPr>
          <w:rFonts w:ascii="Times New Roman" w:hAnsi="Times New Roman" w:cs="Times New Roman"/>
          <w:color w:val="000000" w:themeColor="text1"/>
        </w:rPr>
      </w:pPr>
      <w:r w:rsidRPr="001F68FE">
        <w:rPr>
          <w:rFonts w:ascii="Times New Roman" w:hAnsi="Times New Roman" w:cs="Times New Roman"/>
          <w:color w:val="000000" w:themeColor="text1"/>
        </w:rPr>
        <w:t xml:space="preserve">Collectively, establishing periphyton-based nursery systems at an intermediate salinity of </w:t>
      </w:r>
      <m:oMath>
        <m:r>
          <w:rPr>
            <w:rFonts w:ascii="Cambria Math" w:hAnsi="Cambria Math" w:cs="Times New Roman"/>
            <w:color w:val="000000" w:themeColor="text1"/>
          </w:rPr>
          <m:t>15</m:t>
        </m:r>
        <m:r>
          <m:rPr>
            <m:nor/>
          </m:rPr>
          <w:rPr>
            <w:rFonts w:ascii="Times New Roman" w:hAnsi="Times New Roman" w:cs="Times New Roman"/>
            <w:color w:val="000000" w:themeColor="text1"/>
          </w:rPr>
          <m:t> ppt</m:t>
        </m:r>
      </m:oMath>
      <w:r w:rsidRPr="001F68FE">
        <w:rPr>
          <w:rFonts w:ascii="Times New Roman" w:hAnsi="Times New Roman" w:cs="Times New Roman"/>
          <w:color w:val="000000" w:themeColor="text1"/>
        </w:rPr>
        <w:t xml:space="preserve"> provides a highly effective strategy for the production of </w:t>
      </w:r>
      <w:r w:rsidRPr="001F68FE">
        <w:rPr>
          <w:rFonts w:ascii="Times New Roman" w:hAnsi="Times New Roman" w:cs="Times New Roman"/>
          <w:i/>
          <w:iCs/>
          <w:color w:val="000000" w:themeColor="text1"/>
        </w:rPr>
        <w:t>Trachinotus blochii</w:t>
      </w:r>
      <w:r w:rsidRPr="001F68FE">
        <w:rPr>
          <w:rFonts w:ascii="Times New Roman" w:hAnsi="Times New Roman" w:cs="Times New Roman"/>
          <w:color w:val="000000" w:themeColor="text1"/>
        </w:rPr>
        <w:t>. The experimental findings demonstrate that ambient salinity exert a highly significant impact (</w:t>
      </w:r>
      <m:oMath>
        <m:r>
          <w:rPr>
            <w:rFonts w:ascii="Cambria Math" w:hAnsi="Cambria Math" w:cs="Times New Roman"/>
            <w:color w:val="000000" w:themeColor="text1"/>
          </w:rPr>
          <m:t>p&lt;0.05</m:t>
        </m:r>
      </m:oMath>
      <w:r w:rsidRPr="001F68FE">
        <w:rPr>
          <w:rFonts w:ascii="Times New Roman" w:hAnsi="Times New Roman" w:cs="Times New Roman"/>
          <w:color w:val="000000" w:themeColor="text1"/>
        </w:rPr>
        <w:t>) on growth indicators, survival rates, endocrine stress responses, and periphyton community development over the 60-day rearing period. While intermediate osmotic conditions (</w:t>
      </w:r>
      <m:oMath>
        <m:r>
          <w:rPr>
            <w:rFonts w:ascii="Cambria Math" w:hAnsi="Cambria Math" w:cs="Times New Roman"/>
            <w:color w:val="000000" w:themeColor="text1"/>
          </w:rPr>
          <m:t>15</m:t>
        </m:r>
        <m:r>
          <m:rPr>
            <m:nor/>
          </m:rPr>
          <w:rPr>
            <w:rFonts w:ascii="Times New Roman" w:hAnsi="Times New Roman" w:cs="Times New Roman"/>
            <w:color w:val="000000" w:themeColor="text1"/>
          </w:rPr>
          <m:t> ppt</m:t>
        </m:r>
      </m:oMath>
      <w:r w:rsidRPr="001F68FE">
        <w:rPr>
          <w:rFonts w:ascii="Times New Roman" w:hAnsi="Times New Roman" w:cs="Times New Roman"/>
          <w:color w:val="000000" w:themeColor="text1"/>
        </w:rPr>
        <w:t>) preserved organ integrity and sustained normal baseline functions, extreme low-salinity exposure (</w:t>
      </w:r>
      <m:oMath>
        <m:r>
          <w:rPr>
            <w:rFonts w:ascii="Cambria Math" w:hAnsi="Cambria Math" w:cs="Times New Roman"/>
            <w:color w:val="000000" w:themeColor="text1"/>
          </w:rPr>
          <m:t>5</m:t>
        </m:r>
        <m:r>
          <m:rPr>
            <m:nor/>
          </m:rPr>
          <w:rPr>
            <w:rFonts w:ascii="Times New Roman" w:hAnsi="Times New Roman" w:cs="Times New Roman"/>
            <w:color w:val="000000" w:themeColor="text1"/>
          </w:rPr>
          <m:t> ppt</m:t>
        </m:r>
      </m:oMath>
      <w:r w:rsidRPr="001F68FE">
        <w:rPr>
          <w:rFonts w:ascii="Times New Roman" w:hAnsi="Times New Roman" w:cs="Times New Roman"/>
          <w:color w:val="000000" w:themeColor="text1"/>
        </w:rPr>
        <w:t>) induced prominent histopathological modifications within target osmoregulatory and metabolic tissues. Maximized production values</w:t>
      </w:r>
      <w:r>
        <w:rPr>
          <w:rFonts w:ascii="Times New Roman" w:hAnsi="Times New Roman" w:cs="Times New Roman"/>
          <w:color w:val="000000" w:themeColor="text1"/>
        </w:rPr>
        <w:t xml:space="preserve"> </w:t>
      </w:r>
      <w:r w:rsidRPr="001F68FE">
        <w:rPr>
          <w:rFonts w:ascii="Times New Roman" w:hAnsi="Times New Roman" w:cs="Times New Roman"/>
          <w:color w:val="000000" w:themeColor="text1"/>
        </w:rPr>
        <w:t xml:space="preserve">including an absolute weight gain of </w:t>
      </w:r>
      <m:oMath>
        <m:r>
          <w:rPr>
            <w:rFonts w:ascii="Cambria Math" w:hAnsi="Cambria Math" w:cs="Times New Roman"/>
            <w:color w:val="000000" w:themeColor="text1"/>
          </w:rPr>
          <m:t>15.30±0.97</m:t>
        </m:r>
        <m:r>
          <m:rPr>
            <m:nor/>
          </m:rPr>
          <w:rPr>
            <w:rFonts w:ascii="Times New Roman" w:hAnsi="Times New Roman" w:cs="Times New Roman"/>
            <w:color w:val="000000" w:themeColor="text1"/>
          </w:rPr>
          <m:t> g</m:t>
        </m:r>
      </m:oMath>
      <w:r w:rsidRPr="001F68FE">
        <w:rPr>
          <w:rFonts w:ascii="Times New Roman" w:hAnsi="Times New Roman" w:cs="Times New Roman"/>
          <w:color w:val="000000" w:themeColor="text1"/>
        </w:rPr>
        <w:t xml:space="preserve">, absolute length expansion of </w:t>
      </w:r>
      <m:oMath>
        <m:r>
          <w:rPr>
            <w:rFonts w:ascii="Cambria Math" w:hAnsi="Cambria Math" w:cs="Times New Roman"/>
            <w:color w:val="000000" w:themeColor="text1"/>
          </w:rPr>
          <m:t>12.60±0.10</m:t>
        </m:r>
        <m:r>
          <m:rPr>
            <m:nor/>
          </m:rPr>
          <w:rPr>
            <w:rFonts w:ascii="Times New Roman" w:hAnsi="Times New Roman" w:cs="Times New Roman"/>
            <w:color w:val="000000" w:themeColor="text1"/>
          </w:rPr>
          <m:t> cm</m:t>
        </m:r>
      </m:oMath>
      <w:r w:rsidRPr="001F68FE">
        <w:rPr>
          <w:rFonts w:ascii="Times New Roman" w:hAnsi="Times New Roman" w:cs="Times New Roman"/>
          <w:color w:val="000000" w:themeColor="text1"/>
        </w:rPr>
        <w:t xml:space="preserve">, and a specific growth rate of </w:t>
      </w:r>
      <m:oMath>
        <m:r>
          <w:rPr>
            <w:rFonts w:ascii="Cambria Math" w:hAnsi="Cambria Math" w:cs="Times New Roman"/>
            <w:color w:val="000000" w:themeColor="text1"/>
          </w:rPr>
          <m:t>11.66±0.23%</m:t>
        </m:r>
        <m:sSup>
          <m:sSupPr>
            <m:ctrlPr>
              <w:rPr>
                <w:rFonts w:ascii="Cambria Math" w:hAnsi="Cambria Math" w:cs="Times New Roman"/>
                <w:color w:val="000000" w:themeColor="text1"/>
              </w:rPr>
            </m:ctrlPr>
          </m:sSupPr>
          <m:e>
            <m:r>
              <m:rPr>
                <m:nor/>
              </m:rPr>
              <w:rPr>
                <w:rFonts w:ascii="Times New Roman" w:hAnsi="Times New Roman" w:cs="Times New Roman"/>
                <w:color w:val="000000" w:themeColor="text1"/>
              </w:rPr>
              <m:t> day</m:t>
            </m:r>
          </m:e>
          <m:sup>
            <m:r>
              <w:rPr>
                <w:rFonts w:ascii="Cambria Math" w:hAnsi="Cambria Math" w:cs="Times New Roman"/>
                <w:color w:val="000000" w:themeColor="text1"/>
              </w:rPr>
              <m:t>-1</m:t>
            </m:r>
          </m:sup>
        </m:sSup>
      </m:oMath>
      <w:r w:rsidRPr="001F68FE">
        <w:rPr>
          <w:rFonts w:ascii="Times New Roman" w:hAnsi="Times New Roman" w:cs="Times New Roman"/>
          <w:color w:val="000000" w:themeColor="text1"/>
        </w:rPr>
        <w:t xml:space="preserve">confirm that the </w:t>
      </w:r>
      <m:oMath>
        <m:r>
          <w:rPr>
            <w:rFonts w:ascii="Cambria Math" w:hAnsi="Cambria Math" w:cs="Times New Roman"/>
            <w:color w:val="000000" w:themeColor="text1"/>
          </w:rPr>
          <m:t>15</m:t>
        </m:r>
        <m:r>
          <m:rPr>
            <m:nor/>
          </m:rPr>
          <w:rPr>
            <w:rFonts w:ascii="Times New Roman" w:hAnsi="Times New Roman" w:cs="Times New Roman"/>
            <w:color w:val="000000" w:themeColor="text1"/>
          </w:rPr>
          <m:t> ppt</m:t>
        </m:r>
      </m:oMath>
      <w:r w:rsidRPr="001F68FE">
        <w:rPr>
          <w:rFonts w:ascii="Times New Roman" w:hAnsi="Times New Roman" w:cs="Times New Roman"/>
          <w:color w:val="000000" w:themeColor="text1"/>
        </w:rPr>
        <w:t xml:space="preserve"> treatment framework yields the most robust biological performance.</w:t>
      </w:r>
    </w:p>
    <w:p w14:paraId="3CEE02A0" w14:textId="077C7D9E" w:rsidR="001F68FE" w:rsidRPr="001F68FE" w:rsidRDefault="001F68FE" w:rsidP="001F68FE">
      <w:pPr>
        <w:spacing w:line="276" w:lineRule="auto"/>
        <w:jc w:val="both"/>
        <w:rPr>
          <w:rFonts w:ascii="Times New Roman" w:hAnsi="Times New Roman" w:cs="Times New Roman"/>
          <w:sz w:val="24"/>
          <w:szCs w:val="24"/>
        </w:rPr>
      </w:pPr>
      <w:r w:rsidRPr="001F68FE">
        <w:rPr>
          <w:rFonts w:ascii="Times New Roman" w:hAnsi="Times New Roman" w:cs="Times New Roman"/>
          <w:sz w:val="24"/>
          <w:szCs w:val="24"/>
        </w:rPr>
        <w:t xml:space="preserve">The outcomes of this study confirm that juvenile </w:t>
      </w:r>
      <w:r w:rsidRPr="002353EF">
        <w:rPr>
          <w:rFonts w:ascii="Times New Roman" w:hAnsi="Times New Roman" w:cs="Times New Roman"/>
          <w:i/>
          <w:iCs/>
          <w:sz w:val="24"/>
          <w:szCs w:val="24"/>
        </w:rPr>
        <w:t>T. blochii</w:t>
      </w:r>
      <w:r w:rsidRPr="001F68FE">
        <w:rPr>
          <w:rFonts w:ascii="Times New Roman" w:hAnsi="Times New Roman" w:cs="Times New Roman"/>
          <w:sz w:val="24"/>
          <w:szCs w:val="24"/>
        </w:rPr>
        <w:t xml:space="preserve"> perform optimally at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1F68FE">
        <w:rPr>
          <w:rFonts w:ascii="Times New Roman" w:hAnsi="Times New Roman" w:cs="Times New Roman"/>
          <w:sz w:val="24"/>
          <w:szCs w:val="24"/>
        </w:rPr>
        <w:t>, aligning with the broader boundaries of low-salinity tolerances (</w:t>
      </w:r>
      <m:oMath>
        <m:r>
          <m:rPr>
            <m:sty m:val="p"/>
          </m:rPr>
          <w:rPr>
            <w:rFonts w:ascii="Cambria Math" w:hAnsi="Cambria Math" w:cs="Times New Roman"/>
            <w:sz w:val="24"/>
            <w:szCs w:val="24"/>
          </w:rPr>
          <m:t>10</m:t>
        </m:r>
        <m:r>
          <m:rPr>
            <m:nor/>
          </m:rPr>
          <w:rPr>
            <w:rFonts w:ascii="Times New Roman" w:hAnsi="Times New Roman" w:cs="Times New Roman"/>
            <w:sz w:val="24"/>
            <w:szCs w:val="24"/>
          </w:rPr>
          <m:t>–</m:t>
        </m:r>
        <m:r>
          <m:rPr>
            <m:sty m:val="p"/>
          </m:rPr>
          <w:rPr>
            <w:rFonts w:ascii="Cambria Math" w:hAnsi="Cambria Math" w:cs="Times New Roman"/>
            <w:sz w:val="24"/>
            <w:szCs w:val="24"/>
          </w:rPr>
          <m:t>25</m:t>
        </m:r>
        <m:r>
          <m:rPr>
            <m:nor/>
          </m:rPr>
          <w:rPr>
            <w:rFonts w:ascii="Times New Roman" w:hAnsi="Times New Roman" w:cs="Times New Roman"/>
            <w:sz w:val="24"/>
            <w:szCs w:val="24"/>
          </w:rPr>
          <m:t> ppt</m:t>
        </m:r>
      </m:oMath>
      <w:r w:rsidRPr="001F68FE">
        <w:rPr>
          <w:rFonts w:ascii="Times New Roman" w:hAnsi="Times New Roman" w:cs="Times New Roman"/>
          <w:sz w:val="24"/>
          <w:szCs w:val="24"/>
        </w:rPr>
        <w:t>) noted in prior literature. Rearing the fish within these intermediate brackish levels yields significantly enhanced growth metrics compared to baseline seawater environments (</w:t>
      </w:r>
      <m:oMath>
        <m:r>
          <m:rPr>
            <m:sty m:val="p"/>
          </m:rPr>
          <w:rPr>
            <w:rFonts w:ascii="Cambria Math" w:hAnsi="Cambria Math" w:cs="Times New Roman"/>
            <w:sz w:val="24"/>
            <w:szCs w:val="24"/>
          </w:rPr>
          <m:t>35</m:t>
        </m:r>
        <m:r>
          <m:rPr>
            <m:nor/>
          </m:rPr>
          <w:rPr>
            <w:rFonts w:ascii="Times New Roman" w:hAnsi="Times New Roman" w:cs="Times New Roman"/>
            <w:sz w:val="24"/>
            <w:szCs w:val="24"/>
          </w:rPr>
          <m:t> ppt</m:t>
        </m:r>
      </m:oMath>
      <w:r w:rsidRPr="001F68FE">
        <w:rPr>
          <w:rFonts w:ascii="Times New Roman" w:hAnsi="Times New Roman" w:cs="Times New Roman"/>
          <w:sz w:val="24"/>
          <w:szCs w:val="24"/>
        </w:rPr>
        <w:t xml:space="preserve">) over a 60-day lifecycle. At the cellular level, branchial ionocyte configurations alter dynamically to preserve plasma osmolality across different salinities. Optimization at an intermediate salinity zone </w:t>
      </w:r>
      <w:r w:rsidRPr="001F68FE">
        <w:rPr>
          <w:rFonts w:ascii="Times New Roman" w:hAnsi="Times New Roman" w:cs="Times New Roman"/>
          <w:sz w:val="24"/>
          <w:szCs w:val="24"/>
        </w:rPr>
        <w:lastRenderedPageBreak/>
        <w:t>reduces the active metabolic workload required for homeostatic balance, thereby conserving critical hepatic glycogen reserves to fuel somatic growth.</w:t>
      </w:r>
    </w:p>
    <w:p w14:paraId="11E77FBB" w14:textId="6AAF1C68" w:rsidR="001F68FE" w:rsidRDefault="001F68FE" w:rsidP="001F68FE">
      <w:pPr>
        <w:spacing w:line="276" w:lineRule="auto"/>
        <w:jc w:val="both"/>
        <w:rPr>
          <w:rFonts w:ascii="Times New Roman" w:hAnsi="Times New Roman" w:cs="Times New Roman"/>
          <w:sz w:val="24"/>
          <w:szCs w:val="24"/>
        </w:rPr>
      </w:pPr>
      <w:r w:rsidRPr="001F68FE">
        <w:rPr>
          <w:rFonts w:ascii="Times New Roman" w:hAnsi="Times New Roman" w:cs="Times New Roman"/>
          <w:sz w:val="24"/>
          <w:szCs w:val="24"/>
        </w:rPr>
        <w:t xml:space="preserve">The high final survival rates and steady behavioral stabilization across treatments demonstrate that juvenile silver pompano can successfully adapt to a wide spectrum of environmental salinities down to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1F68FE">
        <w:rPr>
          <w:rFonts w:ascii="Times New Roman" w:hAnsi="Times New Roman" w:cs="Times New Roman"/>
          <w:sz w:val="24"/>
          <w:szCs w:val="24"/>
        </w:rPr>
        <w:t>, provided proper step-down acclimation methods are followed. This physiological flexibility highlights the strong potential of T. blochii for expansion into inland brackish water systems and low-salinity coastal aquaculture. Ultimately, these data offer a comprehensive physiological profile that can guide commercial optimization, feed strategies, and environmental management for this high-value carangid species.</w:t>
      </w:r>
    </w:p>
    <w:p w14:paraId="61E2257A" w14:textId="77777777" w:rsidR="00B30C1C" w:rsidRPr="00B30C1C" w:rsidRDefault="00B30C1C" w:rsidP="00B30C1C">
      <w:pPr>
        <w:spacing w:line="278" w:lineRule="auto"/>
        <w:rPr>
          <w:rFonts w:ascii="Arial" w:eastAsia="Calibri" w:hAnsi="Arial" w:cs="Arial"/>
          <w:b/>
          <w:bCs/>
          <w:kern w:val="2"/>
          <w:sz w:val="20"/>
          <w:szCs w:val="20"/>
          <w:lang w:val="en-US"/>
          <w14:ligatures w14:val="standardContextual"/>
        </w:rPr>
      </w:pPr>
      <w:r w:rsidRPr="00B30C1C">
        <w:rPr>
          <w:rFonts w:ascii="Arial" w:eastAsia="Calibri" w:hAnsi="Arial" w:cs="Arial"/>
          <w:b/>
          <w:bCs/>
          <w:kern w:val="2"/>
          <w:sz w:val="20"/>
          <w:szCs w:val="20"/>
          <w:lang w:val="en-US"/>
          <w14:ligatures w14:val="standardContextual"/>
        </w:rPr>
        <w:t>Declaration of AI Use</w:t>
      </w:r>
    </w:p>
    <w:p w14:paraId="3BC4AAFD" w14:textId="77777777" w:rsidR="00B30C1C" w:rsidRPr="00B30C1C" w:rsidRDefault="00B30C1C" w:rsidP="00B30C1C">
      <w:pPr>
        <w:spacing w:line="278" w:lineRule="auto"/>
        <w:jc w:val="both"/>
        <w:rPr>
          <w:rFonts w:ascii="Arial" w:eastAsia="Calibri" w:hAnsi="Arial" w:cs="Arial"/>
          <w:kern w:val="2"/>
          <w:sz w:val="20"/>
          <w:szCs w:val="20"/>
          <w:lang w:val="en-US"/>
          <w14:ligatures w14:val="standardContextual"/>
        </w:rPr>
      </w:pPr>
      <w:r w:rsidRPr="00B30C1C">
        <w:rPr>
          <w:rFonts w:ascii="Arial" w:eastAsia="Calibri" w:hAnsi="Arial" w:cs="Arial"/>
          <w:kern w:val="2"/>
          <w:sz w:val="20"/>
          <w:szCs w:val="20"/>
          <w:lang w:val="en-US"/>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4235F1B" w14:textId="77777777" w:rsidR="00B30C1C" w:rsidRPr="001F68FE" w:rsidRDefault="00B30C1C" w:rsidP="001F68FE">
      <w:pPr>
        <w:spacing w:line="276" w:lineRule="auto"/>
        <w:jc w:val="both"/>
        <w:rPr>
          <w:rFonts w:ascii="Times New Roman" w:hAnsi="Times New Roman" w:cs="Times New Roman"/>
          <w:sz w:val="24"/>
          <w:szCs w:val="24"/>
        </w:rPr>
      </w:pPr>
    </w:p>
    <w:p w14:paraId="50BAB32D" w14:textId="1D40A9A6" w:rsidR="00FA4EAE" w:rsidRPr="00E301E4" w:rsidRDefault="0073363B" w:rsidP="0073363B">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References</w:t>
      </w:r>
    </w:p>
    <w:p w14:paraId="68084909"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Abou Anni, I.S., Bianchini, A., Barcarolli, I.F., Junior, A.S.V., Robaldo, R.B., Tesser, M.B. &amp; Sampaio, L.A., 2016. Salinity influence on growth, osmoregulation and energy turnover in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Cuvier 1832.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455, pp.63–72.</w:t>
      </w:r>
    </w:p>
    <w:p w14:paraId="416AC975"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Arjona, F.J., Vargas-Chacoff, L., Ruiz-Jarabo, I., Gonçalves, O., Páscoa, I., del Río, M.P.M. &amp; Mancera, J.M., 2009. Tertiary stress responses in Senegalese sole (</w:t>
      </w:r>
      <w:r w:rsidRPr="00E301E4">
        <w:rPr>
          <w:rFonts w:ascii="Times New Roman" w:hAnsi="Times New Roman" w:cs="Times New Roman"/>
          <w:i/>
          <w:iCs/>
          <w:sz w:val="24"/>
          <w:szCs w:val="24"/>
        </w:rPr>
        <w:t>Solea senegalensis</w:t>
      </w:r>
      <w:r w:rsidRPr="00E301E4">
        <w:rPr>
          <w:rFonts w:ascii="Times New Roman" w:hAnsi="Times New Roman" w:cs="Times New Roman"/>
          <w:sz w:val="24"/>
          <w:szCs w:val="24"/>
        </w:rPr>
        <w:t xml:space="preserve"> Kaup, 1858) to osmotic challenge: Implications for osmoregulation, energy metabolism and growth.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287(3–4), pp.419–426.</w:t>
      </w:r>
    </w:p>
    <w:p w14:paraId="100E750F"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Altman, P.L. &amp; Dittmer, D.S. (Eds.), 1966. </w:t>
      </w:r>
      <w:r w:rsidRPr="00E301E4">
        <w:rPr>
          <w:rFonts w:ascii="Times New Roman" w:hAnsi="Times New Roman" w:cs="Times New Roman"/>
          <w:i/>
          <w:iCs/>
          <w:sz w:val="24"/>
          <w:szCs w:val="24"/>
        </w:rPr>
        <w:t>Environmental biology.</w:t>
      </w:r>
      <w:r w:rsidRPr="00E301E4">
        <w:rPr>
          <w:rFonts w:ascii="Times New Roman" w:hAnsi="Times New Roman" w:cs="Times New Roman"/>
          <w:sz w:val="24"/>
          <w:szCs w:val="24"/>
        </w:rPr>
        <w:t xml:space="preserve"> Bethesda, Maryland: Federation of American Societies for Experimental Biology.</w:t>
      </w:r>
    </w:p>
    <w:p w14:paraId="1B6B6E03"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Azim, M.E., Wahab, M.A., Van Dam, A.A., Beveridge, M.C.M., Milstein, A. &amp; Verdegem, M.C.J., 2001. Optimization of fertilization rate for maximizing periphyton production on artificial substrates and the implications for periphyton-based aquaculture.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32(9), pp.749–760.</w:t>
      </w:r>
    </w:p>
    <w:p w14:paraId="574F60C6" w14:textId="541A167D" w:rsidR="0073363B"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Barman, U.K., Jana, S.N., Garg, S.K., Bhatnagar, A. &amp; Arasu, A.R.T., 200</w:t>
      </w:r>
      <w:r w:rsidR="002C353E" w:rsidRPr="00E301E4">
        <w:rPr>
          <w:rFonts w:ascii="Times New Roman" w:hAnsi="Times New Roman" w:cs="Times New Roman"/>
          <w:sz w:val="24"/>
          <w:szCs w:val="24"/>
        </w:rPr>
        <w:t>7</w:t>
      </w:r>
      <w:r w:rsidRPr="00E301E4">
        <w:rPr>
          <w:rFonts w:ascii="Times New Roman" w:hAnsi="Times New Roman" w:cs="Times New Roman"/>
          <w:sz w:val="24"/>
          <w:szCs w:val="24"/>
        </w:rPr>
        <w:t xml:space="preserve">. Effect of inland water salinity on growth, feed conversion efficiency and intestinal enzyme activity in growing grey mullet, </w:t>
      </w:r>
      <w:r w:rsidRPr="00E301E4">
        <w:rPr>
          <w:rFonts w:ascii="Times New Roman" w:hAnsi="Times New Roman" w:cs="Times New Roman"/>
          <w:i/>
          <w:iCs/>
          <w:sz w:val="24"/>
          <w:szCs w:val="24"/>
        </w:rPr>
        <w:t>Mugil cephalus</w:t>
      </w:r>
      <w:r w:rsidRPr="00E301E4">
        <w:rPr>
          <w:rFonts w:ascii="Times New Roman" w:hAnsi="Times New Roman" w:cs="Times New Roman"/>
          <w:sz w:val="24"/>
          <w:szCs w:val="24"/>
        </w:rPr>
        <w:t xml:space="preserve"> (Linn.): Field and laboratory studies. </w:t>
      </w:r>
      <w:r w:rsidRPr="00E301E4">
        <w:rPr>
          <w:rFonts w:ascii="Times New Roman" w:hAnsi="Times New Roman" w:cs="Times New Roman"/>
          <w:i/>
          <w:iCs/>
          <w:sz w:val="24"/>
          <w:szCs w:val="24"/>
        </w:rPr>
        <w:t>Aquaculture International</w:t>
      </w:r>
      <w:r w:rsidRPr="00E301E4">
        <w:rPr>
          <w:rFonts w:ascii="Times New Roman" w:hAnsi="Times New Roman" w:cs="Times New Roman"/>
          <w:sz w:val="24"/>
          <w:szCs w:val="24"/>
        </w:rPr>
        <w:t>, 13(3), pp.241–256.</w:t>
      </w:r>
    </w:p>
    <w:p w14:paraId="76D0480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Bertucci, J.I., Tovar, M.O., Blanco, A.M., Gómez-Requeni, P., Unniappan, S. &amp; Canosa, L.F., 2017. Influence of water salinity on genes implicated in somatic growth, lipid metabolism and </w:t>
      </w:r>
      <w:r w:rsidRPr="00E301E4">
        <w:rPr>
          <w:rFonts w:ascii="Times New Roman" w:hAnsi="Times New Roman" w:cs="Times New Roman"/>
          <w:color w:val="000000" w:themeColor="text1"/>
          <w:sz w:val="24"/>
          <w:szCs w:val="24"/>
        </w:rPr>
        <w:t>food intake in Pejerrey (</w:t>
      </w:r>
      <w:r w:rsidRPr="00E301E4">
        <w:rPr>
          <w:rFonts w:ascii="Times New Roman" w:hAnsi="Times New Roman" w:cs="Times New Roman"/>
          <w:i/>
          <w:iCs/>
          <w:color w:val="000000" w:themeColor="text1"/>
          <w:sz w:val="24"/>
          <w:szCs w:val="24"/>
        </w:rPr>
        <w:t>Odontesthes bonariensis</w:t>
      </w:r>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 xml:space="preserve">Comparative Biochemistry and </w:t>
      </w:r>
      <w:r w:rsidRPr="00E301E4">
        <w:rPr>
          <w:rFonts w:ascii="Times New Roman" w:hAnsi="Times New Roman" w:cs="Times New Roman"/>
          <w:i/>
          <w:iCs/>
          <w:color w:val="000000" w:themeColor="text1"/>
          <w:sz w:val="24"/>
          <w:szCs w:val="24"/>
        </w:rPr>
        <w:lastRenderedPageBreak/>
        <w:t>Physiology Part B: Biochemistry and Molecular Biology</w:t>
      </w:r>
      <w:r w:rsidRPr="00E301E4">
        <w:rPr>
          <w:rFonts w:ascii="Times New Roman" w:hAnsi="Times New Roman" w:cs="Times New Roman"/>
          <w:color w:val="000000" w:themeColor="text1"/>
          <w:sz w:val="24"/>
          <w:szCs w:val="24"/>
        </w:rPr>
        <w:t xml:space="preserve">, 210, pp.29–38. </w:t>
      </w:r>
      <w:hyperlink r:id="rId29" w:tgtFrame="_new" w:history="1">
        <w:r w:rsidRPr="00E301E4">
          <w:rPr>
            <w:rStyle w:val="Hyperlink"/>
            <w:rFonts w:ascii="Times New Roman" w:hAnsi="Times New Roman" w:cs="Times New Roman"/>
            <w:color w:val="000000" w:themeColor="text1"/>
            <w:sz w:val="24"/>
            <w:szCs w:val="24"/>
          </w:rPr>
          <w:t>https://doi.org/10.1016/j.cbpb.2017.05.005</w:t>
        </w:r>
      </w:hyperlink>
    </w:p>
    <w:p w14:paraId="2ABBDB9C"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Biswas, A., Dash, G., Mali, P., Joardar, S.N., Dey, B., Roy, A. &amp; Karmakar, S., 2021. Histopathology of head kidney tissues in challenged rohu, </w:t>
      </w:r>
      <w:r w:rsidRPr="00E301E4">
        <w:rPr>
          <w:rFonts w:ascii="Times New Roman" w:hAnsi="Times New Roman" w:cs="Times New Roman"/>
          <w:i/>
          <w:iCs/>
          <w:sz w:val="24"/>
          <w:szCs w:val="24"/>
        </w:rPr>
        <w:t>Labeo rohita</w:t>
      </w:r>
      <w:r w:rsidRPr="00E301E4">
        <w:rPr>
          <w:rFonts w:ascii="Times New Roman" w:hAnsi="Times New Roman" w:cs="Times New Roman"/>
          <w:sz w:val="24"/>
          <w:szCs w:val="24"/>
        </w:rPr>
        <w:t xml:space="preserve"> Hamilton after vaccinating with </w:t>
      </w:r>
      <w:r w:rsidRPr="00E301E4">
        <w:rPr>
          <w:rFonts w:ascii="Times New Roman" w:hAnsi="Times New Roman" w:cs="Times New Roman"/>
          <w:i/>
          <w:iCs/>
          <w:sz w:val="24"/>
          <w:szCs w:val="24"/>
        </w:rPr>
        <w:t>Aeromonas hydrophila</w:t>
      </w:r>
      <w:r w:rsidRPr="00E301E4">
        <w:rPr>
          <w:rFonts w:ascii="Times New Roman" w:hAnsi="Times New Roman" w:cs="Times New Roman"/>
          <w:sz w:val="24"/>
          <w:szCs w:val="24"/>
        </w:rPr>
        <w:t xml:space="preserve"> antigens. </w:t>
      </w:r>
      <w:r w:rsidRPr="00E301E4">
        <w:rPr>
          <w:rFonts w:ascii="Times New Roman" w:hAnsi="Times New Roman" w:cs="Times New Roman"/>
          <w:i/>
          <w:iCs/>
          <w:sz w:val="24"/>
          <w:szCs w:val="24"/>
        </w:rPr>
        <w:t>Fish and Shellfish Immunology Reports</w:t>
      </w:r>
      <w:r w:rsidRPr="00E301E4">
        <w:rPr>
          <w:rFonts w:ascii="Times New Roman" w:hAnsi="Times New Roman" w:cs="Times New Roman"/>
          <w:sz w:val="24"/>
          <w:szCs w:val="24"/>
        </w:rPr>
        <w:t>, 2, 100025.</w:t>
      </w:r>
    </w:p>
    <w:p w14:paraId="640478A7"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Boeuf, G. &amp; Payan, P., 2001. How should salinity influence fish growth?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130(4), pp.411–423.</w:t>
      </w:r>
    </w:p>
    <w:p w14:paraId="56737FC5"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Bystriansky, J.S., Frick, N.T. &amp; Ballantyne, J.S., 2007. Intermediary metabolism of Arctic char </w:t>
      </w:r>
      <w:r w:rsidRPr="00E301E4">
        <w:rPr>
          <w:rFonts w:ascii="Times New Roman" w:hAnsi="Times New Roman" w:cs="Times New Roman"/>
          <w:i/>
          <w:iCs/>
          <w:sz w:val="24"/>
          <w:szCs w:val="24"/>
        </w:rPr>
        <w:t>Salvelinus alpinus</w:t>
      </w:r>
      <w:r w:rsidRPr="00E301E4">
        <w:rPr>
          <w:rFonts w:ascii="Times New Roman" w:hAnsi="Times New Roman" w:cs="Times New Roman"/>
          <w:sz w:val="24"/>
          <w:szCs w:val="24"/>
        </w:rPr>
        <w:t xml:space="preserve"> during short-term salinity exposure.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210(11), pp.1971–1985.</w:t>
      </w:r>
    </w:p>
    <w:p w14:paraId="60DCAC2A"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Canosa, L.F. &amp; Bertucci, J.I., 2023. The effect of environmental stressors on growth in fish and its endocrine control. </w:t>
      </w:r>
      <w:r w:rsidRPr="00E301E4">
        <w:rPr>
          <w:rFonts w:ascii="Times New Roman" w:hAnsi="Times New Roman" w:cs="Times New Roman"/>
          <w:i/>
          <w:iCs/>
          <w:sz w:val="24"/>
          <w:szCs w:val="24"/>
        </w:rPr>
        <w:t>Frontiers in Endocrinology</w:t>
      </w:r>
      <w:r w:rsidRPr="00E301E4">
        <w:rPr>
          <w:rFonts w:ascii="Times New Roman" w:hAnsi="Times New Roman" w:cs="Times New Roman"/>
          <w:sz w:val="24"/>
          <w:szCs w:val="24"/>
        </w:rPr>
        <w:t>, 14, 1109461.</w:t>
      </w:r>
    </w:p>
    <w:p w14:paraId="6F14D830"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Chand, B.K., Trivedi, R.K., Dubey, S.K., Rout, S.K., Beg, M.M. &amp; Das, U.K., 2015. Effect of salinity on survival and growth of giant freshwater prawn </w:t>
      </w:r>
      <w:r w:rsidRPr="00E301E4">
        <w:rPr>
          <w:rFonts w:ascii="Times New Roman" w:hAnsi="Times New Roman" w:cs="Times New Roman"/>
          <w:i/>
          <w:iCs/>
          <w:sz w:val="24"/>
          <w:szCs w:val="24"/>
        </w:rPr>
        <w:t>Macrobrachium rosenbergii</w:t>
      </w:r>
      <w:r w:rsidRPr="00E301E4">
        <w:rPr>
          <w:rFonts w:ascii="Times New Roman" w:hAnsi="Times New Roman" w:cs="Times New Roman"/>
          <w:sz w:val="24"/>
          <w:szCs w:val="24"/>
        </w:rPr>
        <w:t xml:space="preserve"> (de Man). </w:t>
      </w:r>
      <w:r w:rsidRPr="00E301E4">
        <w:rPr>
          <w:rFonts w:ascii="Times New Roman" w:hAnsi="Times New Roman" w:cs="Times New Roman"/>
          <w:i/>
          <w:iCs/>
          <w:sz w:val="24"/>
          <w:szCs w:val="24"/>
        </w:rPr>
        <w:t>Aquaculture Reports</w:t>
      </w:r>
      <w:r w:rsidRPr="00E301E4">
        <w:rPr>
          <w:rFonts w:ascii="Times New Roman" w:hAnsi="Times New Roman" w:cs="Times New Roman"/>
          <w:sz w:val="24"/>
          <w:szCs w:val="24"/>
        </w:rPr>
        <w:t>, 2, pp.26–33.</w:t>
      </w:r>
    </w:p>
    <w:p w14:paraId="3801B92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Chavez, H.M., Fang, A.L. &amp; Carandang, A.A., 2011. Effect of stocking density on growth performance, survival and production of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(Lacépède, 1801) in marine floating cages. </w:t>
      </w:r>
      <w:r w:rsidRPr="00E301E4">
        <w:rPr>
          <w:rFonts w:ascii="Times New Roman" w:hAnsi="Times New Roman" w:cs="Times New Roman"/>
          <w:i/>
          <w:iCs/>
          <w:sz w:val="24"/>
          <w:szCs w:val="24"/>
        </w:rPr>
        <w:t>Asian Fisheries Science</w:t>
      </w:r>
      <w:r w:rsidRPr="00E301E4">
        <w:rPr>
          <w:rFonts w:ascii="Times New Roman" w:hAnsi="Times New Roman" w:cs="Times New Roman"/>
          <w:sz w:val="24"/>
          <w:szCs w:val="24"/>
        </w:rPr>
        <w:t>, 24(3), pp.321–330.</w:t>
      </w:r>
    </w:p>
    <w:p w14:paraId="76538AB1"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Chervinski, J. &amp; Hering, E., 1973. </w:t>
      </w:r>
      <w:r w:rsidRPr="00E301E4">
        <w:rPr>
          <w:rFonts w:ascii="Times New Roman" w:hAnsi="Times New Roman" w:cs="Times New Roman"/>
          <w:i/>
          <w:iCs/>
          <w:sz w:val="24"/>
          <w:szCs w:val="24"/>
        </w:rPr>
        <w:t>Tilapia zillii</w:t>
      </w:r>
      <w:r w:rsidRPr="00E301E4">
        <w:rPr>
          <w:rFonts w:ascii="Times New Roman" w:hAnsi="Times New Roman" w:cs="Times New Roman"/>
          <w:sz w:val="24"/>
          <w:szCs w:val="24"/>
        </w:rPr>
        <w:t xml:space="preserve"> (Gervais) (Pisces, Cichlidae) and its adaptability to various saline conditions.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 pp.23–29.</w:t>
      </w:r>
    </w:p>
    <w:p w14:paraId="76E8F7D8"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Chourasia, T.K., d'Cotta, H., Baroiller, J.F., Slosman, T. &amp; Cnaani, A., 2018. Effects of the acclimation to high salinity on intestinal ion and peptide transporters in two tilapia species that differ in their salinity tolerance.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218, pp.16–23.</w:t>
      </w:r>
    </w:p>
    <w:p w14:paraId="6727054F"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Dutta, M.P., Kalita, K., Phukan, B., Baishya, S. &amp; Bordoloi, R., 2018. Periphyton growth on natural substrates and its efficacy in aquaculture.</w:t>
      </w:r>
      <w:r w:rsidRPr="00E301E4">
        <w:rPr>
          <w:rFonts w:ascii="Times New Roman" w:hAnsi="Times New Roman" w:cs="Times New Roman"/>
          <w:i/>
          <w:iCs/>
          <w:sz w:val="24"/>
          <w:szCs w:val="24"/>
        </w:rPr>
        <w:t xml:space="preserve"> Chronicle of Aquatic Science</w:t>
      </w:r>
      <w:r w:rsidRPr="00E301E4">
        <w:rPr>
          <w:rFonts w:ascii="Times New Roman" w:hAnsi="Times New Roman" w:cs="Times New Roman"/>
          <w:sz w:val="24"/>
          <w:szCs w:val="24"/>
        </w:rPr>
        <w:t>,2(2), pp.121–128.</w:t>
      </w:r>
    </w:p>
    <w:p w14:paraId="6F6D4C2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Ern, R., Huong, D.T.T., Cong, N.V., Bayley, M. &amp; Wang, T., 2014. Effect of salinity on oxygen consumption in fishes: a review.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84(4), pp.1210–1220.</w:t>
      </w:r>
    </w:p>
    <w:p w14:paraId="6B438659"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Piermarini, P.M. &amp; Choe, K.P., 2005. The multifunctional fish gill: dominant site of gas exchange, osmoregulation, acid–base regulation, and excretion of nitrogenous waste. </w:t>
      </w:r>
      <w:r w:rsidRPr="00E301E4">
        <w:rPr>
          <w:rFonts w:ascii="Times New Roman" w:hAnsi="Times New Roman" w:cs="Times New Roman"/>
          <w:i/>
          <w:iCs/>
          <w:sz w:val="24"/>
          <w:szCs w:val="24"/>
        </w:rPr>
        <w:t>Physiological Reviews</w:t>
      </w:r>
      <w:r w:rsidRPr="00E301E4">
        <w:rPr>
          <w:rFonts w:ascii="Times New Roman" w:hAnsi="Times New Roman" w:cs="Times New Roman"/>
          <w:sz w:val="24"/>
          <w:szCs w:val="24"/>
        </w:rPr>
        <w:t>, 85(1), pp.97–177.</w:t>
      </w:r>
    </w:p>
    <w:p w14:paraId="1885EF42"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T.G., 2010. Co-ordination of osmotic stress responses through osmosensing and signal transduction events in fishes.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76(8), pp.1903–1925.</w:t>
      </w:r>
    </w:p>
    <w:p w14:paraId="6538723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2010. A brief history of fish osmoregulation: the central role of the Mt. Desert Island Biological Laboratory. </w:t>
      </w:r>
      <w:r w:rsidRPr="00E301E4">
        <w:rPr>
          <w:rFonts w:ascii="Times New Roman" w:hAnsi="Times New Roman" w:cs="Times New Roman"/>
          <w:i/>
          <w:iCs/>
          <w:sz w:val="24"/>
          <w:szCs w:val="24"/>
        </w:rPr>
        <w:t>Frontiers in Physiology</w:t>
      </w:r>
      <w:r w:rsidRPr="00E301E4">
        <w:rPr>
          <w:rFonts w:ascii="Times New Roman" w:hAnsi="Times New Roman" w:cs="Times New Roman"/>
          <w:sz w:val="24"/>
          <w:szCs w:val="24"/>
        </w:rPr>
        <w:t>, 1, p.1894.</w:t>
      </w:r>
    </w:p>
    <w:p w14:paraId="5128330D"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Finucane, J.H., 1969. Ecology of the pompano (</w:t>
      </w:r>
      <w:r w:rsidRPr="00E301E4">
        <w:rPr>
          <w:rFonts w:ascii="Times New Roman" w:hAnsi="Times New Roman" w:cs="Times New Roman"/>
          <w:i/>
          <w:iCs/>
          <w:sz w:val="24"/>
          <w:szCs w:val="24"/>
        </w:rPr>
        <w:t>Trachinotus carolinus</w:t>
      </w:r>
      <w:r w:rsidRPr="00E301E4">
        <w:rPr>
          <w:rFonts w:ascii="Times New Roman" w:hAnsi="Times New Roman" w:cs="Times New Roman"/>
          <w:sz w:val="24"/>
          <w:szCs w:val="24"/>
        </w:rPr>
        <w:t>) and the permit (</w:t>
      </w:r>
      <w:r w:rsidRPr="00E301E4">
        <w:rPr>
          <w:rFonts w:ascii="Times New Roman" w:hAnsi="Times New Roman" w:cs="Times New Roman"/>
          <w:i/>
          <w:iCs/>
          <w:sz w:val="24"/>
          <w:szCs w:val="24"/>
        </w:rPr>
        <w:t>T. falcatus</w:t>
      </w:r>
      <w:r w:rsidRPr="00E301E4">
        <w:rPr>
          <w:rFonts w:ascii="Times New Roman" w:hAnsi="Times New Roman" w:cs="Times New Roman"/>
          <w:sz w:val="24"/>
          <w:szCs w:val="24"/>
        </w:rPr>
        <w:t xml:space="preserve">) in Florida. </w:t>
      </w:r>
      <w:r w:rsidRPr="00E301E4">
        <w:rPr>
          <w:rFonts w:ascii="Times New Roman" w:hAnsi="Times New Roman" w:cs="Times New Roman"/>
          <w:i/>
          <w:iCs/>
          <w:sz w:val="24"/>
          <w:szCs w:val="24"/>
        </w:rPr>
        <w:t>Transactions of the American Fisheries Society</w:t>
      </w:r>
      <w:r w:rsidRPr="00E301E4">
        <w:rPr>
          <w:rFonts w:ascii="Times New Roman" w:hAnsi="Times New Roman" w:cs="Times New Roman"/>
          <w:sz w:val="24"/>
          <w:szCs w:val="24"/>
        </w:rPr>
        <w:t>, 98(3), pp.478–486.</w:t>
      </w:r>
    </w:p>
    <w:p w14:paraId="37F1703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Garside, E.T. &amp; Jordan, C.M., 1968. Upper lethal temperatures at various levels of salinity in the euryhaline cyprinodontids </w:t>
      </w:r>
      <w:r w:rsidRPr="00E301E4">
        <w:rPr>
          <w:rFonts w:ascii="Times New Roman" w:hAnsi="Times New Roman" w:cs="Times New Roman"/>
          <w:i/>
          <w:iCs/>
          <w:sz w:val="24"/>
          <w:szCs w:val="24"/>
        </w:rPr>
        <w:t>Fundulus heteroclitus</w:t>
      </w:r>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F. diaphanus</w:t>
      </w:r>
      <w:r w:rsidRPr="00E301E4">
        <w:rPr>
          <w:rFonts w:ascii="Times New Roman" w:hAnsi="Times New Roman" w:cs="Times New Roman"/>
          <w:sz w:val="24"/>
          <w:szCs w:val="24"/>
        </w:rPr>
        <w:t xml:space="preserve"> after isosmotic acclimation. </w:t>
      </w:r>
      <w:r w:rsidRPr="00E301E4">
        <w:rPr>
          <w:rFonts w:ascii="Times New Roman" w:hAnsi="Times New Roman" w:cs="Times New Roman"/>
          <w:i/>
          <w:iCs/>
          <w:sz w:val="24"/>
          <w:szCs w:val="24"/>
        </w:rPr>
        <w:t>Journal of the Fisheries Board of Canada</w:t>
      </w:r>
      <w:r w:rsidRPr="00E301E4">
        <w:rPr>
          <w:rFonts w:ascii="Times New Roman" w:hAnsi="Times New Roman" w:cs="Times New Roman"/>
          <w:sz w:val="24"/>
          <w:szCs w:val="24"/>
        </w:rPr>
        <w:t>, 25(12), pp.2717–2720.</w:t>
      </w:r>
    </w:p>
    <w:p w14:paraId="7F1A62D5"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Genten, F., Terwinghe, E. &amp; Danguy, A., 2009. </w:t>
      </w:r>
      <w:r w:rsidRPr="00E301E4">
        <w:rPr>
          <w:rFonts w:ascii="Times New Roman" w:hAnsi="Times New Roman" w:cs="Times New Roman"/>
          <w:i/>
          <w:iCs/>
          <w:sz w:val="24"/>
          <w:szCs w:val="24"/>
        </w:rPr>
        <w:t>Atlas of fish histology</w:t>
      </w:r>
      <w:r w:rsidRPr="00E301E4">
        <w:rPr>
          <w:rFonts w:ascii="Times New Roman" w:hAnsi="Times New Roman" w:cs="Times New Roman"/>
          <w:sz w:val="24"/>
          <w:szCs w:val="24"/>
        </w:rPr>
        <w:t>. Boca Raton: CRC Press.</w:t>
      </w:r>
    </w:p>
    <w:p w14:paraId="324E880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Gilbert, C. &amp; Parsons, J., 1986. Species profile: Life histories and environmental requirements of coastal fishes and invertebrates (South Florida): Florida pompano. </w:t>
      </w:r>
      <w:r w:rsidRPr="00E301E4">
        <w:rPr>
          <w:rFonts w:ascii="Times New Roman" w:hAnsi="Times New Roman" w:cs="Times New Roman"/>
          <w:i/>
          <w:iCs/>
          <w:sz w:val="24"/>
          <w:szCs w:val="24"/>
        </w:rPr>
        <w:t>U.S. Fish and Wildlife Service Report 82(11.42)</w:t>
      </w:r>
      <w:r w:rsidRPr="00E301E4">
        <w:rPr>
          <w:rFonts w:ascii="Times New Roman" w:hAnsi="Times New Roman" w:cs="Times New Roman"/>
          <w:sz w:val="24"/>
          <w:szCs w:val="24"/>
        </w:rPr>
        <w:t>. Washington, DC: U.S. Fish and Wildlife Service.</w:t>
      </w:r>
    </w:p>
    <w:p w14:paraId="0886774B"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Hamed, S.S., Jiddawi, N.S., Bwathondi, P.O. &amp; Mmochi, A.J., 2016. Effect of feeding frequency and feeding rate on growth performance of juvenile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Western Indian Ocean Journal of Marine Science</w:t>
      </w:r>
      <w:r w:rsidRPr="00E301E4">
        <w:rPr>
          <w:rFonts w:ascii="Times New Roman" w:hAnsi="Times New Roman" w:cs="Times New Roman"/>
          <w:sz w:val="24"/>
          <w:szCs w:val="24"/>
        </w:rPr>
        <w:t>, 15(1), pp.39–47.</w:t>
      </w:r>
    </w:p>
    <w:p w14:paraId="15F8795B" w14:textId="77777777" w:rsidR="00364E78" w:rsidRDefault="00364E7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364E78">
        <w:rPr>
          <w:rFonts w:ascii="Times New Roman" w:hAnsi="Times New Roman" w:cs="Times New Roman"/>
          <w:sz w:val="24"/>
          <w:szCs w:val="24"/>
        </w:rPr>
        <w:t>Herrera, M., Aragão, C., Hachero, I., Ruiz-Jarabo, I., Vargas-Chacoff, L., Mancera, J. M., &amp; Conceição, L. E. (2012). Physiological short-term response to sudden salinity change in the Senegalese sole (Solea senegalensis). </w:t>
      </w:r>
      <w:r w:rsidRPr="00364E78">
        <w:rPr>
          <w:rFonts w:ascii="Times New Roman" w:hAnsi="Times New Roman" w:cs="Times New Roman"/>
          <w:i/>
          <w:iCs/>
          <w:sz w:val="24"/>
          <w:szCs w:val="24"/>
        </w:rPr>
        <w:t>Fish Physiology and Biochemistry</w:t>
      </w:r>
      <w:r w:rsidRPr="00364E78">
        <w:rPr>
          <w:rFonts w:ascii="Times New Roman" w:hAnsi="Times New Roman" w:cs="Times New Roman"/>
          <w:sz w:val="24"/>
          <w:szCs w:val="24"/>
        </w:rPr>
        <w:t>, </w:t>
      </w:r>
      <w:r w:rsidRPr="00364E78">
        <w:rPr>
          <w:rFonts w:ascii="Times New Roman" w:hAnsi="Times New Roman" w:cs="Times New Roman"/>
          <w:i/>
          <w:iCs/>
          <w:sz w:val="24"/>
          <w:szCs w:val="24"/>
        </w:rPr>
        <w:t>38</w:t>
      </w:r>
      <w:r w:rsidRPr="00364E78">
        <w:rPr>
          <w:rFonts w:ascii="Times New Roman" w:hAnsi="Times New Roman" w:cs="Times New Roman"/>
          <w:sz w:val="24"/>
          <w:szCs w:val="24"/>
        </w:rPr>
        <w:t>(6), 1741-1751.</w:t>
      </w:r>
    </w:p>
    <w:p w14:paraId="60C9C7E6" w14:textId="30325520"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Huang, Y.H., Zhang, M., Li, Y.M., Wu, D.L., Liu, Z.Q., Jiang, Q.C. &amp; Zhao, Y.L., 2019. Effects of salinity acclimation on the growth performance, osmoregulation and energy metabolism of the oriental river prawn, </w:t>
      </w:r>
      <w:r w:rsidRPr="00E301E4">
        <w:rPr>
          <w:rFonts w:ascii="Times New Roman" w:hAnsi="Times New Roman" w:cs="Times New Roman"/>
          <w:i/>
          <w:iCs/>
          <w:sz w:val="24"/>
          <w:szCs w:val="24"/>
        </w:rPr>
        <w:t>Macrobrachium nipponense</w:t>
      </w:r>
      <w:r w:rsidRPr="00E301E4">
        <w:rPr>
          <w:rFonts w:ascii="Times New Roman" w:hAnsi="Times New Roman" w:cs="Times New Roman"/>
          <w:sz w:val="24"/>
          <w:szCs w:val="24"/>
        </w:rPr>
        <w:t xml:space="preserve"> (De Haan).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50(2), pp.685–693.</w:t>
      </w:r>
    </w:p>
    <w:p w14:paraId="2BC79D97"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Imsland, A.K., Gústavsson, A., Gunnarsson, S., Foss, A., Árnason, J., Arnarson, I., et al. (2008) Effects of reduced salinities on growth, feed conversion efficiency and blood physiology of juvenile Atlantic halibut (</w:t>
      </w:r>
      <w:r w:rsidRPr="00E301E4">
        <w:rPr>
          <w:rFonts w:ascii="Times New Roman" w:hAnsi="Times New Roman" w:cs="Times New Roman"/>
          <w:i/>
          <w:iCs/>
          <w:sz w:val="24"/>
          <w:szCs w:val="24"/>
        </w:rPr>
        <w:t>Hippoglossus hippoglossus</w:t>
      </w:r>
      <w:r w:rsidRPr="00E301E4">
        <w:rPr>
          <w:rFonts w:ascii="Times New Roman" w:hAnsi="Times New Roman" w:cs="Times New Roman"/>
          <w:sz w:val="24"/>
          <w:szCs w:val="24"/>
        </w:rPr>
        <w:t xml:space="preserve"> L.).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274(2–4), pp.254–259.</w:t>
      </w:r>
    </w:p>
    <w:p w14:paraId="070908A5" w14:textId="2D83FFC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Imsland, A.K., Koedijk, R., Stefansson, S.O., Foss, A., Hjörleifsdóttir, S., Hreggvidsson, G.O., et al. (2011) A retrospective approach to fractionize variation in body mass of Atlantic cod </w:t>
      </w:r>
      <w:r w:rsidRPr="00E301E4">
        <w:rPr>
          <w:rFonts w:ascii="Times New Roman" w:hAnsi="Times New Roman" w:cs="Times New Roman"/>
          <w:i/>
          <w:iCs/>
          <w:sz w:val="24"/>
          <w:szCs w:val="24"/>
        </w:rPr>
        <w:t>Gadus morhua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78(1), pp.251–264.</w:t>
      </w:r>
    </w:p>
    <w:p w14:paraId="23F56B6C"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Iwama, G.K., McGeer, J.C. &amp; Pawluk, M.P. (1989) The effects of five fish anaesthetics on acid–base balance, hematocrit, blood gases, cortisol, and adrenaline in rainbow trout. </w:t>
      </w:r>
      <w:r w:rsidRPr="00E301E4">
        <w:rPr>
          <w:rFonts w:ascii="Times New Roman" w:hAnsi="Times New Roman" w:cs="Times New Roman"/>
          <w:i/>
          <w:iCs/>
          <w:sz w:val="24"/>
          <w:szCs w:val="24"/>
        </w:rPr>
        <w:t>Canadian Journal of Zoology</w:t>
      </w:r>
      <w:r w:rsidRPr="00E301E4">
        <w:rPr>
          <w:rFonts w:ascii="Times New Roman" w:hAnsi="Times New Roman" w:cs="Times New Roman"/>
          <w:sz w:val="24"/>
          <w:szCs w:val="24"/>
        </w:rPr>
        <w:t>, 67(8), pp.2065–2073.</w:t>
      </w:r>
    </w:p>
    <w:p w14:paraId="1926CABE"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Jarvis, P.L. &amp; Ballantyne, J.S. (2003) Metabolic responses to salinity acclimation in juvenile shortnose sturgeon </w:t>
      </w:r>
      <w:r w:rsidRPr="00E301E4">
        <w:rPr>
          <w:rFonts w:ascii="Times New Roman" w:hAnsi="Times New Roman" w:cs="Times New Roman"/>
          <w:i/>
          <w:iCs/>
          <w:sz w:val="24"/>
          <w:szCs w:val="24"/>
        </w:rPr>
        <w:t>Acipenser brevirostrum</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219(1–4), pp.891–909.</w:t>
      </w:r>
    </w:p>
    <w:p w14:paraId="003C9536"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Jayakumar, R., Tamilmani, G., Sakthivel, M., Kalidas, C., Rameshkumar, P., Hanumanta Rao, G. &amp; Gopakumar, G. (2014) Evaluation of growth and production performance of hatchery produced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(Lacépède, 1801) fingerlings under brackishwater pond farming in India.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61(3), pp.1–6.</w:t>
      </w:r>
    </w:p>
    <w:p w14:paraId="59338C04" w14:textId="2E5F2250"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Kalidas, C., Sakthivel, M., Tamilmani, G., Kumar, P.R., Nazar, A.A., Jayakumar, R., et al. (2012)</w:t>
      </w:r>
      <w:r w:rsidR="006E1EDB">
        <w:rPr>
          <w:rFonts w:ascii="Times New Roman" w:hAnsi="Times New Roman" w:cs="Times New Roman"/>
          <w:sz w:val="24"/>
          <w:szCs w:val="24"/>
        </w:rPr>
        <w:t>.</w:t>
      </w:r>
      <w:r w:rsidRPr="00E301E4">
        <w:rPr>
          <w:rFonts w:ascii="Times New Roman" w:hAnsi="Times New Roman" w:cs="Times New Roman"/>
          <w:sz w:val="24"/>
          <w:szCs w:val="24"/>
        </w:rPr>
        <w:t xml:space="preserve"> Survival and growth of juvenile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(Lacépède, 1801) at different salinities in tropical conditions.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59(3), 95–99.</w:t>
      </w:r>
    </w:p>
    <w:p w14:paraId="3E5B094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Kaplan, S., Cogez, V., Gak, E., Puskas, A. &amp; Bohin, J.P. (2002) The </w:t>
      </w:r>
      <w:r w:rsidRPr="00E301E4">
        <w:rPr>
          <w:rFonts w:ascii="Times New Roman" w:hAnsi="Times New Roman" w:cs="Times New Roman"/>
          <w:i/>
          <w:iCs/>
          <w:sz w:val="24"/>
          <w:szCs w:val="24"/>
        </w:rPr>
        <w:t>opgGIH</w:t>
      </w:r>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opgC</w:t>
      </w:r>
      <w:r w:rsidRPr="00E301E4">
        <w:rPr>
          <w:rFonts w:ascii="Times New Roman" w:hAnsi="Times New Roman" w:cs="Times New Roman"/>
          <w:sz w:val="24"/>
          <w:szCs w:val="24"/>
        </w:rPr>
        <w:t xml:space="preserve"> genes of </w:t>
      </w:r>
      <w:r w:rsidRPr="00E301E4">
        <w:rPr>
          <w:rFonts w:ascii="Times New Roman" w:hAnsi="Times New Roman" w:cs="Times New Roman"/>
          <w:i/>
          <w:iCs/>
          <w:sz w:val="24"/>
          <w:szCs w:val="24"/>
        </w:rPr>
        <w:t>Rhodobacter sphaeroides</w:t>
      </w:r>
      <w:r w:rsidRPr="00E301E4">
        <w:rPr>
          <w:rFonts w:ascii="Times New Roman" w:hAnsi="Times New Roman" w:cs="Times New Roman"/>
          <w:sz w:val="24"/>
          <w:szCs w:val="24"/>
        </w:rPr>
        <w:t xml:space="preserve"> form an operon that controls backbone synthesis and succinylation of osmoregulated periplasmic glucans. </w:t>
      </w:r>
      <w:r w:rsidRPr="00E301E4">
        <w:rPr>
          <w:rFonts w:ascii="Times New Roman" w:hAnsi="Times New Roman" w:cs="Times New Roman"/>
          <w:i/>
          <w:iCs/>
          <w:sz w:val="24"/>
          <w:szCs w:val="24"/>
        </w:rPr>
        <w:t>European Journal of Biochemistry</w:t>
      </w:r>
      <w:r w:rsidRPr="00E301E4">
        <w:rPr>
          <w:rFonts w:ascii="Times New Roman" w:hAnsi="Times New Roman" w:cs="Times New Roman"/>
          <w:sz w:val="24"/>
          <w:szCs w:val="24"/>
        </w:rPr>
        <w:t>, 269(10), pp.2473–2484.</w:t>
      </w:r>
    </w:p>
    <w:p w14:paraId="3090B853"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Kono, Y. (1978) Generation of superoxide radical during autoxidation of hydroxylamine and an assay for superoxide dismutase. </w:t>
      </w:r>
      <w:r w:rsidRPr="00E301E4">
        <w:rPr>
          <w:rFonts w:ascii="Times New Roman" w:hAnsi="Times New Roman" w:cs="Times New Roman"/>
          <w:i/>
          <w:iCs/>
          <w:sz w:val="24"/>
          <w:szCs w:val="24"/>
        </w:rPr>
        <w:t>Archives of Biochemistry and Biophysics</w:t>
      </w:r>
      <w:r w:rsidRPr="00E301E4">
        <w:rPr>
          <w:rFonts w:ascii="Times New Roman" w:hAnsi="Times New Roman" w:cs="Times New Roman"/>
          <w:sz w:val="24"/>
          <w:szCs w:val="24"/>
        </w:rPr>
        <w:t>, 186(1), pp.189–195.</w:t>
      </w:r>
    </w:p>
    <w:p w14:paraId="3AFC206B"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Kumpf, H.E. (1972) Temperature-salinity tolerance of the Florida pompano, </w:t>
      </w:r>
      <w:r w:rsidRPr="00E301E4">
        <w:rPr>
          <w:rFonts w:ascii="Times New Roman" w:hAnsi="Times New Roman" w:cs="Times New Roman"/>
          <w:i/>
          <w:iCs/>
          <w:sz w:val="24"/>
          <w:szCs w:val="24"/>
        </w:rPr>
        <w:t>Trachinotus carolinus</w:t>
      </w:r>
      <w:r w:rsidRPr="00E301E4">
        <w:rPr>
          <w:rFonts w:ascii="Times New Roman" w:hAnsi="Times New Roman" w:cs="Times New Roman"/>
          <w:sz w:val="24"/>
          <w:szCs w:val="24"/>
        </w:rPr>
        <w:t xml:space="preserve"> (Linnaeus). Miami: University of Miami.</w:t>
      </w:r>
    </w:p>
    <w:p w14:paraId="32CC21F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Lantu, S. (2010) Osmoregulasi pada hewan akuatik. </w:t>
      </w:r>
      <w:r w:rsidRPr="00E301E4">
        <w:rPr>
          <w:rFonts w:ascii="Times New Roman" w:hAnsi="Times New Roman" w:cs="Times New Roman"/>
          <w:i/>
          <w:iCs/>
          <w:sz w:val="24"/>
          <w:szCs w:val="24"/>
        </w:rPr>
        <w:t>Jurnal Perikanan dan Kelautan Tropis</w:t>
      </w:r>
      <w:r w:rsidRPr="00E301E4">
        <w:rPr>
          <w:rFonts w:ascii="Times New Roman" w:hAnsi="Times New Roman" w:cs="Times New Roman"/>
          <w:sz w:val="24"/>
          <w:szCs w:val="24"/>
        </w:rPr>
        <w:t>, 6(1), pp.46–50.</w:t>
      </w:r>
    </w:p>
    <w:p w14:paraId="623E9C0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Lazo, J.P., Davis, D.A. &amp; Arnold, C.R. (1998) The effects of dietary protein level on growth, feed efficiency and survival of juvenile Florida pompano (</w:t>
      </w:r>
      <w:r w:rsidRPr="00E301E4">
        <w:rPr>
          <w:rFonts w:ascii="Times New Roman" w:hAnsi="Times New Roman" w:cs="Times New Roman"/>
          <w:i/>
          <w:iCs/>
          <w:sz w:val="24"/>
          <w:szCs w:val="24"/>
        </w:rPr>
        <w:t>Trachinotus carolinus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169(3–4), pp.225–232.</w:t>
      </w:r>
    </w:p>
    <w:p w14:paraId="3EE31788"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Laiz‐Carrión, R., Guerreiro, P.M., Fuentes, J., Canario, A.V., Martín del Río, M.P. &amp; Mancera, J.M. (2005) Branchial osmoregulatory response to salinity in the gilthead sea bream, </w:t>
      </w:r>
      <w:r w:rsidRPr="00E301E4">
        <w:rPr>
          <w:rFonts w:ascii="Times New Roman" w:hAnsi="Times New Roman" w:cs="Times New Roman"/>
          <w:i/>
          <w:iCs/>
          <w:sz w:val="24"/>
          <w:szCs w:val="24"/>
        </w:rPr>
        <w:t>Sparus auratus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Experimental Zoology Part A: Comparative Experimental Biology</w:t>
      </w:r>
      <w:r w:rsidRPr="00E301E4">
        <w:rPr>
          <w:rFonts w:ascii="Times New Roman" w:hAnsi="Times New Roman" w:cs="Times New Roman"/>
          <w:sz w:val="24"/>
          <w:szCs w:val="24"/>
        </w:rPr>
        <w:t>, 303(7), pp.563–576.</w:t>
      </w:r>
    </w:p>
    <w:p w14:paraId="332830EF"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Lee, S.H., Lee, M.C., Puthumana, J., Park, J.C., Kang, S., Hwang, D.S. &amp; Han, J., </w:t>
      </w:r>
      <w:r w:rsidRPr="00E301E4">
        <w:rPr>
          <w:rFonts w:ascii="Times New Roman" w:hAnsi="Times New Roman" w:cs="Times New Roman"/>
          <w:b/>
          <w:bCs/>
          <w:sz w:val="24"/>
          <w:szCs w:val="24"/>
        </w:rPr>
        <w:t>2017</w:t>
      </w:r>
      <w:r w:rsidRPr="00E301E4">
        <w:rPr>
          <w:rFonts w:ascii="Times New Roman" w:hAnsi="Times New Roman" w:cs="Times New Roman"/>
          <w:sz w:val="24"/>
          <w:szCs w:val="24"/>
        </w:rPr>
        <w:t xml:space="preserve">. Effects </w:t>
      </w:r>
      <w:r w:rsidRPr="00C54B9C">
        <w:rPr>
          <w:rFonts w:ascii="Times New Roman" w:hAnsi="Times New Roman" w:cs="Times New Roman"/>
          <w:color w:val="000000" w:themeColor="text1"/>
          <w:sz w:val="24"/>
          <w:szCs w:val="24"/>
        </w:rPr>
        <w:t xml:space="preserve">of salinity on growth, fatty acid synthesis, and expression of stress response genes in the cyclopoid copepod </w:t>
      </w:r>
      <w:r w:rsidRPr="00C54B9C">
        <w:rPr>
          <w:rFonts w:ascii="Times New Roman" w:hAnsi="Times New Roman" w:cs="Times New Roman"/>
          <w:i/>
          <w:iCs/>
          <w:color w:val="000000" w:themeColor="text1"/>
          <w:sz w:val="24"/>
          <w:szCs w:val="24"/>
        </w:rPr>
        <w:t>Paracyclopina nana</w:t>
      </w:r>
      <w:r w:rsidRPr="00C54B9C">
        <w:rPr>
          <w:rFonts w:ascii="Times New Roman" w:hAnsi="Times New Roman" w:cs="Times New Roman"/>
          <w:color w:val="000000" w:themeColor="text1"/>
          <w:sz w:val="24"/>
          <w:szCs w:val="24"/>
        </w:rPr>
        <w:t xml:space="preserve">. </w:t>
      </w:r>
      <w:r w:rsidRPr="00C54B9C">
        <w:rPr>
          <w:rFonts w:ascii="Times New Roman" w:hAnsi="Times New Roman" w:cs="Times New Roman"/>
          <w:i/>
          <w:iCs/>
          <w:color w:val="000000" w:themeColor="text1"/>
          <w:sz w:val="24"/>
          <w:szCs w:val="24"/>
        </w:rPr>
        <w:t>Aquaculture</w:t>
      </w:r>
      <w:r w:rsidRPr="00C54B9C">
        <w:rPr>
          <w:rFonts w:ascii="Times New Roman" w:hAnsi="Times New Roman" w:cs="Times New Roman"/>
          <w:color w:val="000000" w:themeColor="text1"/>
          <w:sz w:val="24"/>
          <w:szCs w:val="24"/>
        </w:rPr>
        <w:t xml:space="preserve">, 470, pp.182–189. </w:t>
      </w:r>
      <w:hyperlink r:id="rId30" w:tgtFrame="_new" w:history="1">
        <w:r w:rsidRPr="00C54B9C">
          <w:rPr>
            <w:rStyle w:val="Hyperlink"/>
            <w:rFonts w:ascii="Times New Roman" w:hAnsi="Times New Roman" w:cs="Times New Roman"/>
            <w:color w:val="000000" w:themeColor="text1"/>
            <w:sz w:val="24"/>
            <w:szCs w:val="24"/>
          </w:rPr>
          <w:t>https://doi.org/10.1016/j.aquaculture.2016.12.037</w:t>
        </w:r>
      </w:hyperlink>
    </w:p>
    <w:p w14:paraId="683CD41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Lemos, D., Phan, V.N. &amp; Alvarez, G., </w:t>
      </w:r>
      <w:r w:rsidRPr="00E301E4">
        <w:rPr>
          <w:rFonts w:ascii="Times New Roman" w:hAnsi="Times New Roman" w:cs="Times New Roman"/>
          <w:b/>
          <w:bCs/>
          <w:sz w:val="24"/>
          <w:szCs w:val="24"/>
        </w:rPr>
        <w:t>2001</w:t>
      </w:r>
      <w:r w:rsidRPr="00E301E4">
        <w:rPr>
          <w:rFonts w:ascii="Times New Roman" w:hAnsi="Times New Roman" w:cs="Times New Roman"/>
          <w:sz w:val="24"/>
          <w:szCs w:val="24"/>
        </w:rPr>
        <w:t xml:space="preserve">. Growth, oxygen consumption, ammonia-N excretion, biochemical composition and energy content of </w:t>
      </w:r>
      <w:r w:rsidRPr="00E301E4">
        <w:rPr>
          <w:rFonts w:ascii="Times New Roman" w:hAnsi="Times New Roman" w:cs="Times New Roman"/>
          <w:i/>
          <w:iCs/>
          <w:sz w:val="24"/>
          <w:szCs w:val="24"/>
        </w:rPr>
        <w:t>Farfantepenaeus paulensis</w:t>
      </w:r>
      <w:r w:rsidRPr="00E301E4">
        <w:rPr>
          <w:rFonts w:ascii="Times New Roman" w:hAnsi="Times New Roman" w:cs="Times New Roman"/>
          <w:sz w:val="24"/>
          <w:szCs w:val="24"/>
        </w:rPr>
        <w:t xml:space="preserve"> Pérez-Farfante (Crustacea, Decapoda, Penaeidae) early postlarvae in different salinities.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261(1), pp.55–74.</w:t>
      </w:r>
    </w:p>
    <w:p w14:paraId="2893345E"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Lisboa, V., Barcarolli, I.F., Sampaio, L.A. &amp; Bianchini, A., </w:t>
      </w:r>
      <w:r w:rsidRPr="00E301E4">
        <w:rPr>
          <w:rFonts w:ascii="Times New Roman" w:hAnsi="Times New Roman" w:cs="Times New Roman"/>
          <w:b/>
          <w:bCs/>
          <w:sz w:val="24"/>
          <w:szCs w:val="24"/>
        </w:rPr>
        <w:t>2015</w:t>
      </w:r>
      <w:r w:rsidRPr="00E301E4">
        <w:rPr>
          <w:rFonts w:ascii="Times New Roman" w:hAnsi="Times New Roman" w:cs="Times New Roman"/>
          <w:sz w:val="24"/>
          <w:szCs w:val="24"/>
        </w:rPr>
        <w:t xml:space="preserve">. Effect of salinity on survival, growth and biochemical parameters in juvenile lebranch mullet </w:t>
      </w:r>
      <w:r w:rsidRPr="00E301E4">
        <w:rPr>
          <w:rFonts w:ascii="Times New Roman" w:hAnsi="Times New Roman" w:cs="Times New Roman"/>
          <w:i/>
          <w:iCs/>
          <w:sz w:val="24"/>
          <w:szCs w:val="24"/>
        </w:rPr>
        <w:t>Mugil liza</w:t>
      </w:r>
      <w:r w:rsidRPr="00E301E4">
        <w:rPr>
          <w:rFonts w:ascii="Times New Roman" w:hAnsi="Times New Roman" w:cs="Times New Roman"/>
          <w:sz w:val="24"/>
          <w:szCs w:val="24"/>
        </w:rPr>
        <w:t xml:space="preserve"> (Perciformes: Mugilidae).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13(2), pp.447–452.</w:t>
      </w:r>
    </w:p>
    <w:p w14:paraId="137C76DA"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Mahmudul, A.I., Chowdhury, M.I. &amp; Rahman, A.F.M.A., </w:t>
      </w:r>
      <w:r w:rsidRPr="00E301E4">
        <w:rPr>
          <w:rFonts w:ascii="Times New Roman" w:hAnsi="Times New Roman" w:cs="Times New Roman"/>
          <w:b/>
          <w:bCs/>
          <w:sz w:val="24"/>
          <w:szCs w:val="24"/>
        </w:rPr>
        <w:t>2014</w:t>
      </w:r>
      <w:r w:rsidRPr="00E301E4">
        <w:rPr>
          <w:rFonts w:ascii="Times New Roman" w:hAnsi="Times New Roman" w:cs="Times New Roman"/>
          <w:sz w:val="24"/>
          <w:szCs w:val="24"/>
        </w:rPr>
        <w:t xml:space="preserve">. Effects of water salinity on feeding efficiencies, growth performances and survival rate of Thai strain koi, </w:t>
      </w:r>
      <w:r w:rsidRPr="00E301E4">
        <w:rPr>
          <w:rFonts w:ascii="Times New Roman" w:hAnsi="Times New Roman" w:cs="Times New Roman"/>
          <w:i/>
          <w:iCs/>
          <w:sz w:val="24"/>
          <w:szCs w:val="24"/>
        </w:rPr>
        <w:t>Anabas testudineus</w:t>
      </w:r>
      <w:r w:rsidRPr="00E301E4">
        <w:rPr>
          <w:rFonts w:ascii="Times New Roman" w:hAnsi="Times New Roman" w:cs="Times New Roman"/>
          <w:sz w:val="24"/>
          <w:szCs w:val="24"/>
        </w:rPr>
        <w:t xml:space="preserve"> (Bloch, 1792). </w:t>
      </w:r>
      <w:r w:rsidRPr="00E301E4">
        <w:rPr>
          <w:rFonts w:ascii="Times New Roman" w:hAnsi="Times New Roman" w:cs="Times New Roman"/>
          <w:i/>
          <w:iCs/>
          <w:sz w:val="24"/>
          <w:szCs w:val="24"/>
        </w:rPr>
        <w:t>World Journal of Fish and Marine Sciences</w:t>
      </w:r>
      <w:r w:rsidRPr="00E301E4">
        <w:rPr>
          <w:rFonts w:ascii="Times New Roman" w:hAnsi="Times New Roman" w:cs="Times New Roman"/>
          <w:sz w:val="24"/>
          <w:szCs w:val="24"/>
        </w:rPr>
        <w:t>, 6(5), pp.479–486.</w:t>
      </w:r>
    </w:p>
    <w:p w14:paraId="565C15B0"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Martinez-Palacios, C.A., Morte, J.C., Tello-Ballinas, J.A., Toledo-Cuevas, M. &amp; Ross, L.G., </w:t>
      </w:r>
      <w:r w:rsidRPr="00E301E4">
        <w:rPr>
          <w:rFonts w:ascii="Times New Roman" w:hAnsi="Times New Roman" w:cs="Times New Roman"/>
          <w:b/>
          <w:bCs/>
          <w:sz w:val="24"/>
          <w:szCs w:val="24"/>
        </w:rPr>
        <w:t>2004</w:t>
      </w:r>
      <w:r w:rsidRPr="00E301E4">
        <w:rPr>
          <w:rFonts w:ascii="Times New Roman" w:hAnsi="Times New Roman" w:cs="Times New Roman"/>
          <w:sz w:val="24"/>
          <w:szCs w:val="24"/>
        </w:rPr>
        <w:t xml:space="preserve">. The effects of saline environments on survival and growth of eggs and larvae of </w:t>
      </w:r>
      <w:r w:rsidRPr="00E301E4">
        <w:rPr>
          <w:rFonts w:ascii="Times New Roman" w:hAnsi="Times New Roman" w:cs="Times New Roman"/>
          <w:i/>
          <w:iCs/>
          <w:sz w:val="24"/>
          <w:szCs w:val="24"/>
        </w:rPr>
        <w:t>Chirostoma estor estor</w:t>
      </w:r>
      <w:r w:rsidRPr="00E301E4">
        <w:rPr>
          <w:rFonts w:ascii="Times New Roman" w:hAnsi="Times New Roman" w:cs="Times New Roman"/>
          <w:sz w:val="24"/>
          <w:szCs w:val="24"/>
        </w:rPr>
        <w:t xml:space="preserve"> Jordan 1880 (Pisces: Atherinidae).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238, pp.509–522.</w:t>
      </w:r>
    </w:p>
    <w:p w14:paraId="4FE24777"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Moorman, B.P., Yamaguchi, Y., Lerner, D.T., Grau, E.G. &amp; Seale, A.P., </w:t>
      </w:r>
      <w:r w:rsidRPr="00E301E4">
        <w:rPr>
          <w:rFonts w:ascii="Times New Roman" w:hAnsi="Times New Roman" w:cs="Times New Roman"/>
          <w:b/>
          <w:bCs/>
          <w:sz w:val="24"/>
          <w:szCs w:val="24"/>
        </w:rPr>
        <w:t>2016</w:t>
      </w:r>
      <w:r w:rsidRPr="00E301E4">
        <w:rPr>
          <w:rFonts w:ascii="Times New Roman" w:hAnsi="Times New Roman" w:cs="Times New Roman"/>
          <w:sz w:val="24"/>
          <w:szCs w:val="24"/>
        </w:rPr>
        <w:t xml:space="preserve">. Rearing Mozambique tilapia in tidally-changing salinities: Effects on growth and the growth hormone/insulin-like growth factor I axis.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198, pp.8–14.</w:t>
      </w:r>
    </w:p>
    <w:p w14:paraId="38EB0AE2" w14:textId="024EE79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McMaster, M.F., Kloth, T.C., Coburn, J.F. &amp; Stolpe, N.E., </w:t>
      </w:r>
      <w:r w:rsidRPr="00E301E4">
        <w:rPr>
          <w:rFonts w:ascii="Times New Roman" w:hAnsi="Times New Roman" w:cs="Times New Roman"/>
          <w:b/>
          <w:bCs/>
          <w:sz w:val="24"/>
          <w:szCs w:val="24"/>
        </w:rPr>
        <w:t>200</w:t>
      </w:r>
      <w:r w:rsidR="00547DB7">
        <w:rPr>
          <w:rFonts w:ascii="Times New Roman" w:hAnsi="Times New Roman" w:cs="Times New Roman"/>
          <w:b/>
          <w:bCs/>
          <w:sz w:val="24"/>
          <w:szCs w:val="24"/>
        </w:rPr>
        <w:t>7</w:t>
      </w:r>
      <w:r w:rsidRPr="00E301E4">
        <w:rPr>
          <w:rFonts w:ascii="Times New Roman" w:hAnsi="Times New Roman" w:cs="Times New Roman"/>
          <w:sz w:val="24"/>
          <w:szCs w:val="24"/>
        </w:rPr>
        <w:t xml:space="preserve">. Florida pompano, </w:t>
      </w:r>
      <w:r w:rsidRPr="00E301E4">
        <w:rPr>
          <w:rFonts w:ascii="Times New Roman" w:hAnsi="Times New Roman" w:cs="Times New Roman"/>
          <w:i/>
          <w:iCs/>
          <w:sz w:val="24"/>
          <w:szCs w:val="24"/>
        </w:rPr>
        <w:t>Trachinotus carolinus</w:t>
      </w:r>
      <w:r w:rsidRPr="00E301E4">
        <w:rPr>
          <w:rFonts w:ascii="Times New Roman" w:hAnsi="Times New Roman" w:cs="Times New Roman"/>
          <w:sz w:val="24"/>
          <w:szCs w:val="24"/>
        </w:rPr>
        <w:t xml:space="preserve">, is an alternative species for low salinity shrimp pond farming. </w:t>
      </w:r>
      <w:r w:rsidRPr="00E301E4">
        <w:rPr>
          <w:rFonts w:ascii="Times New Roman" w:hAnsi="Times New Roman" w:cs="Times New Roman"/>
          <w:i/>
          <w:iCs/>
          <w:sz w:val="24"/>
          <w:szCs w:val="24"/>
        </w:rPr>
        <w:t>World Aquaculture-Baton Rouge</w:t>
      </w:r>
      <w:r w:rsidRPr="00E301E4">
        <w:rPr>
          <w:rFonts w:ascii="Times New Roman" w:hAnsi="Times New Roman" w:cs="Times New Roman"/>
          <w:sz w:val="24"/>
          <w:szCs w:val="24"/>
        </w:rPr>
        <w:t>, 38(4), pp.50.</w:t>
      </w:r>
    </w:p>
    <w:p w14:paraId="0A59542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McCormick, S.D., Regish, A.M. &amp; Christensen, A.K., </w:t>
      </w:r>
      <w:r w:rsidRPr="00E301E4">
        <w:rPr>
          <w:rFonts w:ascii="Times New Roman" w:hAnsi="Times New Roman" w:cs="Times New Roman"/>
          <w:b/>
          <w:bCs/>
          <w:sz w:val="24"/>
          <w:szCs w:val="24"/>
        </w:rPr>
        <w:t>2009</w:t>
      </w:r>
      <w:r w:rsidRPr="00E301E4">
        <w:rPr>
          <w:rFonts w:ascii="Times New Roman" w:hAnsi="Times New Roman" w:cs="Times New Roman"/>
          <w:sz w:val="24"/>
          <w:szCs w:val="24"/>
        </w:rPr>
        <w:t xml:space="preserve">. Distinct freshwater and seawater isoforms of Na+/K+-ATPase in gill chloride cells of Atlantic salmon.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212(24), pp.3994–4001.</w:t>
      </w:r>
    </w:p>
    <w:p w14:paraId="0DA69F30"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Mommsen, T.P., Vijayan, M.M. &amp; Moon, T.W., 1999. Cortisol in teleosts: dynamics, mechanisms of action, and metabolic regulation.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9(3), pp.211–268.</w:t>
      </w:r>
    </w:p>
    <w:p w14:paraId="2D075F8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Morgan, J.D. &amp; Iwama, G.K., 1991. Effects of salinity on growth, metabolism, and ion regulation in juvenile rainbow and steelhead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and fall chinook salmon (</w:t>
      </w:r>
      <w:r w:rsidRPr="00E301E4">
        <w:rPr>
          <w:rFonts w:ascii="Times New Roman" w:hAnsi="Times New Roman" w:cs="Times New Roman"/>
          <w:i/>
          <w:iCs/>
          <w:sz w:val="24"/>
          <w:szCs w:val="24"/>
        </w:rPr>
        <w:t>Oncorhynchus tshawytscha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48(11), pp.2083–2094.</w:t>
      </w:r>
    </w:p>
    <w:p w14:paraId="3D6F8D69" w14:textId="4F229DA9"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Mulyadi, Tang, U.M., Amin, B., Sukendi, Pamukas, N.A. &amp; Windarti, 2020. Osmotic performance rate, stress response and growth performance of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reared in different salinities using recirculating culture system.</w:t>
      </w:r>
      <w:r w:rsidR="006E1EDB" w:rsidRPr="006E1EDB">
        <w:t xml:space="preserve"> </w:t>
      </w:r>
      <w:r w:rsidR="006E1EDB" w:rsidRPr="006E1EDB">
        <w:rPr>
          <w:rFonts w:ascii="Times New Roman" w:hAnsi="Times New Roman" w:cs="Times New Roman"/>
          <w:sz w:val="24"/>
          <w:szCs w:val="24"/>
        </w:rPr>
        <w:t>AACL Bioflux, 13(3), 1546–1556.</w:t>
      </w:r>
    </w:p>
    <w:p w14:paraId="7CE4CF2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Mylonas, C.C., Pavlidis, M., Papandroulakis, N., Zaiss, M.M., Tsafarakis, D., Papadakis, I.E. &amp; Varsamos, S., 2009. Growth performance and osmoregulation in the shi drum (</w:t>
      </w:r>
      <w:r w:rsidRPr="00E301E4">
        <w:rPr>
          <w:rFonts w:ascii="Times New Roman" w:hAnsi="Times New Roman" w:cs="Times New Roman"/>
          <w:i/>
          <w:iCs/>
          <w:sz w:val="24"/>
          <w:szCs w:val="24"/>
        </w:rPr>
        <w:t>Umbrina cirrosa</w:t>
      </w:r>
      <w:r w:rsidRPr="00E301E4">
        <w:rPr>
          <w:rFonts w:ascii="Times New Roman" w:hAnsi="Times New Roman" w:cs="Times New Roman"/>
          <w:sz w:val="24"/>
          <w:szCs w:val="24"/>
        </w:rPr>
        <w:t xml:space="preserve">) adapted to different environmental salinities.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287(1–2), pp.203–210.</w:t>
      </w:r>
    </w:p>
    <w:p w14:paraId="4D451BE4"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Nordlie, F.G., 2016. Adaptation to salinity and osmoregulation in Mugilidae. In: </w:t>
      </w:r>
      <w:r w:rsidRPr="00E301E4">
        <w:rPr>
          <w:rFonts w:ascii="Times New Roman" w:hAnsi="Times New Roman" w:cs="Times New Roman"/>
          <w:i/>
          <w:iCs/>
          <w:sz w:val="24"/>
          <w:szCs w:val="24"/>
        </w:rPr>
        <w:t>Biology, ecology and culture of grey mullets (Mugilidae)</w:t>
      </w:r>
      <w:r w:rsidRPr="00E301E4">
        <w:rPr>
          <w:rFonts w:ascii="Times New Roman" w:hAnsi="Times New Roman" w:cs="Times New Roman"/>
          <w:sz w:val="24"/>
          <w:szCs w:val="24"/>
        </w:rPr>
        <w:t>. CRC Press, Boca Raton, FL, pp.293–323.</w:t>
      </w:r>
    </w:p>
    <w:p w14:paraId="02BA6A05" w14:textId="77777777" w:rsidR="007A3788" w:rsidRDefault="007A378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7A3788">
        <w:rPr>
          <w:rFonts w:ascii="Times New Roman" w:hAnsi="Times New Roman" w:cs="Times New Roman"/>
          <w:sz w:val="24"/>
          <w:szCs w:val="24"/>
        </w:rPr>
        <w:t>Okamoto, T., Kurokawa, T., Gen, K., Murashita, K., Nomura, K., Kim, S. K., ... &amp; Tanaka, H. (2009). Influence of salinity on morphological deformities in cultured larvae of Japanese eel, Anguilla japonica, at completion of yolk resorption. </w:t>
      </w:r>
      <w:r w:rsidRPr="007A3788">
        <w:rPr>
          <w:rFonts w:ascii="Times New Roman" w:hAnsi="Times New Roman" w:cs="Times New Roman"/>
          <w:i/>
          <w:iCs/>
          <w:sz w:val="24"/>
          <w:szCs w:val="24"/>
        </w:rPr>
        <w:t>Aquaculture</w:t>
      </w:r>
      <w:r w:rsidRPr="007A3788">
        <w:rPr>
          <w:rFonts w:ascii="Times New Roman" w:hAnsi="Times New Roman" w:cs="Times New Roman"/>
          <w:sz w:val="24"/>
          <w:szCs w:val="24"/>
        </w:rPr>
        <w:t>, </w:t>
      </w:r>
      <w:r w:rsidRPr="007A3788">
        <w:rPr>
          <w:rFonts w:ascii="Times New Roman" w:hAnsi="Times New Roman" w:cs="Times New Roman"/>
          <w:i/>
          <w:iCs/>
          <w:sz w:val="24"/>
          <w:szCs w:val="24"/>
        </w:rPr>
        <w:t>293</w:t>
      </w:r>
      <w:r w:rsidRPr="007A3788">
        <w:rPr>
          <w:rFonts w:ascii="Times New Roman" w:hAnsi="Times New Roman" w:cs="Times New Roman"/>
          <w:sz w:val="24"/>
          <w:szCs w:val="24"/>
        </w:rPr>
        <w:t>(1-2), 113-118.</w:t>
      </w:r>
    </w:p>
    <w:p w14:paraId="71EB8D50" w14:textId="4DA9B610"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Pamungkas, W., 2012. Aktivitas osmoregulasi, respons pertumbuhan, dan energetic cost pada ikan yang dipelihara dalam lingkungan bersalinitas. </w:t>
      </w:r>
      <w:r w:rsidRPr="00E301E4">
        <w:rPr>
          <w:rFonts w:ascii="Times New Roman" w:hAnsi="Times New Roman" w:cs="Times New Roman"/>
          <w:i/>
          <w:iCs/>
          <w:sz w:val="24"/>
          <w:szCs w:val="24"/>
        </w:rPr>
        <w:t>Media Akuakultur</w:t>
      </w:r>
      <w:r w:rsidRPr="00E301E4">
        <w:rPr>
          <w:rFonts w:ascii="Times New Roman" w:hAnsi="Times New Roman" w:cs="Times New Roman"/>
          <w:sz w:val="24"/>
          <w:szCs w:val="24"/>
        </w:rPr>
        <w:t>, 7(1), pp.44–51.</w:t>
      </w:r>
    </w:p>
    <w:p w14:paraId="658F6AF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Pathak, M.S., Lakra, W.S., Reddy, A.K., Chadha, N.K., Tiwari, V.K. &amp; Srivastava, P.P., 2019. Growth and survival of silver pompano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(Lacepede, 1801) at different salinities in inland saline ground water. </w:t>
      </w:r>
      <w:r w:rsidRPr="00E301E4">
        <w:rPr>
          <w:rFonts w:ascii="Times New Roman" w:hAnsi="Times New Roman" w:cs="Times New Roman"/>
          <w:i/>
          <w:iCs/>
          <w:sz w:val="24"/>
          <w:szCs w:val="24"/>
        </w:rPr>
        <w:t>Indian Journal of Animal Sciences</w:t>
      </w:r>
      <w:r w:rsidRPr="00E301E4">
        <w:rPr>
          <w:rFonts w:ascii="Times New Roman" w:hAnsi="Times New Roman" w:cs="Times New Roman"/>
          <w:sz w:val="24"/>
          <w:szCs w:val="24"/>
        </w:rPr>
        <w:t>, 89(5), pp.581–587.</w:t>
      </w:r>
    </w:p>
    <w:p w14:paraId="0E2E4DC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Peragón, J., Barroso, J.B., de la Higuera, M. &amp; Lupiáñez, J.A., 1998. Relationship between growth and protein turnover rates and nucleic acids in the liver of rainbow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xml:space="preserve">) during development.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55(3), pp.649–657.</w:t>
      </w:r>
    </w:p>
    <w:p w14:paraId="674BBDEE"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Perret, W.S., Barrett, B., Latapie, W.R., Pollard, J.F., Mock, W.R., Adkins, G.B., Gaidry, W.J. &amp; White, C.J., 1971. Cooperative Gulf of Mexico estuarine inventory and study, Louisiana. Phase I, area description and Phase IV, biology. Louisiana Wildlife Fishery Commission, New Orleans, Louisiana. 175 pp.</w:t>
      </w:r>
    </w:p>
    <w:p w14:paraId="59CB06D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Pillai, N.G.K., 2011. </w:t>
      </w:r>
      <w:r w:rsidRPr="00E301E4">
        <w:rPr>
          <w:rFonts w:ascii="Times New Roman" w:hAnsi="Times New Roman" w:cs="Times New Roman"/>
          <w:i/>
          <w:iCs/>
          <w:sz w:val="24"/>
          <w:szCs w:val="24"/>
        </w:rPr>
        <w:t>Marine fisheries and mariculture in India</w:t>
      </w:r>
      <w:r w:rsidRPr="00E301E4">
        <w:rPr>
          <w:rFonts w:ascii="Times New Roman" w:hAnsi="Times New Roman" w:cs="Times New Roman"/>
          <w:sz w:val="24"/>
          <w:szCs w:val="24"/>
        </w:rPr>
        <w:t>. Marine Fisheries and Mariculture in India, pp.1–326.</w:t>
      </w:r>
    </w:p>
    <w:p w14:paraId="5CD2C01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Prodocimo, V., Souza, C.F., Pessini, C., Fernandes, L.C. &amp; Freire, C.A., 2008. Metabolic substrates are not mobilized from the osmoregulatory organs (gills and kidney) of the estuarine pufferfishes </w:t>
      </w:r>
      <w:r w:rsidRPr="00E301E4">
        <w:rPr>
          <w:rFonts w:ascii="Times New Roman" w:hAnsi="Times New Roman" w:cs="Times New Roman"/>
          <w:i/>
          <w:iCs/>
          <w:sz w:val="24"/>
          <w:szCs w:val="24"/>
        </w:rPr>
        <w:t>Sphoeroides greeleyi</w:t>
      </w:r>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S. testudineus</w:t>
      </w:r>
      <w:r w:rsidRPr="00E301E4">
        <w:rPr>
          <w:rFonts w:ascii="Times New Roman" w:hAnsi="Times New Roman" w:cs="Times New Roman"/>
          <w:sz w:val="24"/>
          <w:szCs w:val="24"/>
        </w:rPr>
        <w:t xml:space="preserve"> upon short-term salinity reduction.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6, pp.613–620.</w:t>
      </w:r>
    </w:p>
    <w:p w14:paraId="71473A69"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Retnani, H.T. &amp; Abdulgani, N., 2013. Pengaruh salinitas terhadap kandungan protein dan pertumbuhan ikan bawal bintang (</w:t>
      </w:r>
      <w:r w:rsidRPr="00E301E4">
        <w:rPr>
          <w:rFonts w:ascii="Times New Roman" w:hAnsi="Times New Roman" w:cs="Times New Roman"/>
          <w:i/>
          <w:iCs/>
          <w:sz w:val="24"/>
          <w:szCs w:val="24"/>
        </w:rPr>
        <w:t>Trachinotus blochii</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Jurnal Sains dan Seni ITS</w:t>
      </w:r>
      <w:r w:rsidRPr="00E301E4">
        <w:rPr>
          <w:rFonts w:ascii="Times New Roman" w:hAnsi="Times New Roman" w:cs="Times New Roman"/>
          <w:sz w:val="24"/>
          <w:szCs w:val="24"/>
        </w:rPr>
        <w:t>, 2(2), pp.E177–E181.</w:t>
      </w:r>
    </w:p>
    <w:p w14:paraId="5498D2B1"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Reis, A.B., Sant’Ana, D.M.G., Azevedo, J.F., Merlini, L.S. &amp; Araújo, E.J.A., 2009. The influence of the aquatic environment in tanks sequentially interconnected with PVC pipes on the gill epithelium and lamellas of tilapia (</w:t>
      </w:r>
      <w:r w:rsidRPr="00E301E4">
        <w:rPr>
          <w:rFonts w:ascii="Times New Roman" w:hAnsi="Times New Roman" w:cs="Times New Roman"/>
          <w:i/>
          <w:iCs/>
          <w:sz w:val="24"/>
          <w:szCs w:val="24"/>
        </w:rPr>
        <w:t>Oreochromis niloticus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Pesquisa Veterinaria Brasileira</w:t>
      </w:r>
      <w:r w:rsidRPr="00E301E4">
        <w:rPr>
          <w:rFonts w:ascii="Times New Roman" w:hAnsi="Times New Roman" w:cs="Times New Roman"/>
          <w:sz w:val="24"/>
          <w:szCs w:val="24"/>
        </w:rPr>
        <w:t>, 29, pp.303–311.</w:t>
      </w:r>
    </w:p>
    <w:p w14:paraId="633E922A"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Rocha da Silva, A.J., Gomes, V., Van Ngan, P., Rocha, M.J.D.A.C. &amp; Furia, R.R., 2005. Metabolic demand and growth of juveniles of </w:t>
      </w:r>
      <w:r w:rsidRPr="00E301E4">
        <w:rPr>
          <w:rFonts w:ascii="Times New Roman" w:hAnsi="Times New Roman" w:cs="Times New Roman"/>
          <w:i/>
          <w:iCs/>
          <w:sz w:val="24"/>
          <w:szCs w:val="24"/>
        </w:rPr>
        <w:t>Centropomus parallelus</w:t>
      </w:r>
      <w:r w:rsidRPr="00E301E4">
        <w:rPr>
          <w:rFonts w:ascii="Times New Roman" w:hAnsi="Times New Roman" w:cs="Times New Roman"/>
          <w:sz w:val="24"/>
          <w:szCs w:val="24"/>
        </w:rPr>
        <w:t xml:space="preserve"> as function of salinity.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316(2), pp.157–165.</w:t>
      </w:r>
    </w:p>
    <w:p w14:paraId="646CF896" w14:textId="056DE032"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Rubio, V.C., Sánchez-Vázquez, F.J. &amp; Madrid, J.A., 2005. Effects of salinity on food intake and macronutrient selection in European sea bass. </w:t>
      </w:r>
      <w:r w:rsidRPr="00E301E4">
        <w:rPr>
          <w:rFonts w:ascii="Times New Roman" w:hAnsi="Times New Roman" w:cs="Times New Roman"/>
          <w:i/>
          <w:iCs/>
          <w:sz w:val="24"/>
          <w:szCs w:val="24"/>
        </w:rPr>
        <w:t>Physiology &amp; Behavior</w:t>
      </w:r>
      <w:r w:rsidRPr="00E301E4">
        <w:rPr>
          <w:rFonts w:ascii="Times New Roman" w:hAnsi="Times New Roman" w:cs="Times New Roman"/>
          <w:sz w:val="24"/>
          <w:szCs w:val="24"/>
        </w:rPr>
        <w:t>, 85(3), pp.333–339.</w:t>
      </w:r>
    </w:p>
    <w:p w14:paraId="67E8152B"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Sahu, N.P., Akhtar, M.S., Pal, A.K. &amp; Ciji, A., 2013. Hemato-immunological responses of </w:t>
      </w:r>
      <w:r w:rsidRPr="00E301E4">
        <w:rPr>
          <w:rFonts w:ascii="Times New Roman" w:hAnsi="Times New Roman" w:cs="Times New Roman"/>
          <w:i/>
          <w:iCs/>
          <w:sz w:val="24"/>
          <w:szCs w:val="24"/>
        </w:rPr>
        <w:t>Labeo rohita</w:t>
      </w:r>
      <w:r w:rsidRPr="00E301E4">
        <w:rPr>
          <w:rFonts w:ascii="Times New Roman" w:hAnsi="Times New Roman" w:cs="Times New Roman"/>
          <w:sz w:val="24"/>
          <w:szCs w:val="24"/>
        </w:rPr>
        <w:t xml:space="preserve"> juveniles to temperature and salinity stress: effect of dietary L-tryptophan. </w:t>
      </w:r>
      <w:r w:rsidRPr="00E301E4">
        <w:rPr>
          <w:rFonts w:ascii="Times New Roman" w:hAnsi="Times New Roman" w:cs="Times New Roman"/>
          <w:i/>
          <w:iCs/>
          <w:sz w:val="24"/>
          <w:szCs w:val="24"/>
        </w:rPr>
        <w:t>Israeli Journal of Aquaculture-Bamidgeh</w:t>
      </w:r>
      <w:r w:rsidRPr="00E301E4">
        <w:rPr>
          <w:rFonts w:ascii="Times New Roman" w:hAnsi="Times New Roman" w:cs="Times New Roman"/>
          <w:sz w:val="24"/>
          <w:szCs w:val="24"/>
        </w:rPr>
        <w:t>, 65.</w:t>
      </w:r>
    </w:p>
    <w:p w14:paraId="18181590" w14:textId="77777777" w:rsidR="00DC5E30" w:rsidRPr="00E301E4" w:rsidRDefault="00DC5E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Sampaio, L.A., Tesser, M.B. &amp; Burkert, D., 2003. Acute salinity tolerance of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(Teleostei, Carangidae) under laboratory conditions. </w:t>
      </w:r>
      <w:r w:rsidRPr="00E301E4">
        <w:rPr>
          <w:rFonts w:ascii="Times New Roman" w:hAnsi="Times New Roman" w:cs="Times New Roman"/>
          <w:i/>
          <w:iCs/>
          <w:sz w:val="24"/>
          <w:szCs w:val="24"/>
        </w:rPr>
        <w:t>Ciência Rural</w:t>
      </w:r>
      <w:r w:rsidRPr="00E301E4">
        <w:rPr>
          <w:rFonts w:ascii="Times New Roman" w:hAnsi="Times New Roman" w:cs="Times New Roman"/>
          <w:sz w:val="24"/>
          <w:szCs w:val="24"/>
        </w:rPr>
        <w:t>, 33, pp.757–761.</w:t>
      </w:r>
    </w:p>
    <w:p w14:paraId="264934F8" w14:textId="77777777" w:rsidR="00AB5FDD" w:rsidRPr="00E301E4" w:rsidRDefault="00AB5FDD"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Sangiao-Alvarellos, S., Laiz-Carrion, R., Guzmán, J.M., Martín del Río, M.P., Miguez, J.M., Mancera, J.M. &amp; Soengas, J.L., 2003. Acclimation of </w:t>
      </w:r>
      <w:r w:rsidRPr="00E301E4">
        <w:rPr>
          <w:rFonts w:ascii="Times New Roman" w:hAnsi="Times New Roman" w:cs="Times New Roman"/>
          <w:i/>
          <w:iCs/>
          <w:sz w:val="24"/>
          <w:szCs w:val="24"/>
        </w:rPr>
        <w:t>S. aurata</w:t>
      </w:r>
      <w:r w:rsidRPr="00E301E4">
        <w:rPr>
          <w:rFonts w:ascii="Times New Roman" w:hAnsi="Times New Roman" w:cs="Times New Roman"/>
          <w:sz w:val="24"/>
          <w:szCs w:val="24"/>
        </w:rPr>
        <w:t xml:space="preserve"> to various salinities alters energy metabolism of osmoregulatory and non-osmoregulatory organs. </w:t>
      </w:r>
      <w:r w:rsidRPr="00E301E4">
        <w:rPr>
          <w:rFonts w:ascii="Times New Roman" w:hAnsi="Times New Roman" w:cs="Times New Roman"/>
          <w:i/>
          <w:iCs/>
          <w:sz w:val="24"/>
          <w:szCs w:val="24"/>
        </w:rPr>
        <w:t>American Journal of Physiology-Regulatory, Integrative and Comparative Physiology</w:t>
      </w:r>
      <w:r w:rsidRPr="00E301E4">
        <w:rPr>
          <w:rFonts w:ascii="Times New Roman" w:hAnsi="Times New Roman" w:cs="Times New Roman"/>
          <w:sz w:val="24"/>
          <w:szCs w:val="24"/>
        </w:rPr>
        <w:t>, 285(4), pp.R897–R907.</w:t>
      </w:r>
    </w:p>
    <w:p w14:paraId="366D0AE1" w14:textId="77777777" w:rsidR="00A805D6" w:rsidRPr="00E301E4" w:rsidRDefault="00A805D6"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Scabra, A.R., 2018. Response of eel fish (</w:t>
      </w:r>
      <w:r w:rsidRPr="00E301E4">
        <w:rPr>
          <w:rFonts w:ascii="Times New Roman" w:hAnsi="Times New Roman" w:cs="Times New Roman"/>
          <w:i/>
          <w:iCs/>
          <w:sz w:val="24"/>
          <w:szCs w:val="24"/>
        </w:rPr>
        <w:t>Anguilla bicolor bicolor</w:t>
      </w:r>
      <w:r w:rsidRPr="00E301E4">
        <w:rPr>
          <w:rFonts w:ascii="Times New Roman" w:hAnsi="Times New Roman" w:cs="Times New Roman"/>
          <w:sz w:val="24"/>
          <w:szCs w:val="24"/>
        </w:rPr>
        <w:t xml:space="preserve">) in media with different salinity. </w:t>
      </w:r>
      <w:r w:rsidRPr="00E301E4">
        <w:rPr>
          <w:rFonts w:ascii="Times New Roman" w:hAnsi="Times New Roman" w:cs="Times New Roman"/>
          <w:i/>
          <w:iCs/>
          <w:sz w:val="24"/>
          <w:szCs w:val="24"/>
        </w:rPr>
        <w:t>Jurnal Perikanan</w:t>
      </w:r>
      <w:r w:rsidRPr="00E301E4">
        <w:rPr>
          <w:rFonts w:ascii="Times New Roman" w:hAnsi="Times New Roman" w:cs="Times New Roman"/>
          <w:sz w:val="24"/>
          <w:szCs w:val="24"/>
        </w:rPr>
        <w:t>, 9(2), pp.180–187. [In Indonesian]</w:t>
      </w:r>
    </w:p>
    <w:p w14:paraId="23AAF766" w14:textId="77777777" w:rsidR="00434924" w:rsidRPr="00E301E4" w:rsidRDefault="0043492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Semra, K., Karul, A., Yildirim, Ş. &amp; Gamsiz, K., 2013. Effects of salinity on growth and metabolism in blue tilapia (</w:t>
      </w:r>
      <w:r w:rsidRPr="00E301E4">
        <w:rPr>
          <w:rFonts w:ascii="Times New Roman" w:hAnsi="Times New Roman" w:cs="Times New Roman"/>
          <w:i/>
          <w:iCs/>
          <w:sz w:val="24"/>
          <w:szCs w:val="24"/>
        </w:rPr>
        <w:t>Oreochromis aureus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African Journal of Biotechnology</w:t>
      </w:r>
      <w:r w:rsidRPr="00E301E4">
        <w:rPr>
          <w:rFonts w:ascii="Times New Roman" w:hAnsi="Times New Roman" w:cs="Times New Roman"/>
          <w:sz w:val="24"/>
          <w:szCs w:val="24"/>
        </w:rPr>
        <w:t>, 12(19).</w:t>
      </w:r>
    </w:p>
    <w:p w14:paraId="3A86B653" w14:textId="77777777" w:rsidR="00F62A43" w:rsidRPr="00E301E4" w:rsidRDefault="00F62A43"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Setiyoningsih, P.R., 2014. Respon gelondongan ikan bandeng (</w:t>
      </w:r>
      <w:r w:rsidRPr="00E301E4">
        <w:rPr>
          <w:rFonts w:ascii="Times New Roman" w:hAnsi="Times New Roman" w:cs="Times New Roman"/>
          <w:i/>
          <w:iCs/>
          <w:sz w:val="24"/>
          <w:szCs w:val="24"/>
        </w:rPr>
        <w:t>Chanos chanos</w:t>
      </w:r>
      <w:r w:rsidRPr="00E301E4">
        <w:rPr>
          <w:rFonts w:ascii="Times New Roman" w:hAnsi="Times New Roman" w:cs="Times New Roman"/>
          <w:sz w:val="24"/>
          <w:szCs w:val="24"/>
        </w:rPr>
        <w:t xml:space="preserve">) akibat perubahan salinitas dengan penambahan kalsium klorida (CaCl₂) pada durasi yang berbeda. </w:t>
      </w:r>
      <w:r w:rsidRPr="00E301E4">
        <w:rPr>
          <w:rFonts w:ascii="Times New Roman" w:hAnsi="Times New Roman" w:cs="Times New Roman"/>
          <w:i/>
          <w:iCs/>
          <w:sz w:val="24"/>
          <w:szCs w:val="24"/>
        </w:rPr>
        <w:t>Jurnal Penelitian UNISLA</w:t>
      </w:r>
      <w:r w:rsidRPr="00E301E4">
        <w:rPr>
          <w:rFonts w:ascii="Times New Roman" w:hAnsi="Times New Roman" w:cs="Times New Roman"/>
          <w:sz w:val="24"/>
          <w:szCs w:val="24"/>
        </w:rPr>
        <w:t>, 5(2), pp.6–17.</w:t>
      </w:r>
    </w:p>
    <w:p w14:paraId="7D4D2300" w14:textId="77777777" w:rsidR="00661414" w:rsidRPr="00E301E4" w:rsidRDefault="0066141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Signor, A., Signor, A.A., Boscolo, W.R., Reidel, A., Klein, S. &amp; Feiden, A., 2015. Biomassa de perifíton em substratos artificiais durante o verão e inverno. </w:t>
      </w:r>
      <w:r w:rsidRPr="00E301E4">
        <w:rPr>
          <w:rFonts w:ascii="Times New Roman" w:hAnsi="Times New Roman" w:cs="Times New Roman"/>
          <w:i/>
          <w:iCs/>
          <w:sz w:val="24"/>
          <w:szCs w:val="24"/>
        </w:rPr>
        <w:t>Ciência Rural</w:t>
      </w:r>
      <w:r w:rsidRPr="00E301E4">
        <w:rPr>
          <w:rFonts w:ascii="Times New Roman" w:hAnsi="Times New Roman" w:cs="Times New Roman"/>
          <w:sz w:val="24"/>
          <w:szCs w:val="24"/>
        </w:rPr>
        <w:t>, 45, pp.72–78.</w:t>
      </w:r>
    </w:p>
    <w:p w14:paraId="4E74B654" w14:textId="77777777" w:rsidR="00007340" w:rsidRPr="00E301E4" w:rsidRDefault="0000734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Takahara, S., Hamilton, H.B., Neel, J.V., Kobara, T.Y., Ogura, Y. &amp; Nishimura, E.T., 1960. Hypocatalasemia: a new genetic carrier state. </w:t>
      </w:r>
      <w:r w:rsidRPr="00E301E4">
        <w:rPr>
          <w:rFonts w:ascii="Times New Roman" w:hAnsi="Times New Roman" w:cs="Times New Roman"/>
          <w:i/>
          <w:iCs/>
          <w:sz w:val="24"/>
          <w:szCs w:val="24"/>
        </w:rPr>
        <w:t>The Journal of Clinical Investigation</w:t>
      </w:r>
      <w:r w:rsidRPr="00E301E4">
        <w:rPr>
          <w:rFonts w:ascii="Times New Roman" w:hAnsi="Times New Roman" w:cs="Times New Roman"/>
          <w:sz w:val="24"/>
          <w:szCs w:val="24"/>
        </w:rPr>
        <w:t>, 39(4), pp.610–619.</w:t>
      </w:r>
    </w:p>
    <w:p w14:paraId="405433FE" w14:textId="77777777" w:rsidR="00FD786F" w:rsidRPr="00E301E4"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Tomy, S., Chang, Y.M., Chen, Y.H., Cao, J.C., Wang, T.P. &amp; Chang, C.F., 2009. Salinity effects on the expression of osmoregulatory genes in the euryhaline black porgy </w:t>
      </w:r>
      <w:r w:rsidRPr="00E301E4">
        <w:rPr>
          <w:rFonts w:ascii="Times New Roman" w:hAnsi="Times New Roman" w:cs="Times New Roman"/>
          <w:i/>
          <w:iCs/>
          <w:sz w:val="24"/>
          <w:szCs w:val="24"/>
        </w:rPr>
        <w:t>Acanthopagrus schlegeli</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General and Comparative Endocrinology</w:t>
      </w:r>
      <w:r w:rsidRPr="00E301E4">
        <w:rPr>
          <w:rFonts w:ascii="Times New Roman" w:hAnsi="Times New Roman" w:cs="Times New Roman"/>
          <w:sz w:val="24"/>
          <w:szCs w:val="24"/>
        </w:rPr>
        <w:t>, 161(1), pp.123–132.</w:t>
      </w:r>
    </w:p>
    <w:p w14:paraId="1C4725CC" w14:textId="77777777" w:rsidR="00645871" w:rsidRPr="00E301E4" w:rsidRDefault="0064587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Tsuzuki, M.Y., Ogawa, K., Strüssmann, C.A., Maita, M., Takashima, F. &amp; Melo, C.M.R., 2007. The significance of cortisol on acclimation to salinity in pejerrey </w:t>
      </w:r>
      <w:r w:rsidRPr="00E301E4">
        <w:rPr>
          <w:rFonts w:ascii="Times New Roman" w:hAnsi="Times New Roman" w:cs="Times New Roman"/>
          <w:i/>
          <w:iCs/>
          <w:sz w:val="24"/>
          <w:szCs w:val="24"/>
        </w:rPr>
        <w:t>Odontesthes bonariensis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Arquivo Brasileiro de Medicina Veterinária e Zootecnia</w:t>
      </w:r>
      <w:r w:rsidRPr="00E301E4">
        <w:rPr>
          <w:rFonts w:ascii="Times New Roman" w:hAnsi="Times New Roman" w:cs="Times New Roman"/>
          <w:sz w:val="24"/>
          <w:szCs w:val="24"/>
        </w:rPr>
        <w:t>, 59, pp.1301–1307.</w:t>
      </w:r>
    </w:p>
    <w:p w14:paraId="246C4E21" w14:textId="77777777" w:rsidR="00035242" w:rsidRPr="00E301E4" w:rsidRDefault="00035242"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Tseng, Y.C. &amp; Hwang, P.P., 2008. Some insights into energy metabolism for osmoregulation in fish.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148(4), pp.419–429.</w:t>
      </w:r>
    </w:p>
    <w:p w14:paraId="2680BD28" w14:textId="77777777" w:rsidR="00A449FB" w:rsidRPr="00E301E4" w:rsidRDefault="00A449F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van Dam, A.A., Beveridge, M.C., Azim, M.E. &amp; Verdegem, M.C., 2002. The potential of fish production based on periphyton.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12, pp.1–31.</w:t>
      </w:r>
    </w:p>
    <w:p w14:paraId="112B4839" w14:textId="77777777" w:rsidR="009B1478" w:rsidRPr="00E301E4" w:rsidRDefault="009B147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Wahyuni, S., Windarti, W. &amp; Putra, R.M., 2017. Comparative study on histological structure of gill and kidney of snakehead fish (</w:t>
      </w:r>
      <w:r w:rsidRPr="00E301E4">
        <w:rPr>
          <w:rFonts w:ascii="Times New Roman" w:hAnsi="Times New Roman" w:cs="Times New Roman"/>
          <w:i/>
          <w:iCs/>
          <w:sz w:val="24"/>
          <w:szCs w:val="24"/>
        </w:rPr>
        <w:t>Channa striata</w:t>
      </w:r>
      <w:r w:rsidRPr="00E301E4">
        <w:rPr>
          <w:rFonts w:ascii="Times New Roman" w:hAnsi="Times New Roman" w:cs="Times New Roman"/>
          <w:sz w:val="24"/>
          <w:szCs w:val="24"/>
        </w:rPr>
        <w:t>, BLOCH 1793) from the Kulim and Sibam Rivers, Riau Province. Doctoral dissertation, Riau University.</w:t>
      </w:r>
    </w:p>
    <w:p w14:paraId="6AC1BEA6" w14:textId="77777777" w:rsidR="004F2F30" w:rsidRPr="00E301E4" w:rsidRDefault="004F2F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Weirich, C.R., Wills, P.S., Baptiste, R.M., Woodward, P.N. &amp; </w:t>
      </w:r>
      <w:r w:rsidRPr="00364E78">
        <w:rPr>
          <w:rFonts w:ascii="Times New Roman" w:hAnsi="Times New Roman" w:cs="Times New Roman"/>
          <w:color w:val="000000" w:themeColor="text1"/>
          <w:sz w:val="24"/>
          <w:szCs w:val="24"/>
        </w:rPr>
        <w:t>Riche</w:t>
      </w:r>
      <w:r w:rsidRPr="00E301E4">
        <w:rPr>
          <w:rFonts w:ascii="Times New Roman" w:hAnsi="Times New Roman" w:cs="Times New Roman"/>
          <w:sz w:val="24"/>
          <w:szCs w:val="24"/>
        </w:rPr>
        <w:t xml:space="preserve">, M.A., 2009. Production characteristics and body composition of Florida pompano reared to market size at two different densities in low-salinity recirculating aquaculture systems. </w:t>
      </w:r>
      <w:r w:rsidRPr="00E301E4">
        <w:rPr>
          <w:rFonts w:ascii="Times New Roman" w:hAnsi="Times New Roman" w:cs="Times New Roman"/>
          <w:i/>
          <w:iCs/>
          <w:sz w:val="24"/>
          <w:szCs w:val="24"/>
        </w:rPr>
        <w:t>North American Journal of Aquaculture</w:t>
      </w:r>
      <w:r w:rsidRPr="00E301E4">
        <w:rPr>
          <w:rFonts w:ascii="Times New Roman" w:hAnsi="Times New Roman" w:cs="Times New Roman"/>
          <w:sz w:val="24"/>
          <w:szCs w:val="24"/>
        </w:rPr>
        <w:t>, 71(2), pp.165–173.</w:t>
      </w:r>
    </w:p>
    <w:p w14:paraId="53FB1E60"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Zhang, Z., Lu, K., Liang, X.F., Li, J., Tang, S., Zhang, Y. &amp; Zhang, Q., 2022. Effects of early low temperature exposure on the growth, glycolipid metabolism and growth hormone (GH) gene methylation in the late stage of Chinese perch (</w:t>
      </w:r>
      <w:r w:rsidRPr="00E301E4">
        <w:rPr>
          <w:rFonts w:ascii="Times New Roman" w:hAnsi="Times New Roman" w:cs="Times New Roman"/>
          <w:i/>
          <w:iCs/>
          <w:sz w:val="24"/>
          <w:szCs w:val="24"/>
        </w:rPr>
        <w:t>Siniperca chuatsi</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Comparative Biochemistry and Physiology Part B: Biochemistry and Molecular Biology</w:t>
      </w:r>
      <w:r w:rsidRPr="00E301E4">
        <w:rPr>
          <w:rFonts w:ascii="Times New Roman" w:hAnsi="Times New Roman" w:cs="Times New Roman"/>
          <w:sz w:val="24"/>
          <w:szCs w:val="24"/>
        </w:rPr>
        <w:t>, 259, 110705.</w:t>
      </w:r>
    </w:p>
    <w:p w14:paraId="63C93764"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Zheng, P., Ma, Z., Guo, H., Wang, L., Jiang, S., Zhang, D. &amp; Qin, J.G., 2008. Effect of salinity on the rearing performance of juvenile golden pompano </w:t>
      </w:r>
      <w:r w:rsidRPr="00E301E4">
        <w:rPr>
          <w:rFonts w:ascii="Times New Roman" w:hAnsi="Times New Roman" w:cs="Times New Roman"/>
          <w:i/>
          <w:iCs/>
          <w:sz w:val="24"/>
          <w:szCs w:val="24"/>
        </w:rPr>
        <w:t>Trachinotus ovatus</w:t>
      </w:r>
      <w:r w:rsidRPr="00E301E4">
        <w:rPr>
          <w:rFonts w:ascii="Times New Roman" w:hAnsi="Times New Roman" w:cs="Times New Roman"/>
          <w:sz w:val="24"/>
          <w:szCs w:val="24"/>
        </w:rPr>
        <w:t xml:space="preserve"> (Linnaeus 1758).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47(6), pp.1761–1769.</w:t>
      </w:r>
    </w:p>
    <w:p w14:paraId="2CFEA6DD" w14:textId="77777777" w:rsidR="00FD786F" w:rsidRPr="00BB21F8"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
    <w:p w14:paraId="54C3DFE0" w14:textId="77777777" w:rsidR="00806D61" w:rsidRPr="00164CB0" w:rsidRDefault="00806D61" w:rsidP="00806D61">
      <w:pPr>
        <w:tabs>
          <w:tab w:val="left" w:pos="2895"/>
        </w:tabs>
        <w:spacing w:before="100" w:beforeAutospacing="1" w:after="100" w:afterAutospacing="1" w:line="360" w:lineRule="auto"/>
        <w:ind w:left="454" w:hanging="680"/>
        <w:jc w:val="both"/>
        <w:rPr>
          <w:rFonts w:ascii="Arial" w:hAnsi="Arial" w:cs="Arial"/>
          <w:sz w:val="24"/>
          <w:szCs w:val="24"/>
        </w:rPr>
      </w:pPr>
    </w:p>
    <w:p w14:paraId="74EDD6ED" w14:textId="77777777" w:rsidR="00544681" w:rsidRPr="00AC27C7" w:rsidRDefault="00544681" w:rsidP="00544681">
      <w:pPr>
        <w:tabs>
          <w:tab w:val="left" w:pos="2895"/>
        </w:tabs>
        <w:spacing w:before="100" w:beforeAutospacing="1" w:after="100" w:afterAutospacing="1" w:line="360" w:lineRule="auto"/>
        <w:ind w:left="454" w:hanging="680"/>
        <w:jc w:val="both"/>
        <w:rPr>
          <w:rFonts w:ascii="Arial" w:hAnsi="Arial" w:cs="Arial"/>
          <w:sz w:val="24"/>
          <w:szCs w:val="24"/>
        </w:rPr>
      </w:pPr>
    </w:p>
    <w:p w14:paraId="00E40D57" w14:textId="77777777" w:rsidR="00AB04AA" w:rsidRPr="0073363B" w:rsidRDefault="00AB04AA" w:rsidP="0073363B">
      <w:pPr>
        <w:spacing w:line="276" w:lineRule="auto"/>
        <w:jc w:val="both"/>
        <w:rPr>
          <w:rFonts w:ascii="Times New Roman" w:hAnsi="Times New Roman" w:cs="Times New Roman"/>
        </w:rPr>
      </w:pPr>
    </w:p>
    <w:sectPr w:rsidR="00AB04AA" w:rsidRPr="007336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D61B" w14:textId="77777777" w:rsidR="00EF4D13" w:rsidRDefault="00EF4D13" w:rsidP="00C830B9">
      <w:pPr>
        <w:spacing w:after="0" w:line="240" w:lineRule="auto"/>
      </w:pPr>
      <w:r>
        <w:separator/>
      </w:r>
    </w:p>
  </w:endnote>
  <w:endnote w:type="continuationSeparator" w:id="0">
    <w:p w14:paraId="054451B4" w14:textId="77777777" w:rsidR="00EF4D13" w:rsidRDefault="00EF4D13" w:rsidP="00C8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B04A" w14:textId="77777777" w:rsidR="00EF4D13" w:rsidRDefault="00EF4D13" w:rsidP="00C830B9">
      <w:pPr>
        <w:spacing w:after="0" w:line="240" w:lineRule="auto"/>
      </w:pPr>
      <w:r>
        <w:separator/>
      </w:r>
    </w:p>
  </w:footnote>
  <w:footnote w:type="continuationSeparator" w:id="0">
    <w:p w14:paraId="43671E9C" w14:textId="77777777" w:rsidR="00EF4D13" w:rsidRDefault="00EF4D13" w:rsidP="00C83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87846"/>
    <w:multiLevelType w:val="multilevel"/>
    <w:tmpl w:val="E40EA04E"/>
    <w:lvl w:ilvl="0">
      <w:start w:val="3"/>
      <w:numFmt w:val="decimal"/>
      <w:lvlText w:val="%1"/>
      <w:lvlJc w:val="left"/>
      <w:pPr>
        <w:ind w:left="360" w:hanging="360"/>
      </w:pPr>
      <w:rPr>
        <w:rFonts w:hint="default"/>
      </w:rPr>
    </w:lvl>
    <w:lvl w:ilvl="1">
      <w:start w:val="2"/>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1" w15:restartNumberingAfterBreak="0">
    <w:nsid w:val="4E7930A4"/>
    <w:multiLevelType w:val="multilevel"/>
    <w:tmpl w:val="6A6649C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F616E6"/>
    <w:multiLevelType w:val="hybridMultilevel"/>
    <w:tmpl w:val="782CCCFA"/>
    <w:lvl w:ilvl="0" w:tplc="3B9063A8">
      <w:start w:val="1"/>
      <w:numFmt w:val="lowerRoman"/>
      <w:lvlText w:val="%1."/>
      <w:lvlJc w:val="left"/>
      <w:pPr>
        <w:ind w:left="905" w:hanging="480"/>
        <w:jc w:val="righ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7960E0B2">
      <w:numFmt w:val="bullet"/>
      <w:lvlText w:val="•"/>
      <w:lvlJc w:val="left"/>
      <w:pPr>
        <w:ind w:left="1856" w:hanging="480"/>
      </w:pPr>
      <w:rPr>
        <w:rFonts w:hint="default"/>
        <w:lang w:val="en-US" w:eastAsia="en-US" w:bidi="ar-SA"/>
      </w:rPr>
    </w:lvl>
    <w:lvl w:ilvl="2" w:tplc="A268F26E">
      <w:numFmt w:val="bullet"/>
      <w:lvlText w:val="•"/>
      <w:lvlJc w:val="left"/>
      <w:pPr>
        <w:ind w:left="2752" w:hanging="480"/>
      </w:pPr>
      <w:rPr>
        <w:rFonts w:hint="default"/>
        <w:lang w:val="en-US" w:eastAsia="en-US" w:bidi="ar-SA"/>
      </w:rPr>
    </w:lvl>
    <w:lvl w:ilvl="3" w:tplc="22D0D118">
      <w:numFmt w:val="bullet"/>
      <w:lvlText w:val="•"/>
      <w:lvlJc w:val="left"/>
      <w:pPr>
        <w:ind w:left="3648" w:hanging="480"/>
      </w:pPr>
      <w:rPr>
        <w:rFonts w:hint="default"/>
        <w:lang w:val="en-US" w:eastAsia="en-US" w:bidi="ar-SA"/>
      </w:rPr>
    </w:lvl>
    <w:lvl w:ilvl="4" w:tplc="45122938">
      <w:numFmt w:val="bullet"/>
      <w:lvlText w:val="•"/>
      <w:lvlJc w:val="left"/>
      <w:pPr>
        <w:ind w:left="4544" w:hanging="480"/>
      </w:pPr>
      <w:rPr>
        <w:rFonts w:hint="default"/>
        <w:lang w:val="en-US" w:eastAsia="en-US" w:bidi="ar-SA"/>
      </w:rPr>
    </w:lvl>
    <w:lvl w:ilvl="5" w:tplc="9CBC52DC">
      <w:numFmt w:val="bullet"/>
      <w:lvlText w:val="•"/>
      <w:lvlJc w:val="left"/>
      <w:pPr>
        <w:ind w:left="5441" w:hanging="480"/>
      </w:pPr>
      <w:rPr>
        <w:rFonts w:hint="default"/>
        <w:lang w:val="en-US" w:eastAsia="en-US" w:bidi="ar-SA"/>
      </w:rPr>
    </w:lvl>
    <w:lvl w:ilvl="6" w:tplc="536A723C">
      <w:numFmt w:val="bullet"/>
      <w:lvlText w:val="•"/>
      <w:lvlJc w:val="left"/>
      <w:pPr>
        <w:ind w:left="6337" w:hanging="480"/>
      </w:pPr>
      <w:rPr>
        <w:rFonts w:hint="default"/>
        <w:lang w:val="en-US" w:eastAsia="en-US" w:bidi="ar-SA"/>
      </w:rPr>
    </w:lvl>
    <w:lvl w:ilvl="7" w:tplc="09BE1980">
      <w:numFmt w:val="bullet"/>
      <w:lvlText w:val="•"/>
      <w:lvlJc w:val="left"/>
      <w:pPr>
        <w:ind w:left="7233" w:hanging="480"/>
      </w:pPr>
      <w:rPr>
        <w:rFonts w:hint="default"/>
        <w:lang w:val="en-US" w:eastAsia="en-US" w:bidi="ar-SA"/>
      </w:rPr>
    </w:lvl>
    <w:lvl w:ilvl="8" w:tplc="A08CA370">
      <w:numFmt w:val="bullet"/>
      <w:lvlText w:val="•"/>
      <w:lvlJc w:val="left"/>
      <w:pPr>
        <w:ind w:left="8129" w:hanging="480"/>
      </w:pPr>
      <w:rPr>
        <w:rFonts w:hint="default"/>
        <w:lang w:val="en-US" w:eastAsia="en-US" w:bidi="ar-SA"/>
      </w:rPr>
    </w:lvl>
  </w:abstractNum>
  <w:abstractNum w:abstractNumId="3" w15:restartNumberingAfterBreak="0">
    <w:nsid w:val="73803EFB"/>
    <w:multiLevelType w:val="multilevel"/>
    <w:tmpl w:val="AA8A07C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0662643">
    <w:abstractNumId w:val="0"/>
  </w:num>
  <w:num w:numId="2" w16cid:durableId="1275865309">
    <w:abstractNumId w:val="3"/>
  </w:num>
  <w:num w:numId="3" w16cid:durableId="3091511">
    <w:abstractNumId w:val="2"/>
  </w:num>
  <w:num w:numId="4" w16cid:durableId="1003433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91"/>
    <w:rsid w:val="00007340"/>
    <w:rsid w:val="00012D54"/>
    <w:rsid w:val="00012E7E"/>
    <w:rsid w:val="00026F4C"/>
    <w:rsid w:val="00035242"/>
    <w:rsid w:val="00035FAC"/>
    <w:rsid w:val="00043B26"/>
    <w:rsid w:val="00055A30"/>
    <w:rsid w:val="00056FE2"/>
    <w:rsid w:val="000578A4"/>
    <w:rsid w:val="000617A6"/>
    <w:rsid w:val="000627D5"/>
    <w:rsid w:val="00071120"/>
    <w:rsid w:val="0007548E"/>
    <w:rsid w:val="00082347"/>
    <w:rsid w:val="00085389"/>
    <w:rsid w:val="00090D90"/>
    <w:rsid w:val="000A3E26"/>
    <w:rsid w:val="000B2981"/>
    <w:rsid w:val="000C1462"/>
    <w:rsid w:val="000C1B7C"/>
    <w:rsid w:val="000C3134"/>
    <w:rsid w:val="000C5676"/>
    <w:rsid w:val="000C6D6A"/>
    <w:rsid w:val="000D0210"/>
    <w:rsid w:val="000E650D"/>
    <w:rsid w:val="00102B40"/>
    <w:rsid w:val="00106ECF"/>
    <w:rsid w:val="00112757"/>
    <w:rsid w:val="001150ED"/>
    <w:rsid w:val="0011598D"/>
    <w:rsid w:val="00117E0B"/>
    <w:rsid w:val="001462A9"/>
    <w:rsid w:val="00181E2F"/>
    <w:rsid w:val="00186CE8"/>
    <w:rsid w:val="00190E4C"/>
    <w:rsid w:val="001A7823"/>
    <w:rsid w:val="001C69C2"/>
    <w:rsid w:val="001D0EEB"/>
    <w:rsid w:val="001F0640"/>
    <w:rsid w:val="001F2A1D"/>
    <w:rsid w:val="001F68FE"/>
    <w:rsid w:val="00207CD8"/>
    <w:rsid w:val="00232A2B"/>
    <w:rsid w:val="002353EF"/>
    <w:rsid w:val="00237388"/>
    <w:rsid w:val="00245DD9"/>
    <w:rsid w:val="00246ED3"/>
    <w:rsid w:val="0025754D"/>
    <w:rsid w:val="00261959"/>
    <w:rsid w:val="00263F57"/>
    <w:rsid w:val="0026406F"/>
    <w:rsid w:val="00283105"/>
    <w:rsid w:val="002A7D3C"/>
    <w:rsid w:val="002B3B85"/>
    <w:rsid w:val="002B4BC5"/>
    <w:rsid w:val="002C353E"/>
    <w:rsid w:val="002C630B"/>
    <w:rsid w:val="002D1F86"/>
    <w:rsid w:val="002D75AA"/>
    <w:rsid w:val="002E0B18"/>
    <w:rsid w:val="002E394A"/>
    <w:rsid w:val="00340A1E"/>
    <w:rsid w:val="003614F2"/>
    <w:rsid w:val="00364E78"/>
    <w:rsid w:val="00387177"/>
    <w:rsid w:val="003908DC"/>
    <w:rsid w:val="003B3D02"/>
    <w:rsid w:val="003C6578"/>
    <w:rsid w:val="003D4040"/>
    <w:rsid w:val="00407392"/>
    <w:rsid w:val="004268B0"/>
    <w:rsid w:val="00434924"/>
    <w:rsid w:val="00451C28"/>
    <w:rsid w:val="00453ABD"/>
    <w:rsid w:val="00456F58"/>
    <w:rsid w:val="004A2C55"/>
    <w:rsid w:val="004A723A"/>
    <w:rsid w:val="004B0A33"/>
    <w:rsid w:val="004D2643"/>
    <w:rsid w:val="004D2FEA"/>
    <w:rsid w:val="004F2F30"/>
    <w:rsid w:val="004F5864"/>
    <w:rsid w:val="00504D35"/>
    <w:rsid w:val="00507462"/>
    <w:rsid w:val="005103B3"/>
    <w:rsid w:val="005413E9"/>
    <w:rsid w:val="00544681"/>
    <w:rsid w:val="00547DB7"/>
    <w:rsid w:val="00572F4B"/>
    <w:rsid w:val="00575334"/>
    <w:rsid w:val="00576FF1"/>
    <w:rsid w:val="00577512"/>
    <w:rsid w:val="005A0828"/>
    <w:rsid w:val="005B1112"/>
    <w:rsid w:val="005C5031"/>
    <w:rsid w:val="005F10F9"/>
    <w:rsid w:val="00605170"/>
    <w:rsid w:val="00613D73"/>
    <w:rsid w:val="00615578"/>
    <w:rsid w:val="00645871"/>
    <w:rsid w:val="00646950"/>
    <w:rsid w:val="00646EA3"/>
    <w:rsid w:val="00647A91"/>
    <w:rsid w:val="0065100F"/>
    <w:rsid w:val="00657B3E"/>
    <w:rsid w:val="00661414"/>
    <w:rsid w:val="00661ADB"/>
    <w:rsid w:val="006A64D5"/>
    <w:rsid w:val="006B07C5"/>
    <w:rsid w:val="006B0ADE"/>
    <w:rsid w:val="006C19D0"/>
    <w:rsid w:val="006C45C8"/>
    <w:rsid w:val="006D73CB"/>
    <w:rsid w:val="006E1EDB"/>
    <w:rsid w:val="006F2BB9"/>
    <w:rsid w:val="0070264A"/>
    <w:rsid w:val="007131EF"/>
    <w:rsid w:val="00725163"/>
    <w:rsid w:val="00726637"/>
    <w:rsid w:val="0073363B"/>
    <w:rsid w:val="00734E21"/>
    <w:rsid w:val="00752FD7"/>
    <w:rsid w:val="00757593"/>
    <w:rsid w:val="007607AE"/>
    <w:rsid w:val="00763B4F"/>
    <w:rsid w:val="00771CCB"/>
    <w:rsid w:val="007A2E68"/>
    <w:rsid w:val="007A3788"/>
    <w:rsid w:val="007A5FD6"/>
    <w:rsid w:val="007C0B4A"/>
    <w:rsid w:val="007D5874"/>
    <w:rsid w:val="007D5E59"/>
    <w:rsid w:val="007D6CFB"/>
    <w:rsid w:val="007E1DD0"/>
    <w:rsid w:val="00801F9B"/>
    <w:rsid w:val="00806D61"/>
    <w:rsid w:val="00812337"/>
    <w:rsid w:val="00813944"/>
    <w:rsid w:val="00821C69"/>
    <w:rsid w:val="008221A7"/>
    <w:rsid w:val="00823301"/>
    <w:rsid w:val="008241F0"/>
    <w:rsid w:val="00833E66"/>
    <w:rsid w:val="008674AC"/>
    <w:rsid w:val="008708CE"/>
    <w:rsid w:val="008710FF"/>
    <w:rsid w:val="00896412"/>
    <w:rsid w:val="008A0889"/>
    <w:rsid w:val="008A15C1"/>
    <w:rsid w:val="008A15E3"/>
    <w:rsid w:val="008A5029"/>
    <w:rsid w:val="008D2C1E"/>
    <w:rsid w:val="008E4D0F"/>
    <w:rsid w:val="008F16A9"/>
    <w:rsid w:val="00902D39"/>
    <w:rsid w:val="00907A0E"/>
    <w:rsid w:val="009116D6"/>
    <w:rsid w:val="00912CEF"/>
    <w:rsid w:val="009161B9"/>
    <w:rsid w:val="009201A6"/>
    <w:rsid w:val="00921AA7"/>
    <w:rsid w:val="009423CC"/>
    <w:rsid w:val="0094664D"/>
    <w:rsid w:val="009545F4"/>
    <w:rsid w:val="0095684D"/>
    <w:rsid w:val="00974010"/>
    <w:rsid w:val="00987C23"/>
    <w:rsid w:val="009B1478"/>
    <w:rsid w:val="009B369A"/>
    <w:rsid w:val="009B56BF"/>
    <w:rsid w:val="009D3284"/>
    <w:rsid w:val="009F4D79"/>
    <w:rsid w:val="00A30E0B"/>
    <w:rsid w:val="00A31DF2"/>
    <w:rsid w:val="00A33CA1"/>
    <w:rsid w:val="00A44165"/>
    <w:rsid w:val="00A449FB"/>
    <w:rsid w:val="00A65CC3"/>
    <w:rsid w:val="00A805D6"/>
    <w:rsid w:val="00A84174"/>
    <w:rsid w:val="00A84900"/>
    <w:rsid w:val="00A9426C"/>
    <w:rsid w:val="00A96FF0"/>
    <w:rsid w:val="00AA2E96"/>
    <w:rsid w:val="00AA4959"/>
    <w:rsid w:val="00AB04AA"/>
    <w:rsid w:val="00AB4A3E"/>
    <w:rsid w:val="00AB5FDD"/>
    <w:rsid w:val="00AC679F"/>
    <w:rsid w:val="00AC720B"/>
    <w:rsid w:val="00AD6031"/>
    <w:rsid w:val="00AE56F7"/>
    <w:rsid w:val="00B0082D"/>
    <w:rsid w:val="00B133D7"/>
    <w:rsid w:val="00B30C1C"/>
    <w:rsid w:val="00B519C7"/>
    <w:rsid w:val="00B56D23"/>
    <w:rsid w:val="00B606DF"/>
    <w:rsid w:val="00B7171D"/>
    <w:rsid w:val="00B802E4"/>
    <w:rsid w:val="00B857DF"/>
    <w:rsid w:val="00B861E1"/>
    <w:rsid w:val="00B973CD"/>
    <w:rsid w:val="00BB21F8"/>
    <w:rsid w:val="00BC7BB8"/>
    <w:rsid w:val="00BE0299"/>
    <w:rsid w:val="00BF2373"/>
    <w:rsid w:val="00BF3904"/>
    <w:rsid w:val="00BF6BD3"/>
    <w:rsid w:val="00C13E89"/>
    <w:rsid w:val="00C151AF"/>
    <w:rsid w:val="00C52F74"/>
    <w:rsid w:val="00C54B9C"/>
    <w:rsid w:val="00C723D3"/>
    <w:rsid w:val="00C7672E"/>
    <w:rsid w:val="00C830B9"/>
    <w:rsid w:val="00C85755"/>
    <w:rsid w:val="00C96078"/>
    <w:rsid w:val="00C9651B"/>
    <w:rsid w:val="00CA034D"/>
    <w:rsid w:val="00CA500D"/>
    <w:rsid w:val="00CD1339"/>
    <w:rsid w:val="00CD531F"/>
    <w:rsid w:val="00CD67CA"/>
    <w:rsid w:val="00CE22AF"/>
    <w:rsid w:val="00CE41FA"/>
    <w:rsid w:val="00CF0648"/>
    <w:rsid w:val="00CF11CB"/>
    <w:rsid w:val="00CF55CE"/>
    <w:rsid w:val="00CF6EB4"/>
    <w:rsid w:val="00D17405"/>
    <w:rsid w:val="00D270B2"/>
    <w:rsid w:val="00D3643B"/>
    <w:rsid w:val="00D376D7"/>
    <w:rsid w:val="00D4300D"/>
    <w:rsid w:val="00D4470F"/>
    <w:rsid w:val="00D44A2B"/>
    <w:rsid w:val="00D45073"/>
    <w:rsid w:val="00D466B0"/>
    <w:rsid w:val="00D52E84"/>
    <w:rsid w:val="00D63C0B"/>
    <w:rsid w:val="00D730F6"/>
    <w:rsid w:val="00D81097"/>
    <w:rsid w:val="00D845A5"/>
    <w:rsid w:val="00D85814"/>
    <w:rsid w:val="00D8600A"/>
    <w:rsid w:val="00DA0277"/>
    <w:rsid w:val="00DA0BFC"/>
    <w:rsid w:val="00DA7D63"/>
    <w:rsid w:val="00DB7FA0"/>
    <w:rsid w:val="00DC5E30"/>
    <w:rsid w:val="00DC710E"/>
    <w:rsid w:val="00DE3287"/>
    <w:rsid w:val="00DE4775"/>
    <w:rsid w:val="00DE7B44"/>
    <w:rsid w:val="00DF19CD"/>
    <w:rsid w:val="00E06BF8"/>
    <w:rsid w:val="00E10B4F"/>
    <w:rsid w:val="00E12026"/>
    <w:rsid w:val="00E301E4"/>
    <w:rsid w:val="00E30500"/>
    <w:rsid w:val="00E9040D"/>
    <w:rsid w:val="00E92A71"/>
    <w:rsid w:val="00EA6105"/>
    <w:rsid w:val="00EC3B6E"/>
    <w:rsid w:val="00EC4B38"/>
    <w:rsid w:val="00EC5240"/>
    <w:rsid w:val="00EC64E3"/>
    <w:rsid w:val="00ED1EB0"/>
    <w:rsid w:val="00ED6F8C"/>
    <w:rsid w:val="00EE3D9D"/>
    <w:rsid w:val="00EF0C27"/>
    <w:rsid w:val="00EF0F66"/>
    <w:rsid w:val="00EF4D13"/>
    <w:rsid w:val="00F0118F"/>
    <w:rsid w:val="00F224B2"/>
    <w:rsid w:val="00F25177"/>
    <w:rsid w:val="00F5298A"/>
    <w:rsid w:val="00F62A43"/>
    <w:rsid w:val="00F647E5"/>
    <w:rsid w:val="00FA4EAE"/>
    <w:rsid w:val="00FC6C87"/>
    <w:rsid w:val="00FD64AA"/>
    <w:rsid w:val="00FD726A"/>
    <w:rsid w:val="00FD775B"/>
    <w:rsid w:val="00FD786F"/>
    <w:rsid w:val="00FE5159"/>
    <w:rsid w:val="00FE61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AA2C"/>
  <w15:chartTrackingRefBased/>
  <w15:docId w15:val="{AA4BEB85-6EA5-4B5B-B70C-525FB8F7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7A9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A9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A9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A9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A9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A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A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A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A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A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A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A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A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A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A91"/>
    <w:rPr>
      <w:rFonts w:eastAsiaTheme="majorEastAsia" w:cstheme="majorBidi"/>
      <w:color w:val="272727" w:themeColor="text1" w:themeTint="D8"/>
    </w:rPr>
  </w:style>
  <w:style w:type="paragraph" w:styleId="Title">
    <w:name w:val="Title"/>
    <w:basedOn w:val="Normal"/>
    <w:next w:val="Normal"/>
    <w:link w:val="TitleChar"/>
    <w:uiPriority w:val="10"/>
    <w:qFormat/>
    <w:rsid w:val="00647A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A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A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A91"/>
    <w:rPr>
      <w:i/>
      <w:iCs/>
      <w:color w:val="404040" w:themeColor="text1" w:themeTint="BF"/>
    </w:rPr>
  </w:style>
  <w:style w:type="paragraph" w:styleId="ListParagraph">
    <w:name w:val="List Paragraph"/>
    <w:basedOn w:val="Normal"/>
    <w:uiPriority w:val="34"/>
    <w:qFormat/>
    <w:rsid w:val="00647A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7A91"/>
    <w:rPr>
      <w:i/>
      <w:iCs/>
      <w:color w:val="2F5496" w:themeColor="accent1" w:themeShade="BF"/>
    </w:rPr>
  </w:style>
  <w:style w:type="paragraph" w:styleId="IntenseQuote">
    <w:name w:val="Intense Quote"/>
    <w:basedOn w:val="Normal"/>
    <w:next w:val="Normal"/>
    <w:link w:val="IntenseQuoteChar"/>
    <w:uiPriority w:val="30"/>
    <w:qFormat/>
    <w:rsid w:val="00647A9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A91"/>
    <w:rPr>
      <w:i/>
      <w:iCs/>
      <w:color w:val="2F5496" w:themeColor="accent1" w:themeShade="BF"/>
    </w:rPr>
  </w:style>
  <w:style w:type="character" w:styleId="IntenseReference">
    <w:name w:val="Intense Reference"/>
    <w:basedOn w:val="DefaultParagraphFont"/>
    <w:uiPriority w:val="32"/>
    <w:qFormat/>
    <w:rsid w:val="00647A91"/>
    <w:rPr>
      <w:b/>
      <w:bCs/>
      <w:smallCaps/>
      <w:color w:val="2F5496" w:themeColor="accent1" w:themeShade="BF"/>
      <w:spacing w:val="5"/>
    </w:rPr>
  </w:style>
  <w:style w:type="paragraph" w:styleId="BodyText">
    <w:name w:val="Body Text"/>
    <w:basedOn w:val="Normal"/>
    <w:link w:val="BodyTextChar"/>
    <w:uiPriority w:val="1"/>
    <w:qFormat/>
    <w:rsid w:val="00AB04A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B04AA"/>
    <w:rPr>
      <w:rFonts w:ascii="Arial" w:eastAsia="Arial" w:hAnsi="Arial" w:cs="Arial"/>
      <w:kern w:val="0"/>
      <w:lang w:val="en-US"/>
      <w14:ligatures w14:val="none"/>
    </w:rPr>
  </w:style>
  <w:style w:type="table" w:styleId="TableGrid">
    <w:name w:val="Table Grid"/>
    <w:basedOn w:val="TableNormal"/>
    <w:uiPriority w:val="39"/>
    <w:rsid w:val="00FA4EA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B9"/>
    <w:rPr>
      <w:kern w:val="0"/>
      <w:sz w:val="22"/>
      <w:szCs w:val="22"/>
      <w14:ligatures w14:val="none"/>
    </w:rPr>
  </w:style>
  <w:style w:type="paragraph" w:styleId="Footer">
    <w:name w:val="footer"/>
    <w:basedOn w:val="Normal"/>
    <w:link w:val="FooterChar"/>
    <w:uiPriority w:val="99"/>
    <w:unhideWhenUsed/>
    <w:rsid w:val="00C83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B9"/>
    <w:rPr>
      <w:kern w:val="0"/>
      <w:sz w:val="22"/>
      <w:szCs w:val="22"/>
      <w14:ligatures w14:val="none"/>
    </w:rPr>
  </w:style>
  <w:style w:type="character" w:styleId="Emphasis">
    <w:name w:val="Emphasis"/>
    <w:basedOn w:val="DefaultParagraphFont"/>
    <w:uiPriority w:val="20"/>
    <w:qFormat/>
    <w:rsid w:val="00BF2373"/>
    <w:rPr>
      <w:i/>
      <w:iCs/>
    </w:rPr>
  </w:style>
  <w:style w:type="character" w:styleId="Hyperlink">
    <w:name w:val="Hyperlink"/>
    <w:basedOn w:val="DefaultParagraphFont"/>
    <w:uiPriority w:val="99"/>
    <w:unhideWhenUsed/>
    <w:rsid w:val="00BF2373"/>
    <w:rPr>
      <w:color w:val="0563C1" w:themeColor="hyperlink"/>
      <w:u w:val="single"/>
    </w:rPr>
  </w:style>
  <w:style w:type="paragraph" w:styleId="NormalWeb">
    <w:name w:val="Normal (Web)"/>
    <w:basedOn w:val="Normal"/>
    <w:uiPriority w:val="99"/>
    <w:semiHidden/>
    <w:unhideWhenUsed/>
    <w:rsid w:val="00CD53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image" Target="media/image60.jpeg"/><Relationship Id="rId26"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image" Target="media/image6.jpeg"/><Relationship Id="rId25"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50.jpeg"/><Relationship Id="rId20" Type="http://schemas.openxmlformats.org/officeDocument/2006/relationships/image" Target="media/image70.jpeg"/><Relationship Id="rId29" Type="http://schemas.openxmlformats.org/officeDocument/2006/relationships/hyperlink" Target="https://doi.org/10.1016/j.cbpb.2017.05.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chart" Target="charts/chart1.xml"/><Relationship Id="rId28" Type="http://schemas.openxmlformats.org/officeDocument/2006/relationships/chart" Target="charts/chart6.xml"/><Relationship Id="rId10" Type="http://schemas.openxmlformats.org/officeDocument/2006/relationships/image" Target="media/image20.png"/><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80.jpeg"/><Relationship Id="rId27" Type="http://schemas.openxmlformats.org/officeDocument/2006/relationships/chart" Target="charts/chart5.xml"/><Relationship Id="rId30" Type="http://schemas.openxmlformats.org/officeDocument/2006/relationships/hyperlink" Target="https://doi.org/10.1016/j.aquaculture.2016.12.03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latin typeface="Times New Roman" panose="02020603050405020304" pitchFamily="18" charset="0"/>
                <a:cs typeface="Times New Roman" panose="02020603050405020304" pitchFamily="18" charset="0"/>
              </a:rPr>
              <a:t>Cortisol(ng/ml)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Sheet1!$T$123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Sheet1!$U$123:$X$123</c:f>
              <c:numCache>
                <c:formatCode>General</c:formatCode>
                <c:ptCount val="4"/>
                <c:pt idx="0">
                  <c:v>40.5</c:v>
                </c:pt>
                <c:pt idx="1">
                  <c:v>56.45</c:v>
                </c:pt>
                <c:pt idx="2">
                  <c:v>65.760000000000005</c:v>
                </c:pt>
                <c:pt idx="3">
                  <c:v>72.73</c:v>
                </c:pt>
              </c:numCache>
            </c:numRef>
          </c:val>
          <c:extLst>
            <c:ext xmlns:c16="http://schemas.microsoft.com/office/drawing/2014/chart" uri="{C3380CC4-5D6E-409C-BE32-E72D297353CC}">
              <c16:uniqueId val="{00000000-8225-4B29-851A-C39C1BAC9710}"/>
            </c:ext>
          </c:extLst>
        </c:ser>
        <c:ser>
          <c:idx val="1"/>
          <c:order val="1"/>
          <c:tx>
            <c:strRef>
              <c:f>Sheet1!$T$124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Sheet1!$U$124:$X$124</c:f>
              <c:numCache>
                <c:formatCode>General</c:formatCode>
                <c:ptCount val="4"/>
                <c:pt idx="0">
                  <c:v>41.7</c:v>
                </c:pt>
                <c:pt idx="1">
                  <c:v>54.76</c:v>
                </c:pt>
                <c:pt idx="2">
                  <c:v>61.32</c:v>
                </c:pt>
                <c:pt idx="3">
                  <c:v>73.67</c:v>
                </c:pt>
              </c:numCache>
            </c:numRef>
          </c:val>
          <c:extLst>
            <c:ext xmlns:c16="http://schemas.microsoft.com/office/drawing/2014/chart" uri="{C3380CC4-5D6E-409C-BE32-E72D297353CC}">
              <c16:uniqueId val="{00000001-8225-4B29-851A-C39C1BAC9710}"/>
            </c:ext>
          </c:extLst>
        </c:ser>
        <c:ser>
          <c:idx val="2"/>
          <c:order val="2"/>
          <c:tx>
            <c:strRef>
              <c:f>Sheet1!$T$125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Sheet1!$U$125:$X$125</c:f>
              <c:numCache>
                <c:formatCode>General</c:formatCode>
                <c:ptCount val="4"/>
                <c:pt idx="0">
                  <c:v>43.76</c:v>
                </c:pt>
                <c:pt idx="1">
                  <c:v>55.87</c:v>
                </c:pt>
                <c:pt idx="2">
                  <c:v>63.21</c:v>
                </c:pt>
                <c:pt idx="3">
                  <c:v>73.459999999999994</c:v>
                </c:pt>
              </c:numCache>
            </c:numRef>
          </c:val>
          <c:extLst>
            <c:ext xmlns:c16="http://schemas.microsoft.com/office/drawing/2014/chart" uri="{C3380CC4-5D6E-409C-BE32-E72D297353CC}">
              <c16:uniqueId val="{00000002-8225-4B29-851A-C39C1BAC9710}"/>
            </c:ext>
          </c:extLst>
        </c:ser>
        <c:dLbls>
          <c:showLegendKey val="0"/>
          <c:showVal val="0"/>
          <c:showCatName val="0"/>
          <c:showSerName val="0"/>
          <c:showPercent val="0"/>
          <c:showBubbleSize val="0"/>
        </c:dLbls>
        <c:gapWidth val="115"/>
        <c:overlap val="-20"/>
        <c:axId val="144137903"/>
        <c:axId val="144138863"/>
      </c:barChart>
      <c:catAx>
        <c:axId val="144137903"/>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 group</a:t>
                </a:r>
              </a:p>
            </c:rich>
          </c:tx>
          <c:layout>
            <c:manualLayout>
              <c:xMode val="edge"/>
              <c:yMode val="edge"/>
              <c:x val="3.0555555555555555E-2"/>
              <c:y val="0.316774569845436"/>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8863"/>
        <c:crosses val="autoZero"/>
        <c:auto val="1"/>
        <c:lblAlgn val="ctr"/>
        <c:lblOffset val="100"/>
        <c:noMultiLvlLbl val="0"/>
      </c:catAx>
      <c:valAx>
        <c:axId val="144138863"/>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7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Plasma</a:t>
            </a:r>
            <a:r>
              <a:rPr lang="en-IN" sz="1400" baseline="0">
                <a:latin typeface="Times New Roman" panose="02020603050405020304" pitchFamily="18" charset="0"/>
                <a:cs typeface="Times New Roman" panose="02020603050405020304" pitchFamily="18" charset="0"/>
              </a:rPr>
              <a:t> glucose(mg/dL)</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Sheet1!$Z$123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Sheet1!$AA$123:$AD$123</c:f>
              <c:numCache>
                <c:formatCode>General</c:formatCode>
                <c:ptCount val="4"/>
                <c:pt idx="0">
                  <c:v>55.7</c:v>
                </c:pt>
                <c:pt idx="1">
                  <c:v>74.5</c:v>
                </c:pt>
                <c:pt idx="2">
                  <c:v>86.8</c:v>
                </c:pt>
                <c:pt idx="3">
                  <c:v>91.1</c:v>
                </c:pt>
              </c:numCache>
            </c:numRef>
          </c:val>
          <c:extLst>
            <c:ext xmlns:c16="http://schemas.microsoft.com/office/drawing/2014/chart" uri="{C3380CC4-5D6E-409C-BE32-E72D297353CC}">
              <c16:uniqueId val="{00000000-157C-4C95-A787-5E4EACF62532}"/>
            </c:ext>
          </c:extLst>
        </c:ser>
        <c:ser>
          <c:idx val="1"/>
          <c:order val="1"/>
          <c:tx>
            <c:strRef>
              <c:f>Sheet1!$Z$124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Sheet1!$AA$124:$AD$124</c:f>
              <c:numCache>
                <c:formatCode>General</c:formatCode>
                <c:ptCount val="4"/>
                <c:pt idx="0">
                  <c:v>60.1</c:v>
                </c:pt>
                <c:pt idx="1">
                  <c:v>74.5</c:v>
                </c:pt>
                <c:pt idx="2">
                  <c:v>86.5</c:v>
                </c:pt>
                <c:pt idx="3">
                  <c:v>92.7</c:v>
                </c:pt>
              </c:numCache>
            </c:numRef>
          </c:val>
          <c:extLst>
            <c:ext xmlns:c16="http://schemas.microsoft.com/office/drawing/2014/chart" uri="{C3380CC4-5D6E-409C-BE32-E72D297353CC}">
              <c16:uniqueId val="{00000001-157C-4C95-A787-5E4EACF62532}"/>
            </c:ext>
          </c:extLst>
        </c:ser>
        <c:ser>
          <c:idx val="2"/>
          <c:order val="2"/>
          <c:tx>
            <c:strRef>
              <c:f>Sheet1!$Z$125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Sheet1!$AA$125:$AD$125</c:f>
              <c:numCache>
                <c:formatCode>General</c:formatCode>
                <c:ptCount val="4"/>
                <c:pt idx="0">
                  <c:v>57.9</c:v>
                </c:pt>
                <c:pt idx="1">
                  <c:v>73.7</c:v>
                </c:pt>
                <c:pt idx="2">
                  <c:v>87.6</c:v>
                </c:pt>
                <c:pt idx="3">
                  <c:v>93.9</c:v>
                </c:pt>
              </c:numCache>
            </c:numRef>
          </c:val>
          <c:extLst>
            <c:ext xmlns:c16="http://schemas.microsoft.com/office/drawing/2014/chart" uri="{C3380CC4-5D6E-409C-BE32-E72D297353CC}">
              <c16:uniqueId val="{00000002-157C-4C95-A787-5E4EACF62532}"/>
            </c:ext>
          </c:extLst>
        </c:ser>
        <c:dLbls>
          <c:showLegendKey val="0"/>
          <c:showVal val="0"/>
          <c:showCatName val="0"/>
          <c:showSerName val="0"/>
          <c:showPercent val="0"/>
          <c:showBubbleSize val="0"/>
        </c:dLbls>
        <c:gapWidth val="115"/>
        <c:overlap val="-20"/>
        <c:axId val="330998191"/>
        <c:axId val="330998671"/>
      </c:barChart>
      <c:catAx>
        <c:axId val="330998191"/>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671"/>
        <c:crosses val="autoZero"/>
        <c:auto val="1"/>
        <c:lblAlgn val="ctr"/>
        <c:lblOffset val="100"/>
        <c:noMultiLvlLbl val="0"/>
      </c:catAx>
      <c:valAx>
        <c:axId val="330998671"/>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Hematocrit</a:t>
            </a:r>
            <a:r>
              <a:rPr lang="en-IN" sz="1400" baseline="0">
                <a:latin typeface="Times New Roman" panose="02020603050405020304" pitchFamily="18" charset="0"/>
                <a:cs typeface="Times New Roman" panose="02020603050405020304" pitchFamily="18" charset="0"/>
              </a:rPr>
              <a:t> value(%)</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Sheet1!$AF$115</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Sheet1!$AG$115:$AJ$115</c:f>
              <c:numCache>
                <c:formatCode>General</c:formatCode>
                <c:ptCount val="4"/>
                <c:pt idx="0">
                  <c:v>42.2</c:v>
                </c:pt>
                <c:pt idx="1">
                  <c:v>35.4</c:v>
                </c:pt>
                <c:pt idx="2">
                  <c:v>30.43</c:v>
                </c:pt>
                <c:pt idx="3">
                  <c:v>29.56</c:v>
                </c:pt>
              </c:numCache>
            </c:numRef>
          </c:val>
          <c:extLst>
            <c:ext xmlns:c16="http://schemas.microsoft.com/office/drawing/2014/chart" uri="{C3380CC4-5D6E-409C-BE32-E72D297353CC}">
              <c16:uniqueId val="{00000000-778B-42F0-9F05-6956326AACBC}"/>
            </c:ext>
          </c:extLst>
        </c:ser>
        <c:ser>
          <c:idx val="1"/>
          <c:order val="1"/>
          <c:tx>
            <c:strRef>
              <c:f>Sheet1!$AF$116</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Sheet1!$AG$116:$AJ$116</c:f>
              <c:numCache>
                <c:formatCode>General</c:formatCode>
                <c:ptCount val="4"/>
                <c:pt idx="0">
                  <c:v>40.4</c:v>
                </c:pt>
                <c:pt idx="1">
                  <c:v>35.299999999999997</c:v>
                </c:pt>
                <c:pt idx="2">
                  <c:v>29.5</c:v>
                </c:pt>
                <c:pt idx="3">
                  <c:v>28.56</c:v>
                </c:pt>
              </c:numCache>
            </c:numRef>
          </c:val>
          <c:extLst>
            <c:ext xmlns:c16="http://schemas.microsoft.com/office/drawing/2014/chart" uri="{C3380CC4-5D6E-409C-BE32-E72D297353CC}">
              <c16:uniqueId val="{00000001-778B-42F0-9F05-6956326AACBC}"/>
            </c:ext>
          </c:extLst>
        </c:ser>
        <c:ser>
          <c:idx val="2"/>
          <c:order val="2"/>
          <c:tx>
            <c:strRef>
              <c:f>Sheet1!$AF$117</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Sheet1!$AG$117:$AJ$117</c:f>
              <c:numCache>
                <c:formatCode>General</c:formatCode>
                <c:ptCount val="4"/>
                <c:pt idx="0">
                  <c:v>42.5</c:v>
                </c:pt>
                <c:pt idx="1">
                  <c:v>34.200000000000003</c:v>
                </c:pt>
                <c:pt idx="2">
                  <c:v>31.34</c:v>
                </c:pt>
                <c:pt idx="3">
                  <c:v>28.23</c:v>
                </c:pt>
              </c:numCache>
            </c:numRef>
          </c:val>
          <c:extLst>
            <c:ext xmlns:c16="http://schemas.microsoft.com/office/drawing/2014/chart" uri="{C3380CC4-5D6E-409C-BE32-E72D297353CC}">
              <c16:uniqueId val="{00000002-778B-42F0-9F05-6956326AACBC}"/>
            </c:ext>
          </c:extLst>
        </c:ser>
        <c:dLbls>
          <c:showLegendKey val="0"/>
          <c:showVal val="0"/>
          <c:showCatName val="0"/>
          <c:showSerName val="0"/>
          <c:showPercent val="0"/>
          <c:showBubbleSize val="0"/>
        </c:dLbls>
        <c:gapWidth val="115"/>
        <c:overlap val="-20"/>
        <c:axId val="103798719"/>
        <c:axId val="103799679"/>
      </c:barChart>
      <c:catAx>
        <c:axId val="103798719"/>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9679"/>
        <c:crosses val="autoZero"/>
        <c:auto val="1"/>
        <c:lblAlgn val="ctr"/>
        <c:lblOffset val="100"/>
        <c:noMultiLvlLbl val="0"/>
      </c:catAx>
      <c:valAx>
        <c:axId val="103799679"/>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Catalase</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Sheet1!$Z$115</c:f>
              <c:strCache>
                <c:ptCount val="1"/>
                <c:pt idx="0">
                  <c:v>DAY 10</c:v>
                </c:pt>
              </c:strCache>
            </c:strRef>
          </c:tx>
          <c:spPr>
            <a:solidFill>
              <a:schemeClr val="accent1"/>
            </a:solidFill>
            <a:ln>
              <a:noFill/>
            </a:ln>
            <a:effectLst/>
          </c:spPr>
          <c:invertIfNegative val="0"/>
          <c:cat>
            <c:strRef>
              <c:f>Sheet1!$AA$114:$AD$114</c:f>
              <c:strCache>
                <c:ptCount val="4"/>
                <c:pt idx="0">
                  <c:v>C1</c:v>
                </c:pt>
                <c:pt idx="1">
                  <c:v>T1</c:v>
                </c:pt>
                <c:pt idx="2">
                  <c:v>T2</c:v>
                </c:pt>
                <c:pt idx="3">
                  <c:v>T3</c:v>
                </c:pt>
              </c:strCache>
            </c:strRef>
          </c:cat>
          <c:val>
            <c:numRef>
              <c:f>Sheet1!$AA$115:$AD$115</c:f>
              <c:numCache>
                <c:formatCode>General</c:formatCode>
                <c:ptCount val="4"/>
                <c:pt idx="0">
                  <c:v>0.59</c:v>
                </c:pt>
                <c:pt idx="1">
                  <c:v>0.61099999999999999</c:v>
                </c:pt>
                <c:pt idx="2">
                  <c:v>0.64</c:v>
                </c:pt>
                <c:pt idx="3">
                  <c:v>0.70299999999999996</c:v>
                </c:pt>
              </c:numCache>
            </c:numRef>
          </c:val>
          <c:extLst>
            <c:ext xmlns:c16="http://schemas.microsoft.com/office/drawing/2014/chart" uri="{C3380CC4-5D6E-409C-BE32-E72D297353CC}">
              <c16:uniqueId val="{00000000-8093-42D1-A065-3E3265CDCB96}"/>
            </c:ext>
          </c:extLst>
        </c:ser>
        <c:ser>
          <c:idx val="1"/>
          <c:order val="1"/>
          <c:tx>
            <c:strRef>
              <c:f>Sheet1!$Z$116</c:f>
              <c:strCache>
                <c:ptCount val="1"/>
                <c:pt idx="0">
                  <c:v>DAY 30</c:v>
                </c:pt>
              </c:strCache>
            </c:strRef>
          </c:tx>
          <c:spPr>
            <a:solidFill>
              <a:schemeClr val="accent2"/>
            </a:solidFill>
            <a:ln>
              <a:noFill/>
            </a:ln>
            <a:effectLst/>
          </c:spPr>
          <c:invertIfNegative val="0"/>
          <c:cat>
            <c:strRef>
              <c:f>Sheet1!$AA$114:$AD$114</c:f>
              <c:strCache>
                <c:ptCount val="4"/>
                <c:pt idx="0">
                  <c:v>C1</c:v>
                </c:pt>
                <c:pt idx="1">
                  <c:v>T1</c:v>
                </c:pt>
                <c:pt idx="2">
                  <c:v>T2</c:v>
                </c:pt>
                <c:pt idx="3">
                  <c:v>T3</c:v>
                </c:pt>
              </c:strCache>
            </c:strRef>
          </c:cat>
          <c:val>
            <c:numRef>
              <c:f>Sheet1!$AA$116:$AD$116</c:f>
              <c:numCache>
                <c:formatCode>General</c:formatCode>
                <c:ptCount val="4"/>
                <c:pt idx="0">
                  <c:v>0.53</c:v>
                </c:pt>
                <c:pt idx="1">
                  <c:v>0.63300000000000001</c:v>
                </c:pt>
                <c:pt idx="2">
                  <c:v>0.67300000000000004</c:v>
                </c:pt>
                <c:pt idx="3">
                  <c:v>0.71099999999999997</c:v>
                </c:pt>
              </c:numCache>
            </c:numRef>
          </c:val>
          <c:extLst>
            <c:ext xmlns:c16="http://schemas.microsoft.com/office/drawing/2014/chart" uri="{C3380CC4-5D6E-409C-BE32-E72D297353CC}">
              <c16:uniqueId val="{00000001-8093-42D1-A065-3E3265CDCB96}"/>
            </c:ext>
          </c:extLst>
        </c:ser>
        <c:ser>
          <c:idx val="2"/>
          <c:order val="2"/>
          <c:tx>
            <c:strRef>
              <c:f>Sheet1!$Z$117</c:f>
              <c:strCache>
                <c:ptCount val="1"/>
                <c:pt idx="0">
                  <c:v>DAY 60</c:v>
                </c:pt>
              </c:strCache>
            </c:strRef>
          </c:tx>
          <c:spPr>
            <a:solidFill>
              <a:schemeClr val="accent3"/>
            </a:solidFill>
            <a:ln>
              <a:noFill/>
            </a:ln>
            <a:effectLst/>
          </c:spPr>
          <c:invertIfNegative val="0"/>
          <c:cat>
            <c:strRef>
              <c:f>Sheet1!$AA$114:$AD$114</c:f>
              <c:strCache>
                <c:ptCount val="4"/>
                <c:pt idx="0">
                  <c:v>C1</c:v>
                </c:pt>
                <c:pt idx="1">
                  <c:v>T1</c:v>
                </c:pt>
                <c:pt idx="2">
                  <c:v>T2</c:v>
                </c:pt>
                <c:pt idx="3">
                  <c:v>T3</c:v>
                </c:pt>
              </c:strCache>
            </c:strRef>
          </c:cat>
          <c:val>
            <c:numRef>
              <c:f>Sheet1!$AA$117:$AD$117</c:f>
              <c:numCache>
                <c:formatCode>General</c:formatCode>
                <c:ptCount val="4"/>
                <c:pt idx="0">
                  <c:v>0.49</c:v>
                </c:pt>
                <c:pt idx="1">
                  <c:v>0.621</c:v>
                </c:pt>
                <c:pt idx="2">
                  <c:v>0.69399999999999995</c:v>
                </c:pt>
                <c:pt idx="3">
                  <c:v>0.72799999999999998</c:v>
                </c:pt>
              </c:numCache>
            </c:numRef>
          </c:val>
          <c:extLst>
            <c:ext xmlns:c16="http://schemas.microsoft.com/office/drawing/2014/chart" uri="{C3380CC4-5D6E-409C-BE32-E72D297353CC}">
              <c16:uniqueId val="{00000002-8093-42D1-A065-3E3265CDCB96}"/>
            </c:ext>
          </c:extLst>
        </c:ser>
        <c:dLbls>
          <c:showLegendKey val="0"/>
          <c:showVal val="0"/>
          <c:showCatName val="0"/>
          <c:showSerName val="0"/>
          <c:showPercent val="0"/>
          <c:showBubbleSize val="0"/>
        </c:dLbls>
        <c:gapWidth val="182"/>
        <c:axId val="1586704352"/>
        <c:axId val="1588040928"/>
      </c:barChart>
      <c:catAx>
        <c:axId val="158670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040928"/>
        <c:crosses val="autoZero"/>
        <c:auto val="1"/>
        <c:lblAlgn val="ctr"/>
        <c:lblOffset val="100"/>
        <c:noMultiLvlLbl val="0"/>
      </c:catAx>
      <c:valAx>
        <c:axId val="158804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7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SOD</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Sheet1!$T$108</c:f>
              <c:strCache>
                <c:ptCount val="1"/>
                <c:pt idx="0">
                  <c:v>DAY 10</c:v>
                </c:pt>
              </c:strCache>
            </c:strRef>
          </c:tx>
          <c:spPr>
            <a:solidFill>
              <a:schemeClr val="accent1"/>
            </a:solidFill>
            <a:ln>
              <a:noFill/>
            </a:ln>
            <a:effectLst/>
          </c:spPr>
          <c:invertIfNegative val="0"/>
          <c:cat>
            <c:strRef>
              <c:f>Sheet1!$U$107:$X$107</c:f>
              <c:strCache>
                <c:ptCount val="4"/>
                <c:pt idx="0">
                  <c:v>C1</c:v>
                </c:pt>
                <c:pt idx="1">
                  <c:v>T1</c:v>
                </c:pt>
                <c:pt idx="2">
                  <c:v>T2</c:v>
                </c:pt>
                <c:pt idx="3">
                  <c:v>T3</c:v>
                </c:pt>
              </c:strCache>
            </c:strRef>
          </c:cat>
          <c:val>
            <c:numRef>
              <c:f>Sheet1!$U$108:$X$108</c:f>
              <c:numCache>
                <c:formatCode>General</c:formatCode>
                <c:ptCount val="4"/>
                <c:pt idx="0">
                  <c:v>0.20499999999999999</c:v>
                </c:pt>
                <c:pt idx="1">
                  <c:v>0.255</c:v>
                </c:pt>
                <c:pt idx="2">
                  <c:v>0.308</c:v>
                </c:pt>
                <c:pt idx="3">
                  <c:v>0.39300000000000002</c:v>
                </c:pt>
              </c:numCache>
            </c:numRef>
          </c:val>
          <c:extLst>
            <c:ext xmlns:c16="http://schemas.microsoft.com/office/drawing/2014/chart" uri="{C3380CC4-5D6E-409C-BE32-E72D297353CC}">
              <c16:uniqueId val="{00000000-C1C3-4E6A-AD9F-00D1A3A63196}"/>
            </c:ext>
          </c:extLst>
        </c:ser>
        <c:ser>
          <c:idx val="1"/>
          <c:order val="1"/>
          <c:tx>
            <c:strRef>
              <c:f>Sheet1!$T$109</c:f>
              <c:strCache>
                <c:ptCount val="1"/>
                <c:pt idx="0">
                  <c:v>DAY 30</c:v>
                </c:pt>
              </c:strCache>
            </c:strRef>
          </c:tx>
          <c:spPr>
            <a:solidFill>
              <a:schemeClr val="accent2"/>
            </a:solidFill>
            <a:ln>
              <a:noFill/>
            </a:ln>
            <a:effectLst/>
          </c:spPr>
          <c:invertIfNegative val="0"/>
          <c:cat>
            <c:strRef>
              <c:f>Sheet1!$U$107:$X$107</c:f>
              <c:strCache>
                <c:ptCount val="4"/>
                <c:pt idx="0">
                  <c:v>C1</c:v>
                </c:pt>
                <c:pt idx="1">
                  <c:v>T1</c:v>
                </c:pt>
                <c:pt idx="2">
                  <c:v>T2</c:v>
                </c:pt>
                <c:pt idx="3">
                  <c:v>T3</c:v>
                </c:pt>
              </c:strCache>
            </c:strRef>
          </c:cat>
          <c:val>
            <c:numRef>
              <c:f>Sheet1!$U$109:$X$109</c:f>
              <c:numCache>
                <c:formatCode>General</c:formatCode>
                <c:ptCount val="4"/>
                <c:pt idx="0">
                  <c:v>0.21</c:v>
                </c:pt>
                <c:pt idx="1">
                  <c:v>0.24099999999999999</c:v>
                </c:pt>
                <c:pt idx="2">
                  <c:v>0.31</c:v>
                </c:pt>
                <c:pt idx="3">
                  <c:v>0.38900000000000001</c:v>
                </c:pt>
              </c:numCache>
            </c:numRef>
          </c:val>
          <c:extLst>
            <c:ext xmlns:c16="http://schemas.microsoft.com/office/drawing/2014/chart" uri="{C3380CC4-5D6E-409C-BE32-E72D297353CC}">
              <c16:uniqueId val="{00000001-C1C3-4E6A-AD9F-00D1A3A63196}"/>
            </c:ext>
          </c:extLst>
        </c:ser>
        <c:ser>
          <c:idx val="2"/>
          <c:order val="2"/>
          <c:tx>
            <c:strRef>
              <c:f>Sheet1!$T$110</c:f>
              <c:strCache>
                <c:ptCount val="1"/>
                <c:pt idx="0">
                  <c:v>DAY 60</c:v>
                </c:pt>
              </c:strCache>
            </c:strRef>
          </c:tx>
          <c:spPr>
            <a:solidFill>
              <a:schemeClr val="accent3"/>
            </a:solidFill>
            <a:ln>
              <a:noFill/>
            </a:ln>
            <a:effectLst/>
          </c:spPr>
          <c:invertIfNegative val="0"/>
          <c:cat>
            <c:strRef>
              <c:f>Sheet1!$U$107:$X$107</c:f>
              <c:strCache>
                <c:ptCount val="4"/>
                <c:pt idx="0">
                  <c:v>C1</c:v>
                </c:pt>
                <c:pt idx="1">
                  <c:v>T1</c:v>
                </c:pt>
                <c:pt idx="2">
                  <c:v>T2</c:v>
                </c:pt>
                <c:pt idx="3">
                  <c:v>T3</c:v>
                </c:pt>
              </c:strCache>
            </c:strRef>
          </c:cat>
          <c:val>
            <c:numRef>
              <c:f>Sheet1!$U$110:$X$110</c:f>
              <c:numCache>
                <c:formatCode>General</c:formatCode>
                <c:ptCount val="4"/>
                <c:pt idx="0">
                  <c:v>0.20300000000000001</c:v>
                </c:pt>
                <c:pt idx="1">
                  <c:v>0.253</c:v>
                </c:pt>
                <c:pt idx="2">
                  <c:v>0.30499999999999999</c:v>
                </c:pt>
                <c:pt idx="3">
                  <c:v>0.39100000000000001</c:v>
                </c:pt>
              </c:numCache>
            </c:numRef>
          </c:val>
          <c:extLst>
            <c:ext xmlns:c16="http://schemas.microsoft.com/office/drawing/2014/chart" uri="{C3380CC4-5D6E-409C-BE32-E72D297353CC}">
              <c16:uniqueId val="{00000002-C1C3-4E6A-AD9F-00D1A3A63196}"/>
            </c:ext>
          </c:extLst>
        </c:ser>
        <c:dLbls>
          <c:showLegendKey val="0"/>
          <c:showVal val="0"/>
          <c:showCatName val="0"/>
          <c:showSerName val="0"/>
          <c:showPercent val="0"/>
          <c:showBubbleSize val="0"/>
        </c:dLbls>
        <c:gapWidth val="182"/>
        <c:axId val="1583245808"/>
        <c:axId val="1583246288"/>
      </c:barChart>
      <c:catAx>
        <c:axId val="158324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6288"/>
        <c:crosses val="autoZero"/>
        <c:auto val="1"/>
        <c:lblAlgn val="ctr"/>
        <c:lblOffset val="100"/>
        <c:noMultiLvlLbl val="0"/>
      </c:catAx>
      <c:valAx>
        <c:axId val="158324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GPx</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Sheet1!$T$115</c:f>
              <c:strCache>
                <c:ptCount val="1"/>
                <c:pt idx="0">
                  <c:v>DAY 10</c:v>
                </c:pt>
              </c:strCache>
            </c:strRef>
          </c:tx>
          <c:spPr>
            <a:solidFill>
              <a:schemeClr val="accent1"/>
            </a:solidFill>
            <a:ln>
              <a:noFill/>
            </a:ln>
            <a:effectLst/>
          </c:spPr>
          <c:invertIfNegative val="0"/>
          <c:cat>
            <c:strRef>
              <c:f>Sheet1!$U$114:$X$114</c:f>
              <c:strCache>
                <c:ptCount val="4"/>
                <c:pt idx="0">
                  <c:v>C1</c:v>
                </c:pt>
                <c:pt idx="1">
                  <c:v>T1</c:v>
                </c:pt>
                <c:pt idx="2">
                  <c:v>T2</c:v>
                </c:pt>
                <c:pt idx="3">
                  <c:v>T3</c:v>
                </c:pt>
              </c:strCache>
            </c:strRef>
          </c:cat>
          <c:val>
            <c:numRef>
              <c:f>Sheet1!$U$115:$X$115</c:f>
              <c:numCache>
                <c:formatCode>General</c:formatCode>
                <c:ptCount val="4"/>
                <c:pt idx="0">
                  <c:v>0.126</c:v>
                </c:pt>
                <c:pt idx="1">
                  <c:v>0.14699999999999999</c:v>
                </c:pt>
                <c:pt idx="2">
                  <c:v>0.193</c:v>
                </c:pt>
                <c:pt idx="3">
                  <c:v>0.26400000000000001</c:v>
                </c:pt>
              </c:numCache>
            </c:numRef>
          </c:val>
          <c:extLst>
            <c:ext xmlns:c16="http://schemas.microsoft.com/office/drawing/2014/chart" uri="{C3380CC4-5D6E-409C-BE32-E72D297353CC}">
              <c16:uniqueId val="{00000000-F578-4A99-ADFA-AC7ABF2A1561}"/>
            </c:ext>
          </c:extLst>
        </c:ser>
        <c:ser>
          <c:idx val="1"/>
          <c:order val="1"/>
          <c:tx>
            <c:strRef>
              <c:f>Sheet1!$T$116</c:f>
              <c:strCache>
                <c:ptCount val="1"/>
                <c:pt idx="0">
                  <c:v>DAY 30</c:v>
                </c:pt>
              </c:strCache>
            </c:strRef>
          </c:tx>
          <c:spPr>
            <a:solidFill>
              <a:schemeClr val="accent2"/>
            </a:solidFill>
            <a:ln>
              <a:noFill/>
            </a:ln>
            <a:effectLst/>
          </c:spPr>
          <c:invertIfNegative val="0"/>
          <c:cat>
            <c:strRef>
              <c:f>Sheet1!$U$114:$X$114</c:f>
              <c:strCache>
                <c:ptCount val="4"/>
                <c:pt idx="0">
                  <c:v>C1</c:v>
                </c:pt>
                <c:pt idx="1">
                  <c:v>T1</c:v>
                </c:pt>
                <c:pt idx="2">
                  <c:v>T2</c:v>
                </c:pt>
                <c:pt idx="3">
                  <c:v>T3</c:v>
                </c:pt>
              </c:strCache>
            </c:strRef>
          </c:cat>
          <c:val>
            <c:numRef>
              <c:f>Sheet1!$U$116:$X$116</c:f>
              <c:numCache>
                <c:formatCode>General</c:formatCode>
                <c:ptCount val="4"/>
                <c:pt idx="0">
                  <c:v>0.11700000000000001</c:v>
                </c:pt>
                <c:pt idx="1">
                  <c:v>0.151</c:v>
                </c:pt>
                <c:pt idx="2">
                  <c:v>0.189</c:v>
                </c:pt>
                <c:pt idx="3">
                  <c:v>0.19900000000000001</c:v>
                </c:pt>
              </c:numCache>
            </c:numRef>
          </c:val>
          <c:extLst>
            <c:ext xmlns:c16="http://schemas.microsoft.com/office/drawing/2014/chart" uri="{C3380CC4-5D6E-409C-BE32-E72D297353CC}">
              <c16:uniqueId val="{00000001-F578-4A99-ADFA-AC7ABF2A1561}"/>
            </c:ext>
          </c:extLst>
        </c:ser>
        <c:ser>
          <c:idx val="2"/>
          <c:order val="2"/>
          <c:tx>
            <c:strRef>
              <c:f>Sheet1!$T$117</c:f>
              <c:strCache>
                <c:ptCount val="1"/>
                <c:pt idx="0">
                  <c:v>DAY 60</c:v>
                </c:pt>
              </c:strCache>
            </c:strRef>
          </c:tx>
          <c:spPr>
            <a:solidFill>
              <a:schemeClr val="accent3"/>
            </a:solidFill>
            <a:ln>
              <a:noFill/>
            </a:ln>
            <a:effectLst/>
          </c:spPr>
          <c:invertIfNegative val="0"/>
          <c:cat>
            <c:strRef>
              <c:f>Sheet1!$U$114:$X$114</c:f>
              <c:strCache>
                <c:ptCount val="4"/>
                <c:pt idx="0">
                  <c:v>C1</c:v>
                </c:pt>
                <c:pt idx="1">
                  <c:v>T1</c:v>
                </c:pt>
                <c:pt idx="2">
                  <c:v>T2</c:v>
                </c:pt>
                <c:pt idx="3">
                  <c:v>T3</c:v>
                </c:pt>
              </c:strCache>
            </c:strRef>
          </c:cat>
          <c:val>
            <c:numRef>
              <c:f>Sheet1!$U$117:$X$117</c:f>
              <c:numCache>
                <c:formatCode>General</c:formatCode>
                <c:ptCount val="4"/>
                <c:pt idx="0">
                  <c:v>0.10299999999999999</c:v>
                </c:pt>
                <c:pt idx="1">
                  <c:v>0.16200000000000001</c:v>
                </c:pt>
                <c:pt idx="2">
                  <c:v>0.192</c:v>
                </c:pt>
                <c:pt idx="3">
                  <c:v>0.21099999999999999</c:v>
                </c:pt>
              </c:numCache>
            </c:numRef>
          </c:val>
          <c:extLst>
            <c:ext xmlns:c16="http://schemas.microsoft.com/office/drawing/2014/chart" uri="{C3380CC4-5D6E-409C-BE32-E72D297353CC}">
              <c16:uniqueId val="{00000002-F578-4A99-ADFA-AC7ABF2A1561}"/>
            </c:ext>
          </c:extLst>
        </c:ser>
        <c:dLbls>
          <c:showLegendKey val="0"/>
          <c:showVal val="0"/>
          <c:showCatName val="0"/>
          <c:showSerName val="0"/>
          <c:showPercent val="0"/>
          <c:showBubbleSize val="0"/>
        </c:dLbls>
        <c:gapWidth val="182"/>
        <c:axId val="1345573824"/>
        <c:axId val="1345560864"/>
      </c:barChart>
      <c:catAx>
        <c:axId val="1345573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60864"/>
        <c:crosses val="autoZero"/>
        <c:auto val="1"/>
        <c:lblAlgn val="ctr"/>
        <c:lblOffset val="100"/>
        <c:noMultiLvlLbl val="0"/>
      </c:catAx>
      <c:valAx>
        <c:axId val="1345560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7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10857</Words>
  <Characters>61888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Rumandla Bhargavi</dc:creator>
  <cp:keywords/>
  <dc:description/>
  <cp:lastModifiedBy>SDI 1022</cp:lastModifiedBy>
  <cp:revision>14</cp:revision>
  <cp:lastPrinted>2026-06-30T10:07:00Z</cp:lastPrinted>
  <dcterms:created xsi:type="dcterms:W3CDTF">2026-07-06T09:33:00Z</dcterms:created>
  <dcterms:modified xsi:type="dcterms:W3CDTF">2026-07-07T09:12:00Z</dcterms:modified>
</cp:coreProperties>
</file>