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B5446" w14:textId="77777777" w:rsidR="00733F46" w:rsidRDefault="00733F46" w:rsidP="000A4AA5">
      <w:pPr>
        <w:spacing w:before="100" w:beforeAutospacing="1" w:after="100" w:afterAutospacing="1" w:line="240" w:lineRule="auto"/>
        <w:jc w:val="both"/>
        <w:outlineLvl w:val="2"/>
        <w:rPr>
          <w:rFonts w:ascii="Times New Roman" w:eastAsia="Times New Roman" w:hAnsi="Times New Roman" w:cs="Times New Roman"/>
          <w:b/>
          <w:bCs/>
          <w:sz w:val="36"/>
          <w:szCs w:val="36"/>
          <w:lang w:eastAsia="en-GB"/>
        </w:rPr>
      </w:pPr>
      <w:r w:rsidRPr="00733F46">
        <w:rPr>
          <w:rFonts w:ascii="Times New Roman" w:eastAsia="Times New Roman" w:hAnsi="Times New Roman" w:cs="Times New Roman"/>
          <w:b/>
          <w:bCs/>
          <w:sz w:val="36"/>
          <w:szCs w:val="36"/>
          <w:lang w:eastAsia="en-GB"/>
        </w:rPr>
        <w:t>Sustainable Aquaculture by Harnessing Medicinal Plants to Improve Growth, Immunity, and Lipid Metabolism</w:t>
      </w:r>
    </w:p>
    <w:p w14:paraId="6ECCED53" w14:textId="77777777" w:rsidR="00733F46" w:rsidRDefault="00733F46" w:rsidP="000A4AA5">
      <w:pPr>
        <w:spacing w:before="100" w:beforeAutospacing="1" w:after="100" w:afterAutospacing="1" w:line="240" w:lineRule="auto"/>
        <w:jc w:val="both"/>
        <w:outlineLvl w:val="2"/>
        <w:rPr>
          <w:rFonts w:ascii="Times New Roman" w:eastAsia="Times New Roman" w:hAnsi="Times New Roman" w:cs="Times New Roman"/>
          <w:b/>
          <w:bCs/>
          <w:sz w:val="36"/>
          <w:szCs w:val="36"/>
          <w:lang w:eastAsia="en-GB"/>
        </w:rPr>
      </w:pPr>
    </w:p>
    <w:p w14:paraId="46B97892" w14:textId="77777777" w:rsidR="00733F46" w:rsidRPr="00733F46" w:rsidRDefault="00733F46" w:rsidP="000A4AA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Abstract</w:t>
      </w:r>
    </w:p>
    <w:p w14:paraId="545356C6"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Global aquaculture has expanded rapidly to meet rising demand for aquatic protein, yet this expansion has been accompanied by intensified disease pressure and a corresponding reliance on antimicrobial chemotherapeutics, a practice now constrained by regulatory restriction and the spread of antimicrobial resistance. Medicinal plants and their derived phytochemicals have emerged as a widely investigated alternative, offering growth-promoting, immunomodulatory and metabolic benefits without the residue and resistance liabilities of synthetic drugs. This review synthesises evidence published between January 2015 and March 2026 on the dietary use of medicinal plants in finfish and crustacean aquaculture, with particular attention to three interlinked outcomes: growth performance, innate and adaptive immune function, and lipid metabolism. Botanicals such as Astragalus </w:t>
      </w:r>
      <w:proofErr w:type="spellStart"/>
      <w:r w:rsidRPr="00733F46">
        <w:rPr>
          <w:rFonts w:ascii="Times New Roman" w:eastAsia="Times New Roman" w:hAnsi="Times New Roman" w:cs="Times New Roman"/>
          <w:sz w:val="24"/>
          <w:szCs w:val="24"/>
          <w:lang w:eastAsia="en-GB"/>
        </w:rPr>
        <w:t>membranaceus</w:t>
      </w:r>
      <w:proofErr w:type="spellEnd"/>
      <w:r w:rsidRPr="00733F46">
        <w:rPr>
          <w:rFonts w:ascii="Times New Roman" w:eastAsia="Times New Roman" w:hAnsi="Times New Roman" w:cs="Times New Roman"/>
          <w:sz w:val="24"/>
          <w:szCs w:val="24"/>
          <w:lang w:eastAsia="en-GB"/>
        </w:rPr>
        <w:t xml:space="preserve">, Moringa oleifera, Curcuma longa, Allium sativum, Zingiber officinale and </w:t>
      </w:r>
      <w:proofErr w:type="spellStart"/>
      <w:r w:rsidRPr="00733F46">
        <w:rPr>
          <w:rFonts w:ascii="Times New Roman" w:eastAsia="Times New Roman" w:hAnsi="Times New Roman" w:cs="Times New Roman"/>
          <w:sz w:val="24"/>
          <w:szCs w:val="24"/>
          <w:lang w:eastAsia="en-GB"/>
        </w:rPr>
        <w:t>Withania</w:t>
      </w:r>
      <w:proofErr w:type="spellEnd"/>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somnifera</w:t>
      </w:r>
      <w:proofErr w:type="spellEnd"/>
      <w:r w:rsidRPr="00733F46">
        <w:rPr>
          <w:rFonts w:ascii="Times New Roman" w:eastAsia="Times New Roman" w:hAnsi="Times New Roman" w:cs="Times New Roman"/>
          <w:sz w:val="24"/>
          <w:szCs w:val="24"/>
          <w:lang w:eastAsia="en-GB"/>
        </w:rPr>
        <w:t xml:space="preserve"> consistently improve weight gain, feed conversion, digestive enzyme activity and resistance to bacterial challenge across a range of species and rearing systems, generally through stimulation of lysozyme, complement and phagocytic activity, upregulation of cytokine and antioxidant gene networks, and modulation of hepatic lipogenic and lipolytic pathways such as SREBP-1c, PPARα and AMPK signalling. Effects are, however, markedly dose- and species-dependent, and excessive inclusion levels can suppress immune function rather than continue to enhance it. The review further considers the methodological heterogeneity of the underlying trials, the paucity of pharmacokinetic and long-term safety data, and the practical barriers to large-scale adoption, including standardisation of extracts and cost of production. It concludes that medicinal plants represent a scientifically credible component of sustainable feed formulation strategies but that their translation into commercial aquafeeds requires more rigorous dose-optimisation trials, harmonised reporting standards and mechanistic studies linking phytochemical composition to physiological outcome.</w:t>
      </w:r>
    </w:p>
    <w:p w14:paraId="1C34CCB0"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b/>
          <w:bCs/>
          <w:sz w:val="24"/>
          <w:szCs w:val="24"/>
          <w:lang w:eastAsia="en-GB"/>
        </w:rPr>
        <w:t>Keywords:</w:t>
      </w:r>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phytobiotics</w:t>
      </w:r>
      <w:proofErr w:type="spellEnd"/>
      <w:r w:rsidRPr="00733F46">
        <w:rPr>
          <w:rFonts w:ascii="Times New Roman" w:eastAsia="Times New Roman" w:hAnsi="Times New Roman" w:cs="Times New Roman"/>
          <w:sz w:val="24"/>
          <w:szCs w:val="24"/>
          <w:lang w:eastAsia="en-GB"/>
        </w:rPr>
        <w:t>; aquafeed; fish immunity; lipid metabolism; sustainable aquaculture; antibiotic alternatives</w:t>
      </w:r>
    </w:p>
    <w:p w14:paraId="309D3EDA" w14:textId="77777777" w:rsidR="00733F46" w:rsidRPr="00733F46" w:rsidRDefault="00733F46" w:rsidP="000A4AA5">
      <w:pPr>
        <w:spacing w:after="0" w:line="240" w:lineRule="auto"/>
        <w:jc w:val="both"/>
        <w:rPr>
          <w:rFonts w:ascii="Times New Roman" w:eastAsia="Times New Roman" w:hAnsi="Times New Roman" w:cs="Times New Roman"/>
          <w:sz w:val="24"/>
          <w:szCs w:val="24"/>
          <w:lang w:eastAsia="en-GB"/>
        </w:rPr>
      </w:pPr>
    </w:p>
    <w:p w14:paraId="1B80EC8B" w14:textId="77777777" w:rsidR="00733F46" w:rsidRPr="00733F46" w:rsidRDefault="00733F46" w:rsidP="000A4AA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1. Introduction</w:t>
      </w:r>
    </w:p>
    <w:p w14:paraId="3BFF3E94"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Aquaculture has become the fastest-growing food-production sector worldwide, now supplying more than half of all aquatic animal food consumed by humans, and production is projected to continue rising through the next decade to meet nutritional demand from a growing global population (Food and Agriculture Organization of the United Nations [FAO], 2024). This growth has been achieved largely through intensification: higher stocking densities, formulated diets and controlled water systems that maximise output per unit area. Intensification, however, concentrates animals under conditions that favour pathogen </w:t>
      </w:r>
      <w:r w:rsidRPr="00733F46">
        <w:rPr>
          <w:rFonts w:ascii="Times New Roman" w:eastAsia="Times New Roman" w:hAnsi="Times New Roman" w:cs="Times New Roman"/>
          <w:sz w:val="24"/>
          <w:szCs w:val="24"/>
          <w:lang w:eastAsia="en-GB"/>
        </w:rPr>
        <w:lastRenderedPageBreak/>
        <w:t>transmission, and outbreaks of bacterial, viral, fungal and parasitic disease remain among the principal constraints on profitable, sustainable production (</w:t>
      </w:r>
      <w:proofErr w:type="spellStart"/>
      <w:r w:rsidRPr="00733F46">
        <w:rPr>
          <w:rFonts w:ascii="Times New Roman" w:eastAsia="Times New Roman" w:hAnsi="Times New Roman" w:cs="Times New Roman"/>
          <w:sz w:val="24"/>
          <w:szCs w:val="24"/>
          <w:lang w:eastAsia="en-GB"/>
        </w:rPr>
        <w:t>Dadras</w:t>
      </w:r>
      <w:proofErr w:type="spellEnd"/>
      <w:r w:rsidRPr="00733F46">
        <w:rPr>
          <w:rFonts w:ascii="Times New Roman" w:eastAsia="Times New Roman" w:hAnsi="Times New Roman" w:cs="Times New Roman"/>
          <w:sz w:val="24"/>
          <w:szCs w:val="24"/>
          <w:lang w:eastAsia="en-GB"/>
        </w:rPr>
        <w:t xml:space="preserve"> et al., 2023).</w:t>
      </w:r>
    </w:p>
    <w:p w14:paraId="4A108271"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For several decades the default response to disease pressure in farmed aquatic animals was prophylactic or therapeutic antibiotic use. This practice is now recognised as unsustainable. Antibiotic residues accumulate in tissue and sediment, non-target microbial communities are disrupted, and selection pressure has driven the proliferation of antibiotic-resistant bacteria and mobile resistance genes within aquaculture systems and their receiving environments (Yuan et al., 2023). Multiple reviews have documented resistance to tetracyclines, </w:t>
      </w:r>
      <w:proofErr w:type="spellStart"/>
      <w:r w:rsidRPr="00733F46">
        <w:rPr>
          <w:rFonts w:ascii="Times New Roman" w:eastAsia="Times New Roman" w:hAnsi="Times New Roman" w:cs="Times New Roman"/>
          <w:sz w:val="24"/>
          <w:szCs w:val="24"/>
          <w:lang w:eastAsia="en-GB"/>
        </w:rPr>
        <w:t>sulfonamides</w:t>
      </w:r>
      <w:proofErr w:type="spellEnd"/>
      <w:r w:rsidRPr="00733F46">
        <w:rPr>
          <w:rFonts w:ascii="Times New Roman" w:eastAsia="Times New Roman" w:hAnsi="Times New Roman" w:cs="Times New Roman"/>
          <w:sz w:val="24"/>
          <w:szCs w:val="24"/>
          <w:lang w:eastAsia="en-GB"/>
        </w:rPr>
        <w:t>, macrolides and fluoroquinolones in bacterial isolates from farmed fish and shrimp across Asia, Europe, the Americas and Africa, with implications that extend beyond the farm gate to human and environmental health under a One Health framework (Afroze et al., 2025). Regulatory bodies in many jurisdictions have consequently tightened restrictions on antimicrobial use in food-animal production, creating strong commercial and scientific incentive to identify safe, effective, biodegradable alternatives.</w:t>
      </w:r>
    </w:p>
    <w:p w14:paraId="340888DE" w14:textId="241B296E" w:rsidR="00C45305" w:rsidRPr="000A4AA5"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Medicinal plants, employed in human and veterinary phytotherapy for millennia, have attracted particular interest as such an alternative. Their tissues contain complex mixtures of secondary metabolites, including polyphenols, flavonoids, alkaloids, saponins, tannins, essential oils and polysaccharides, several of which possess documented antimicrobial, antioxidant, anti-inflammatory and immunomodulatory activity in terrestrial animal models (Li et al., 2020). Incorporation of these botanicals, whole or as extracts, into aquafeeds is reported to enhance growth performance, feed conversion efficiency, digestive enzyme activity, disease resistance and stress tolerance in a wide range of cultured species, while simultaneously reducing reliance on synthetic chemotherapeutics (Awad &amp; Awaad, 2017; Tadese et al., 2022). A parallel and less frequently reviewed body of evidence indicates that several of these same botanicals also act on lipid metabolism, a physiological axis of direct relevance to flesh quality, hepatic health and feed efficiency in intensively farmed fish, where high-energy formulated diets predispose to excessive visceral and hepatic fat deposition (Yao et al., 2020; Huang et al., 2023).</w:t>
      </w:r>
      <w:r w:rsidR="000A4AA5">
        <w:rPr>
          <w:rFonts w:ascii="Times New Roman" w:eastAsia="Times New Roman" w:hAnsi="Times New Roman" w:cs="Times New Roman"/>
          <w:sz w:val="24"/>
          <w:szCs w:val="24"/>
          <w:lang w:eastAsia="en-GB"/>
        </w:rPr>
        <w:t xml:space="preserve"> </w:t>
      </w:r>
      <w:r w:rsidRPr="000A4AA5">
        <w:rPr>
          <w:rFonts w:ascii="Times New Roman" w:hAnsi="Times New Roman"/>
          <w:bCs/>
          <w:sz w:val="24"/>
          <w:highlight w:val="yellow"/>
        </w:rPr>
        <w:t xml:space="preserve">Recent syntheses indicate that </w:t>
      </w:r>
      <w:proofErr w:type="spellStart"/>
      <w:r w:rsidRPr="000A4AA5">
        <w:rPr>
          <w:rFonts w:ascii="Times New Roman" w:hAnsi="Times New Roman"/>
          <w:bCs/>
          <w:sz w:val="24"/>
          <w:highlight w:val="yellow"/>
        </w:rPr>
        <w:t>phytobiotics</w:t>
      </w:r>
      <w:proofErr w:type="spellEnd"/>
      <w:r w:rsidRPr="000A4AA5">
        <w:rPr>
          <w:rFonts w:ascii="Times New Roman" w:hAnsi="Times New Roman"/>
          <w:bCs/>
          <w:sz w:val="24"/>
          <w:highlight w:val="yellow"/>
        </w:rPr>
        <w:t xml:space="preserve"> derived from medicinal plants can influence growth performance, immune function, antioxidant defence and disease resistance in finfish and shellfish, while outcomes depend on botanical source, processing, dose, administration route, bioavailability and host species (Kalaiselvan et al., 2024; Lee et al., 2024; Awad, 2025; Phan et al., 2025). Collectively, this evidence indicates that appraisal of medicinal plant applications in aquaculture should consider physiological efficacy together with formulation standardisation and species-specific response.</w:t>
      </w:r>
    </w:p>
    <w:p w14:paraId="4677696A"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Despite the volume of primary research in this area, the literature remains fragmented across plant species, animal models, dosing regimens and outcome measures, and few syntheses have attempted to integrate growth, immunity and lipid metabolism within a single coherent narrative. Existing reviews tend to focus on one axis in isolation, most commonly </w:t>
      </w:r>
      <w:proofErr w:type="spellStart"/>
      <w:r w:rsidRPr="00733F46">
        <w:rPr>
          <w:rFonts w:ascii="Times New Roman" w:eastAsia="Times New Roman" w:hAnsi="Times New Roman" w:cs="Times New Roman"/>
          <w:sz w:val="24"/>
          <w:szCs w:val="24"/>
          <w:lang w:eastAsia="en-GB"/>
        </w:rPr>
        <w:t>immunostimulation</w:t>
      </w:r>
      <w:proofErr w:type="spellEnd"/>
      <w:r w:rsidRPr="00733F46">
        <w:rPr>
          <w:rFonts w:ascii="Times New Roman" w:eastAsia="Times New Roman" w:hAnsi="Times New Roman" w:cs="Times New Roman"/>
          <w:sz w:val="24"/>
          <w:szCs w:val="24"/>
          <w:lang w:eastAsia="en-GB"/>
        </w:rPr>
        <w:t>, leaving the metabolic dimension comparatively underexplored and the mechanistic links between the three outcomes only loosely articulated.</w:t>
      </w:r>
    </w:p>
    <w:p w14:paraId="6E13ED42" w14:textId="77777777" w:rsidR="00733F46" w:rsidRPr="00733F46" w:rsidRDefault="00733F46" w:rsidP="000A4AA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1.1 Scope, Research Gap and Objectives of the Review</w:t>
      </w:r>
    </w:p>
    <w:p w14:paraId="0D81F072"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The scope of the present review is restricted to peer-reviewed, empirical and review literature concerning the dietary administration of whole medicinal plants, plant parts, crude extracts or purified phytoconstituents to farmed finfish and crustacean species, with outcomes reported for growth performance, immune function, disease resistance or lipid and hepatic </w:t>
      </w:r>
      <w:r w:rsidRPr="00733F46">
        <w:rPr>
          <w:rFonts w:ascii="Times New Roman" w:eastAsia="Times New Roman" w:hAnsi="Times New Roman" w:cs="Times New Roman"/>
          <w:sz w:val="24"/>
          <w:szCs w:val="24"/>
          <w:lang w:eastAsia="en-GB"/>
        </w:rPr>
        <w:lastRenderedPageBreak/>
        <w:t xml:space="preserve">metabolism. Studies confined to </w:t>
      </w:r>
      <w:proofErr w:type="gramStart"/>
      <w:r w:rsidRPr="00733F46">
        <w:rPr>
          <w:rFonts w:ascii="Times New Roman" w:eastAsia="Times New Roman" w:hAnsi="Times New Roman" w:cs="Times New Roman"/>
          <w:sz w:val="24"/>
          <w:szCs w:val="24"/>
          <w:lang w:eastAsia="en-GB"/>
        </w:rPr>
        <w:t>human,</w:t>
      </w:r>
      <w:proofErr w:type="gramEnd"/>
      <w:r w:rsidRPr="00733F46">
        <w:rPr>
          <w:rFonts w:ascii="Times New Roman" w:eastAsia="Times New Roman" w:hAnsi="Times New Roman" w:cs="Times New Roman"/>
          <w:sz w:val="24"/>
          <w:szCs w:val="24"/>
          <w:lang w:eastAsia="en-GB"/>
        </w:rPr>
        <w:t xml:space="preserve"> rodent or purely in vitro systems are considered only where they illuminate a mechanism directly transferable to the aquaculture context. The principal research gap addressed here is the absence of an integrated treatment linking </w:t>
      </w:r>
      <w:proofErr w:type="spellStart"/>
      <w:r w:rsidRPr="00733F46">
        <w:rPr>
          <w:rFonts w:ascii="Times New Roman" w:eastAsia="Times New Roman" w:hAnsi="Times New Roman" w:cs="Times New Roman"/>
          <w:sz w:val="24"/>
          <w:szCs w:val="24"/>
          <w:lang w:eastAsia="en-GB"/>
        </w:rPr>
        <w:t>phytotherapeutic</w:t>
      </w:r>
      <w:proofErr w:type="spellEnd"/>
      <w:r w:rsidRPr="00733F46">
        <w:rPr>
          <w:rFonts w:ascii="Times New Roman" w:eastAsia="Times New Roman" w:hAnsi="Times New Roman" w:cs="Times New Roman"/>
          <w:sz w:val="24"/>
          <w:szCs w:val="24"/>
          <w:lang w:eastAsia="en-GB"/>
        </w:rPr>
        <w:t xml:space="preserve"> growth promotion, immunomodulation and lipid-regulatory activity within a single analytical frame, together with a critical appraisal of dose-dependency, safety margins and translational barriers that is frequently omitted from narrower, single-outcome reviews. The objectives of this review are threefold: first, to synthesise and critically evaluate current evidence on the growth-promoting, immunomodulatory and lipid-metabolic effects of medicinal plants in aquaculture species; second, to characterise the principal molecular and physiological mechanisms proposed to underlie these effects, with attention to shared signalling pathways across the three outcome domains; and third, to identify the methodological, regulatory and practical gaps that currently constrain the translation of </w:t>
      </w:r>
      <w:proofErr w:type="spellStart"/>
      <w:r w:rsidRPr="00733F46">
        <w:rPr>
          <w:rFonts w:ascii="Times New Roman" w:eastAsia="Times New Roman" w:hAnsi="Times New Roman" w:cs="Times New Roman"/>
          <w:sz w:val="24"/>
          <w:szCs w:val="24"/>
          <w:lang w:eastAsia="en-GB"/>
        </w:rPr>
        <w:t>phytotherapeutic</w:t>
      </w:r>
      <w:proofErr w:type="spellEnd"/>
      <w:r w:rsidRPr="00733F46">
        <w:rPr>
          <w:rFonts w:ascii="Times New Roman" w:eastAsia="Times New Roman" w:hAnsi="Times New Roman" w:cs="Times New Roman"/>
          <w:sz w:val="24"/>
          <w:szCs w:val="24"/>
          <w:lang w:eastAsia="en-GB"/>
        </w:rPr>
        <w:t xml:space="preserve"> research into standardised commercial aquafeed formulations.</w:t>
      </w:r>
    </w:p>
    <w:p w14:paraId="4CF1F571" w14:textId="77777777" w:rsidR="00733F46" w:rsidRPr="00733F46" w:rsidRDefault="00733F46" w:rsidP="000A4AA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2. Methods for Literature Selection</w:t>
      </w:r>
    </w:p>
    <w:p w14:paraId="7961DA72" w14:textId="77777777" w:rsidR="00733F46" w:rsidRPr="00733F46" w:rsidRDefault="00733F46" w:rsidP="000A4AA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2.1 Databases and Search Strategy</w:t>
      </w:r>
    </w:p>
    <w:p w14:paraId="3A0644EB"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Literature was identified through structured searches of Web of Science, Scopus, Google Scholar and PubMed, supplemented by six field-specific indexing resources relevant to aquaculture, animal nutrition and veterinary science: CAB Abstracts, Aquatic Sciences and Fisheries Abstracts (ASFA), AGRICOLA, BIOSIS Previews, the FAO Fisheries and Aquaculture database, and the Directory of Open Access Journals (DOAJ). Search strings combined controlled vocabulary and free-text terms in Boolean combination, for example: ("medicinal plant*" OR </w:t>
      </w:r>
      <w:proofErr w:type="spellStart"/>
      <w:r w:rsidRPr="00733F46">
        <w:rPr>
          <w:rFonts w:ascii="Times New Roman" w:eastAsia="Times New Roman" w:hAnsi="Times New Roman" w:cs="Times New Roman"/>
          <w:sz w:val="24"/>
          <w:szCs w:val="24"/>
          <w:lang w:eastAsia="en-GB"/>
        </w:rPr>
        <w:t>phytobiotic</w:t>
      </w:r>
      <w:proofErr w:type="spellEnd"/>
      <w:r w:rsidRPr="00733F46">
        <w:rPr>
          <w:rFonts w:ascii="Times New Roman" w:eastAsia="Times New Roman" w:hAnsi="Times New Roman" w:cs="Times New Roman"/>
          <w:sz w:val="24"/>
          <w:szCs w:val="24"/>
          <w:lang w:eastAsia="en-GB"/>
        </w:rPr>
        <w:t>* OR "herbal extract*" OR phytogenic*) AND (aquaculture OR fish OR shrimp OR "</w:t>
      </w:r>
      <w:proofErr w:type="spellStart"/>
      <w:r w:rsidRPr="00733F46">
        <w:rPr>
          <w:rFonts w:ascii="Times New Roman" w:eastAsia="Times New Roman" w:hAnsi="Times New Roman" w:cs="Times New Roman"/>
          <w:sz w:val="24"/>
          <w:szCs w:val="24"/>
          <w:lang w:eastAsia="en-GB"/>
        </w:rPr>
        <w:t>Litopenaeus</w:t>
      </w:r>
      <w:proofErr w:type="spellEnd"/>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vannamei</w:t>
      </w:r>
      <w:proofErr w:type="spellEnd"/>
      <w:r w:rsidRPr="00733F46">
        <w:rPr>
          <w:rFonts w:ascii="Times New Roman" w:eastAsia="Times New Roman" w:hAnsi="Times New Roman" w:cs="Times New Roman"/>
          <w:sz w:val="24"/>
          <w:szCs w:val="24"/>
          <w:lang w:eastAsia="en-GB"/>
        </w:rPr>
        <w:t xml:space="preserve">" OR tilapia OR carp) AND (growth OR </w:t>
      </w:r>
      <w:proofErr w:type="spellStart"/>
      <w:r w:rsidRPr="00733F46">
        <w:rPr>
          <w:rFonts w:ascii="Times New Roman" w:eastAsia="Times New Roman" w:hAnsi="Times New Roman" w:cs="Times New Roman"/>
          <w:sz w:val="24"/>
          <w:szCs w:val="24"/>
          <w:lang w:eastAsia="en-GB"/>
        </w:rPr>
        <w:t>immun</w:t>
      </w:r>
      <w:proofErr w:type="spellEnd"/>
      <w:r w:rsidRPr="00733F46">
        <w:rPr>
          <w:rFonts w:ascii="Times New Roman" w:eastAsia="Times New Roman" w:hAnsi="Times New Roman" w:cs="Times New Roman"/>
          <w:sz w:val="24"/>
          <w:szCs w:val="24"/>
          <w:lang w:eastAsia="en-GB"/>
        </w:rPr>
        <w:t xml:space="preserve">* OR "disease resistance" OR "lipid metabolism" OR hepatic). Variants substituted specific plant genera (Astragalus, Moringa, Curcuma, Allium, Zingiber, </w:t>
      </w:r>
      <w:proofErr w:type="spellStart"/>
      <w:r w:rsidRPr="00733F46">
        <w:rPr>
          <w:rFonts w:ascii="Times New Roman" w:eastAsia="Times New Roman" w:hAnsi="Times New Roman" w:cs="Times New Roman"/>
          <w:sz w:val="24"/>
          <w:szCs w:val="24"/>
          <w:lang w:eastAsia="en-GB"/>
        </w:rPr>
        <w:t>Withania</w:t>
      </w:r>
      <w:proofErr w:type="spellEnd"/>
      <w:r w:rsidRPr="00733F46">
        <w:rPr>
          <w:rFonts w:ascii="Times New Roman" w:eastAsia="Times New Roman" w:hAnsi="Times New Roman" w:cs="Times New Roman"/>
          <w:sz w:val="24"/>
          <w:szCs w:val="24"/>
          <w:lang w:eastAsia="en-GB"/>
        </w:rPr>
        <w:t>) and specific outcome terms (lysozyme, phagocytic, SREBP, PPAR, AMPK, triglyceride) to capture mechanistic literature.</w:t>
      </w:r>
    </w:p>
    <w:p w14:paraId="1D8ECECE" w14:textId="77777777" w:rsidR="00733F46" w:rsidRPr="00733F46" w:rsidRDefault="00733F46" w:rsidP="000A4AA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2.2 Date Range</w:t>
      </w:r>
    </w:p>
    <w:p w14:paraId="0AA069BD"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The search covered literature published from January 2015 to 30 March 2026. The lower bound was chosen because it approximates the point at which dietary phytotherapy research in aquaculture moved from isolated case studies toward a more systematic body of dose-response and mechanistic work. A small number of methodologically foundational or mechanistically important sources published before 2015 were retained where no more recent equivalent existed and where their content remains directly relevant to the physiological pathways discussed.</w:t>
      </w:r>
    </w:p>
    <w:p w14:paraId="47053447" w14:textId="77777777" w:rsidR="00733F46" w:rsidRPr="00733F46" w:rsidRDefault="00733F46" w:rsidP="000A4AA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2.3 Inclusion and Exclusion Criteria</w:t>
      </w:r>
    </w:p>
    <w:p w14:paraId="2DB35F9C"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Studies were included if they reported original experimental data or synthesised primary data concerning dietary administration of a medicinal plant, plant part or plant-derived extract to a farmed aquatic species, with quantitative outcomes for growth, feed utilisation, immune parameters, disease resistance or lipid and hepatic metabolism, and if they were published in an English-language, peer-reviewed journal. Authoritative institutional reports from bodies such as the Food and Agriculture Organization were eligible where no equivalent peer-reviewed synthesis existed for global production statistics. Studies were excluded if they </w:t>
      </w:r>
      <w:r w:rsidRPr="00733F46">
        <w:rPr>
          <w:rFonts w:ascii="Times New Roman" w:eastAsia="Times New Roman" w:hAnsi="Times New Roman" w:cs="Times New Roman"/>
          <w:sz w:val="24"/>
          <w:szCs w:val="24"/>
          <w:lang w:eastAsia="en-GB"/>
        </w:rPr>
        <w:lastRenderedPageBreak/>
        <w:t>were conference abstracts, theses, patents, non-peer-reviewed preprints, trade publications or books; if they examined only immersion or bath administration without a dietary component relevant to feed formulation; or if the test organism was not a farmed aquatic species.</w:t>
      </w:r>
    </w:p>
    <w:p w14:paraId="5567B904" w14:textId="77777777" w:rsidR="00733F46" w:rsidRPr="00733F46" w:rsidRDefault="00733F46" w:rsidP="000A4AA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2.4 Rationale for a Narrative Rather Than Systematic Review Approach</w:t>
      </w:r>
    </w:p>
    <w:p w14:paraId="0731A406"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 narrative rather than systematic review design was adopted because the literature spans a heterogeneous set of plant taxa, extraction methods, dosing units, culture species and outcome measures that resist meaningful quantitative pooling, and because the aim here is conceptual integration across three physiological domains rather than estimation of a single pooled effect size. Narrative synthesis is an established and appropriate design for such integrative, mechanism-oriented questions, and its methodological quality can nonetheless be benchmarked against recognised appraisal instruments (</w:t>
      </w:r>
      <w:proofErr w:type="spellStart"/>
      <w:r w:rsidRPr="00733F46">
        <w:rPr>
          <w:rFonts w:ascii="Times New Roman" w:eastAsia="Times New Roman" w:hAnsi="Times New Roman" w:cs="Times New Roman"/>
          <w:sz w:val="24"/>
          <w:szCs w:val="24"/>
          <w:lang w:eastAsia="en-GB"/>
        </w:rPr>
        <w:t>Baethge</w:t>
      </w:r>
      <w:proofErr w:type="spellEnd"/>
      <w:r w:rsidRPr="00733F46">
        <w:rPr>
          <w:rFonts w:ascii="Times New Roman" w:eastAsia="Times New Roman" w:hAnsi="Times New Roman" w:cs="Times New Roman"/>
          <w:sz w:val="24"/>
          <w:szCs w:val="24"/>
          <w:lang w:eastAsia="en-GB"/>
        </w:rPr>
        <w:t xml:space="preserve"> et al., 2019).</w:t>
      </w:r>
    </w:p>
    <w:p w14:paraId="166E3E4B" w14:textId="77777777" w:rsidR="00733F46" w:rsidRPr="00733F46" w:rsidRDefault="00733F46" w:rsidP="000A4AA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2.5 Screening Workflow and Handling of Duplicates</w:t>
      </w:r>
    </w:p>
    <w:p w14:paraId="1E587AFF"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Titles and abstracts retrieved from each database were compiled into a single reference library, and duplicate records arising from overlapping database coverage were removed prior to full-text screening. Remaining records were screened at title and abstract level against the inclusion criteria above, and full texts of potentially eligible records were retrieved for detailed assessment. Non-English-language records were excluded at the screening stage unless an English translation or English-language abstract with sufficient methodological detail was available. Priority for detailed discussion in this review was given to studies with clearly reported dosing regimens, replicated experimental designs and statistically analysed outcomes, and to influential reviews that themselves synthesise a substantial primary literature base, so that the narrative reflects the weight of current evidence rather than isolated findings.</w:t>
      </w:r>
    </w:p>
    <w:p w14:paraId="43734182" w14:textId="77777777" w:rsidR="00733F46" w:rsidRPr="00733F46" w:rsidRDefault="00733F46" w:rsidP="000A4AA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3. Global Aquaculture Context and the Rationale for Phytotherapy</w:t>
      </w:r>
    </w:p>
    <w:p w14:paraId="37A4ECE5"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World aquaculture production has continued to expand, and aquatic animal foods now play a central role in strategies to meet global food security and nutrition targets, with continued growth expected over the medium term (FAO, 2024). This expansion has occurred disproportionately within intensive and semi-intensive systems, where high stocking density, nutrient loading and water-quality fluctuation elevate physiological stress and disease incidence. Historically, the response to elevated disease pressure has been increased antimicrobial input, yet accumulating evidence shows that antibiotics used in aquaculture persist in sediment and water at concentrations sufficient to select for resistant bacterial populations, with tetracyclines, macrolides, fluoroquinolones and </w:t>
      </w:r>
      <w:proofErr w:type="spellStart"/>
      <w:r w:rsidRPr="00733F46">
        <w:rPr>
          <w:rFonts w:ascii="Times New Roman" w:eastAsia="Times New Roman" w:hAnsi="Times New Roman" w:cs="Times New Roman"/>
          <w:sz w:val="24"/>
          <w:szCs w:val="24"/>
          <w:lang w:eastAsia="en-GB"/>
        </w:rPr>
        <w:t>sulfonamides</w:t>
      </w:r>
      <w:proofErr w:type="spellEnd"/>
      <w:r w:rsidRPr="00733F46">
        <w:rPr>
          <w:rFonts w:ascii="Times New Roman" w:eastAsia="Times New Roman" w:hAnsi="Times New Roman" w:cs="Times New Roman"/>
          <w:sz w:val="24"/>
          <w:szCs w:val="24"/>
          <w:lang w:eastAsia="en-GB"/>
        </w:rPr>
        <w:t xml:space="preserve"> most frequently implicated (Yuan et al., 2023). Comprehensive reviews of the aquaculture antimicrobial-resistance literature report that resistance genes and resistant bacterial isolates are now widespread across major producing regions, and that the sector has often been inadequately addressed within national antimicrobial-resistance action plans despite its scale (Afroze et al., 2025).</w:t>
      </w:r>
    </w:p>
    <w:p w14:paraId="4D20F0C5"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This regulatory and ecological pressure has reframed medicinal plants from a traditional curiosity into a mainstream research priority within animal nutrition science. Reviews spanning more than a decade of primary literature document consistent, if heterogeneous, benefits of dietary phytotherapy across finfish and crustacean species, encompassing enhanced growth, improved feed conversion, elevated innate immune parameters and reduced </w:t>
      </w:r>
      <w:r w:rsidRPr="00733F46">
        <w:rPr>
          <w:rFonts w:ascii="Times New Roman" w:eastAsia="Times New Roman" w:hAnsi="Times New Roman" w:cs="Times New Roman"/>
          <w:sz w:val="24"/>
          <w:szCs w:val="24"/>
          <w:lang w:eastAsia="en-GB"/>
        </w:rPr>
        <w:lastRenderedPageBreak/>
        <w:t xml:space="preserve">mortality following experimental pathogen challenge (Awad &amp; Awaad, 2017; </w:t>
      </w:r>
      <w:proofErr w:type="spellStart"/>
      <w:r w:rsidRPr="00733F46">
        <w:rPr>
          <w:rFonts w:ascii="Times New Roman" w:eastAsia="Times New Roman" w:hAnsi="Times New Roman" w:cs="Times New Roman"/>
          <w:sz w:val="24"/>
          <w:szCs w:val="24"/>
          <w:lang w:eastAsia="en-GB"/>
        </w:rPr>
        <w:t>Dadras</w:t>
      </w:r>
      <w:proofErr w:type="spellEnd"/>
      <w:r w:rsidRPr="00733F46">
        <w:rPr>
          <w:rFonts w:ascii="Times New Roman" w:eastAsia="Times New Roman" w:hAnsi="Times New Roman" w:cs="Times New Roman"/>
          <w:sz w:val="24"/>
          <w:szCs w:val="24"/>
          <w:lang w:eastAsia="en-GB"/>
        </w:rPr>
        <w:t xml:space="preserve"> et al., 2023; Tadese et al., 2022). These reviews converge on several practical advantages of plant-based feed additives relative to synthetic alternatives: low production cost in regions where the source plants are cultivated, biodegradability, a generally favourable safety margin at physiologically relevant doses, and freedom from the residue-monitoring burden associated with pharmaceutical compounds. The remainder of this review considers the evidence for three specific physiological outcomes in turn before addressing the mechanisms that link them.</w:t>
      </w:r>
    </w:p>
    <w:p w14:paraId="03C19EC5" w14:textId="77777777" w:rsidR="00733F46" w:rsidRPr="00733F46" w:rsidRDefault="00733F46" w:rsidP="000A4AA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4. Effects of Medicinal Plants on Growth Performance</w:t>
      </w:r>
    </w:p>
    <w:p w14:paraId="35F49FF1"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Growth performance, most commonly quantified through weight gain, specific growth rate, feed conversion ratio and protein efficiency ratio, is the outcome most frequently reported in the phytotherapy literature and the one of greatest immediate commercial relevance to producers. Botanicals from several unrelated plant families demonstrate reproducible growth-promoting activity across culture species, although the magnitude and consistency of the effect vary with species, developmental stage, inclusion level and extract preparation.</w:t>
      </w:r>
    </w:p>
    <w:p w14:paraId="04A8B91F"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Polysaccharide fractions derived from Astragalus </w:t>
      </w:r>
      <w:proofErr w:type="spellStart"/>
      <w:r w:rsidRPr="00733F46">
        <w:rPr>
          <w:rFonts w:ascii="Times New Roman" w:eastAsia="Times New Roman" w:hAnsi="Times New Roman" w:cs="Times New Roman"/>
          <w:sz w:val="24"/>
          <w:szCs w:val="24"/>
          <w:lang w:eastAsia="en-GB"/>
        </w:rPr>
        <w:t>membranaceus</w:t>
      </w:r>
      <w:proofErr w:type="spellEnd"/>
      <w:r w:rsidRPr="00733F46">
        <w:rPr>
          <w:rFonts w:ascii="Times New Roman" w:eastAsia="Times New Roman" w:hAnsi="Times New Roman" w:cs="Times New Roman"/>
          <w:sz w:val="24"/>
          <w:szCs w:val="24"/>
          <w:lang w:eastAsia="en-GB"/>
        </w:rPr>
        <w:t xml:space="preserve">, a legume long used in traditional Chinese medicine, have been particularly well studied. Dietary Astragalus polysaccharide supplementation improved weight gain, body composition and non-specific immune indices in white shrimp, with intermediate inclusion levels outperforming both </w:t>
      </w:r>
      <w:proofErr w:type="spellStart"/>
      <w:r w:rsidRPr="00733F46">
        <w:rPr>
          <w:rFonts w:ascii="Times New Roman" w:eastAsia="Times New Roman" w:hAnsi="Times New Roman" w:cs="Times New Roman"/>
          <w:sz w:val="24"/>
          <w:szCs w:val="24"/>
          <w:lang w:eastAsia="en-GB"/>
        </w:rPr>
        <w:t>unsupplemented</w:t>
      </w:r>
      <w:proofErr w:type="spellEnd"/>
      <w:r w:rsidRPr="00733F46">
        <w:rPr>
          <w:rFonts w:ascii="Times New Roman" w:eastAsia="Times New Roman" w:hAnsi="Times New Roman" w:cs="Times New Roman"/>
          <w:sz w:val="24"/>
          <w:szCs w:val="24"/>
          <w:lang w:eastAsia="en-GB"/>
        </w:rPr>
        <w:t xml:space="preserve"> controls and the highest tested dose, indicating a threshold beyond which additional supplementation confers no further zootechnical benefit (Pu &amp; Wu, 2022). A comparable dose-dependent pattern was reported in spotted sea bass, where graded levels of Astragalus polysaccharide altered growth-associated physiological and biochemical parameters alongside changes in hepatic lipid-metabolism gene expression (Huang et al., 2023).</w:t>
      </w:r>
    </w:p>
    <w:p w14:paraId="57D28233"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Moringa oleifera, whose leaves are rich in essential amino acids, carotenoids and phenolic compounds, has similarly demonstrated growth-promoting activity in Nile tilapia. Dietary inclusion of Moringa leaf and seed material, particularly in fermented form, improved growth performance alongside immunological and antioxidant parameters and increased resistance to Aeromonas </w:t>
      </w:r>
      <w:proofErr w:type="spellStart"/>
      <w:r w:rsidRPr="00733F46">
        <w:rPr>
          <w:rFonts w:ascii="Times New Roman" w:eastAsia="Times New Roman" w:hAnsi="Times New Roman" w:cs="Times New Roman"/>
          <w:sz w:val="24"/>
          <w:szCs w:val="24"/>
          <w:lang w:eastAsia="en-GB"/>
        </w:rPr>
        <w:t>hydrophila</w:t>
      </w:r>
      <w:proofErr w:type="spellEnd"/>
      <w:r w:rsidRPr="00733F46">
        <w:rPr>
          <w:rFonts w:ascii="Times New Roman" w:eastAsia="Times New Roman" w:hAnsi="Times New Roman" w:cs="Times New Roman"/>
          <w:sz w:val="24"/>
          <w:szCs w:val="24"/>
          <w:lang w:eastAsia="en-GB"/>
        </w:rPr>
        <w:t xml:space="preserve"> challenge, with the fermented preparation outperforming the unfermented equivalent, suggesting that microbial fermentation liberates or generates bioactive compounds not present in the raw material (Nassar et al., 2024). Moringa leaf extract has also been shown to protect growth performance and haemato-biochemical status in Nile tilapia exposed concurrently to a sub-lethal agrochemical stressor, pointing to a protective as well as a purely additive growth-promoting role under environmentally realistic co-stress conditions (Mahmoud et al., 2022).</w:t>
      </w:r>
    </w:p>
    <w:p w14:paraId="41D9B140"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Curcumin, the principal polyphenolic constituent of turmeric (Curcuma longa), has generated an extensive body of species-specific growth data. In Nile tilapia, long-term dietary curcumin supplementation improved growth performance at intermediate inclusion levels, with feed conversion ratio improved by approximately fifteen per cent relative to control at the optimal dose, while higher inclusion levels did not confer additional benefit and in some parameters approached the </w:t>
      </w:r>
      <w:proofErr w:type="spellStart"/>
      <w:r w:rsidRPr="00733F46">
        <w:rPr>
          <w:rFonts w:ascii="Times New Roman" w:eastAsia="Times New Roman" w:hAnsi="Times New Roman" w:cs="Times New Roman"/>
          <w:sz w:val="24"/>
          <w:szCs w:val="24"/>
          <w:lang w:eastAsia="en-GB"/>
        </w:rPr>
        <w:t>unsupplemented</w:t>
      </w:r>
      <w:proofErr w:type="spellEnd"/>
      <w:r w:rsidRPr="00733F46">
        <w:rPr>
          <w:rFonts w:ascii="Times New Roman" w:eastAsia="Times New Roman" w:hAnsi="Times New Roman" w:cs="Times New Roman"/>
          <w:sz w:val="24"/>
          <w:szCs w:val="24"/>
          <w:lang w:eastAsia="en-GB"/>
        </w:rPr>
        <w:t xml:space="preserve"> baseline (Amer et al., 2022). Curcumin nanoparticle formulations, designed to improve bioavailability relative to native curcumin, have likewise been reported to promote growth performance and humoral immunity in Nile tilapia </w:t>
      </w:r>
      <w:r w:rsidRPr="00733F46">
        <w:rPr>
          <w:rFonts w:ascii="Times New Roman" w:eastAsia="Times New Roman" w:hAnsi="Times New Roman" w:cs="Times New Roman"/>
          <w:sz w:val="24"/>
          <w:szCs w:val="24"/>
          <w:lang w:eastAsia="en-GB"/>
        </w:rPr>
        <w:lastRenderedPageBreak/>
        <w:t>fingerlings while favourably modulating hepatic and intestinal histology (Abdel-Tawwab et al., 2022).</w:t>
      </w:r>
    </w:p>
    <w:p w14:paraId="5771AC1B"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Allium sativum (garlic) is among the most extensively studied phytogenic feed additives across both finfish and crustacean aquaculture, with documented benefits spanning growth, feed efficiency, haematological status and disease resistance in species as diverse as tilapia, rainbow trout, sturgeon, crayfish and shrimp (Cala Delgado et al., 2023). Comparable growth benefits are reported for garlic juice processing by-products incorporated into diets for juvenile black rockfish, where supplementation improved weight gain, specific growth rate and feed efficiency alongside upregulation of growth- and antioxidant-related gene expression (Oh, Lee, Lee, Lee, Sohn, et al., 2022).</w:t>
      </w:r>
    </w:p>
    <w:p w14:paraId="3EE46911"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Zingiber officinale (ginger) rhizome and its processing residues have similarly demonstrated consistent growth-promoting activity. Ginger residue from juice extraction, an industrial by-product, improved growth performance and feed efficiency in juvenile black rockfish even at the lowest tested inclusion level, alongside enhanced antioxidant enzyme activity and improved survival following bacterial challenge (Oh, Lee, Lee, Lee, Joo, et al., 2022). In </w:t>
      </w:r>
      <w:proofErr w:type="spellStart"/>
      <w:r w:rsidRPr="00733F46">
        <w:rPr>
          <w:rFonts w:ascii="Times New Roman" w:eastAsia="Times New Roman" w:hAnsi="Times New Roman" w:cs="Times New Roman"/>
          <w:sz w:val="24"/>
          <w:szCs w:val="24"/>
          <w:lang w:eastAsia="en-GB"/>
        </w:rPr>
        <w:t>Labeo</w:t>
      </w:r>
      <w:proofErr w:type="spellEnd"/>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rohita</w:t>
      </w:r>
      <w:proofErr w:type="spellEnd"/>
      <w:r w:rsidRPr="00733F46">
        <w:rPr>
          <w:rFonts w:ascii="Times New Roman" w:eastAsia="Times New Roman" w:hAnsi="Times New Roman" w:cs="Times New Roman"/>
          <w:sz w:val="24"/>
          <w:szCs w:val="24"/>
          <w:lang w:eastAsia="en-GB"/>
        </w:rPr>
        <w:t xml:space="preserve"> reared under semi-intensive field conditions, graded dietary ginger powder improved growth performance and health status over a prolonged one-hundred-and-twenty-day trial, supporting the translational relevance of laboratory-derived findings to commercial-scale, outdoor rearing systems (Rawat et al., 2022).</w:t>
      </w:r>
    </w:p>
    <w:p w14:paraId="5B9F822C"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r w:rsidRPr="00733F46">
        <w:rPr>
          <w:rFonts w:ascii="Times New Roman" w:eastAsia="Times New Roman" w:hAnsi="Times New Roman" w:cs="Times New Roman"/>
          <w:sz w:val="24"/>
          <w:szCs w:val="24"/>
          <w:lang w:eastAsia="en-GB"/>
        </w:rPr>
        <w:t>Withania</w:t>
      </w:r>
      <w:proofErr w:type="spellEnd"/>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somnifera</w:t>
      </w:r>
      <w:proofErr w:type="spellEnd"/>
      <w:r w:rsidRPr="00733F46">
        <w:rPr>
          <w:rFonts w:ascii="Times New Roman" w:eastAsia="Times New Roman" w:hAnsi="Times New Roman" w:cs="Times New Roman"/>
          <w:sz w:val="24"/>
          <w:szCs w:val="24"/>
          <w:lang w:eastAsia="en-GB"/>
        </w:rPr>
        <w:t xml:space="preserve"> (ashwagandha), a Solanaceae root long used in Ayurvedic medicine, has more recently entered the aquaculture literature. Dietary supplementation with </w:t>
      </w:r>
      <w:proofErr w:type="spellStart"/>
      <w:r w:rsidRPr="00733F46">
        <w:rPr>
          <w:rFonts w:ascii="Times New Roman" w:eastAsia="Times New Roman" w:hAnsi="Times New Roman" w:cs="Times New Roman"/>
          <w:sz w:val="24"/>
          <w:szCs w:val="24"/>
          <w:lang w:eastAsia="en-GB"/>
        </w:rPr>
        <w:t>Withania</w:t>
      </w:r>
      <w:proofErr w:type="spellEnd"/>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somnifera</w:t>
      </w:r>
      <w:proofErr w:type="spellEnd"/>
      <w:r w:rsidRPr="00733F46">
        <w:rPr>
          <w:rFonts w:ascii="Times New Roman" w:eastAsia="Times New Roman" w:hAnsi="Times New Roman" w:cs="Times New Roman"/>
          <w:sz w:val="24"/>
          <w:szCs w:val="24"/>
          <w:lang w:eastAsia="en-GB"/>
        </w:rPr>
        <w:t xml:space="preserve"> root powder improved growth performance and reduced feed conversion ratio in common carp in a dose-dependent manner, alongside improved </w:t>
      </w:r>
      <w:proofErr w:type="spellStart"/>
      <w:r w:rsidRPr="00733F46">
        <w:rPr>
          <w:rFonts w:ascii="Times New Roman" w:eastAsia="Times New Roman" w:hAnsi="Times New Roman" w:cs="Times New Roman"/>
          <w:sz w:val="24"/>
          <w:szCs w:val="24"/>
          <w:lang w:eastAsia="en-GB"/>
        </w:rPr>
        <w:t>haematobiochemical</w:t>
      </w:r>
      <w:proofErr w:type="spellEnd"/>
      <w:r w:rsidRPr="00733F46">
        <w:rPr>
          <w:rFonts w:ascii="Times New Roman" w:eastAsia="Times New Roman" w:hAnsi="Times New Roman" w:cs="Times New Roman"/>
          <w:sz w:val="24"/>
          <w:szCs w:val="24"/>
          <w:lang w:eastAsia="en-GB"/>
        </w:rPr>
        <w:t xml:space="preserve"> status, antioxidant capacity and survival following Aeromonas </w:t>
      </w:r>
      <w:proofErr w:type="spellStart"/>
      <w:r w:rsidRPr="00733F46">
        <w:rPr>
          <w:rFonts w:ascii="Times New Roman" w:eastAsia="Times New Roman" w:hAnsi="Times New Roman" w:cs="Times New Roman"/>
          <w:sz w:val="24"/>
          <w:szCs w:val="24"/>
          <w:lang w:eastAsia="en-GB"/>
        </w:rPr>
        <w:t>hydrophila</w:t>
      </w:r>
      <w:proofErr w:type="spellEnd"/>
      <w:r w:rsidRPr="00733F46">
        <w:rPr>
          <w:rFonts w:ascii="Times New Roman" w:eastAsia="Times New Roman" w:hAnsi="Times New Roman" w:cs="Times New Roman"/>
          <w:sz w:val="24"/>
          <w:szCs w:val="24"/>
          <w:lang w:eastAsia="en-GB"/>
        </w:rPr>
        <w:t xml:space="preserve"> challenge (Habib et al., 2024).</w:t>
      </w:r>
    </w:p>
    <w:p w14:paraId="1151B963"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Table 1 summarises representative growth-performance findings across the principal medicinal plants considered in this section. Taken together, this literature shows a broadly consistent qualitative pattern: dietary medicinal plant inclusion at low-to-moderate levels enhances growth and feed efficiency across a taxonomically diverse set of species, most plausibly through combined effects on appetite stimulation, digestive enzyme activity and reduced subclinical physiological stress, while excessively high inclusion levels frequently fail to improve, and in some cases impair, growth relative to an intermediate optimum. This recurring inverted-U dose-response pattern is one of the most robust generalisations to emerge from the literature and carries direct implications for commercial feed formulation, discussed further in Section 8.</w:t>
      </w:r>
    </w:p>
    <w:p w14:paraId="0741D7EC"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b/>
          <w:bCs/>
          <w:sz w:val="24"/>
          <w:szCs w:val="24"/>
          <w:lang w:eastAsia="en-GB"/>
        </w:rPr>
        <w:t>Table 1. Representative dietary medicinal plant effects on growth performance in cultured aquatic species</w:t>
      </w:r>
    </w:p>
    <w:tbl>
      <w:tblPr>
        <w:tblStyle w:val="TableGrid"/>
        <w:tblW w:w="0" w:type="auto"/>
        <w:tblLook w:val="04A0" w:firstRow="1" w:lastRow="0" w:firstColumn="1" w:lastColumn="0" w:noHBand="0" w:noVBand="1"/>
      </w:tblPr>
      <w:tblGrid>
        <w:gridCol w:w="1975"/>
        <w:gridCol w:w="1875"/>
        <w:gridCol w:w="2362"/>
        <w:gridCol w:w="1766"/>
        <w:gridCol w:w="1264"/>
      </w:tblGrid>
      <w:tr w:rsidR="00733F46" w:rsidRPr="00733F46" w14:paraId="404185BE" w14:textId="77777777" w:rsidTr="00733F46">
        <w:tc>
          <w:tcPr>
            <w:tcW w:w="0" w:type="auto"/>
            <w:hideMark/>
          </w:tcPr>
          <w:p w14:paraId="04051AC1"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Plant / Compound</w:t>
            </w:r>
          </w:p>
        </w:tc>
        <w:tc>
          <w:tcPr>
            <w:tcW w:w="0" w:type="auto"/>
            <w:hideMark/>
          </w:tcPr>
          <w:p w14:paraId="52E0236C"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Species</w:t>
            </w:r>
          </w:p>
        </w:tc>
        <w:tc>
          <w:tcPr>
            <w:tcW w:w="0" w:type="auto"/>
            <w:hideMark/>
          </w:tcPr>
          <w:p w14:paraId="7BBBC0BF"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Key growth outcome</w:t>
            </w:r>
          </w:p>
        </w:tc>
        <w:tc>
          <w:tcPr>
            <w:tcW w:w="0" w:type="auto"/>
            <w:hideMark/>
          </w:tcPr>
          <w:p w14:paraId="6CDE4968"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Dose range tested / apparent optimum</w:t>
            </w:r>
          </w:p>
        </w:tc>
        <w:tc>
          <w:tcPr>
            <w:tcW w:w="0" w:type="auto"/>
            <w:hideMark/>
          </w:tcPr>
          <w:p w14:paraId="26B31BE2"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Source</w:t>
            </w:r>
          </w:p>
        </w:tc>
      </w:tr>
      <w:tr w:rsidR="00733F46" w:rsidRPr="00733F46" w14:paraId="25C60376" w14:textId="77777777" w:rsidTr="00733F46">
        <w:tc>
          <w:tcPr>
            <w:tcW w:w="0" w:type="auto"/>
            <w:hideMark/>
          </w:tcPr>
          <w:p w14:paraId="2CB49F4B"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Astragalus </w:t>
            </w:r>
            <w:proofErr w:type="spellStart"/>
            <w:r w:rsidRPr="00733F46">
              <w:rPr>
                <w:rFonts w:ascii="Times New Roman" w:eastAsia="Times New Roman" w:hAnsi="Times New Roman" w:cs="Times New Roman"/>
                <w:sz w:val="24"/>
                <w:szCs w:val="24"/>
                <w:lang w:eastAsia="en-GB"/>
              </w:rPr>
              <w:t>membranaceus</w:t>
            </w:r>
            <w:proofErr w:type="spellEnd"/>
            <w:r w:rsidRPr="00733F46">
              <w:rPr>
                <w:rFonts w:ascii="Times New Roman" w:eastAsia="Times New Roman" w:hAnsi="Times New Roman" w:cs="Times New Roman"/>
                <w:sz w:val="24"/>
                <w:szCs w:val="24"/>
                <w:lang w:eastAsia="en-GB"/>
              </w:rPr>
              <w:t xml:space="preserve"> polysaccharide</w:t>
            </w:r>
          </w:p>
        </w:tc>
        <w:tc>
          <w:tcPr>
            <w:tcW w:w="0" w:type="auto"/>
            <w:hideMark/>
          </w:tcPr>
          <w:p w14:paraId="284FCED9"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White shrimp (</w:t>
            </w:r>
            <w:proofErr w:type="spellStart"/>
            <w:r w:rsidRPr="00733F46">
              <w:rPr>
                <w:rFonts w:ascii="Times New Roman" w:eastAsia="Times New Roman" w:hAnsi="Times New Roman" w:cs="Times New Roman"/>
                <w:sz w:val="24"/>
                <w:szCs w:val="24"/>
                <w:lang w:eastAsia="en-GB"/>
              </w:rPr>
              <w:t>Litopenaeus</w:t>
            </w:r>
            <w:proofErr w:type="spellEnd"/>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vannamei</w:t>
            </w:r>
            <w:proofErr w:type="spellEnd"/>
            <w:r w:rsidRPr="00733F46">
              <w:rPr>
                <w:rFonts w:ascii="Times New Roman" w:eastAsia="Times New Roman" w:hAnsi="Times New Roman" w:cs="Times New Roman"/>
                <w:sz w:val="24"/>
                <w:szCs w:val="24"/>
                <w:lang w:eastAsia="en-GB"/>
              </w:rPr>
              <w:t>)</w:t>
            </w:r>
          </w:p>
        </w:tc>
        <w:tc>
          <w:tcPr>
            <w:tcW w:w="0" w:type="auto"/>
            <w:hideMark/>
          </w:tcPr>
          <w:p w14:paraId="18BF2311"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Improved weight gain and body composition; high </w:t>
            </w:r>
            <w:r w:rsidRPr="00733F46">
              <w:rPr>
                <w:rFonts w:ascii="Times New Roman" w:eastAsia="Times New Roman" w:hAnsi="Times New Roman" w:cs="Times New Roman"/>
                <w:sz w:val="24"/>
                <w:szCs w:val="24"/>
                <w:lang w:eastAsia="en-GB"/>
              </w:rPr>
              <w:lastRenderedPageBreak/>
              <w:t>dose no better than moderate dose</w:t>
            </w:r>
          </w:p>
        </w:tc>
        <w:tc>
          <w:tcPr>
            <w:tcW w:w="0" w:type="auto"/>
            <w:hideMark/>
          </w:tcPr>
          <w:p w14:paraId="77B0FA8B"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Optimum at 30 g/kg; no further gain at 50 g/kg</w:t>
            </w:r>
          </w:p>
        </w:tc>
        <w:tc>
          <w:tcPr>
            <w:tcW w:w="0" w:type="auto"/>
            <w:hideMark/>
          </w:tcPr>
          <w:p w14:paraId="5B88AF9D"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Pu &amp; Wu (2022)</w:t>
            </w:r>
          </w:p>
        </w:tc>
      </w:tr>
      <w:tr w:rsidR="00733F46" w:rsidRPr="00733F46" w14:paraId="6689F93F" w14:textId="77777777" w:rsidTr="00733F46">
        <w:tc>
          <w:tcPr>
            <w:tcW w:w="0" w:type="auto"/>
            <w:hideMark/>
          </w:tcPr>
          <w:p w14:paraId="387F8F26"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Astragalus </w:t>
            </w:r>
            <w:proofErr w:type="spellStart"/>
            <w:r w:rsidRPr="00733F46">
              <w:rPr>
                <w:rFonts w:ascii="Times New Roman" w:eastAsia="Times New Roman" w:hAnsi="Times New Roman" w:cs="Times New Roman"/>
                <w:sz w:val="24"/>
                <w:szCs w:val="24"/>
                <w:lang w:eastAsia="en-GB"/>
              </w:rPr>
              <w:t>membranaceus</w:t>
            </w:r>
            <w:proofErr w:type="spellEnd"/>
            <w:r w:rsidRPr="00733F46">
              <w:rPr>
                <w:rFonts w:ascii="Times New Roman" w:eastAsia="Times New Roman" w:hAnsi="Times New Roman" w:cs="Times New Roman"/>
                <w:sz w:val="24"/>
                <w:szCs w:val="24"/>
                <w:lang w:eastAsia="en-GB"/>
              </w:rPr>
              <w:t xml:space="preserve"> polysaccharide</w:t>
            </w:r>
          </w:p>
        </w:tc>
        <w:tc>
          <w:tcPr>
            <w:tcW w:w="0" w:type="auto"/>
            <w:hideMark/>
          </w:tcPr>
          <w:p w14:paraId="10A37103"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Spotted sea bass (</w:t>
            </w:r>
            <w:proofErr w:type="spellStart"/>
            <w:r w:rsidRPr="00733F46">
              <w:rPr>
                <w:rFonts w:ascii="Times New Roman" w:eastAsia="Times New Roman" w:hAnsi="Times New Roman" w:cs="Times New Roman"/>
                <w:sz w:val="24"/>
                <w:szCs w:val="24"/>
                <w:lang w:eastAsia="en-GB"/>
              </w:rPr>
              <w:t>Lateolabrax</w:t>
            </w:r>
            <w:proofErr w:type="spellEnd"/>
            <w:r w:rsidRPr="00733F46">
              <w:rPr>
                <w:rFonts w:ascii="Times New Roman" w:eastAsia="Times New Roman" w:hAnsi="Times New Roman" w:cs="Times New Roman"/>
                <w:sz w:val="24"/>
                <w:szCs w:val="24"/>
                <w:lang w:eastAsia="en-GB"/>
              </w:rPr>
              <w:t xml:space="preserve"> maculatus)</w:t>
            </w:r>
          </w:p>
        </w:tc>
        <w:tc>
          <w:tcPr>
            <w:tcW w:w="0" w:type="auto"/>
            <w:hideMark/>
          </w:tcPr>
          <w:p w14:paraId="69332926"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Dose-dependent change in growth-related physiological parameters</w:t>
            </w:r>
          </w:p>
        </w:tc>
        <w:tc>
          <w:tcPr>
            <w:tcW w:w="0" w:type="auto"/>
            <w:hideMark/>
          </w:tcPr>
          <w:p w14:paraId="6ABE8552"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Tested across 0.2–1.0 g/kg diet</w:t>
            </w:r>
          </w:p>
        </w:tc>
        <w:tc>
          <w:tcPr>
            <w:tcW w:w="0" w:type="auto"/>
            <w:hideMark/>
          </w:tcPr>
          <w:p w14:paraId="2A0D97EC"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Huang et al. (2023)</w:t>
            </w:r>
          </w:p>
        </w:tc>
      </w:tr>
      <w:tr w:rsidR="00733F46" w:rsidRPr="00733F46" w14:paraId="275F9465" w14:textId="77777777" w:rsidTr="00733F46">
        <w:tc>
          <w:tcPr>
            <w:tcW w:w="0" w:type="auto"/>
            <w:hideMark/>
          </w:tcPr>
          <w:p w14:paraId="562BCEC9"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Fermented Moringa oleifera</w:t>
            </w:r>
          </w:p>
        </w:tc>
        <w:tc>
          <w:tcPr>
            <w:tcW w:w="0" w:type="auto"/>
            <w:hideMark/>
          </w:tcPr>
          <w:p w14:paraId="69A8DA3F"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Nile tilapia (Oreochromis niloticus)</w:t>
            </w:r>
          </w:p>
        </w:tc>
        <w:tc>
          <w:tcPr>
            <w:tcW w:w="0" w:type="auto"/>
            <w:hideMark/>
          </w:tcPr>
          <w:p w14:paraId="0DC98BF1"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Improved growth and survival against A. </w:t>
            </w:r>
            <w:proofErr w:type="spellStart"/>
            <w:r w:rsidRPr="00733F46">
              <w:rPr>
                <w:rFonts w:ascii="Times New Roman" w:eastAsia="Times New Roman" w:hAnsi="Times New Roman" w:cs="Times New Roman"/>
                <w:sz w:val="24"/>
                <w:szCs w:val="24"/>
                <w:lang w:eastAsia="en-GB"/>
              </w:rPr>
              <w:t>hydrophila</w:t>
            </w:r>
            <w:proofErr w:type="spellEnd"/>
          </w:p>
        </w:tc>
        <w:tc>
          <w:tcPr>
            <w:tcW w:w="0" w:type="auto"/>
            <w:hideMark/>
          </w:tcPr>
          <w:p w14:paraId="080A42FE"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Greatest effect at 10% inclusion (fermented)</w:t>
            </w:r>
          </w:p>
        </w:tc>
        <w:tc>
          <w:tcPr>
            <w:tcW w:w="0" w:type="auto"/>
            <w:hideMark/>
          </w:tcPr>
          <w:p w14:paraId="0CB8C4B9"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Nassar et al. (2024)</w:t>
            </w:r>
          </w:p>
        </w:tc>
      </w:tr>
      <w:tr w:rsidR="00733F46" w:rsidRPr="00733F46" w14:paraId="4FCA484D" w14:textId="77777777" w:rsidTr="00733F46">
        <w:tc>
          <w:tcPr>
            <w:tcW w:w="0" w:type="auto"/>
            <w:hideMark/>
          </w:tcPr>
          <w:p w14:paraId="18CCC075"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Curcumin</w:t>
            </w:r>
          </w:p>
        </w:tc>
        <w:tc>
          <w:tcPr>
            <w:tcW w:w="0" w:type="auto"/>
            <w:hideMark/>
          </w:tcPr>
          <w:p w14:paraId="02001336"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Nile tilapia (O. niloticus)</w:t>
            </w:r>
          </w:p>
        </w:tc>
        <w:tc>
          <w:tcPr>
            <w:tcW w:w="0" w:type="auto"/>
            <w:hideMark/>
          </w:tcPr>
          <w:p w14:paraId="57EDB5C3"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growth; ~15% improvement in feed conversion ratio</w:t>
            </w:r>
          </w:p>
        </w:tc>
        <w:tc>
          <w:tcPr>
            <w:tcW w:w="0" w:type="auto"/>
            <w:hideMark/>
          </w:tcPr>
          <w:p w14:paraId="5562EE0E"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Optimum at 400 mg/kg diet</w:t>
            </w:r>
          </w:p>
        </w:tc>
        <w:tc>
          <w:tcPr>
            <w:tcW w:w="0" w:type="auto"/>
            <w:hideMark/>
          </w:tcPr>
          <w:p w14:paraId="4F53755D"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Amer et al. (2022)</w:t>
            </w:r>
          </w:p>
        </w:tc>
      </w:tr>
      <w:tr w:rsidR="00733F46" w:rsidRPr="00733F46" w14:paraId="30D30D29" w14:textId="77777777" w:rsidTr="00733F46">
        <w:tc>
          <w:tcPr>
            <w:tcW w:w="0" w:type="auto"/>
            <w:hideMark/>
          </w:tcPr>
          <w:p w14:paraId="1E4491CF"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Ginger residue (juice by-product)</w:t>
            </w:r>
          </w:p>
        </w:tc>
        <w:tc>
          <w:tcPr>
            <w:tcW w:w="0" w:type="auto"/>
            <w:hideMark/>
          </w:tcPr>
          <w:p w14:paraId="479A71E3"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Black rockfish (Sebastes schlegelii)</w:t>
            </w:r>
          </w:p>
        </w:tc>
        <w:tc>
          <w:tcPr>
            <w:tcW w:w="0" w:type="auto"/>
            <w:hideMark/>
          </w:tcPr>
          <w:p w14:paraId="0B0FFA71"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weight gain and feed efficiency from lowest dose tested</w:t>
            </w:r>
          </w:p>
        </w:tc>
        <w:tc>
          <w:tcPr>
            <w:tcW w:w="0" w:type="auto"/>
            <w:hideMark/>
          </w:tcPr>
          <w:p w14:paraId="7F0786E1"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Effective from 0.25% inclusion</w:t>
            </w:r>
          </w:p>
        </w:tc>
        <w:tc>
          <w:tcPr>
            <w:tcW w:w="0" w:type="auto"/>
            <w:hideMark/>
          </w:tcPr>
          <w:p w14:paraId="5ECE7107"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Oh, Lee, Lee, Lee, Joo, et al. (2022)</w:t>
            </w:r>
          </w:p>
        </w:tc>
      </w:tr>
      <w:tr w:rsidR="00733F46" w:rsidRPr="00733F46" w14:paraId="43F8A1F3" w14:textId="77777777" w:rsidTr="00733F46">
        <w:tc>
          <w:tcPr>
            <w:tcW w:w="0" w:type="auto"/>
            <w:hideMark/>
          </w:tcPr>
          <w:p w14:paraId="2BAC9BC9"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Ginger powder</w:t>
            </w:r>
          </w:p>
        </w:tc>
        <w:tc>
          <w:tcPr>
            <w:tcW w:w="0" w:type="auto"/>
            <w:hideMark/>
          </w:tcPr>
          <w:p w14:paraId="17E14936"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Rohu (</w:t>
            </w:r>
            <w:proofErr w:type="spellStart"/>
            <w:r w:rsidRPr="00733F46">
              <w:rPr>
                <w:rFonts w:ascii="Times New Roman" w:eastAsia="Times New Roman" w:hAnsi="Times New Roman" w:cs="Times New Roman"/>
                <w:sz w:val="24"/>
                <w:szCs w:val="24"/>
                <w:lang w:eastAsia="en-GB"/>
              </w:rPr>
              <w:t>Labeo</w:t>
            </w:r>
            <w:proofErr w:type="spellEnd"/>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rohita</w:t>
            </w:r>
            <w:proofErr w:type="spellEnd"/>
            <w:r w:rsidRPr="00733F46">
              <w:rPr>
                <w:rFonts w:ascii="Times New Roman" w:eastAsia="Times New Roman" w:hAnsi="Times New Roman" w:cs="Times New Roman"/>
                <w:sz w:val="24"/>
                <w:szCs w:val="24"/>
                <w:lang w:eastAsia="en-GB"/>
              </w:rPr>
              <w:t>)</w:t>
            </w:r>
          </w:p>
        </w:tc>
        <w:tc>
          <w:tcPr>
            <w:tcW w:w="0" w:type="auto"/>
            <w:hideMark/>
          </w:tcPr>
          <w:p w14:paraId="38C25244"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growth and health status over 120-day field trial</w:t>
            </w:r>
          </w:p>
        </w:tc>
        <w:tc>
          <w:tcPr>
            <w:tcW w:w="0" w:type="auto"/>
            <w:hideMark/>
          </w:tcPr>
          <w:p w14:paraId="11DAD6A5"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Tested across 5–20 g/kg diet</w:t>
            </w:r>
          </w:p>
        </w:tc>
        <w:tc>
          <w:tcPr>
            <w:tcW w:w="0" w:type="auto"/>
            <w:hideMark/>
          </w:tcPr>
          <w:p w14:paraId="1369268D"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Rawat et al. (2022)</w:t>
            </w:r>
          </w:p>
        </w:tc>
      </w:tr>
      <w:tr w:rsidR="00733F46" w:rsidRPr="00733F46" w14:paraId="2F7BDA2F" w14:textId="77777777" w:rsidTr="00733F46">
        <w:tc>
          <w:tcPr>
            <w:tcW w:w="0" w:type="auto"/>
            <w:hideMark/>
          </w:tcPr>
          <w:p w14:paraId="3469BFFE" w14:textId="77777777" w:rsidR="00733F46" w:rsidRPr="00733F46" w:rsidRDefault="00733F46" w:rsidP="000A4AA5">
            <w:pPr>
              <w:jc w:val="both"/>
              <w:rPr>
                <w:rFonts w:ascii="Times New Roman" w:eastAsia="Times New Roman" w:hAnsi="Times New Roman" w:cs="Times New Roman"/>
                <w:sz w:val="24"/>
                <w:szCs w:val="24"/>
                <w:lang w:eastAsia="en-GB"/>
              </w:rPr>
            </w:pPr>
            <w:proofErr w:type="spellStart"/>
            <w:r w:rsidRPr="00733F46">
              <w:rPr>
                <w:rFonts w:ascii="Times New Roman" w:eastAsia="Times New Roman" w:hAnsi="Times New Roman" w:cs="Times New Roman"/>
                <w:sz w:val="24"/>
                <w:szCs w:val="24"/>
                <w:lang w:eastAsia="en-GB"/>
              </w:rPr>
              <w:t>Withania</w:t>
            </w:r>
            <w:proofErr w:type="spellEnd"/>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somnifera</w:t>
            </w:r>
            <w:proofErr w:type="spellEnd"/>
            <w:r w:rsidRPr="00733F46">
              <w:rPr>
                <w:rFonts w:ascii="Times New Roman" w:eastAsia="Times New Roman" w:hAnsi="Times New Roman" w:cs="Times New Roman"/>
                <w:sz w:val="24"/>
                <w:szCs w:val="24"/>
                <w:lang w:eastAsia="en-GB"/>
              </w:rPr>
              <w:t xml:space="preserve"> root powder</w:t>
            </w:r>
          </w:p>
        </w:tc>
        <w:tc>
          <w:tcPr>
            <w:tcW w:w="0" w:type="auto"/>
            <w:hideMark/>
          </w:tcPr>
          <w:p w14:paraId="57F74F82"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Common carp (Cyprinus carpio)</w:t>
            </w:r>
          </w:p>
        </w:tc>
        <w:tc>
          <w:tcPr>
            <w:tcW w:w="0" w:type="auto"/>
            <w:hideMark/>
          </w:tcPr>
          <w:p w14:paraId="45B21F12"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growth and reduced FCR, dose-dependent</w:t>
            </w:r>
          </w:p>
        </w:tc>
        <w:tc>
          <w:tcPr>
            <w:tcW w:w="0" w:type="auto"/>
            <w:hideMark/>
          </w:tcPr>
          <w:p w14:paraId="5D5EBE25"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Continued benefit up to 4% inclusion</w:t>
            </w:r>
          </w:p>
        </w:tc>
        <w:tc>
          <w:tcPr>
            <w:tcW w:w="0" w:type="auto"/>
            <w:hideMark/>
          </w:tcPr>
          <w:p w14:paraId="16B16BA8"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Habib et al. (2024)</w:t>
            </w:r>
          </w:p>
        </w:tc>
      </w:tr>
    </w:tbl>
    <w:p w14:paraId="3D6E01DC" w14:textId="77777777" w:rsidR="00733F46" w:rsidRPr="00733F46" w:rsidRDefault="00733F46" w:rsidP="000A4AA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5. Immunomodulatory and Disease-Resistance Effects</w:t>
      </w:r>
    </w:p>
    <w:p w14:paraId="404A2505"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Beyond growth promotion, the most frequently cited justification for </w:t>
      </w:r>
      <w:proofErr w:type="spellStart"/>
      <w:r w:rsidRPr="00733F46">
        <w:rPr>
          <w:rFonts w:ascii="Times New Roman" w:eastAsia="Times New Roman" w:hAnsi="Times New Roman" w:cs="Times New Roman"/>
          <w:sz w:val="24"/>
          <w:szCs w:val="24"/>
          <w:lang w:eastAsia="en-GB"/>
        </w:rPr>
        <w:t>phytotherapeutic</w:t>
      </w:r>
      <w:proofErr w:type="spellEnd"/>
      <w:r w:rsidRPr="00733F46">
        <w:rPr>
          <w:rFonts w:ascii="Times New Roman" w:eastAsia="Times New Roman" w:hAnsi="Times New Roman" w:cs="Times New Roman"/>
          <w:sz w:val="24"/>
          <w:szCs w:val="24"/>
          <w:lang w:eastAsia="en-GB"/>
        </w:rPr>
        <w:t xml:space="preserve"> feed additives is their capacity to stimulate innate and adaptive immune function, thereby reducing mortality during natural or experimental pathogen challenge and diminishing reliance on antibiotic intervention. Medicinal plants act on both cellular and humoral arms of the fish and crustacean immune system, most commonly evidenced through elevation of lysozyme activity, phagocytic index, respiratory burst activity, complement activity and immunoglobulin titre, together with modulation of pro- and anti-inflammatory cytokine gene expression (Awad &amp; Awaad, 2017).</w:t>
      </w:r>
    </w:p>
    <w:p w14:paraId="777B1152"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Astragalus-derived polysaccharides again feature prominently. In white shrimp, moderate dietary Astragalus polysaccharide inclusion improved non-specific immune indices without the further gain seen at the highest dose (Pu &amp; Wu, 2022), a pattern consistent with the broader observation that immunostimulant efficacy in aquatic species frequently follows a bell-shaped dose-response curve, with excessive dosing risking immunosuppression rather than continued enhancement (Awad &amp; Awaad, 2017).</w:t>
      </w:r>
    </w:p>
    <w:p w14:paraId="47547531"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Moringa oleifera preparations have demonstrated substantial immunomodulatory activity in Nile tilapia. Fermented Moringa supplementation enhanced phagocytic and lysozyme activity, upregulated immune-related cytokine and immunoglobulin M gene expression, and increased survival following Aeromonas </w:t>
      </w:r>
      <w:proofErr w:type="spellStart"/>
      <w:r w:rsidRPr="00733F46">
        <w:rPr>
          <w:rFonts w:ascii="Times New Roman" w:eastAsia="Times New Roman" w:hAnsi="Times New Roman" w:cs="Times New Roman"/>
          <w:sz w:val="24"/>
          <w:szCs w:val="24"/>
          <w:lang w:eastAsia="en-GB"/>
        </w:rPr>
        <w:t>hydrophila</w:t>
      </w:r>
      <w:proofErr w:type="spellEnd"/>
      <w:r w:rsidRPr="00733F46">
        <w:rPr>
          <w:rFonts w:ascii="Times New Roman" w:eastAsia="Times New Roman" w:hAnsi="Times New Roman" w:cs="Times New Roman"/>
          <w:sz w:val="24"/>
          <w:szCs w:val="24"/>
          <w:lang w:eastAsia="en-GB"/>
        </w:rPr>
        <w:t xml:space="preserve"> challenge relative to both </w:t>
      </w:r>
      <w:proofErr w:type="spellStart"/>
      <w:r w:rsidRPr="00733F46">
        <w:rPr>
          <w:rFonts w:ascii="Times New Roman" w:eastAsia="Times New Roman" w:hAnsi="Times New Roman" w:cs="Times New Roman"/>
          <w:sz w:val="24"/>
          <w:szCs w:val="24"/>
          <w:lang w:eastAsia="en-GB"/>
        </w:rPr>
        <w:t>unsupplemented</w:t>
      </w:r>
      <w:proofErr w:type="spellEnd"/>
      <w:r w:rsidRPr="00733F46">
        <w:rPr>
          <w:rFonts w:ascii="Times New Roman" w:eastAsia="Times New Roman" w:hAnsi="Times New Roman" w:cs="Times New Roman"/>
          <w:sz w:val="24"/>
          <w:szCs w:val="24"/>
          <w:lang w:eastAsia="en-GB"/>
        </w:rPr>
        <w:t xml:space="preserve"> controls and the non-fermented preparation (Nassar et al., 2024). Moringa leaf extract likewise restored haemato-immunological parameters in tilapia subjected to sub-</w:t>
      </w:r>
      <w:r w:rsidRPr="00733F46">
        <w:rPr>
          <w:rFonts w:ascii="Times New Roman" w:eastAsia="Times New Roman" w:hAnsi="Times New Roman" w:cs="Times New Roman"/>
          <w:sz w:val="24"/>
          <w:szCs w:val="24"/>
          <w:lang w:eastAsia="en-GB"/>
        </w:rPr>
        <w:lastRenderedPageBreak/>
        <w:t xml:space="preserve">lethal pesticide exposure, indicating that its </w:t>
      </w:r>
      <w:proofErr w:type="spellStart"/>
      <w:r w:rsidRPr="00733F46">
        <w:rPr>
          <w:rFonts w:ascii="Times New Roman" w:eastAsia="Times New Roman" w:hAnsi="Times New Roman" w:cs="Times New Roman"/>
          <w:sz w:val="24"/>
          <w:szCs w:val="24"/>
          <w:lang w:eastAsia="en-GB"/>
        </w:rPr>
        <w:t>immunoprotective</w:t>
      </w:r>
      <w:proofErr w:type="spellEnd"/>
      <w:r w:rsidRPr="00733F46">
        <w:rPr>
          <w:rFonts w:ascii="Times New Roman" w:eastAsia="Times New Roman" w:hAnsi="Times New Roman" w:cs="Times New Roman"/>
          <w:sz w:val="24"/>
          <w:szCs w:val="24"/>
          <w:lang w:eastAsia="en-GB"/>
        </w:rPr>
        <w:t xml:space="preserve"> activity extends to chemically stressed as well as unstressed animals (Mahmoud et al., 2022).</w:t>
      </w:r>
    </w:p>
    <w:p w14:paraId="0E20C321"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Curcumin exerts immunomodulatory activity through both antioxidant and anti-inflammatory mechanisms. Long-term curcumin feeding in Nile tilapia modulated the expression of proinflammatory cytokines and apoptosis-related indicators alongside improved antioxidant capacity and histological integrity of intestine and liver, with resistance to Aeromonas </w:t>
      </w:r>
      <w:proofErr w:type="spellStart"/>
      <w:r w:rsidRPr="00733F46">
        <w:rPr>
          <w:rFonts w:ascii="Times New Roman" w:eastAsia="Times New Roman" w:hAnsi="Times New Roman" w:cs="Times New Roman"/>
          <w:sz w:val="24"/>
          <w:szCs w:val="24"/>
          <w:lang w:eastAsia="en-GB"/>
        </w:rPr>
        <w:t>hydrophila</w:t>
      </w:r>
      <w:proofErr w:type="spellEnd"/>
      <w:r w:rsidRPr="00733F46">
        <w:rPr>
          <w:rFonts w:ascii="Times New Roman" w:eastAsia="Times New Roman" w:hAnsi="Times New Roman" w:cs="Times New Roman"/>
          <w:sz w:val="24"/>
          <w:szCs w:val="24"/>
          <w:lang w:eastAsia="en-GB"/>
        </w:rPr>
        <w:t xml:space="preserve"> challenge improved at intermediate but not the highest dose (Amer et al., 2022). Curcumin nanoparticle formulations similarly enhanced humoral immunity and favourably modulated hepatic and intestinal histology in tilapia fingerlings, suggesting that improved bioavailability may permit lower effective inclusion levels (Abdel-Tawwab et al., 2022).</w:t>
      </w:r>
    </w:p>
    <w:p w14:paraId="19EA72CD"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Garlic-derived compounds, principally organosulfur allicin and its derivatives, exert direct antimicrobial activity against Gram-positive and Gram-negative fish pathogens in addition to indirect </w:t>
      </w:r>
      <w:proofErr w:type="spellStart"/>
      <w:r w:rsidRPr="00733F46">
        <w:rPr>
          <w:rFonts w:ascii="Times New Roman" w:eastAsia="Times New Roman" w:hAnsi="Times New Roman" w:cs="Times New Roman"/>
          <w:sz w:val="24"/>
          <w:szCs w:val="24"/>
          <w:lang w:eastAsia="en-GB"/>
        </w:rPr>
        <w:t>immunostimulation</w:t>
      </w:r>
      <w:proofErr w:type="spellEnd"/>
      <w:r w:rsidRPr="00733F46">
        <w:rPr>
          <w:rFonts w:ascii="Times New Roman" w:eastAsia="Times New Roman" w:hAnsi="Times New Roman" w:cs="Times New Roman"/>
          <w:sz w:val="24"/>
          <w:szCs w:val="24"/>
          <w:lang w:eastAsia="en-GB"/>
        </w:rPr>
        <w:t xml:space="preserve">, with documented benefit against Aeromonas, Vibrio and Streptococcus species across multiple host taxa (Cala Delgado et al., 2023). Garlic juice processing waste supplementation in black rockfish enhanced digestive enzyme activity together with growth- and antioxidant-related gene expression, supporting a combined nutritional and </w:t>
      </w:r>
      <w:proofErr w:type="spellStart"/>
      <w:r w:rsidRPr="00733F46">
        <w:rPr>
          <w:rFonts w:ascii="Times New Roman" w:eastAsia="Times New Roman" w:hAnsi="Times New Roman" w:cs="Times New Roman"/>
          <w:sz w:val="24"/>
          <w:szCs w:val="24"/>
          <w:lang w:eastAsia="en-GB"/>
        </w:rPr>
        <w:t>immunoprotective</w:t>
      </w:r>
      <w:proofErr w:type="spellEnd"/>
      <w:r w:rsidRPr="00733F46">
        <w:rPr>
          <w:rFonts w:ascii="Times New Roman" w:eastAsia="Times New Roman" w:hAnsi="Times New Roman" w:cs="Times New Roman"/>
          <w:sz w:val="24"/>
          <w:szCs w:val="24"/>
          <w:lang w:eastAsia="en-GB"/>
        </w:rPr>
        <w:t xml:space="preserve"> mode of action (Oh, Lee, Lee, Lee, Sohn, et al., 2022).</w:t>
      </w:r>
    </w:p>
    <w:p w14:paraId="5242E396"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Ginger similarly demonstrates immunostimulatory activity independent of its growth-promoting effects. Ginger residue supplementation improved antioxidant enzyme activity and survival following Streptococcus </w:t>
      </w:r>
      <w:proofErr w:type="spellStart"/>
      <w:r w:rsidRPr="00733F46">
        <w:rPr>
          <w:rFonts w:ascii="Times New Roman" w:eastAsia="Times New Roman" w:hAnsi="Times New Roman" w:cs="Times New Roman"/>
          <w:sz w:val="24"/>
          <w:szCs w:val="24"/>
          <w:lang w:eastAsia="en-GB"/>
        </w:rPr>
        <w:t>iniae</w:t>
      </w:r>
      <w:proofErr w:type="spellEnd"/>
      <w:r w:rsidRPr="00733F46">
        <w:rPr>
          <w:rFonts w:ascii="Times New Roman" w:eastAsia="Times New Roman" w:hAnsi="Times New Roman" w:cs="Times New Roman"/>
          <w:sz w:val="24"/>
          <w:szCs w:val="24"/>
          <w:lang w:eastAsia="en-GB"/>
        </w:rPr>
        <w:t xml:space="preserve"> challenge in black rockfish (Oh, Lee, Lee, Lee, Joo, et al., 2022), while ginger powder supplementation in </w:t>
      </w:r>
      <w:proofErr w:type="spellStart"/>
      <w:r w:rsidRPr="00733F46">
        <w:rPr>
          <w:rFonts w:ascii="Times New Roman" w:eastAsia="Times New Roman" w:hAnsi="Times New Roman" w:cs="Times New Roman"/>
          <w:sz w:val="24"/>
          <w:szCs w:val="24"/>
          <w:lang w:eastAsia="en-GB"/>
        </w:rPr>
        <w:t>Labeo</w:t>
      </w:r>
      <w:proofErr w:type="spellEnd"/>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rohita</w:t>
      </w:r>
      <w:proofErr w:type="spellEnd"/>
      <w:r w:rsidRPr="00733F46">
        <w:rPr>
          <w:rFonts w:ascii="Times New Roman" w:eastAsia="Times New Roman" w:hAnsi="Times New Roman" w:cs="Times New Roman"/>
          <w:sz w:val="24"/>
          <w:szCs w:val="24"/>
          <w:lang w:eastAsia="en-GB"/>
        </w:rPr>
        <w:t xml:space="preserve"> improved health status over a prolonged field trial under semi-intensive farming conditions (Rawat et al., 2022).</w:t>
      </w:r>
    </w:p>
    <w:p w14:paraId="6B21C569"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r w:rsidRPr="00733F46">
        <w:rPr>
          <w:rFonts w:ascii="Times New Roman" w:eastAsia="Times New Roman" w:hAnsi="Times New Roman" w:cs="Times New Roman"/>
          <w:sz w:val="24"/>
          <w:szCs w:val="24"/>
          <w:lang w:eastAsia="en-GB"/>
        </w:rPr>
        <w:t>Withania</w:t>
      </w:r>
      <w:proofErr w:type="spellEnd"/>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somnifera</w:t>
      </w:r>
      <w:proofErr w:type="spellEnd"/>
      <w:r w:rsidRPr="00733F46">
        <w:rPr>
          <w:rFonts w:ascii="Times New Roman" w:eastAsia="Times New Roman" w:hAnsi="Times New Roman" w:cs="Times New Roman"/>
          <w:sz w:val="24"/>
          <w:szCs w:val="24"/>
          <w:lang w:eastAsia="en-GB"/>
        </w:rPr>
        <w:t xml:space="preserve"> root powder enhanced total antioxidant capacity (TAC), superoxide dismutase (SOD), catalase (CAT) and reduced glutathione (GSH) activity in common carp serum, together with markedly improved lysozyme activity, phagocytic activity and relative percentage survival following Aeromonas </w:t>
      </w:r>
      <w:proofErr w:type="spellStart"/>
      <w:r w:rsidRPr="00733F46">
        <w:rPr>
          <w:rFonts w:ascii="Times New Roman" w:eastAsia="Times New Roman" w:hAnsi="Times New Roman" w:cs="Times New Roman"/>
          <w:sz w:val="24"/>
          <w:szCs w:val="24"/>
          <w:lang w:eastAsia="en-GB"/>
        </w:rPr>
        <w:t>hydrophila</w:t>
      </w:r>
      <w:proofErr w:type="spellEnd"/>
      <w:r w:rsidRPr="00733F46">
        <w:rPr>
          <w:rFonts w:ascii="Times New Roman" w:eastAsia="Times New Roman" w:hAnsi="Times New Roman" w:cs="Times New Roman"/>
          <w:sz w:val="24"/>
          <w:szCs w:val="24"/>
          <w:lang w:eastAsia="en-GB"/>
        </w:rPr>
        <w:t xml:space="preserve"> challenge, with the highest tested dose producing the greatest immunological benefit in this trial (Habib et al., 2024) — a finding that stands in partial contrast to the inverted-U pattern reported for several other botanicals and underscores the species- and compound-specific nature of dose-response relationships in this literature.</w:t>
      </w:r>
    </w:p>
    <w:p w14:paraId="099F37C5"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Table 2 summarises representative immunomodulatory findings. Across these studies, a consistent mechanistic thread emerges: medicinal plant </w:t>
      </w:r>
      <w:proofErr w:type="spellStart"/>
      <w:r w:rsidRPr="00733F46">
        <w:rPr>
          <w:rFonts w:ascii="Times New Roman" w:eastAsia="Times New Roman" w:hAnsi="Times New Roman" w:cs="Times New Roman"/>
          <w:sz w:val="24"/>
          <w:szCs w:val="24"/>
          <w:lang w:eastAsia="en-GB"/>
        </w:rPr>
        <w:t>bioactives</w:t>
      </w:r>
      <w:proofErr w:type="spellEnd"/>
      <w:r w:rsidRPr="00733F46">
        <w:rPr>
          <w:rFonts w:ascii="Times New Roman" w:eastAsia="Times New Roman" w:hAnsi="Times New Roman" w:cs="Times New Roman"/>
          <w:sz w:val="24"/>
          <w:szCs w:val="24"/>
          <w:lang w:eastAsia="en-GB"/>
        </w:rPr>
        <w:t xml:space="preserve"> enhance innate immune parameters (lysozyme, phagocytosis, complement) more consistently and more rapidly than adaptive immune parameters, and their protective benefit is most clearly and reproducibly demonstrated through improved survival in standardised experimental pathogen challenge, which remains the most rigorous outcome measure available in this literature.</w:t>
      </w:r>
    </w:p>
    <w:p w14:paraId="3C2B4653"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b/>
          <w:bCs/>
          <w:sz w:val="24"/>
          <w:szCs w:val="24"/>
          <w:lang w:eastAsia="en-GB"/>
        </w:rPr>
        <w:t>Table 2. Representative immunomodulatory and disease-resistance effects of medicinal plants in aquaculture species</w:t>
      </w:r>
    </w:p>
    <w:tbl>
      <w:tblPr>
        <w:tblStyle w:val="TableGrid"/>
        <w:tblW w:w="0" w:type="auto"/>
        <w:tblLook w:val="04A0" w:firstRow="1" w:lastRow="0" w:firstColumn="1" w:lastColumn="0" w:noHBand="0" w:noVBand="1"/>
      </w:tblPr>
      <w:tblGrid>
        <w:gridCol w:w="1929"/>
        <w:gridCol w:w="1461"/>
        <w:gridCol w:w="2382"/>
        <w:gridCol w:w="1988"/>
        <w:gridCol w:w="1482"/>
      </w:tblGrid>
      <w:tr w:rsidR="00733F46" w:rsidRPr="00733F46" w14:paraId="43D23302" w14:textId="77777777" w:rsidTr="00733F46">
        <w:tc>
          <w:tcPr>
            <w:tcW w:w="0" w:type="auto"/>
            <w:hideMark/>
          </w:tcPr>
          <w:p w14:paraId="6335BC1C"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Plant / Compound</w:t>
            </w:r>
          </w:p>
        </w:tc>
        <w:tc>
          <w:tcPr>
            <w:tcW w:w="0" w:type="auto"/>
            <w:hideMark/>
          </w:tcPr>
          <w:p w14:paraId="1F7E75D6"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Species</w:t>
            </w:r>
          </w:p>
        </w:tc>
        <w:tc>
          <w:tcPr>
            <w:tcW w:w="0" w:type="auto"/>
            <w:hideMark/>
          </w:tcPr>
          <w:p w14:paraId="517B494A"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Immune parameters affected</w:t>
            </w:r>
          </w:p>
        </w:tc>
        <w:tc>
          <w:tcPr>
            <w:tcW w:w="0" w:type="auto"/>
            <w:hideMark/>
          </w:tcPr>
          <w:p w14:paraId="01B77EB8"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Pathogen challenge outcome</w:t>
            </w:r>
          </w:p>
        </w:tc>
        <w:tc>
          <w:tcPr>
            <w:tcW w:w="0" w:type="auto"/>
            <w:hideMark/>
          </w:tcPr>
          <w:p w14:paraId="7784FC5B"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Source</w:t>
            </w:r>
          </w:p>
        </w:tc>
      </w:tr>
      <w:tr w:rsidR="00733F46" w:rsidRPr="00733F46" w14:paraId="66D77A31" w14:textId="77777777" w:rsidTr="00733F46">
        <w:tc>
          <w:tcPr>
            <w:tcW w:w="0" w:type="auto"/>
            <w:hideMark/>
          </w:tcPr>
          <w:p w14:paraId="71FBBF8C"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Astragalus </w:t>
            </w:r>
            <w:proofErr w:type="spellStart"/>
            <w:r w:rsidRPr="00733F46">
              <w:rPr>
                <w:rFonts w:ascii="Times New Roman" w:eastAsia="Times New Roman" w:hAnsi="Times New Roman" w:cs="Times New Roman"/>
                <w:sz w:val="24"/>
                <w:szCs w:val="24"/>
                <w:lang w:eastAsia="en-GB"/>
              </w:rPr>
              <w:t>membranaceus</w:t>
            </w:r>
            <w:proofErr w:type="spellEnd"/>
            <w:r w:rsidRPr="00733F46">
              <w:rPr>
                <w:rFonts w:ascii="Times New Roman" w:eastAsia="Times New Roman" w:hAnsi="Times New Roman" w:cs="Times New Roman"/>
                <w:sz w:val="24"/>
                <w:szCs w:val="24"/>
                <w:lang w:eastAsia="en-GB"/>
              </w:rPr>
              <w:t xml:space="preserve"> </w:t>
            </w:r>
            <w:r w:rsidRPr="00733F46">
              <w:rPr>
                <w:rFonts w:ascii="Times New Roman" w:eastAsia="Times New Roman" w:hAnsi="Times New Roman" w:cs="Times New Roman"/>
                <w:sz w:val="24"/>
                <w:szCs w:val="24"/>
                <w:lang w:eastAsia="en-GB"/>
              </w:rPr>
              <w:lastRenderedPageBreak/>
              <w:t>polysaccharide</w:t>
            </w:r>
          </w:p>
        </w:tc>
        <w:tc>
          <w:tcPr>
            <w:tcW w:w="0" w:type="auto"/>
            <w:hideMark/>
          </w:tcPr>
          <w:p w14:paraId="61F0464F"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White shrimp</w:t>
            </w:r>
          </w:p>
        </w:tc>
        <w:tc>
          <w:tcPr>
            <w:tcW w:w="0" w:type="auto"/>
            <w:hideMark/>
          </w:tcPr>
          <w:p w14:paraId="59C626A1"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Improved non-specific immunity, </w:t>
            </w:r>
            <w:r w:rsidRPr="00733F46">
              <w:rPr>
                <w:rFonts w:ascii="Times New Roman" w:eastAsia="Times New Roman" w:hAnsi="Times New Roman" w:cs="Times New Roman"/>
                <w:sz w:val="24"/>
                <w:szCs w:val="24"/>
                <w:lang w:eastAsia="en-GB"/>
              </w:rPr>
              <w:lastRenderedPageBreak/>
              <w:t>dose-dependent</w:t>
            </w:r>
          </w:p>
        </w:tc>
        <w:tc>
          <w:tcPr>
            <w:tcW w:w="0" w:type="auto"/>
            <w:hideMark/>
          </w:tcPr>
          <w:p w14:paraId="21C4D7D7"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Not challenge-tested in this trial</w:t>
            </w:r>
          </w:p>
        </w:tc>
        <w:tc>
          <w:tcPr>
            <w:tcW w:w="0" w:type="auto"/>
            <w:hideMark/>
          </w:tcPr>
          <w:p w14:paraId="1799156B"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Pu &amp; Wu (2022)</w:t>
            </w:r>
          </w:p>
        </w:tc>
      </w:tr>
      <w:tr w:rsidR="00733F46" w:rsidRPr="00733F46" w14:paraId="3EBE11CF" w14:textId="77777777" w:rsidTr="00733F46">
        <w:tc>
          <w:tcPr>
            <w:tcW w:w="0" w:type="auto"/>
            <w:hideMark/>
          </w:tcPr>
          <w:p w14:paraId="73779F36"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Fermented Moringa oleifera</w:t>
            </w:r>
          </w:p>
        </w:tc>
        <w:tc>
          <w:tcPr>
            <w:tcW w:w="0" w:type="auto"/>
            <w:hideMark/>
          </w:tcPr>
          <w:p w14:paraId="4F23CCA8"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Nile tilapia</w:t>
            </w:r>
          </w:p>
        </w:tc>
        <w:tc>
          <w:tcPr>
            <w:tcW w:w="0" w:type="auto"/>
            <w:hideMark/>
          </w:tcPr>
          <w:p w14:paraId="2B6F348E"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Phagocytic and lysozyme activity; ↑ cytokine/IgM gene expression</w:t>
            </w:r>
          </w:p>
        </w:tc>
        <w:tc>
          <w:tcPr>
            <w:tcW w:w="0" w:type="auto"/>
            <w:hideMark/>
          </w:tcPr>
          <w:p w14:paraId="643FF829"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Increased survival vs. Aeromonas </w:t>
            </w:r>
            <w:proofErr w:type="spellStart"/>
            <w:r w:rsidRPr="00733F46">
              <w:rPr>
                <w:rFonts w:ascii="Times New Roman" w:eastAsia="Times New Roman" w:hAnsi="Times New Roman" w:cs="Times New Roman"/>
                <w:sz w:val="24"/>
                <w:szCs w:val="24"/>
                <w:lang w:eastAsia="en-GB"/>
              </w:rPr>
              <w:t>hydrophila</w:t>
            </w:r>
            <w:proofErr w:type="spellEnd"/>
          </w:p>
        </w:tc>
        <w:tc>
          <w:tcPr>
            <w:tcW w:w="0" w:type="auto"/>
            <w:hideMark/>
          </w:tcPr>
          <w:p w14:paraId="05202F2A"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Nassar et al. (2024)</w:t>
            </w:r>
          </w:p>
        </w:tc>
      </w:tr>
      <w:tr w:rsidR="00733F46" w:rsidRPr="00733F46" w14:paraId="3C8C43C3" w14:textId="77777777" w:rsidTr="00733F46">
        <w:tc>
          <w:tcPr>
            <w:tcW w:w="0" w:type="auto"/>
            <w:hideMark/>
          </w:tcPr>
          <w:p w14:paraId="1CBE0AD8"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Moringa oleifera leaf extract</w:t>
            </w:r>
          </w:p>
        </w:tc>
        <w:tc>
          <w:tcPr>
            <w:tcW w:w="0" w:type="auto"/>
            <w:hideMark/>
          </w:tcPr>
          <w:p w14:paraId="41B2AF60"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Nile tilapia (pesticide-stressed)</w:t>
            </w:r>
          </w:p>
        </w:tc>
        <w:tc>
          <w:tcPr>
            <w:tcW w:w="0" w:type="auto"/>
            <w:hideMark/>
          </w:tcPr>
          <w:p w14:paraId="7EFEC479"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Restored haemato-immunological parameters</w:t>
            </w:r>
          </w:p>
        </w:tc>
        <w:tc>
          <w:tcPr>
            <w:tcW w:w="0" w:type="auto"/>
            <w:hideMark/>
          </w:tcPr>
          <w:p w14:paraId="0EC4448E"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resilience under sub-lethal toxicant stress</w:t>
            </w:r>
          </w:p>
        </w:tc>
        <w:tc>
          <w:tcPr>
            <w:tcW w:w="0" w:type="auto"/>
            <w:hideMark/>
          </w:tcPr>
          <w:p w14:paraId="1A86B2F6"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Mahmoud et al. (2022)</w:t>
            </w:r>
          </w:p>
        </w:tc>
      </w:tr>
      <w:tr w:rsidR="00733F46" w:rsidRPr="00733F46" w14:paraId="6E3199B8" w14:textId="77777777" w:rsidTr="00733F46">
        <w:tc>
          <w:tcPr>
            <w:tcW w:w="0" w:type="auto"/>
            <w:hideMark/>
          </w:tcPr>
          <w:p w14:paraId="6C1052C0"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Curcumin</w:t>
            </w:r>
          </w:p>
        </w:tc>
        <w:tc>
          <w:tcPr>
            <w:tcW w:w="0" w:type="auto"/>
            <w:hideMark/>
          </w:tcPr>
          <w:p w14:paraId="49437175"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Nile tilapia</w:t>
            </w:r>
          </w:p>
        </w:tc>
        <w:tc>
          <w:tcPr>
            <w:tcW w:w="0" w:type="auto"/>
            <w:hideMark/>
          </w:tcPr>
          <w:p w14:paraId="3B6469F3"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Proinflammatory cytokines; improved histoarchitecture</w:t>
            </w:r>
          </w:p>
        </w:tc>
        <w:tc>
          <w:tcPr>
            <w:tcW w:w="0" w:type="auto"/>
            <w:hideMark/>
          </w:tcPr>
          <w:p w14:paraId="16415DF4"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Improved survival at intermediate, not highest, dose</w:t>
            </w:r>
          </w:p>
        </w:tc>
        <w:tc>
          <w:tcPr>
            <w:tcW w:w="0" w:type="auto"/>
            <w:hideMark/>
          </w:tcPr>
          <w:p w14:paraId="64BE28D7"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Amer et al. (2022)</w:t>
            </w:r>
          </w:p>
        </w:tc>
      </w:tr>
      <w:tr w:rsidR="00733F46" w:rsidRPr="00733F46" w14:paraId="272E57BB" w14:textId="77777777" w:rsidTr="00733F46">
        <w:tc>
          <w:tcPr>
            <w:tcW w:w="0" w:type="auto"/>
            <w:hideMark/>
          </w:tcPr>
          <w:p w14:paraId="7FE30AF8"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Curcumin nanoparticles</w:t>
            </w:r>
          </w:p>
        </w:tc>
        <w:tc>
          <w:tcPr>
            <w:tcW w:w="0" w:type="auto"/>
            <w:hideMark/>
          </w:tcPr>
          <w:p w14:paraId="4428D849"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Nile tilapia fingerlings</w:t>
            </w:r>
          </w:p>
        </w:tc>
        <w:tc>
          <w:tcPr>
            <w:tcW w:w="0" w:type="auto"/>
            <w:hideMark/>
          </w:tcPr>
          <w:p w14:paraId="6DFE3CA9"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Humoral immunity; improved hepatic/intestinal histology</w:t>
            </w:r>
          </w:p>
        </w:tc>
        <w:tc>
          <w:tcPr>
            <w:tcW w:w="0" w:type="auto"/>
            <w:hideMark/>
          </w:tcPr>
          <w:p w14:paraId="4D6A1EEC"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Not directly challenge-tested</w:t>
            </w:r>
          </w:p>
        </w:tc>
        <w:tc>
          <w:tcPr>
            <w:tcW w:w="0" w:type="auto"/>
            <w:hideMark/>
          </w:tcPr>
          <w:p w14:paraId="7B312390"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Abdel-Tawwab et al. (2022)</w:t>
            </w:r>
          </w:p>
        </w:tc>
      </w:tr>
      <w:tr w:rsidR="00733F46" w:rsidRPr="00733F46" w14:paraId="774A871F" w14:textId="77777777" w:rsidTr="00733F46">
        <w:tc>
          <w:tcPr>
            <w:tcW w:w="0" w:type="auto"/>
            <w:hideMark/>
          </w:tcPr>
          <w:p w14:paraId="37E863B2"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Garlic juice processing waste</w:t>
            </w:r>
          </w:p>
        </w:tc>
        <w:tc>
          <w:tcPr>
            <w:tcW w:w="0" w:type="auto"/>
            <w:hideMark/>
          </w:tcPr>
          <w:p w14:paraId="6945776F"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Black rockfish</w:t>
            </w:r>
          </w:p>
        </w:tc>
        <w:tc>
          <w:tcPr>
            <w:tcW w:w="0" w:type="auto"/>
            <w:hideMark/>
          </w:tcPr>
          <w:p w14:paraId="2903BA03"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Digestive enzyme and antioxidant gene expression</w:t>
            </w:r>
          </w:p>
        </w:tc>
        <w:tc>
          <w:tcPr>
            <w:tcW w:w="0" w:type="auto"/>
            <w:hideMark/>
          </w:tcPr>
          <w:p w14:paraId="0F03D305"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Improved resistance against Streptococcus </w:t>
            </w:r>
            <w:proofErr w:type="spellStart"/>
            <w:r w:rsidRPr="00733F46">
              <w:rPr>
                <w:rFonts w:ascii="Times New Roman" w:eastAsia="Times New Roman" w:hAnsi="Times New Roman" w:cs="Times New Roman"/>
                <w:sz w:val="24"/>
                <w:szCs w:val="24"/>
                <w:lang w:eastAsia="en-GB"/>
              </w:rPr>
              <w:t>iniae</w:t>
            </w:r>
            <w:proofErr w:type="spellEnd"/>
          </w:p>
        </w:tc>
        <w:tc>
          <w:tcPr>
            <w:tcW w:w="0" w:type="auto"/>
            <w:hideMark/>
          </w:tcPr>
          <w:p w14:paraId="20C316B3"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Oh, Lee, Lee, Lee, Sohn, et al. (2022)</w:t>
            </w:r>
          </w:p>
        </w:tc>
      </w:tr>
      <w:tr w:rsidR="00733F46" w:rsidRPr="00733F46" w14:paraId="319A98C8" w14:textId="77777777" w:rsidTr="00733F46">
        <w:tc>
          <w:tcPr>
            <w:tcW w:w="0" w:type="auto"/>
            <w:hideMark/>
          </w:tcPr>
          <w:p w14:paraId="012EB603"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Ginger residue</w:t>
            </w:r>
          </w:p>
        </w:tc>
        <w:tc>
          <w:tcPr>
            <w:tcW w:w="0" w:type="auto"/>
            <w:hideMark/>
          </w:tcPr>
          <w:p w14:paraId="78094D67"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Black rockfish</w:t>
            </w:r>
          </w:p>
        </w:tc>
        <w:tc>
          <w:tcPr>
            <w:tcW w:w="0" w:type="auto"/>
            <w:hideMark/>
          </w:tcPr>
          <w:p w14:paraId="17EB7117"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Antioxidant enzyme activity</w:t>
            </w:r>
          </w:p>
        </w:tc>
        <w:tc>
          <w:tcPr>
            <w:tcW w:w="0" w:type="auto"/>
            <w:hideMark/>
          </w:tcPr>
          <w:p w14:paraId="3E5E4A5C"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Improved survival vs. Streptococcus </w:t>
            </w:r>
            <w:proofErr w:type="spellStart"/>
            <w:r w:rsidRPr="00733F46">
              <w:rPr>
                <w:rFonts w:ascii="Times New Roman" w:eastAsia="Times New Roman" w:hAnsi="Times New Roman" w:cs="Times New Roman"/>
                <w:sz w:val="24"/>
                <w:szCs w:val="24"/>
                <w:lang w:eastAsia="en-GB"/>
              </w:rPr>
              <w:t>iniae</w:t>
            </w:r>
            <w:proofErr w:type="spellEnd"/>
          </w:p>
        </w:tc>
        <w:tc>
          <w:tcPr>
            <w:tcW w:w="0" w:type="auto"/>
            <w:hideMark/>
          </w:tcPr>
          <w:p w14:paraId="42577E71"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Oh, Lee, Lee, Lee, Joo, et al. (2022)</w:t>
            </w:r>
          </w:p>
        </w:tc>
      </w:tr>
      <w:tr w:rsidR="00733F46" w:rsidRPr="00733F46" w14:paraId="7B2B50E5" w14:textId="77777777" w:rsidTr="00733F46">
        <w:tc>
          <w:tcPr>
            <w:tcW w:w="0" w:type="auto"/>
            <w:hideMark/>
          </w:tcPr>
          <w:p w14:paraId="12E4016F" w14:textId="77777777" w:rsidR="00733F46" w:rsidRPr="00733F46" w:rsidRDefault="00733F46" w:rsidP="000A4AA5">
            <w:pPr>
              <w:jc w:val="both"/>
              <w:rPr>
                <w:rFonts w:ascii="Times New Roman" w:eastAsia="Times New Roman" w:hAnsi="Times New Roman" w:cs="Times New Roman"/>
                <w:sz w:val="24"/>
                <w:szCs w:val="24"/>
                <w:lang w:eastAsia="en-GB"/>
              </w:rPr>
            </w:pPr>
            <w:proofErr w:type="spellStart"/>
            <w:r w:rsidRPr="00733F46">
              <w:rPr>
                <w:rFonts w:ascii="Times New Roman" w:eastAsia="Times New Roman" w:hAnsi="Times New Roman" w:cs="Times New Roman"/>
                <w:sz w:val="24"/>
                <w:szCs w:val="24"/>
                <w:lang w:eastAsia="en-GB"/>
              </w:rPr>
              <w:t>Withania</w:t>
            </w:r>
            <w:proofErr w:type="spellEnd"/>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somnifera</w:t>
            </w:r>
            <w:proofErr w:type="spellEnd"/>
            <w:r w:rsidRPr="00733F46">
              <w:rPr>
                <w:rFonts w:ascii="Times New Roman" w:eastAsia="Times New Roman" w:hAnsi="Times New Roman" w:cs="Times New Roman"/>
                <w:sz w:val="24"/>
                <w:szCs w:val="24"/>
                <w:lang w:eastAsia="en-GB"/>
              </w:rPr>
              <w:t xml:space="preserve"> root powder</w:t>
            </w:r>
          </w:p>
        </w:tc>
        <w:tc>
          <w:tcPr>
            <w:tcW w:w="0" w:type="auto"/>
            <w:hideMark/>
          </w:tcPr>
          <w:p w14:paraId="5017AB75"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Common carp</w:t>
            </w:r>
          </w:p>
        </w:tc>
        <w:tc>
          <w:tcPr>
            <w:tcW w:w="0" w:type="auto"/>
            <w:hideMark/>
          </w:tcPr>
          <w:p w14:paraId="371980D2"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TAC, SOD, CAT, GSH, lysozyme, phagocytosis</w:t>
            </w:r>
          </w:p>
        </w:tc>
        <w:tc>
          <w:tcPr>
            <w:tcW w:w="0" w:type="auto"/>
            <w:hideMark/>
          </w:tcPr>
          <w:p w14:paraId="686FBF8B"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Improved relative percentage survival vs. A. </w:t>
            </w:r>
            <w:proofErr w:type="spellStart"/>
            <w:r w:rsidRPr="00733F46">
              <w:rPr>
                <w:rFonts w:ascii="Times New Roman" w:eastAsia="Times New Roman" w:hAnsi="Times New Roman" w:cs="Times New Roman"/>
                <w:sz w:val="24"/>
                <w:szCs w:val="24"/>
                <w:lang w:eastAsia="en-GB"/>
              </w:rPr>
              <w:t>hydrophila</w:t>
            </w:r>
            <w:proofErr w:type="spellEnd"/>
          </w:p>
        </w:tc>
        <w:tc>
          <w:tcPr>
            <w:tcW w:w="0" w:type="auto"/>
            <w:hideMark/>
          </w:tcPr>
          <w:p w14:paraId="22142DBC"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Habib et al. (2024)</w:t>
            </w:r>
          </w:p>
        </w:tc>
      </w:tr>
    </w:tbl>
    <w:p w14:paraId="47CB6BF5" w14:textId="77777777" w:rsidR="00733F46" w:rsidRPr="00733F46" w:rsidRDefault="00733F46" w:rsidP="000A4AA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6. Effects on Lipid Metabolism and Hepatic Health</w:t>
      </w:r>
    </w:p>
    <w:p w14:paraId="61F97F20"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Intensive aquaculture diets are typically formulated at high energy density to maximise growth and feed conversion, a practice that predisposes farmed fish, particularly herbivorous and omnivorous cyprinids and high-lipid-diet carnivorous species, to excessive visceral and hepatic fat deposition, hepatic steatosis and associated impairment of liver function and flesh quality (Yao et al., 2020). Medicinal plants have accordingly attracted interest not only as growth promoters and immunostimulants but as lipid-regulatory agents capable of ameliorating diet-induced metabolic disturbance.</w:t>
      </w:r>
    </w:p>
    <w:p w14:paraId="3B8EE8C2"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The mechanistic foundation for this activity is well established in mammalian hepatology, where herbal medicines and isolated phytochemicals have been shown to regulate lipid accumulation through modulation of sterol regulatory element-binding protein 1c (SREBP-1c), peroxisome proliferator-activated receptor alpha (PPARα), AMP-activated protein kinase (AMPK) and sirtuin 1 (SIRT1) signalling, collectively governing the balance between hepatic lipogenesis and fatty acid β-oxidation (Li et al., 2020). These same pathways have since been documented directly in farmed fish species. Dietary supplementation with an alcoholic extract of lotus leaf reduced lipid deposition in both the hepatopancreas and skeletal muscle of juvenile grass carp, with gene expression analysis indicating parallel regulatory mechanisms operating in the two tissues, consistent with a systemic rather than organ-restricted mode of action (Yao et al., 2020).</w:t>
      </w:r>
    </w:p>
    <w:p w14:paraId="74843729"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Astragalus polysaccharide supplementation in spotted sea bass altered the expression of genes related to lipid metabolism alongside its effects on growth and physiological parameters, with the response varying across the dose range tested (Huang et al., 2023). A phytogenic supplement combining olive by-product and green tea extracts improved lipid metabolism in largemouth bass fed a high-soybean-meal diet, evidenced by reduced plasma triglyceride (TG) and low-density lipoprotein cholesterol (LDL-C) concentrations and downregulation of hepatic lipogenesis and cholesterol synthesis gene expression, alongside improved hepatic antioxidant capacity and enhanced protein retention efficiency through upregulated AKT–mTOR signalling (Liu et al., 2022).</w:t>
      </w:r>
    </w:p>
    <w:p w14:paraId="0F451430"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Comparative evidence from livestock nutrition reinforces this mechanistic picture, even where the host species differs from those farmed in aquaculture. </w:t>
      </w:r>
      <w:proofErr w:type="gramStart"/>
      <w:r w:rsidRPr="00733F46">
        <w:rPr>
          <w:rFonts w:ascii="Times New Roman" w:eastAsia="Times New Roman" w:hAnsi="Times New Roman" w:cs="Times New Roman"/>
          <w:sz w:val="24"/>
          <w:szCs w:val="24"/>
          <w:lang w:eastAsia="en-GB"/>
        </w:rPr>
        <w:t>A</w:t>
      </w:r>
      <w:proofErr w:type="gramEnd"/>
      <w:r w:rsidRPr="00733F46">
        <w:rPr>
          <w:rFonts w:ascii="Times New Roman" w:eastAsia="Times New Roman" w:hAnsi="Times New Roman" w:cs="Times New Roman"/>
          <w:sz w:val="24"/>
          <w:szCs w:val="24"/>
          <w:lang w:eastAsia="en-GB"/>
        </w:rPr>
        <w:t xml:space="preserve"> herbaceous mixture of Andrographis paniculata, Silybum marianum, </w:t>
      </w:r>
      <w:proofErr w:type="spellStart"/>
      <w:r w:rsidRPr="00733F46">
        <w:rPr>
          <w:rFonts w:ascii="Times New Roman" w:eastAsia="Times New Roman" w:hAnsi="Times New Roman" w:cs="Times New Roman"/>
          <w:sz w:val="24"/>
          <w:szCs w:val="24"/>
          <w:lang w:eastAsia="en-GB"/>
        </w:rPr>
        <w:t>Azadirachta</w:t>
      </w:r>
      <w:proofErr w:type="spellEnd"/>
      <w:r w:rsidRPr="00733F46">
        <w:rPr>
          <w:rFonts w:ascii="Times New Roman" w:eastAsia="Times New Roman" w:hAnsi="Times New Roman" w:cs="Times New Roman"/>
          <w:sz w:val="24"/>
          <w:szCs w:val="24"/>
          <w:lang w:eastAsia="en-GB"/>
        </w:rPr>
        <w:t xml:space="preserve"> indica and Ocimum </w:t>
      </w:r>
      <w:proofErr w:type="spellStart"/>
      <w:r w:rsidRPr="00733F46">
        <w:rPr>
          <w:rFonts w:ascii="Times New Roman" w:eastAsia="Times New Roman" w:hAnsi="Times New Roman" w:cs="Times New Roman"/>
          <w:sz w:val="24"/>
          <w:szCs w:val="24"/>
          <w:lang w:eastAsia="en-GB"/>
        </w:rPr>
        <w:t>basilicum</w:t>
      </w:r>
      <w:proofErr w:type="spellEnd"/>
      <w:r w:rsidRPr="00733F46">
        <w:rPr>
          <w:rFonts w:ascii="Times New Roman" w:eastAsia="Times New Roman" w:hAnsi="Times New Roman" w:cs="Times New Roman"/>
          <w:sz w:val="24"/>
          <w:szCs w:val="24"/>
          <w:lang w:eastAsia="en-GB"/>
        </w:rPr>
        <w:t xml:space="preserve"> reduced hepatic triglyceride and total cholesterol content in post-peak laying hens while upregulating hormone-sensitive lipase (HSL) and lipoprotein lipase (LPL) expression, indicating enhanced hepatic lipolysis and lipoprotein clearance as a route to reduced hepatic fat deposition (Zhu et al., 2022). While laying hens are not an aquaculture species, this finding is included here because it demonstrates, in a well-controlled livestock model, the same lipolytic-enzyme mechanism proposed to operate in fish, and it illustrates how comparative animal nutrition research can usefully inform hypotheses about mechanism in aquaculture species pending direct confirmation.</w:t>
      </w:r>
    </w:p>
    <w:p w14:paraId="68242551"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Not all reported outcomes in this domain are favourable, and the lipid-metabolic literature illustrates clearly why dose- and species-specific validation is necessary rather than uncritical extrapolation of a botanical's reputed hepatoprotective properties from one species or dosing context to another. Comparable caution is warranted regarding the mechanistic assumption, common in the narrative literature, that a single signalling axis such as AMPK or SREBP-1c operates uniformly across teleost taxa; the degree of homology and functional conservation of these pathways between mammalian and piscine hepatocytes remains incompletely characterised and represents an important area for confirmatory molecular work.</w:t>
      </w:r>
    </w:p>
    <w:p w14:paraId="4DB870E3"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Table 3 summarises the principal lipid-metabolic findings reviewed here, indicating both the mechanistic convergence across botanicals on shared regulatory nodes and the residual uncertainty regarding the conditions under which these effects generalise favourably.</w:t>
      </w:r>
    </w:p>
    <w:p w14:paraId="37CF93D9"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b/>
          <w:bCs/>
          <w:sz w:val="24"/>
          <w:szCs w:val="24"/>
          <w:lang w:eastAsia="en-GB"/>
        </w:rPr>
        <w:t>Table 3. Effects of selected medicinal plants and phytogenic compounds on lipid metabolism and hepatic health in cultured fish</w:t>
      </w:r>
    </w:p>
    <w:tbl>
      <w:tblPr>
        <w:tblStyle w:val="TableGrid"/>
        <w:tblW w:w="0" w:type="auto"/>
        <w:tblLook w:val="04A0" w:firstRow="1" w:lastRow="0" w:firstColumn="1" w:lastColumn="0" w:noHBand="0" w:noVBand="1"/>
      </w:tblPr>
      <w:tblGrid>
        <w:gridCol w:w="1976"/>
        <w:gridCol w:w="2160"/>
        <w:gridCol w:w="2724"/>
        <w:gridCol w:w="1447"/>
        <w:gridCol w:w="935"/>
      </w:tblGrid>
      <w:tr w:rsidR="00733F46" w:rsidRPr="00733F46" w14:paraId="49CC8CF2" w14:textId="77777777" w:rsidTr="00733F46">
        <w:tc>
          <w:tcPr>
            <w:tcW w:w="0" w:type="auto"/>
            <w:hideMark/>
          </w:tcPr>
          <w:p w14:paraId="3167CE70"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Plant / Compound</w:t>
            </w:r>
          </w:p>
        </w:tc>
        <w:tc>
          <w:tcPr>
            <w:tcW w:w="0" w:type="auto"/>
            <w:hideMark/>
          </w:tcPr>
          <w:p w14:paraId="76677A06"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Species</w:t>
            </w:r>
          </w:p>
        </w:tc>
        <w:tc>
          <w:tcPr>
            <w:tcW w:w="0" w:type="auto"/>
            <w:hideMark/>
          </w:tcPr>
          <w:p w14:paraId="7AC12220"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Lipid/hepatic outcome</w:t>
            </w:r>
          </w:p>
        </w:tc>
        <w:tc>
          <w:tcPr>
            <w:tcW w:w="0" w:type="auto"/>
            <w:hideMark/>
          </w:tcPr>
          <w:p w14:paraId="5E471FD5"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Proposed mechanism</w:t>
            </w:r>
          </w:p>
        </w:tc>
        <w:tc>
          <w:tcPr>
            <w:tcW w:w="0" w:type="auto"/>
            <w:hideMark/>
          </w:tcPr>
          <w:p w14:paraId="699D121B"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Source</w:t>
            </w:r>
          </w:p>
        </w:tc>
      </w:tr>
      <w:tr w:rsidR="00733F46" w:rsidRPr="00733F46" w14:paraId="41704BD9" w14:textId="77777777" w:rsidTr="00733F46">
        <w:tc>
          <w:tcPr>
            <w:tcW w:w="0" w:type="auto"/>
            <w:hideMark/>
          </w:tcPr>
          <w:p w14:paraId="4747F269"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Lotus leaf alcoholic extract</w:t>
            </w:r>
          </w:p>
        </w:tc>
        <w:tc>
          <w:tcPr>
            <w:tcW w:w="0" w:type="auto"/>
            <w:hideMark/>
          </w:tcPr>
          <w:p w14:paraId="2E2B7F76"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Grass carp (</w:t>
            </w:r>
            <w:proofErr w:type="spellStart"/>
            <w:r w:rsidRPr="00733F46">
              <w:rPr>
                <w:rFonts w:ascii="Times New Roman" w:eastAsia="Times New Roman" w:hAnsi="Times New Roman" w:cs="Times New Roman"/>
                <w:sz w:val="24"/>
                <w:szCs w:val="24"/>
                <w:lang w:eastAsia="en-GB"/>
              </w:rPr>
              <w:t>Ctenopharyngodon</w:t>
            </w:r>
            <w:proofErr w:type="spellEnd"/>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idellus</w:t>
            </w:r>
            <w:proofErr w:type="spellEnd"/>
            <w:r w:rsidRPr="00733F46">
              <w:rPr>
                <w:rFonts w:ascii="Times New Roman" w:eastAsia="Times New Roman" w:hAnsi="Times New Roman" w:cs="Times New Roman"/>
                <w:sz w:val="24"/>
                <w:szCs w:val="24"/>
                <w:lang w:eastAsia="en-GB"/>
              </w:rPr>
              <w:t>)</w:t>
            </w:r>
          </w:p>
        </w:tc>
        <w:tc>
          <w:tcPr>
            <w:tcW w:w="0" w:type="auto"/>
            <w:hideMark/>
          </w:tcPr>
          <w:p w14:paraId="55C5991F"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Reduced hepatopancreatic and muscle lipid deposition</w:t>
            </w:r>
          </w:p>
        </w:tc>
        <w:tc>
          <w:tcPr>
            <w:tcW w:w="0" w:type="auto"/>
            <w:hideMark/>
          </w:tcPr>
          <w:p w14:paraId="18903080"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Coordinated gene-expression regulation across tissues</w:t>
            </w:r>
          </w:p>
        </w:tc>
        <w:tc>
          <w:tcPr>
            <w:tcW w:w="0" w:type="auto"/>
            <w:hideMark/>
          </w:tcPr>
          <w:p w14:paraId="6EA16A1A"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Yao et al. (2020)</w:t>
            </w:r>
          </w:p>
        </w:tc>
      </w:tr>
      <w:tr w:rsidR="00733F46" w:rsidRPr="00733F46" w14:paraId="1475F80C" w14:textId="77777777" w:rsidTr="00733F46">
        <w:tc>
          <w:tcPr>
            <w:tcW w:w="0" w:type="auto"/>
            <w:hideMark/>
          </w:tcPr>
          <w:p w14:paraId="0C1AACF6"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Astragalus </w:t>
            </w:r>
            <w:proofErr w:type="spellStart"/>
            <w:r w:rsidRPr="00733F46">
              <w:rPr>
                <w:rFonts w:ascii="Times New Roman" w:eastAsia="Times New Roman" w:hAnsi="Times New Roman" w:cs="Times New Roman"/>
                <w:sz w:val="24"/>
                <w:szCs w:val="24"/>
                <w:lang w:eastAsia="en-GB"/>
              </w:rPr>
              <w:t>membranaceus</w:t>
            </w:r>
            <w:proofErr w:type="spellEnd"/>
            <w:r w:rsidRPr="00733F46">
              <w:rPr>
                <w:rFonts w:ascii="Times New Roman" w:eastAsia="Times New Roman" w:hAnsi="Times New Roman" w:cs="Times New Roman"/>
                <w:sz w:val="24"/>
                <w:szCs w:val="24"/>
                <w:lang w:eastAsia="en-GB"/>
              </w:rPr>
              <w:t xml:space="preserve"> polysaccharide</w:t>
            </w:r>
          </w:p>
        </w:tc>
        <w:tc>
          <w:tcPr>
            <w:tcW w:w="0" w:type="auto"/>
            <w:hideMark/>
          </w:tcPr>
          <w:p w14:paraId="766A06C5"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Spotted sea bass</w:t>
            </w:r>
          </w:p>
        </w:tc>
        <w:tc>
          <w:tcPr>
            <w:tcW w:w="0" w:type="auto"/>
            <w:hideMark/>
          </w:tcPr>
          <w:p w14:paraId="5C92B69D"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Dose-dependent change in expression of lipid-metabolism genes</w:t>
            </w:r>
          </w:p>
        </w:tc>
        <w:tc>
          <w:tcPr>
            <w:tcW w:w="0" w:type="auto"/>
            <w:hideMark/>
          </w:tcPr>
          <w:p w14:paraId="03749967"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Regulatory shift across tested dose range</w:t>
            </w:r>
          </w:p>
        </w:tc>
        <w:tc>
          <w:tcPr>
            <w:tcW w:w="0" w:type="auto"/>
            <w:hideMark/>
          </w:tcPr>
          <w:p w14:paraId="2B2DBB44"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Huang et al. (2023)</w:t>
            </w:r>
          </w:p>
        </w:tc>
      </w:tr>
      <w:tr w:rsidR="00733F46" w:rsidRPr="00733F46" w14:paraId="51B153BB" w14:textId="77777777" w:rsidTr="00733F46">
        <w:tc>
          <w:tcPr>
            <w:tcW w:w="0" w:type="auto"/>
            <w:hideMark/>
          </w:tcPr>
          <w:p w14:paraId="0CB99DC2"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Olive by-product + green tea phytogenic blend</w:t>
            </w:r>
          </w:p>
        </w:tc>
        <w:tc>
          <w:tcPr>
            <w:tcW w:w="0" w:type="auto"/>
            <w:hideMark/>
          </w:tcPr>
          <w:p w14:paraId="47E5D432"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Largemouth bass (Micropterus </w:t>
            </w:r>
            <w:proofErr w:type="spellStart"/>
            <w:r w:rsidRPr="00733F46">
              <w:rPr>
                <w:rFonts w:ascii="Times New Roman" w:eastAsia="Times New Roman" w:hAnsi="Times New Roman" w:cs="Times New Roman"/>
                <w:sz w:val="24"/>
                <w:szCs w:val="24"/>
                <w:lang w:eastAsia="en-GB"/>
              </w:rPr>
              <w:t>salmoides</w:t>
            </w:r>
            <w:proofErr w:type="spellEnd"/>
            <w:r w:rsidRPr="00733F46">
              <w:rPr>
                <w:rFonts w:ascii="Times New Roman" w:eastAsia="Times New Roman" w:hAnsi="Times New Roman" w:cs="Times New Roman"/>
                <w:sz w:val="24"/>
                <w:szCs w:val="24"/>
                <w:lang w:eastAsia="en-GB"/>
              </w:rPr>
              <w:t>)</w:t>
            </w:r>
          </w:p>
        </w:tc>
        <w:tc>
          <w:tcPr>
            <w:tcW w:w="0" w:type="auto"/>
            <w:hideMark/>
          </w:tcPr>
          <w:p w14:paraId="570A6F42"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Plasma TG, LDL-C; ↓ lipogenic/</w:t>
            </w:r>
            <w:proofErr w:type="spellStart"/>
            <w:r w:rsidRPr="00733F46">
              <w:rPr>
                <w:rFonts w:ascii="Times New Roman" w:eastAsia="Times New Roman" w:hAnsi="Times New Roman" w:cs="Times New Roman"/>
                <w:sz w:val="24"/>
                <w:szCs w:val="24"/>
                <w:lang w:eastAsia="en-GB"/>
              </w:rPr>
              <w:t>cholesterogenic</w:t>
            </w:r>
            <w:proofErr w:type="spellEnd"/>
            <w:r w:rsidRPr="00733F46">
              <w:rPr>
                <w:rFonts w:ascii="Times New Roman" w:eastAsia="Times New Roman" w:hAnsi="Times New Roman" w:cs="Times New Roman"/>
                <w:sz w:val="24"/>
                <w:szCs w:val="24"/>
                <w:lang w:eastAsia="en-GB"/>
              </w:rPr>
              <w:t xml:space="preserve"> gene expression</w:t>
            </w:r>
          </w:p>
        </w:tc>
        <w:tc>
          <w:tcPr>
            <w:tcW w:w="0" w:type="auto"/>
            <w:hideMark/>
          </w:tcPr>
          <w:p w14:paraId="465B22CC"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AKT–mTOR pathway activation; reduced hepatic ROS</w:t>
            </w:r>
          </w:p>
        </w:tc>
        <w:tc>
          <w:tcPr>
            <w:tcW w:w="0" w:type="auto"/>
            <w:hideMark/>
          </w:tcPr>
          <w:p w14:paraId="3152D490"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Liu et al. (2022)</w:t>
            </w:r>
          </w:p>
        </w:tc>
      </w:tr>
      <w:tr w:rsidR="00733F46" w:rsidRPr="00733F46" w14:paraId="02411F59" w14:textId="77777777" w:rsidTr="00733F46">
        <w:tc>
          <w:tcPr>
            <w:tcW w:w="0" w:type="auto"/>
            <w:hideMark/>
          </w:tcPr>
          <w:p w14:paraId="1AE60859"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Herbal medicines/natural products (general, mammalian model)</w:t>
            </w:r>
          </w:p>
        </w:tc>
        <w:tc>
          <w:tcPr>
            <w:tcW w:w="0" w:type="auto"/>
            <w:hideMark/>
          </w:tcPr>
          <w:p w14:paraId="05DB08E4"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Cross-species mechanistic synthesis</w:t>
            </w:r>
          </w:p>
        </w:tc>
        <w:tc>
          <w:tcPr>
            <w:tcW w:w="0" w:type="auto"/>
            <w:hideMark/>
          </w:tcPr>
          <w:p w14:paraId="3EF0BC0A"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Reduced hepatic steatosis</w:t>
            </w:r>
          </w:p>
        </w:tc>
        <w:tc>
          <w:tcPr>
            <w:tcW w:w="0" w:type="auto"/>
            <w:hideMark/>
          </w:tcPr>
          <w:p w14:paraId="346AA1BA"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SREBP-1c, PPARα, AMPK, SIRT1 signalling</w:t>
            </w:r>
          </w:p>
        </w:tc>
        <w:tc>
          <w:tcPr>
            <w:tcW w:w="0" w:type="auto"/>
            <w:hideMark/>
          </w:tcPr>
          <w:p w14:paraId="79CB2B18"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Li et al. (2020)</w:t>
            </w:r>
          </w:p>
        </w:tc>
      </w:tr>
      <w:tr w:rsidR="00733F46" w:rsidRPr="00733F46" w14:paraId="09917CCA" w14:textId="77777777" w:rsidTr="00733F46">
        <w:tc>
          <w:tcPr>
            <w:tcW w:w="0" w:type="auto"/>
            <w:hideMark/>
          </w:tcPr>
          <w:p w14:paraId="175C54E7"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Herbaceous mixture (Andrographis, Silybum, </w:t>
            </w:r>
            <w:proofErr w:type="spellStart"/>
            <w:r w:rsidRPr="00733F46">
              <w:rPr>
                <w:rFonts w:ascii="Times New Roman" w:eastAsia="Times New Roman" w:hAnsi="Times New Roman" w:cs="Times New Roman"/>
                <w:sz w:val="24"/>
                <w:szCs w:val="24"/>
                <w:lang w:eastAsia="en-GB"/>
              </w:rPr>
              <w:t>Azadirachta</w:t>
            </w:r>
            <w:proofErr w:type="spellEnd"/>
            <w:r w:rsidRPr="00733F46">
              <w:rPr>
                <w:rFonts w:ascii="Times New Roman" w:eastAsia="Times New Roman" w:hAnsi="Times New Roman" w:cs="Times New Roman"/>
                <w:sz w:val="24"/>
                <w:szCs w:val="24"/>
                <w:lang w:eastAsia="en-GB"/>
              </w:rPr>
              <w:t>, Ocimum)</w:t>
            </w:r>
          </w:p>
        </w:tc>
        <w:tc>
          <w:tcPr>
            <w:tcW w:w="0" w:type="auto"/>
            <w:hideMark/>
          </w:tcPr>
          <w:p w14:paraId="4C31E4E8"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Laying hens (comparative livestock model)</w:t>
            </w:r>
          </w:p>
        </w:tc>
        <w:tc>
          <w:tcPr>
            <w:tcW w:w="0" w:type="auto"/>
            <w:hideMark/>
          </w:tcPr>
          <w:p w14:paraId="31277199"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Hepatic TG and total cholesterol; ↑ HSL, LPL expression</w:t>
            </w:r>
          </w:p>
        </w:tc>
        <w:tc>
          <w:tcPr>
            <w:tcW w:w="0" w:type="auto"/>
            <w:hideMark/>
          </w:tcPr>
          <w:p w14:paraId="513DC1D7"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Enhanced lipolysis; improved lipoprotein clearance</w:t>
            </w:r>
          </w:p>
        </w:tc>
        <w:tc>
          <w:tcPr>
            <w:tcW w:w="0" w:type="auto"/>
            <w:hideMark/>
          </w:tcPr>
          <w:p w14:paraId="494224FB"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Zhu et al. (2022)</w:t>
            </w:r>
          </w:p>
        </w:tc>
      </w:tr>
    </w:tbl>
    <w:p w14:paraId="2D6D0F6D" w14:textId="77777777" w:rsidR="00733F46" w:rsidRPr="00733F46" w:rsidRDefault="00733F46" w:rsidP="000A4AA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7. Mechanisms of Action Linking Growth, Immunity and Lipid Metabolism</w:t>
      </w:r>
    </w:p>
    <w:p w14:paraId="4BF58B5C"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The three physiological outcomes considered separately above are mechanistically interconnected rather than independent, and appreciating this interdependence helps explain why individual botanicals so often produce concurrent benefits across all three domains. First, several classes of phytochemical, particularly polyphenols, flavonoids and polysaccharides, possess direct antioxidant activity that reduces oxidative stress within hepatocytes and immune cells alike; because oxidative stress simultaneously impairs digestive enzyme function, suppresses immune cell activity and promotes aberrant lipid accumulation, a single antioxidant mechanism can plausibly account for improvements across all three outcome measures (Li et al., 2020; Liu et al., 2022).</w:t>
      </w:r>
    </w:p>
    <w:p w14:paraId="25F01C32"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Second, many medicinal plant polysaccharides, including those derived from Astragalus, act as pattern-recognition-receptor ligands that engage innate immune signalling pathways, stimulating lysozyme secretion, phagocytic activity and cytokine gene transcription, while the same polysaccharide fractions can influence intestinal microbial composition and short-chain fatty acid production, thereby indirectly improving nutrient digestibility and growth performance (Pu &amp; Wu, 2022; Huang et al., 2023). Omega-3 polyunsaturated fatty acids present in some marine-derived and terrestrial oilseed-based phytogenic formulations further illustrate this convergence, modulating gut microbiota composition and intestinal immune tolerance through effects on inflammatory mediator production and short-chain fatty acid signalling (Fu et al., 2021), a mechanism directly relevant to the intestinal health outcomes reported for several of the botanicals discussed in Sections 4 and 5.</w:t>
      </w:r>
    </w:p>
    <w:p w14:paraId="0776607E"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Third, hepatic lipid-regulatory pathways such as AMPK and SIRT1 signalling are themselves modulated by cellular energy status and inflammatory tone, meaning that anti-inflammatory phytochemical activity in the liver can simultaneously improve lipid homeostasis and reduce hepatic damage that would otherwise compromise both growth efficiency and systemic immune competence (Li et al., 2020). This shared signalling architecture explains, for example, why the same Astragalus polysaccharide preparation that improves non-specific immunity in shrimp also alters lipid-metabolism gene expression in sea bass, and why a phytogenic blend selected primarily for its antioxidant properties in largemouth bass </w:t>
      </w:r>
      <w:r w:rsidRPr="00733F46">
        <w:rPr>
          <w:rFonts w:ascii="Times New Roman" w:eastAsia="Times New Roman" w:hAnsi="Times New Roman" w:cs="Times New Roman"/>
          <w:sz w:val="24"/>
          <w:szCs w:val="24"/>
          <w:lang w:eastAsia="en-GB"/>
        </w:rPr>
        <w:lastRenderedPageBreak/>
        <w:t>simultaneously improved lipid profile and protein retention through AKT–mTOR pathway engagement (Liu et al., 2022).</w:t>
      </w:r>
    </w:p>
    <w:p w14:paraId="63606955"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Table 4 consolidates the principal mechanistic pathways proposed across the reviewed literature, mapping specific plant-derived compounds to their reported molecular targets and the physiological domain most directly affected.</w:t>
      </w:r>
    </w:p>
    <w:p w14:paraId="04B5DE7D"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b/>
          <w:bCs/>
          <w:sz w:val="24"/>
          <w:szCs w:val="24"/>
          <w:lang w:eastAsia="en-GB"/>
        </w:rPr>
        <w:t>Table 4. Principal mechanistic pathways proposed for medicinal plant bioactivity in aquaculture species</w:t>
      </w:r>
    </w:p>
    <w:tbl>
      <w:tblPr>
        <w:tblStyle w:val="TableGrid"/>
        <w:tblW w:w="0" w:type="auto"/>
        <w:tblLook w:val="04A0" w:firstRow="1" w:lastRow="0" w:firstColumn="1" w:lastColumn="0" w:noHBand="0" w:noVBand="1"/>
      </w:tblPr>
      <w:tblGrid>
        <w:gridCol w:w="3106"/>
        <w:gridCol w:w="2267"/>
        <w:gridCol w:w="2312"/>
        <w:gridCol w:w="1557"/>
      </w:tblGrid>
      <w:tr w:rsidR="00733F46" w:rsidRPr="00733F46" w14:paraId="37DF22F0" w14:textId="77777777" w:rsidTr="00733F46">
        <w:tc>
          <w:tcPr>
            <w:tcW w:w="0" w:type="auto"/>
            <w:hideMark/>
          </w:tcPr>
          <w:p w14:paraId="50251782"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Molecular pathway / target</w:t>
            </w:r>
          </w:p>
        </w:tc>
        <w:tc>
          <w:tcPr>
            <w:tcW w:w="0" w:type="auto"/>
            <w:hideMark/>
          </w:tcPr>
          <w:p w14:paraId="3A03B59C"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Representative plant compound</w:t>
            </w:r>
          </w:p>
        </w:tc>
        <w:tc>
          <w:tcPr>
            <w:tcW w:w="0" w:type="auto"/>
            <w:hideMark/>
          </w:tcPr>
          <w:p w14:paraId="3B5B0447"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Physiological domain primarily affected</w:t>
            </w:r>
          </w:p>
        </w:tc>
        <w:tc>
          <w:tcPr>
            <w:tcW w:w="0" w:type="auto"/>
            <w:hideMark/>
          </w:tcPr>
          <w:p w14:paraId="2DBFF322" w14:textId="77777777" w:rsidR="00733F46" w:rsidRPr="00733F46" w:rsidRDefault="00733F46" w:rsidP="000A4AA5">
            <w:pPr>
              <w:jc w:val="both"/>
              <w:rPr>
                <w:rFonts w:ascii="Times New Roman" w:eastAsia="Times New Roman" w:hAnsi="Times New Roman" w:cs="Times New Roman"/>
                <w:b/>
                <w:bCs/>
                <w:sz w:val="24"/>
                <w:szCs w:val="24"/>
                <w:lang w:eastAsia="en-GB"/>
              </w:rPr>
            </w:pPr>
            <w:r w:rsidRPr="00733F46">
              <w:rPr>
                <w:rFonts w:ascii="Times New Roman" w:eastAsia="Times New Roman" w:hAnsi="Times New Roman" w:cs="Times New Roman"/>
                <w:b/>
                <w:bCs/>
                <w:sz w:val="24"/>
                <w:szCs w:val="24"/>
                <w:lang w:eastAsia="en-GB"/>
              </w:rPr>
              <w:t>Source</w:t>
            </w:r>
          </w:p>
        </w:tc>
      </w:tr>
      <w:tr w:rsidR="00733F46" w:rsidRPr="00733F46" w14:paraId="56AE444E" w14:textId="77777777" w:rsidTr="00733F46">
        <w:tc>
          <w:tcPr>
            <w:tcW w:w="0" w:type="auto"/>
            <w:hideMark/>
          </w:tcPr>
          <w:p w14:paraId="064C24E3"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Pattern-recognition receptor engagement; lysozyme/phagocyte activation</w:t>
            </w:r>
          </w:p>
        </w:tc>
        <w:tc>
          <w:tcPr>
            <w:tcW w:w="0" w:type="auto"/>
            <w:hideMark/>
          </w:tcPr>
          <w:p w14:paraId="322FC7D2"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Astragalus polysaccharide</w:t>
            </w:r>
          </w:p>
        </w:tc>
        <w:tc>
          <w:tcPr>
            <w:tcW w:w="0" w:type="auto"/>
            <w:hideMark/>
          </w:tcPr>
          <w:p w14:paraId="6E119555"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Innate immunity</w:t>
            </w:r>
          </w:p>
        </w:tc>
        <w:tc>
          <w:tcPr>
            <w:tcW w:w="0" w:type="auto"/>
            <w:hideMark/>
          </w:tcPr>
          <w:p w14:paraId="339ADA1C"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Pu &amp; Wu (2022)</w:t>
            </w:r>
          </w:p>
        </w:tc>
      </w:tr>
      <w:tr w:rsidR="00733F46" w:rsidRPr="00733F46" w14:paraId="2B13EFD1" w14:textId="77777777" w:rsidTr="00733F46">
        <w:tc>
          <w:tcPr>
            <w:tcW w:w="0" w:type="auto"/>
            <w:hideMark/>
          </w:tcPr>
          <w:p w14:paraId="767F3FE5"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Cytokine and immunoglobulin gene upregulation</w:t>
            </w:r>
          </w:p>
        </w:tc>
        <w:tc>
          <w:tcPr>
            <w:tcW w:w="0" w:type="auto"/>
            <w:hideMark/>
          </w:tcPr>
          <w:p w14:paraId="0AC3330C"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Fermented Moringa oleifera</w:t>
            </w:r>
          </w:p>
        </w:tc>
        <w:tc>
          <w:tcPr>
            <w:tcW w:w="0" w:type="auto"/>
            <w:hideMark/>
          </w:tcPr>
          <w:p w14:paraId="7D8A1AC3"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Adaptive/innate immunity</w:t>
            </w:r>
          </w:p>
        </w:tc>
        <w:tc>
          <w:tcPr>
            <w:tcW w:w="0" w:type="auto"/>
            <w:hideMark/>
          </w:tcPr>
          <w:p w14:paraId="3631AF04"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Nassar et al. (2024)</w:t>
            </w:r>
          </w:p>
        </w:tc>
      </w:tr>
      <w:tr w:rsidR="00733F46" w:rsidRPr="00733F46" w14:paraId="6DA87481" w14:textId="77777777" w:rsidTr="00733F46">
        <w:tc>
          <w:tcPr>
            <w:tcW w:w="0" w:type="auto"/>
            <w:hideMark/>
          </w:tcPr>
          <w:p w14:paraId="36E3E3B7"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Antioxidant enzyme induction (SOD, CAT, GSH)</w:t>
            </w:r>
          </w:p>
        </w:tc>
        <w:tc>
          <w:tcPr>
            <w:tcW w:w="0" w:type="auto"/>
            <w:hideMark/>
          </w:tcPr>
          <w:p w14:paraId="5FA3C58F"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Curcumin; </w:t>
            </w:r>
            <w:proofErr w:type="spellStart"/>
            <w:r w:rsidRPr="00733F46">
              <w:rPr>
                <w:rFonts w:ascii="Times New Roman" w:eastAsia="Times New Roman" w:hAnsi="Times New Roman" w:cs="Times New Roman"/>
                <w:sz w:val="24"/>
                <w:szCs w:val="24"/>
                <w:lang w:eastAsia="en-GB"/>
              </w:rPr>
              <w:t>Withania</w:t>
            </w:r>
            <w:proofErr w:type="spellEnd"/>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somnifera</w:t>
            </w:r>
            <w:proofErr w:type="spellEnd"/>
          </w:p>
        </w:tc>
        <w:tc>
          <w:tcPr>
            <w:tcW w:w="0" w:type="auto"/>
            <w:hideMark/>
          </w:tcPr>
          <w:p w14:paraId="28DEF63D"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Immunity and hepatic protection</w:t>
            </w:r>
          </w:p>
        </w:tc>
        <w:tc>
          <w:tcPr>
            <w:tcW w:w="0" w:type="auto"/>
            <w:hideMark/>
          </w:tcPr>
          <w:p w14:paraId="0C993C3C"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Amer et al. (2022); Habib et al. (2024)</w:t>
            </w:r>
          </w:p>
        </w:tc>
      </w:tr>
      <w:tr w:rsidR="00733F46" w:rsidRPr="00733F46" w14:paraId="64C17CD9" w14:textId="77777777" w:rsidTr="00733F46">
        <w:tc>
          <w:tcPr>
            <w:tcW w:w="0" w:type="auto"/>
            <w:hideMark/>
          </w:tcPr>
          <w:p w14:paraId="728A673B"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SREBP-1c / PPARα / AMPK / SIRT1 hepatic signalling</w:t>
            </w:r>
          </w:p>
        </w:tc>
        <w:tc>
          <w:tcPr>
            <w:tcW w:w="0" w:type="auto"/>
            <w:hideMark/>
          </w:tcPr>
          <w:p w14:paraId="42A731B4"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Polyphenolic and flavonoid extracts (general)</w:t>
            </w:r>
          </w:p>
        </w:tc>
        <w:tc>
          <w:tcPr>
            <w:tcW w:w="0" w:type="auto"/>
            <w:hideMark/>
          </w:tcPr>
          <w:p w14:paraId="232A9631"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Lipid metabolism</w:t>
            </w:r>
          </w:p>
        </w:tc>
        <w:tc>
          <w:tcPr>
            <w:tcW w:w="0" w:type="auto"/>
            <w:hideMark/>
          </w:tcPr>
          <w:p w14:paraId="33D09A70"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Li et al. (2020)</w:t>
            </w:r>
          </w:p>
        </w:tc>
      </w:tr>
      <w:tr w:rsidR="00733F46" w:rsidRPr="00733F46" w14:paraId="18736D71" w14:textId="77777777" w:rsidTr="00733F46">
        <w:tc>
          <w:tcPr>
            <w:tcW w:w="0" w:type="auto"/>
            <w:hideMark/>
          </w:tcPr>
          <w:p w14:paraId="6DDF7994"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AKT–mTOR pathway activation</w:t>
            </w:r>
          </w:p>
        </w:tc>
        <w:tc>
          <w:tcPr>
            <w:tcW w:w="0" w:type="auto"/>
            <w:hideMark/>
          </w:tcPr>
          <w:p w14:paraId="3148206C"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Olive by-product/green tea phytogenic blend</w:t>
            </w:r>
          </w:p>
        </w:tc>
        <w:tc>
          <w:tcPr>
            <w:tcW w:w="0" w:type="auto"/>
            <w:hideMark/>
          </w:tcPr>
          <w:p w14:paraId="37109A3D"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Growth (protein retention) and lipid metabolism</w:t>
            </w:r>
          </w:p>
        </w:tc>
        <w:tc>
          <w:tcPr>
            <w:tcW w:w="0" w:type="auto"/>
            <w:hideMark/>
          </w:tcPr>
          <w:p w14:paraId="12F9E92F"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Liu et al. (2022)</w:t>
            </w:r>
          </w:p>
        </w:tc>
      </w:tr>
      <w:tr w:rsidR="00733F46" w:rsidRPr="00733F46" w14:paraId="08DB2A32" w14:textId="77777777" w:rsidTr="00733F46">
        <w:tc>
          <w:tcPr>
            <w:tcW w:w="0" w:type="auto"/>
            <w:hideMark/>
          </w:tcPr>
          <w:p w14:paraId="1F3A58D3"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Gut microbiota modulation and short-chain fatty acid signalling</w:t>
            </w:r>
          </w:p>
        </w:tc>
        <w:tc>
          <w:tcPr>
            <w:tcW w:w="0" w:type="auto"/>
            <w:hideMark/>
          </w:tcPr>
          <w:p w14:paraId="1C6E6927"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Omega-3 polyunsaturated fatty acids</w:t>
            </w:r>
          </w:p>
        </w:tc>
        <w:tc>
          <w:tcPr>
            <w:tcW w:w="0" w:type="auto"/>
            <w:hideMark/>
          </w:tcPr>
          <w:p w14:paraId="52C4B01E"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Intestinal immunity and nutrient digestibility</w:t>
            </w:r>
          </w:p>
        </w:tc>
        <w:tc>
          <w:tcPr>
            <w:tcW w:w="0" w:type="auto"/>
            <w:hideMark/>
          </w:tcPr>
          <w:p w14:paraId="5EA55C84"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Fu et al. (2021)</w:t>
            </w:r>
          </w:p>
        </w:tc>
      </w:tr>
      <w:tr w:rsidR="00733F46" w:rsidRPr="00733F46" w14:paraId="08A7DB7C" w14:textId="77777777" w:rsidTr="00733F46">
        <w:tc>
          <w:tcPr>
            <w:tcW w:w="0" w:type="auto"/>
            <w:hideMark/>
          </w:tcPr>
          <w:p w14:paraId="5AEE6567"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Direct antimicrobial (organosulfur) activity</w:t>
            </w:r>
          </w:p>
        </w:tc>
        <w:tc>
          <w:tcPr>
            <w:tcW w:w="0" w:type="auto"/>
            <w:hideMark/>
          </w:tcPr>
          <w:p w14:paraId="06B504D3"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Allicin (Allium sativum)</w:t>
            </w:r>
          </w:p>
        </w:tc>
        <w:tc>
          <w:tcPr>
            <w:tcW w:w="0" w:type="auto"/>
            <w:hideMark/>
          </w:tcPr>
          <w:p w14:paraId="6986D569"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Disease resistance</w:t>
            </w:r>
          </w:p>
        </w:tc>
        <w:tc>
          <w:tcPr>
            <w:tcW w:w="0" w:type="auto"/>
            <w:hideMark/>
          </w:tcPr>
          <w:p w14:paraId="74B61746" w14:textId="77777777" w:rsidR="00733F46" w:rsidRPr="00733F46" w:rsidRDefault="00733F46" w:rsidP="000A4AA5">
            <w:pPr>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Cala Delgado et al. (2023)</w:t>
            </w:r>
          </w:p>
        </w:tc>
      </w:tr>
    </w:tbl>
    <w:p w14:paraId="2A9BCBB0" w14:textId="77777777" w:rsidR="00733F46" w:rsidRPr="00733F46" w:rsidRDefault="00733F46" w:rsidP="000A4AA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8. Dose-Response Relationships, Safety Considerations and Practical Implementation</w:t>
      </w:r>
    </w:p>
    <w:p w14:paraId="35E1D5C9"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A recurring theme across Sections 4 through 7 is the frequency with which growth-promoting, immunostimulatory and lipid-regulatory effects follow an inverted-U dose-response curve, with efficacy rising from a low baseline to a species- and compound-specific optimum before plateauing or reversing at higher inclusion levels. This pattern has been documented for Astragalus polysaccharide in shrimp, for curcumin in tilapia, and is implicit in the general caution expressed across multiple reviews that excessive medicinal plant dosing risks immunosuppression rather than continued immune enhancement (Awad &amp; Awaad, 2017; Amer et al., 2022; Pu &amp; Wu, 2022). This non-linearity carries direct practical significance: extrapolating a beneficial dose identified in one species, developmental stage or extract preparation to a different context without independent dose-titration is scientifically </w:t>
      </w:r>
      <w:r w:rsidRPr="00733F46">
        <w:rPr>
          <w:rFonts w:ascii="Times New Roman" w:eastAsia="Times New Roman" w:hAnsi="Times New Roman" w:cs="Times New Roman"/>
          <w:sz w:val="24"/>
          <w:szCs w:val="24"/>
          <w:lang w:eastAsia="en-GB"/>
        </w:rPr>
        <w:lastRenderedPageBreak/>
        <w:t>unjustified and could, in the least favourable case, produce the opposite of the intended effect.</w:t>
      </w:r>
    </w:p>
    <w:p w14:paraId="33D3585C"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A second practical consideration concerns extract standardisation. The concentration of active phytoconstituents in a given plant material varies substantially with cultivar, growing conditions, harvest timing, processing method and storage, yet few of the trials reviewed here report standardised phytochemical fingerprinting of the test material, a limitation that impairs both reproducibility across laboratories and the translation of laboratory findings into consistent commercial feed formulations. Fermentation, as demonstrated for Moringa oleifera, can materially alter bioactivity relative to the unprocessed material, indicating that processing method should be treated as an independent experimental variable rather than incidental detail (Nassar et al., 2024).</w:t>
      </w:r>
    </w:p>
    <w:p w14:paraId="4DF1A12E"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 xml:space="preserve">Third, the disease-resistance literature, while encouraging, relies overwhelmingly on experimental challenge with a single bacterial pathogen under controlled laboratory conditions, and considerably less evidence addresses efficacy against viral or parasitic pathogens, polymicrobial infection, or performance under the fluctuating water-quality and multi-stressor conditions typical of commercial farms. The field trial conducted in </w:t>
      </w:r>
      <w:proofErr w:type="spellStart"/>
      <w:r w:rsidRPr="00733F46">
        <w:rPr>
          <w:rFonts w:ascii="Times New Roman" w:eastAsia="Times New Roman" w:hAnsi="Times New Roman" w:cs="Times New Roman"/>
          <w:sz w:val="24"/>
          <w:szCs w:val="24"/>
          <w:lang w:eastAsia="en-GB"/>
        </w:rPr>
        <w:t>Labeo</w:t>
      </w:r>
      <w:proofErr w:type="spellEnd"/>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rohita</w:t>
      </w:r>
      <w:proofErr w:type="spellEnd"/>
      <w:r w:rsidRPr="00733F46">
        <w:rPr>
          <w:rFonts w:ascii="Times New Roman" w:eastAsia="Times New Roman" w:hAnsi="Times New Roman" w:cs="Times New Roman"/>
          <w:sz w:val="24"/>
          <w:szCs w:val="24"/>
          <w:lang w:eastAsia="en-GB"/>
        </w:rPr>
        <w:t xml:space="preserve"> over one hundred and twenty days under semi-intensive conditions is a valuable exception and illustrates the feasibility, though not yet the routine practice, of validating laboratory findings at production scale (Rawat et al., 2022).</w:t>
      </w:r>
    </w:p>
    <w:p w14:paraId="49C140CB"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Finally, economic and logistical barriers remain underexplored in the primary literature reviewed here. Several of the botanicals discussed, including garlic and ginger juice-processing residues, are agricultural by-products with the practical advantage of low marginal cost and reduced waste, a consideration likely to influence commercial adoption more strongly than incremental gains in growth or immune parameters alone (Oh, Lee, Lee, Lee, Joo, et al., 2022; Oh, Lee, Lee, Lee, Sohn, et al., 2022).</w:t>
      </w:r>
    </w:p>
    <w:p w14:paraId="15DF98D8" w14:textId="77777777" w:rsidR="00733F46" w:rsidRPr="00733F46" w:rsidRDefault="00733F46" w:rsidP="000A4AA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9. Future Directions</w:t>
      </w:r>
    </w:p>
    <w:p w14:paraId="3DF75BED"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Future research in this field would benefit from several specific developments. Standardised phytochemical characterisation of test materials, including quantification of principal bioactive constituents, should become a minimum reporting requirement rather than an optional addition, enabling meaningful comparison across studies using nominally the same plant species. Dose-titration studies designed explicitly to characterise the full shape of the response curve, rather than comparing a small number of arbitrarily chosen inclusion levels, would allow more precise identification of species-specific optimal doses and safety margins. Greater use of multi-stressor and polymicrobial challenge models, alongside extended field trials under commercial rearing conditions, would strengthen the practical relevance of laboratory findings. Molecular studies directly confirming the conservation and functional equivalence of mammalian-derived signalling pathways such as SREBP-1c, PPARα, AMPK and SIRT1 in teleost and crustacean hepatic and hepatopancreatic tissue would place the proposed lipid-metabolic mechanisms on firmer footing. Finally, integration of nanoencapsulation, fermentation and other bioavailability-enhancing processing techniques into standard experimental design, rather than as isolated proof-of-concept studies, would help clarify whether such techniques offer a general route to lower effective inclusion levels across botanicals, with corresponding economic and formulation benefits.</w:t>
      </w:r>
    </w:p>
    <w:p w14:paraId="558E7B8C" w14:textId="77777777" w:rsidR="00733F46" w:rsidRPr="00733F46" w:rsidRDefault="00733F46" w:rsidP="000A4AA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10. Conclusions</w:t>
      </w:r>
    </w:p>
    <w:p w14:paraId="56268BA4" w14:textId="77777777" w:rsidR="00733F46" w:rsidRP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lastRenderedPageBreak/>
        <w:t xml:space="preserve">Medicinal plants exert reproducible, biologically plausible and mechanistically interconnected effects on growth performance, immune function and lipid metabolism across a diverse range of farmed finfish and crustacean species, offering a scientifically credible complement or alternative to antibiotic use in aquaculture feed formulation. Botanicals including Astragalus </w:t>
      </w:r>
      <w:proofErr w:type="spellStart"/>
      <w:r w:rsidRPr="00733F46">
        <w:rPr>
          <w:rFonts w:ascii="Times New Roman" w:eastAsia="Times New Roman" w:hAnsi="Times New Roman" w:cs="Times New Roman"/>
          <w:sz w:val="24"/>
          <w:szCs w:val="24"/>
          <w:lang w:eastAsia="en-GB"/>
        </w:rPr>
        <w:t>membranaceus</w:t>
      </w:r>
      <w:proofErr w:type="spellEnd"/>
      <w:r w:rsidRPr="00733F46">
        <w:rPr>
          <w:rFonts w:ascii="Times New Roman" w:eastAsia="Times New Roman" w:hAnsi="Times New Roman" w:cs="Times New Roman"/>
          <w:sz w:val="24"/>
          <w:szCs w:val="24"/>
          <w:lang w:eastAsia="en-GB"/>
        </w:rPr>
        <w:t xml:space="preserve">, Moringa oleifera, Curcuma longa, Allium sativum, Zingiber officinale and </w:t>
      </w:r>
      <w:proofErr w:type="spellStart"/>
      <w:r w:rsidRPr="00733F46">
        <w:rPr>
          <w:rFonts w:ascii="Times New Roman" w:eastAsia="Times New Roman" w:hAnsi="Times New Roman" w:cs="Times New Roman"/>
          <w:sz w:val="24"/>
          <w:szCs w:val="24"/>
          <w:lang w:eastAsia="en-GB"/>
        </w:rPr>
        <w:t>Withania</w:t>
      </w:r>
      <w:proofErr w:type="spellEnd"/>
      <w:r w:rsidRPr="00733F46">
        <w:rPr>
          <w:rFonts w:ascii="Times New Roman" w:eastAsia="Times New Roman" w:hAnsi="Times New Roman" w:cs="Times New Roman"/>
          <w:sz w:val="24"/>
          <w:szCs w:val="24"/>
          <w:lang w:eastAsia="en-GB"/>
        </w:rPr>
        <w:t xml:space="preserve"> </w:t>
      </w:r>
      <w:proofErr w:type="spellStart"/>
      <w:r w:rsidRPr="00733F46">
        <w:rPr>
          <w:rFonts w:ascii="Times New Roman" w:eastAsia="Times New Roman" w:hAnsi="Times New Roman" w:cs="Times New Roman"/>
          <w:sz w:val="24"/>
          <w:szCs w:val="24"/>
          <w:lang w:eastAsia="en-GB"/>
        </w:rPr>
        <w:t>somnifera</w:t>
      </w:r>
      <w:proofErr w:type="spellEnd"/>
      <w:r w:rsidRPr="00733F46">
        <w:rPr>
          <w:rFonts w:ascii="Times New Roman" w:eastAsia="Times New Roman" w:hAnsi="Times New Roman" w:cs="Times New Roman"/>
          <w:sz w:val="24"/>
          <w:szCs w:val="24"/>
          <w:lang w:eastAsia="en-GB"/>
        </w:rPr>
        <w:t xml:space="preserve"> consistently improve weight gain and feed efficiency, enhance innate immune parameters and survival following experimental pathogen challenge, and, in several documented cases, favourably regulate hepatic lipogenic and lipolytic gene expression. These benefits converge on shared antioxidant, anti-inflammatory and metabolic signalling mechanisms that link the three outcome domains rather than operating through independent pathways. The evidence base is nonetheless characterised by pronounced dose-dependency, meaningful species specificity, and reliance on laboratory-scale trials with limited standardisation of plant material, all of which currently constrain confident, generalisable recommendations for commercial feed formulation. Continued investment in dose-optimisation, extract standardisation and field-scale validation is warranted before medicinal plants can be routinely and reliably incorporated into sustainable aquafeed strategies at commercial scale.</w:t>
      </w:r>
    </w:p>
    <w:p w14:paraId="1FC7EDFE" w14:textId="77777777" w:rsidR="00733F46" w:rsidRPr="00733F46" w:rsidRDefault="00733F46" w:rsidP="000A4AA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11. Limitations</w:t>
      </w:r>
    </w:p>
    <w:p w14:paraId="5401F3D4" w14:textId="77777777" w:rsidR="00733F46" w:rsidRDefault="00733F46"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33F46">
        <w:rPr>
          <w:rFonts w:ascii="Times New Roman" w:eastAsia="Times New Roman" w:hAnsi="Times New Roman" w:cs="Times New Roman"/>
          <w:sz w:val="24"/>
          <w:szCs w:val="24"/>
          <w:lang w:eastAsia="en-GB"/>
        </w:rPr>
        <w:t>This review is subject to several limitations. The narrative rather than systematic design, while appropriate to the integrative aim of the paper, does not permit formal quantitative synthesis or meta-analytic effect-size estimation, and the selection and emphasis of individual studies, though guided by explicit inclusion criteria, retains an element of author judgement. The literature search, although conducted across multiple databases, was restricted to English-language publications, which may have excluded relevant findings published in other languages, particularly from regions with substantial aquaculture research output. The evidence synthesised here is drawn predominantly from controlled laboratory trials of comparatively short duration, and conclusions regarding long-term safety, cumulative dietary effects, and performance under full commercial production conditions should be regarded as provisional. Finally, the mechanistic discussion in Section 7 draws in part on pathways characterised primarily in mammalian hepatocytes, and their direct applicability to fish and crustacean physiology, while biologically plausible, awaits fuller confirmation in aquatic species.</w:t>
      </w:r>
    </w:p>
    <w:p w14:paraId="69F3DB96" w14:textId="77777777" w:rsidR="00274BD4" w:rsidRDefault="00274BD4"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4B3C05F3" w14:textId="77777777" w:rsidR="00274BD4" w:rsidRPr="00C04DA0" w:rsidRDefault="00274BD4" w:rsidP="000A4AA5">
      <w:pPr>
        <w:spacing w:after="0" w:line="240" w:lineRule="auto"/>
        <w:jc w:val="both"/>
        <w:rPr>
          <w:rFonts w:ascii="Times New Roman" w:eastAsia="Calibri" w:hAnsi="Times New Roman" w:cs="Times New Roman"/>
          <w:b/>
        </w:rPr>
      </w:pPr>
      <w:r w:rsidRPr="00C04DA0">
        <w:rPr>
          <w:rFonts w:ascii="Times New Roman" w:eastAsia="Calibri" w:hAnsi="Times New Roman" w:cs="Times New Roman"/>
          <w:b/>
        </w:rPr>
        <w:t>Declaration of AI Use</w:t>
      </w:r>
    </w:p>
    <w:p w14:paraId="58BD09CD" w14:textId="77777777" w:rsidR="00274BD4" w:rsidRPr="00C04DA0" w:rsidRDefault="00274BD4" w:rsidP="000A4AA5">
      <w:pPr>
        <w:spacing w:after="0" w:line="240" w:lineRule="auto"/>
        <w:jc w:val="both"/>
        <w:rPr>
          <w:rFonts w:ascii="Times New Roman" w:eastAsia="Calibri" w:hAnsi="Times New Roman" w:cs="Times New Roman"/>
        </w:rPr>
      </w:pPr>
    </w:p>
    <w:p w14:paraId="672DE519" w14:textId="77777777" w:rsidR="00274BD4" w:rsidRDefault="00274BD4" w:rsidP="000A4AA5">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6BAD1F0" w14:textId="77777777" w:rsidR="00274BD4" w:rsidRDefault="00274BD4" w:rsidP="000A4AA5">
      <w:pPr>
        <w:spacing w:after="0" w:line="240" w:lineRule="auto"/>
        <w:jc w:val="both"/>
        <w:rPr>
          <w:rFonts w:ascii="Times New Roman" w:eastAsia="Calibri" w:hAnsi="Times New Roman" w:cs="Times New Roman"/>
        </w:rPr>
      </w:pPr>
    </w:p>
    <w:p w14:paraId="2814C692" w14:textId="77777777" w:rsidR="00274BD4" w:rsidRDefault="00274BD4" w:rsidP="000A4AA5">
      <w:pPr>
        <w:spacing w:after="0" w:line="240" w:lineRule="auto"/>
        <w:jc w:val="both"/>
        <w:rPr>
          <w:rFonts w:ascii="Times New Roman" w:eastAsia="Calibri" w:hAnsi="Times New Roman" w:cs="Times New Roman"/>
        </w:rPr>
      </w:pPr>
    </w:p>
    <w:p w14:paraId="40129579" w14:textId="77777777" w:rsidR="00274BD4" w:rsidRPr="00FA067A" w:rsidRDefault="00274BD4" w:rsidP="000A4AA5">
      <w:pPr>
        <w:jc w:val="both"/>
        <w:rPr>
          <w:rFonts w:ascii="Arial" w:eastAsiaTheme="minorEastAsia" w:hAnsi="Arial" w:cs="Arial"/>
          <w:b/>
          <w:bCs/>
          <w:lang w:eastAsia="en-GB"/>
        </w:rPr>
      </w:pPr>
      <w:r w:rsidRPr="00FA067A">
        <w:rPr>
          <w:rFonts w:ascii="Arial" w:eastAsiaTheme="minorEastAsia" w:hAnsi="Arial" w:cs="Arial"/>
          <w:b/>
          <w:bCs/>
          <w:lang w:eastAsia="en-GB"/>
        </w:rPr>
        <w:t>COMPETING INTERESTS DISCLAIMER:</w:t>
      </w:r>
    </w:p>
    <w:p w14:paraId="23FD12E8" w14:textId="77777777" w:rsidR="00274BD4" w:rsidRPr="00FA067A" w:rsidRDefault="00274BD4" w:rsidP="000A4AA5">
      <w:pPr>
        <w:jc w:val="both"/>
        <w:rPr>
          <w:rFonts w:eastAsiaTheme="minorEastAsia"/>
          <w:lang w:eastAsia="en-GB"/>
        </w:rPr>
      </w:pPr>
      <w:r w:rsidRPr="00FA067A">
        <w:rPr>
          <w:rFonts w:ascii="Arial" w:eastAsiaTheme="minorEastAsia" w:hAnsi="Arial" w:cs="Arial"/>
          <w:lang w:eastAsia="en-GB"/>
        </w:rPr>
        <w:lastRenderedPageBreak/>
        <w:t>Authors have declared that they have no known competing financial interests OR non-financial interests OR personal relationships that could have appeared to influence the work reported in this paper.</w:t>
      </w:r>
    </w:p>
    <w:p w14:paraId="3ECB20DA" w14:textId="77777777" w:rsidR="00274BD4" w:rsidRPr="00733F46" w:rsidRDefault="00274BD4" w:rsidP="000A4AA5">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11B82B7B" w14:textId="77777777" w:rsidR="00733F46" w:rsidRPr="00733F46" w:rsidRDefault="00733F46" w:rsidP="000A4AA5">
      <w:pPr>
        <w:spacing w:after="0" w:line="240" w:lineRule="auto"/>
        <w:jc w:val="both"/>
        <w:rPr>
          <w:rFonts w:ascii="Times New Roman" w:eastAsia="Times New Roman" w:hAnsi="Times New Roman" w:cs="Times New Roman"/>
          <w:sz w:val="24"/>
          <w:szCs w:val="24"/>
          <w:lang w:eastAsia="en-GB"/>
        </w:rPr>
      </w:pPr>
    </w:p>
    <w:p w14:paraId="6168D0D1" w14:textId="77777777" w:rsidR="00733F46" w:rsidRDefault="00733F46" w:rsidP="000A4AA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33F46">
        <w:rPr>
          <w:rFonts w:ascii="Times New Roman" w:eastAsia="Times New Roman" w:hAnsi="Times New Roman" w:cs="Times New Roman"/>
          <w:b/>
          <w:bCs/>
          <w:sz w:val="27"/>
          <w:szCs w:val="27"/>
          <w:lang w:eastAsia="en-GB"/>
        </w:rPr>
        <w:t>References</w:t>
      </w:r>
    </w:p>
    <w:p w14:paraId="22C56F72"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Abdel-Tawwab, M., Eissa, E.-S. H., Tawfik, W. A., Abd Elnabi, H. E., </w:t>
      </w:r>
      <w:proofErr w:type="spellStart"/>
      <w:r w:rsidRPr="00F05F81">
        <w:rPr>
          <w:rFonts w:ascii="Times New Roman" w:eastAsia="Times New Roman" w:hAnsi="Times New Roman" w:cs="Times New Roman"/>
          <w:sz w:val="24"/>
          <w:szCs w:val="24"/>
          <w:lang w:val="en-US"/>
        </w:rPr>
        <w:t>Saadony</w:t>
      </w:r>
      <w:proofErr w:type="spellEnd"/>
      <w:r w:rsidRPr="00F05F81">
        <w:rPr>
          <w:rFonts w:ascii="Times New Roman" w:eastAsia="Times New Roman" w:hAnsi="Times New Roman" w:cs="Times New Roman"/>
          <w:sz w:val="24"/>
          <w:szCs w:val="24"/>
          <w:lang w:val="en-US"/>
        </w:rPr>
        <w:t xml:space="preserve">, S., </w:t>
      </w:r>
      <w:proofErr w:type="spellStart"/>
      <w:r w:rsidRPr="00F05F81">
        <w:rPr>
          <w:rFonts w:ascii="Times New Roman" w:eastAsia="Times New Roman" w:hAnsi="Times New Roman" w:cs="Times New Roman"/>
          <w:sz w:val="24"/>
          <w:szCs w:val="24"/>
          <w:lang w:val="en-US"/>
        </w:rPr>
        <w:t>Bazina</w:t>
      </w:r>
      <w:proofErr w:type="spellEnd"/>
      <w:r w:rsidRPr="00F05F81">
        <w:rPr>
          <w:rFonts w:ascii="Times New Roman" w:eastAsia="Times New Roman" w:hAnsi="Times New Roman" w:cs="Times New Roman"/>
          <w:sz w:val="24"/>
          <w:szCs w:val="24"/>
          <w:lang w:val="en-US"/>
        </w:rPr>
        <w:t xml:space="preserve">, W. K., &amp; Ahmed, R. A. (2022). Dietary curcumin nanoparticles promoted the performance, antioxidant activity, and humoral immunity, and modulated the hepatic and intestinal histology of Nile tilapia fingerlings. </w:t>
      </w:r>
      <w:r w:rsidRPr="00F05F81">
        <w:rPr>
          <w:rFonts w:ascii="Times New Roman" w:eastAsia="Times New Roman" w:hAnsi="Times New Roman" w:cs="Times New Roman"/>
          <w:i/>
          <w:iCs/>
          <w:sz w:val="24"/>
          <w:szCs w:val="24"/>
          <w:lang w:val="en-US"/>
        </w:rPr>
        <w:t>Fish Physiology and Biochemistry, 48</w:t>
      </w:r>
      <w:r w:rsidRPr="00F05F81">
        <w:rPr>
          <w:rFonts w:ascii="Times New Roman" w:eastAsia="Times New Roman" w:hAnsi="Times New Roman" w:cs="Times New Roman"/>
          <w:sz w:val="24"/>
          <w:szCs w:val="24"/>
          <w:lang w:val="en-US"/>
        </w:rPr>
        <w:t xml:space="preserve">(3), 585–601. </w:t>
      </w:r>
      <w:hyperlink r:id="rId6" w:tgtFrame="_new" w:history="1">
        <w:r w:rsidRPr="00F05F81">
          <w:rPr>
            <w:rFonts w:ascii="Times New Roman" w:eastAsia="Times New Roman" w:hAnsi="Times New Roman" w:cs="Times New Roman"/>
            <w:color w:val="0000FF"/>
            <w:sz w:val="24"/>
            <w:szCs w:val="24"/>
            <w:u w:val="single"/>
            <w:lang w:val="en-US"/>
          </w:rPr>
          <w:t>https://doi.org/10.1007/s10695-022-01066-4</w:t>
        </w:r>
      </w:hyperlink>
      <w:r w:rsidRPr="00F05F81">
        <w:rPr>
          <w:rFonts w:ascii="Times New Roman" w:eastAsia="Times New Roman" w:hAnsi="Times New Roman" w:cs="Times New Roman"/>
          <w:sz w:val="24"/>
          <w:szCs w:val="24"/>
          <w:lang w:val="en-US"/>
        </w:rPr>
        <w:br/>
      </w:r>
    </w:p>
    <w:p w14:paraId="0B513E5C"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Afroze, S., Faisal, M., Khan, M. N. A., &amp; Barua, H. (2025). A comprehensive review of antibiotics and antimicrobial resistance in the aquaculture sector of the world and Bangladesh. </w:t>
      </w:r>
      <w:r w:rsidRPr="00F05F81">
        <w:rPr>
          <w:rFonts w:ascii="Times New Roman" w:eastAsia="Times New Roman" w:hAnsi="Times New Roman" w:cs="Times New Roman"/>
          <w:i/>
          <w:iCs/>
          <w:sz w:val="24"/>
          <w:szCs w:val="24"/>
          <w:lang w:val="en-US"/>
        </w:rPr>
        <w:t>International Journal of Microbiology, 2025</w:t>
      </w:r>
      <w:r w:rsidRPr="00F05F81">
        <w:rPr>
          <w:rFonts w:ascii="Times New Roman" w:eastAsia="Times New Roman" w:hAnsi="Times New Roman" w:cs="Times New Roman"/>
          <w:sz w:val="24"/>
          <w:szCs w:val="24"/>
          <w:lang w:val="en-US"/>
        </w:rPr>
        <w:t xml:space="preserve">, Article 8818516. </w:t>
      </w:r>
      <w:hyperlink r:id="rId7" w:tgtFrame="_new" w:history="1">
        <w:r w:rsidRPr="00F05F81">
          <w:rPr>
            <w:rFonts w:ascii="Times New Roman" w:eastAsia="Times New Roman" w:hAnsi="Times New Roman" w:cs="Times New Roman"/>
            <w:color w:val="0000FF"/>
            <w:sz w:val="24"/>
            <w:szCs w:val="24"/>
            <w:u w:val="single"/>
            <w:lang w:val="en-US"/>
          </w:rPr>
          <w:t>https://doi.org/10.1155/ijm/8818516</w:t>
        </w:r>
      </w:hyperlink>
      <w:r w:rsidRPr="00F05F81">
        <w:rPr>
          <w:rFonts w:ascii="Times New Roman" w:eastAsia="Times New Roman" w:hAnsi="Times New Roman" w:cs="Times New Roman"/>
          <w:sz w:val="24"/>
          <w:szCs w:val="24"/>
          <w:lang w:val="en-US"/>
        </w:rPr>
        <w:br/>
      </w:r>
    </w:p>
    <w:p w14:paraId="46D21003"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Amer, S. A., El-Araby, D. A., </w:t>
      </w:r>
      <w:proofErr w:type="spellStart"/>
      <w:r w:rsidRPr="00F05F81">
        <w:rPr>
          <w:rFonts w:ascii="Times New Roman" w:eastAsia="Times New Roman" w:hAnsi="Times New Roman" w:cs="Times New Roman"/>
          <w:sz w:val="24"/>
          <w:szCs w:val="24"/>
          <w:lang w:val="en-US"/>
        </w:rPr>
        <w:t>Tartor</w:t>
      </w:r>
      <w:proofErr w:type="spellEnd"/>
      <w:r w:rsidRPr="00F05F81">
        <w:rPr>
          <w:rFonts w:ascii="Times New Roman" w:eastAsia="Times New Roman" w:hAnsi="Times New Roman" w:cs="Times New Roman"/>
          <w:sz w:val="24"/>
          <w:szCs w:val="24"/>
          <w:lang w:val="en-US"/>
        </w:rPr>
        <w:t>, H., Farahat, M., Goda, N. I. A., Farag, M. F. M., Fahmy, E. M., Hassan, A. M., Abo El-</w:t>
      </w:r>
      <w:proofErr w:type="spellStart"/>
      <w:r w:rsidRPr="00F05F81">
        <w:rPr>
          <w:rFonts w:ascii="Times New Roman" w:eastAsia="Times New Roman" w:hAnsi="Times New Roman" w:cs="Times New Roman"/>
          <w:sz w:val="24"/>
          <w:szCs w:val="24"/>
          <w:lang w:val="en-US"/>
        </w:rPr>
        <w:t>Maati</w:t>
      </w:r>
      <w:proofErr w:type="spellEnd"/>
      <w:r w:rsidRPr="00F05F81">
        <w:rPr>
          <w:rFonts w:ascii="Times New Roman" w:eastAsia="Times New Roman" w:hAnsi="Times New Roman" w:cs="Times New Roman"/>
          <w:sz w:val="24"/>
          <w:szCs w:val="24"/>
          <w:lang w:val="en-US"/>
        </w:rPr>
        <w:t xml:space="preserve">, M. F., &amp; Osman, A. (2022). Long-term feeding with curcumin affects the growth, antioxidant capacity, immune status, tissue histoarchitecture, immune expression of proinflammatory cytokines, and apoptosis indicators in Nile tilapia, </w:t>
      </w:r>
      <w:r w:rsidRPr="00F05F81">
        <w:rPr>
          <w:rFonts w:ascii="Times New Roman" w:eastAsia="Times New Roman" w:hAnsi="Times New Roman" w:cs="Times New Roman"/>
          <w:i/>
          <w:iCs/>
          <w:sz w:val="24"/>
          <w:szCs w:val="24"/>
          <w:lang w:val="en-US"/>
        </w:rPr>
        <w:t>Oreochromis niloticus</w:t>
      </w:r>
      <w:r w:rsidRPr="00F05F81">
        <w:rPr>
          <w:rFonts w:ascii="Times New Roman" w:eastAsia="Times New Roman" w:hAnsi="Times New Roman" w:cs="Times New Roman"/>
          <w:sz w:val="24"/>
          <w:szCs w:val="24"/>
          <w:lang w:val="en-US"/>
        </w:rPr>
        <w:t xml:space="preserve">. </w:t>
      </w:r>
      <w:r w:rsidRPr="00F05F81">
        <w:rPr>
          <w:rFonts w:ascii="Times New Roman" w:eastAsia="Times New Roman" w:hAnsi="Times New Roman" w:cs="Times New Roman"/>
          <w:i/>
          <w:iCs/>
          <w:sz w:val="24"/>
          <w:szCs w:val="24"/>
          <w:lang w:val="en-US"/>
        </w:rPr>
        <w:t>Antioxidants, 11</w:t>
      </w:r>
      <w:r w:rsidRPr="00F05F81">
        <w:rPr>
          <w:rFonts w:ascii="Times New Roman" w:eastAsia="Times New Roman" w:hAnsi="Times New Roman" w:cs="Times New Roman"/>
          <w:sz w:val="24"/>
          <w:szCs w:val="24"/>
          <w:lang w:val="en-US"/>
        </w:rPr>
        <w:t xml:space="preserve">(5), Article 937. </w:t>
      </w:r>
      <w:hyperlink r:id="rId8" w:tgtFrame="_new" w:history="1">
        <w:r w:rsidRPr="00F05F81">
          <w:rPr>
            <w:rFonts w:ascii="Times New Roman" w:eastAsia="Times New Roman" w:hAnsi="Times New Roman" w:cs="Times New Roman"/>
            <w:color w:val="0000FF"/>
            <w:sz w:val="24"/>
            <w:szCs w:val="24"/>
            <w:u w:val="single"/>
            <w:lang w:val="en-US"/>
          </w:rPr>
          <w:t>https://doi.org/10.3390/antiox11050937</w:t>
        </w:r>
      </w:hyperlink>
      <w:r w:rsidRPr="00F05F81">
        <w:rPr>
          <w:rFonts w:ascii="Times New Roman" w:eastAsia="Times New Roman" w:hAnsi="Times New Roman" w:cs="Times New Roman"/>
          <w:sz w:val="24"/>
          <w:szCs w:val="24"/>
          <w:lang w:val="en-US"/>
        </w:rPr>
        <w:br/>
      </w:r>
    </w:p>
    <w:p w14:paraId="03BD0C99"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Awad, E. (2025). The role of natural products on the immune status of freshwater fish. </w:t>
      </w:r>
      <w:r w:rsidRPr="00F05F81">
        <w:rPr>
          <w:rFonts w:ascii="Times New Roman" w:eastAsia="Times New Roman" w:hAnsi="Times New Roman" w:cs="Times New Roman"/>
          <w:i/>
          <w:iCs/>
          <w:sz w:val="24"/>
          <w:szCs w:val="24"/>
          <w:lang w:val="en-US"/>
        </w:rPr>
        <w:t>Aquaculture International, 33</w:t>
      </w:r>
      <w:r w:rsidRPr="00F05F81">
        <w:rPr>
          <w:rFonts w:ascii="Times New Roman" w:eastAsia="Times New Roman" w:hAnsi="Times New Roman" w:cs="Times New Roman"/>
          <w:sz w:val="24"/>
          <w:szCs w:val="24"/>
          <w:lang w:val="en-US"/>
        </w:rPr>
        <w:t xml:space="preserve">, Article 396. </w:t>
      </w:r>
      <w:hyperlink r:id="rId9" w:tgtFrame="_new" w:history="1">
        <w:r w:rsidRPr="00F05F81">
          <w:rPr>
            <w:rFonts w:ascii="Times New Roman" w:eastAsia="Times New Roman" w:hAnsi="Times New Roman" w:cs="Times New Roman"/>
            <w:color w:val="0000FF"/>
            <w:sz w:val="24"/>
            <w:szCs w:val="24"/>
            <w:u w:val="single"/>
            <w:lang w:val="en-US"/>
          </w:rPr>
          <w:t>https://doi.org/10.1007/s10499-025-02035-3</w:t>
        </w:r>
      </w:hyperlink>
      <w:r w:rsidRPr="00F05F81">
        <w:rPr>
          <w:rFonts w:ascii="Times New Roman" w:eastAsia="Times New Roman" w:hAnsi="Times New Roman" w:cs="Times New Roman"/>
          <w:sz w:val="24"/>
          <w:szCs w:val="24"/>
          <w:lang w:val="en-US"/>
        </w:rPr>
        <w:br/>
      </w:r>
    </w:p>
    <w:p w14:paraId="06990454"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Awad, E., &amp; Awaad, A. (2017). Role of medicinal plants on growth performance and immune status in fish. </w:t>
      </w:r>
      <w:r w:rsidRPr="00F05F81">
        <w:rPr>
          <w:rFonts w:ascii="Times New Roman" w:eastAsia="Times New Roman" w:hAnsi="Times New Roman" w:cs="Times New Roman"/>
          <w:i/>
          <w:iCs/>
          <w:sz w:val="24"/>
          <w:szCs w:val="24"/>
          <w:lang w:val="en-US"/>
        </w:rPr>
        <w:t>Fish &amp; Shellfish Immunology, 67</w:t>
      </w:r>
      <w:r w:rsidRPr="00F05F81">
        <w:rPr>
          <w:rFonts w:ascii="Times New Roman" w:eastAsia="Times New Roman" w:hAnsi="Times New Roman" w:cs="Times New Roman"/>
          <w:sz w:val="24"/>
          <w:szCs w:val="24"/>
          <w:lang w:val="en-US"/>
        </w:rPr>
        <w:t xml:space="preserve">, 40–54. </w:t>
      </w:r>
      <w:hyperlink r:id="rId10" w:tgtFrame="_new" w:history="1">
        <w:r w:rsidRPr="00F05F81">
          <w:rPr>
            <w:rFonts w:ascii="Times New Roman" w:eastAsia="Times New Roman" w:hAnsi="Times New Roman" w:cs="Times New Roman"/>
            <w:color w:val="0000FF"/>
            <w:sz w:val="24"/>
            <w:szCs w:val="24"/>
            <w:u w:val="single"/>
            <w:lang w:val="en-US"/>
          </w:rPr>
          <w:t>https://doi.org/10.1016/j.fsi.2017.05.034</w:t>
        </w:r>
      </w:hyperlink>
      <w:r w:rsidRPr="00F05F81">
        <w:rPr>
          <w:rFonts w:ascii="Times New Roman" w:eastAsia="Times New Roman" w:hAnsi="Times New Roman" w:cs="Times New Roman"/>
          <w:sz w:val="24"/>
          <w:szCs w:val="24"/>
          <w:lang w:val="en-US"/>
        </w:rPr>
        <w:br/>
      </w:r>
    </w:p>
    <w:p w14:paraId="3747CD94"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F05F81">
        <w:rPr>
          <w:rFonts w:ascii="Times New Roman" w:eastAsia="Times New Roman" w:hAnsi="Times New Roman" w:cs="Times New Roman"/>
          <w:sz w:val="24"/>
          <w:szCs w:val="24"/>
          <w:lang w:val="en-US"/>
        </w:rPr>
        <w:t>Baethge</w:t>
      </w:r>
      <w:proofErr w:type="spellEnd"/>
      <w:r w:rsidRPr="00F05F81">
        <w:rPr>
          <w:rFonts w:ascii="Times New Roman" w:eastAsia="Times New Roman" w:hAnsi="Times New Roman" w:cs="Times New Roman"/>
          <w:sz w:val="24"/>
          <w:szCs w:val="24"/>
          <w:lang w:val="en-US"/>
        </w:rPr>
        <w:t xml:space="preserve">, C., Goldbeck-Wood, S., &amp; Mertens, S. (2019). SANRA—a scale for the quality assessment of narrative review articles. </w:t>
      </w:r>
      <w:r w:rsidRPr="00F05F81">
        <w:rPr>
          <w:rFonts w:ascii="Times New Roman" w:eastAsia="Times New Roman" w:hAnsi="Times New Roman" w:cs="Times New Roman"/>
          <w:i/>
          <w:iCs/>
          <w:sz w:val="24"/>
          <w:szCs w:val="24"/>
          <w:lang w:val="en-US"/>
        </w:rPr>
        <w:t>Research Integrity and Peer Review, 4</w:t>
      </w:r>
      <w:r w:rsidRPr="00F05F81">
        <w:rPr>
          <w:rFonts w:ascii="Times New Roman" w:eastAsia="Times New Roman" w:hAnsi="Times New Roman" w:cs="Times New Roman"/>
          <w:sz w:val="24"/>
          <w:szCs w:val="24"/>
          <w:lang w:val="en-US"/>
        </w:rPr>
        <w:t xml:space="preserve">, Article 5. </w:t>
      </w:r>
      <w:hyperlink r:id="rId11" w:tgtFrame="_new" w:history="1">
        <w:r w:rsidRPr="00F05F81">
          <w:rPr>
            <w:rFonts w:ascii="Times New Roman" w:eastAsia="Times New Roman" w:hAnsi="Times New Roman" w:cs="Times New Roman"/>
            <w:color w:val="0000FF"/>
            <w:sz w:val="24"/>
            <w:szCs w:val="24"/>
            <w:u w:val="single"/>
            <w:lang w:val="en-US"/>
          </w:rPr>
          <w:t>https://doi.org/10.1186/s41073-019-0064-8</w:t>
        </w:r>
      </w:hyperlink>
      <w:r w:rsidRPr="00F05F81">
        <w:rPr>
          <w:rFonts w:ascii="Times New Roman" w:eastAsia="Times New Roman" w:hAnsi="Times New Roman" w:cs="Times New Roman"/>
          <w:sz w:val="24"/>
          <w:szCs w:val="24"/>
          <w:lang w:val="en-US"/>
        </w:rPr>
        <w:br/>
      </w:r>
    </w:p>
    <w:p w14:paraId="58A6700B"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Cala Delgado, D. L., Castillo Caceres, L. L., Cely Gómez, S. A., &amp; Domínguez Odio, A. (2023). Effect of dietary garlic (</w:t>
      </w:r>
      <w:r w:rsidRPr="00F05F81">
        <w:rPr>
          <w:rFonts w:ascii="Times New Roman" w:eastAsia="Times New Roman" w:hAnsi="Times New Roman" w:cs="Times New Roman"/>
          <w:i/>
          <w:iCs/>
          <w:sz w:val="24"/>
          <w:szCs w:val="24"/>
          <w:lang w:val="en-US"/>
        </w:rPr>
        <w:t>Allium sativum</w:t>
      </w:r>
      <w:r w:rsidRPr="00F05F81">
        <w:rPr>
          <w:rFonts w:ascii="Times New Roman" w:eastAsia="Times New Roman" w:hAnsi="Times New Roman" w:cs="Times New Roman"/>
          <w:sz w:val="24"/>
          <w:szCs w:val="24"/>
          <w:lang w:val="en-US"/>
        </w:rPr>
        <w:t xml:space="preserve">) on the zootechnical performance and health indicators of aquatic animals: A mini-review. </w:t>
      </w:r>
      <w:r w:rsidRPr="00F05F81">
        <w:rPr>
          <w:rFonts w:ascii="Times New Roman" w:eastAsia="Times New Roman" w:hAnsi="Times New Roman" w:cs="Times New Roman"/>
          <w:i/>
          <w:iCs/>
          <w:sz w:val="24"/>
          <w:szCs w:val="24"/>
          <w:lang w:val="en-US"/>
        </w:rPr>
        <w:t>Veterinary World, 16</w:t>
      </w:r>
      <w:r w:rsidRPr="00F05F81">
        <w:rPr>
          <w:rFonts w:ascii="Times New Roman" w:eastAsia="Times New Roman" w:hAnsi="Times New Roman" w:cs="Times New Roman"/>
          <w:sz w:val="24"/>
          <w:szCs w:val="24"/>
          <w:lang w:val="en-US"/>
        </w:rPr>
        <w:t xml:space="preserve">(5), 965–976. </w:t>
      </w:r>
      <w:hyperlink r:id="rId12" w:tgtFrame="_new" w:history="1">
        <w:r w:rsidRPr="00F05F81">
          <w:rPr>
            <w:rFonts w:ascii="Times New Roman" w:eastAsia="Times New Roman" w:hAnsi="Times New Roman" w:cs="Times New Roman"/>
            <w:color w:val="0000FF"/>
            <w:sz w:val="24"/>
            <w:szCs w:val="24"/>
            <w:u w:val="single"/>
            <w:lang w:val="en-US"/>
          </w:rPr>
          <w:t>https://doi.org/10.14202/vetworld.2023.965-976</w:t>
        </w:r>
      </w:hyperlink>
      <w:r w:rsidRPr="00F05F81">
        <w:rPr>
          <w:rFonts w:ascii="Times New Roman" w:eastAsia="Times New Roman" w:hAnsi="Times New Roman" w:cs="Times New Roman"/>
          <w:sz w:val="24"/>
          <w:szCs w:val="24"/>
          <w:lang w:val="en-US"/>
        </w:rPr>
        <w:br/>
      </w:r>
    </w:p>
    <w:p w14:paraId="04254891"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F05F81">
        <w:rPr>
          <w:rFonts w:ascii="Times New Roman" w:eastAsia="Times New Roman" w:hAnsi="Times New Roman" w:cs="Times New Roman"/>
          <w:sz w:val="24"/>
          <w:szCs w:val="24"/>
          <w:lang w:val="en-US"/>
        </w:rPr>
        <w:lastRenderedPageBreak/>
        <w:t>Dadras</w:t>
      </w:r>
      <w:proofErr w:type="spellEnd"/>
      <w:r w:rsidRPr="00F05F81">
        <w:rPr>
          <w:rFonts w:ascii="Times New Roman" w:eastAsia="Times New Roman" w:hAnsi="Times New Roman" w:cs="Times New Roman"/>
          <w:sz w:val="24"/>
          <w:szCs w:val="24"/>
          <w:lang w:val="en-US"/>
        </w:rPr>
        <w:t xml:space="preserve">, F., Velisek, J., &amp; </w:t>
      </w:r>
      <w:proofErr w:type="spellStart"/>
      <w:r w:rsidRPr="00F05F81">
        <w:rPr>
          <w:rFonts w:ascii="Times New Roman" w:eastAsia="Times New Roman" w:hAnsi="Times New Roman" w:cs="Times New Roman"/>
          <w:sz w:val="24"/>
          <w:szCs w:val="24"/>
          <w:lang w:val="en-US"/>
        </w:rPr>
        <w:t>Zuskova</w:t>
      </w:r>
      <w:proofErr w:type="spellEnd"/>
      <w:r w:rsidRPr="00F05F81">
        <w:rPr>
          <w:rFonts w:ascii="Times New Roman" w:eastAsia="Times New Roman" w:hAnsi="Times New Roman" w:cs="Times New Roman"/>
          <w:sz w:val="24"/>
          <w:szCs w:val="24"/>
          <w:lang w:val="en-US"/>
        </w:rPr>
        <w:t xml:space="preserve">, E. (2023). An update about beneficial effects of medicinal plants in aquaculture: A review. </w:t>
      </w:r>
      <w:proofErr w:type="spellStart"/>
      <w:r w:rsidRPr="00F05F81">
        <w:rPr>
          <w:rFonts w:ascii="Times New Roman" w:eastAsia="Times New Roman" w:hAnsi="Times New Roman" w:cs="Times New Roman"/>
          <w:i/>
          <w:iCs/>
          <w:sz w:val="24"/>
          <w:szCs w:val="24"/>
          <w:lang w:val="en-US"/>
        </w:rPr>
        <w:t>Veterinární</w:t>
      </w:r>
      <w:proofErr w:type="spellEnd"/>
      <w:r w:rsidRPr="00F05F81">
        <w:rPr>
          <w:rFonts w:ascii="Times New Roman" w:eastAsia="Times New Roman" w:hAnsi="Times New Roman" w:cs="Times New Roman"/>
          <w:i/>
          <w:iCs/>
          <w:sz w:val="24"/>
          <w:szCs w:val="24"/>
          <w:lang w:val="en-US"/>
        </w:rPr>
        <w:t xml:space="preserve"> </w:t>
      </w:r>
      <w:proofErr w:type="spellStart"/>
      <w:r w:rsidRPr="00F05F81">
        <w:rPr>
          <w:rFonts w:ascii="Times New Roman" w:eastAsia="Times New Roman" w:hAnsi="Times New Roman" w:cs="Times New Roman"/>
          <w:i/>
          <w:iCs/>
          <w:sz w:val="24"/>
          <w:szCs w:val="24"/>
          <w:lang w:val="en-US"/>
        </w:rPr>
        <w:t>Medicína</w:t>
      </w:r>
      <w:proofErr w:type="spellEnd"/>
      <w:r w:rsidRPr="00F05F81">
        <w:rPr>
          <w:rFonts w:ascii="Times New Roman" w:eastAsia="Times New Roman" w:hAnsi="Times New Roman" w:cs="Times New Roman"/>
          <w:i/>
          <w:iCs/>
          <w:sz w:val="24"/>
          <w:szCs w:val="24"/>
          <w:lang w:val="en-US"/>
        </w:rPr>
        <w:t>, 68</w:t>
      </w:r>
      <w:r w:rsidRPr="00F05F81">
        <w:rPr>
          <w:rFonts w:ascii="Times New Roman" w:eastAsia="Times New Roman" w:hAnsi="Times New Roman" w:cs="Times New Roman"/>
          <w:sz w:val="24"/>
          <w:szCs w:val="24"/>
          <w:lang w:val="en-US"/>
        </w:rPr>
        <w:t xml:space="preserve">(12), 449–463. </w:t>
      </w:r>
      <w:hyperlink r:id="rId13" w:tgtFrame="_new" w:history="1">
        <w:r w:rsidRPr="00F05F81">
          <w:rPr>
            <w:rFonts w:ascii="Times New Roman" w:eastAsia="Times New Roman" w:hAnsi="Times New Roman" w:cs="Times New Roman"/>
            <w:color w:val="0000FF"/>
            <w:sz w:val="24"/>
            <w:szCs w:val="24"/>
            <w:u w:val="single"/>
            <w:lang w:val="en-US"/>
          </w:rPr>
          <w:t>https://doi.org/10.17221/96/2023-VETMED</w:t>
        </w:r>
      </w:hyperlink>
      <w:r w:rsidRPr="00F05F81">
        <w:rPr>
          <w:rFonts w:ascii="Times New Roman" w:eastAsia="Times New Roman" w:hAnsi="Times New Roman" w:cs="Times New Roman"/>
          <w:sz w:val="24"/>
          <w:szCs w:val="24"/>
          <w:lang w:val="en-US"/>
        </w:rPr>
        <w:br/>
      </w:r>
    </w:p>
    <w:p w14:paraId="255D8BBD"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Food and Agriculture Organization of the United Nations. (2024). </w:t>
      </w:r>
      <w:r w:rsidRPr="00F05F81">
        <w:rPr>
          <w:rFonts w:ascii="Times New Roman" w:eastAsia="Times New Roman" w:hAnsi="Times New Roman" w:cs="Times New Roman"/>
          <w:i/>
          <w:iCs/>
          <w:sz w:val="24"/>
          <w:szCs w:val="24"/>
          <w:lang w:val="en-US"/>
        </w:rPr>
        <w:t>The state of world fisheries and aquaculture 2024: Blue transformation in action</w:t>
      </w:r>
      <w:r w:rsidRPr="00F05F81">
        <w:rPr>
          <w:rFonts w:ascii="Times New Roman" w:eastAsia="Times New Roman" w:hAnsi="Times New Roman" w:cs="Times New Roman"/>
          <w:sz w:val="24"/>
          <w:szCs w:val="24"/>
          <w:lang w:val="en-US"/>
        </w:rPr>
        <w:t xml:space="preserve">. </w:t>
      </w:r>
      <w:hyperlink r:id="rId14" w:tgtFrame="_new" w:history="1">
        <w:r w:rsidRPr="00F05F81">
          <w:rPr>
            <w:rFonts w:ascii="Times New Roman" w:eastAsia="Times New Roman" w:hAnsi="Times New Roman" w:cs="Times New Roman"/>
            <w:color w:val="0000FF"/>
            <w:sz w:val="24"/>
            <w:szCs w:val="24"/>
            <w:u w:val="single"/>
            <w:lang w:val="en-US"/>
          </w:rPr>
          <w:t>https://doi.org/10.4060/cd0683en</w:t>
        </w:r>
      </w:hyperlink>
      <w:r w:rsidRPr="00F05F81">
        <w:rPr>
          <w:rFonts w:ascii="Times New Roman" w:eastAsia="Times New Roman" w:hAnsi="Times New Roman" w:cs="Times New Roman"/>
          <w:sz w:val="24"/>
          <w:szCs w:val="24"/>
          <w:lang w:val="en-US"/>
        </w:rPr>
        <w:br/>
      </w:r>
    </w:p>
    <w:p w14:paraId="10C699D2"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Fu, Y., Wang, Y., Gao, H., Li, D., Jiang, R., Ge, L., Tong, C., &amp; Xu, K. (2021). Associations among dietary omega-3 polyunsaturated fatty acids, the gut microbiota, and intestinal immunity. </w:t>
      </w:r>
      <w:r w:rsidRPr="00F05F81">
        <w:rPr>
          <w:rFonts w:ascii="Times New Roman" w:eastAsia="Times New Roman" w:hAnsi="Times New Roman" w:cs="Times New Roman"/>
          <w:i/>
          <w:iCs/>
          <w:sz w:val="24"/>
          <w:szCs w:val="24"/>
          <w:lang w:val="en-US"/>
        </w:rPr>
        <w:t>Mediators of Inflammation, 2021</w:t>
      </w:r>
      <w:r w:rsidRPr="00F05F81">
        <w:rPr>
          <w:rFonts w:ascii="Times New Roman" w:eastAsia="Times New Roman" w:hAnsi="Times New Roman" w:cs="Times New Roman"/>
          <w:sz w:val="24"/>
          <w:szCs w:val="24"/>
          <w:lang w:val="en-US"/>
        </w:rPr>
        <w:t xml:space="preserve">, Article 8879227. </w:t>
      </w:r>
      <w:hyperlink r:id="rId15" w:tgtFrame="_new" w:history="1">
        <w:r w:rsidRPr="00F05F81">
          <w:rPr>
            <w:rFonts w:ascii="Times New Roman" w:eastAsia="Times New Roman" w:hAnsi="Times New Roman" w:cs="Times New Roman"/>
            <w:color w:val="0000FF"/>
            <w:sz w:val="24"/>
            <w:szCs w:val="24"/>
            <w:u w:val="single"/>
            <w:lang w:val="en-US"/>
          </w:rPr>
          <w:t>https://doi.org/10.1155/2021/8879227</w:t>
        </w:r>
      </w:hyperlink>
      <w:r w:rsidRPr="00F05F81">
        <w:rPr>
          <w:rFonts w:ascii="Times New Roman" w:eastAsia="Times New Roman" w:hAnsi="Times New Roman" w:cs="Times New Roman"/>
          <w:sz w:val="24"/>
          <w:szCs w:val="24"/>
          <w:lang w:val="en-US"/>
        </w:rPr>
        <w:br/>
      </w:r>
    </w:p>
    <w:p w14:paraId="2E07BDB2"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Habib, S. S., Saeed, M. Q., Masud, S., </w:t>
      </w:r>
      <w:proofErr w:type="spellStart"/>
      <w:r w:rsidRPr="00F05F81">
        <w:rPr>
          <w:rFonts w:ascii="Times New Roman" w:eastAsia="Times New Roman" w:hAnsi="Times New Roman" w:cs="Times New Roman"/>
          <w:sz w:val="24"/>
          <w:szCs w:val="24"/>
          <w:lang w:val="en-US"/>
        </w:rPr>
        <w:t>Kesbiç</w:t>
      </w:r>
      <w:proofErr w:type="spellEnd"/>
      <w:r w:rsidRPr="00F05F81">
        <w:rPr>
          <w:rFonts w:ascii="Times New Roman" w:eastAsia="Times New Roman" w:hAnsi="Times New Roman" w:cs="Times New Roman"/>
          <w:sz w:val="24"/>
          <w:szCs w:val="24"/>
          <w:lang w:val="en-US"/>
        </w:rPr>
        <w:t xml:space="preserve">, O. S., </w:t>
      </w:r>
      <w:proofErr w:type="spellStart"/>
      <w:r w:rsidRPr="00F05F81">
        <w:rPr>
          <w:rFonts w:ascii="Times New Roman" w:eastAsia="Times New Roman" w:hAnsi="Times New Roman" w:cs="Times New Roman"/>
          <w:sz w:val="24"/>
          <w:szCs w:val="24"/>
          <w:lang w:val="en-US"/>
        </w:rPr>
        <w:t>Ujan</w:t>
      </w:r>
      <w:proofErr w:type="spellEnd"/>
      <w:r w:rsidRPr="00F05F81">
        <w:rPr>
          <w:rFonts w:ascii="Times New Roman" w:eastAsia="Times New Roman" w:hAnsi="Times New Roman" w:cs="Times New Roman"/>
          <w:sz w:val="24"/>
          <w:szCs w:val="24"/>
          <w:lang w:val="en-US"/>
        </w:rPr>
        <w:t xml:space="preserve">, J. A., </w:t>
      </w:r>
      <w:proofErr w:type="spellStart"/>
      <w:r w:rsidRPr="00F05F81">
        <w:rPr>
          <w:rFonts w:ascii="Times New Roman" w:eastAsia="Times New Roman" w:hAnsi="Times New Roman" w:cs="Times New Roman"/>
          <w:sz w:val="24"/>
          <w:szCs w:val="24"/>
          <w:lang w:val="en-US"/>
        </w:rPr>
        <w:t>Cravana</w:t>
      </w:r>
      <w:proofErr w:type="spellEnd"/>
      <w:r w:rsidRPr="00F05F81">
        <w:rPr>
          <w:rFonts w:ascii="Times New Roman" w:eastAsia="Times New Roman" w:hAnsi="Times New Roman" w:cs="Times New Roman"/>
          <w:sz w:val="24"/>
          <w:szCs w:val="24"/>
          <w:lang w:val="en-US"/>
        </w:rPr>
        <w:t xml:space="preserve">, C., Al-Rejaie, S. S., Mohany, M., &amp; Fazio, F. (2024). Dietary effect of </w:t>
      </w:r>
      <w:proofErr w:type="spellStart"/>
      <w:r w:rsidRPr="00F05F81">
        <w:rPr>
          <w:rFonts w:ascii="Times New Roman" w:eastAsia="Times New Roman" w:hAnsi="Times New Roman" w:cs="Times New Roman"/>
          <w:i/>
          <w:iCs/>
          <w:sz w:val="24"/>
          <w:szCs w:val="24"/>
          <w:lang w:val="en-US"/>
        </w:rPr>
        <w:t>Withania</w:t>
      </w:r>
      <w:proofErr w:type="spellEnd"/>
      <w:r w:rsidRPr="00F05F81">
        <w:rPr>
          <w:rFonts w:ascii="Times New Roman" w:eastAsia="Times New Roman" w:hAnsi="Times New Roman" w:cs="Times New Roman"/>
          <w:i/>
          <w:iCs/>
          <w:sz w:val="24"/>
          <w:szCs w:val="24"/>
          <w:lang w:val="en-US"/>
        </w:rPr>
        <w:t xml:space="preserve"> </w:t>
      </w:r>
      <w:proofErr w:type="spellStart"/>
      <w:r w:rsidRPr="00F05F81">
        <w:rPr>
          <w:rFonts w:ascii="Times New Roman" w:eastAsia="Times New Roman" w:hAnsi="Times New Roman" w:cs="Times New Roman"/>
          <w:i/>
          <w:iCs/>
          <w:sz w:val="24"/>
          <w:szCs w:val="24"/>
          <w:lang w:val="en-US"/>
        </w:rPr>
        <w:t>somnifera</w:t>
      </w:r>
      <w:proofErr w:type="spellEnd"/>
      <w:r w:rsidRPr="00F05F81">
        <w:rPr>
          <w:rFonts w:ascii="Times New Roman" w:eastAsia="Times New Roman" w:hAnsi="Times New Roman" w:cs="Times New Roman"/>
          <w:sz w:val="24"/>
          <w:szCs w:val="24"/>
          <w:lang w:val="en-US"/>
        </w:rPr>
        <w:t xml:space="preserve"> root powder on growth, hematobiochemical parameters, immunity, and disease resistance to </w:t>
      </w:r>
      <w:r w:rsidRPr="00F05F81">
        <w:rPr>
          <w:rFonts w:ascii="Times New Roman" w:eastAsia="Times New Roman" w:hAnsi="Times New Roman" w:cs="Times New Roman"/>
          <w:i/>
          <w:iCs/>
          <w:sz w:val="24"/>
          <w:szCs w:val="24"/>
          <w:lang w:val="en-US"/>
        </w:rPr>
        <w:t xml:space="preserve">Aeromonas </w:t>
      </w:r>
      <w:proofErr w:type="spellStart"/>
      <w:r w:rsidRPr="00F05F81">
        <w:rPr>
          <w:rFonts w:ascii="Times New Roman" w:eastAsia="Times New Roman" w:hAnsi="Times New Roman" w:cs="Times New Roman"/>
          <w:i/>
          <w:iCs/>
          <w:sz w:val="24"/>
          <w:szCs w:val="24"/>
          <w:lang w:val="en-US"/>
        </w:rPr>
        <w:t>hydrophila</w:t>
      </w:r>
      <w:proofErr w:type="spellEnd"/>
      <w:r w:rsidRPr="00F05F81">
        <w:rPr>
          <w:rFonts w:ascii="Times New Roman" w:eastAsia="Times New Roman" w:hAnsi="Times New Roman" w:cs="Times New Roman"/>
          <w:sz w:val="24"/>
          <w:szCs w:val="24"/>
          <w:lang w:val="en-US"/>
        </w:rPr>
        <w:t xml:space="preserve"> in </w:t>
      </w:r>
      <w:r w:rsidRPr="00F05F81">
        <w:rPr>
          <w:rFonts w:ascii="Times New Roman" w:eastAsia="Times New Roman" w:hAnsi="Times New Roman" w:cs="Times New Roman"/>
          <w:i/>
          <w:iCs/>
          <w:sz w:val="24"/>
          <w:szCs w:val="24"/>
          <w:lang w:val="en-US"/>
        </w:rPr>
        <w:t>Cyprinus carpio</w:t>
      </w:r>
      <w:r w:rsidRPr="00F05F81">
        <w:rPr>
          <w:rFonts w:ascii="Times New Roman" w:eastAsia="Times New Roman" w:hAnsi="Times New Roman" w:cs="Times New Roman"/>
          <w:sz w:val="24"/>
          <w:szCs w:val="24"/>
          <w:lang w:val="en-US"/>
        </w:rPr>
        <w:t xml:space="preserve">. </w:t>
      </w:r>
      <w:r w:rsidRPr="00F05F81">
        <w:rPr>
          <w:rFonts w:ascii="Times New Roman" w:eastAsia="Times New Roman" w:hAnsi="Times New Roman" w:cs="Times New Roman"/>
          <w:i/>
          <w:iCs/>
          <w:sz w:val="24"/>
          <w:szCs w:val="24"/>
          <w:lang w:val="en-US"/>
        </w:rPr>
        <w:t>Aquaculture Nutrition, 2024</w:t>
      </w:r>
      <w:r w:rsidRPr="00F05F81">
        <w:rPr>
          <w:rFonts w:ascii="Times New Roman" w:eastAsia="Times New Roman" w:hAnsi="Times New Roman" w:cs="Times New Roman"/>
          <w:sz w:val="24"/>
          <w:szCs w:val="24"/>
          <w:lang w:val="en-US"/>
        </w:rPr>
        <w:t xml:space="preserve">, Article 7321287. </w:t>
      </w:r>
      <w:hyperlink r:id="rId16" w:tgtFrame="_new" w:history="1">
        <w:r w:rsidRPr="00F05F81">
          <w:rPr>
            <w:rFonts w:ascii="Times New Roman" w:eastAsia="Times New Roman" w:hAnsi="Times New Roman" w:cs="Times New Roman"/>
            <w:color w:val="0000FF"/>
            <w:sz w:val="24"/>
            <w:szCs w:val="24"/>
            <w:u w:val="single"/>
            <w:lang w:val="en-US"/>
          </w:rPr>
          <w:t>https://doi.org/10.1155/2024/7321287</w:t>
        </w:r>
      </w:hyperlink>
      <w:r w:rsidRPr="00F05F81">
        <w:rPr>
          <w:rFonts w:ascii="Times New Roman" w:eastAsia="Times New Roman" w:hAnsi="Times New Roman" w:cs="Times New Roman"/>
          <w:sz w:val="24"/>
          <w:szCs w:val="24"/>
          <w:lang w:val="en-US"/>
        </w:rPr>
        <w:br/>
      </w:r>
    </w:p>
    <w:p w14:paraId="7A05162D"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Huang, Z., Ye, Y., Xu, A., &amp; Li, Z. (2023). Effects of </w:t>
      </w:r>
      <w:r w:rsidRPr="00F05F81">
        <w:rPr>
          <w:rFonts w:ascii="Times New Roman" w:eastAsia="Times New Roman" w:hAnsi="Times New Roman" w:cs="Times New Roman"/>
          <w:i/>
          <w:iCs/>
          <w:sz w:val="24"/>
          <w:szCs w:val="24"/>
          <w:lang w:val="en-US"/>
        </w:rPr>
        <w:t xml:space="preserve">Astragalus </w:t>
      </w:r>
      <w:proofErr w:type="spellStart"/>
      <w:r w:rsidRPr="00F05F81">
        <w:rPr>
          <w:rFonts w:ascii="Times New Roman" w:eastAsia="Times New Roman" w:hAnsi="Times New Roman" w:cs="Times New Roman"/>
          <w:i/>
          <w:iCs/>
          <w:sz w:val="24"/>
          <w:szCs w:val="24"/>
          <w:lang w:val="en-US"/>
        </w:rPr>
        <w:t>membranaceus</w:t>
      </w:r>
      <w:proofErr w:type="spellEnd"/>
      <w:r w:rsidRPr="00F05F81">
        <w:rPr>
          <w:rFonts w:ascii="Times New Roman" w:eastAsia="Times New Roman" w:hAnsi="Times New Roman" w:cs="Times New Roman"/>
          <w:sz w:val="24"/>
          <w:szCs w:val="24"/>
          <w:lang w:val="en-US"/>
        </w:rPr>
        <w:t xml:space="preserve"> polysaccharides on growth performance, physiological and biochemical parameters, and expression of genes related to lipid metabolism of spotted sea bass, </w:t>
      </w:r>
      <w:proofErr w:type="spellStart"/>
      <w:r w:rsidRPr="00F05F81">
        <w:rPr>
          <w:rFonts w:ascii="Times New Roman" w:eastAsia="Times New Roman" w:hAnsi="Times New Roman" w:cs="Times New Roman"/>
          <w:i/>
          <w:iCs/>
          <w:sz w:val="24"/>
          <w:szCs w:val="24"/>
          <w:lang w:val="en-US"/>
        </w:rPr>
        <w:t>Lateolabrax</w:t>
      </w:r>
      <w:proofErr w:type="spellEnd"/>
      <w:r w:rsidRPr="00F05F81">
        <w:rPr>
          <w:rFonts w:ascii="Times New Roman" w:eastAsia="Times New Roman" w:hAnsi="Times New Roman" w:cs="Times New Roman"/>
          <w:i/>
          <w:iCs/>
          <w:sz w:val="24"/>
          <w:szCs w:val="24"/>
          <w:lang w:val="en-US"/>
        </w:rPr>
        <w:t xml:space="preserve"> maculatus</w:t>
      </w:r>
      <w:r w:rsidRPr="00F05F81">
        <w:rPr>
          <w:rFonts w:ascii="Times New Roman" w:eastAsia="Times New Roman" w:hAnsi="Times New Roman" w:cs="Times New Roman"/>
          <w:sz w:val="24"/>
          <w:szCs w:val="24"/>
          <w:lang w:val="en-US"/>
        </w:rPr>
        <w:t xml:space="preserve">. </w:t>
      </w:r>
      <w:r w:rsidRPr="00F05F81">
        <w:rPr>
          <w:rFonts w:ascii="Times New Roman" w:eastAsia="Times New Roman" w:hAnsi="Times New Roman" w:cs="Times New Roman"/>
          <w:i/>
          <w:iCs/>
          <w:sz w:val="24"/>
          <w:szCs w:val="24"/>
          <w:lang w:val="en-US"/>
        </w:rPr>
        <w:t>Aquaculture Nutrition, 2023</w:t>
      </w:r>
      <w:r w:rsidRPr="00F05F81">
        <w:rPr>
          <w:rFonts w:ascii="Times New Roman" w:eastAsia="Times New Roman" w:hAnsi="Times New Roman" w:cs="Times New Roman"/>
          <w:sz w:val="24"/>
          <w:szCs w:val="24"/>
          <w:lang w:val="en-US"/>
        </w:rPr>
        <w:t xml:space="preserve">, Article 6191330. </w:t>
      </w:r>
      <w:hyperlink r:id="rId17" w:tgtFrame="_new" w:history="1">
        <w:r w:rsidRPr="00F05F81">
          <w:rPr>
            <w:rFonts w:ascii="Times New Roman" w:eastAsia="Times New Roman" w:hAnsi="Times New Roman" w:cs="Times New Roman"/>
            <w:color w:val="0000FF"/>
            <w:sz w:val="24"/>
            <w:szCs w:val="24"/>
            <w:u w:val="single"/>
            <w:lang w:val="en-US"/>
          </w:rPr>
          <w:t>https://doi.org/10.1155/2023/6191330</w:t>
        </w:r>
      </w:hyperlink>
      <w:r w:rsidRPr="00F05F81">
        <w:rPr>
          <w:rFonts w:ascii="Times New Roman" w:eastAsia="Times New Roman" w:hAnsi="Times New Roman" w:cs="Times New Roman"/>
          <w:sz w:val="24"/>
          <w:szCs w:val="24"/>
          <w:lang w:val="en-US"/>
        </w:rPr>
        <w:br/>
      </w:r>
    </w:p>
    <w:p w14:paraId="3030A540"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Kalaiselvan, P., Malarvizhi, K., &amp; Ranjan, A. (2024). Exploring </w:t>
      </w:r>
      <w:proofErr w:type="spellStart"/>
      <w:r w:rsidRPr="00F05F81">
        <w:rPr>
          <w:rFonts w:ascii="Times New Roman" w:eastAsia="Times New Roman" w:hAnsi="Times New Roman" w:cs="Times New Roman"/>
          <w:sz w:val="24"/>
          <w:szCs w:val="24"/>
          <w:lang w:val="en-US"/>
        </w:rPr>
        <w:t>phytobiotics</w:t>
      </w:r>
      <w:proofErr w:type="spellEnd"/>
      <w:r w:rsidRPr="00F05F81">
        <w:rPr>
          <w:rFonts w:ascii="Times New Roman" w:eastAsia="Times New Roman" w:hAnsi="Times New Roman" w:cs="Times New Roman"/>
          <w:sz w:val="24"/>
          <w:szCs w:val="24"/>
          <w:lang w:val="en-US"/>
        </w:rPr>
        <w:t xml:space="preserve"> in aquaculture: Sources, mode of action, effects, administration, and its bioavailability in fish. </w:t>
      </w:r>
      <w:r w:rsidRPr="00F05F81">
        <w:rPr>
          <w:rFonts w:ascii="Times New Roman" w:eastAsia="Times New Roman" w:hAnsi="Times New Roman" w:cs="Times New Roman"/>
          <w:i/>
          <w:iCs/>
          <w:sz w:val="24"/>
          <w:szCs w:val="24"/>
          <w:lang w:val="en-US"/>
        </w:rPr>
        <w:t>Aquaculture International, 32</w:t>
      </w:r>
      <w:r w:rsidRPr="00F05F81">
        <w:rPr>
          <w:rFonts w:ascii="Times New Roman" w:eastAsia="Times New Roman" w:hAnsi="Times New Roman" w:cs="Times New Roman"/>
          <w:sz w:val="24"/>
          <w:szCs w:val="24"/>
          <w:lang w:val="en-US"/>
        </w:rPr>
        <w:t xml:space="preserve">, 5737–5799. </w:t>
      </w:r>
      <w:hyperlink r:id="rId18" w:tgtFrame="_new" w:history="1">
        <w:r w:rsidRPr="00F05F81">
          <w:rPr>
            <w:rFonts w:ascii="Times New Roman" w:eastAsia="Times New Roman" w:hAnsi="Times New Roman" w:cs="Times New Roman"/>
            <w:color w:val="0000FF"/>
            <w:sz w:val="24"/>
            <w:szCs w:val="24"/>
            <w:u w:val="single"/>
            <w:lang w:val="en-US"/>
          </w:rPr>
          <w:t>https://doi.org/10.1007/s10499-024-01444-0</w:t>
        </w:r>
      </w:hyperlink>
      <w:r w:rsidRPr="00F05F81">
        <w:rPr>
          <w:rFonts w:ascii="Times New Roman" w:eastAsia="Times New Roman" w:hAnsi="Times New Roman" w:cs="Times New Roman"/>
          <w:sz w:val="24"/>
          <w:szCs w:val="24"/>
          <w:lang w:val="en-US"/>
        </w:rPr>
        <w:br/>
      </w:r>
    </w:p>
    <w:p w14:paraId="5540471D"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Lee, S. W., Mohamad Sukri, S. A., </w:t>
      </w:r>
      <w:proofErr w:type="spellStart"/>
      <w:r w:rsidRPr="00F05F81">
        <w:rPr>
          <w:rFonts w:ascii="Times New Roman" w:eastAsia="Times New Roman" w:hAnsi="Times New Roman" w:cs="Times New Roman"/>
          <w:sz w:val="24"/>
          <w:szCs w:val="24"/>
          <w:lang w:val="en-US"/>
        </w:rPr>
        <w:t>Tahiluddin</w:t>
      </w:r>
      <w:proofErr w:type="spellEnd"/>
      <w:r w:rsidRPr="00F05F81">
        <w:rPr>
          <w:rFonts w:ascii="Times New Roman" w:eastAsia="Times New Roman" w:hAnsi="Times New Roman" w:cs="Times New Roman"/>
          <w:sz w:val="24"/>
          <w:szCs w:val="24"/>
          <w:lang w:val="en-US"/>
        </w:rPr>
        <w:t xml:space="preserve">, A. B., Abdul Kari, Z., Wee, W., &amp; Kabir, M. A. (2024). Exploring beneficial effects of </w:t>
      </w:r>
      <w:proofErr w:type="spellStart"/>
      <w:r w:rsidRPr="00F05F81">
        <w:rPr>
          <w:rFonts w:ascii="Times New Roman" w:eastAsia="Times New Roman" w:hAnsi="Times New Roman" w:cs="Times New Roman"/>
          <w:sz w:val="24"/>
          <w:szCs w:val="24"/>
          <w:lang w:val="en-US"/>
        </w:rPr>
        <w:t>phytobiotics</w:t>
      </w:r>
      <w:proofErr w:type="spellEnd"/>
      <w:r w:rsidRPr="00F05F81">
        <w:rPr>
          <w:rFonts w:ascii="Times New Roman" w:eastAsia="Times New Roman" w:hAnsi="Times New Roman" w:cs="Times New Roman"/>
          <w:sz w:val="24"/>
          <w:szCs w:val="24"/>
          <w:lang w:val="en-US"/>
        </w:rPr>
        <w:t xml:space="preserve"> in marine shrimp farming: A review. </w:t>
      </w:r>
      <w:proofErr w:type="spellStart"/>
      <w:r w:rsidRPr="00F05F81">
        <w:rPr>
          <w:rFonts w:ascii="Times New Roman" w:eastAsia="Times New Roman" w:hAnsi="Times New Roman" w:cs="Times New Roman"/>
          <w:i/>
          <w:iCs/>
          <w:sz w:val="24"/>
          <w:szCs w:val="24"/>
          <w:lang w:val="en-US"/>
        </w:rPr>
        <w:t>Heliyon</w:t>
      </w:r>
      <w:proofErr w:type="spellEnd"/>
      <w:r w:rsidRPr="00F05F81">
        <w:rPr>
          <w:rFonts w:ascii="Times New Roman" w:eastAsia="Times New Roman" w:hAnsi="Times New Roman" w:cs="Times New Roman"/>
          <w:i/>
          <w:iCs/>
          <w:sz w:val="24"/>
          <w:szCs w:val="24"/>
          <w:lang w:val="en-US"/>
        </w:rPr>
        <w:t>, 10</w:t>
      </w:r>
      <w:r w:rsidRPr="00F05F81">
        <w:rPr>
          <w:rFonts w:ascii="Times New Roman" w:eastAsia="Times New Roman" w:hAnsi="Times New Roman" w:cs="Times New Roman"/>
          <w:sz w:val="24"/>
          <w:szCs w:val="24"/>
          <w:lang w:val="en-US"/>
        </w:rPr>
        <w:t xml:space="preserve">(14), Article e31074. </w:t>
      </w:r>
      <w:hyperlink r:id="rId19" w:tgtFrame="_new" w:history="1">
        <w:r w:rsidRPr="00F05F81">
          <w:rPr>
            <w:rFonts w:ascii="Times New Roman" w:eastAsia="Times New Roman" w:hAnsi="Times New Roman" w:cs="Times New Roman"/>
            <w:color w:val="0000FF"/>
            <w:sz w:val="24"/>
            <w:szCs w:val="24"/>
            <w:u w:val="single"/>
            <w:lang w:val="en-US"/>
          </w:rPr>
          <w:t>https://doi.org/10.1016/j.heliyon.2024.e31074</w:t>
        </w:r>
      </w:hyperlink>
      <w:r w:rsidRPr="00F05F81">
        <w:rPr>
          <w:rFonts w:ascii="Times New Roman" w:eastAsia="Times New Roman" w:hAnsi="Times New Roman" w:cs="Times New Roman"/>
          <w:sz w:val="24"/>
          <w:szCs w:val="24"/>
          <w:lang w:val="en-US"/>
        </w:rPr>
        <w:br/>
      </w:r>
    </w:p>
    <w:p w14:paraId="1DF50C96"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Li, S., Xu, Y., Guo, W., Chen, F., Zhang, C., Tan, H. Y., Wang, N., &amp; Feng, Y. (2020). The impacts of herbal medicines and natural products on regulating the hepatic lipid metabolism. </w:t>
      </w:r>
      <w:r w:rsidRPr="00F05F81">
        <w:rPr>
          <w:rFonts w:ascii="Times New Roman" w:eastAsia="Times New Roman" w:hAnsi="Times New Roman" w:cs="Times New Roman"/>
          <w:i/>
          <w:iCs/>
          <w:sz w:val="24"/>
          <w:szCs w:val="24"/>
          <w:lang w:val="en-US"/>
        </w:rPr>
        <w:t>Frontiers in Pharmacology, 11</w:t>
      </w:r>
      <w:r w:rsidRPr="00F05F81">
        <w:rPr>
          <w:rFonts w:ascii="Times New Roman" w:eastAsia="Times New Roman" w:hAnsi="Times New Roman" w:cs="Times New Roman"/>
          <w:sz w:val="24"/>
          <w:szCs w:val="24"/>
          <w:lang w:val="en-US"/>
        </w:rPr>
        <w:t xml:space="preserve">, Article 351. </w:t>
      </w:r>
      <w:hyperlink r:id="rId20" w:tgtFrame="_new" w:history="1">
        <w:r w:rsidRPr="00F05F81">
          <w:rPr>
            <w:rFonts w:ascii="Times New Roman" w:eastAsia="Times New Roman" w:hAnsi="Times New Roman" w:cs="Times New Roman"/>
            <w:color w:val="0000FF"/>
            <w:sz w:val="24"/>
            <w:szCs w:val="24"/>
            <w:u w:val="single"/>
            <w:lang w:val="en-US"/>
          </w:rPr>
          <w:t>https://doi.org/10.3389/fphar.2020.00351</w:t>
        </w:r>
      </w:hyperlink>
      <w:r w:rsidRPr="00F05F81">
        <w:rPr>
          <w:rFonts w:ascii="Times New Roman" w:eastAsia="Times New Roman" w:hAnsi="Times New Roman" w:cs="Times New Roman"/>
          <w:sz w:val="24"/>
          <w:szCs w:val="24"/>
          <w:lang w:val="en-US"/>
        </w:rPr>
        <w:br/>
      </w:r>
    </w:p>
    <w:p w14:paraId="5CF0A34B"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Liu, J., Xue, M., Morais, S., He, M., Wang, H., Wang, J., Pastor, J. J., Gonçalves, R. A., &amp; Liang, X. (2022). Effects of a phytogenic supplement containing olive by-product and green tea extracts on growth performance, lipid metabolism, and hepatic antioxidant capacity in largemouth bass (</w:t>
      </w:r>
      <w:r w:rsidRPr="00F05F81">
        <w:rPr>
          <w:rFonts w:ascii="Times New Roman" w:eastAsia="Times New Roman" w:hAnsi="Times New Roman" w:cs="Times New Roman"/>
          <w:i/>
          <w:iCs/>
          <w:sz w:val="24"/>
          <w:szCs w:val="24"/>
          <w:lang w:val="en-US"/>
        </w:rPr>
        <w:t xml:space="preserve">Micropterus </w:t>
      </w:r>
      <w:proofErr w:type="spellStart"/>
      <w:r w:rsidRPr="00F05F81">
        <w:rPr>
          <w:rFonts w:ascii="Times New Roman" w:eastAsia="Times New Roman" w:hAnsi="Times New Roman" w:cs="Times New Roman"/>
          <w:i/>
          <w:iCs/>
          <w:sz w:val="24"/>
          <w:szCs w:val="24"/>
          <w:lang w:val="en-US"/>
        </w:rPr>
        <w:t>salmoides</w:t>
      </w:r>
      <w:proofErr w:type="spellEnd"/>
      <w:r w:rsidRPr="00F05F81">
        <w:rPr>
          <w:rFonts w:ascii="Times New Roman" w:eastAsia="Times New Roman" w:hAnsi="Times New Roman" w:cs="Times New Roman"/>
          <w:sz w:val="24"/>
          <w:szCs w:val="24"/>
          <w:lang w:val="en-US"/>
        </w:rPr>
        <w:t xml:space="preserve">) fed a high soybean meal diet. </w:t>
      </w:r>
      <w:r w:rsidRPr="00F05F81">
        <w:rPr>
          <w:rFonts w:ascii="Times New Roman" w:eastAsia="Times New Roman" w:hAnsi="Times New Roman" w:cs="Times New Roman"/>
          <w:i/>
          <w:iCs/>
          <w:sz w:val="24"/>
          <w:szCs w:val="24"/>
          <w:lang w:val="en-US"/>
        </w:rPr>
        <w:t>Antioxidants, 11</w:t>
      </w:r>
      <w:r w:rsidRPr="00F05F81">
        <w:rPr>
          <w:rFonts w:ascii="Times New Roman" w:eastAsia="Times New Roman" w:hAnsi="Times New Roman" w:cs="Times New Roman"/>
          <w:sz w:val="24"/>
          <w:szCs w:val="24"/>
          <w:lang w:val="en-US"/>
        </w:rPr>
        <w:t xml:space="preserve">(12), Article 2415. </w:t>
      </w:r>
      <w:hyperlink r:id="rId21" w:tgtFrame="_new" w:history="1">
        <w:r w:rsidRPr="00F05F81">
          <w:rPr>
            <w:rFonts w:ascii="Times New Roman" w:eastAsia="Times New Roman" w:hAnsi="Times New Roman" w:cs="Times New Roman"/>
            <w:color w:val="0000FF"/>
            <w:sz w:val="24"/>
            <w:szCs w:val="24"/>
            <w:u w:val="single"/>
            <w:lang w:val="en-US"/>
          </w:rPr>
          <w:t>https://doi.org/10.3390/antiox11122415</w:t>
        </w:r>
      </w:hyperlink>
      <w:r w:rsidRPr="00F05F81">
        <w:rPr>
          <w:rFonts w:ascii="Times New Roman" w:eastAsia="Times New Roman" w:hAnsi="Times New Roman" w:cs="Times New Roman"/>
          <w:sz w:val="24"/>
          <w:szCs w:val="24"/>
          <w:lang w:val="en-US"/>
        </w:rPr>
        <w:br/>
      </w:r>
    </w:p>
    <w:p w14:paraId="16B5550E"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lastRenderedPageBreak/>
        <w:t xml:space="preserve">Mahmoud, H. K., Farag, M. R., Reda, F. M., </w:t>
      </w:r>
      <w:proofErr w:type="spellStart"/>
      <w:r w:rsidRPr="00F05F81">
        <w:rPr>
          <w:rFonts w:ascii="Times New Roman" w:eastAsia="Times New Roman" w:hAnsi="Times New Roman" w:cs="Times New Roman"/>
          <w:sz w:val="24"/>
          <w:szCs w:val="24"/>
          <w:lang w:val="en-US"/>
        </w:rPr>
        <w:t>Alagawany</w:t>
      </w:r>
      <w:proofErr w:type="spellEnd"/>
      <w:r w:rsidRPr="00F05F81">
        <w:rPr>
          <w:rFonts w:ascii="Times New Roman" w:eastAsia="Times New Roman" w:hAnsi="Times New Roman" w:cs="Times New Roman"/>
          <w:sz w:val="24"/>
          <w:szCs w:val="24"/>
          <w:lang w:val="en-US"/>
        </w:rPr>
        <w:t xml:space="preserve">, M., &amp; Abdel-Latif, H. M. R. (2022). Dietary supplementation with </w:t>
      </w:r>
      <w:r w:rsidRPr="00F05F81">
        <w:rPr>
          <w:rFonts w:ascii="Times New Roman" w:eastAsia="Times New Roman" w:hAnsi="Times New Roman" w:cs="Times New Roman"/>
          <w:i/>
          <w:iCs/>
          <w:sz w:val="24"/>
          <w:szCs w:val="24"/>
          <w:lang w:val="en-US"/>
        </w:rPr>
        <w:t>Moringa oleifera</w:t>
      </w:r>
      <w:r w:rsidRPr="00F05F81">
        <w:rPr>
          <w:rFonts w:ascii="Times New Roman" w:eastAsia="Times New Roman" w:hAnsi="Times New Roman" w:cs="Times New Roman"/>
          <w:sz w:val="24"/>
          <w:szCs w:val="24"/>
          <w:lang w:val="en-US"/>
        </w:rPr>
        <w:t xml:space="preserve"> leaves extract reduces the impacts of sub-lethal fipronil in Nile tilapia, </w:t>
      </w:r>
      <w:r w:rsidRPr="00F05F81">
        <w:rPr>
          <w:rFonts w:ascii="Times New Roman" w:eastAsia="Times New Roman" w:hAnsi="Times New Roman" w:cs="Times New Roman"/>
          <w:i/>
          <w:iCs/>
          <w:sz w:val="24"/>
          <w:szCs w:val="24"/>
          <w:lang w:val="en-US"/>
        </w:rPr>
        <w:t>Oreochromis niloticus</w:t>
      </w:r>
      <w:r w:rsidRPr="00F05F81">
        <w:rPr>
          <w:rFonts w:ascii="Times New Roman" w:eastAsia="Times New Roman" w:hAnsi="Times New Roman" w:cs="Times New Roman"/>
          <w:sz w:val="24"/>
          <w:szCs w:val="24"/>
          <w:lang w:val="en-US"/>
        </w:rPr>
        <w:t xml:space="preserve">. </w:t>
      </w:r>
      <w:r w:rsidRPr="00F05F81">
        <w:rPr>
          <w:rFonts w:ascii="Times New Roman" w:eastAsia="Times New Roman" w:hAnsi="Times New Roman" w:cs="Times New Roman"/>
          <w:i/>
          <w:iCs/>
          <w:sz w:val="24"/>
          <w:szCs w:val="24"/>
          <w:lang w:val="en-US"/>
        </w:rPr>
        <w:t>Scientific Reports, 12</w:t>
      </w:r>
      <w:r w:rsidRPr="00F05F81">
        <w:rPr>
          <w:rFonts w:ascii="Times New Roman" w:eastAsia="Times New Roman" w:hAnsi="Times New Roman" w:cs="Times New Roman"/>
          <w:sz w:val="24"/>
          <w:szCs w:val="24"/>
          <w:lang w:val="en-US"/>
        </w:rPr>
        <w:t xml:space="preserve">, Article 21748. </w:t>
      </w:r>
      <w:hyperlink r:id="rId22" w:tgtFrame="_new" w:history="1">
        <w:r w:rsidRPr="00F05F81">
          <w:rPr>
            <w:rFonts w:ascii="Times New Roman" w:eastAsia="Times New Roman" w:hAnsi="Times New Roman" w:cs="Times New Roman"/>
            <w:color w:val="0000FF"/>
            <w:sz w:val="24"/>
            <w:szCs w:val="24"/>
            <w:u w:val="single"/>
            <w:lang w:val="en-US"/>
          </w:rPr>
          <w:t>https://doi.org/10.1038/s41598-022-25611-6</w:t>
        </w:r>
      </w:hyperlink>
      <w:r w:rsidRPr="00F05F81">
        <w:rPr>
          <w:rFonts w:ascii="Times New Roman" w:eastAsia="Times New Roman" w:hAnsi="Times New Roman" w:cs="Times New Roman"/>
          <w:sz w:val="24"/>
          <w:szCs w:val="24"/>
          <w:lang w:val="en-US"/>
        </w:rPr>
        <w:br/>
      </w:r>
    </w:p>
    <w:p w14:paraId="458CC7A3"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Nassar, A. A. M. A., Gharib, A. A. E., Abdelgalil, S. Y., </w:t>
      </w:r>
      <w:proofErr w:type="spellStart"/>
      <w:r w:rsidRPr="00F05F81">
        <w:rPr>
          <w:rFonts w:ascii="Times New Roman" w:eastAsia="Times New Roman" w:hAnsi="Times New Roman" w:cs="Times New Roman"/>
          <w:sz w:val="24"/>
          <w:szCs w:val="24"/>
          <w:lang w:val="en-US"/>
        </w:rPr>
        <w:t>AbdAllah</w:t>
      </w:r>
      <w:proofErr w:type="spellEnd"/>
      <w:r w:rsidRPr="00F05F81">
        <w:rPr>
          <w:rFonts w:ascii="Times New Roman" w:eastAsia="Times New Roman" w:hAnsi="Times New Roman" w:cs="Times New Roman"/>
          <w:sz w:val="24"/>
          <w:szCs w:val="24"/>
          <w:lang w:val="en-US"/>
        </w:rPr>
        <w:t xml:space="preserve">, H. M., &amp; </w:t>
      </w:r>
      <w:proofErr w:type="spellStart"/>
      <w:r w:rsidRPr="00F05F81">
        <w:rPr>
          <w:rFonts w:ascii="Times New Roman" w:eastAsia="Times New Roman" w:hAnsi="Times New Roman" w:cs="Times New Roman"/>
          <w:sz w:val="24"/>
          <w:szCs w:val="24"/>
          <w:lang w:val="en-US"/>
        </w:rPr>
        <w:t>Elmowalid</w:t>
      </w:r>
      <w:proofErr w:type="spellEnd"/>
      <w:r w:rsidRPr="00F05F81">
        <w:rPr>
          <w:rFonts w:ascii="Times New Roman" w:eastAsia="Times New Roman" w:hAnsi="Times New Roman" w:cs="Times New Roman"/>
          <w:sz w:val="24"/>
          <w:szCs w:val="24"/>
          <w:lang w:val="en-US"/>
        </w:rPr>
        <w:t xml:space="preserve">, G. A. (2024). Immunomodulatory, antioxidant, and growth-promoting activities of dietary fermented </w:t>
      </w:r>
      <w:r w:rsidRPr="00F05F81">
        <w:rPr>
          <w:rFonts w:ascii="Times New Roman" w:eastAsia="Times New Roman" w:hAnsi="Times New Roman" w:cs="Times New Roman"/>
          <w:i/>
          <w:iCs/>
          <w:sz w:val="24"/>
          <w:szCs w:val="24"/>
          <w:lang w:val="en-US"/>
        </w:rPr>
        <w:t>Moringa oleifera</w:t>
      </w:r>
      <w:r w:rsidRPr="00F05F81">
        <w:rPr>
          <w:rFonts w:ascii="Times New Roman" w:eastAsia="Times New Roman" w:hAnsi="Times New Roman" w:cs="Times New Roman"/>
          <w:sz w:val="24"/>
          <w:szCs w:val="24"/>
          <w:lang w:val="en-US"/>
        </w:rPr>
        <w:t xml:space="preserve"> in Nile tilapia (</w:t>
      </w:r>
      <w:proofErr w:type="spellStart"/>
      <w:r w:rsidRPr="00F05F81">
        <w:rPr>
          <w:rFonts w:ascii="Times New Roman" w:eastAsia="Times New Roman" w:hAnsi="Times New Roman" w:cs="Times New Roman"/>
          <w:i/>
          <w:iCs/>
          <w:sz w:val="24"/>
          <w:szCs w:val="24"/>
          <w:lang w:val="en-US"/>
        </w:rPr>
        <w:t>Oreochromus</w:t>
      </w:r>
      <w:proofErr w:type="spellEnd"/>
      <w:r w:rsidRPr="00F05F81">
        <w:rPr>
          <w:rFonts w:ascii="Times New Roman" w:eastAsia="Times New Roman" w:hAnsi="Times New Roman" w:cs="Times New Roman"/>
          <w:i/>
          <w:iCs/>
          <w:sz w:val="24"/>
          <w:szCs w:val="24"/>
          <w:lang w:val="en-US"/>
        </w:rPr>
        <w:t xml:space="preserve"> niloticus</w:t>
      </w:r>
      <w:r w:rsidRPr="00F05F81">
        <w:rPr>
          <w:rFonts w:ascii="Times New Roman" w:eastAsia="Times New Roman" w:hAnsi="Times New Roman" w:cs="Times New Roman"/>
          <w:sz w:val="24"/>
          <w:szCs w:val="24"/>
          <w:lang w:val="en-US"/>
        </w:rPr>
        <w:t xml:space="preserve">) with in-vivo protection against </w:t>
      </w:r>
      <w:r w:rsidRPr="00F05F81">
        <w:rPr>
          <w:rFonts w:ascii="Times New Roman" w:eastAsia="Times New Roman" w:hAnsi="Times New Roman" w:cs="Times New Roman"/>
          <w:i/>
          <w:iCs/>
          <w:sz w:val="24"/>
          <w:szCs w:val="24"/>
          <w:lang w:val="en-US"/>
        </w:rPr>
        <w:t xml:space="preserve">Aeromonas </w:t>
      </w:r>
      <w:proofErr w:type="spellStart"/>
      <w:r w:rsidRPr="00F05F81">
        <w:rPr>
          <w:rFonts w:ascii="Times New Roman" w:eastAsia="Times New Roman" w:hAnsi="Times New Roman" w:cs="Times New Roman"/>
          <w:i/>
          <w:iCs/>
          <w:sz w:val="24"/>
          <w:szCs w:val="24"/>
          <w:lang w:val="en-US"/>
        </w:rPr>
        <w:t>hydrophila</w:t>
      </w:r>
      <w:proofErr w:type="spellEnd"/>
      <w:r w:rsidRPr="00F05F81">
        <w:rPr>
          <w:rFonts w:ascii="Times New Roman" w:eastAsia="Times New Roman" w:hAnsi="Times New Roman" w:cs="Times New Roman"/>
          <w:sz w:val="24"/>
          <w:szCs w:val="24"/>
          <w:lang w:val="en-US"/>
        </w:rPr>
        <w:t xml:space="preserve">. </w:t>
      </w:r>
      <w:r w:rsidRPr="00F05F81">
        <w:rPr>
          <w:rFonts w:ascii="Times New Roman" w:eastAsia="Times New Roman" w:hAnsi="Times New Roman" w:cs="Times New Roman"/>
          <w:i/>
          <w:iCs/>
          <w:sz w:val="24"/>
          <w:szCs w:val="24"/>
          <w:lang w:val="en-US"/>
        </w:rPr>
        <w:t>BMC Veterinary Research, 20</w:t>
      </w:r>
      <w:r w:rsidRPr="00F05F81">
        <w:rPr>
          <w:rFonts w:ascii="Times New Roman" w:eastAsia="Times New Roman" w:hAnsi="Times New Roman" w:cs="Times New Roman"/>
          <w:sz w:val="24"/>
          <w:szCs w:val="24"/>
          <w:lang w:val="en-US"/>
        </w:rPr>
        <w:t xml:space="preserve">, Article 231. </w:t>
      </w:r>
      <w:hyperlink r:id="rId23" w:tgtFrame="_new" w:history="1">
        <w:r w:rsidRPr="00F05F81">
          <w:rPr>
            <w:rFonts w:ascii="Times New Roman" w:eastAsia="Times New Roman" w:hAnsi="Times New Roman" w:cs="Times New Roman"/>
            <w:color w:val="0000FF"/>
            <w:sz w:val="24"/>
            <w:szCs w:val="24"/>
            <w:u w:val="single"/>
            <w:lang w:val="en-US"/>
          </w:rPr>
          <w:t>https://doi.org/10.1186/s12917-024-04070-3</w:t>
        </w:r>
      </w:hyperlink>
      <w:r w:rsidRPr="00F05F81">
        <w:rPr>
          <w:rFonts w:ascii="Times New Roman" w:eastAsia="Times New Roman" w:hAnsi="Times New Roman" w:cs="Times New Roman"/>
          <w:sz w:val="24"/>
          <w:szCs w:val="24"/>
          <w:lang w:val="en-US"/>
        </w:rPr>
        <w:br/>
      </w:r>
    </w:p>
    <w:p w14:paraId="44D391FB"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Oh, H. Y., Lee, T. H., Lee, D.-Y., Lee, C.-H., Joo, M.-S., Kim, H. S., &amp; Kim, K.-D. (2022). Dietary supplementation with ginger (</w:t>
      </w:r>
      <w:r w:rsidRPr="00F05F81">
        <w:rPr>
          <w:rFonts w:ascii="Times New Roman" w:eastAsia="Times New Roman" w:hAnsi="Times New Roman" w:cs="Times New Roman"/>
          <w:i/>
          <w:iCs/>
          <w:sz w:val="24"/>
          <w:szCs w:val="24"/>
          <w:lang w:val="en-US"/>
        </w:rPr>
        <w:t>Zingiber officinale</w:t>
      </w:r>
      <w:r w:rsidRPr="00F05F81">
        <w:rPr>
          <w:rFonts w:ascii="Times New Roman" w:eastAsia="Times New Roman" w:hAnsi="Times New Roman" w:cs="Times New Roman"/>
          <w:sz w:val="24"/>
          <w:szCs w:val="24"/>
          <w:lang w:val="en-US"/>
        </w:rPr>
        <w:t>) residue from juice extraction improves juvenile black rockfish (</w:t>
      </w:r>
      <w:r w:rsidRPr="00F05F81">
        <w:rPr>
          <w:rFonts w:ascii="Times New Roman" w:eastAsia="Times New Roman" w:hAnsi="Times New Roman" w:cs="Times New Roman"/>
          <w:i/>
          <w:iCs/>
          <w:sz w:val="24"/>
          <w:szCs w:val="24"/>
          <w:lang w:val="en-US"/>
        </w:rPr>
        <w:t>Sebastes schlegelii</w:t>
      </w:r>
      <w:r w:rsidRPr="00F05F81">
        <w:rPr>
          <w:rFonts w:ascii="Times New Roman" w:eastAsia="Times New Roman" w:hAnsi="Times New Roman" w:cs="Times New Roman"/>
          <w:sz w:val="24"/>
          <w:szCs w:val="24"/>
          <w:lang w:val="en-US"/>
        </w:rPr>
        <w:t xml:space="preserve">) growth performance, antioxidant enzyme activity, and resistance to </w:t>
      </w:r>
      <w:r w:rsidRPr="00F05F81">
        <w:rPr>
          <w:rFonts w:ascii="Times New Roman" w:eastAsia="Times New Roman" w:hAnsi="Times New Roman" w:cs="Times New Roman"/>
          <w:i/>
          <w:iCs/>
          <w:sz w:val="24"/>
          <w:szCs w:val="24"/>
          <w:lang w:val="en-US"/>
        </w:rPr>
        <w:t xml:space="preserve">Streptococcus </w:t>
      </w:r>
      <w:proofErr w:type="spellStart"/>
      <w:r w:rsidRPr="00F05F81">
        <w:rPr>
          <w:rFonts w:ascii="Times New Roman" w:eastAsia="Times New Roman" w:hAnsi="Times New Roman" w:cs="Times New Roman"/>
          <w:i/>
          <w:iCs/>
          <w:sz w:val="24"/>
          <w:szCs w:val="24"/>
          <w:lang w:val="en-US"/>
        </w:rPr>
        <w:t>iniae</w:t>
      </w:r>
      <w:proofErr w:type="spellEnd"/>
      <w:r w:rsidRPr="00F05F81">
        <w:rPr>
          <w:rFonts w:ascii="Times New Roman" w:eastAsia="Times New Roman" w:hAnsi="Times New Roman" w:cs="Times New Roman"/>
          <w:sz w:val="24"/>
          <w:szCs w:val="24"/>
          <w:lang w:val="en-US"/>
        </w:rPr>
        <w:t xml:space="preserve"> infection. </w:t>
      </w:r>
      <w:r w:rsidRPr="00F05F81">
        <w:rPr>
          <w:rFonts w:ascii="Times New Roman" w:eastAsia="Times New Roman" w:hAnsi="Times New Roman" w:cs="Times New Roman"/>
          <w:i/>
          <w:iCs/>
          <w:sz w:val="24"/>
          <w:szCs w:val="24"/>
          <w:lang w:val="en-US"/>
        </w:rPr>
        <w:t>Animals, 12</w:t>
      </w:r>
      <w:r w:rsidRPr="00F05F81">
        <w:rPr>
          <w:rFonts w:ascii="Times New Roman" w:eastAsia="Times New Roman" w:hAnsi="Times New Roman" w:cs="Times New Roman"/>
          <w:sz w:val="24"/>
          <w:szCs w:val="24"/>
          <w:lang w:val="en-US"/>
        </w:rPr>
        <w:t xml:space="preserve">(5), Article 546. </w:t>
      </w:r>
      <w:hyperlink r:id="rId24" w:tgtFrame="_new" w:history="1">
        <w:r w:rsidRPr="00F05F81">
          <w:rPr>
            <w:rFonts w:ascii="Times New Roman" w:eastAsia="Times New Roman" w:hAnsi="Times New Roman" w:cs="Times New Roman"/>
            <w:color w:val="0000FF"/>
            <w:sz w:val="24"/>
            <w:szCs w:val="24"/>
            <w:u w:val="single"/>
            <w:lang w:val="en-US"/>
          </w:rPr>
          <w:t>https://doi.org/10.3390/ani12050546</w:t>
        </w:r>
      </w:hyperlink>
      <w:r w:rsidRPr="00F05F81">
        <w:rPr>
          <w:rFonts w:ascii="Times New Roman" w:eastAsia="Times New Roman" w:hAnsi="Times New Roman" w:cs="Times New Roman"/>
          <w:sz w:val="24"/>
          <w:szCs w:val="24"/>
          <w:lang w:val="en-US"/>
        </w:rPr>
        <w:br/>
      </w:r>
    </w:p>
    <w:p w14:paraId="039414E4"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Oh, H. Y., Lee, T. H., Lee, D.-Y., Lee, C.-H., Sohn, M.-Y., Kwon, R.-W., Kim, J.-G., Kim, H. S., &amp; Kim, K.-D. (2022). Evaluation of garlic juice processing waste supplementation in juvenile black rockfish (</w:t>
      </w:r>
      <w:r w:rsidRPr="00F05F81">
        <w:rPr>
          <w:rFonts w:ascii="Times New Roman" w:eastAsia="Times New Roman" w:hAnsi="Times New Roman" w:cs="Times New Roman"/>
          <w:i/>
          <w:iCs/>
          <w:sz w:val="24"/>
          <w:szCs w:val="24"/>
          <w:lang w:val="en-US"/>
        </w:rPr>
        <w:t>Sebastes schlegelii</w:t>
      </w:r>
      <w:r w:rsidRPr="00F05F81">
        <w:rPr>
          <w:rFonts w:ascii="Times New Roman" w:eastAsia="Times New Roman" w:hAnsi="Times New Roman" w:cs="Times New Roman"/>
          <w:sz w:val="24"/>
          <w:szCs w:val="24"/>
          <w:lang w:val="en-US"/>
        </w:rPr>
        <w:t xml:space="preserve">) diets on growth performance, antioxidant and digestive enzyme activity, growth- and antioxidant-related gene expression, and disease resistance against </w:t>
      </w:r>
      <w:r w:rsidRPr="00F05F81">
        <w:rPr>
          <w:rFonts w:ascii="Times New Roman" w:eastAsia="Times New Roman" w:hAnsi="Times New Roman" w:cs="Times New Roman"/>
          <w:i/>
          <w:iCs/>
          <w:sz w:val="24"/>
          <w:szCs w:val="24"/>
          <w:lang w:val="en-US"/>
        </w:rPr>
        <w:t xml:space="preserve">Streptococcus </w:t>
      </w:r>
      <w:proofErr w:type="spellStart"/>
      <w:r w:rsidRPr="00F05F81">
        <w:rPr>
          <w:rFonts w:ascii="Times New Roman" w:eastAsia="Times New Roman" w:hAnsi="Times New Roman" w:cs="Times New Roman"/>
          <w:i/>
          <w:iCs/>
          <w:sz w:val="24"/>
          <w:szCs w:val="24"/>
          <w:lang w:val="en-US"/>
        </w:rPr>
        <w:t>iniae</w:t>
      </w:r>
      <w:proofErr w:type="spellEnd"/>
      <w:r w:rsidRPr="00F05F81">
        <w:rPr>
          <w:rFonts w:ascii="Times New Roman" w:eastAsia="Times New Roman" w:hAnsi="Times New Roman" w:cs="Times New Roman"/>
          <w:sz w:val="24"/>
          <w:szCs w:val="24"/>
          <w:lang w:val="en-US"/>
        </w:rPr>
        <w:t xml:space="preserve">. </w:t>
      </w:r>
      <w:r w:rsidRPr="00F05F81">
        <w:rPr>
          <w:rFonts w:ascii="Times New Roman" w:eastAsia="Times New Roman" w:hAnsi="Times New Roman" w:cs="Times New Roman"/>
          <w:i/>
          <w:iCs/>
          <w:sz w:val="24"/>
          <w:szCs w:val="24"/>
          <w:lang w:val="en-US"/>
        </w:rPr>
        <w:t>Animals, 12</w:t>
      </w:r>
      <w:r w:rsidRPr="00F05F81">
        <w:rPr>
          <w:rFonts w:ascii="Times New Roman" w:eastAsia="Times New Roman" w:hAnsi="Times New Roman" w:cs="Times New Roman"/>
          <w:sz w:val="24"/>
          <w:szCs w:val="24"/>
          <w:lang w:val="en-US"/>
        </w:rPr>
        <w:t xml:space="preserve">(24), Article 3512. </w:t>
      </w:r>
      <w:hyperlink r:id="rId25" w:tgtFrame="_new" w:history="1">
        <w:r w:rsidRPr="00F05F81">
          <w:rPr>
            <w:rFonts w:ascii="Times New Roman" w:eastAsia="Times New Roman" w:hAnsi="Times New Roman" w:cs="Times New Roman"/>
            <w:color w:val="0000FF"/>
            <w:sz w:val="24"/>
            <w:szCs w:val="24"/>
            <w:u w:val="single"/>
            <w:lang w:val="en-US"/>
          </w:rPr>
          <w:t>https://doi.org/10.3390/ani12243512</w:t>
        </w:r>
      </w:hyperlink>
      <w:r w:rsidRPr="00F05F81">
        <w:rPr>
          <w:rFonts w:ascii="Times New Roman" w:eastAsia="Times New Roman" w:hAnsi="Times New Roman" w:cs="Times New Roman"/>
          <w:sz w:val="24"/>
          <w:szCs w:val="24"/>
          <w:lang w:val="en-US"/>
        </w:rPr>
        <w:br/>
      </w:r>
    </w:p>
    <w:p w14:paraId="62F225F9"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Phan, P.-L., Nguyen-</w:t>
      </w:r>
      <w:proofErr w:type="spellStart"/>
      <w:r w:rsidRPr="00F05F81">
        <w:rPr>
          <w:rFonts w:ascii="Times New Roman" w:eastAsia="Times New Roman" w:hAnsi="Times New Roman" w:cs="Times New Roman"/>
          <w:sz w:val="24"/>
          <w:szCs w:val="24"/>
          <w:lang w:val="en-US"/>
        </w:rPr>
        <w:t>Thi</w:t>
      </w:r>
      <w:proofErr w:type="spellEnd"/>
      <w:r w:rsidRPr="00F05F81">
        <w:rPr>
          <w:rFonts w:ascii="Times New Roman" w:eastAsia="Times New Roman" w:hAnsi="Times New Roman" w:cs="Times New Roman"/>
          <w:sz w:val="24"/>
          <w:szCs w:val="24"/>
          <w:lang w:val="en-US"/>
        </w:rPr>
        <w:t xml:space="preserve">, T.-H., Nguyen, H.-T., &amp; Nguyen, P.-T. (2025). Bioactive compounds from aquatic and terrestrial plants: Potential and application in aquaculture. </w:t>
      </w:r>
      <w:r w:rsidRPr="00F05F81">
        <w:rPr>
          <w:rFonts w:ascii="Times New Roman" w:eastAsia="Times New Roman" w:hAnsi="Times New Roman" w:cs="Times New Roman"/>
          <w:i/>
          <w:iCs/>
          <w:sz w:val="24"/>
          <w:szCs w:val="24"/>
          <w:lang w:val="en-US"/>
        </w:rPr>
        <w:t>Aquatic Ecology, 59</w:t>
      </w:r>
      <w:r w:rsidRPr="00F05F81">
        <w:rPr>
          <w:rFonts w:ascii="Times New Roman" w:eastAsia="Times New Roman" w:hAnsi="Times New Roman" w:cs="Times New Roman"/>
          <w:sz w:val="24"/>
          <w:szCs w:val="24"/>
          <w:lang w:val="en-US"/>
        </w:rPr>
        <w:t xml:space="preserve">(4), 1215–1230. </w:t>
      </w:r>
      <w:hyperlink r:id="rId26" w:tgtFrame="_new" w:history="1">
        <w:r w:rsidRPr="00F05F81">
          <w:rPr>
            <w:rFonts w:ascii="Times New Roman" w:eastAsia="Times New Roman" w:hAnsi="Times New Roman" w:cs="Times New Roman"/>
            <w:color w:val="0000FF"/>
            <w:sz w:val="24"/>
            <w:szCs w:val="24"/>
            <w:u w:val="single"/>
            <w:lang w:val="en-US"/>
          </w:rPr>
          <w:t>https://doi.org/10.1007/s10452-025-10221-x</w:t>
        </w:r>
      </w:hyperlink>
      <w:r w:rsidRPr="00F05F81">
        <w:rPr>
          <w:rFonts w:ascii="Times New Roman" w:eastAsia="Times New Roman" w:hAnsi="Times New Roman" w:cs="Times New Roman"/>
          <w:sz w:val="24"/>
          <w:szCs w:val="24"/>
          <w:lang w:val="en-US"/>
        </w:rPr>
        <w:br/>
      </w:r>
    </w:p>
    <w:p w14:paraId="7EA7B5AB"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Pu, Y., &amp; Wu, S. (2022). The growth performance, body composition and nonspecific immunity of white shrimps (</w:t>
      </w:r>
      <w:proofErr w:type="spellStart"/>
      <w:r w:rsidRPr="00F05F81">
        <w:rPr>
          <w:rFonts w:ascii="Times New Roman" w:eastAsia="Times New Roman" w:hAnsi="Times New Roman" w:cs="Times New Roman"/>
          <w:i/>
          <w:iCs/>
          <w:sz w:val="24"/>
          <w:szCs w:val="24"/>
          <w:lang w:val="en-US"/>
        </w:rPr>
        <w:t>Litopenaeus</w:t>
      </w:r>
      <w:proofErr w:type="spellEnd"/>
      <w:r w:rsidRPr="00F05F81">
        <w:rPr>
          <w:rFonts w:ascii="Times New Roman" w:eastAsia="Times New Roman" w:hAnsi="Times New Roman" w:cs="Times New Roman"/>
          <w:i/>
          <w:iCs/>
          <w:sz w:val="24"/>
          <w:szCs w:val="24"/>
          <w:lang w:val="en-US"/>
        </w:rPr>
        <w:t xml:space="preserve"> </w:t>
      </w:r>
      <w:proofErr w:type="spellStart"/>
      <w:r w:rsidRPr="00F05F81">
        <w:rPr>
          <w:rFonts w:ascii="Times New Roman" w:eastAsia="Times New Roman" w:hAnsi="Times New Roman" w:cs="Times New Roman"/>
          <w:i/>
          <w:iCs/>
          <w:sz w:val="24"/>
          <w:szCs w:val="24"/>
          <w:lang w:val="en-US"/>
        </w:rPr>
        <w:t>vannamei</w:t>
      </w:r>
      <w:proofErr w:type="spellEnd"/>
      <w:r w:rsidRPr="00F05F81">
        <w:rPr>
          <w:rFonts w:ascii="Times New Roman" w:eastAsia="Times New Roman" w:hAnsi="Times New Roman" w:cs="Times New Roman"/>
          <w:sz w:val="24"/>
          <w:szCs w:val="24"/>
          <w:lang w:val="en-US"/>
        </w:rPr>
        <w:t xml:space="preserve">) affected by dietary </w:t>
      </w:r>
      <w:r w:rsidRPr="00F05F81">
        <w:rPr>
          <w:rFonts w:ascii="Times New Roman" w:eastAsia="Times New Roman" w:hAnsi="Times New Roman" w:cs="Times New Roman"/>
          <w:i/>
          <w:iCs/>
          <w:sz w:val="24"/>
          <w:szCs w:val="24"/>
          <w:lang w:val="en-US"/>
        </w:rPr>
        <w:t xml:space="preserve">Astragalus </w:t>
      </w:r>
      <w:proofErr w:type="spellStart"/>
      <w:r w:rsidRPr="00F05F81">
        <w:rPr>
          <w:rFonts w:ascii="Times New Roman" w:eastAsia="Times New Roman" w:hAnsi="Times New Roman" w:cs="Times New Roman"/>
          <w:i/>
          <w:iCs/>
          <w:sz w:val="24"/>
          <w:szCs w:val="24"/>
          <w:lang w:val="en-US"/>
        </w:rPr>
        <w:t>membranaceus</w:t>
      </w:r>
      <w:proofErr w:type="spellEnd"/>
      <w:r w:rsidRPr="00F05F81">
        <w:rPr>
          <w:rFonts w:ascii="Times New Roman" w:eastAsia="Times New Roman" w:hAnsi="Times New Roman" w:cs="Times New Roman"/>
          <w:sz w:val="24"/>
          <w:szCs w:val="24"/>
          <w:lang w:val="en-US"/>
        </w:rPr>
        <w:t xml:space="preserve"> polysaccharide. </w:t>
      </w:r>
      <w:r w:rsidRPr="00F05F81">
        <w:rPr>
          <w:rFonts w:ascii="Times New Roman" w:eastAsia="Times New Roman" w:hAnsi="Times New Roman" w:cs="Times New Roman"/>
          <w:i/>
          <w:iCs/>
          <w:sz w:val="24"/>
          <w:szCs w:val="24"/>
          <w:lang w:val="en-US"/>
        </w:rPr>
        <w:t>International Journal of Biological Macromolecules, 209</w:t>
      </w:r>
      <w:r w:rsidRPr="00F05F81">
        <w:rPr>
          <w:rFonts w:ascii="Times New Roman" w:eastAsia="Times New Roman" w:hAnsi="Times New Roman" w:cs="Times New Roman"/>
          <w:sz w:val="24"/>
          <w:szCs w:val="24"/>
          <w:lang w:val="en-US"/>
        </w:rPr>
        <w:t xml:space="preserve">, 162–165. </w:t>
      </w:r>
      <w:hyperlink r:id="rId27" w:tgtFrame="_new" w:history="1">
        <w:r w:rsidRPr="00F05F81">
          <w:rPr>
            <w:rFonts w:ascii="Times New Roman" w:eastAsia="Times New Roman" w:hAnsi="Times New Roman" w:cs="Times New Roman"/>
            <w:color w:val="0000FF"/>
            <w:sz w:val="24"/>
            <w:szCs w:val="24"/>
            <w:u w:val="single"/>
            <w:lang w:val="en-US"/>
          </w:rPr>
          <w:t>https://doi.org/10.1016/j.ijbiomac.2022.04.010</w:t>
        </w:r>
      </w:hyperlink>
      <w:r w:rsidRPr="00F05F81">
        <w:rPr>
          <w:rFonts w:ascii="Times New Roman" w:eastAsia="Times New Roman" w:hAnsi="Times New Roman" w:cs="Times New Roman"/>
          <w:sz w:val="24"/>
          <w:szCs w:val="24"/>
          <w:lang w:val="en-US"/>
        </w:rPr>
        <w:br/>
      </w:r>
    </w:p>
    <w:p w14:paraId="02F156C3"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Rawat, P., Kaur, V. I., Tyagi, A., </w:t>
      </w:r>
      <w:proofErr w:type="spellStart"/>
      <w:r w:rsidRPr="00F05F81">
        <w:rPr>
          <w:rFonts w:ascii="Times New Roman" w:eastAsia="Times New Roman" w:hAnsi="Times New Roman" w:cs="Times New Roman"/>
          <w:sz w:val="24"/>
          <w:szCs w:val="24"/>
          <w:lang w:val="en-US"/>
        </w:rPr>
        <w:t>Norouzitallab</w:t>
      </w:r>
      <w:proofErr w:type="spellEnd"/>
      <w:r w:rsidRPr="00F05F81">
        <w:rPr>
          <w:rFonts w:ascii="Times New Roman" w:eastAsia="Times New Roman" w:hAnsi="Times New Roman" w:cs="Times New Roman"/>
          <w:sz w:val="24"/>
          <w:szCs w:val="24"/>
          <w:lang w:val="en-US"/>
        </w:rPr>
        <w:t xml:space="preserve">, P., &amp; Baruah, K. (2022). Determining the efficacy of ginger </w:t>
      </w:r>
      <w:r w:rsidRPr="00F05F81">
        <w:rPr>
          <w:rFonts w:ascii="Times New Roman" w:eastAsia="Times New Roman" w:hAnsi="Times New Roman" w:cs="Times New Roman"/>
          <w:i/>
          <w:iCs/>
          <w:sz w:val="24"/>
          <w:szCs w:val="24"/>
          <w:lang w:val="en-US"/>
        </w:rPr>
        <w:t>Zingiber officinale</w:t>
      </w:r>
      <w:r w:rsidRPr="00F05F81">
        <w:rPr>
          <w:rFonts w:ascii="Times New Roman" w:eastAsia="Times New Roman" w:hAnsi="Times New Roman" w:cs="Times New Roman"/>
          <w:sz w:val="24"/>
          <w:szCs w:val="24"/>
          <w:lang w:val="en-US"/>
        </w:rPr>
        <w:t xml:space="preserve"> as a potential nutraceutical agent for boosting growth performance and health status of </w:t>
      </w:r>
      <w:proofErr w:type="spellStart"/>
      <w:r w:rsidRPr="00F05F81">
        <w:rPr>
          <w:rFonts w:ascii="Times New Roman" w:eastAsia="Times New Roman" w:hAnsi="Times New Roman" w:cs="Times New Roman"/>
          <w:i/>
          <w:iCs/>
          <w:sz w:val="24"/>
          <w:szCs w:val="24"/>
          <w:lang w:val="en-US"/>
        </w:rPr>
        <w:t>Labeo</w:t>
      </w:r>
      <w:proofErr w:type="spellEnd"/>
      <w:r w:rsidRPr="00F05F81">
        <w:rPr>
          <w:rFonts w:ascii="Times New Roman" w:eastAsia="Times New Roman" w:hAnsi="Times New Roman" w:cs="Times New Roman"/>
          <w:i/>
          <w:iCs/>
          <w:sz w:val="24"/>
          <w:szCs w:val="24"/>
          <w:lang w:val="en-US"/>
        </w:rPr>
        <w:t xml:space="preserve"> </w:t>
      </w:r>
      <w:proofErr w:type="spellStart"/>
      <w:r w:rsidRPr="00F05F81">
        <w:rPr>
          <w:rFonts w:ascii="Times New Roman" w:eastAsia="Times New Roman" w:hAnsi="Times New Roman" w:cs="Times New Roman"/>
          <w:i/>
          <w:iCs/>
          <w:sz w:val="24"/>
          <w:szCs w:val="24"/>
          <w:lang w:val="en-US"/>
        </w:rPr>
        <w:t>rohita</w:t>
      </w:r>
      <w:proofErr w:type="spellEnd"/>
      <w:r w:rsidRPr="00F05F81">
        <w:rPr>
          <w:rFonts w:ascii="Times New Roman" w:eastAsia="Times New Roman" w:hAnsi="Times New Roman" w:cs="Times New Roman"/>
          <w:sz w:val="24"/>
          <w:szCs w:val="24"/>
          <w:lang w:val="en-US"/>
        </w:rPr>
        <w:t xml:space="preserve"> reared in a semi-intensive culture system. </w:t>
      </w:r>
      <w:r w:rsidRPr="00F05F81">
        <w:rPr>
          <w:rFonts w:ascii="Times New Roman" w:eastAsia="Times New Roman" w:hAnsi="Times New Roman" w:cs="Times New Roman"/>
          <w:i/>
          <w:iCs/>
          <w:sz w:val="24"/>
          <w:szCs w:val="24"/>
          <w:lang w:val="en-US"/>
        </w:rPr>
        <w:t>Frontiers in Physiology, 13</w:t>
      </w:r>
      <w:r w:rsidRPr="00F05F81">
        <w:rPr>
          <w:rFonts w:ascii="Times New Roman" w:eastAsia="Times New Roman" w:hAnsi="Times New Roman" w:cs="Times New Roman"/>
          <w:sz w:val="24"/>
          <w:szCs w:val="24"/>
          <w:lang w:val="en-US"/>
        </w:rPr>
        <w:t xml:space="preserve">, Article 960897. </w:t>
      </w:r>
      <w:hyperlink r:id="rId28" w:tgtFrame="_new" w:history="1">
        <w:r w:rsidRPr="00F05F81">
          <w:rPr>
            <w:rFonts w:ascii="Times New Roman" w:eastAsia="Times New Roman" w:hAnsi="Times New Roman" w:cs="Times New Roman"/>
            <w:color w:val="0000FF"/>
            <w:sz w:val="24"/>
            <w:szCs w:val="24"/>
            <w:u w:val="single"/>
            <w:lang w:val="en-US"/>
          </w:rPr>
          <w:t>https://doi.org/10.3389/fphys.2022.960897</w:t>
        </w:r>
      </w:hyperlink>
      <w:r w:rsidRPr="00F05F81">
        <w:rPr>
          <w:rFonts w:ascii="Times New Roman" w:eastAsia="Times New Roman" w:hAnsi="Times New Roman" w:cs="Times New Roman"/>
          <w:sz w:val="24"/>
          <w:szCs w:val="24"/>
          <w:lang w:val="en-US"/>
        </w:rPr>
        <w:br/>
      </w:r>
    </w:p>
    <w:p w14:paraId="7F9A3135"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Tadese, D. A., Song, C., Sun, C., Liu, B., Liu, B., Zhou, Q., Xu, P., Ge, X., Liu, M., Xu, X., Tamiru, M., Zhou, Z., Lakew, A., &amp; Kevin, N. T. (2022). The role of currently used medicinal plants in aquaculture and their action mechanisms: A review. </w:t>
      </w:r>
      <w:r w:rsidRPr="00F05F81">
        <w:rPr>
          <w:rFonts w:ascii="Times New Roman" w:eastAsia="Times New Roman" w:hAnsi="Times New Roman" w:cs="Times New Roman"/>
          <w:i/>
          <w:iCs/>
          <w:sz w:val="24"/>
          <w:szCs w:val="24"/>
          <w:lang w:val="en-US"/>
        </w:rPr>
        <w:t>Reviews in Aquaculture, 14</w:t>
      </w:r>
      <w:r w:rsidRPr="00F05F81">
        <w:rPr>
          <w:rFonts w:ascii="Times New Roman" w:eastAsia="Times New Roman" w:hAnsi="Times New Roman" w:cs="Times New Roman"/>
          <w:sz w:val="24"/>
          <w:szCs w:val="24"/>
          <w:lang w:val="en-US"/>
        </w:rPr>
        <w:t xml:space="preserve">(2), 816–847. </w:t>
      </w:r>
      <w:hyperlink r:id="rId29" w:tgtFrame="_new" w:history="1">
        <w:r w:rsidRPr="00F05F81">
          <w:rPr>
            <w:rFonts w:ascii="Times New Roman" w:eastAsia="Times New Roman" w:hAnsi="Times New Roman" w:cs="Times New Roman"/>
            <w:color w:val="0000FF"/>
            <w:sz w:val="24"/>
            <w:szCs w:val="24"/>
            <w:u w:val="single"/>
            <w:lang w:val="en-US"/>
          </w:rPr>
          <w:t>https://doi.org/10.1111/raq.12626</w:t>
        </w:r>
      </w:hyperlink>
      <w:r w:rsidRPr="00F05F81">
        <w:rPr>
          <w:rFonts w:ascii="Times New Roman" w:eastAsia="Times New Roman" w:hAnsi="Times New Roman" w:cs="Times New Roman"/>
          <w:sz w:val="24"/>
          <w:szCs w:val="24"/>
          <w:lang w:val="en-US"/>
        </w:rPr>
        <w:br/>
      </w:r>
    </w:p>
    <w:p w14:paraId="595EAB33"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lastRenderedPageBreak/>
        <w:t xml:space="preserve">Yao, J., Hu, P., Zhu, Y., Xu, Y., Tan, Q., &amp; Liang, X. (2020). Lipid-lowering effects of lotus leaf alcoholic extract on serum, hepatopancreas, and muscle of juvenile grass carp via gene expression. </w:t>
      </w:r>
      <w:r w:rsidRPr="00F05F81">
        <w:rPr>
          <w:rFonts w:ascii="Times New Roman" w:eastAsia="Times New Roman" w:hAnsi="Times New Roman" w:cs="Times New Roman"/>
          <w:i/>
          <w:iCs/>
          <w:sz w:val="24"/>
          <w:szCs w:val="24"/>
          <w:lang w:val="en-US"/>
        </w:rPr>
        <w:t>Frontiers in Physiology, 11</w:t>
      </w:r>
      <w:r w:rsidRPr="00F05F81">
        <w:rPr>
          <w:rFonts w:ascii="Times New Roman" w:eastAsia="Times New Roman" w:hAnsi="Times New Roman" w:cs="Times New Roman"/>
          <w:sz w:val="24"/>
          <w:szCs w:val="24"/>
          <w:lang w:val="en-US"/>
        </w:rPr>
        <w:t xml:space="preserve">, Article 584782. </w:t>
      </w:r>
      <w:hyperlink r:id="rId30" w:tgtFrame="_new" w:history="1">
        <w:r w:rsidRPr="00F05F81">
          <w:rPr>
            <w:rFonts w:ascii="Times New Roman" w:eastAsia="Times New Roman" w:hAnsi="Times New Roman" w:cs="Times New Roman"/>
            <w:color w:val="0000FF"/>
            <w:sz w:val="24"/>
            <w:szCs w:val="24"/>
            <w:u w:val="single"/>
            <w:lang w:val="en-US"/>
          </w:rPr>
          <w:t>https://doi.org/10.3389/fphys.2020.584782</w:t>
        </w:r>
      </w:hyperlink>
      <w:r w:rsidRPr="00F05F81">
        <w:rPr>
          <w:rFonts w:ascii="Times New Roman" w:eastAsia="Times New Roman" w:hAnsi="Times New Roman" w:cs="Times New Roman"/>
          <w:sz w:val="24"/>
          <w:szCs w:val="24"/>
          <w:lang w:val="en-US"/>
        </w:rPr>
        <w:br/>
      </w:r>
    </w:p>
    <w:p w14:paraId="1FDAB87E"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Yuan, X., </w:t>
      </w:r>
      <w:proofErr w:type="spellStart"/>
      <w:r w:rsidRPr="00F05F81">
        <w:rPr>
          <w:rFonts w:ascii="Times New Roman" w:eastAsia="Times New Roman" w:hAnsi="Times New Roman" w:cs="Times New Roman"/>
          <w:sz w:val="24"/>
          <w:szCs w:val="24"/>
          <w:lang w:val="en-US"/>
        </w:rPr>
        <w:t>Lv</w:t>
      </w:r>
      <w:proofErr w:type="spellEnd"/>
      <w:r w:rsidRPr="00F05F81">
        <w:rPr>
          <w:rFonts w:ascii="Times New Roman" w:eastAsia="Times New Roman" w:hAnsi="Times New Roman" w:cs="Times New Roman"/>
          <w:sz w:val="24"/>
          <w:szCs w:val="24"/>
          <w:lang w:val="en-US"/>
        </w:rPr>
        <w:t xml:space="preserve">, Z., Zhang, Z., Han, Y., Liu, Z., &amp; Zhang, H. (2023). A review of antibiotics, antibiotic resistant bacteria, and resistance genes in aquaculture: Occurrence, contamination, and transmission. </w:t>
      </w:r>
      <w:r w:rsidRPr="00F05F81">
        <w:rPr>
          <w:rFonts w:ascii="Times New Roman" w:eastAsia="Times New Roman" w:hAnsi="Times New Roman" w:cs="Times New Roman"/>
          <w:i/>
          <w:iCs/>
          <w:sz w:val="24"/>
          <w:szCs w:val="24"/>
          <w:lang w:val="en-US"/>
        </w:rPr>
        <w:t>Toxics, 11</w:t>
      </w:r>
      <w:r w:rsidRPr="00F05F81">
        <w:rPr>
          <w:rFonts w:ascii="Times New Roman" w:eastAsia="Times New Roman" w:hAnsi="Times New Roman" w:cs="Times New Roman"/>
          <w:sz w:val="24"/>
          <w:szCs w:val="24"/>
          <w:lang w:val="en-US"/>
        </w:rPr>
        <w:t xml:space="preserve">(5), Article 420. </w:t>
      </w:r>
      <w:hyperlink r:id="rId31" w:tgtFrame="_new" w:history="1">
        <w:r w:rsidRPr="00F05F81">
          <w:rPr>
            <w:rFonts w:ascii="Times New Roman" w:eastAsia="Times New Roman" w:hAnsi="Times New Roman" w:cs="Times New Roman"/>
            <w:color w:val="0000FF"/>
            <w:sz w:val="24"/>
            <w:szCs w:val="24"/>
            <w:u w:val="single"/>
            <w:lang w:val="en-US"/>
          </w:rPr>
          <w:t>https://doi.org/10.3390/toxics11050420</w:t>
        </w:r>
      </w:hyperlink>
      <w:r w:rsidRPr="00F05F81">
        <w:rPr>
          <w:rFonts w:ascii="Times New Roman" w:eastAsia="Times New Roman" w:hAnsi="Times New Roman" w:cs="Times New Roman"/>
          <w:sz w:val="24"/>
          <w:szCs w:val="24"/>
          <w:lang w:val="en-US"/>
        </w:rPr>
        <w:br/>
      </w:r>
    </w:p>
    <w:p w14:paraId="24E48202" w14:textId="77777777" w:rsidR="00F05F81" w:rsidRPr="00F05F81" w:rsidRDefault="00F05F81" w:rsidP="00F05F81">
      <w:pPr>
        <w:spacing w:before="100" w:beforeAutospacing="1" w:after="100" w:afterAutospacing="1" w:line="240" w:lineRule="auto"/>
        <w:rPr>
          <w:rFonts w:ascii="Times New Roman" w:eastAsia="Times New Roman" w:hAnsi="Times New Roman" w:cs="Times New Roman"/>
          <w:sz w:val="24"/>
          <w:szCs w:val="24"/>
          <w:lang w:val="en-US"/>
        </w:rPr>
      </w:pPr>
      <w:r w:rsidRPr="00F05F81">
        <w:rPr>
          <w:rFonts w:ascii="Times New Roman" w:eastAsia="Times New Roman" w:hAnsi="Times New Roman" w:cs="Times New Roman"/>
          <w:sz w:val="24"/>
          <w:szCs w:val="24"/>
          <w:lang w:val="en-US"/>
        </w:rPr>
        <w:t xml:space="preserve">Zhu, Y., Zhang, X., Du, P., Wang, Z., Luo, P., Huang, Y., Liu, Z., Zhang, H., &amp; Chen, W. (2022). Dietary herbaceous mixture supplementation reduced hepatic lipid deposition and improved hepatic health status in post-peak laying hens. </w:t>
      </w:r>
      <w:r w:rsidRPr="00F05F81">
        <w:rPr>
          <w:rFonts w:ascii="Times New Roman" w:eastAsia="Times New Roman" w:hAnsi="Times New Roman" w:cs="Times New Roman"/>
          <w:i/>
          <w:iCs/>
          <w:sz w:val="24"/>
          <w:szCs w:val="24"/>
          <w:lang w:val="en-US"/>
        </w:rPr>
        <w:t>Poultry Science, 101</w:t>
      </w:r>
      <w:r w:rsidRPr="00F05F81">
        <w:rPr>
          <w:rFonts w:ascii="Times New Roman" w:eastAsia="Times New Roman" w:hAnsi="Times New Roman" w:cs="Times New Roman"/>
          <w:sz w:val="24"/>
          <w:szCs w:val="24"/>
          <w:lang w:val="en-US"/>
        </w:rPr>
        <w:t xml:space="preserve">(6), Article 101870. </w:t>
      </w:r>
      <w:hyperlink r:id="rId32" w:tgtFrame="_new" w:history="1">
        <w:r w:rsidRPr="00F05F81">
          <w:rPr>
            <w:rFonts w:ascii="Times New Roman" w:eastAsia="Times New Roman" w:hAnsi="Times New Roman" w:cs="Times New Roman"/>
            <w:color w:val="0000FF"/>
            <w:sz w:val="24"/>
            <w:szCs w:val="24"/>
            <w:u w:val="single"/>
            <w:lang w:val="en-US"/>
          </w:rPr>
          <w:t>https://doi.org/10.1016/j.psj.2022.101870</w:t>
        </w:r>
      </w:hyperlink>
    </w:p>
    <w:p w14:paraId="3A0A96E6" w14:textId="77777777" w:rsidR="00F05F81" w:rsidRPr="00733F46" w:rsidRDefault="00F05F81" w:rsidP="000A4AA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p>
    <w:sectPr w:rsidR="00F05F81" w:rsidRPr="00733F46" w:rsidSect="004841B3">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AD0FE" w14:textId="77777777" w:rsidR="00A444D5" w:rsidRDefault="00A444D5" w:rsidP="009D62E3">
      <w:pPr>
        <w:spacing w:after="0" w:line="240" w:lineRule="auto"/>
      </w:pPr>
      <w:r>
        <w:separator/>
      </w:r>
    </w:p>
  </w:endnote>
  <w:endnote w:type="continuationSeparator" w:id="0">
    <w:p w14:paraId="1893C6DF" w14:textId="77777777" w:rsidR="00A444D5" w:rsidRDefault="00A444D5" w:rsidP="009D6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CC63" w14:textId="77777777" w:rsidR="009D62E3" w:rsidRDefault="009D62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FE095" w14:textId="77777777" w:rsidR="009D62E3" w:rsidRDefault="009D62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33B" w14:textId="77777777" w:rsidR="009D62E3" w:rsidRDefault="009D6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70DFD" w14:textId="77777777" w:rsidR="00A444D5" w:rsidRDefault="00A444D5" w:rsidP="009D62E3">
      <w:pPr>
        <w:spacing w:after="0" w:line="240" w:lineRule="auto"/>
      </w:pPr>
      <w:r>
        <w:separator/>
      </w:r>
    </w:p>
  </w:footnote>
  <w:footnote w:type="continuationSeparator" w:id="0">
    <w:p w14:paraId="4D4EADF9" w14:textId="77777777" w:rsidR="00A444D5" w:rsidRDefault="00A444D5" w:rsidP="009D6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31EB" w14:textId="77777777" w:rsidR="009D62E3" w:rsidRDefault="00000000">
    <w:pPr>
      <w:pStyle w:val="Header"/>
    </w:pPr>
    <w:r>
      <w:rPr>
        <w:noProof/>
      </w:rPr>
      <w:pict w14:anchorId="3ECD5C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39762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8915" w14:textId="77777777" w:rsidR="009D62E3" w:rsidRDefault="00000000">
    <w:pPr>
      <w:pStyle w:val="Header"/>
    </w:pPr>
    <w:r>
      <w:rPr>
        <w:noProof/>
      </w:rPr>
      <w:pict w14:anchorId="1A9484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397620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1E80A" w14:textId="77777777" w:rsidR="009D62E3" w:rsidRDefault="00000000">
    <w:pPr>
      <w:pStyle w:val="Header"/>
    </w:pPr>
    <w:r>
      <w:rPr>
        <w:noProof/>
      </w:rPr>
      <w:pict w14:anchorId="7AD2B1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39762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CxsDAyMrSwNLA0sjRX0lEKTi0uzszPAykwrAUAATu0wSwAAAA="/>
  </w:docVars>
  <w:rsids>
    <w:rsidRoot w:val="00733F46"/>
    <w:rsid w:val="000A4AA5"/>
    <w:rsid w:val="00274BD4"/>
    <w:rsid w:val="00345F3B"/>
    <w:rsid w:val="004841B3"/>
    <w:rsid w:val="005E5231"/>
    <w:rsid w:val="00604FF6"/>
    <w:rsid w:val="00733F46"/>
    <w:rsid w:val="00824882"/>
    <w:rsid w:val="008B5AFF"/>
    <w:rsid w:val="009D62E3"/>
    <w:rsid w:val="009F2413"/>
    <w:rsid w:val="00A444D5"/>
    <w:rsid w:val="00A83DC1"/>
    <w:rsid w:val="00C45305"/>
    <w:rsid w:val="00D012FC"/>
    <w:rsid w:val="00F05F81"/>
    <w:rsid w:val="00F938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EB535"/>
  <w15:docId w15:val="{2D0564BC-54E7-4584-8658-47093E82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733F4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33F4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733F46"/>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ediumShading1-Accent11">
    <w:name w:val="Medium Shading 1 - Accent 1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733F4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33F46"/>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733F46"/>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733F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33F46"/>
    <w:rPr>
      <w:b/>
      <w:bCs/>
    </w:rPr>
  </w:style>
  <w:style w:type="character" w:styleId="Emphasis">
    <w:name w:val="Emphasis"/>
    <w:basedOn w:val="DefaultParagraphFont"/>
    <w:uiPriority w:val="20"/>
    <w:qFormat/>
    <w:rsid w:val="00733F46"/>
    <w:rPr>
      <w:i/>
      <w:iCs/>
    </w:rPr>
  </w:style>
  <w:style w:type="character" w:styleId="Hyperlink">
    <w:name w:val="Hyperlink"/>
    <w:basedOn w:val="DefaultParagraphFont"/>
    <w:uiPriority w:val="99"/>
    <w:semiHidden/>
    <w:unhideWhenUsed/>
    <w:rsid w:val="00733F46"/>
    <w:rPr>
      <w:color w:val="0000FF"/>
      <w:u w:val="single"/>
    </w:rPr>
  </w:style>
  <w:style w:type="table" w:styleId="TableGrid">
    <w:name w:val="Table Grid"/>
    <w:basedOn w:val="TableNormal"/>
    <w:uiPriority w:val="59"/>
    <w:rsid w:val="00733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62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2E3"/>
  </w:style>
  <w:style w:type="paragraph" w:styleId="Footer">
    <w:name w:val="footer"/>
    <w:basedOn w:val="Normal"/>
    <w:link w:val="FooterChar"/>
    <w:uiPriority w:val="99"/>
    <w:unhideWhenUsed/>
    <w:rsid w:val="009D62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1210">
      <w:bodyDiv w:val="1"/>
      <w:marLeft w:val="0"/>
      <w:marRight w:val="0"/>
      <w:marTop w:val="0"/>
      <w:marBottom w:val="0"/>
      <w:divBdr>
        <w:top w:val="none" w:sz="0" w:space="0" w:color="auto"/>
        <w:left w:val="none" w:sz="0" w:space="0" w:color="auto"/>
        <w:bottom w:val="none" w:sz="0" w:space="0" w:color="auto"/>
        <w:right w:val="none" w:sz="0" w:space="0" w:color="auto"/>
      </w:divBdr>
      <w:divsChild>
        <w:div w:id="1535539427">
          <w:marLeft w:val="0"/>
          <w:marRight w:val="0"/>
          <w:marTop w:val="0"/>
          <w:marBottom w:val="0"/>
          <w:divBdr>
            <w:top w:val="none" w:sz="0" w:space="0" w:color="auto"/>
            <w:left w:val="none" w:sz="0" w:space="0" w:color="auto"/>
            <w:bottom w:val="none" w:sz="0" w:space="0" w:color="auto"/>
            <w:right w:val="none" w:sz="0" w:space="0" w:color="auto"/>
          </w:divBdr>
        </w:div>
        <w:div w:id="1158303149">
          <w:marLeft w:val="0"/>
          <w:marRight w:val="0"/>
          <w:marTop w:val="0"/>
          <w:marBottom w:val="0"/>
          <w:divBdr>
            <w:top w:val="none" w:sz="0" w:space="0" w:color="auto"/>
            <w:left w:val="none" w:sz="0" w:space="0" w:color="auto"/>
            <w:bottom w:val="none" w:sz="0" w:space="0" w:color="auto"/>
            <w:right w:val="none" w:sz="0" w:space="0" w:color="auto"/>
          </w:divBdr>
        </w:div>
        <w:div w:id="2042392353">
          <w:marLeft w:val="0"/>
          <w:marRight w:val="0"/>
          <w:marTop w:val="0"/>
          <w:marBottom w:val="0"/>
          <w:divBdr>
            <w:top w:val="none" w:sz="0" w:space="0" w:color="auto"/>
            <w:left w:val="none" w:sz="0" w:space="0" w:color="auto"/>
            <w:bottom w:val="none" w:sz="0" w:space="0" w:color="auto"/>
            <w:right w:val="none" w:sz="0" w:space="0" w:color="auto"/>
          </w:divBdr>
        </w:div>
        <w:div w:id="1886989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17221/96/2023-VETMED" TargetMode="External"/><Relationship Id="rId18" Type="http://schemas.openxmlformats.org/officeDocument/2006/relationships/hyperlink" Target="https://doi.org/10.1007/s10499-024-01444-0" TargetMode="External"/><Relationship Id="rId26" Type="http://schemas.openxmlformats.org/officeDocument/2006/relationships/hyperlink" Target="https://doi.org/10.1007/s10452-025-10221-x" TargetMode="External"/><Relationship Id="rId39" Type="http://schemas.openxmlformats.org/officeDocument/2006/relationships/fontTable" Target="fontTable.xml"/><Relationship Id="rId21" Type="http://schemas.openxmlformats.org/officeDocument/2006/relationships/hyperlink" Target="https://doi.org/10.3390/antiox11122415" TargetMode="External"/><Relationship Id="rId34" Type="http://schemas.openxmlformats.org/officeDocument/2006/relationships/header" Target="header2.xml"/><Relationship Id="rId7" Type="http://schemas.openxmlformats.org/officeDocument/2006/relationships/hyperlink" Target="https://doi.org/10.1155/ijm/8818516" TargetMode="External"/><Relationship Id="rId12" Type="http://schemas.openxmlformats.org/officeDocument/2006/relationships/hyperlink" Target="https://doi.org/10.14202/vetworld.2023.965-976" TargetMode="External"/><Relationship Id="rId17" Type="http://schemas.openxmlformats.org/officeDocument/2006/relationships/hyperlink" Target="https://doi.org/10.1155/2023/6191330" TargetMode="External"/><Relationship Id="rId25" Type="http://schemas.openxmlformats.org/officeDocument/2006/relationships/hyperlink" Target="https://doi.org/10.3390/ani12243512"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s://doi.org/10.1155/2024/7321287" TargetMode="External"/><Relationship Id="rId20" Type="http://schemas.openxmlformats.org/officeDocument/2006/relationships/hyperlink" Target="https://doi.org/10.3389/fphar.2020.00351" TargetMode="External"/><Relationship Id="rId29" Type="http://schemas.openxmlformats.org/officeDocument/2006/relationships/hyperlink" Target="https://doi.org/10.1111/raq.12626" TargetMode="External"/><Relationship Id="rId1" Type="http://schemas.openxmlformats.org/officeDocument/2006/relationships/styles" Target="styles.xml"/><Relationship Id="rId6" Type="http://schemas.openxmlformats.org/officeDocument/2006/relationships/hyperlink" Target="https://doi.org/10.1007/s10695-022-01066-4" TargetMode="External"/><Relationship Id="rId11" Type="http://schemas.openxmlformats.org/officeDocument/2006/relationships/hyperlink" Target="https://doi.org/10.1186/s41073-019-0064-8" TargetMode="External"/><Relationship Id="rId24" Type="http://schemas.openxmlformats.org/officeDocument/2006/relationships/hyperlink" Target="https://doi.org/10.3390/ani12050546" TargetMode="External"/><Relationship Id="rId32" Type="http://schemas.openxmlformats.org/officeDocument/2006/relationships/hyperlink" Target="https://doi.org/10.1016/j.psj.2022.101870"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doi.org/10.1155/2021/8879227" TargetMode="External"/><Relationship Id="rId23" Type="http://schemas.openxmlformats.org/officeDocument/2006/relationships/hyperlink" Target="https://doi.org/10.1186/s12917-024-04070-3" TargetMode="External"/><Relationship Id="rId28" Type="http://schemas.openxmlformats.org/officeDocument/2006/relationships/hyperlink" Target="https://doi.org/10.3389/fphys.2022.960897" TargetMode="External"/><Relationship Id="rId36" Type="http://schemas.openxmlformats.org/officeDocument/2006/relationships/footer" Target="footer2.xml"/><Relationship Id="rId10" Type="http://schemas.openxmlformats.org/officeDocument/2006/relationships/hyperlink" Target="https://doi.org/10.1016/j.fsi.2017.05.034" TargetMode="External"/><Relationship Id="rId19" Type="http://schemas.openxmlformats.org/officeDocument/2006/relationships/hyperlink" Target="https://doi.org/10.1016/j.heliyon.2024.e31074" TargetMode="External"/><Relationship Id="rId31" Type="http://schemas.openxmlformats.org/officeDocument/2006/relationships/hyperlink" Target="https://doi.org/10.3390/toxics11050420" TargetMode="External"/><Relationship Id="rId4" Type="http://schemas.openxmlformats.org/officeDocument/2006/relationships/footnotes" Target="footnotes.xml"/><Relationship Id="rId9" Type="http://schemas.openxmlformats.org/officeDocument/2006/relationships/hyperlink" Target="https://doi.org/10.1007/s10499-025-02035-3" TargetMode="External"/><Relationship Id="rId14" Type="http://schemas.openxmlformats.org/officeDocument/2006/relationships/hyperlink" Target="https://doi.org/10.4060/cd0683en" TargetMode="External"/><Relationship Id="rId22" Type="http://schemas.openxmlformats.org/officeDocument/2006/relationships/hyperlink" Target="https://doi.org/10.1038/s41598-022-25611-6" TargetMode="External"/><Relationship Id="rId27" Type="http://schemas.openxmlformats.org/officeDocument/2006/relationships/hyperlink" Target="https://doi.org/10.1016/j.ijbiomac.2022.04.010" TargetMode="External"/><Relationship Id="rId30" Type="http://schemas.openxmlformats.org/officeDocument/2006/relationships/hyperlink" Target="https://doi.org/10.3389/fphys.2020.584782" TargetMode="External"/><Relationship Id="rId35" Type="http://schemas.openxmlformats.org/officeDocument/2006/relationships/footer" Target="footer1.xml"/><Relationship Id="rId8" Type="http://schemas.openxmlformats.org/officeDocument/2006/relationships/hyperlink" Target="https://doi.org/10.3390/antiox11050937"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8377</Words>
  <Characters>47754</Characters>
  <Application>Microsoft Office Word</Application>
  <DocSecurity>0</DocSecurity>
  <Lines>397</Lines>
  <Paragraphs>112</Paragraphs>
  <ScaleCrop>false</ScaleCrop>
  <Company>HP</Company>
  <LinksUpToDate>false</LinksUpToDate>
  <CharactersWithSpaces>56019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1087</cp:lastModifiedBy>
  <cp:revision>6</cp:revision>
  <dcterms:created xsi:type="dcterms:W3CDTF">2026-07-11T12:21:00Z</dcterms:created>
  <dcterms:modified xsi:type="dcterms:W3CDTF">2026-07-15T10:29:00Z</dcterms:modified>
</cp:coreProperties>
</file>