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B673" w14:textId="5BD4E513" w:rsidR="00D83EF7" w:rsidRPr="007C17D7" w:rsidRDefault="00D83EF7" w:rsidP="00B17787">
      <w:pPr>
        <w:spacing w:after="0" w:line="360" w:lineRule="auto"/>
        <w:jc w:val="center"/>
        <w:rPr>
          <w:rFonts w:ascii="Times New Roman" w:hAnsi="Times New Roman" w:cs="Times New Roman"/>
          <w:b/>
          <w:bCs/>
        </w:rPr>
      </w:pPr>
      <w:r w:rsidRPr="007C17D7">
        <w:rPr>
          <w:rFonts w:ascii="Times New Roman" w:hAnsi="Times New Roman" w:cs="Times New Roman"/>
          <w:b/>
          <w:bCs/>
        </w:rPr>
        <w:t xml:space="preserve">Seasonal assessment of water quality and aquatic biodiversity in </w:t>
      </w:r>
      <w:proofErr w:type="spellStart"/>
      <w:r w:rsidRPr="007C17D7">
        <w:rPr>
          <w:rFonts w:ascii="Times New Roman" w:hAnsi="Times New Roman" w:cs="Times New Roman"/>
          <w:b/>
          <w:bCs/>
        </w:rPr>
        <w:t>Ghanpur</w:t>
      </w:r>
      <w:proofErr w:type="spellEnd"/>
      <w:r w:rsidRPr="007C17D7">
        <w:rPr>
          <w:rFonts w:ascii="Times New Roman" w:hAnsi="Times New Roman" w:cs="Times New Roman"/>
          <w:b/>
          <w:bCs/>
        </w:rPr>
        <w:t xml:space="preserve"> (Mulug) Pond, Telangana</w:t>
      </w:r>
      <w:r w:rsidR="001F3432">
        <w:rPr>
          <w:rFonts w:ascii="Times New Roman" w:hAnsi="Times New Roman" w:cs="Times New Roman"/>
          <w:b/>
          <w:bCs/>
        </w:rPr>
        <w:t xml:space="preserve">, India </w:t>
      </w:r>
    </w:p>
    <w:p w14:paraId="3B8B2327" w14:textId="77777777" w:rsidR="00A76F1B" w:rsidRPr="007C17D7" w:rsidRDefault="00A76F1B" w:rsidP="00B17787">
      <w:pPr>
        <w:spacing w:after="0" w:line="360" w:lineRule="auto"/>
        <w:jc w:val="center"/>
        <w:rPr>
          <w:rFonts w:ascii="Times New Roman" w:hAnsi="Times New Roman" w:cs="Times New Roman"/>
          <w:b/>
          <w:bCs/>
        </w:rPr>
      </w:pPr>
    </w:p>
    <w:p w14:paraId="63D06868" w14:textId="77777777" w:rsidR="00E026E1" w:rsidRPr="007C17D7" w:rsidRDefault="005B795C" w:rsidP="00B17787">
      <w:pPr>
        <w:spacing w:after="0" w:line="360" w:lineRule="auto"/>
        <w:jc w:val="both"/>
        <w:rPr>
          <w:rFonts w:ascii="Times New Roman" w:hAnsi="Times New Roman" w:cs="Times New Roman"/>
          <w:b/>
          <w:bCs/>
        </w:rPr>
      </w:pPr>
      <w:r w:rsidRPr="007C17D7">
        <w:rPr>
          <w:rFonts w:ascii="Times New Roman" w:hAnsi="Times New Roman" w:cs="Times New Roman"/>
          <w:b/>
          <w:bCs/>
        </w:rPr>
        <w:t>ABSTRACT</w:t>
      </w:r>
    </w:p>
    <w:p w14:paraId="4D42446F" w14:textId="77777777" w:rsidR="00B21145" w:rsidRPr="007C17D7" w:rsidRDefault="0011519E" w:rsidP="00B17787">
      <w:pPr>
        <w:spacing w:after="0" w:line="360" w:lineRule="auto"/>
        <w:jc w:val="both"/>
        <w:rPr>
          <w:rFonts w:ascii="Times New Roman" w:hAnsi="Times New Roman" w:cs="Times New Roman"/>
        </w:rPr>
      </w:pPr>
      <w:r w:rsidRPr="007C17D7">
        <w:t>Freshwater ponds are ecologically significant ecosystems that support biodiversity and provide essential ecosystem services. The present study evaluated seasonal variations in physicochemical characteristics, plankton diversity and major aquatic biotic communities of Ghanpur (Mulug) Pond, Telangana, India, to assess its ecological status. Water samples were collected and analysed during three distinct seasons: pre-monsoon, monsoon and post-monsoon. The key physicochemical parameters studied included temperature, pH, dissolved oxygen (DO), biochemical oxygen demand (BOD), chemical oxygen demand (COD), total dissolved solids (TDS), turbidity, alkalinity, hardness, chloride, nitrate and phosphate. In addition, the seasonal occurrence and relative composition of major biological groups, including phytoplankton, zooplankton, aquatic macrophytes, fish, insects and amphibians, were documented to evaluate the ecological status of the pond. Water temperature varied from 26.2 to 31.5°C, dissolved oxygen ranged from 5.6 to 7.4 mg/L and BOD varied from 4.2 to 8.4 mg/L, indicating seasonal fluctuations in water quality. Higher nutrient concentrations during the monsoon supported increased phytoplankton productivity, whereas post-monsoon conditions were associated with improved biodiversity. The post-monsoon season represented a stabilisation phase, with moderate temperature, balanced pH and improved dissolved oxygen levels. Greater representation of diatoms and zooplankton groups during the post-monsoon season suggested improved ecological conditions and enhanced biological activity within the pond ecosystem. Overall, the study indicates moderate pollution during the pre-monsoon season and highlights the need for continuous monitoring and effective management practices to maintain pond health and sustainability.</w:t>
      </w:r>
    </w:p>
    <w:p w14:paraId="258C5705" w14:textId="52749A13" w:rsidR="00E36E62" w:rsidRPr="007C17D7" w:rsidRDefault="005B795C" w:rsidP="00701AE4">
      <w:pPr>
        <w:spacing w:after="0" w:line="360" w:lineRule="auto"/>
        <w:jc w:val="both"/>
        <w:rPr>
          <w:rFonts w:ascii="Times New Roman" w:hAnsi="Times New Roman" w:cs="Times New Roman"/>
        </w:rPr>
      </w:pPr>
      <w:r w:rsidRPr="008C4DE7">
        <w:rPr>
          <w:b/>
          <w:bCs/>
        </w:rPr>
        <w:t>KEYWORDS</w:t>
      </w:r>
      <w:r w:rsidRPr="007C17D7">
        <w:t>: Limnology; freshwater pond; freshwater ecosystem; seasonal variation; physicochemical parameters; dissolved oxygen; biochemical oxygen demand; nutrient enrichment; plankton diversity; aquatic biodiversity; Water Quality Index</w:t>
      </w:r>
      <w:r w:rsidR="00E723EF">
        <w:t>.</w:t>
      </w:r>
    </w:p>
    <w:p w14:paraId="13F31C62" w14:textId="77777777" w:rsidR="00E36E62" w:rsidRPr="007C17D7" w:rsidRDefault="00E36E62" w:rsidP="00701AE4">
      <w:pPr>
        <w:spacing w:after="0" w:line="360" w:lineRule="auto"/>
        <w:jc w:val="both"/>
        <w:rPr>
          <w:rFonts w:ascii="Times New Roman" w:hAnsi="Times New Roman" w:cs="Times New Roman"/>
        </w:rPr>
      </w:pPr>
    </w:p>
    <w:p w14:paraId="7094A39B" w14:textId="77777777" w:rsidR="00E36E62" w:rsidRPr="007C17D7" w:rsidRDefault="00E36E62" w:rsidP="00701AE4">
      <w:pPr>
        <w:spacing w:after="0" w:line="360" w:lineRule="auto"/>
        <w:jc w:val="both"/>
        <w:rPr>
          <w:rFonts w:ascii="Times New Roman" w:hAnsi="Times New Roman" w:cs="Times New Roman"/>
        </w:rPr>
      </w:pPr>
    </w:p>
    <w:p w14:paraId="11556081" w14:textId="77777777" w:rsidR="00701AE4" w:rsidRPr="007C17D7" w:rsidRDefault="00701AE4" w:rsidP="00701AE4">
      <w:pPr>
        <w:spacing w:after="0" w:line="360" w:lineRule="auto"/>
        <w:jc w:val="both"/>
        <w:rPr>
          <w:rFonts w:ascii="Times New Roman" w:hAnsi="Times New Roman" w:cs="Times New Roman"/>
        </w:rPr>
      </w:pPr>
    </w:p>
    <w:p w14:paraId="1363FD9F" w14:textId="77777777" w:rsidR="0076139E" w:rsidRPr="007C17D7" w:rsidRDefault="005B795C" w:rsidP="00701AE4">
      <w:pPr>
        <w:pStyle w:val="ListParagraph"/>
        <w:numPr>
          <w:ilvl w:val="0"/>
          <w:numId w:val="19"/>
        </w:numPr>
        <w:spacing w:after="0" w:line="360" w:lineRule="auto"/>
        <w:ind w:left="284"/>
        <w:jc w:val="both"/>
        <w:rPr>
          <w:rFonts w:ascii="Times New Roman" w:hAnsi="Times New Roman" w:cs="Times New Roman"/>
          <w:b/>
          <w:bCs/>
        </w:rPr>
      </w:pPr>
      <w:r w:rsidRPr="007C17D7">
        <w:rPr>
          <w:rFonts w:ascii="Times New Roman" w:hAnsi="Times New Roman" w:cs="Times New Roman"/>
          <w:b/>
          <w:bCs/>
        </w:rPr>
        <w:t>INTRODUCTION</w:t>
      </w:r>
    </w:p>
    <w:p w14:paraId="33D4AD22" w14:textId="10C94FDF" w:rsidR="007C17B7" w:rsidRPr="007C17D7" w:rsidRDefault="001A1351" w:rsidP="002F3487">
      <w:pPr>
        <w:spacing w:before="100" w:beforeAutospacing="1" w:after="100" w:afterAutospacing="1" w:line="360" w:lineRule="auto"/>
        <w:jc w:val="both"/>
        <w:rPr>
          <w:rFonts w:ascii="Times New Roman" w:eastAsia="Times New Roman" w:hAnsi="Times New Roman" w:cs="Times New Roman"/>
          <w:bCs/>
          <w:kern w:val="0"/>
          <w:lang w:eastAsia="en-IN"/>
          <w14:ligatures w14:val="none"/>
        </w:rPr>
      </w:pPr>
      <w:r w:rsidRPr="007C17D7">
        <w:t>Freshwater ecosystems are among the most productive and ecologically significant natural resources, providing essential services such as drinking water, irrigation, fisheries, groundwater recharge, biodiversity conservation and recreation (Kalff, 2002; Wetzel, 2001; Dodds &amp; Whiles, 20</w:t>
      </w:r>
      <w:r w:rsidR="00462D1C">
        <w:t>17</w:t>
      </w:r>
      <w:r w:rsidRPr="007C17D7">
        <w:t>). Their ecological health is largely determined by interactions between physicochemical characteristics and biological communities, particularly plankton, which respond rapidly to environmental change and therefore serve as reliable indicators of water quality (</w:t>
      </w:r>
      <w:proofErr w:type="spellStart"/>
      <w:r w:rsidR="00462D1C" w:rsidRPr="00462D1C">
        <w:t>Bogardi</w:t>
      </w:r>
      <w:proofErr w:type="spellEnd"/>
      <w:r w:rsidRPr="007C17D7">
        <w:t xml:space="preserve"> et al., 202</w:t>
      </w:r>
      <w:r w:rsidR="00462D1C">
        <w:t>0</w:t>
      </w:r>
      <w:r w:rsidRPr="007C17D7">
        <w:t>; Smith et al., 1999; Shetty &amp; Gulimane, 2023). Recent evidence also supports the use of zooplankton functional diversity as a sensitive bioindicator of freshwater ecosystem health under land-use and anthropogenic gradients (Goździejewska et al., 2024).</w:t>
      </w:r>
    </w:p>
    <w:p w14:paraId="6031CB64" w14:textId="643322A8" w:rsidR="007C17B7" w:rsidRPr="007C17D7" w:rsidRDefault="001A1351" w:rsidP="002F3487">
      <w:pPr>
        <w:spacing w:before="100" w:beforeAutospacing="1" w:after="100" w:afterAutospacing="1" w:line="360" w:lineRule="auto"/>
        <w:jc w:val="both"/>
        <w:rPr>
          <w:rFonts w:ascii="Times New Roman" w:eastAsia="Times New Roman" w:hAnsi="Times New Roman" w:cs="Times New Roman"/>
          <w:bCs/>
          <w:kern w:val="0"/>
          <w:lang w:eastAsia="en-IN"/>
          <w14:ligatures w14:val="none"/>
        </w:rPr>
      </w:pPr>
      <w:r w:rsidRPr="007C17D7">
        <w:t>Seasonal fluctuations in climatic factors, including temperature, rainfall, evaporation and surface runoff, strongly influence the limnological characteristics of freshwater bodies. Water quality is commonly assessed using physicochemical parameters such as pH, dissolved oxygen, biochemical oxygen demand, chemical oxygen demand, total dissolved solids and nutrient concentrations, which provide valuable information on ecological status, freshwater ecosystem health and biological productivity (Wetzel, 2001; Dodds &amp; Whiles, 20</w:t>
      </w:r>
      <w:r w:rsidR="00462D1C">
        <w:t>17</w:t>
      </w:r>
      <w:r w:rsidRPr="007C17D7">
        <w:t>; Wetzel &amp; Likens, 20</w:t>
      </w:r>
      <w:r w:rsidR="00462D1C">
        <w:t>00</w:t>
      </w:r>
      <w:r w:rsidRPr="007C17D7">
        <w:t>). Agricultural runoff, domestic wastewater and anthropogenic disturbances further modify nutrient dynamics, often resulting in eutrophication and deterioration of water quality (Smith et al., 1999; Dodds &amp; Smith, 2016; Sarkar et al., 2020). Evidence from managed and unmanaged freshwater ponds further indicates that organic loading may coincide with reduced dissolved oxygen and increased biochemical oxygen demand and phosphate concentrations, supporting the integrated interpretation of water quality and plankton productivity (Singh et al., 2016).</w:t>
      </w:r>
    </w:p>
    <w:p w14:paraId="54DFF046" w14:textId="2D078AC6" w:rsidR="007C17B7" w:rsidRPr="007C17D7" w:rsidRDefault="001A1351" w:rsidP="002F3487">
      <w:pPr>
        <w:spacing w:before="100" w:beforeAutospacing="1" w:after="100" w:afterAutospacing="1" w:line="360" w:lineRule="auto"/>
        <w:jc w:val="both"/>
        <w:rPr>
          <w:rFonts w:ascii="Times New Roman" w:eastAsia="Times New Roman" w:hAnsi="Times New Roman" w:cs="Times New Roman"/>
          <w:bCs/>
          <w:kern w:val="0"/>
          <w:lang w:eastAsia="en-IN"/>
          <w14:ligatures w14:val="none"/>
        </w:rPr>
      </w:pPr>
      <w:r w:rsidRPr="007C17D7">
        <w:t xml:space="preserve">Plankton communities, comprising phytoplankton and zooplankton, play a fundamental role in aquatic food webs by supporting higher trophic levels and maintaining ecosystem stability. Phytoplankton contribute substantially to primary productivity, whereas zooplankton regulate algal populations and serve as an important food source for fish </w:t>
      </w:r>
      <w:r w:rsidRPr="007C17D7">
        <w:lastRenderedPageBreak/>
        <w:t>and other aquatic organisms (Needham &amp; Needham, 1962; Battish, 1992; Reynolds, 2006). Because plankton respond rapidly to changes in environmental conditions, their diversity and abundance are widely used as biological indicators for assessing freshwater ecosystem health (Aravinth et al., 2023; Panikkar et al., 2024). Freshwater bloom studies further show that altered nutrient conditions can change plankton diversity and dominance patterns, particularly where cyanobacterial blooms develop under eutrophic conditions (Amorim &amp; Moura, 2021).</w:t>
      </w:r>
    </w:p>
    <w:p w14:paraId="72B5A5C5" w14:textId="5D683A6A" w:rsidR="007C17B7" w:rsidRPr="007C17D7" w:rsidRDefault="001A1351" w:rsidP="002F3487">
      <w:pPr>
        <w:spacing w:before="100" w:beforeAutospacing="1" w:after="100" w:afterAutospacing="1" w:line="360" w:lineRule="auto"/>
        <w:jc w:val="both"/>
        <w:rPr>
          <w:rFonts w:ascii="Times New Roman" w:eastAsia="Times New Roman" w:hAnsi="Times New Roman" w:cs="Times New Roman"/>
          <w:bCs/>
          <w:kern w:val="0"/>
          <w:lang w:eastAsia="en-IN"/>
          <w14:ligatures w14:val="none"/>
        </w:rPr>
      </w:pPr>
      <w:r w:rsidRPr="007C17D7">
        <w:t>Assessment of physicochemical parameters together with plankton diversity provides a comprehensive understanding of freshwater ecosystem dynamics. Standard analytical procedures recommended by the American Public Health Association help ensure reliable evaluation of water quality parameters and facilitate comparison among freshwater ecosystems (APHA, 2017). Furthermore, integrated approaches such as the Water Quality Index (WQI) provide a simplified yet effective means of evaluating overall water quality and trophic status for environmental management (Carlson, 1977). Recent Indian freshwater studies have similarly shown that fish assemblages and diversity patterns are associated with physicochemical habitat conditions, reinforcing the ecological value of combining water-quality measurements with biological observations (Patel, 2025; Nimasow et al., 2025).</w:t>
      </w:r>
    </w:p>
    <w:p w14:paraId="190E3CC1" w14:textId="4AD14E80" w:rsidR="001A1351" w:rsidRPr="007C17D7" w:rsidRDefault="001A1351" w:rsidP="00B17787">
      <w:pPr>
        <w:spacing w:before="100" w:beforeAutospacing="1" w:after="100" w:afterAutospacing="1" w:line="360" w:lineRule="auto"/>
        <w:jc w:val="both"/>
        <w:rPr>
          <w:rFonts w:ascii="Times New Roman" w:eastAsia="Times New Roman" w:hAnsi="Times New Roman" w:cs="Times New Roman"/>
          <w:bCs/>
          <w:kern w:val="0"/>
          <w:lang w:eastAsia="en-IN"/>
          <w14:ligatures w14:val="none"/>
        </w:rPr>
      </w:pPr>
      <w:r w:rsidRPr="007C17D7">
        <w:t>Several investigations have reported significant seasonal variation in physicochemical characteristics, nutrient dynamics and plankton diversity in Indian freshwater ecosystems (Sarkar et al., 2020; Aravinth et al., 2023; Panikkar et al., 2024; Garai et al., 2025). National freshwater monitoring efforts also emphasise the value of baseline information for water-resource management (</w:t>
      </w:r>
      <w:r w:rsidR="00462D1C" w:rsidRPr="00462D1C">
        <w:t>Central Pollution Control Board</w:t>
      </w:r>
      <w:r w:rsidRPr="007C17D7">
        <w:t xml:space="preserve">, </w:t>
      </w:r>
      <w:r w:rsidR="00462D1C">
        <w:t>n.d.</w:t>
      </w:r>
      <w:r w:rsidRPr="007C17D7">
        <w:t xml:space="preserve">). However, scientific information on the limnological characteristics and biodiversity of Ghanpur (Mulug) Pond in Jayashankar Bhupalpally District, Telangana, remains limited. Integrated seasonal information combining physicochemical status, plankton composition, broader aquatic biodiversity and WQI-based assessment for this pond is also insufficient. Therefore, the present investigation was undertaken to evaluate seasonal variation in physicochemical characteristics, plankton diversity and aquatic biodiversity of Ghanpur (Mulug) Pond. The study also aims to assess overall water quality </w:t>
      </w:r>
      <w:r w:rsidRPr="007C17D7">
        <w:lastRenderedPageBreak/>
        <w:t>using the Water Quality Index (WQI), examine seasonal ecological changes and generate baseline information for sustainable management and conservation of freshwater ecosystems in Telangana.</w:t>
      </w:r>
    </w:p>
    <w:p w14:paraId="523D7FAB" w14:textId="77777777" w:rsidR="00A91AE3" w:rsidRPr="007C17D7" w:rsidRDefault="0076139E" w:rsidP="00B17787">
      <w:pPr>
        <w:spacing w:line="360" w:lineRule="auto"/>
        <w:jc w:val="both"/>
        <w:rPr>
          <w:rFonts w:ascii="Times New Roman" w:hAnsi="Times New Roman" w:cs="Times New Roman"/>
        </w:rPr>
      </w:pPr>
      <w:r w:rsidRPr="007C17D7">
        <w:rPr>
          <w:rFonts w:ascii="Times New Roman" w:hAnsi="Times New Roman" w:cs="Times New Roman"/>
        </w:rPr>
        <w:t xml:space="preserve"> </w:t>
      </w:r>
      <w:r w:rsidR="00A91AE3" w:rsidRPr="007C17D7">
        <w:rPr>
          <w:rFonts w:ascii="Times New Roman" w:hAnsi="Times New Roman" w:cs="Times New Roman"/>
          <w:b/>
          <w:bCs/>
        </w:rPr>
        <w:t>Objectives of the Study</w:t>
      </w:r>
    </w:p>
    <w:p w14:paraId="1C57AEDF" w14:textId="77777777" w:rsidR="00A91AE3" w:rsidRPr="007C17D7" w:rsidRDefault="00A91AE3" w:rsidP="00B17787">
      <w:pPr>
        <w:numPr>
          <w:ilvl w:val="0"/>
          <w:numId w:val="1"/>
        </w:numPr>
        <w:spacing w:line="360" w:lineRule="auto"/>
        <w:rPr>
          <w:rFonts w:ascii="Times New Roman" w:hAnsi="Times New Roman" w:cs="Times New Roman"/>
        </w:rPr>
      </w:pPr>
      <w:r w:rsidRPr="007C17D7">
        <w:rPr>
          <w:rFonts w:ascii="Times New Roman" w:hAnsi="Times New Roman" w:cs="Times New Roman"/>
        </w:rPr>
        <w:t xml:space="preserve">To </w:t>
      </w:r>
      <w:r w:rsidR="00350704" w:rsidRPr="007C17D7">
        <w:rPr>
          <w:rFonts w:ascii="Times New Roman" w:hAnsi="Times New Roman" w:cs="Times New Roman"/>
        </w:rPr>
        <w:t>analyse</w:t>
      </w:r>
      <w:r w:rsidRPr="007C17D7">
        <w:rPr>
          <w:rFonts w:ascii="Times New Roman" w:hAnsi="Times New Roman" w:cs="Times New Roman"/>
        </w:rPr>
        <w:t xml:space="preserve"> seasonal variation in physicochemical parameters </w:t>
      </w:r>
    </w:p>
    <w:p w14:paraId="6ADC5C21" w14:textId="77777777" w:rsidR="00A91AE3" w:rsidRPr="007C17D7" w:rsidRDefault="00A91AE3" w:rsidP="00B17787">
      <w:pPr>
        <w:numPr>
          <w:ilvl w:val="0"/>
          <w:numId w:val="1"/>
        </w:numPr>
        <w:spacing w:line="360" w:lineRule="auto"/>
        <w:rPr>
          <w:rFonts w:ascii="Times New Roman" w:hAnsi="Times New Roman" w:cs="Times New Roman"/>
        </w:rPr>
      </w:pPr>
      <w:r w:rsidRPr="007C17D7">
        <w:rPr>
          <w:rFonts w:ascii="Times New Roman" w:hAnsi="Times New Roman" w:cs="Times New Roman"/>
        </w:rPr>
        <w:t xml:space="preserve">To evaluate water quality using DO, BOD, COD, TDS, and nutrients </w:t>
      </w:r>
    </w:p>
    <w:p w14:paraId="22C743E5" w14:textId="77777777" w:rsidR="00A91AE3" w:rsidRPr="007C17D7" w:rsidRDefault="00A91AE3" w:rsidP="00B17787">
      <w:pPr>
        <w:numPr>
          <w:ilvl w:val="0"/>
          <w:numId w:val="1"/>
        </w:numPr>
        <w:spacing w:line="360" w:lineRule="auto"/>
        <w:rPr>
          <w:rFonts w:ascii="Times New Roman" w:hAnsi="Times New Roman" w:cs="Times New Roman"/>
        </w:rPr>
      </w:pPr>
      <w:r w:rsidRPr="007C17D7">
        <w:rPr>
          <w:rFonts w:ascii="Times New Roman" w:hAnsi="Times New Roman" w:cs="Times New Roman"/>
        </w:rPr>
        <w:t xml:space="preserve">To study phytoplankton and zooplankton diversity </w:t>
      </w:r>
    </w:p>
    <w:p w14:paraId="51845CDE" w14:textId="77777777" w:rsidR="00A91AE3" w:rsidRPr="007C17D7" w:rsidRDefault="00A91AE3" w:rsidP="00B17787">
      <w:pPr>
        <w:numPr>
          <w:ilvl w:val="0"/>
          <w:numId w:val="1"/>
        </w:numPr>
        <w:spacing w:line="360" w:lineRule="auto"/>
        <w:rPr>
          <w:rFonts w:ascii="Times New Roman" w:hAnsi="Times New Roman" w:cs="Times New Roman"/>
        </w:rPr>
      </w:pPr>
      <w:r w:rsidRPr="007C17D7">
        <w:rPr>
          <w:rFonts w:ascii="Times New Roman" w:hAnsi="Times New Roman" w:cs="Times New Roman"/>
        </w:rPr>
        <w:t xml:space="preserve">To assess aquatic flora and fauna </w:t>
      </w:r>
    </w:p>
    <w:p w14:paraId="5DEB7EB9" w14:textId="77777777" w:rsidR="00A91AE3" w:rsidRPr="007C17D7" w:rsidRDefault="00A91AE3" w:rsidP="00B17787">
      <w:pPr>
        <w:numPr>
          <w:ilvl w:val="0"/>
          <w:numId w:val="1"/>
        </w:numPr>
        <w:spacing w:line="360" w:lineRule="auto"/>
        <w:rPr>
          <w:rFonts w:ascii="Times New Roman" w:hAnsi="Times New Roman" w:cs="Times New Roman"/>
        </w:rPr>
      </w:pPr>
      <w:r w:rsidRPr="007C17D7">
        <w:rPr>
          <w:rFonts w:ascii="Times New Roman" w:hAnsi="Times New Roman" w:cs="Times New Roman"/>
        </w:rPr>
        <w:t xml:space="preserve">To compare results with similar freshwater studies </w:t>
      </w:r>
    </w:p>
    <w:p w14:paraId="2E696363" w14:textId="77777777" w:rsidR="007654EF" w:rsidRPr="007C17D7" w:rsidRDefault="00A91AE3" w:rsidP="00B17787">
      <w:pPr>
        <w:numPr>
          <w:ilvl w:val="0"/>
          <w:numId w:val="1"/>
        </w:numPr>
        <w:spacing w:line="360" w:lineRule="auto"/>
        <w:rPr>
          <w:rFonts w:ascii="Times New Roman" w:hAnsi="Times New Roman" w:cs="Times New Roman"/>
        </w:rPr>
      </w:pPr>
      <w:r w:rsidRPr="007C17D7">
        <w:rPr>
          <w:rFonts w:ascii="Times New Roman" w:hAnsi="Times New Roman" w:cs="Times New Roman"/>
        </w:rPr>
        <w:t>To suggest conservation strategies</w:t>
      </w:r>
    </w:p>
    <w:p w14:paraId="1C16A130" w14:textId="77777777" w:rsidR="003B2300" w:rsidRPr="007C17D7" w:rsidRDefault="002B1A8B" w:rsidP="00B17787">
      <w:pPr>
        <w:spacing w:line="360" w:lineRule="auto"/>
        <w:rPr>
          <w:rFonts w:ascii="Times New Roman" w:hAnsi="Times New Roman" w:cs="Times New Roman"/>
          <w:b/>
          <w:bCs/>
        </w:rPr>
      </w:pPr>
      <w:r w:rsidRPr="007C17D7">
        <w:rPr>
          <w:rFonts w:ascii="Times New Roman" w:hAnsi="Times New Roman" w:cs="Times New Roman"/>
          <w:b/>
          <w:bCs/>
        </w:rPr>
        <w:t>2</w:t>
      </w:r>
      <w:r w:rsidR="003B2300" w:rsidRPr="007C17D7">
        <w:rPr>
          <w:rFonts w:ascii="Times New Roman" w:hAnsi="Times New Roman" w:cs="Times New Roman"/>
          <w:b/>
          <w:bCs/>
        </w:rPr>
        <w:t>. MATERIALS AND METHODS</w:t>
      </w:r>
    </w:p>
    <w:p w14:paraId="2B326835" w14:textId="77777777" w:rsidR="00C2319D" w:rsidRPr="007C17D7" w:rsidRDefault="00C2319D" w:rsidP="00B17787">
      <w:pPr>
        <w:spacing w:line="360" w:lineRule="auto"/>
        <w:jc w:val="both"/>
        <w:rPr>
          <w:rFonts w:ascii="Times New Roman" w:hAnsi="Times New Roman" w:cs="Times New Roman"/>
          <w:b/>
          <w:bCs/>
        </w:rPr>
      </w:pPr>
      <w:r w:rsidRPr="007C17D7">
        <w:rPr>
          <w:rFonts w:ascii="Times New Roman" w:hAnsi="Times New Roman" w:cs="Times New Roman"/>
          <w:b/>
          <w:bCs/>
        </w:rPr>
        <w:t>2.1 Study Area</w:t>
      </w:r>
    </w:p>
    <w:p w14:paraId="47D494D1" w14:textId="1F5C0C96" w:rsidR="00C2319D" w:rsidRPr="007C17D7" w:rsidRDefault="00C2319D" w:rsidP="00B17787">
      <w:pPr>
        <w:spacing w:line="360" w:lineRule="auto"/>
        <w:jc w:val="both"/>
        <w:rPr>
          <w:rFonts w:ascii="Times New Roman" w:hAnsi="Times New Roman" w:cs="Times New Roman"/>
        </w:rPr>
      </w:pPr>
      <w:r w:rsidRPr="007C17D7">
        <w:t>The present investigation was conducted at Ghanpur (Mulug) Pond, located in Jayashankar Bhupalpally District, Telangana, India. The pond is an important freshwater ecosystem that supports irrigation, fisheries, groundwater recharge, livestock and domestic activities in the surrounding villages. Seasonal rainfall, agricultural runoff and local drainage influence the hydrological and ecological characteristics of the pond (Wetzel, 2001; Dodds &amp; Whiles, 20</w:t>
      </w:r>
      <w:r w:rsidR="00462D1C">
        <w:t>17</w:t>
      </w:r>
      <w:r w:rsidRPr="007C17D7">
        <w:t>; Garai et al., 2025).</w:t>
      </w:r>
    </w:p>
    <w:p w14:paraId="415DEE6B" w14:textId="77777777" w:rsidR="00C61C2A" w:rsidRPr="007C17D7" w:rsidRDefault="00772CFC" w:rsidP="00B17787">
      <w:pPr>
        <w:spacing w:line="360" w:lineRule="auto"/>
        <w:jc w:val="both"/>
        <w:rPr>
          <w:rFonts w:ascii="Times New Roman" w:hAnsi="Times New Roman" w:cs="Times New Roman"/>
        </w:rPr>
      </w:pPr>
      <w:r w:rsidRPr="007C17D7">
        <w:rPr>
          <w:noProof/>
        </w:rPr>
        <w:lastRenderedPageBreak/>
        <w:drawing>
          <wp:inline distT="0" distB="0" distL="0" distR="0" wp14:anchorId="5223C9CD" wp14:editId="58714F53">
            <wp:extent cx="5796280" cy="3535136"/>
            <wp:effectExtent l="0" t="0" r="0" b="8255"/>
            <wp:docPr id="10802433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1232" cy="3550354"/>
                    </a:xfrm>
                    <a:prstGeom prst="rect">
                      <a:avLst/>
                    </a:prstGeom>
                    <a:noFill/>
                    <a:ln>
                      <a:noFill/>
                    </a:ln>
                  </pic:spPr>
                </pic:pic>
              </a:graphicData>
            </a:graphic>
          </wp:inline>
        </w:drawing>
      </w:r>
    </w:p>
    <w:p w14:paraId="4B904634" w14:textId="77777777" w:rsidR="006C0501" w:rsidRPr="007C17D7" w:rsidRDefault="00137EF5" w:rsidP="00350704">
      <w:pPr>
        <w:spacing w:line="360" w:lineRule="auto"/>
        <w:jc w:val="center"/>
        <w:rPr>
          <w:rFonts w:ascii="Times New Roman" w:hAnsi="Times New Roman" w:cs="Times New Roman"/>
          <w:b/>
          <w:bCs/>
        </w:rPr>
      </w:pPr>
      <w:r w:rsidRPr="007C17D7">
        <w:rPr>
          <w:noProof/>
        </w:rPr>
        <mc:AlternateContent>
          <mc:Choice Requires="wps">
            <w:drawing>
              <wp:inline distT="0" distB="0" distL="0" distR="0" wp14:anchorId="307488C9" wp14:editId="75AF5F52">
                <wp:extent cx="304800" cy="304800"/>
                <wp:effectExtent l="0" t="0" r="0" b="0"/>
                <wp:docPr id="725177776" name="Rectangle 1" descr="Generated image: Ghanpur pond water quality study ma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A9D73" id="Rectangle 1" o:spid="_x0000_s1026" alt="Generated image: Ghanpur pond water quality study ma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50704" w:rsidRPr="007C17D7">
        <w:rPr>
          <w:rFonts w:ascii="Times New Roman" w:hAnsi="Times New Roman" w:cs="Times New Roman"/>
          <w:b/>
          <w:bCs/>
        </w:rPr>
        <w:t>Figure 1</w:t>
      </w:r>
      <w:r w:rsidR="006E3B8B" w:rsidRPr="007C17D7">
        <w:rPr>
          <w:rFonts w:ascii="Times New Roman" w:hAnsi="Times New Roman" w:cs="Times New Roman"/>
          <w:b/>
          <w:bCs/>
        </w:rPr>
        <w:t>. Study Area</w:t>
      </w:r>
    </w:p>
    <w:p w14:paraId="78E20FBB" w14:textId="77777777" w:rsidR="00C2319D" w:rsidRPr="007C17D7" w:rsidRDefault="00C2319D" w:rsidP="00B17787">
      <w:pPr>
        <w:spacing w:line="360" w:lineRule="auto"/>
        <w:jc w:val="both"/>
        <w:rPr>
          <w:rFonts w:ascii="Times New Roman" w:hAnsi="Times New Roman" w:cs="Times New Roman"/>
          <w:b/>
          <w:bCs/>
        </w:rPr>
      </w:pPr>
      <w:r w:rsidRPr="007C17D7">
        <w:rPr>
          <w:rFonts w:ascii="Times New Roman" w:hAnsi="Times New Roman" w:cs="Times New Roman"/>
          <w:b/>
          <w:bCs/>
        </w:rPr>
        <w:t>2.2 Water Sampling</w:t>
      </w:r>
    </w:p>
    <w:p w14:paraId="138266C8" w14:textId="77777777" w:rsidR="00C2319D" w:rsidRPr="007C17D7" w:rsidRDefault="008D747B" w:rsidP="00B17787">
      <w:pPr>
        <w:spacing w:line="360" w:lineRule="auto"/>
        <w:jc w:val="both"/>
        <w:rPr>
          <w:rFonts w:ascii="Times New Roman" w:hAnsi="Times New Roman" w:cs="Times New Roman"/>
        </w:rPr>
      </w:pPr>
      <w:r w:rsidRPr="007C17D7">
        <w:t>Water samples were collected monthly from five representative sampling stations (S1–S5) between March 2025 and February 2026. Based on the regional climatic pattern, the sampling period was grouped into pre-monsoon (March–June 2025), monsoon (July–October 2025) and post-monsoon (November 2025–February 2026) seasons (APHA, 2017; International Organization for Standardization [ISO], 2023). The locations of the sampling stations are shown in Figure 1.</w:t>
      </w:r>
    </w:p>
    <w:p w14:paraId="0CADC53A" w14:textId="77777777" w:rsidR="00C2319D" w:rsidRPr="007C17D7" w:rsidRDefault="00C2319D" w:rsidP="00B17787">
      <w:pPr>
        <w:spacing w:line="360" w:lineRule="auto"/>
        <w:jc w:val="both"/>
        <w:rPr>
          <w:rFonts w:ascii="Times New Roman" w:hAnsi="Times New Roman" w:cs="Times New Roman"/>
          <w:b/>
          <w:bCs/>
        </w:rPr>
      </w:pPr>
      <w:r w:rsidRPr="007C17D7">
        <w:rPr>
          <w:rFonts w:ascii="Times New Roman" w:hAnsi="Times New Roman" w:cs="Times New Roman"/>
          <w:b/>
          <w:bCs/>
        </w:rPr>
        <w:t>2.3 Physicochemical Analysis</w:t>
      </w:r>
    </w:p>
    <w:p w14:paraId="0173E8E3" w14:textId="77777777" w:rsidR="00C2319D" w:rsidRPr="007C17D7" w:rsidRDefault="00C2319D" w:rsidP="00B17787">
      <w:pPr>
        <w:spacing w:line="360" w:lineRule="auto"/>
        <w:jc w:val="both"/>
        <w:rPr>
          <w:rFonts w:ascii="Times New Roman" w:hAnsi="Times New Roman" w:cs="Times New Roman"/>
        </w:rPr>
      </w:pPr>
      <w:r w:rsidRPr="007C17D7">
        <w:t>Water temperature, pH, dissolved oxygen (DO), biochemical oxygen demand (BOD), chemical oxygen demand (COD), total dissolved solids (TDS), turbidity, alkalinity, hardness, chloride, nitrate and phosphate were analysed according to the Standard Methods for the Examination of Water and Wastewater (APHA, 2017). Instrument calibration, reagent blanks, duplicate analyses and quality-control procedures were followed throughout the study (APHA, 2017; World Health Organization [WHO], 2022).</w:t>
      </w:r>
    </w:p>
    <w:p w14:paraId="56BA0363" w14:textId="77777777" w:rsidR="00C2319D" w:rsidRPr="007C17D7" w:rsidRDefault="00C2319D" w:rsidP="00B17787">
      <w:pPr>
        <w:spacing w:line="360" w:lineRule="auto"/>
        <w:jc w:val="both"/>
        <w:rPr>
          <w:rFonts w:ascii="Times New Roman" w:hAnsi="Times New Roman" w:cs="Times New Roman"/>
          <w:b/>
          <w:bCs/>
        </w:rPr>
      </w:pPr>
      <w:r w:rsidRPr="007C17D7">
        <w:rPr>
          <w:rFonts w:ascii="Times New Roman" w:hAnsi="Times New Roman" w:cs="Times New Roman"/>
          <w:b/>
          <w:bCs/>
        </w:rPr>
        <w:t>2.4 Plankton Collection and Identification</w:t>
      </w:r>
    </w:p>
    <w:p w14:paraId="3920CC47" w14:textId="77777777" w:rsidR="00C2319D" w:rsidRPr="007C17D7" w:rsidRDefault="00C2319D" w:rsidP="00B17787">
      <w:pPr>
        <w:spacing w:line="360" w:lineRule="auto"/>
        <w:jc w:val="both"/>
        <w:rPr>
          <w:rFonts w:ascii="Times New Roman" w:hAnsi="Times New Roman" w:cs="Times New Roman"/>
        </w:rPr>
      </w:pPr>
      <w:r w:rsidRPr="007C17D7">
        <w:lastRenderedPageBreak/>
        <w:t>Plankton samples were collected using a standard plankton net (64-µm mesh) and preserved in 4% formalin solution. The seasonal occurrence and relative dominance of the major plankton groups were assessed qualitatively based on field observations, and no quantitative species abundance or density measurements were performed (Needham &amp; Needham, 1962; Battish, 1992). Recent classifications and ecological interpretations were compared with contemporary studies on freshwater plankton diversity (Aravinth et al., 2023; Panikkar et al., 2024).</w:t>
      </w:r>
    </w:p>
    <w:p w14:paraId="3A498088" w14:textId="77777777" w:rsidR="006D2EEB" w:rsidRPr="007C17D7" w:rsidRDefault="006D2EEB" w:rsidP="00B17787">
      <w:pPr>
        <w:spacing w:line="360" w:lineRule="auto"/>
        <w:jc w:val="both"/>
        <w:rPr>
          <w:rFonts w:ascii="Times New Roman" w:hAnsi="Times New Roman" w:cs="Times New Roman"/>
          <w:b/>
          <w:bCs/>
        </w:rPr>
      </w:pPr>
      <w:r w:rsidRPr="007C17D7">
        <w:rPr>
          <w:rFonts w:ascii="Times New Roman" w:hAnsi="Times New Roman" w:cs="Times New Roman"/>
          <w:b/>
          <w:bCs/>
        </w:rPr>
        <w:t>2.5 Biodiversity Indices</w:t>
      </w:r>
    </w:p>
    <w:p w14:paraId="30D4B8D9" w14:textId="77777777" w:rsidR="006D2EEB" w:rsidRPr="007C17D7" w:rsidRDefault="006D2EEB" w:rsidP="00B17787">
      <w:pPr>
        <w:spacing w:line="360" w:lineRule="auto"/>
        <w:jc w:val="both"/>
        <w:rPr>
          <w:rFonts w:ascii="Times New Roman" w:hAnsi="Times New Roman" w:cs="Times New Roman"/>
        </w:rPr>
      </w:pPr>
      <w:r w:rsidRPr="007C17D7">
        <w:rPr>
          <w:rFonts w:ascii="Times New Roman" w:hAnsi="Times New Roman" w:cs="Times New Roman"/>
        </w:rPr>
        <w:t xml:space="preserve">The diversity and community structure of phytoplankton and zooplankton were assessed using standard ecological diversity indices. Species abundance data collected during each season were used to calculate the Shannon–Wiener Diversity Index (H′), Simpson Diversity Index (1 − D), </w:t>
      </w:r>
      <w:proofErr w:type="spellStart"/>
      <w:r w:rsidRPr="007C17D7">
        <w:rPr>
          <w:rFonts w:ascii="Times New Roman" w:hAnsi="Times New Roman" w:cs="Times New Roman"/>
        </w:rPr>
        <w:t>Margalef</w:t>
      </w:r>
      <w:proofErr w:type="spellEnd"/>
      <w:r w:rsidRPr="007C17D7">
        <w:rPr>
          <w:rFonts w:ascii="Times New Roman" w:hAnsi="Times New Roman" w:cs="Times New Roman"/>
        </w:rPr>
        <w:t xml:space="preserve"> Richness Index (Dmg), and </w:t>
      </w:r>
      <w:proofErr w:type="spellStart"/>
      <w:r w:rsidRPr="007C17D7">
        <w:rPr>
          <w:rFonts w:ascii="Times New Roman" w:hAnsi="Times New Roman" w:cs="Times New Roman"/>
        </w:rPr>
        <w:t>Pielou's</w:t>
      </w:r>
      <w:proofErr w:type="spellEnd"/>
      <w:r w:rsidRPr="007C17D7">
        <w:rPr>
          <w:rFonts w:ascii="Times New Roman" w:hAnsi="Times New Roman" w:cs="Times New Roman"/>
        </w:rPr>
        <w:t xml:space="preserve"> Evenness Index (J′). These indices provide quantitative measures of species diversity, richness, dominance, and distribution within the plankton community.</w:t>
      </w:r>
    </w:p>
    <w:p w14:paraId="6BC435B2"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The indices were calculated using the following equations:</w:t>
      </w:r>
    </w:p>
    <w:p w14:paraId="614CD7D6"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Shannon–Wiener Diversity Index (H′)</w:t>
      </w:r>
    </w:p>
    <w:p w14:paraId="5C01156A"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H′ = −Σ (Pi × ln Pi)</w:t>
      </w:r>
    </w:p>
    <w:p w14:paraId="309F7A32"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where Pi = </w:t>
      </w:r>
      <w:proofErr w:type="spellStart"/>
      <w:r w:rsidRPr="007C17D7">
        <w:rPr>
          <w:rFonts w:ascii="Times New Roman" w:hAnsi="Times New Roman" w:cs="Times New Roman"/>
        </w:rPr>
        <w:t>ni</w:t>
      </w:r>
      <w:proofErr w:type="spellEnd"/>
      <w:r w:rsidRPr="007C17D7">
        <w:rPr>
          <w:rFonts w:ascii="Times New Roman" w:hAnsi="Times New Roman" w:cs="Times New Roman"/>
        </w:rPr>
        <w:t>/N</w:t>
      </w:r>
    </w:p>
    <w:p w14:paraId="711F9F36"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Simpson Diversity Index</w:t>
      </w:r>
    </w:p>
    <w:p w14:paraId="652BCCA8"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1 − D = 1 − Σ Pi²</w:t>
      </w:r>
    </w:p>
    <w:p w14:paraId="5C57348D" w14:textId="77777777" w:rsidR="006D2EEB" w:rsidRPr="007C17D7" w:rsidRDefault="006D2EEB" w:rsidP="00B17787">
      <w:pPr>
        <w:spacing w:after="0" w:line="360" w:lineRule="auto"/>
        <w:jc w:val="both"/>
        <w:rPr>
          <w:rFonts w:ascii="Times New Roman" w:hAnsi="Times New Roman" w:cs="Times New Roman"/>
        </w:rPr>
      </w:pPr>
      <w:proofErr w:type="spellStart"/>
      <w:r w:rsidRPr="007C17D7">
        <w:rPr>
          <w:rFonts w:ascii="Times New Roman" w:hAnsi="Times New Roman" w:cs="Times New Roman"/>
        </w:rPr>
        <w:t>Margalef</w:t>
      </w:r>
      <w:proofErr w:type="spellEnd"/>
      <w:r w:rsidRPr="007C17D7">
        <w:rPr>
          <w:rFonts w:ascii="Times New Roman" w:hAnsi="Times New Roman" w:cs="Times New Roman"/>
        </w:rPr>
        <w:t xml:space="preserve"> Richness Index</w:t>
      </w:r>
    </w:p>
    <w:p w14:paraId="1887F82A"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Dmg = (S − 1) / ln N</w:t>
      </w:r>
    </w:p>
    <w:p w14:paraId="33482F29" w14:textId="77777777" w:rsidR="006D2EEB" w:rsidRPr="007C17D7" w:rsidRDefault="006D2EEB" w:rsidP="00B17787">
      <w:pPr>
        <w:spacing w:after="0" w:line="360" w:lineRule="auto"/>
        <w:jc w:val="both"/>
        <w:rPr>
          <w:rFonts w:ascii="Times New Roman" w:hAnsi="Times New Roman" w:cs="Times New Roman"/>
        </w:rPr>
      </w:pPr>
      <w:proofErr w:type="spellStart"/>
      <w:r w:rsidRPr="007C17D7">
        <w:rPr>
          <w:rFonts w:ascii="Times New Roman" w:hAnsi="Times New Roman" w:cs="Times New Roman"/>
        </w:rPr>
        <w:t>Pielou's</w:t>
      </w:r>
      <w:proofErr w:type="spellEnd"/>
      <w:r w:rsidRPr="007C17D7">
        <w:rPr>
          <w:rFonts w:ascii="Times New Roman" w:hAnsi="Times New Roman" w:cs="Times New Roman"/>
        </w:rPr>
        <w:t xml:space="preserve"> Evenness Index</w:t>
      </w:r>
    </w:p>
    <w:p w14:paraId="734611CE"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J′ = H′ / ln S</w:t>
      </w:r>
    </w:p>
    <w:p w14:paraId="62260AD6"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where:</w:t>
      </w:r>
    </w:p>
    <w:p w14:paraId="687AAF72"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S = Total number of species</w:t>
      </w:r>
    </w:p>
    <w:p w14:paraId="45A9A458"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N = Total number of individuals</w:t>
      </w:r>
    </w:p>
    <w:p w14:paraId="1812AE72" w14:textId="77777777" w:rsidR="006D2EEB" w:rsidRPr="007C17D7" w:rsidRDefault="006D2EEB" w:rsidP="00B17787">
      <w:pPr>
        <w:spacing w:after="0" w:line="360" w:lineRule="auto"/>
        <w:jc w:val="both"/>
        <w:rPr>
          <w:rFonts w:ascii="Times New Roman" w:hAnsi="Times New Roman" w:cs="Times New Roman"/>
        </w:rPr>
      </w:pPr>
      <w:proofErr w:type="spellStart"/>
      <w:r w:rsidRPr="007C17D7">
        <w:rPr>
          <w:rFonts w:ascii="Times New Roman" w:hAnsi="Times New Roman" w:cs="Times New Roman"/>
        </w:rPr>
        <w:t>ni</w:t>
      </w:r>
      <w:proofErr w:type="spellEnd"/>
      <w:r w:rsidRPr="007C17D7">
        <w:rPr>
          <w:rFonts w:ascii="Times New Roman" w:hAnsi="Times New Roman" w:cs="Times New Roman"/>
        </w:rPr>
        <w:t xml:space="preserve"> = Number of individuals of the </w:t>
      </w:r>
      <w:proofErr w:type="spellStart"/>
      <w:r w:rsidRPr="007C17D7">
        <w:rPr>
          <w:rFonts w:ascii="Times New Roman" w:hAnsi="Times New Roman" w:cs="Times New Roman"/>
        </w:rPr>
        <w:t>ith</w:t>
      </w:r>
      <w:proofErr w:type="spellEnd"/>
      <w:r w:rsidRPr="007C17D7">
        <w:rPr>
          <w:rFonts w:ascii="Times New Roman" w:hAnsi="Times New Roman" w:cs="Times New Roman"/>
        </w:rPr>
        <w:t xml:space="preserve"> species</w:t>
      </w:r>
    </w:p>
    <w:p w14:paraId="1FBB032A" w14:textId="77777777" w:rsidR="006D2EEB" w:rsidRPr="007C17D7" w:rsidRDefault="006D2EEB"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Pi = Relative abundance of the </w:t>
      </w:r>
      <w:proofErr w:type="spellStart"/>
      <w:r w:rsidRPr="007C17D7">
        <w:rPr>
          <w:rFonts w:ascii="Times New Roman" w:hAnsi="Times New Roman" w:cs="Times New Roman"/>
        </w:rPr>
        <w:t>ith</w:t>
      </w:r>
      <w:proofErr w:type="spellEnd"/>
      <w:r w:rsidRPr="007C17D7">
        <w:rPr>
          <w:rFonts w:ascii="Times New Roman" w:hAnsi="Times New Roman" w:cs="Times New Roman"/>
        </w:rPr>
        <w:t xml:space="preserve"> species (</w:t>
      </w:r>
      <w:proofErr w:type="spellStart"/>
      <w:r w:rsidRPr="007C17D7">
        <w:rPr>
          <w:rFonts w:ascii="Times New Roman" w:hAnsi="Times New Roman" w:cs="Times New Roman"/>
        </w:rPr>
        <w:t>ni</w:t>
      </w:r>
      <w:proofErr w:type="spellEnd"/>
      <w:r w:rsidRPr="007C17D7">
        <w:rPr>
          <w:rFonts w:ascii="Times New Roman" w:hAnsi="Times New Roman" w:cs="Times New Roman"/>
        </w:rPr>
        <w:t>/N)</w:t>
      </w:r>
    </w:p>
    <w:p w14:paraId="64751B20" w14:textId="77777777" w:rsidR="00C2319D" w:rsidRPr="007C17D7" w:rsidRDefault="00F43163"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These indices were estimated to provide a general assessment of seasonal changes in plankton diversity and ecosystem health. Because the biological observations were primarily qualitative, </w:t>
      </w:r>
      <w:r w:rsidRPr="007C17D7">
        <w:rPr>
          <w:rFonts w:ascii="Times New Roman" w:hAnsi="Times New Roman" w:cs="Times New Roman"/>
        </w:rPr>
        <w:lastRenderedPageBreak/>
        <w:t xml:space="preserve">detailed species-wise abundance data were not included in the calculations </w:t>
      </w:r>
      <w:r w:rsidR="00C2319D" w:rsidRPr="007C17D7">
        <w:rPr>
          <w:rFonts w:ascii="Times New Roman" w:hAnsi="Times New Roman" w:cs="Times New Roman"/>
        </w:rPr>
        <w:t>(Sarkar et al., 2020; Garai et al., 2025).</w:t>
      </w:r>
    </w:p>
    <w:p w14:paraId="7B9E95A7" w14:textId="77777777" w:rsidR="00E250A0" w:rsidRPr="007C17D7" w:rsidRDefault="00E250A0" w:rsidP="00B17787">
      <w:pPr>
        <w:spacing w:line="360" w:lineRule="auto"/>
        <w:rPr>
          <w:rFonts w:ascii="Times New Roman" w:hAnsi="Times New Roman" w:cs="Times New Roman"/>
          <w:b/>
          <w:bCs/>
        </w:rPr>
      </w:pPr>
      <w:r w:rsidRPr="007C17D7">
        <w:rPr>
          <w:rFonts w:ascii="Times New Roman" w:hAnsi="Times New Roman" w:cs="Times New Roman"/>
          <w:b/>
          <w:bCs/>
        </w:rPr>
        <w:t>2.6 Water Quality Index (WQI)</w:t>
      </w:r>
    </w:p>
    <w:p w14:paraId="0DE0319D" w14:textId="77777777" w:rsidR="00E250A0" w:rsidRPr="007C17D7" w:rsidRDefault="00E250A0" w:rsidP="00B17787">
      <w:pPr>
        <w:spacing w:line="360" w:lineRule="auto"/>
        <w:jc w:val="both"/>
        <w:rPr>
          <w:rFonts w:ascii="Times New Roman" w:hAnsi="Times New Roman" w:cs="Times New Roman"/>
        </w:rPr>
      </w:pPr>
      <w:r w:rsidRPr="007C17D7">
        <w:rPr>
          <w:rFonts w:ascii="Times New Roman" w:hAnsi="Times New Roman" w:cs="Times New Roman"/>
        </w:rPr>
        <w:t xml:space="preserve">The overall water quality of </w:t>
      </w:r>
      <w:proofErr w:type="spellStart"/>
      <w:r w:rsidRPr="007C17D7">
        <w:rPr>
          <w:rFonts w:ascii="Times New Roman" w:hAnsi="Times New Roman" w:cs="Times New Roman"/>
        </w:rPr>
        <w:t>Ghanpur</w:t>
      </w:r>
      <w:proofErr w:type="spellEnd"/>
      <w:r w:rsidRPr="007C17D7">
        <w:rPr>
          <w:rFonts w:ascii="Times New Roman" w:hAnsi="Times New Roman" w:cs="Times New Roman"/>
        </w:rPr>
        <w:t xml:space="preserve"> (Mulug) Pond was evaluated using the Weighted Arithmetic Water Quality Index (WQI) method. This approach integrates multiple physicochemical parameters into a single numerical value, facilitating the assessment of seasonal water quality and comparison among freshwater ecosystems.</w:t>
      </w:r>
    </w:p>
    <w:p w14:paraId="6CDC16F2"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Equation (1): Water Quality Index</w:t>
      </w:r>
    </w:p>
    <w:p w14:paraId="5269239F"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WQI = </w:t>
      </w:r>
      <w:proofErr w:type="gramStart"/>
      <w:r w:rsidRPr="007C17D7">
        <w:rPr>
          <w:rFonts w:ascii="Times New Roman" w:hAnsi="Times New Roman" w:cs="Times New Roman"/>
        </w:rPr>
        <w:t>Σ(</w:t>
      </w:r>
      <w:proofErr w:type="gramEnd"/>
      <w:r w:rsidRPr="007C17D7">
        <w:rPr>
          <w:rFonts w:ascii="Times New Roman" w:hAnsi="Times New Roman" w:cs="Times New Roman"/>
        </w:rPr>
        <w:t xml:space="preserve">Qi × Wi) / </w:t>
      </w:r>
      <w:proofErr w:type="spellStart"/>
      <w:r w:rsidRPr="007C17D7">
        <w:rPr>
          <w:rFonts w:ascii="Times New Roman" w:hAnsi="Times New Roman" w:cs="Times New Roman"/>
        </w:rPr>
        <w:t>ΣWi</w:t>
      </w:r>
      <w:proofErr w:type="spellEnd"/>
    </w:p>
    <w:p w14:paraId="26885F35"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where:</w:t>
      </w:r>
    </w:p>
    <w:p w14:paraId="58B942ED"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Qi = Quality rating of the </w:t>
      </w:r>
      <w:proofErr w:type="spellStart"/>
      <w:r w:rsidRPr="007C17D7">
        <w:rPr>
          <w:rFonts w:ascii="Times New Roman" w:hAnsi="Times New Roman" w:cs="Times New Roman"/>
        </w:rPr>
        <w:t>ith</w:t>
      </w:r>
      <w:proofErr w:type="spellEnd"/>
      <w:r w:rsidRPr="007C17D7">
        <w:rPr>
          <w:rFonts w:ascii="Times New Roman" w:hAnsi="Times New Roman" w:cs="Times New Roman"/>
        </w:rPr>
        <w:t xml:space="preserve"> water quality parameter</w:t>
      </w:r>
    </w:p>
    <w:p w14:paraId="564973A9"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Wi = Unit weight assigned to the </w:t>
      </w:r>
      <w:proofErr w:type="spellStart"/>
      <w:r w:rsidRPr="007C17D7">
        <w:rPr>
          <w:rFonts w:ascii="Times New Roman" w:hAnsi="Times New Roman" w:cs="Times New Roman"/>
        </w:rPr>
        <w:t>ith</w:t>
      </w:r>
      <w:proofErr w:type="spellEnd"/>
      <w:r w:rsidRPr="007C17D7">
        <w:rPr>
          <w:rFonts w:ascii="Times New Roman" w:hAnsi="Times New Roman" w:cs="Times New Roman"/>
        </w:rPr>
        <w:t xml:space="preserve"> parameter</w:t>
      </w:r>
    </w:p>
    <w:p w14:paraId="5AE6F402"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Equation (2): Quality Rating</w:t>
      </w:r>
    </w:p>
    <w:p w14:paraId="692BD3DB"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Qi = [(Vi − Vo) / (Si − Vo)] × 100</w:t>
      </w:r>
    </w:p>
    <w:p w14:paraId="516B5E4F"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where:</w:t>
      </w:r>
    </w:p>
    <w:p w14:paraId="1F0DF02B"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Vi = Measured value of the parameter</w:t>
      </w:r>
    </w:p>
    <w:p w14:paraId="74C35193" w14:textId="77777777" w:rsidR="00835FA2" w:rsidRPr="007C17D7" w:rsidRDefault="00835FA2" w:rsidP="00B17787">
      <w:pPr>
        <w:spacing w:after="0" w:line="360" w:lineRule="auto"/>
        <w:jc w:val="both"/>
        <w:rPr>
          <w:rFonts w:ascii="Times New Roman" w:hAnsi="Times New Roman" w:cs="Times New Roman"/>
        </w:rPr>
      </w:pPr>
      <w:r w:rsidRPr="007C17D7">
        <w:rPr>
          <w:rFonts w:ascii="Times New Roman" w:hAnsi="Times New Roman" w:cs="Times New Roman"/>
        </w:rPr>
        <w:t>Vo = Ideal value of the parameter (0 for most parameters; 7.0 for pH and 14.6 mg/L for dissolved oxygen)</w:t>
      </w:r>
    </w:p>
    <w:p w14:paraId="041D57D6" w14:textId="77777777" w:rsidR="00835FA2" w:rsidRPr="007C17D7" w:rsidRDefault="00835FA2" w:rsidP="00B17787">
      <w:pPr>
        <w:spacing w:after="0" w:line="360" w:lineRule="auto"/>
        <w:jc w:val="both"/>
        <w:rPr>
          <w:rFonts w:ascii="Times New Roman" w:hAnsi="Times New Roman" w:cs="Times New Roman"/>
        </w:rPr>
      </w:pPr>
      <w:r w:rsidRPr="007C17D7">
        <w:t>Si = Standard permissible value of the parameter according to World Health Organization/American Public Health Association guidelines</w:t>
      </w:r>
    </w:p>
    <w:tbl>
      <w:tblPr>
        <w:tblW w:w="5000" w:type="pct"/>
        <w:tblLook w:val="04A0" w:firstRow="1" w:lastRow="0" w:firstColumn="1" w:lastColumn="0" w:noHBand="0" w:noVBand="1"/>
      </w:tblPr>
      <w:tblGrid>
        <w:gridCol w:w="1885"/>
        <w:gridCol w:w="1706"/>
        <w:gridCol w:w="1641"/>
        <w:gridCol w:w="1892"/>
        <w:gridCol w:w="1892"/>
      </w:tblGrid>
      <w:tr w:rsidR="008B0B5F" w:rsidRPr="007C17D7" w14:paraId="6D14936D" w14:textId="77777777" w:rsidTr="005D463F">
        <w:trPr>
          <w:trHeight w:val="350"/>
        </w:trPr>
        <w:tc>
          <w:tcPr>
            <w:tcW w:w="5000" w:type="pct"/>
            <w:gridSpan w:val="5"/>
            <w:tcBorders>
              <w:top w:val="single" w:sz="4" w:space="0" w:color="auto"/>
              <w:left w:val="single" w:sz="4" w:space="0" w:color="auto"/>
              <w:bottom w:val="single" w:sz="4" w:space="0" w:color="auto"/>
              <w:right w:val="single" w:sz="4" w:space="0" w:color="auto"/>
            </w:tcBorders>
            <w:noWrap/>
            <w:vAlign w:val="center"/>
            <w:hideMark/>
          </w:tcPr>
          <w:p w14:paraId="74BF61B7"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t>Table 1. Parameters used for Water Quality Index (WQI) calculation</w:t>
            </w:r>
          </w:p>
        </w:tc>
      </w:tr>
      <w:tr w:rsidR="008B0B5F" w:rsidRPr="007C17D7" w14:paraId="04FB39A6" w14:textId="77777777" w:rsidTr="005D463F">
        <w:trPr>
          <w:trHeight w:val="580"/>
        </w:trPr>
        <w:tc>
          <w:tcPr>
            <w:tcW w:w="1046" w:type="pct"/>
            <w:tcBorders>
              <w:top w:val="nil"/>
              <w:left w:val="single" w:sz="4" w:space="0" w:color="auto"/>
              <w:bottom w:val="single" w:sz="4" w:space="0" w:color="auto"/>
              <w:right w:val="single" w:sz="4" w:space="0" w:color="auto"/>
            </w:tcBorders>
            <w:vAlign w:val="center"/>
            <w:hideMark/>
          </w:tcPr>
          <w:p w14:paraId="4968B6CE" w14:textId="77777777" w:rsidR="008B0B5F" w:rsidRPr="007C17D7" w:rsidRDefault="008B0B5F" w:rsidP="008B0B5F">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Parameter</w:t>
            </w:r>
          </w:p>
        </w:tc>
        <w:tc>
          <w:tcPr>
            <w:tcW w:w="946" w:type="pct"/>
            <w:tcBorders>
              <w:top w:val="nil"/>
              <w:left w:val="nil"/>
              <w:bottom w:val="single" w:sz="4" w:space="0" w:color="auto"/>
              <w:right w:val="single" w:sz="4" w:space="0" w:color="auto"/>
            </w:tcBorders>
            <w:vAlign w:val="center"/>
            <w:hideMark/>
          </w:tcPr>
          <w:p w14:paraId="5139E091" w14:textId="77777777" w:rsidR="008B0B5F" w:rsidRPr="007C17D7" w:rsidRDefault="008B0B5F" w:rsidP="008B0B5F">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Observed Value (Vi)*</w:t>
            </w:r>
          </w:p>
        </w:tc>
        <w:tc>
          <w:tcPr>
            <w:tcW w:w="910" w:type="pct"/>
            <w:tcBorders>
              <w:top w:val="nil"/>
              <w:left w:val="nil"/>
              <w:bottom w:val="single" w:sz="4" w:space="0" w:color="auto"/>
              <w:right w:val="single" w:sz="4" w:space="0" w:color="auto"/>
            </w:tcBorders>
            <w:vAlign w:val="center"/>
            <w:hideMark/>
          </w:tcPr>
          <w:p w14:paraId="3468EB73" w14:textId="77777777" w:rsidR="008B0B5F" w:rsidRPr="007C17D7" w:rsidRDefault="008B0B5F" w:rsidP="008B0B5F">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Standard Value (Si)</w:t>
            </w:r>
          </w:p>
        </w:tc>
        <w:tc>
          <w:tcPr>
            <w:tcW w:w="1049" w:type="pct"/>
            <w:tcBorders>
              <w:top w:val="nil"/>
              <w:left w:val="nil"/>
              <w:bottom w:val="single" w:sz="4" w:space="0" w:color="auto"/>
              <w:right w:val="single" w:sz="4" w:space="0" w:color="auto"/>
            </w:tcBorders>
            <w:vAlign w:val="center"/>
            <w:hideMark/>
          </w:tcPr>
          <w:p w14:paraId="381D6D46" w14:textId="77777777" w:rsidR="008B0B5F" w:rsidRPr="007C17D7" w:rsidRDefault="008B0B5F" w:rsidP="008B0B5F">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Ideal Value (Vo)</w:t>
            </w:r>
          </w:p>
        </w:tc>
        <w:tc>
          <w:tcPr>
            <w:tcW w:w="1049" w:type="pct"/>
            <w:tcBorders>
              <w:top w:val="nil"/>
              <w:left w:val="nil"/>
              <w:bottom w:val="single" w:sz="4" w:space="0" w:color="auto"/>
              <w:right w:val="single" w:sz="4" w:space="0" w:color="auto"/>
            </w:tcBorders>
            <w:vAlign w:val="center"/>
            <w:hideMark/>
          </w:tcPr>
          <w:p w14:paraId="5BF5EFBE" w14:textId="77777777" w:rsidR="008B0B5F" w:rsidRPr="007C17D7" w:rsidRDefault="008B0B5F" w:rsidP="008B0B5F">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Unit Weight (Wi)</w:t>
            </w:r>
          </w:p>
        </w:tc>
      </w:tr>
      <w:tr w:rsidR="008B0B5F" w:rsidRPr="007C17D7" w14:paraId="6C5473C0" w14:textId="77777777" w:rsidTr="005D463F">
        <w:trPr>
          <w:trHeight w:val="341"/>
        </w:trPr>
        <w:tc>
          <w:tcPr>
            <w:tcW w:w="1046" w:type="pct"/>
            <w:tcBorders>
              <w:top w:val="nil"/>
              <w:left w:val="single" w:sz="4" w:space="0" w:color="auto"/>
              <w:bottom w:val="single" w:sz="4" w:space="0" w:color="auto"/>
              <w:right w:val="single" w:sz="4" w:space="0" w:color="auto"/>
            </w:tcBorders>
            <w:vAlign w:val="center"/>
            <w:hideMark/>
          </w:tcPr>
          <w:p w14:paraId="34DF3ED1"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Temperature (°C)</w:t>
            </w:r>
          </w:p>
        </w:tc>
        <w:tc>
          <w:tcPr>
            <w:tcW w:w="946" w:type="pct"/>
            <w:tcBorders>
              <w:top w:val="nil"/>
              <w:left w:val="nil"/>
              <w:bottom w:val="single" w:sz="4" w:space="0" w:color="auto"/>
              <w:right w:val="single" w:sz="4" w:space="0" w:color="auto"/>
            </w:tcBorders>
            <w:vAlign w:val="center"/>
            <w:hideMark/>
          </w:tcPr>
          <w:p w14:paraId="7379A387"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Seasonal mean</w:t>
            </w:r>
          </w:p>
        </w:tc>
        <w:tc>
          <w:tcPr>
            <w:tcW w:w="910" w:type="pct"/>
            <w:tcBorders>
              <w:top w:val="nil"/>
              <w:left w:val="nil"/>
              <w:bottom w:val="single" w:sz="4" w:space="0" w:color="auto"/>
              <w:right w:val="single" w:sz="4" w:space="0" w:color="auto"/>
            </w:tcBorders>
            <w:vAlign w:val="center"/>
            <w:hideMark/>
          </w:tcPr>
          <w:p w14:paraId="1C835673"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1049" w:type="pct"/>
            <w:tcBorders>
              <w:top w:val="nil"/>
              <w:left w:val="nil"/>
              <w:bottom w:val="single" w:sz="4" w:space="0" w:color="auto"/>
              <w:right w:val="single" w:sz="4" w:space="0" w:color="auto"/>
            </w:tcBorders>
            <w:vAlign w:val="center"/>
            <w:hideMark/>
          </w:tcPr>
          <w:p w14:paraId="75983C89"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1049" w:type="pct"/>
            <w:tcBorders>
              <w:top w:val="nil"/>
              <w:left w:val="nil"/>
              <w:bottom w:val="single" w:sz="4" w:space="0" w:color="auto"/>
              <w:right w:val="single" w:sz="4" w:space="0" w:color="auto"/>
            </w:tcBorders>
            <w:vAlign w:val="center"/>
            <w:hideMark/>
          </w:tcPr>
          <w:p w14:paraId="6C574DE6"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Not included</w:t>
            </w:r>
          </w:p>
        </w:tc>
      </w:tr>
      <w:tr w:rsidR="008B0B5F" w:rsidRPr="007C17D7" w14:paraId="160B1BDA"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7EE98F0C"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pH</w:t>
            </w:r>
          </w:p>
        </w:tc>
        <w:tc>
          <w:tcPr>
            <w:tcW w:w="946" w:type="pct"/>
            <w:tcBorders>
              <w:top w:val="nil"/>
              <w:left w:val="nil"/>
              <w:bottom w:val="single" w:sz="4" w:space="0" w:color="auto"/>
              <w:right w:val="single" w:sz="4" w:space="0" w:color="auto"/>
            </w:tcBorders>
            <w:vAlign w:val="center"/>
            <w:hideMark/>
          </w:tcPr>
          <w:p w14:paraId="6121BAC4"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8.1 / 7.2 / 7.6</w:t>
            </w:r>
          </w:p>
        </w:tc>
        <w:tc>
          <w:tcPr>
            <w:tcW w:w="910" w:type="pct"/>
            <w:tcBorders>
              <w:top w:val="nil"/>
              <w:left w:val="nil"/>
              <w:bottom w:val="single" w:sz="4" w:space="0" w:color="auto"/>
              <w:right w:val="single" w:sz="4" w:space="0" w:color="auto"/>
            </w:tcBorders>
            <w:vAlign w:val="center"/>
            <w:hideMark/>
          </w:tcPr>
          <w:p w14:paraId="6606D156"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8.5</w:t>
            </w:r>
          </w:p>
        </w:tc>
        <w:tc>
          <w:tcPr>
            <w:tcW w:w="1049" w:type="pct"/>
            <w:tcBorders>
              <w:top w:val="nil"/>
              <w:left w:val="nil"/>
              <w:bottom w:val="single" w:sz="4" w:space="0" w:color="auto"/>
              <w:right w:val="single" w:sz="4" w:space="0" w:color="auto"/>
            </w:tcBorders>
            <w:vAlign w:val="center"/>
            <w:hideMark/>
          </w:tcPr>
          <w:p w14:paraId="2E99ABCE"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7</w:t>
            </w:r>
          </w:p>
        </w:tc>
        <w:tc>
          <w:tcPr>
            <w:tcW w:w="1049" w:type="pct"/>
            <w:tcBorders>
              <w:top w:val="nil"/>
              <w:left w:val="nil"/>
              <w:bottom w:val="single" w:sz="4" w:space="0" w:color="auto"/>
              <w:right w:val="single" w:sz="4" w:space="0" w:color="auto"/>
            </w:tcBorders>
            <w:vAlign w:val="center"/>
            <w:hideMark/>
          </w:tcPr>
          <w:p w14:paraId="5860D653"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0.118</w:t>
            </w:r>
          </w:p>
        </w:tc>
      </w:tr>
      <w:tr w:rsidR="008B0B5F" w:rsidRPr="007C17D7" w14:paraId="40D618FB" w14:textId="77777777" w:rsidTr="005D463F">
        <w:trPr>
          <w:trHeight w:val="580"/>
        </w:trPr>
        <w:tc>
          <w:tcPr>
            <w:tcW w:w="1046" w:type="pct"/>
            <w:tcBorders>
              <w:top w:val="nil"/>
              <w:left w:val="single" w:sz="4" w:space="0" w:color="auto"/>
              <w:bottom w:val="single" w:sz="4" w:space="0" w:color="auto"/>
              <w:right w:val="single" w:sz="4" w:space="0" w:color="auto"/>
            </w:tcBorders>
            <w:vAlign w:val="center"/>
            <w:hideMark/>
          </w:tcPr>
          <w:p w14:paraId="43382AAD"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Dissolved Oxygen (mg/L)</w:t>
            </w:r>
          </w:p>
        </w:tc>
        <w:tc>
          <w:tcPr>
            <w:tcW w:w="946" w:type="pct"/>
            <w:tcBorders>
              <w:top w:val="nil"/>
              <w:left w:val="nil"/>
              <w:bottom w:val="single" w:sz="4" w:space="0" w:color="auto"/>
              <w:right w:val="single" w:sz="4" w:space="0" w:color="auto"/>
            </w:tcBorders>
            <w:vAlign w:val="center"/>
            <w:hideMark/>
          </w:tcPr>
          <w:p w14:paraId="5CC9F654"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5.6 / 7.4 / 6.8</w:t>
            </w:r>
          </w:p>
        </w:tc>
        <w:tc>
          <w:tcPr>
            <w:tcW w:w="910" w:type="pct"/>
            <w:tcBorders>
              <w:top w:val="nil"/>
              <w:left w:val="nil"/>
              <w:bottom w:val="single" w:sz="4" w:space="0" w:color="auto"/>
              <w:right w:val="single" w:sz="4" w:space="0" w:color="auto"/>
            </w:tcBorders>
            <w:vAlign w:val="center"/>
            <w:hideMark/>
          </w:tcPr>
          <w:p w14:paraId="4AFBD94B"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w:t>
            </w:r>
          </w:p>
        </w:tc>
        <w:tc>
          <w:tcPr>
            <w:tcW w:w="1049" w:type="pct"/>
            <w:tcBorders>
              <w:top w:val="nil"/>
              <w:left w:val="nil"/>
              <w:bottom w:val="single" w:sz="4" w:space="0" w:color="auto"/>
              <w:right w:val="single" w:sz="4" w:space="0" w:color="auto"/>
            </w:tcBorders>
            <w:vAlign w:val="center"/>
            <w:hideMark/>
          </w:tcPr>
          <w:p w14:paraId="3ACBF7D9"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14.6</w:t>
            </w:r>
          </w:p>
        </w:tc>
        <w:tc>
          <w:tcPr>
            <w:tcW w:w="1049" w:type="pct"/>
            <w:tcBorders>
              <w:top w:val="nil"/>
              <w:left w:val="nil"/>
              <w:bottom w:val="single" w:sz="4" w:space="0" w:color="auto"/>
              <w:right w:val="single" w:sz="4" w:space="0" w:color="auto"/>
            </w:tcBorders>
            <w:vAlign w:val="center"/>
            <w:hideMark/>
          </w:tcPr>
          <w:p w14:paraId="3DF0255C"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0.2</w:t>
            </w:r>
          </w:p>
        </w:tc>
      </w:tr>
      <w:tr w:rsidR="008B0B5F" w:rsidRPr="007C17D7" w14:paraId="261BC7FC"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708937DD"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BOD (mg/L)</w:t>
            </w:r>
          </w:p>
        </w:tc>
        <w:tc>
          <w:tcPr>
            <w:tcW w:w="946" w:type="pct"/>
            <w:tcBorders>
              <w:top w:val="nil"/>
              <w:left w:val="nil"/>
              <w:bottom w:val="single" w:sz="4" w:space="0" w:color="auto"/>
              <w:right w:val="single" w:sz="4" w:space="0" w:color="auto"/>
            </w:tcBorders>
            <w:vAlign w:val="center"/>
            <w:hideMark/>
          </w:tcPr>
          <w:p w14:paraId="5B30FB97"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8.4 / 4.2 / 5.3</w:t>
            </w:r>
          </w:p>
        </w:tc>
        <w:tc>
          <w:tcPr>
            <w:tcW w:w="910" w:type="pct"/>
            <w:tcBorders>
              <w:top w:val="nil"/>
              <w:left w:val="nil"/>
              <w:bottom w:val="single" w:sz="4" w:space="0" w:color="auto"/>
              <w:right w:val="single" w:sz="4" w:space="0" w:color="auto"/>
            </w:tcBorders>
            <w:vAlign w:val="center"/>
            <w:hideMark/>
          </w:tcPr>
          <w:p w14:paraId="0130B5B0"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w:t>
            </w:r>
          </w:p>
        </w:tc>
        <w:tc>
          <w:tcPr>
            <w:tcW w:w="1049" w:type="pct"/>
            <w:tcBorders>
              <w:top w:val="nil"/>
              <w:left w:val="nil"/>
              <w:bottom w:val="single" w:sz="4" w:space="0" w:color="auto"/>
              <w:right w:val="single" w:sz="4" w:space="0" w:color="auto"/>
            </w:tcBorders>
            <w:vAlign w:val="center"/>
            <w:hideMark/>
          </w:tcPr>
          <w:p w14:paraId="44B6CEA5"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34226224"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0.2</w:t>
            </w:r>
          </w:p>
        </w:tc>
      </w:tr>
      <w:tr w:rsidR="008B0B5F" w:rsidRPr="007C17D7" w14:paraId="528F8449"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12D3DE46"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COD (mg/L)</w:t>
            </w:r>
          </w:p>
        </w:tc>
        <w:tc>
          <w:tcPr>
            <w:tcW w:w="946" w:type="pct"/>
            <w:tcBorders>
              <w:top w:val="nil"/>
              <w:left w:val="nil"/>
              <w:bottom w:val="single" w:sz="4" w:space="0" w:color="auto"/>
              <w:right w:val="single" w:sz="4" w:space="0" w:color="auto"/>
            </w:tcBorders>
            <w:vAlign w:val="center"/>
            <w:hideMark/>
          </w:tcPr>
          <w:p w14:paraId="6502E118"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52 / 28 / 36</w:t>
            </w:r>
          </w:p>
        </w:tc>
        <w:tc>
          <w:tcPr>
            <w:tcW w:w="910" w:type="pct"/>
            <w:tcBorders>
              <w:top w:val="nil"/>
              <w:left w:val="nil"/>
              <w:bottom w:val="single" w:sz="4" w:space="0" w:color="auto"/>
              <w:right w:val="single" w:sz="4" w:space="0" w:color="auto"/>
            </w:tcBorders>
            <w:vAlign w:val="center"/>
            <w:hideMark/>
          </w:tcPr>
          <w:p w14:paraId="3A82425E"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10</w:t>
            </w:r>
          </w:p>
        </w:tc>
        <w:tc>
          <w:tcPr>
            <w:tcW w:w="1049" w:type="pct"/>
            <w:tcBorders>
              <w:top w:val="nil"/>
              <w:left w:val="nil"/>
              <w:bottom w:val="single" w:sz="4" w:space="0" w:color="auto"/>
              <w:right w:val="single" w:sz="4" w:space="0" w:color="auto"/>
            </w:tcBorders>
            <w:vAlign w:val="center"/>
            <w:hideMark/>
          </w:tcPr>
          <w:p w14:paraId="3238D229"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48E349B5"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0.1</w:t>
            </w:r>
          </w:p>
        </w:tc>
      </w:tr>
      <w:tr w:rsidR="008B0B5F" w:rsidRPr="007C17D7" w14:paraId="41D5D0B3"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66D2D50F"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TDS (mg/L)</w:t>
            </w:r>
          </w:p>
        </w:tc>
        <w:tc>
          <w:tcPr>
            <w:tcW w:w="946" w:type="pct"/>
            <w:tcBorders>
              <w:top w:val="nil"/>
              <w:left w:val="nil"/>
              <w:bottom w:val="single" w:sz="4" w:space="0" w:color="auto"/>
              <w:right w:val="single" w:sz="4" w:space="0" w:color="auto"/>
            </w:tcBorders>
            <w:vAlign w:val="center"/>
            <w:hideMark/>
          </w:tcPr>
          <w:p w14:paraId="414499E9"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365 / 215 / 275</w:t>
            </w:r>
          </w:p>
        </w:tc>
        <w:tc>
          <w:tcPr>
            <w:tcW w:w="910" w:type="pct"/>
            <w:tcBorders>
              <w:top w:val="nil"/>
              <w:left w:val="nil"/>
              <w:bottom w:val="single" w:sz="4" w:space="0" w:color="auto"/>
              <w:right w:val="single" w:sz="4" w:space="0" w:color="auto"/>
            </w:tcBorders>
            <w:vAlign w:val="center"/>
            <w:hideMark/>
          </w:tcPr>
          <w:p w14:paraId="7FD143FA"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500</w:t>
            </w:r>
          </w:p>
        </w:tc>
        <w:tc>
          <w:tcPr>
            <w:tcW w:w="1049" w:type="pct"/>
            <w:tcBorders>
              <w:top w:val="nil"/>
              <w:left w:val="nil"/>
              <w:bottom w:val="single" w:sz="4" w:space="0" w:color="auto"/>
              <w:right w:val="single" w:sz="4" w:space="0" w:color="auto"/>
            </w:tcBorders>
            <w:vAlign w:val="center"/>
            <w:hideMark/>
          </w:tcPr>
          <w:p w14:paraId="1A29C0D6"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4ED7A4B0"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0.002</w:t>
            </w:r>
          </w:p>
        </w:tc>
      </w:tr>
      <w:tr w:rsidR="008B0B5F" w:rsidRPr="007C17D7" w14:paraId="0D7216B5"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42B437EC"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Turbidity (NTU)</w:t>
            </w:r>
          </w:p>
        </w:tc>
        <w:tc>
          <w:tcPr>
            <w:tcW w:w="946" w:type="pct"/>
            <w:tcBorders>
              <w:top w:val="nil"/>
              <w:left w:val="nil"/>
              <w:bottom w:val="single" w:sz="4" w:space="0" w:color="auto"/>
              <w:right w:val="single" w:sz="4" w:space="0" w:color="auto"/>
            </w:tcBorders>
            <w:vAlign w:val="center"/>
            <w:hideMark/>
          </w:tcPr>
          <w:p w14:paraId="16D22ADC"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28 / 58 / 34</w:t>
            </w:r>
          </w:p>
        </w:tc>
        <w:tc>
          <w:tcPr>
            <w:tcW w:w="910" w:type="pct"/>
            <w:tcBorders>
              <w:top w:val="nil"/>
              <w:left w:val="nil"/>
              <w:bottom w:val="single" w:sz="4" w:space="0" w:color="auto"/>
              <w:right w:val="single" w:sz="4" w:space="0" w:color="auto"/>
            </w:tcBorders>
            <w:vAlign w:val="center"/>
            <w:hideMark/>
          </w:tcPr>
          <w:p w14:paraId="17C2F066"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w:t>
            </w:r>
          </w:p>
        </w:tc>
        <w:tc>
          <w:tcPr>
            <w:tcW w:w="1049" w:type="pct"/>
            <w:tcBorders>
              <w:top w:val="nil"/>
              <w:left w:val="nil"/>
              <w:bottom w:val="single" w:sz="4" w:space="0" w:color="auto"/>
              <w:right w:val="single" w:sz="4" w:space="0" w:color="auto"/>
            </w:tcBorders>
            <w:vAlign w:val="center"/>
            <w:hideMark/>
          </w:tcPr>
          <w:p w14:paraId="2C8D2E8E"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3F3FCB96"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0.2</w:t>
            </w:r>
          </w:p>
        </w:tc>
      </w:tr>
      <w:tr w:rsidR="008B0B5F" w:rsidRPr="007C17D7" w14:paraId="1C1362E8" w14:textId="77777777" w:rsidTr="005D463F">
        <w:trPr>
          <w:trHeight w:val="305"/>
        </w:trPr>
        <w:tc>
          <w:tcPr>
            <w:tcW w:w="1046" w:type="pct"/>
            <w:tcBorders>
              <w:top w:val="nil"/>
              <w:left w:val="single" w:sz="4" w:space="0" w:color="auto"/>
              <w:bottom w:val="single" w:sz="4" w:space="0" w:color="auto"/>
              <w:right w:val="single" w:sz="4" w:space="0" w:color="auto"/>
            </w:tcBorders>
            <w:vAlign w:val="center"/>
            <w:hideMark/>
          </w:tcPr>
          <w:p w14:paraId="6CDDCFBB"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Alkalinity (mg/L)</w:t>
            </w:r>
          </w:p>
        </w:tc>
        <w:tc>
          <w:tcPr>
            <w:tcW w:w="946" w:type="pct"/>
            <w:tcBorders>
              <w:top w:val="nil"/>
              <w:left w:val="nil"/>
              <w:bottom w:val="single" w:sz="4" w:space="0" w:color="auto"/>
              <w:right w:val="single" w:sz="4" w:space="0" w:color="auto"/>
            </w:tcBorders>
            <w:vAlign w:val="center"/>
            <w:hideMark/>
          </w:tcPr>
          <w:p w14:paraId="147718B2"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168 / 122 / 145</w:t>
            </w:r>
          </w:p>
        </w:tc>
        <w:tc>
          <w:tcPr>
            <w:tcW w:w="910" w:type="pct"/>
            <w:tcBorders>
              <w:top w:val="nil"/>
              <w:left w:val="nil"/>
              <w:bottom w:val="single" w:sz="4" w:space="0" w:color="auto"/>
              <w:right w:val="single" w:sz="4" w:space="0" w:color="auto"/>
            </w:tcBorders>
            <w:vAlign w:val="center"/>
            <w:hideMark/>
          </w:tcPr>
          <w:p w14:paraId="37FB1D89"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200</w:t>
            </w:r>
          </w:p>
        </w:tc>
        <w:tc>
          <w:tcPr>
            <w:tcW w:w="1049" w:type="pct"/>
            <w:tcBorders>
              <w:top w:val="nil"/>
              <w:left w:val="nil"/>
              <w:bottom w:val="single" w:sz="4" w:space="0" w:color="auto"/>
              <w:right w:val="single" w:sz="4" w:space="0" w:color="auto"/>
            </w:tcBorders>
            <w:vAlign w:val="center"/>
            <w:hideMark/>
          </w:tcPr>
          <w:p w14:paraId="37A8E570"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6576DD44"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0.005</w:t>
            </w:r>
          </w:p>
        </w:tc>
      </w:tr>
      <w:tr w:rsidR="008B0B5F" w:rsidRPr="007C17D7" w14:paraId="46B54A3F" w14:textId="77777777" w:rsidTr="005D463F">
        <w:trPr>
          <w:trHeight w:val="408"/>
        </w:trPr>
        <w:tc>
          <w:tcPr>
            <w:tcW w:w="1046" w:type="pct"/>
            <w:tcBorders>
              <w:top w:val="nil"/>
              <w:left w:val="single" w:sz="4" w:space="0" w:color="auto"/>
              <w:bottom w:val="single" w:sz="4" w:space="0" w:color="auto"/>
              <w:right w:val="single" w:sz="4" w:space="0" w:color="auto"/>
            </w:tcBorders>
            <w:vAlign w:val="center"/>
            <w:hideMark/>
          </w:tcPr>
          <w:p w14:paraId="2EC612A8"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Hardness (mg/L)</w:t>
            </w:r>
          </w:p>
        </w:tc>
        <w:tc>
          <w:tcPr>
            <w:tcW w:w="946" w:type="pct"/>
            <w:tcBorders>
              <w:top w:val="nil"/>
              <w:left w:val="nil"/>
              <w:bottom w:val="single" w:sz="4" w:space="0" w:color="auto"/>
              <w:right w:val="single" w:sz="4" w:space="0" w:color="auto"/>
            </w:tcBorders>
            <w:vAlign w:val="center"/>
            <w:hideMark/>
          </w:tcPr>
          <w:p w14:paraId="7FC68F98"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210 / 155 / 180</w:t>
            </w:r>
          </w:p>
        </w:tc>
        <w:tc>
          <w:tcPr>
            <w:tcW w:w="910" w:type="pct"/>
            <w:tcBorders>
              <w:top w:val="nil"/>
              <w:left w:val="nil"/>
              <w:bottom w:val="single" w:sz="4" w:space="0" w:color="auto"/>
              <w:right w:val="single" w:sz="4" w:space="0" w:color="auto"/>
            </w:tcBorders>
            <w:vAlign w:val="center"/>
            <w:hideMark/>
          </w:tcPr>
          <w:p w14:paraId="7F7FAEE1"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300</w:t>
            </w:r>
          </w:p>
        </w:tc>
        <w:tc>
          <w:tcPr>
            <w:tcW w:w="1049" w:type="pct"/>
            <w:tcBorders>
              <w:top w:val="nil"/>
              <w:left w:val="nil"/>
              <w:bottom w:val="single" w:sz="4" w:space="0" w:color="auto"/>
              <w:right w:val="single" w:sz="4" w:space="0" w:color="auto"/>
            </w:tcBorders>
            <w:vAlign w:val="center"/>
            <w:hideMark/>
          </w:tcPr>
          <w:p w14:paraId="6064E6E5"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19FAD475"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0.003</w:t>
            </w:r>
          </w:p>
        </w:tc>
      </w:tr>
      <w:tr w:rsidR="008B0B5F" w:rsidRPr="007C17D7" w14:paraId="77040CEA"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33EE2024"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Chloride (mg/L)</w:t>
            </w:r>
          </w:p>
        </w:tc>
        <w:tc>
          <w:tcPr>
            <w:tcW w:w="946" w:type="pct"/>
            <w:tcBorders>
              <w:top w:val="nil"/>
              <w:left w:val="nil"/>
              <w:bottom w:val="single" w:sz="4" w:space="0" w:color="auto"/>
              <w:right w:val="single" w:sz="4" w:space="0" w:color="auto"/>
            </w:tcBorders>
            <w:vAlign w:val="center"/>
            <w:hideMark/>
          </w:tcPr>
          <w:p w14:paraId="5153C2F8"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72 / 48 / 56</w:t>
            </w:r>
          </w:p>
        </w:tc>
        <w:tc>
          <w:tcPr>
            <w:tcW w:w="910" w:type="pct"/>
            <w:tcBorders>
              <w:top w:val="nil"/>
              <w:left w:val="nil"/>
              <w:bottom w:val="single" w:sz="4" w:space="0" w:color="auto"/>
              <w:right w:val="single" w:sz="4" w:space="0" w:color="auto"/>
            </w:tcBorders>
            <w:vAlign w:val="center"/>
            <w:hideMark/>
          </w:tcPr>
          <w:p w14:paraId="156B7F49"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250</w:t>
            </w:r>
          </w:p>
        </w:tc>
        <w:tc>
          <w:tcPr>
            <w:tcW w:w="1049" w:type="pct"/>
            <w:tcBorders>
              <w:top w:val="nil"/>
              <w:left w:val="nil"/>
              <w:bottom w:val="single" w:sz="4" w:space="0" w:color="auto"/>
              <w:right w:val="single" w:sz="4" w:space="0" w:color="auto"/>
            </w:tcBorders>
            <w:vAlign w:val="center"/>
            <w:hideMark/>
          </w:tcPr>
          <w:p w14:paraId="57FEC92B"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6478528E"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0.004</w:t>
            </w:r>
          </w:p>
        </w:tc>
      </w:tr>
      <w:tr w:rsidR="008B0B5F" w:rsidRPr="007C17D7" w14:paraId="1B007EB1" w14:textId="77777777" w:rsidTr="005D463F">
        <w:trPr>
          <w:trHeight w:val="290"/>
        </w:trPr>
        <w:tc>
          <w:tcPr>
            <w:tcW w:w="1046" w:type="pct"/>
            <w:tcBorders>
              <w:top w:val="nil"/>
              <w:left w:val="single" w:sz="4" w:space="0" w:color="auto"/>
              <w:bottom w:val="single" w:sz="4" w:space="0" w:color="auto"/>
              <w:right w:val="single" w:sz="4" w:space="0" w:color="auto"/>
            </w:tcBorders>
            <w:vAlign w:val="center"/>
            <w:hideMark/>
          </w:tcPr>
          <w:p w14:paraId="71706C75"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Nitrate (mg/L)</w:t>
            </w:r>
          </w:p>
        </w:tc>
        <w:tc>
          <w:tcPr>
            <w:tcW w:w="946" w:type="pct"/>
            <w:tcBorders>
              <w:top w:val="nil"/>
              <w:left w:val="nil"/>
              <w:bottom w:val="single" w:sz="4" w:space="0" w:color="auto"/>
              <w:right w:val="single" w:sz="4" w:space="0" w:color="auto"/>
            </w:tcBorders>
            <w:vAlign w:val="center"/>
            <w:hideMark/>
          </w:tcPr>
          <w:p w14:paraId="00FDC3A9"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1.2 / 2.4 / 1.6</w:t>
            </w:r>
          </w:p>
        </w:tc>
        <w:tc>
          <w:tcPr>
            <w:tcW w:w="910" w:type="pct"/>
            <w:tcBorders>
              <w:top w:val="nil"/>
              <w:left w:val="nil"/>
              <w:bottom w:val="single" w:sz="4" w:space="0" w:color="auto"/>
              <w:right w:val="single" w:sz="4" w:space="0" w:color="auto"/>
            </w:tcBorders>
            <w:vAlign w:val="center"/>
            <w:hideMark/>
          </w:tcPr>
          <w:p w14:paraId="2247E750"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45</w:t>
            </w:r>
          </w:p>
        </w:tc>
        <w:tc>
          <w:tcPr>
            <w:tcW w:w="1049" w:type="pct"/>
            <w:tcBorders>
              <w:top w:val="nil"/>
              <w:left w:val="nil"/>
              <w:bottom w:val="single" w:sz="4" w:space="0" w:color="auto"/>
              <w:right w:val="single" w:sz="4" w:space="0" w:color="auto"/>
            </w:tcBorders>
            <w:vAlign w:val="center"/>
            <w:hideMark/>
          </w:tcPr>
          <w:p w14:paraId="3B81B564"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7A188DAF"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0.022</w:t>
            </w:r>
          </w:p>
        </w:tc>
      </w:tr>
      <w:tr w:rsidR="008B0B5F" w:rsidRPr="007C17D7" w14:paraId="6ACB6C74" w14:textId="77777777" w:rsidTr="005D463F">
        <w:trPr>
          <w:trHeight w:val="253"/>
        </w:trPr>
        <w:tc>
          <w:tcPr>
            <w:tcW w:w="1046" w:type="pct"/>
            <w:tcBorders>
              <w:top w:val="nil"/>
              <w:left w:val="single" w:sz="4" w:space="0" w:color="auto"/>
              <w:bottom w:val="single" w:sz="4" w:space="0" w:color="auto"/>
              <w:right w:val="single" w:sz="4" w:space="0" w:color="auto"/>
            </w:tcBorders>
            <w:vAlign w:val="center"/>
            <w:hideMark/>
          </w:tcPr>
          <w:p w14:paraId="7D09198C"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lastRenderedPageBreak/>
              <w:t>Phosphate (mg/L)</w:t>
            </w:r>
          </w:p>
        </w:tc>
        <w:tc>
          <w:tcPr>
            <w:tcW w:w="946" w:type="pct"/>
            <w:tcBorders>
              <w:top w:val="nil"/>
              <w:left w:val="nil"/>
              <w:bottom w:val="single" w:sz="4" w:space="0" w:color="auto"/>
              <w:right w:val="single" w:sz="4" w:space="0" w:color="auto"/>
            </w:tcBorders>
            <w:vAlign w:val="center"/>
            <w:hideMark/>
          </w:tcPr>
          <w:p w14:paraId="61261A7A" w14:textId="77777777" w:rsidR="008B0B5F" w:rsidRPr="007C17D7" w:rsidRDefault="008B0B5F" w:rsidP="008B0B5F">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0.7 / 1.5 / 0.9</w:t>
            </w:r>
          </w:p>
        </w:tc>
        <w:tc>
          <w:tcPr>
            <w:tcW w:w="910" w:type="pct"/>
            <w:tcBorders>
              <w:top w:val="nil"/>
              <w:left w:val="nil"/>
              <w:bottom w:val="single" w:sz="4" w:space="0" w:color="auto"/>
              <w:right w:val="single" w:sz="4" w:space="0" w:color="auto"/>
            </w:tcBorders>
            <w:vAlign w:val="center"/>
            <w:hideMark/>
          </w:tcPr>
          <w:p w14:paraId="0DD295A9"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0.3</w:t>
            </w:r>
          </w:p>
        </w:tc>
        <w:tc>
          <w:tcPr>
            <w:tcW w:w="1049" w:type="pct"/>
            <w:tcBorders>
              <w:top w:val="nil"/>
              <w:left w:val="nil"/>
              <w:bottom w:val="single" w:sz="4" w:space="0" w:color="auto"/>
              <w:right w:val="single" w:sz="4" w:space="0" w:color="auto"/>
            </w:tcBorders>
            <w:vAlign w:val="center"/>
            <w:hideMark/>
          </w:tcPr>
          <w:p w14:paraId="62C437FA"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w:t>
            </w:r>
          </w:p>
        </w:tc>
        <w:tc>
          <w:tcPr>
            <w:tcW w:w="1049" w:type="pct"/>
            <w:tcBorders>
              <w:top w:val="nil"/>
              <w:left w:val="nil"/>
              <w:bottom w:val="single" w:sz="4" w:space="0" w:color="auto"/>
              <w:right w:val="single" w:sz="4" w:space="0" w:color="auto"/>
            </w:tcBorders>
            <w:vAlign w:val="center"/>
            <w:hideMark/>
          </w:tcPr>
          <w:p w14:paraId="1CA46BE2" w14:textId="77777777" w:rsidR="008B0B5F" w:rsidRPr="007C17D7" w:rsidRDefault="008B0B5F" w:rsidP="008B0B5F">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3.333</w:t>
            </w:r>
          </w:p>
        </w:tc>
      </w:tr>
    </w:tbl>
    <w:p w14:paraId="190C968E" w14:textId="77777777" w:rsidR="006C45C3" w:rsidRPr="007C17D7" w:rsidRDefault="006C45C3" w:rsidP="00B17787">
      <w:pPr>
        <w:spacing w:after="0" w:line="360" w:lineRule="auto"/>
        <w:jc w:val="both"/>
        <w:rPr>
          <w:rFonts w:ascii="Times New Roman" w:hAnsi="Times New Roman" w:cs="Times New Roman"/>
        </w:rPr>
      </w:pPr>
    </w:p>
    <w:p w14:paraId="12F8752B" w14:textId="77777777" w:rsidR="00BC79F7" w:rsidRPr="007C17D7" w:rsidRDefault="006C45C3" w:rsidP="00B17787">
      <w:pPr>
        <w:spacing w:after="0" w:line="360" w:lineRule="auto"/>
        <w:jc w:val="both"/>
        <w:rPr>
          <w:rFonts w:ascii="Times New Roman" w:hAnsi="Times New Roman" w:cs="Times New Roman"/>
        </w:rPr>
      </w:pPr>
      <w:r w:rsidRPr="007C17D7">
        <w:t>Observed values (Vi) represent the seasonal mean values for the pre-monsoon, monsoon and post-monsoon periods, respectively. Standard values (Si) were adopted from the World Health Organization (2022) and APHA (2017). Ideal values (Vo) were taken as 0 for all parameters except pH (7.0) and dissolved oxygen (14.6 mg/L). Unit weights (Wi) were assigned following the Weighted Arithmetic Water Quality Index (WQI) method.</w:t>
      </w:r>
    </w:p>
    <w:p w14:paraId="60B3B335" w14:textId="77777777" w:rsidR="003E5CB2" w:rsidRPr="007C17D7" w:rsidRDefault="003E5CB2" w:rsidP="00B17787">
      <w:pPr>
        <w:spacing w:after="0" w:line="360" w:lineRule="auto"/>
        <w:jc w:val="both"/>
        <w:rPr>
          <w:rFonts w:ascii="Times New Roman" w:hAnsi="Times New Roman" w:cs="Times New Roman"/>
          <w:b/>
          <w:bCs/>
        </w:rPr>
      </w:pPr>
      <w:r w:rsidRPr="007C17D7">
        <w:rPr>
          <w:rFonts w:ascii="Times New Roman" w:hAnsi="Times New Roman" w:cs="Times New Roman"/>
          <w:b/>
          <w:bCs/>
        </w:rPr>
        <w:t>2.7 Statistical Analysis</w:t>
      </w:r>
    </w:p>
    <w:p w14:paraId="68EEE81F" w14:textId="77777777" w:rsidR="003E5CB2" w:rsidRPr="007C17D7" w:rsidRDefault="003E5CB2" w:rsidP="00B17787">
      <w:pPr>
        <w:spacing w:after="0" w:line="360" w:lineRule="auto"/>
        <w:jc w:val="both"/>
        <w:rPr>
          <w:rFonts w:ascii="Times New Roman" w:hAnsi="Times New Roman" w:cs="Times New Roman"/>
        </w:rPr>
      </w:pPr>
      <w:r w:rsidRPr="007C17D7">
        <w:t>All physicochemical and biological data were expressed as mean ± standard deviation (Mean ± SD) based on monthly observations collected during each season. Seasonal differences were evaluated descriptively based on the observed mean values.</w:t>
      </w:r>
    </w:p>
    <w:p w14:paraId="304BCE5F" w14:textId="77777777" w:rsidR="005D4C9D" w:rsidRPr="007C17D7" w:rsidRDefault="005D4C9D" w:rsidP="00B17787">
      <w:pPr>
        <w:spacing w:line="360" w:lineRule="auto"/>
        <w:rPr>
          <w:rFonts w:ascii="Times New Roman" w:hAnsi="Times New Roman" w:cs="Times New Roman"/>
          <w:b/>
          <w:bCs/>
        </w:rPr>
      </w:pPr>
    </w:p>
    <w:p w14:paraId="6738D592" w14:textId="77777777" w:rsidR="00034936" w:rsidRPr="007C17D7" w:rsidRDefault="00034936" w:rsidP="00B17787">
      <w:pPr>
        <w:spacing w:line="360" w:lineRule="auto"/>
        <w:rPr>
          <w:rFonts w:ascii="Times New Roman" w:hAnsi="Times New Roman" w:cs="Times New Roman"/>
          <w:b/>
          <w:bCs/>
        </w:rPr>
      </w:pPr>
      <w:r w:rsidRPr="007C17D7">
        <w:rPr>
          <w:rFonts w:ascii="Times New Roman" w:hAnsi="Times New Roman" w:cs="Times New Roman"/>
          <w:b/>
          <w:bCs/>
        </w:rPr>
        <w:t>3. RESULTS AND DISCUSSION</w:t>
      </w:r>
    </w:p>
    <w:p w14:paraId="0A6631B0" w14:textId="77777777" w:rsidR="00034936" w:rsidRPr="007C17D7" w:rsidRDefault="00034936" w:rsidP="00B17787">
      <w:pPr>
        <w:spacing w:line="360" w:lineRule="auto"/>
        <w:rPr>
          <w:rFonts w:ascii="Times New Roman" w:hAnsi="Times New Roman" w:cs="Times New Roman"/>
          <w:b/>
          <w:bCs/>
        </w:rPr>
      </w:pPr>
      <w:r w:rsidRPr="007C17D7">
        <w:rPr>
          <w:rFonts w:ascii="Times New Roman" w:hAnsi="Times New Roman" w:cs="Times New Roman"/>
          <w:b/>
          <w:bCs/>
        </w:rPr>
        <w:t>3.1 Seasonal Variation in Physicochemical Parameters</w:t>
      </w:r>
    </w:p>
    <w:p w14:paraId="0D8CD2C8" w14:textId="77777777" w:rsidR="00D5712F" w:rsidRPr="007C17D7" w:rsidRDefault="007834A0" w:rsidP="00B17787">
      <w:pPr>
        <w:spacing w:line="360" w:lineRule="auto"/>
        <w:jc w:val="both"/>
      </w:pPr>
      <w:r w:rsidRPr="007C17D7">
        <w:t>The seasonal variations in the physicochemical characteristics of Ghanpur (Mulug) Pond are presented in Table 2. The measured parameters exhibited considerable seasonal variation owing to differences in climatic conditions, rainfall, evaporation and surface runoff. Water temperature was highest during the pre-monsoon season, whereas dissolved oxygen increased during the monsoon because of rainfall-induced aeration. Biochemical oxygen demand (BOD), chemical oxygen demand (COD), total dissolved solids (TDS), alkalinity, hardness and chloride were comparatively higher during the pre-monsoon season because of evaporation and concentration of dissolved substances. In contrast, nitrate and phosphate concentrations reached their maxima during the monsoon season owing to agricultural runoff.</w:t>
      </w:r>
    </w:p>
    <w:p w14:paraId="6E7EEBB7" w14:textId="77777777" w:rsidR="00641EB1" w:rsidRPr="007C17D7" w:rsidRDefault="00422FCB" w:rsidP="00B17787">
      <w:pPr>
        <w:spacing w:line="360" w:lineRule="auto"/>
        <w:jc w:val="both"/>
        <w:rPr>
          <w:rFonts w:ascii="Times New Roman" w:hAnsi="Times New Roman" w:cs="Times New Roman"/>
        </w:rPr>
      </w:pPr>
      <w:r w:rsidRPr="007C17D7">
        <w:rPr>
          <w:rFonts w:ascii="Times New Roman" w:hAnsi="Times New Roman" w:cs="Times New Roman"/>
        </w:rPr>
        <w:t>Seasonal variations in the physicochemical parameters were evaluated descriptively based on the observed mean values. The results indicate clear seasonal trends in water quality across the three seasons.</w:t>
      </w:r>
    </w:p>
    <w:p w14:paraId="1625BA01" w14:textId="77777777" w:rsidR="00641EB1" w:rsidRPr="007C17D7" w:rsidRDefault="00641EB1" w:rsidP="00B17787">
      <w:pPr>
        <w:spacing w:line="360" w:lineRule="auto"/>
        <w:jc w:val="both"/>
        <w:rPr>
          <w:rFonts w:ascii="Times New Roman" w:hAnsi="Times New Roman" w:cs="Times New Roman"/>
        </w:rPr>
      </w:pPr>
    </w:p>
    <w:tbl>
      <w:tblPr>
        <w:tblW w:w="8500" w:type="dxa"/>
        <w:tblLook w:val="04A0" w:firstRow="1" w:lastRow="0" w:firstColumn="1" w:lastColumn="0" w:noHBand="0" w:noVBand="1"/>
      </w:tblPr>
      <w:tblGrid>
        <w:gridCol w:w="1860"/>
        <w:gridCol w:w="1940"/>
        <w:gridCol w:w="1298"/>
        <w:gridCol w:w="1418"/>
        <w:gridCol w:w="992"/>
        <w:gridCol w:w="992"/>
      </w:tblGrid>
      <w:tr w:rsidR="00641EB1" w:rsidRPr="007C17D7" w14:paraId="5A8BEDF3" w14:textId="77777777" w:rsidTr="00641EB1">
        <w:trPr>
          <w:trHeight w:val="416"/>
        </w:trPr>
        <w:tc>
          <w:tcPr>
            <w:tcW w:w="8500" w:type="dxa"/>
            <w:gridSpan w:val="6"/>
            <w:tcBorders>
              <w:top w:val="single" w:sz="4" w:space="0" w:color="auto"/>
              <w:left w:val="single" w:sz="4" w:space="0" w:color="auto"/>
              <w:bottom w:val="single" w:sz="4" w:space="0" w:color="auto"/>
              <w:right w:val="single" w:sz="4" w:space="0" w:color="auto"/>
            </w:tcBorders>
            <w:noWrap/>
            <w:vAlign w:val="bottom"/>
            <w:hideMark/>
          </w:tcPr>
          <w:p w14:paraId="405D68D8"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 xml:space="preserve">Table </w:t>
            </w:r>
            <w:r w:rsidR="009C7D63" w:rsidRPr="007C17D7">
              <w:rPr>
                <w:rFonts w:ascii="Times New Roman" w:eastAsia="Times New Roman" w:hAnsi="Times New Roman" w:cs="Times New Roman"/>
                <w:b/>
                <w:bCs/>
                <w:color w:val="000000"/>
                <w:kern w:val="0"/>
                <w:lang w:eastAsia="en-IN"/>
                <w14:ligatures w14:val="none"/>
              </w:rPr>
              <w:t>2</w:t>
            </w:r>
            <w:r w:rsidRPr="007C17D7">
              <w:rPr>
                <w:rFonts w:ascii="Times New Roman" w:eastAsia="Times New Roman" w:hAnsi="Times New Roman" w:cs="Times New Roman"/>
                <w:b/>
                <w:bCs/>
                <w:color w:val="000000"/>
                <w:kern w:val="0"/>
                <w:lang w:eastAsia="en-IN"/>
                <w14:ligatures w14:val="none"/>
              </w:rPr>
              <w:t xml:space="preserve">. Seasonal variation in physicochemical parameters of </w:t>
            </w:r>
            <w:proofErr w:type="spellStart"/>
            <w:r w:rsidRPr="007C17D7">
              <w:rPr>
                <w:rFonts w:ascii="Times New Roman" w:eastAsia="Times New Roman" w:hAnsi="Times New Roman" w:cs="Times New Roman"/>
                <w:b/>
                <w:bCs/>
                <w:color w:val="000000"/>
                <w:kern w:val="0"/>
                <w:lang w:eastAsia="en-IN"/>
                <w14:ligatures w14:val="none"/>
              </w:rPr>
              <w:t>Ghanpur</w:t>
            </w:r>
            <w:proofErr w:type="spellEnd"/>
            <w:r w:rsidRPr="007C17D7">
              <w:rPr>
                <w:rFonts w:ascii="Times New Roman" w:eastAsia="Times New Roman" w:hAnsi="Times New Roman" w:cs="Times New Roman"/>
                <w:b/>
                <w:bCs/>
                <w:color w:val="000000"/>
                <w:kern w:val="0"/>
                <w:lang w:eastAsia="en-IN"/>
                <w14:ligatures w14:val="none"/>
              </w:rPr>
              <w:t xml:space="preserve"> (Mulug) Pond</w:t>
            </w:r>
            <w:r w:rsidRPr="007C17D7">
              <w:rPr>
                <w:rFonts w:ascii="Times New Roman" w:eastAsia="Times New Roman" w:hAnsi="Times New Roman" w:cs="Times New Roman"/>
                <w:color w:val="000000"/>
                <w:kern w:val="0"/>
                <w:lang w:eastAsia="en-IN"/>
                <w14:ligatures w14:val="none"/>
              </w:rPr>
              <w:t> </w:t>
            </w:r>
          </w:p>
        </w:tc>
      </w:tr>
      <w:tr w:rsidR="00641EB1" w:rsidRPr="007C17D7" w14:paraId="740416B9" w14:textId="77777777" w:rsidTr="00641EB1">
        <w:trPr>
          <w:trHeight w:val="580"/>
        </w:trPr>
        <w:tc>
          <w:tcPr>
            <w:tcW w:w="1860" w:type="dxa"/>
            <w:tcBorders>
              <w:top w:val="nil"/>
              <w:left w:val="single" w:sz="4" w:space="0" w:color="auto"/>
              <w:bottom w:val="single" w:sz="4" w:space="0" w:color="auto"/>
              <w:right w:val="single" w:sz="4" w:space="0" w:color="auto"/>
            </w:tcBorders>
            <w:vAlign w:val="center"/>
            <w:hideMark/>
          </w:tcPr>
          <w:p w14:paraId="4534680E" w14:textId="77777777" w:rsidR="00641EB1" w:rsidRPr="007C17D7" w:rsidRDefault="00641EB1" w:rsidP="00641EB1">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lastRenderedPageBreak/>
              <w:t>Parameter</w:t>
            </w:r>
          </w:p>
        </w:tc>
        <w:tc>
          <w:tcPr>
            <w:tcW w:w="1940" w:type="dxa"/>
            <w:tcBorders>
              <w:top w:val="nil"/>
              <w:left w:val="nil"/>
              <w:bottom w:val="single" w:sz="4" w:space="0" w:color="auto"/>
              <w:right w:val="single" w:sz="4" w:space="0" w:color="auto"/>
            </w:tcBorders>
            <w:vAlign w:val="center"/>
            <w:hideMark/>
          </w:tcPr>
          <w:p w14:paraId="0688C6B1" w14:textId="77777777" w:rsidR="00641EB1" w:rsidRPr="007C17D7" w:rsidRDefault="00641EB1" w:rsidP="00641EB1">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Pre-monsoon (Mean ± SD)</w:t>
            </w:r>
          </w:p>
        </w:tc>
        <w:tc>
          <w:tcPr>
            <w:tcW w:w="1298" w:type="dxa"/>
            <w:tcBorders>
              <w:top w:val="nil"/>
              <w:left w:val="nil"/>
              <w:bottom w:val="single" w:sz="4" w:space="0" w:color="auto"/>
              <w:right w:val="single" w:sz="4" w:space="0" w:color="auto"/>
            </w:tcBorders>
            <w:vAlign w:val="center"/>
            <w:hideMark/>
          </w:tcPr>
          <w:p w14:paraId="483B3377" w14:textId="77777777" w:rsidR="00641EB1" w:rsidRPr="007C17D7" w:rsidRDefault="00641EB1" w:rsidP="00641EB1">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Monsoon (Mean ± SD)</w:t>
            </w:r>
          </w:p>
        </w:tc>
        <w:tc>
          <w:tcPr>
            <w:tcW w:w="1418" w:type="dxa"/>
            <w:tcBorders>
              <w:top w:val="nil"/>
              <w:left w:val="nil"/>
              <w:bottom w:val="single" w:sz="4" w:space="0" w:color="auto"/>
              <w:right w:val="single" w:sz="4" w:space="0" w:color="auto"/>
            </w:tcBorders>
            <w:vAlign w:val="center"/>
            <w:hideMark/>
          </w:tcPr>
          <w:p w14:paraId="22323ACB" w14:textId="77777777" w:rsidR="00641EB1" w:rsidRPr="007C17D7" w:rsidRDefault="00641EB1" w:rsidP="00641EB1">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Post-monsoon (Mean ± SD)</w:t>
            </w:r>
          </w:p>
        </w:tc>
        <w:tc>
          <w:tcPr>
            <w:tcW w:w="992" w:type="dxa"/>
            <w:tcBorders>
              <w:top w:val="nil"/>
              <w:left w:val="nil"/>
              <w:bottom w:val="single" w:sz="4" w:space="0" w:color="auto"/>
              <w:right w:val="single" w:sz="4" w:space="0" w:color="auto"/>
            </w:tcBorders>
            <w:vAlign w:val="center"/>
            <w:hideMark/>
          </w:tcPr>
          <w:p w14:paraId="7C063A0F" w14:textId="77777777" w:rsidR="00641EB1" w:rsidRPr="007C17D7" w:rsidRDefault="00641EB1" w:rsidP="00641EB1">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F-value</w:t>
            </w:r>
          </w:p>
        </w:tc>
        <w:tc>
          <w:tcPr>
            <w:tcW w:w="992" w:type="dxa"/>
            <w:tcBorders>
              <w:top w:val="nil"/>
              <w:left w:val="nil"/>
              <w:bottom w:val="single" w:sz="4" w:space="0" w:color="auto"/>
              <w:right w:val="single" w:sz="4" w:space="0" w:color="auto"/>
            </w:tcBorders>
            <w:vAlign w:val="center"/>
            <w:hideMark/>
          </w:tcPr>
          <w:p w14:paraId="15EE5A1F" w14:textId="77777777" w:rsidR="00641EB1" w:rsidRPr="007C17D7" w:rsidRDefault="00641EB1" w:rsidP="00641EB1">
            <w:pPr>
              <w:spacing w:after="0" w:line="240" w:lineRule="auto"/>
              <w:jc w:val="center"/>
              <w:rPr>
                <w:rFonts w:ascii="Times New Roman" w:eastAsia="Times New Roman" w:hAnsi="Times New Roman" w:cs="Times New Roman"/>
                <w:b/>
                <w:bCs/>
                <w:color w:val="000000"/>
                <w:kern w:val="0"/>
                <w:lang w:eastAsia="en-IN"/>
                <w14:ligatures w14:val="none"/>
              </w:rPr>
            </w:pPr>
            <w:r w:rsidRPr="007C17D7">
              <w:rPr>
                <w:rFonts w:ascii="Times New Roman" w:eastAsia="Times New Roman" w:hAnsi="Times New Roman" w:cs="Times New Roman"/>
                <w:b/>
                <w:bCs/>
                <w:color w:val="000000"/>
                <w:kern w:val="0"/>
                <w:lang w:eastAsia="en-IN"/>
                <w14:ligatures w14:val="none"/>
              </w:rPr>
              <w:t>p-value</w:t>
            </w:r>
          </w:p>
        </w:tc>
      </w:tr>
      <w:tr w:rsidR="00641EB1" w:rsidRPr="007C17D7" w14:paraId="3BADFB6B" w14:textId="77777777" w:rsidTr="00641EB1">
        <w:trPr>
          <w:trHeight w:val="580"/>
        </w:trPr>
        <w:tc>
          <w:tcPr>
            <w:tcW w:w="1860" w:type="dxa"/>
            <w:tcBorders>
              <w:top w:val="nil"/>
              <w:left w:val="single" w:sz="4" w:space="0" w:color="auto"/>
              <w:bottom w:val="single" w:sz="4" w:space="0" w:color="auto"/>
              <w:right w:val="single" w:sz="4" w:space="0" w:color="auto"/>
            </w:tcBorders>
            <w:vAlign w:val="center"/>
            <w:hideMark/>
          </w:tcPr>
          <w:p w14:paraId="5BE8B1A3"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Temperature (°C)</w:t>
            </w:r>
          </w:p>
        </w:tc>
        <w:tc>
          <w:tcPr>
            <w:tcW w:w="1940" w:type="dxa"/>
            <w:tcBorders>
              <w:top w:val="nil"/>
              <w:left w:val="nil"/>
              <w:bottom w:val="single" w:sz="4" w:space="0" w:color="auto"/>
              <w:right w:val="single" w:sz="4" w:space="0" w:color="auto"/>
            </w:tcBorders>
            <w:vAlign w:val="center"/>
            <w:hideMark/>
          </w:tcPr>
          <w:p w14:paraId="08F3B2EE"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31.5 ± 0.8</w:t>
            </w:r>
          </w:p>
        </w:tc>
        <w:tc>
          <w:tcPr>
            <w:tcW w:w="1298" w:type="dxa"/>
            <w:tcBorders>
              <w:top w:val="nil"/>
              <w:left w:val="nil"/>
              <w:bottom w:val="single" w:sz="4" w:space="0" w:color="auto"/>
              <w:right w:val="single" w:sz="4" w:space="0" w:color="auto"/>
            </w:tcBorders>
            <w:vAlign w:val="center"/>
            <w:hideMark/>
          </w:tcPr>
          <w:p w14:paraId="0823F97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26.2 ± 0.6</w:t>
            </w:r>
          </w:p>
        </w:tc>
        <w:tc>
          <w:tcPr>
            <w:tcW w:w="1418" w:type="dxa"/>
            <w:tcBorders>
              <w:top w:val="nil"/>
              <w:left w:val="nil"/>
              <w:bottom w:val="single" w:sz="4" w:space="0" w:color="auto"/>
              <w:right w:val="single" w:sz="4" w:space="0" w:color="auto"/>
            </w:tcBorders>
            <w:vAlign w:val="center"/>
            <w:hideMark/>
          </w:tcPr>
          <w:p w14:paraId="67268CD1"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27.4 ± 0.5</w:t>
            </w:r>
          </w:p>
        </w:tc>
        <w:tc>
          <w:tcPr>
            <w:tcW w:w="992" w:type="dxa"/>
            <w:tcBorders>
              <w:top w:val="nil"/>
              <w:left w:val="nil"/>
              <w:bottom w:val="single" w:sz="4" w:space="0" w:color="auto"/>
              <w:right w:val="single" w:sz="4" w:space="0" w:color="auto"/>
            </w:tcBorders>
            <w:vAlign w:val="center"/>
            <w:hideMark/>
          </w:tcPr>
          <w:p w14:paraId="4CF5236A" w14:textId="77777777" w:rsidR="00641EB1" w:rsidRPr="007C17D7" w:rsidRDefault="00641EB1" w:rsidP="00641EB1">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18.52</w:t>
            </w:r>
          </w:p>
        </w:tc>
        <w:tc>
          <w:tcPr>
            <w:tcW w:w="992" w:type="dxa"/>
            <w:tcBorders>
              <w:top w:val="nil"/>
              <w:left w:val="nil"/>
              <w:bottom w:val="single" w:sz="4" w:space="0" w:color="auto"/>
              <w:right w:val="single" w:sz="4" w:space="0" w:color="auto"/>
            </w:tcBorders>
            <w:vAlign w:val="center"/>
            <w:hideMark/>
          </w:tcPr>
          <w:p w14:paraId="735C6C2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&lt;0.001</w:t>
            </w:r>
          </w:p>
        </w:tc>
      </w:tr>
      <w:tr w:rsidR="00641EB1" w:rsidRPr="007C17D7" w14:paraId="30C99AFC"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1C931D6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pH</w:t>
            </w:r>
          </w:p>
        </w:tc>
        <w:tc>
          <w:tcPr>
            <w:tcW w:w="1940" w:type="dxa"/>
            <w:tcBorders>
              <w:top w:val="nil"/>
              <w:left w:val="nil"/>
              <w:bottom w:val="single" w:sz="4" w:space="0" w:color="auto"/>
              <w:right w:val="single" w:sz="4" w:space="0" w:color="auto"/>
            </w:tcBorders>
            <w:vAlign w:val="center"/>
            <w:hideMark/>
          </w:tcPr>
          <w:p w14:paraId="52DBB09D"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8.1 ± 0.2</w:t>
            </w:r>
          </w:p>
        </w:tc>
        <w:tc>
          <w:tcPr>
            <w:tcW w:w="1298" w:type="dxa"/>
            <w:tcBorders>
              <w:top w:val="nil"/>
              <w:left w:val="nil"/>
              <w:bottom w:val="single" w:sz="4" w:space="0" w:color="auto"/>
              <w:right w:val="single" w:sz="4" w:space="0" w:color="auto"/>
            </w:tcBorders>
            <w:vAlign w:val="center"/>
            <w:hideMark/>
          </w:tcPr>
          <w:p w14:paraId="511359B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7.2 ± 0.1</w:t>
            </w:r>
          </w:p>
        </w:tc>
        <w:tc>
          <w:tcPr>
            <w:tcW w:w="1418" w:type="dxa"/>
            <w:tcBorders>
              <w:top w:val="nil"/>
              <w:left w:val="nil"/>
              <w:bottom w:val="single" w:sz="4" w:space="0" w:color="auto"/>
              <w:right w:val="single" w:sz="4" w:space="0" w:color="auto"/>
            </w:tcBorders>
            <w:vAlign w:val="center"/>
            <w:hideMark/>
          </w:tcPr>
          <w:p w14:paraId="6E65A3C9"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7.6 ± 0.2</w:t>
            </w:r>
          </w:p>
        </w:tc>
        <w:tc>
          <w:tcPr>
            <w:tcW w:w="992" w:type="dxa"/>
            <w:tcBorders>
              <w:top w:val="nil"/>
              <w:left w:val="nil"/>
              <w:bottom w:val="single" w:sz="4" w:space="0" w:color="auto"/>
              <w:right w:val="single" w:sz="4" w:space="0" w:color="auto"/>
            </w:tcBorders>
            <w:vAlign w:val="center"/>
            <w:hideMark/>
          </w:tcPr>
          <w:p w14:paraId="4C493BD9" w14:textId="77777777" w:rsidR="00641EB1" w:rsidRPr="007C17D7" w:rsidRDefault="00641EB1" w:rsidP="00641EB1">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9.84</w:t>
            </w:r>
          </w:p>
        </w:tc>
        <w:tc>
          <w:tcPr>
            <w:tcW w:w="992" w:type="dxa"/>
            <w:tcBorders>
              <w:top w:val="nil"/>
              <w:left w:val="nil"/>
              <w:bottom w:val="single" w:sz="4" w:space="0" w:color="auto"/>
              <w:right w:val="single" w:sz="4" w:space="0" w:color="auto"/>
            </w:tcBorders>
            <w:vAlign w:val="center"/>
            <w:hideMark/>
          </w:tcPr>
          <w:p w14:paraId="3089C7FA" w14:textId="77777777" w:rsidR="00641EB1" w:rsidRPr="007C17D7" w:rsidRDefault="00641EB1" w:rsidP="00641EB1">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0.004</w:t>
            </w:r>
          </w:p>
        </w:tc>
      </w:tr>
      <w:tr w:rsidR="00641EB1" w:rsidRPr="007C17D7" w14:paraId="5378E4D5" w14:textId="77777777" w:rsidTr="00641EB1">
        <w:trPr>
          <w:trHeight w:val="580"/>
        </w:trPr>
        <w:tc>
          <w:tcPr>
            <w:tcW w:w="1860" w:type="dxa"/>
            <w:tcBorders>
              <w:top w:val="nil"/>
              <w:left w:val="single" w:sz="4" w:space="0" w:color="auto"/>
              <w:bottom w:val="single" w:sz="4" w:space="0" w:color="auto"/>
              <w:right w:val="single" w:sz="4" w:space="0" w:color="auto"/>
            </w:tcBorders>
            <w:vAlign w:val="center"/>
            <w:hideMark/>
          </w:tcPr>
          <w:p w14:paraId="414B953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Dissolved Oxygen (mg/L)</w:t>
            </w:r>
          </w:p>
        </w:tc>
        <w:tc>
          <w:tcPr>
            <w:tcW w:w="1940" w:type="dxa"/>
            <w:tcBorders>
              <w:top w:val="nil"/>
              <w:left w:val="nil"/>
              <w:bottom w:val="single" w:sz="4" w:space="0" w:color="auto"/>
              <w:right w:val="single" w:sz="4" w:space="0" w:color="auto"/>
            </w:tcBorders>
            <w:vAlign w:val="center"/>
            <w:hideMark/>
          </w:tcPr>
          <w:p w14:paraId="0BA8D08E"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5.6 ± 0.3</w:t>
            </w:r>
          </w:p>
        </w:tc>
        <w:tc>
          <w:tcPr>
            <w:tcW w:w="1298" w:type="dxa"/>
            <w:tcBorders>
              <w:top w:val="nil"/>
              <w:left w:val="nil"/>
              <w:bottom w:val="single" w:sz="4" w:space="0" w:color="auto"/>
              <w:right w:val="single" w:sz="4" w:space="0" w:color="auto"/>
            </w:tcBorders>
            <w:vAlign w:val="center"/>
            <w:hideMark/>
          </w:tcPr>
          <w:p w14:paraId="66557C13"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7.4 ± 0.2</w:t>
            </w:r>
          </w:p>
        </w:tc>
        <w:tc>
          <w:tcPr>
            <w:tcW w:w="1418" w:type="dxa"/>
            <w:tcBorders>
              <w:top w:val="nil"/>
              <w:left w:val="nil"/>
              <w:bottom w:val="single" w:sz="4" w:space="0" w:color="auto"/>
              <w:right w:val="single" w:sz="4" w:space="0" w:color="auto"/>
            </w:tcBorders>
            <w:vAlign w:val="center"/>
            <w:hideMark/>
          </w:tcPr>
          <w:p w14:paraId="7885D059"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6.8 ± 0.3</w:t>
            </w:r>
          </w:p>
        </w:tc>
        <w:tc>
          <w:tcPr>
            <w:tcW w:w="992" w:type="dxa"/>
            <w:tcBorders>
              <w:top w:val="nil"/>
              <w:left w:val="nil"/>
              <w:bottom w:val="single" w:sz="4" w:space="0" w:color="auto"/>
              <w:right w:val="single" w:sz="4" w:space="0" w:color="auto"/>
            </w:tcBorders>
            <w:vAlign w:val="center"/>
            <w:hideMark/>
          </w:tcPr>
          <w:p w14:paraId="4096D24E" w14:textId="77777777" w:rsidR="00641EB1" w:rsidRPr="007C17D7" w:rsidRDefault="00641EB1" w:rsidP="00641EB1">
            <w:pPr>
              <w:spacing w:after="0" w:line="240" w:lineRule="auto"/>
              <w:jc w:val="right"/>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14.36</w:t>
            </w:r>
          </w:p>
        </w:tc>
        <w:tc>
          <w:tcPr>
            <w:tcW w:w="992" w:type="dxa"/>
            <w:tcBorders>
              <w:top w:val="nil"/>
              <w:left w:val="nil"/>
              <w:bottom w:val="single" w:sz="4" w:space="0" w:color="auto"/>
              <w:right w:val="single" w:sz="4" w:space="0" w:color="auto"/>
            </w:tcBorders>
            <w:vAlign w:val="center"/>
            <w:hideMark/>
          </w:tcPr>
          <w:p w14:paraId="750ECA6E"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&lt;0.001</w:t>
            </w:r>
          </w:p>
        </w:tc>
      </w:tr>
      <w:tr w:rsidR="00641EB1" w:rsidRPr="007C17D7" w14:paraId="66DF5AE0"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5FEF976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BOD (mg/L)</w:t>
            </w:r>
          </w:p>
        </w:tc>
        <w:tc>
          <w:tcPr>
            <w:tcW w:w="1940" w:type="dxa"/>
            <w:tcBorders>
              <w:top w:val="nil"/>
              <w:left w:val="nil"/>
              <w:bottom w:val="single" w:sz="4" w:space="0" w:color="auto"/>
              <w:right w:val="single" w:sz="4" w:space="0" w:color="auto"/>
            </w:tcBorders>
            <w:vAlign w:val="center"/>
            <w:hideMark/>
          </w:tcPr>
          <w:p w14:paraId="0590CE2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8.4 ± 0.4</w:t>
            </w:r>
          </w:p>
        </w:tc>
        <w:tc>
          <w:tcPr>
            <w:tcW w:w="1298" w:type="dxa"/>
            <w:tcBorders>
              <w:top w:val="nil"/>
              <w:left w:val="nil"/>
              <w:bottom w:val="single" w:sz="4" w:space="0" w:color="auto"/>
              <w:right w:val="single" w:sz="4" w:space="0" w:color="auto"/>
            </w:tcBorders>
            <w:vAlign w:val="center"/>
            <w:hideMark/>
          </w:tcPr>
          <w:p w14:paraId="1F404478"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4.2 ± 0.3</w:t>
            </w:r>
          </w:p>
        </w:tc>
        <w:tc>
          <w:tcPr>
            <w:tcW w:w="1418" w:type="dxa"/>
            <w:tcBorders>
              <w:top w:val="nil"/>
              <w:left w:val="nil"/>
              <w:bottom w:val="single" w:sz="4" w:space="0" w:color="auto"/>
              <w:right w:val="single" w:sz="4" w:space="0" w:color="auto"/>
            </w:tcBorders>
            <w:vAlign w:val="center"/>
            <w:hideMark/>
          </w:tcPr>
          <w:p w14:paraId="7F8F74D3"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5.3 ± 0.2</w:t>
            </w:r>
          </w:p>
        </w:tc>
        <w:tc>
          <w:tcPr>
            <w:tcW w:w="992" w:type="dxa"/>
            <w:tcBorders>
              <w:top w:val="nil"/>
              <w:left w:val="nil"/>
              <w:bottom w:val="single" w:sz="4" w:space="0" w:color="auto"/>
              <w:right w:val="single" w:sz="4" w:space="0" w:color="auto"/>
            </w:tcBorders>
            <w:vAlign w:val="center"/>
            <w:hideMark/>
          </w:tcPr>
          <w:p w14:paraId="3D81BC9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352BA82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5D134F79"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21AE3ABD"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COD (mg/L)</w:t>
            </w:r>
          </w:p>
        </w:tc>
        <w:tc>
          <w:tcPr>
            <w:tcW w:w="1940" w:type="dxa"/>
            <w:tcBorders>
              <w:top w:val="nil"/>
              <w:left w:val="nil"/>
              <w:bottom w:val="single" w:sz="4" w:space="0" w:color="auto"/>
              <w:right w:val="single" w:sz="4" w:space="0" w:color="auto"/>
            </w:tcBorders>
            <w:vAlign w:val="center"/>
            <w:hideMark/>
          </w:tcPr>
          <w:p w14:paraId="341025B3"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52 ± 3</w:t>
            </w:r>
          </w:p>
        </w:tc>
        <w:tc>
          <w:tcPr>
            <w:tcW w:w="1298" w:type="dxa"/>
            <w:tcBorders>
              <w:top w:val="nil"/>
              <w:left w:val="nil"/>
              <w:bottom w:val="single" w:sz="4" w:space="0" w:color="auto"/>
              <w:right w:val="single" w:sz="4" w:space="0" w:color="auto"/>
            </w:tcBorders>
            <w:vAlign w:val="center"/>
            <w:hideMark/>
          </w:tcPr>
          <w:p w14:paraId="6A8310FA"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28 ± 2</w:t>
            </w:r>
          </w:p>
        </w:tc>
        <w:tc>
          <w:tcPr>
            <w:tcW w:w="1418" w:type="dxa"/>
            <w:tcBorders>
              <w:top w:val="nil"/>
              <w:left w:val="nil"/>
              <w:bottom w:val="single" w:sz="4" w:space="0" w:color="auto"/>
              <w:right w:val="single" w:sz="4" w:space="0" w:color="auto"/>
            </w:tcBorders>
            <w:vAlign w:val="center"/>
            <w:hideMark/>
          </w:tcPr>
          <w:p w14:paraId="412F3591"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36 ± 2</w:t>
            </w:r>
          </w:p>
        </w:tc>
        <w:tc>
          <w:tcPr>
            <w:tcW w:w="992" w:type="dxa"/>
            <w:tcBorders>
              <w:top w:val="nil"/>
              <w:left w:val="nil"/>
              <w:bottom w:val="single" w:sz="4" w:space="0" w:color="auto"/>
              <w:right w:val="single" w:sz="4" w:space="0" w:color="auto"/>
            </w:tcBorders>
            <w:vAlign w:val="center"/>
            <w:hideMark/>
          </w:tcPr>
          <w:p w14:paraId="4B26C0FC"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28C65E1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414BDB9C"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48DCAF9F"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TDS (mg/L)</w:t>
            </w:r>
          </w:p>
        </w:tc>
        <w:tc>
          <w:tcPr>
            <w:tcW w:w="1940" w:type="dxa"/>
            <w:tcBorders>
              <w:top w:val="nil"/>
              <w:left w:val="nil"/>
              <w:bottom w:val="single" w:sz="4" w:space="0" w:color="auto"/>
              <w:right w:val="single" w:sz="4" w:space="0" w:color="auto"/>
            </w:tcBorders>
            <w:vAlign w:val="center"/>
            <w:hideMark/>
          </w:tcPr>
          <w:p w14:paraId="554A385C"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365 ± 12</w:t>
            </w:r>
          </w:p>
        </w:tc>
        <w:tc>
          <w:tcPr>
            <w:tcW w:w="1298" w:type="dxa"/>
            <w:tcBorders>
              <w:top w:val="nil"/>
              <w:left w:val="nil"/>
              <w:bottom w:val="single" w:sz="4" w:space="0" w:color="auto"/>
              <w:right w:val="single" w:sz="4" w:space="0" w:color="auto"/>
            </w:tcBorders>
            <w:vAlign w:val="center"/>
            <w:hideMark/>
          </w:tcPr>
          <w:p w14:paraId="1B60F3D8"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215 ± 10</w:t>
            </w:r>
          </w:p>
        </w:tc>
        <w:tc>
          <w:tcPr>
            <w:tcW w:w="1418" w:type="dxa"/>
            <w:tcBorders>
              <w:top w:val="nil"/>
              <w:left w:val="nil"/>
              <w:bottom w:val="single" w:sz="4" w:space="0" w:color="auto"/>
              <w:right w:val="single" w:sz="4" w:space="0" w:color="auto"/>
            </w:tcBorders>
            <w:vAlign w:val="center"/>
            <w:hideMark/>
          </w:tcPr>
          <w:p w14:paraId="717777D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275 ± 11</w:t>
            </w:r>
          </w:p>
        </w:tc>
        <w:tc>
          <w:tcPr>
            <w:tcW w:w="992" w:type="dxa"/>
            <w:tcBorders>
              <w:top w:val="nil"/>
              <w:left w:val="nil"/>
              <w:bottom w:val="single" w:sz="4" w:space="0" w:color="auto"/>
              <w:right w:val="single" w:sz="4" w:space="0" w:color="auto"/>
            </w:tcBorders>
            <w:vAlign w:val="center"/>
            <w:hideMark/>
          </w:tcPr>
          <w:p w14:paraId="0F3C584F"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191477FD"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485DD66C"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1634BA14"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Turbidity (NTU)</w:t>
            </w:r>
          </w:p>
        </w:tc>
        <w:tc>
          <w:tcPr>
            <w:tcW w:w="1940" w:type="dxa"/>
            <w:tcBorders>
              <w:top w:val="nil"/>
              <w:left w:val="nil"/>
              <w:bottom w:val="single" w:sz="4" w:space="0" w:color="auto"/>
              <w:right w:val="single" w:sz="4" w:space="0" w:color="auto"/>
            </w:tcBorders>
            <w:vAlign w:val="center"/>
            <w:hideMark/>
          </w:tcPr>
          <w:p w14:paraId="7FD352E6"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28 ± 2</w:t>
            </w:r>
          </w:p>
        </w:tc>
        <w:tc>
          <w:tcPr>
            <w:tcW w:w="1298" w:type="dxa"/>
            <w:tcBorders>
              <w:top w:val="nil"/>
              <w:left w:val="nil"/>
              <w:bottom w:val="single" w:sz="4" w:space="0" w:color="auto"/>
              <w:right w:val="single" w:sz="4" w:space="0" w:color="auto"/>
            </w:tcBorders>
            <w:vAlign w:val="center"/>
            <w:hideMark/>
          </w:tcPr>
          <w:p w14:paraId="6920464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58 ± 3</w:t>
            </w:r>
          </w:p>
        </w:tc>
        <w:tc>
          <w:tcPr>
            <w:tcW w:w="1418" w:type="dxa"/>
            <w:tcBorders>
              <w:top w:val="nil"/>
              <w:left w:val="nil"/>
              <w:bottom w:val="single" w:sz="4" w:space="0" w:color="auto"/>
              <w:right w:val="single" w:sz="4" w:space="0" w:color="auto"/>
            </w:tcBorders>
            <w:vAlign w:val="center"/>
            <w:hideMark/>
          </w:tcPr>
          <w:p w14:paraId="1633F97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34 ± 2</w:t>
            </w:r>
          </w:p>
        </w:tc>
        <w:tc>
          <w:tcPr>
            <w:tcW w:w="992" w:type="dxa"/>
            <w:tcBorders>
              <w:top w:val="nil"/>
              <w:left w:val="nil"/>
              <w:bottom w:val="single" w:sz="4" w:space="0" w:color="auto"/>
              <w:right w:val="single" w:sz="4" w:space="0" w:color="auto"/>
            </w:tcBorders>
            <w:vAlign w:val="center"/>
            <w:hideMark/>
          </w:tcPr>
          <w:p w14:paraId="62F61981"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163D4A73"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01EF0270" w14:textId="77777777" w:rsidTr="00641EB1">
        <w:trPr>
          <w:trHeight w:val="270"/>
        </w:trPr>
        <w:tc>
          <w:tcPr>
            <w:tcW w:w="1860" w:type="dxa"/>
            <w:tcBorders>
              <w:top w:val="nil"/>
              <w:left w:val="single" w:sz="4" w:space="0" w:color="auto"/>
              <w:bottom w:val="single" w:sz="4" w:space="0" w:color="auto"/>
              <w:right w:val="single" w:sz="4" w:space="0" w:color="auto"/>
            </w:tcBorders>
            <w:vAlign w:val="center"/>
            <w:hideMark/>
          </w:tcPr>
          <w:p w14:paraId="52F7D35C"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Alkalinity (mg/L)</w:t>
            </w:r>
          </w:p>
        </w:tc>
        <w:tc>
          <w:tcPr>
            <w:tcW w:w="1940" w:type="dxa"/>
            <w:tcBorders>
              <w:top w:val="nil"/>
              <w:left w:val="nil"/>
              <w:bottom w:val="single" w:sz="4" w:space="0" w:color="auto"/>
              <w:right w:val="single" w:sz="4" w:space="0" w:color="auto"/>
            </w:tcBorders>
            <w:vAlign w:val="center"/>
            <w:hideMark/>
          </w:tcPr>
          <w:p w14:paraId="0874605E"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168 ± 6</w:t>
            </w:r>
          </w:p>
        </w:tc>
        <w:tc>
          <w:tcPr>
            <w:tcW w:w="1298" w:type="dxa"/>
            <w:tcBorders>
              <w:top w:val="nil"/>
              <w:left w:val="nil"/>
              <w:bottom w:val="single" w:sz="4" w:space="0" w:color="auto"/>
              <w:right w:val="single" w:sz="4" w:space="0" w:color="auto"/>
            </w:tcBorders>
            <w:vAlign w:val="center"/>
            <w:hideMark/>
          </w:tcPr>
          <w:p w14:paraId="73A1B7DC"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122 ± 5</w:t>
            </w:r>
          </w:p>
        </w:tc>
        <w:tc>
          <w:tcPr>
            <w:tcW w:w="1418" w:type="dxa"/>
            <w:tcBorders>
              <w:top w:val="nil"/>
              <w:left w:val="nil"/>
              <w:bottom w:val="single" w:sz="4" w:space="0" w:color="auto"/>
              <w:right w:val="single" w:sz="4" w:space="0" w:color="auto"/>
            </w:tcBorders>
            <w:vAlign w:val="center"/>
            <w:hideMark/>
          </w:tcPr>
          <w:p w14:paraId="1E17583A"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145 ± 5</w:t>
            </w:r>
          </w:p>
        </w:tc>
        <w:tc>
          <w:tcPr>
            <w:tcW w:w="992" w:type="dxa"/>
            <w:tcBorders>
              <w:top w:val="nil"/>
              <w:left w:val="nil"/>
              <w:bottom w:val="single" w:sz="4" w:space="0" w:color="auto"/>
              <w:right w:val="single" w:sz="4" w:space="0" w:color="auto"/>
            </w:tcBorders>
            <w:vAlign w:val="center"/>
            <w:hideMark/>
          </w:tcPr>
          <w:p w14:paraId="00A072B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265E1241"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63508DF4"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493D31D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Hardness (mg/L)</w:t>
            </w:r>
          </w:p>
        </w:tc>
        <w:tc>
          <w:tcPr>
            <w:tcW w:w="1940" w:type="dxa"/>
            <w:tcBorders>
              <w:top w:val="nil"/>
              <w:left w:val="nil"/>
              <w:bottom w:val="single" w:sz="4" w:space="0" w:color="auto"/>
              <w:right w:val="single" w:sz="4" w:space="0" w:color="auto"/>
            </w:tcBorders>
            <w:vAlign w:val="center"/>
            <w:hideMark/>
          </w:tcPr>
          <w:p w14:paraId="4BAE725E"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210 ± 8</w:t>
            </w:r>
          </w:p>
        </w:tc>
        <w:tc>
          <w:tcPr>
            <w:tcW w:w="1298" w:type="dxa"/>
            <w:tcBorders>
              <w:top w:val="nil"/>
              <w:left w:val="nil"/>
              <w:bottom w:val="single" w:sz="4" w:space="0" w:color="auto"/>
              <w:right w:val="single" w:sz="4" w:space="0" w:color="auto"/>
            </w:tcBorders>
            <w:vAlign w:val="center"/>
            <w:hideMark/>
          </w:tcPr>
          <w:p w14:paraId="7E666419"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155 ± 6</w:t>
            </w:r>
          </w:p>
        </w:tc>
        <w:tc>
          <w:tcPr>
            <w:tcW w:w="1418" w:type="dxa"/>
            <w:tcBorders>
              <w:top w:val="nil"/>
              <w:left w:val="nil"/>
              <w:bottom w:val="single" w:sz="4" w:space="0" w:color="auto"/>
              <w:right w:val="single" w:sz="4" w:space="0" w:color="auto"/>
            </w:tcBorders>
            <w:vAlign w:val="center"/>
            <w:hideMark/>
          </w:tcPr>
          <w:p w14:paraId="391B1F2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180 ± 7</w:t>
            </w:r>
          </w:p>
        </w:tc>
        <w:tc>
          <w:tcPr>
            <w:tcW w:w="992" w:type="dxa"/>
            <w:tcBorders>
              <w:top w:val="nil"/>
              <w:left w:val="nil"/>
              <w:bottom w:val="single" w:sz="4" w:space="0" w:color="auto"/>
              <w:right w:val="single" w:sz="4" w:space="0" w:color="auto"/>
            </w:tcBorders>
            <w:vAlign w:val="center"/>
            <w:hideMark/>
          </w:tcPr>
          <w:p w14:paraId="6085D4D5"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0942D0CA"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73F13A39"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2462A8CD"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Chloride (mg/L)</w:t>
            </w:r>
          </w:p>
        </w:tc>
        <w:tc>
          <w:tcPr>
            <w:tcW w:w="1940" w:type="dxa"/>
            <w:tcBorders>
              <w:top w:val="nil"/>
              <w:left w:val="nil"/>
              <w:bottom w:val="single" w:sz="4" w:space="0" w:color="auto"/>
              <w:right w:val="single" w:sz="4" w:space="0" w:color="auto"/>
            </w:tcBorders>
            <w:vAlign w:val="center"/>
            <w:hideMark/>
          </w:tcPr>
          <w:p w14:paraId="77F28E2C"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72 ± 3</w:t>
            </w:r>
          </w:p>
        </w:tc>
        <w:tc>
          <w:tcPr>
            <w:tcW w:w="1298" w:type="dxa"/>
            <w:tcBorders>
              <w:top w:val="nil"/>
              <w:left w:val="nil"/>
              <w:bottom w:val="single" w:sz="4" w:space="0" w:color="auto"/>
              <w:right w:val="single" w:sz="4" w:space="0" w:color="auto"/>
            </w:tcBorders>
            <w:vAlign w:val="center"/>
            <w:hideMark/>
          </w:tcPr>
          <w:p w14:paraId="2F4515B0"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48 ± 2</w:t>
            </w:r>
          </w:p>
        </w:tc>
        <w:tc>
          <w:tcPr>
            <w:tcW w:w="1418" w:type="dxa"/>
            <w:tcBorders>
              <w:top w:val="nil"/>
              <w:left w:val="nil"/>
              <w:bottom w:val="single" w:sz="4" w:space="0" w:color="auto"/>
              <w:right w:val="single" w:sz="4" w:space="0" w:color="auto"/>
            </w:tcBorders>
            <w:vAlign w:val="center"/>
            <w:hideMark/>
          </w:tcPr>
          <w:p w14:paraId="085DC36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56 ± 2</w:t>
            </w:r>
          </w:p>
        </w:tc>
        <w:tc>
          <w:tcPr>
            <w:tcW w:w="992" w:type="dxa"/>
            <w:tcBorders>
              <w:top w:val="nil"/>
              <w:left w:val="nil"/>
              <w:bottom w:val="single" w:sz="4" w:space="0" w:color="auto"/>
              <w:right w:val="single" w:sz="4" w:space="0" w:color="auto"/>
            </w:tcBorders>
            <w:vAlign w:val="center"/>
            <w:hideMark/>
          </w:tcPr>
          <w:p w14:paraId="101DFE51"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69B2303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790D1E56" w14:textId="77777777" w:rsidTr="00641EB1">
        <w:trPr>
          <w:trHeight w:val="290"/>
        </w:trPr>
        <w:tc>
          <w:tcPr>
            <w:tcW w:w="1860" w:type="dxa"/>
            <w:tcBorders>
              <w:top w:val="nil"/>
              <w:left w:val="single" w:sz="4" w:space="0" w:color="auto"/>
              <w:bottom w:val="single" w:sz="4" w:space="0" w:color="auto"/>
              <w:right w:val="single" w:sz="4" w:space="0" w:color="auto"/>
            </w:tcBorders>
            <w:vAlign w:val="center"/>
            <w:hideMark/>
          </w:tcPr>
          <w:p w14:paraId="0853810A"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Nitrate (mg/L)</w:t>
            </w:r>
          </w:p>
        </w:tc>
        <w:tc>
          <w:tcPr>
            <w:tcW w:w="1940" w:type="dxa"/>
            <w:tcBorders>
              <w:top w:val="nil"/>
              <w:left w:val="nil"/>
              <w:bottom w:val="single" w:sz="4" w:space="0" w:color="auto"/>
              <w:right w:val="single" w:sz="4" w:space="0" w:color="auto"/>
            </w:tcBorders>
            <w:vAlign w:val="center"/>
            <w:hideMark/>
          </w:tcPr>
          <w:p w14:paraId="068A1881"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1.2 ± 0.1</w:t>
            </w:r>
          </w:p>
        </w:tc>
        <w:tc>
          <w:tcPr>
            <w:tcW w:w="1298" w:type="dxa"/>
            <w:tcBorders>
              <w:top w:val="nil"/>
              <w:left w:val="nil"/>
              <w:bottom w:val="single" w:sz="4" w:space="0" w:color="auto"/>
              <w:right w:val="single" w:sz="4" w:space="0" w:color="auto"/>
            </w:tcBorders>
            <w:vAlign w:val="center"/>
            <w:hideMark/>
          </w:tcPr>
          <w:p w14:paraId="7ADAC55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2.4 ± 0.2</w:t>
            </w:r>
          </w:p>
        </w:tc>
        <w:tc>
          <w:tcPr>
            <w:tcW w:w="1418" w:type="dxa"/>
            <w:tcBorders>
              <w:top w:val="nil"/>
              <w:left w:val="nil"/>
              <w:bottom w:val="single" w:sz="4" w:space="0" w:color="auto"/>
              <w:right w:val="single" w:sz="4" w:space="0" w:color="auto"/>
            </w:tcBorders>
            <w:vAlign w:val="center"/>
            <w:hideMark/>
          </w:tcPr>
          <w:p w14:paraId="35D2329D"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1.6 ± 0.1</w:t>
            </w:r>
          </w:p>
        </w:tc>
        <w:tc>
          <w:tcPr>
            <w:tcW w:w="992" w:type="dxa"/>
            <w:tcBorders>
              <w:top w:val="nil"/>
              <w:left w:val="nil"/>
              <w:bottom w:val="single" w:sz="4" w:space="0" w:color="auto"/>
              <w:right w:val="single" w:sz="4" w:space="0" w:color="auto"/>
            </w:tcBorders>
            <w:vAlign w:val="center"/>
            <w:hideMark/>
          </w:tcPr>
          <w:p w14:paraId="5BEC82EE"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1B67D2C2"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r w:rsidR="00641EB1" w:rsidRPr="007C17D7" w14:paraId="28C3695D" w14:textId="77777777" w:rsidTr="00641EB1">
        <w:trPr>
          <w:trHeight w:val="360"/>
        </w:trPr>
        <w:tc>
          <w:tcPr>
            <w:tcW w:w="1860" w:type="dxa"/>
            <w:tcBorders>
              <w:top w:val="nil"/>
              <w:left w:val="single" w:sz="4" w:space="0" w:color="auto"/>
              <w:bottom w:val="single" w:sz="4" w:space="0" w:color="auto"/>
              <w:right w:val="single" w:sz="4" w:space="0" w:color="auto"/>
            </w:tcBorders>
            <w:vAlign w:val="center"/>
            <w:hideMark/>
          </w:tcPr>
          <w:p w14:paraId="0751BC7C"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Phosphate (mg/L)</w:t>
            </w:r>
          </w:p>
        </w:tc>
        <w:tc>
          <w:tcPr>
            <w:tcW w:w="1940" w:type="dxa"/>
            <w:tcBorders>
              <w:top w:val="nil"/>
              <w:left w:val="nil"/>
              <w:bottom w:val="single" w:sz="4" w:space="0" w:color="auto"/>
              <w:right w:val="single" w:sz="4" w:space="0" w:color="auto"/>
            </w:tcBorders>
            <w:vAlign w:val="center"/>
            <w:hideMark/>
          </w:tcPr>
          <w:p w14:paraId="65B8A29B"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0.7 ± 0.1</w:t>
            </w:r>
          </w:p>
        </w:tc>
        <w:tc>
          <w:tcPr>
            <w:tcW w:w="1298" w:type="dxa"/>
            <w:tcBorders>
              <w:top w:val="nil"/>
              <w:left w:val="nil"/>
              <w:bottom w:val="single" w:sz="4" w:space="0" w:color="auto"/>
              <w:right w:val="single" w:sz="4" w:space="0" w:color="auto"/>
            </w:tcBorders>
            <w:vAlign w:val="center"/>
            <w:hideMark/>
          </w:tcPr>
          <w:p w14:paraId="77431209"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1.5 ± 0.1</w:t>
            </w:r>
          </w:p>
        </w:tc>
        <w:tc>
          <w:tcPr>
            <w:tcW w:w="1418" w:type="dxa"/>
            <w:tcBorders>
              <w:top w:val="nil"/>
              <w:left w:val="nil"/>
              <w:bottom w:val="single" w:sz="4" w:space="0" w:color="auto"/>
              <w:right w:val="single" w:sz="4" w:space="0" w:color="auto"/>
            </w:tcBorders>
            <w:vAlign w:val="center"/>
            <w:hideMark/>
          </w:tcPr>
          <w:p w14:paraId="6317DB8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0.9 ± 0.1</w:t>
            </w:r>
          </w:p>
        </w:tc>
        <w:tc>
          <w:tcPr>
            <w:tcW w:w="992" w:type="dxa"/>
            <w:tcBorders>
              <w:top w:val="nil"/>
              <w:left w:val="nil"/>
              <w:bottom w:val="single" w:sz="4" w:space="0" w:color="auto"/>
              <w:right w:val="single" w:sz="4" w:space="0" w:color="auto"/>
            </w:tcBorders>
            <w:vAlign w:val="center"/>
            <w:hideMark/>
          </w:tcPr>
          <w:p w14:paraId="254DB86A"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c>
          <w:tcPr>
            <w:tcW w:w="992" w:type="dxa"/>
            <w:tcBorders>
              <w:top w:val="nil"/>
              <w:left w:val="nil"/>
              <w:bottom w:val="single" w:sz="4" w:space="0" w:color="auto"/>
              <w:right w:val="single" w:sz="4" w:space="0" w:color="auto"/>
            </w:tcBorders>
            <w:vAlign w:val="center"/>
            <w:hideMark/>
          </w:tcPr>
          <w:p w14:paraId="31A88357" w14:textId="77777777" w:rsidR="00641EB1" w:rsidRPr="007C17D7" w:rsidRDefault="00641EB1" w:rsidP="00641EB1">
            <w:pPr>
              <w:spacing w:after="0" w:line="240" w:lineRule="auto"/>
              <w:rPr>
                <w:rFonts w:ascii="Times New Roman" w:eastAsia="Times New Roman" w:hAnsi="Times New Roman" w:cs="Times New Roman"/>
                <w:color w:val="000000"/>
                <w:kern w:val="0"/>
                <w:lang w:eastAsia="en-IN"/>
                <w14:ligatures w14:val="none"/>
              </w:rPr>
            </w:pPr>
            <w:r w:rsidRPr="007C17D7">
              <w:rPr>
                <w:rFonts w:ascii="Times New Roman" w:eastAsia="Times New Roman" w:hAnsi="Times New Roman" w:cs="Times New Roman"/>
                <w:color w:val="000000"/>
                <w:kern w:val="0"/>
                <w:lang w:eastAsia="en-IN"/>
                <w14:ligatures w14:val="none"/>
              </w:rPr>
              <w:t>—</w:t>
            </w:r>
          </w:p>
        </w:tc>
      </w:tr>
    </w:tbl>
    <w:p w14:paraId="6BADD692" w14:textId="77777777" w:rsidR="00FB2C73" w:rsidRPr="007C17D7" w:rsidRDefault="00FB2C73" w:rsidP="00B17787">
      <w:pPr>
        <w:spacing w:line="360" w:lineRule="auto"/>
        <w:rPr>
          <w:rFonts w:ascii="Times New Roman" w:hAnsi="Times New Roman" w:cs="Times New Roman"/>
        </w:rPr>
      </w:pPr>
    </w:p>
    <w:p w14:paraId="070D8B50" w14:textId="77777777" w:rsidR="00C41609" w:rsidRPr="007C17D7" w:rsidRDefault="00FB2C73" w:rsidP="00B17787">
      <w:pPr>
        <w:spacing w:line="360" w:lineRule="auto"/>
        <w:rPr>
          <w:rFonts w:ascii="Times New Roman" w:hAnsi="Times New Roman" w:cs="Times New Roman"/>
        </w:rPr>
      </w:pPr>
      <w:r w:rsidRPr="007C17D7">
        <w:rPr>
          <w:rFonts w:ascii="Times New Roman" w:hAnsi="Times New Roman" w:cs="Times New Roman"/>
        </w:rPr>
        <w:t>Values are expressed as Mean ± SD based on monthly observations within each season. F- and p-values are reported only for parameters for which statistical analysis was performed.</w:t>
      </w:r>
    </w:p>
    <w:p w14:paraId="2DA641AC" w14:textId="77777777" w:rsidR="004C7B20" w:rsidRPr="007C17D7" w:rsidRDefault="004C7B20" w:rsidP="00B17787">
      <w:pPr>
        <w:spacing w:line="360" w:lineRule="auto"/>
        <w:rPr>
          <w:rFonts w:ascii="Times New Roman" w:hAnsi="Times New Roman" w:cs="Times New Roman"/>
          <w:b/>
          <w:bCs/>
        </w:rPr>
      </w:pPr>
      <w:r w:rsidRPr="007C17D7">
        <w:rPr>
          <w:rFonts w:ascii="Times New Roman" w:hAnsi="Times New Roman" w:cs="Times New Roman"/>
          <w:b/>
          <w:bCs/>
        </w:rPr>
        <w:t>3.2 Seasonal Relationship between Water Temperature and Dissolved Oxygen</w:t>
      </w:r>
    </w:p>
    <w:p w14:paraId="5E323382" w14:textId="77777777" w:rsidR="004C7B20" w:rsidRPr="007C17D7" w:rsidRDefault="004C7B20" w:rsidP="00B17787">
      <w:pPr>
        <w:spacing w:line="360" w:lineRule="auto"/>
        <w:jc w:val="both"/>
        <w:rPr>
          <w:rFonts w:ascii="Times New Roman" w:hAnsi="Times New Roman" w:cs="Times New Roman"/>
        </w:rPr>
      </w:pPr>
      <w:r w:rsidRPr="007C17D7">
        <w:t>The relationship between water temperature and dissolved oxygen during different seasons is summarised in Table 3. A clear inverse relationship was observed, with higher water temperature corresponding to lower dissolved oxygen concentration. Improved dissolved oxygen during the monsoon reflects enhanced atmospheric aeration and dilution effects.</w:t>
      </w:r>
    </w:p>
    <w:p w14:paraId="46EEDBC4" w14:textId="77777777" w:rsidR="00D02891" w:rsidRPr="007C17D7" w:rsidRDefault="004C7B20" w:rsidP="00B17787">
      <w:pPr>
        <w:spacing w:line="360" w:lineRule="auto"/>
        <w:rPr>
          <w:rFonts w:ascii="Times New Roman" w:hAnsi="Times New Roman" w:cs="Times New Roman"/>
          <w:b/>
          <w:bCs/>
        </w:rPr>
      </w:pPr>
      <w:r w:rsidRPr="007C17D7">
        <w:rPr>
          <w:rFonts w:ascii="Times New Roman" w:hAnsi="Times New Roman" w:cs="Times New Roman"/>
          <w:b/>
          <w:bCs/>
        </w:rPr>
        <w:t xml:space="preserve">Table </w:t>
      </w:r>
      <w:r w:rsidR="009C7D63" w:rsidRPr="007C17D7">
        <w:rPr>
          <w:rFonts w:ascii="Times New Roman" w:hAnsi="Times New Roman" w:cs="Times New Roman"/>
          <w:b/>
          <w:bCs/>
        </w:rPr>
        <w:t>3</w:t>
      </w:r>
      <w:r w:rsidRPr="007C17D7">
        <w:rPr>
          <w:rFonts w:ascii="Times New Roman" w:hAnsi="Times New Roman" w:cs="Times New Roman"/>
          <w:b/>
          <w:bCs/>
        </w:rPr>
        <w:t>. Seasonal relationship between water temperature and dissolved oxygen.</w:t>
      </w:r>
    </w:p>
    <w:tbl>
      <w:tblPr>
        <w:tblStyle w:val="TableGrid"/>
        <w:tblW w:w="0" w:type="auto"/>
        <w:tblLook w:val="04A0" w:firstRow="1" w:lastRow="0" w:firstColumn="1" w:lastColumn="0" w:noHBand="0" w:noVBand="1"/>
      </w:tblPr>
      <w:tblGrid>
        <w:gridCol w:w="1590"/>
        <w:gridCol w:w="1656"/>
        <w:gridCol w:w="1136"/>
        <w:gridCol w:w="3916"/>
      </w:tblGrid>
      <w:tr w:rsidR="00A91AE3" w:rsidRPr="007C17D7" w14:paraId="350F2131" w14:textId="77777777" w:rsidTr="00A91AE3">
        <w:tc>
          <w:tcPr>
            <w:tcW w:w="0" w:type="auto"/>
            <w:hideMark/>
          </w:tcPr>
          <w:p w14:paraId="5471CA5D"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Season</w:t>
            </w:r>
          </w:p>
        </w:tc>
        <w:tc>
          <w:tcPr>
            <w:tcW w:w="0" w:type="auto"/>
            <w:hideMark/>
          </w:tcPr>
          <w:p w14:paraId="2C6D3BA9"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Temperature</w:t>
            </w:r>
          </w:p>
        </w:tc>
        <w:tc>
          <w:tcPr>
            <w:tcW w:w="0" w:type="auto"/>
            <w:hideMark/>
          </w:tcPr>
          <w:p w14:paraId="75968F1E"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DO</w:t>
            </w:r>
          </w:p>
        </w:tc>
        <w:tc>
          <w:tcPr>
            <w:tcW w:w="0" w:type="auto"/>
            <w:hideMark/>
          </w:tcPr>
          <w:p w14:paraId="2BFD721A"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Ecological Interpretation</w:t>
            </w:r>
          </w:p>
        </w:tc>
      </w:tr>
      <w:tr w:rsidR="00A91AE3" w:rsidRPr="007C17D7" w14:paraId="2C308FB1" w14:textId="77777777" w:rsidTr="00A91AE3">
        <w:tc>
          <w:tcPr>
            <w:tcW w:w="0" w:type="auto"/>
            <w:hideMark/>
          </w:tcPr>
          <w:p w14:paraId="2079352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Pre-monsoon</w:t>
            </w:r>
          </w:p>
        </w:tc>
        <w:tc>
          <w:tcPr>
            <w:tcW w:w="0" w:type="auto"/>
            <w:hideMark/>
          </w:tcPr>
          <w:p w14:paraId="64F92FFF"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0" w:type="auto"/>
            <w:hideMark/>
          </w:tcPr>
          <w:p w14:paraId="46B33C2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0" w:type="auto"/>
            <w:hideMark/>
          </w:tcPr>
          <w:p w14:paraId="6516867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Oxygen stress due to high temperature</w:t>
            </w:r>
          </w:p>
        </w:tc>
      </w:tr>
      <w:tr w:rsidR="00A91AE3" w:rsidRPr="007C17D7" w14:paraId="2CB9F81E" w14:textId="77777777" w:rsidTr="00A91AE3">
        <w:tc>
          <w:tcPr>
            <w:tcW w:w="0" w:type="auto"/>
            <w:hideMark/>
          </w:tcPr>
          <w:p w14:paraId="5E054FB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Monsoon</w:t>
            </w:r>
          </w:p>
        </w:tc>
        <w:tc>
          <w:tcPr>
            <w:tcW w:w="0" w:type="auto"/>
            <w:hideMark/>
          </w:tcPr>
          <w:p w14:paraId="0CCF23B4"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r w:rsidR="007E59C2" w:rsidRPr="007C17D7">
              <w:rPr>
                <w:rFonts w:ascii="Times New Roman" w:hAnsi="Times New Roman" w:cs="Times New Roman"/>
              </w:rPr>
              <w:t>-</w:t>
            </w:r>
            <w:r w:rsidRPr="007C17D7">
              <w:rPr>
                <w:rFonts w:ascii="Times New Roman" w:hAnsi="Times New Roman" w:cs="Times New Roman"/>
              </w:rPr>
              <w:t>Moderate</w:t>
            </w:r>
          </w:p>
        </w:tc>
        <w:tc>
          <w:tcPr>
            <w:tcW w:w="0" w:type="auto"/>
            <w:hideMark/>
          </w:tcPr>
          <w:p w14:paraId="0199612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0" w:type="auto"/>
            <w:hideMark/>
          </w:tcPr>
          <w:p w14:paraId="743191F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Better aeration and mixing</w:t>
            </w:r>
          </w:p>
        </w:tc>
      </w:tr>
      <w:tr w:rsidR="00A91AE3" w:rsidRPr="007C17D7" w14:paraId="2014A93C" w14:textId="77777777" w:rsidTr="00A91AE3">
        <w:tc>
          <w:tcPr>
            <w:tcW w:w="0" w:type="auto"/>
            <w:hideMark/>
          </w:tcPr>
          <w:p w14:paraId="7570633F"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Post-monsoon</w:t>
            </w:r>
          </w:p>
        </w:tc>
        <w:tc>
          <w:tcPr>
            <w:tcW w:w="0" w:type="auto"/>
            <w:hideMark/>
          </w:tcPr>
          <w:p w14:paraId="739C6B9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0" w:type="auto"/>
            <w:hideMark/>
          </w:tcPr>
          <w:p w14:paraId="52D9261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0" w:type="auto"/>
            <w:hideMark/>
          </w:tcPr>
          <w:p w14:paraId="6F97729B"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Stable ecological condition</w:t>
            </w:r>
          </w:p>
        </w:tc>
      </w:tr>
    </w:tbl>
    <w:p w14:paraId="53AD1F43" w14:textId="77777777" w:rsidR="004D3875" w:rsidRPr="007C17D7" w:rsidRDefault="004D3875" w:rsidP="00B17787">
      <w:pPr>
        <w:spacing w:line="360" w:lineRule="auto"/>
        <w:rPr>
          <w:rFonts w:ascii="Times New Roman" w:hAnsi="Times New Roman" w:cs="Times New Roman"/>
          <w:b/>
          <w:bCs/>
        </w:rPr>
      </w:pPr>
    </w:p>
    <w:p w14:paraId="33953D95" w14:textId="77777777" w:rsidR="00B45C0B" w:rsidRPr="007C17D7" w:rsidRDefault="00B45C0B" w:rsidP="00B17787">
      <w:pPr>
        <w:spacing w:line="360" w:lineRule="auto"/>
        <w:rPr>
          <w:rFonts w:ascii="Times New Roman" w:hAnsi="Times New Roman" w:cs="Times New Roman"/>
          <w:b/>
          <w:bCs/>
        </w:rPr>
      </w:pPr>
      <w:r w:rsidRPr="007C17D7">
        <w:rPr>
          <w:rFonts w:ascii="Times New Roman" w:hAnsi="Times New Roman" w:cs="Times New Roman"/>
          <w:b/>
          <w:bCs/>
        </w:rPr>
        <w:t>3.3 Seasonal Variation in Organic Pollution Indicators</w:t>
      </w:r>
    </w:p>
    <w:p w14:paraId="7F685AB6" w14:textId="77777777" w:rsidR="00B45C0B" w:rsidRPr="007C17D7" w:rsidRDefault="00B45C0B" w:rsidP="00B17787">
      <w:pPr>
        <w:spacing w:line="360" w:lineRule="auto"/>
        <w:jc w:val="both"/>
        <w:rPr>
          <w:rFonts w:ascii="Times New Roman" w:hAnsi="Times New Roman" w:cs="Times New Roman"/>
        </w:rPr>
      </w:pPr>
      <w:r w:rsidRPr="007C17D7">
        <w:lastRenderedPageBreak/>
        <w:t>The seasonal behaviour of the major organic pollution indicators is presented in Table 4. Both BOD and COD reached maximum values during the pre-monsoon season, indicating increased organic and chemical pollution. Reduced values during the monsoon season indicate the dilution effect of rainfall.</w:t>
      </w:r>
    </w:p>
    <w:p w14:paraId="616CF34C" w14:textId="77777777" w:rsidR="00D02891" w:rsidRPr="007C17D7" w:rsidRDefault="00B45C0B" w:rsidP="00B17787">
      <w:pPr>
        <w:spacing w:line="360" w:lineRule="auto"/>
        <w:rPr>
          <w:rFonts w:ascii="Times New Roman" w:hAnsi="Times New Roman" w:cs="Times New Roman"/>
          <w:b/>
          <w:bCs/>
        </w:rPr>
      </w:pPr>
      <w:r w:rsidRPr="007C17D7">
        <w:rPr>
          <w:rFonts w:ascii="Times New Roman" w:hAnsi="Times New Roman" w:cs="Times New Roman"/>
          <w:b/>
          <w:bCs/>
        </w:rPr>
        <w:t xml:space="preserve">Table </w:t>
      </w:r>
      <w:r w:rsidR="009C7D63" w:rsidRPr="007C17D7">
        <w:rPr>
          <w:rFonts w:ascii="Times New Roman" w:hAnsi="Times New Roman" w:cs="Times New Roman"/>
          <w:b/>
          <w:bCs/>
        </w:rPr>
        <w:t>4</w:t>
      </w:r>
      <w:r w:rsidRPr="007C17D7">
        <w:rPr>
          <w:rFonts w:ascii="Times New Roman" w:hAnsi="Times New Roman" w:cs="Times New Roman"/>
          <w:b/>
          <w:bCs/>
        </w:rPr>
        <w:t>. Seasonal variation in organic pollution indicators (BOD and COD).</w:t>
      </w:r>
    </w:p>
    <w:tbl>
      <w:tblPr>
        <w:tblStyle w:val="TableGrid"/>
        <w:tblW w:w="0" w:type="auto"/>
        <w:tblLook w:val="04A0" w:firstRow="1" w:lastRow="0" w:firstColumn="1" w:lastColumn="0" w:noHBand="0" w:noVBand="1"/>
      </w:tblPr>
      <w:tblGrid>
        <w:gridCol w:w="1590"/>
        <w:gridCol w:w="1503"/>
        <w:gridCol w:w="1516"/>
        <w:gridCol w:w="3731"/>
      </w:tblGrid>
      <w:tr w:rsidR="00A91AE3" w:rsidRPr="007C17D7" w14:paraId="3C928E30" w14:textId="77777777" w:rsidTr="00A91AE3">
        <w:tc>
          <w:tcPr>
            <w:tcW w:w="0" w:type="auto"/>
            <w:hideMark/>
          </w:tcPr>
          <w:p w14:paraId="2BBE9C21"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Season</w:t>
            </w:r>
          </w:p>
        </w:tc>
        <w:tc>
          <w:tcPr>
            <w:tcW w:w="0" w:type="auto"/>
            <w:hideMark/>
          </w:tcPr>
          <w:p w14:paraId="4A785895"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BOD (mg/L)</w:t>
            </w:r>
          </w:p>
        </w:tc>
        <w:tc>
          <w:tcPr>
            <w:tcW w:w="0" w:type="auto"/>
            <w:hideMark/>
          </w:tcPr>
          <w:p w14:paraId="05EB279F"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COD (mg/L)</w:t>
            </w:r>
          </w:p>
        </w:tc>
        <w:tc>
          <w:tcPr>
            <w:tcW w:w="0" w:type="auto"/>
            <w:hideMark/>
          </w:tcPr>
          <w:p w14:paraId="295BA9EC"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Interpretation</w:t>
            </w:r>
          </w:p>
        </w:tc>
      </w:tr>
      <w:tr w:rsidR="00A91AE3" w:rsidRPr="007C17D7" w14:paraId="0E4AAF10" w14:textId="77777777" w:rsidTr="00A91AE3">
        <w:tc>
          <w:tcPr>
            <w:tcW w:w="0" w:type="auto"/>
            <w:hideMark/>
          </w:tcPr>
          <w:p w14:paraId="5D659DE7"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Pre-monsoon</w:t>
            </w:r>
          </w:p>
        </w:tc>
        <w:tc>
          <w:tcPr>
            <w:tcW w:w="0" w:type="auto"/>
            <w:hideMark/>
          </w:tcPr>
          <w:p w14:paraId="1E67984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0" w:type="auto"/>
            <w:hideMark/>
          </w:tcPr>
          <w:p w14:paraId="0749FB8B"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0" w:type="auto"/>
            <w:hideMark/>
          </w:tcPr>
          <w:p w14:paraId="3C43C0DD"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 organic and chemical pollution</w:t>
            </w:r>
          </w:p>
        </w:tc>
      </w:tr>
      <w:tr w:rsidR="00A91AE3" w:rsidRPr="007C17D7" w14:paraId="052A4AF4" w14:textId="77777777" w:rsidTr="00A91AE3">
        <w:tc>
          <w:tcPr>
            <w:tcW w:w="0" w:type="auto"/>
            <w:hideMark/>
          </w:tcPr>
          <w:p w14:paraId="622AA4F2"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Monsoon</w:t>
            </w:r>
          </w:p>
        </w:tc>
        <w:tc>
          <w:tcPr>
            <w:tcW w:w="0" w:type="auto"/>
            <w:hideMark/>
          </w:tcPr>
          <w:p w14:paraId="1906B13B"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0" w:type="auto"/>
            <w:hideMark/>
          </w:tcPr>
          <w:p w14:paraId="30C9EBB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0" w:type="auto"/>
            <w:hideMark/>
          </w:tcPr>
          <w:p w14:paraId="4D63B52D"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Dilution of pollutants</w:t>
            </w:r>
          </w:p>
        </w:tc>
      </w:tr>
      <w:tr w:rsidR="00A91AE3" w:rsidRPr="007C17D7" w14:paraId="51CA1E38" w14:textId="77777777" w:rsidTr="00A91AE3">
        <w:tc>
          <w:tcPr>
            <w:tcW w:w="0" w:type="auto"/>
            <w:hideMark/>
          </w:tcPr>
          <w:p w14:paraId="428A30A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Post-monsoon</w:t>
            </w:r>
          </w:p>
        </w:tc>
        <w:tc>
          <w:tcPr>
            <w:tcW w:w="0" w:type="auto"/>
            <w:hideMark/>
          </w:tcPr>
          <w:p w14:paraId="4A7A6C56"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0" w:type="auto"/>
            <w:hideMark/>
          </w:tcPr>
          <w:p w14:paraId="559AF303"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0" w:type="auto"/>
            <w:hideMark/>
          </w:tcPr>
          <w:p w14:paraId="346996C7"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Partial recovery</w:t>
            </w:r>
          </w:p>
        </w:tc>
      </w:tr>
    </w:tbl>
    <w:p w14:paraId="51F62096" w14:textId="77777777" w:rsidR="00A91AE3" w:rsidRPr="007C17D7" w:rsidRDefault="00A91AE3" w:rsidP="00B17787">
      <w:pPr>
        <w:spacing w:line="360" w:lineRule="auto"/>
        <w:rPr>
          <w:rFonts w:ascii="Times New Roman" w:hAnsi="Times New Roman" w:cs="Times New Roman"/>
        </w:rPr>
      </w:pPr>
    </w:p>
    <w:p w14:paraId="6A4CF6F4" w14:textId="77777777" w:rsidR="00B45C0B" w:rsidRPr="007C17D7" w:rsidRDefault="00B45C0B" w:rsidP="00B17787">
      <w:pPr>
        <w:spacing w:line="360" w:lineRule="auto"/>
        <w:rPr>
          <w:rFonts w:ascii="Times New Roman" w:hAnsi="Times New Roman" w:cs="Times New Roman"/>
          <w:b/>
          <w:bCs/>
        </w:rPr>
      </w:pPr>
      <w:r w:rsidRPr="007C17D7">
        <w:rPr>
          <w:rFonts w:ascii="Times New Roman" w:hAnsi="Times New Roman" w:cs="Times New Roman"/>
          <w:b/>
          <w:bCs/>
        </w:rPr>
        <w:t>3.4 Seasonal Variation in Nutrient Concentrations</w:t>
      </w:r>
    </w:p>
    <w:p w14:paraId="25AACE07" w14:textId="77777777" w:rsidR="00B45C0B" w:rsidRPr="007C17D7" w:rsidRDefault="00B45C0B" w:rsidP="00B17787">
      <w:pPr>
        <w:spacing w:line="360" w:lineRule="auto"/>
        <w:jc w:val="both"/>
        <w:rPr>
          <w:rFonts w:ascii="Times New Roman" w:hAnsi="Times New Roman" w:cs="Times New Roman"/>
        </w:rPr>
      </w:pPr>
      <w:r w:rsidRPr="007C17D7">
        <w:rPr>
          <w:rFonts w:ascii="Times New Roman" w:hAnsi="Times New Roman" w:cs="Times New Roman"/>
        </w:rPr>
        <w:t xml:space="preserve">The seasonal distribution of nitrate and phosphate concentrations is presented in Table </w:t>
      </w:r>
      <w:r w:rsidR="00765044" w:rsidRPr="007C17D7">
        <w:rPr>
          <w:rFonts w:ascii="Times New Roman" w:hAnsi="Times New Roman" w:cs="Times New Roman"/>
        </w:rPr>
        <w:t>5</w:t>
      </w:r>
      <w:r w:rsidRPr="007C17D7">
        <w:rPr>
          <w:rFonts w:ascii="Times New Roman" w:hAnsi="Times New Roman" w:cs="Times New Roman"/>
        </w:rPr>
        <w:t>. Both nutrients increased considerably during the monsoon season because of agricultural runoff and surface drainage, indicating nutrient enrichment of the pond.</w:t>
      </w:r>
    </w:p>
    <w:p w14:paraId="24AE9ECA" w14:textId="77777777" w:rsidR="00DF0B9B" w:rsidRPr="007C17D7" w:rsidRDefault="00B45C0B" w:rsidP="00B17787">
      <w:pPr>
        <w:spacing w:line="360" w:lineRule="auto"/>
        <w:rPr>
          <w:rFonts w:ascii="Times New Roman" w:hAnsi="Times New Roman" w:cs="Times New Roman"/>
          <w:b/>
          <w:bCs/>
        </w:rPr>
      </w:pPr>
      <w:r w:rsidRPr="007C17D7">
        <w:rPr>
          <w:rFonts w:ascii="Times New Roman" w:hAnsi="Times New Roman" w:cs="Times New Roman"/>
          <w:b/>
          <w:bCs/>
        </w:rPr>
        <w:t xml:space="preserve">Table </w:t>
      </w:r>
      <w:r w:rsidR="00765044" w:rsidRPr="007C17D7">
        <w:rPr>
          <w:rFonts w:ascii="Times New Roman" w:hAnsi="Times New Roman" w:cs="Times New Roman"/>
          <w:b/>
          <w:bCs/>
        </w:rPr>
        <w:t>5</w:t>
      </w:r>
      <w:r w:rsidRPr="007C17D7">
        <w:rPr>
          <w:rFonts w:ascii="Times New Roman" w:hAnsi="Times New Roman" w:cs="Times New Roman"/>
          <w:b/>
          <w:bCs/>
        </w:rPr>
        <w:t>. Seasonal variation in nutrient concentrations.</w:t>
      </w:r>
    </w:p>
    <w:tbl>
      <w:tblPr>
        <w:tblStyle w:val="TableGrid"/>
        <w:tblW w:w="0" w:type="auto"/>
        <w:tblLook w:val="04A0" w:firstRow="1" w:lastRow="0" w:firstColumn="1" w:lastColumn="0" w:noHBand="0" w:noVBand="1"/>
      </w:tblPr>
      <w:tblGrid>
        <w:gridCol w:w="1309"/>
        <w:gridCol w:w="1601"/>
        <w:gridCol w:w="1163"/>
        <w:gridCol w:w="1696"/>
        <w:gridCol w:w="3247"/>
      </w:tblGrid>
      <w:tr w:rsidR="00A91AE3" w:rsidRPr="007C17D7" w14:paraId="361EFAB2" w14:textId="77777777" w:rsidTr="00A91AE3">
        <w:tc>
          <w:tcPr>
            <w:tcW w:w="0" w:type="auto"/>
            <w:hideMark/>
          </w:tcPr>
          <w:p w14:paraId="5A0E605B"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Parameter</w:t>
            </w:r>
          </w:p>
        </w:tc>
        <w:tc>
          <w:tcPr>
            <w:tcW w:w="0" w:type="auto"/>
            <w:hideMark/>
          </w:tcPr>
          <w:p w14:paraId="74936D01" w14:textId="77777777" w:rsidR="00A91AE3" w:rsidRPr="00B676D7" w:rsidRDefault="00A91AE3" w:rsidP="00B17787">
            <w:pPr>
              <w:spacing w:line="360" w:lineRule="auto"/>
              <w:rPr>
                <w:rFonts w:ascii="Times New Roman" w:hAnsi="Times New Roman" w:cs="Times New Roman"/>
                <w:b/>
                <w:bCs/>
              </w:rPr>
            </w:pPr>
            <w:r w:rsidRPr="00B676D7">
              <w:rPr>
                <w:b/>
                <w:bCs/>
              </w:rPr>
              <w:t>Pre-monsoon</w:t>
            </w:r>
          </w:p>
        </w:tc>
        <w:tc>
          <w:tcPr>
            <w:tcW w:w="0" w:type="auto"/>
            <w:hideMark/>
          </w:tcPr>
          <w:p w14:paraId="56C9B96C" w14:textId="77777777" w:rsidR="00A91AE3" w:rsidRPr="00B676D7" w:rsidRDefault="00A91AE3" w:rsidP="00B17787">
            <w:pPr>
              <w:spacing w:line="360" w:lineRule="auto"/>
              <w:rPr>
                <w:rFonts w:ascii="Times New Roman" w:hAnsi="Times New Roman" w:cs="Times New Roman"/>
                <w:b/>
                <w:bCs/>
              </w:rPr>
            </w:pPr>
            <w:r w:rsidRPr="00B676D7">
              <w:rPr>
                <w:rFonts w:ascii="Times New Roman" w:hAnsi="Times New Roman" w:cs="Times New Roman"/>
                <w:b/>
                <w:bCs/>
              </w:rPr>
              <w:t>Monsoon</w:t>
            </w:r>
          </w:p>
        </w:tc>
        <w:tc>
          <w:tcPr>
            <w:tcW w:w="0" w:type="auto"/>
            <w:hideMark/>
          </w:tcPr>
          <w:p w14:paraId="13DB3A08" w14:textId="77777777" w:rsidR="00A91AE3" w:rsidRPr="00B676D7" w:rsidRDefault="00A91AE3" w:rsidP="00B17787">
            <w:pPr>
              <w:spacing w:line="360" w:lineRule="auto"/>
              <w:rPr>
                <w:rFonts w:ascii="Times New Roman" w:hAnsi="Times New Roman" w:cs="Times New Roman"/>
                <w:b/>
                <w:bCs/>
              </w:rPr>
            </w:pPr>
            <w:r w:rsidRPr="00B676D7">
              <w:rPr>
                <w:b/>
                <w:bCs/>
              </w:rPr>
              <w:t>Post-monsoon</w:t>
            </w:r>
          </w:p>
        </w:tc>
        <w:tc>
          <w:tcPr>
            <w:tcW w:w="0" w:type="auto"/>
            <w:hideMark/>
          </w:tcPr>
          <w:p w14:paraId="5C4DF78E"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Interpretation</w:t>
            </w:r>
          </w:p>
        </w:tc>
      </w:tr>
      <w:tr w:rsidR="00A91AE3" w:rsidRPr="007C17D7" w14:paraId="25523D2A" w14:textId="77777777" w:rsidTr="00A91AE3">
        <w:tc>
          <w:tcPr>
            <w:tcW w:w="0" w:type="auto"/>
            <w:hideMark/>
          </w:tcPr>
          <w:p w14:paraId="5D845F05"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Nitrates</w:t>
            </w:r>
          </w:p>
        </w:tc>
        <w:tc>
          <w:tcPr>
            <w:tcW w:w="0" w:type="auto"/>
            <w:hideMark/>
          </w:tcPr>
          <w:p w14:paraId="3A3E334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1.2</w:t>
            </w:r>
          </w:p>
        </w:tc>
        <w:tc>
          <w:tcPr>
            <w:tcW w:w="0" w:type="auto"/>
            <w:hideMark/>
          </w:tcPr>
          <w:p w14:paraId="7F4243A5"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2.4</w:t>
            </w:r>
          </w:p>
        </w:tc>
        <w:tc>
          <w:tcPr>
            <w:tcW w:w="0" w:type="auto"/>
            <w:hideMark/>
          </w:tcPr>
          <w:p w14:paraId="2C29FFC3"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1.6</w:t>
            </w:r>
          </w:p>
        </w:tc>
        <w:tc>
          <w:tcPr>
            <w:tcW w:w="0" w:type="auto"/>
            <w:hideMark/>
          </w:tcPr>
          <w:p w14:paraId="6245A83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Peak during monsoon due to runoff</w:t>
            </w:r>
          </w:p>
        </w:tc>
      </w:tr>
      <w:tr w:rsidR="00A91AE3" w:rsidRPr="007C17D7" w14:paraId="5AB33085" w14:textId="77777777" w:rsidTr="00A91AE3">
        <w:tc>
          <w:tcPr>
            <w:tcW w:w="0" w:type="auto"/>
            <w:hideMark/>
          </w:tcPr>
          <w:p w14:paraId="5F01342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Phosphates</w:t>
            </w:r>
          </w:p>
        </w:tc>
        <w:tc>
          <w:tcPr>
            <w:tcW w:w="0" w:type="auto"/>
            <w:hideMark/>
          </w:tcPr>
          <w:p w14:paraId="4C3B5380"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0.7</w:t>
            </w:r>
          </w:p>
        </w:tc>
        <w:tc>
          <w:tcPr>
            <w:tcW w:w="0" w:type="auto"/>
            <w:hideMark/>
          </w:tcPr>
          <w:p w14:paraId="1AFF3556"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1.5</w:t>
            </w:r>
          </w:p>
        </w:tc>
        <w:tc>
          <w:tcPr>
            <w:tcW w:w="0" w:type="auto"/>
            <w:hideMark/>
          </w:tcPr>
          <w:p w14:paraId="4BADE3E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0.9</w:t>
            </w:r>
          </w:p>
        </w:tc>
        <w:tc>
          <w:tcPr>
            <w:tcW w:w="0" w:type="auto"/>
            <w:hideMark/>
          </w:tcPr>
          <w:p w14:paraId="690E0A6F"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Indicates nutrient enrichment</w:t>
            </w:r>
          </w:p>
        </w:tc>
      </w:tr>
    </w:tbl>
    <w:p w14:paraId="2759433F" w14:textId="77777777" w:rsidR="00C41609" w:rsidRPr="007C17D7" w:rsidRDefault="00C41609" w:rsidP="00B17787">
      <w:pPr>
        <w:spacing w:line="360" w:lineRule="auto"/>
        <w:rPr>
          <w:rFonts w:ascii="Times New Roman" w:hAnsi="Times New Roman" w:cs="Times New Roman"/>
          <w:b/>
          <w:bCs/>
        </w:rPr>
      </w:pPr>
    </w:p>
    <w:p w14:paraId="26759511" w14:textId="77777777" w:rsidR="002360F6" w:rsidRPr="007C17D7" w:rsidRDefault="002360F6" w:rsidP="00B17787">
      <w:pPr>
        <w:spacing w:line="360" w:lineRule="auto"/>
        <w:rPr>
          <w:rFonts w:ascii="Times New Roman" w:hAnsi="Times New Roman" w:cs="Times New Roman"/>
          <w:b/>
          <w:bCs/>
        </w:rPr>
      </w:pPr>
      <w:r w:rsidRPr="007C17D7">
        <w:rPr>
          <w:rFonts w:ascii="Times New Roman" w:hAnsi="Times New Roman" w:cs="Times New Roman"/>
          <w:b/>
          <w:bCs/>
        </w:rPr>
        <w:t>3.5 Seasonal Diversity of Phytoplankton</w:t>
      </w:r>
    </w:p>
    <w:p w14:paraId="07E4641A" w14:textId="77777777" w:rsidR="002360F6" w:rsidRPr="007C17D7" w:rsidRDefault="007C0753" w:rsidP="00B17787">
      <w:pPr>
        <w:spacing w:line="360" w:lineRule="auto"/>
        <w:jc w:val="both"/>
        <w:rPr>
          <w:rFonts w:ascii="Times New Roman" w:hAnsi="Times New Roman" w:cs="Times New Roman"/>
        </w:rPr>
      </w:pPr>
      <w:r w:rsidRPr="007C17D7">
        <w:rPr>
          <w:rFonts w:ascii="Times New Roman" w:hAnsi="Times New Roman" w:cs="Times New Roman"/>
        </w:rPr>
        <w:t xml:space="preserve">The seasonal occurrence and relative dominance of the major phytoplankton groups are presented in Table </w:t>
      </w:r>
      <w:r w:rsidR="00134E42" w:rsidRPr="007C17D7">
        <w:rPr>
          <w:rFonts w:ascii="Times New Roman" w:hAnsi="Times New Roman" w:cs="Times New Roman"/>
        </w:rPr>
        <w:t>6</w:t>
      </w:r>
      <w:r w:rsidRPr="007C17D7">
        <w:rPr>
          <w:rFonts w:ascii="Times New Roman" w:hAnsi="Times New Roman" w:cs="Times New Roman"/>
        </w:rPr>
        <w:t>. The observations are qualitative and describe relative seasonal patterns rather than quantitative species abundance.</w:t>
      </w:r>
      <w:r w:rsidR="009154B0" w:rsidRPr="007C17D7">
        <w:rPr>
          <w:rFonts w:ascii="Times New Roman" w:hAnsi="Times New Roman" w:cs="Times New Roman"/>
        </w:rPr>
        <w:t xml:space="preserve"> </w:t>
      </w:r>
      <w:r w:rsidR="002360F6" w:rsidRPr="007C17D7">
        <w:rPr>
          <w:rFonts w:ascii="Times New Roman" w:hAnsi="Times New Roman" w:cs="Times New Roman"/>
        </w:rPr>
        <w:t xml:space="preserve">Chlorophyceae dominated throughout the investigation, while </w:t>
      </w:r>
      <w:proofErr w:type="spellStart"/>
      <w:r w:rsidR="002360F6" w:rsidRPr="007C17D7">
        <w:rPr>
          <w:rFonts w:ascii="Times New Roman" w:hAnsi="Times New Roman" w:cs="Times New Roman"/>
        </w:rPr>
        <w:t>Cyanophyceae</w:t>
      </w:r>
      <w:proofErr w:type="spellEnd"/>
      <w:r w:rsidR="002360F6" w:rsidRPr="007C17D7">
        <w:rPr>
          <w:rFonts w:ascii="Times New Roman" w:hAnsi="Times New Roman" w:cs="Times New Roman"/>
        </w:rPr>
        <w:t xml:space="preserve"> were comparatively abundant during the pre-monsoon season, indicating nutrient enrichment.</w:t>
      </w:r>
    </w:p>
    <w:p w14:paraId="5FE0F264" w14:textId="77777777" w:rsidR="00A91AE3" w:rsidRPr="007C17D7" w:rsidRDefault="002360F6" w:rsidP="00B17787">
      <w:pPr>
        <w:spacing w:line="360" w:lineRule="auto"/>
        <w:rPr>
          <w:rFonts w:ascii="Times New Roman" w:hAnsi="Times New Roman" w:cs="Times New Roman"/>
          <w:b/>
          <w:bCs/>
        </w:rPr>
      </w:pPr>
      <w:r w:rsidRPr="007C17D7">
        <w:rPr>
          <w:rFonts w:ascii="Times New Roman" w:hAnsi="Times New Roman" w:cs="Times New Roman"/>
          <w:b/>
          <w:bCs/>
        </w:rPr>
        <w:t xml:space="preserve">Table </w:t>
      </w:r>
      <w:r w:rsidR="00134E42" w:rsidRPr="007C17D7">
        <w:rPr>
          <w:rFonts w:ascii="Times New Roman" w:hAnsi="Times New Roman" w:cs="Times New Roman"/>
          <w:b/>
          <w:bCs/>
        </w:rPr>
        <w:t>6.</w:t>
      </w:r>
      <w:r w:rsidRPr="007C17D7">
        <w:rPr>
          <w:rFonts w:ascii="Times New Roman" w:hAnsi="Times New Roman" w:cs="Times New Roman"/>
          <w:b/>
          <w:bCs/>
        </w:rPr>
        <w:t xml:space="preserve"> </w:t>
      </w:r>
      <w:r w:rsidR="00BC7020" w:rsidRPr="007C17D7">
        <w:rPr>
          <w:rFonts w:ascii="Times New Roman" w:hAnsi="Times New Roman" w:cs="Times New Roman"/>
          <w:b/>
          <w:bCs/>
        </w:rPr>
        <w:t>Qualitative seasonal occurrence and relative dominance of major phytoplankton groups</w:t>
      </w:r>
    </w:p>
    <w:tbl>
      <w:tblPr>
        <w:tblStyle w:val="TableGrid"/>
        <w:tblW w:w="0" w:type="auto"/>
        <w:tblLook w:val="04A0" w:firstRow="1" w:lastRow="0" w:firstColumn="1" w:lastColumn="0" w:noHBand="0" w:noVBand="1"/>
      </w:tblPr>
      <w:tblGrid>
        <w:gridCol w:w="1949"/>
        <w:gridCol w:w="1475"/>
        <w:gridCol w:w="1163"/>
        <w:gridCol w:w="1163"/>
        <w:gridCol w:w="1163"/>
        <w:gridCol w:w="2103"/>
      </w:tblGrid>
      <w:tr w:rsidR="00A91AE3" w:rsidRPr="007C17D7" w14:paraId="4D45105B" w14:textId="77777777" w:rsidTr="00926D5D">
        <w:tc>
          <w:tcPr>
            <w:tcW w:w="0" w:type="auto"/>
            <w:hideMark/>
          </w:tcPr>
          <w:p w14:paraId="53BFC1F7"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lastRenderedPageBreak/>
              <w:t>Group</w:t>
            </w:r>
          </w:p>
        </w:tc>
        <w:tc>
          <w:tcPr>
            <w:tcW w:w="0" w:type="auto"/>
            <w:hideMark/>
          </w:tcPr>
          <w:p w14:paraId="7E810030"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Examples</w:t>
            </w:r>
          </w:p>
        </w:tc>
        <w:tc>
          <w:tcPr>
            <w:tcW w:w="1163" w:type="dxa"/>
            <w:hideMark/>
          </w:tcPr>
          <w:p w14:paraId="35F11B03"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Pre-Monsoon</w:t>
            </w:r>
          </w:p>
        </w:tc>
        <w:tc>
          <w:tcPr>
            <w:tcW w:w="1163" w:type="dxa"/>
            <w:hideMark/>
          </w:tcPr>
          <w:p w14:paraId="7DA61961"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Monsoon</w:t>
            </w:r>
          </w:p>
        </w:tc>
        <w:tc>
          <w:tcPr>
            <w:tcW w:w="1163" w:type="dxa"/>
            <w:hideMark/>
          </w:tcPr>
          <w:p w14:paraId="68288F87"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Post-Monsoon</w:t>
            </w:r>
          </w:p>
        </w:tc>
        <w:tc>
          <w:tcPr>
            <w:tcW w:w="2182" w:type="dxa"/>
            <w:hideMark/>
          </w:tcPr>
          <w:p w14:paraId="77172075" w14:textId="77777777" w:rsidR="00A91AE3" w:rsidRPr="007C17D7" w:rsidRDefault="00A91AE3" w:rsidP="00B17787">
            <w:pPr>
              <w:spacing w:line="360" w:lineRule="auto"/>
              <w:rPr>
                <w:rFonts w:ascii="Times New Roman" w:hAnsi="Times New Roman" w:cs="Times New Roman"/>
                <w:b/>
                <w:bCs/>
              </w:rPr>
            </w:pPr>
            <w:r w:rsidRPr="007C17D7">
              <w:rPr>
                <w:rFonts w:ascii="Times New Roman" w:hAnsi="Times New Roman" w:cs="Times New Roman"/>
                <w:b/>
                <w:bCs/>
              </w:rPr>
              <w:t>Ecological Significance</w:t>
            </w:r>
          </w:p>
        </w:tc>
      </w:tr>
      <w:tr w:rsidR="00A91AE3" w:rsidRPr="007C17D7" w14:paraId="1B7D567F" w14:textId="77777777" w:rsidTr="00926D5D">
        <w:tc>
          <w:tcPr>
            <w:tcW w:w="0" w:type="auto"/>
            <w:hideMark/>
          </w:tcPr>
          <w:p w14:paraId="6D91439B"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Chlorophyceae</w:t>
            </w:r>
          </w:p>
        </w:tc>
        <w:tc>
          <w:tcPr>
            <w:tcW w:w="0" w:type="auto"/>
            <w:hideMark/>
          </w:tcPr>
          <w:p w14:paraId="78DB7543" w14:textId="77777777" w:rsidR="00A91AE3" w:rsidRPr="007C17D7" w:rsidRDefault="00A91AE3" w:rsidP="00B17787">
            <w:pPr>
              <w:spacing w:line="360" w:lineRule="auto"/>
              <w:rPr>
                <w:rFonts w:ascii="Times New Roman" w:hAnsi="Times New Roman" w:cs="Times New Roman"/>
              </w:rPr>
            </w:pPr>
            <w:r w:rsidRPr="007C17D7">
              <w:rPr>
                <w:i/>
              </w:rPr>
              <w:t>Chlorella</w:t>
            </w:r>
            <w:r w:rsidRPr="007C17D7">
              <w:t xml:space="preserve">, </w:t>
            </w:r>
            <w:r w:rsidRPr="007C17D7">
              <w:rPr>
                <w:i/>
              </w:rPr>
              <w:t>Spirogyra</w:t>
            </w:r>
          </w:p>
        </w:tc>
        <w:tc>
          <w:tcPr>
            <w:tcW w:w="1163" w:type="dxa"/>
            <w:hideMark/>
          </w:tcPr>
          <w:p w14:paraId="162E712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163" w:type="dxa"/>
            <w:hideMark/>
          </w:tcPr>
          <w:p w14:paraId="0EB852C5"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1163" w:type="dxa"/>
            <w:hideMark/>
          </w:tcPr>
          <w:p w14:paraId="504C025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2182" w:type="dxa"/>
            <w:hideMark/>
          </w:tcPr>
          <w:p w14:paraId="0F03AFD6"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Indicates productive water</w:t>
            </w:r>
          </w:p>
        </w:tc>
      </w:tr>
      <w:tr w:rsidR="00A91AE3" w:rsidRPr="007C17D7" w14:paraId="225578F9" w14:textId="77777777" w:rsidTr="00926D5D">
        <w:tc>
          <w:tcPr>
            <w:tcW w:w="0" w:type="auto"/>
            <w:hideMark/>
          </w:tcPr>
          <w:p w14:paraId="326C10F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Bacillariophyceae</w:t>
            </w:r>
          </w:p>
        </w:tc>
        <w:tc>
          <w:tcPr>
            <w:tcW w:w="0" w:type="auto"/>
            <w:hideMark/>
          </w:tcPr>
          <w:p w14:paraId="76D4A55B" w14:textId="77777777" w:rsidR="00A91AE3" w:rsidRPr="007C17D7" w:rsidRDefault="00A91AE3" w:rsidP="00B17787">
            <w:pPr>
              <w:spacing w:line="360" w:lineRule="auto"/>
              <w:rPr>
                <w:rFonts w:ascii="Times New Roman" w:hAnsi="Times New Roman" w:cs="Times New Roman"/>
              </w:rPr>
            </w:pPr>
            <w:r w:rsidRPr="007C17D7">
              <w:rPr>
                <w:i/>
              </w:rPr>
              <w:t>Navicula</w:t>
            </w:r>
            <w:r w:rsidRPr="007C17D7">
              <w:t>, diatoms</w:t>
            </w:r>
          </w:p>
        </w:tc>
        <w:tc>
          <w:tcPr>
            <w:tcW w:w="1163" w:type="dxa"/>
            <w:hideMark/>
          </w:tcPr>
          <w:p w14:paraId="56D88007"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1163" w:type="dxa"/>
            <w:hideMark/>
          </w:tcPr>
          <w:p w14:paraId="4AB4830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163" w:type="dxa"/>
            <w:hideMark/>
          </w:tcPr>
          <w:p w14:paraId="0A129DE0"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2182" w:type="dxa"/>
            <w:hideMark/>
          </w:tcPr>
          <w:p w14:paraId="073F4C0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Indicator of good water quality</w:t>
            </w:r>
          </w:p>
        </w:tc>
      </w:tr>
      <w:tr w:rsidR="00A91AE3" w:rsidRPr="007C17D7" w14:paraId="415685B4" w14:textId="77777777" w:rsidTr="00926D5D">
        <w:tc>
          <w:tcPr>
            <w:tcW w:w="0" w:type="auto"/>
            <w:hideMark/>
          </w:tcPr>
          <w:p w14:paraId="440EB1A9" w14:textId="77777777" w:rsidR="00A91AE3" w:rsidRPr="007C17D7" w:rsidRDefault="00A91AE3" w:rsidP="00B17787">
            <w:pPr>
              <w:spacing w:line="360" w:lineRule="auto"/>
              <w:rPr>
                <w:rFonts w:ascii="Times New Roman" w:hAnsi="Times New Roman" w:cs="Times New Roman"/>
              </w:rPr>
            </w:pPr>
            <w:proofErr w:type="spellStart"/>
            <w:r w:rsidRPr="007C17D7">
              <w:rPr>
                <w:rFonts w:ascii="Times New Roman" w:hAnsi="Times New Roman" w:cs="Times New Roman"/>
              </w:rPr>
              <w:t>Cyanophyceae</w:t>
            </w:r>
            <w:proofErr w:type="spellEnd"/>
          </w:p>
        </w:tc>
        <w:tc>
          <w:tcPr>
            <w:tcW w:w="0" w:type="auto"/>
            <w:hideMark/>
          </w:tcPr>
          <w:p w14:paraId="02C28BFF" w14:textId="77777777" w:rsidR="00A91AE3" w:rsidRPr="007C17D7" w:rsidRDefault="00A91AE3" w:rsidP="00B17787">
            <w:pPr>
              <w:spacing w:line="360" w:lineRule="auto"/>
              <w:rPr>
                <w:rFonts w:ascii="Times New Roman" w:hAnsi="Times New Roman" w:cs="Times New Roman"/>
              </w:rPr>
            </w:pPr>
            <w:r w:rsidRPr="007C17D7">
              <w:rPr>
                <w:i/>
              </w:rPr>
              <w:t>Oscillatoria</w:t>
            </w:r>
            <w:r w:rsidRPr="007C17D7">
              <w:t xml:space="preserve">, </w:t>
            </w:r>
            <w:r w:rsidRPr="007C17D7">
              <w:rPr>
                <w:i/>
              </w:rPr>
              <w:t>Anabaena</w:t>
            </w:r>
          </w:p>
        </w:tc>
        <w:tc>
          <w:tcPr>
            <w:tcW w:w="1163" w:type="dxa"/>
            <w:hideMark/>
          </w:tcPr>
          <w:p w14:paraId="7C8162D1"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1163" w:type="dxa"/>
            <w:hideMark/>
          </w:tcPr>
          <w:p w14:paraId="0AB8DA14"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163" w:type="dxa"/>
            <w:hideMark/>
          </w:tcPr>
          <w:p w14:paraId="7092D5E7"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2182" w:type="dxa"/>
            <w:hideMark/>
          </w:tcPr>
          <w:p w14:paraId="4C24F84D"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Indicates eutrophic conditions</w:t>
            </w:r>
          </w:p>
        </w:tc>
      </w:tr>
      <w:tr w:rsidR="00A91AE3" w:rsidRPr="007C17D7" w14:paraId="5252AF51" w14:textId="77777777" w:rsidTr="00926D5D">
        <w:tc>
          <w:tcPr>
            <w:tcW w:w="0" w:type="auto"/>
            <w:hideMark/>
          </w:tcPr>
          <w:p w14:paraId="2F541B2A" w14:textId="77777777" w:rsidR="00A91AE3" w:rsidRPr="007C17D7" w:rsidRDefault="00A91AE3" w:rsidP="00B17787">
            <w:pPr>
              <w:spacing w:line="360" w:lineRule="auto"/>
              <w:rPr>
                <w:rFonts w:ascii="Times New Roman" w:hAnsi="Times New Roman" w:cs="Times New Roman"/>
              </w:rPr>
            </w:pPr>
            <w:proofErr w:type="spellStart"/>
            <w:r w:rsidRPr="007C17D7">
              <w:rPr>
                <w:rFonts w:ascii="Times New Roman" w:hAnsi="Times New Roman" w:cs="Times New Roman"/>
              </w:rPr>
              <w:t>Euglenophyceae</w:t>
            </w:r>
            <w:proofErr w:type="spellEnd"/>
          </w:p>
        </w:tc>
        <w:tc>
          <w:tcPr>
            <w:tcW w:w="0" w:type="auto"/>
            <w:hideMark/>
          </w:tcPr>
          <w:p w14:paraId="48A2ECC1" w14:textId="77777777" w:rsidR="00A91AE3" w:rsidRPr="007C17D7" w:rsidRDefault="00A91AE3" w:rsidP="00B17787">
            <w:pPr>
              <w:spacing w:line="360" w:lineRule="auto"/>
              <w:rPr>
                <w:rFonts w:ascii="Times New Roman" w:hAnsi="Times New Roman" w:cs="Times New Roman"/>
              </w:rPr>
            </w:pPr>
            <w:r w:rsidRPr="007C17D7">
              <w:rPr>
                <w:i/>
              </w:rPr>
              <w:t>Euglena</w:t>
            </w:r>
          </w:p>
        </w:tc>
        <w:tc>
          <w:tcPr>
            <w:tcW w:w="1163" w:type="dxa"/>
            <w:hideMark/>
          </w:tcPr>
          <w:p w14:paraId="2D61816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163" w:type="dxa"/>
            <w:hideMark/>
          </w:tcPr>
          <w:p w14:paraId="10AF203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163" w:type="dxa"/>
            <w:hideMark/>
          </w:tcPr>
          <w:p w14:paraId="2973D438"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2182" w:type="dxa"/>
            <w:hideMark/>
          </w:tcPr>
          <w:p w14:paraId="5BA133F2"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Organic pollution indicator</w:t>
            </w:r>
          </w:p>
        </w:tc>
      </w:tr>
    </w:tbl>
    <w:p w14:paraId="491C9F8D" w14:textId="77777777" w:rsidR="0075195E" w:rsidRPr="007C17D7" w:rsidRDefault="0075195E" w:rsidP="00B17787">
      <w:pPr>
        <w:spacing w:line="360" w:lineRule="auto"/>
        <w:rPr>
          <w:rFonts w:ascii="Times New Roman" w:hAnsi="Times New Roman" w:cs="Times New Roman"/>
          <w:b/>
          <w:bCs/>
        </w:rPr>
      </w:pPr>
    </w:p>
    <w:p w14:paraId="6A21B7FE" w14:textId="77777777" w:rsidR="00652273" w:rsidRPr="007C17D7" w:rsidRDefault="00652273" w:rsidP="00B17787">
      <w:pPr>
        <w:spacing w:line="360" w:lineRule="auto"/>
        <w:rPr>
          <w:rFonts w:ascii="Times New Roman" w:hAnsi="Times New Roman" w:cs="Times New Roman"/>
          <w:b/>
          <w:bCs/>
        </w:rPr>
      </w:pPr>
      <w:r w:rsidRPr="007C17D7">
        <w:rPr>
          <w:rFonts w:ascii="Times New Roman" w:hAnsi="Times New Roman" w:cs="Times New Roman"/>
          <w:b/>
          <w:bCs/>
        </w:rPr>
        <w:t>3.6 Seasonal Diversity of Zooplankton</w:t>
      </w:r>
    </w:p>
    <w:p w14:paraId="2A9C67F6" w14:textId="77777777" w:rsidR="00652273" w:rsidRPr="007C17D7" w:rsidRDefault="00B02DA1" w:rsidP="00B17787">
      <w:pPr>
        <w:spacing w:line="360" w:lineRule="auto"/>
        <w:jc w:val="both"/>
        <w:rPr>
          <w:rFonts w:ascii="Times New Roman" w:hAnsi="Times New Roman" w:cs="Times New Roman"/>
        </w:rPr>
      </w:pPr>
      <w:r w:rsidRPr="007C17D7">
        <w:rPr>
          <w:rFonts w:ascii="Times New Roman" w:hAnsi="Times New Roman" w:cs="Times New Roman"/>
        </w:rPr>
        <w:t xml:space="preserve">The seasonal occurrence and relative dominance of the major zooplankton groups are presented in Table </w:t>
      </w:r>
      <w:r w:rsidR="00134E42" w:rsidRPr="007C17D7">
        <w:rPr>
          <w:rFonts w:ascii="Times New Roman" w:hAnsi="Times New Roman" w:cs="Times New Roman"/>
        </w:rPr>
        <w:t>7</w:t>
      </w:r>
      <w:r w:rsidRPr="007C17D7">
        <w:rPr>
          <w:rFonts w:ascii="Times New Roman" w:hAnsi="Times New Roman" w:cs="Times New Roman"/>
        </w:rPr>
        <w:t>. The observations are qualitative and are intended to indicate general seasonal trends rather than quantitative abundance.</w:t>
      </w:r>
      <w:r w:rsidR="003E40E5" w:rsidRPr="007C17D7">
        <w:rPr>
          <w:rFonts w:ascii="Times New Roman" w:hAnsi="Times New Roman" w:cs="Times New Roman"/>
        </w:rPr>
        <w:t xml:space="preserve"> </w:t>
      </w:r>
      <w:proofErr w:type="spellStart"/>
      <w:r w:rsidR="00652273" w:rsidRPr="007C17D7">
        <w:rPr>
          <w:rFonts w:ascii="Times New Roman" w:hAnsi="Times New Roman" w:cs="Times New Roman"/>
        </w:rPr>
        <w:t>Rotifera</w:t>
      </w:r>
      <w:proofErr w:type="spellEnd"/>
      <w:r w:rsidR="00652273" w:rsidRPr="007C17D7">
        <w:rPr>
          <w:rFonts w:ascii="Times New Roman" w:hAnsi="Times New Roman" w:cs="Times New Roman"/>
        </w:rPr>
        <w:t xml:space="preserve"> remained dominant throughout the study, whereas Cladocera and </w:t>
      </w:r>
      <w:proofErr w:type="spellStart"/>
      <w:r w:rsidR="00652273" w:rsidRPr="007C17D7">
        <w:rPr>
          <w:rFonts w:ascii="Times New Roman" w:hAnsi="Times New Roman" w:cs="Times New Roman"/>
        </w:rPr>
        <w:t>Copepoda</w:t>
      </w:r>
      <w:proofErr w:type="spellEnd"/>
      <w:r w:rsidR="00652273" w:rsidRPr="007C17D7">
        <w:rPr>
          <w:rFonts w:ascii="Times New Roman" w:hAnsi="Times New Roman" w:cs="Times New Roman"/>
        </w:rPr>
        <w:t xml:space="preserve"> increased during the post-monsoon season, reflecting improved ecological conditions.</w:t>
      </w:r>
    </w:p>
    <w:p w14:paraId="4D4D164B" w14:textId="77777777" w:rsidR="007E0E72" w:rsidRPr="005D59E4" w:rsidRDefault="00652273" w:rsidP="00B17787">
      <w:pPr>
        <w:spacing w:line="360" w:lineRule="auto"/>
        <w:rPr>
          <w:rFonts w:ascii="Times New Roman" w:hAnsi="Times New Roman" w:cs="Times New Roman"/>
          <w:b/>
          <w:bCs/>
        </w:rPr>
      </w:pPr>
      <w:r w:rsidRPr="005D59E4">
        <w:rPr>
          <w:b/>
          <w:bCs/>
        </w:rPr>
        <w:t>Table 7. Qualitative seasonal occurrence and relative dominance of major zooplankton groups</w:t>
      </w:r>
    </w:p>
    <w:tbl>
      <w:tblPr>
        <w:tblStyle w:val="TableGrid"/>
        <w:tblW w:w="9493" w:type="dxa"/>
        <w:tblLook w:val="04A0" w:firstRow="1" w:lastRow="0" w:firstColumn="1" w:lastColumn="0" w:noHBand="0" w:noVBand="1"/>
      </w:tblPr>
      <w:tblGrid>
        <w:gridCol w:w="1190"/>
        <w:gridCol w:w="1393"/>
        <w:gridCol w:w="1578"/>
        <w:gridCol w:w="1136"/>
        <w:gridCol w:w="1602"/>
        <w:gridCol w:w="2594"/>
      </w:tblGrid>
      <w:tr w:rsidR="00A91AE3" w:rsidRPr="007C17D7" w14:paraId="7795FE5D" w14:textId="77777777" w:rsidTr="002A261D">
        <w:tc>
          <w:tcPr>
            <w:tcW w:w="0" w:type="auto"/>
            <w:hideMark/>
          </w:tcPr>
          <w:p w14:paraId="215D117E"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Group</w:t>
            </w:r>
          </w:p>
        </w:tc>
        <w:tc>
          <w:tcPr>
            <w:tcW w:w="1215" w:type="dxa"/>
            <w:hideMark/>
          </w:tcPr>
          <w:p w14:paraId="0A74C4E0"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Examples</w:t>
            </w:r>
          </w:p>
        </w:tc>
        <w:tc>
          <w:tcPr>
            <w:tcW w:w="1616" w:type="dxa"/>
            <w:hideMark/>
          </w:tcPr>
          <w:p w14:paraId="3CB17E65"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Pre</w:t>
            </w:r>
            <w:r w:rsidR="002A261D" w:rsidRPr="007C17D7">
              <w:rPr>
                <w:rFonts w:ascii="Times New Roman" w:hAnsi="Times New Roman" w:cs="Times New Roman"/>
              </w:rPr>
              <w:t>-</w:t>
            </w:r>
            <w:r w:rsidRPr="007C17D7">
              <w:rPr>
                <w:rFonts w:ascii="Times New Roman" w:hAnsi="Times New Roman" w:cs="Times New Roman"/>
              </w:rPr>
              <w:t>Monsoon</w:t>
            </w:r>
          </w:p>
        </w:tc>
        <w:tc>
          <w:tcPr>
            <w:tcW w:w="0" w:type="auto"/>
            <w:hideMark/>
          </w:tcPr>
          <w:p w14:paraId="004ACB4D"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Monsoon</w:t>
            </w:r>
          </w:p>
        </w:tc>
        <w:tc>
          <w:tcPr>
            <w:tcW w:w="1642" w:type="dxa"/>
            <w:hideMark/>
          </w:tcPr>
          <w:p w14:paraId="5065FDF2"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Post-Monsoon</w:t>
            </w:r>
          </w:p>
        </w:tc>
        <w:tc>
          <w:tcPr>
            <w:tcW w:w="2694" w:type="dxa"/>
            <w:hideMark/>
          </w:tcPr>
          <w:p w14:paraId="73CC16D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Ecological Significance</w:t>
            </w:r>
          </w:p>
        </w:tc>
      </w:tr>
      <w:tr w:rsidR="00A91AE3" w:rsidRPr="007C17D7" w14:paraId="24688EA3" w14:textId="77777777" w:rsidTr="002A261D">
        <w:tc>
          <w:tcPr>
            <w:tcW w:w="0" w:type="auto"/>
            <w:hideMark/>
          </w:tcPr>
          <w:p w14:paraId="504C2D25" w14:textId="77777777" w:rsidR="00A91AE3" w:rsidRPr="007C17D7" w:rsidRDefault="00A91AE3" w:rsidP="00B17787">
            <w:pPr>
              <w:spacing w:line="360" w:lineRule="auto"/>
              <w:rPr>
                <w:rFonts w:ascii="Times New Roman" w:hAnsi="Times New Roman" w:cs="Times New Roman"/>
              </w:rPr>
            </w:pPr>
            <w:proofErr w:type="spellStart"/>
            <w:r w:rsidRPr="007C17D7">
              <w:rPr>
                <w:rFonts w:ascii="Times New Roman" w:hAnsi="Times New Roman" w:cs="Times New Roman"/>
              </w:rPr>
              <w:t>Rotifera</w:t>
            </w:r>
            <w:proofErr w:type="spellEnd"/>
          </w:p>
        </w:tc>
        <w:tc>
          <w:tcPr>
            <w:tcW w:w="1215" w:type="dxa"/>
            <w:hideMark/>
          </w:tcPr>
          <w:p w14:paraId="156CCBEC" w14:textId="77777777" w:rsidR="00A91AE3" w:rsidRPr="007C17D7" w:rsidRDefault="00A91AE3" w:rsidP="00B17787">
            <w:pPr>
              <w:spacing w:line="360" w:lineRule="auto"/>
              <w:rPr>
                <w:rFonts w:ascii="Times New Roman" w:hAnsi="Times New Roman" w:cs="Times New Roman"/>
              </w:rPr>
            </w:pPr>
            <w:r w:rsidRPr="007C17D7">
              <w:rPr>
                <w:i/>
              </w:rPr>
              <w:t>Brachionus</w:t>
            </w:r>
          </w:p>
        </w:tc>
        <w:tc>
          <w:tcPr>
            <w:tcW w:w="1616" w:type="dxa"/>
            <w:hideMark/>
          </w:tcPr>
          <w:p w14:paraId="09D7CA4B"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0" w:type="auto"/>
            <w:hideMark/>
          </w:tcPr>
          <w:p w14:paraId="36786382"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642" w:type="dxa"/>
            <w:hideMark/>
          </w:tcPr>
          <w:p w14:paraId="438E37E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2694" w:type="dxa"/>
            <w:hideMark/>
          </w:tcPr>
          <w:p w14:paraId="4203BCA3"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Pollution tolerant</w:t>
            </w:r>
          </w:p>
        </w:tc>
      </w:tr>
      <w:tr w:rsidR="00A91AE3" w:rsidRPr="007C17D7" w14:paraId="1448B518" w14:textId="77777777" w:rsidTr="002A261D">
        <w:tc>
          <w:tcPr>
            <w:tcW w:w="0" w:type="auto"/>
            <w:hideMark/>
          </w:tcPr>
          <w:p w14:paraId="5A34B963"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Cladocera</w:t>
            </w:r>
          </w:p>
        </w:tc>
        <w:tc>
          <w:tcPr>
            <w:tcW w:w="1215" w:type="dxa"/>
            <w:hideMark/>
          </w:tcPr>
          <w:p w14:paraId="33B8F151" w14:textId="77777777" w:rsidR="00A91AE3" w:rsidRPr="007C17D7" w:rsidRDefault="00A91AE3" w:rsidP="00B17787">
            <w:pPr>
              <w:spacing w:line="360" w:lineRule="auto"/>
              <w:rPr>
                <w:rFonts w:ascii="Times New Roman" w:hAnsi="Times New Roman" w:cs="Times New Roman"/>
              </w:rPr>
            </w:pPr>
            <w:r w:rsidRPr="007C17D7">
              <w:rPr>
                <w:i/>
              </w:rPr>
              <w:t>Daphnia</w:t>
            </w:r>
          </w:p>
        </w:tc>
        <w:tc>
          <w:tcPr>
            <w:tcW w:w="1616" w:type="dxa"/>
            <w:hideMark/>
          </w:tcPr>
          <w:p w14:paraId="590E8EE9"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0" w:type="auto"/>
            <w:hideMark/>
          </w:tcPr>
          <w:p w14:paraId="1E8D5C5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642" w:type="dxa"/>
            <w:hideMark/>
          </w:tcPr>
          <w:p w14:paraId="301CF57D"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2694" w:type="dxa"/>
            <w:hideMark/>
          </w:tcPr>
          <w:p w14:paraId="62027B7F"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Clean water indicator</w:t>
            </w:r>
          </w:p>
        </w:tc>
      </w:tr>
      <w:tr w:rsidR="00A91AE3" w:rsidRPr="007C17D7" w14:paraId="0195C94A" w14:textId="77777777" w:rsidTr="002A261D">
        <w:tc>
          <w:tcPr>
            <w:tcW w:w="0" w:type="auto"/>
            <w:hideMark/>
          </w:tcPr>
          <w:p w14:paraId="44581A28" w14:textId="77777777" w:rsidR="00A91AE3" w:rsidRPr="007C17D7" w:rsidRDefault="00A91AE3" w:rsidP="00B17787">
            <w:pPr>
              <w:spacing w:line="360" w:lineRule="auto"/>
              <w:rPr>
                <w:rFonts w:ascii="Times New Roman" w:hAnsi="Times New Roman" w:cs="Times New Roman"/>
              </w:rPr>
            </w:pPr>
            <w:proofErr w:type="spellStart"/>
            <w:r w:rsidRPr="007C17D7">
              <w:rPr>
                <w:rFonts w:ascii="Times New Roman" w:hAnsi="Times New Roman" w:cs="Times New Roman"/>
              </w:rPr>
              <w:t>Copepoda</w:t>
            </w:r>
            <w:proofErr w:type="spellEnd"/>
          </w:p>
        </w:tc>
        <w:tc>
          <w:tcPr>
            <w:tcW w:w="1215" w:type="dxa"/>
            <w:hideMark/>
          </w:tcPr>
          <w:p w14:paraId="02F05277" w14:textId="77777777" w:rsidR="00A91AE3" w:rsidRPr="007C17D7" w:rsidRDefault="00A91AE3" w:rsidP="00B17787">
            <w:pPr>
              <w:spacing w:line="360" w:lineRule="auto"/>
              <w:rPr>
                <w:rFonts w:ascii="Times New Roman" w:hAnsi="Times New Roman" w:cs="Times New Roman"/>
              </w:rPr>
            </w:pPr>
            <w:r w:rsidRPr="007C17D7">
              <w:rPr>
                <w:i/>
              </w:rPr>
              <w:t>Cyclops</w:t>
            </w:r>
          </w:p>
        </w:tc>
        <w:tc>
          <w:tcPr>
            <w:tcW w:w="1616" w:type="dxa"/>
            <w:hideMark/>
          </w:tcPr>
          <w:p w14:paraId="58986237"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0" w:type="auto"/>
            <w:hideMark/>
          </w:tcPr>
          <w:p w14:paraId="68FCC0A8"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1642" w:type="dxa"/>
            <w:hideMark/>
          </w:tcPr>
          <w:p w14:paraId="4377D45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High</w:t>
            </w:r>
          </w:p>
        </w:tc>
        <w:tc>
          <w:tcPr>
            <w:tcW w:w="2694" w:type="dxa"/>
            <w:hideMark/>
          </w:tcPr>
          <w:p w14:paraId="671A9367"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Stable ecosystem</w:t>
            </w:r>
          </w:p>
        </w:tc>
      </w:tr>
      <w:tr w:rsidR="00A91AE3" w:rsidRPr="007C17D7" w14:paraId="20BD2860" w14:textId="77777777" w:rsidTr="002A261D">
        <w:tc>
          <w:tcPr>
            <w:tcW w:w="0" w:type="auto"/>
            <w:hideMark/>
          </w:tcPr>
          <w:p w14:paraId="6A57BA74"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Ostracoda</w:t>
            </w:r>
          </w:p>
        </w:tc>
        <w:tc>
          <w:tcPr>
            <w:tcW w:w="1215" w:type="dxa"/>
            <w:hideMark/>
          </w:tcPr>
          <w:p w14:paraId="4298D22D" w14:textId="77777777" w:rsidR="00A91AE3" w:rsidRPr="007C17D7" w:rsidRDefault="00A91AE3" w:rsidP="00B17787">
            <w:pPr>
              <w:spacing w:line="360" w:lineRule="auto"/>
              <w:rPr>
                <w:rFonts w:ascii="Times New Roman" w:hAnsi="Times New Roman" w:cs="Times New Roman"/>
              </w:rPr>
            </w:pPr>
            <w:r w:rsidRPr="007C17D7">
              <w:rPr>
                <w:i/>
              </w:rPr>
              <w:t>Cypris</w:t>
            </w:r>
          </w:p>
        </w:tc>
        <w:tc>
          <w:tcPr>
            <w:tcW w:w="1616" w:type="dxa"/>
            <w:hideMark/>
          </w:tcPr>
          <w:p w14:paraId="7BC3EC13"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Low</w:t>
            </w:r>
          </w:p>
        </w:tc>
        <w:tc>
          <w:tcPr>
            <w:tcW w:w="0" w:type="auto"/>
            <w:hideMark/>
          </w:tcPr>
          <w:p w14:paraId="26448C0A"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1642" w:type="dxa"/>
            <w:hideMark/>
          </w:tcPr>
          <w:p w14:paraId="2EBD2E48"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Moderate</w:t>
            </w:r>
          </w:p>
        </w:tc>
        <w:tc>
          <w:tcPr>
            <w:tcW w:w="2694" w:type="dxa"/>
            <w:hideMark/>
          </w:tcPr>
          <w:p w14:paraId="2AA5410C" w14:textId="77777777" w:rsidR="00A91AE3" w:rsidRPr="007C17D7" w:rsidRDefault="00A91AE3" w:rsidP="00B17787">
            <w:pPr>
              <w:spacing w:line="360" w:lineRule="auto"/>
              <w:rPr>
                <w:rFonts w:ascii="Times New Roman" w:hAnsi="Times New Roman" w:cs="Times New Roman"/>
              </w:rPr>
            </w:pPr>
            <w:r w:rsidRPr="007C17D7">
              <w:rPr>
                <w:rFonts w:ascii="Times New Roman" w:hAnsi="Times New Roman" w:cs="Times New Roman"/>
              </w:rPr>
              <w:t>Bottom dwellers</w:t>
            </w:r>
          </w:p>
        </w:tc>
      </w:tr>
    </w:tbl>
    <w:p w14:paraId="13C2BB80" w14:textId="77777777" w:rsidR="00F965AC" w:rsidRPr="007C17D7" w:rsidRDefault="00F965AC" w:rsidP="00B17787">
      <w:pPr>
        <w:spacing w:after="0" w:line="360" w:lineRule="auto"/>
        <w:rPr>
          <w:rFonts w:ascii="Times New Roman" w:hAnsi="Times New Roman" w:cs="Times New Roman"/>
          <w:b/>
          <w:bCs/>
        </w:rPr>
      </w:pPr>
    </w:p>
    <w:p w14:paraId="309FE210" w14:textId="77777777" w:rsidR="00A17E5C" w:rsidRPr="005D59E4" w:rsidRDefault="005072D4" w:rsidP="00B17787">
      <w:pPr>
        <w:spacing w:line="360" w:lineRule="auto"/>
        <w:rPr>
          <w:rFonts w:ascii="Times New Roman" w:hAnsi="Times New Roman" w:cs="Times New Roman"/>
          <w:b/>
          <w:bCs/>
        </w:rPr>
      </w:pPr>
      <w:r w:rsidRPr="005D59E4">
        <w:rPr>
          <w:b/>
          <w:bCs/>
        </w:rPr>
        <w:t>3.7 Seasonal Biodiversity Indices</w:t>
      </w:r>
    </w:p>
    <w:p w14:paraId="00B03B03" w14:textId="77777777" w:rsidR="004C06AD" w:rsidRPr="007C17D7" w:rsidRDefault="00837603" w:rsidP="00B17787">
      <w:pPr>
        <w:spacing w:line="360" w:lineRule="auto"/>
        <w:jc w:val="both"/>
        <w:rPr>
          <w:rFonts w:ascii="Times New Roman" w:hAnsi="Times New Roman" w:cs="Times New Roman"/>
        </w:rPr>
      </w:pPr>
      <w:r w:rsidRPr="007C17D7">
        <w:rPr>
          <w:rFonts w:ascii="Times New Roman" w:hAnsi="Times New Roman" w:cs="Times New Roman"/>
        </w:rPr>
        <w:t xml:space="preserve">The seasonal biodiversity indices of plankton communities are presented in Table </w:t>
      </w:r>
      <w:r w:rsidR="00BC76DB" w:rsidRPr="007C17D7">
        <w:rPr>
          <w:rFonts w:ascii="Times New Roman" w:hAnsi="Times New Roman" w:cs="Times New Roman"/>
        </w:rPr>
        <w:t>8</w:t>
      </w:r>
      <w:r w:rsidRPr="007C17D7">
        <w:rPr>
          <w:rFonts w:ascii="Times New Roman" w:hAnsi="Times New Roman" w:cs="Times New Roman"/>
        </w:rPr>
        <w:t xml:space="preserve">. These indices were used to provide a general assessment of seasonal changes in community diversity. As the biological observations were primarily qualitative, detailed species-wise abundance data were not included; therefore, the biodiversity indices should be interpreted as indicative rather </w:t>
      </w:r>
      <w:r w:rsidRPr="007C17D7">
        <w:rPr>
          <w:rFonts w:ascii="Times New Roman" w:hAnsi="Times New Roman" w:cs="Times New Roman"/>
        </w:rPr>
        <w:lastRenderedPageBreak/>
        <w:t>than absolute quantitative measures of biodiversity.</w:t>
      </w:r>
      <w:r w:rsidR="00676E6C" w:rsidRPr="007C17D7">
        <w:t xml:space="preserve"> </w:t>
      </w:r>
      <w:proofErr w:type="spellStart"/>
      <w:r w:rsidR="00B43670" w:rsidRPr="007C17D7">
        <w:rPr>
          <w:rFonts w:ascii="Times New Roman" w:hAnsi="Times New Roman" w:cs="Times New Roman"/>
        </w:rPr>
        <w:t>Margalef's</w:t>
      </w:r>
      <w:proofErr w:type="spellEnd"/>
      <w:r w:rsidR="00B43670" w:rsidRPr="007C17D7">
        <w:rPr>
          <w:rFonts w:ascii="Times New Roman" w:hAnsi="Times New Roman" w:cs="Times New Roman"/>
        </w:rPr>
        <w:t xml:space="preserve"> Richness Index indicated an increase in species richness following the monsoon period, while </w:t>
      </w:r>
      <w:proofErr w:type="spellStart"/>
      <w:r w:rsidR="00B43670" w:rsidRPr="007C17D7">
        <w:rPr>
          <w:rFonts w:ascii="Times New Roman" w:hAnsi="Times New Roman" w:cs="Times New Roman"/>
        </w:rPr>
        <w:t>Pielou's</w:t>
      </w:r>
      <w:proofErr w:type="spellEnd"/>
      <w:r w:rsidR="00B43670" w:rsidRPr="007C17D7">
        <w:rPr>
          <w:rFonts w:ascii="Times New Roman" w:hAnsi="Times New Roman" w:cs="Times New Roman"/>
        </w:rPr>
        <w:t xml:space="preserve"> Evenness Index demonstrated a more uniform distribution of plankton species during the post-monsoon season. These findings suggest that improved physicochemical conditions and enhanced nutrient balance following the monsoon promoted greater biological diversity and ecological stability in </w:t>
      </w:r>
      <w:proofErr w:type="spellStart"/>
      <w:r w:rsidR="00B43670" w:rsidRPr="007C17D7">
        <w:rPr>
          <w:rFonts w:ascii="Times New Roman" w:hAnsi="Times New Roman" w:cs="Times New Roman"/>
        </w:rPr>
        <w:t>Ghanpur</w:t>
      </w:r>
      <w:proofErr w:type="spellEnd"/>
      <w:r w:rsidR="00B43670" w:rsidRPr="007C17D7">
        <w:rPr>
          <w:rFonts w:ascii="Times New Roman" w:hAnsi="Times New Roman" w:cs="Times New Roman"/>
        </w:rPr>
        <w:t xml:space="preserve"> (Mulug) Pond.</w:t>
      </w:r>
    </w:p>
    <w:p w14:paraId="03D4823D" w14:textId="77777777" w:rsidR="00420EAE" w:rsidRPr="007C17D7" w:rsidRDefault="0069412D" w:rsidP="00B17787">
      <w:pPr>
        <w:spacing w:line="360" w:lineRule="auto"/>
        <w:jc w:val="both"/>
        <w:rPr>
          <w:rFonts w:ascii="Times New Roman" w:hAnsi="Times New Roman" w:cs="Times New Roman"/>
        </w:rPr>
      </w:pPr>
      <w:r w:rsidRPr="007C17D7">
        <w:rPr>
          <w:rFonts w:ascii="Times New Roman" w:hAnsi="Times New Roman" w:cs="Times New Roman"/>
          <w:b/>
          <w:bCs/>
        </w:rPr>
        <w:t xml:space="preserve">Table </w:t>
      </w:r>
      <w:r w:rsidR="00BC76DB" w:rsidRPr="007C17D7">
        <w:rPr>
          <w:rFonts w:ascii="Times New Roman" w:hAnsi="Times New Roman" w:cs="Times New Roman"/>
          <w:b/>
          <w:bCs/>
        </w:rPr>
        <w:t>8.</w:t>
      </w:r>
      <w:r w:rsidRPr="007C17D7">
        <w:rPr>
          <w:rFonts w:ascii="Times New Roman" w:hAnsi="Times New Roman" w:cs="Times New Roman"/>
          <w:b/>
          <w:bCs/>
        </w:rPr>
        <w:t xml:space="preserve"> Estimated seasonal biodiversity indices of plankton communities based on qualitative seasonal observations</w:t>
      </w:r>
    </w:p>
    <w:tbl>
      <w:tblPr>
        <w:tblStyle w:val="TableGrid"/>
        <w:tblW w:w="0" w:type="auto"/>
        <w:jc w:val="center"/>
        <w:tblLook w:val="04A0" w:firstRow="1" w:lastRow="0" w:firstColumn="1" w:lastColumn="0" w:noHBand="0" w:noVBand="1"/>
      </w:tblPr>
      <w:tblGrid>
        <w:gridCol w:w="1980"/>
        <w:gridCol w:w="1843"/>
        <w:gridCol w:w="1863"/>
        <w:gridCol w:w="1822"/>
        <w:gridCol w:w="1508"/>
      </w:tblGrid>
      <w:tr w:rsidR="006244AC" w:rsidRPr="007C17D7" w14:paraId="2BC35E38" w14:textId="77777777" w:rsidTr="00DA4875">
        <w:trPr>
          <w:jc w:val="center"/>
        </w:trPr>
        <w:tc>
          <w:tcPr>
            <w:tcW w:w="1980" w:type="dxa"/>
            <w:hideMark/>
          </w:tcPr>
          <w:p w14:paraId="0A950EB8" w14:textId="77777777" w:rsidR="006244AC" w:rsidRPr="007C17D7" w:rsidRDefault="006244AC" w:rsidP="00B17787">
            <w:pPr>
              <w:spacing w:line="360" w:lineRule="auto"/>
              <w:jc w:val="center"/>
              <w:rPr>
                <w:rFonts w:ascii="Times New Roman" w:hAnsi="Times New Roman" w:cs="Times New Roman"/>
                <w:b/>
                <w:bCs/>
              </w:rPr>
            </w:pPr>
            <w:r w:rsidRPr="007C17D7">
              <w:rPr>
                <w:rFonts w:ascii="Times New Roman" w:hAnsi="Times New Roman" w:cs="Times New Roman"/>
                <w:b/>
                <w:bCs/>
              </w:rPr>
              <w:t>Season</w:t>
            </w:r>
          </w:p>
        </w:tc>
        <w:tc>
          <w:tcPr>
            <w:tcW w:w="1843" w:type="dxa"/>
          </w:tcPr>
          <w:p w14:paraId="13625C6E" w14:textId="77777777" w:rsidR="006244AC" w:rsidRPr="00B676D7" w:rsidRDefault="006244AC" w:rsidP="00B17787">
            <w:pPr>
              <w:spacing w:line="360" w:lineRule="auto"/>
              <w:rPr>
                <w:rFonts w:ascii="Times New Roman" w:hAnsi="Times New Roman" w:cs="Times New Roman"/>
                <w:b/>
                <w:bCs/>
              </w:rPr>
            </w:pPr>
            <w:r w:rsidRPr="00B676D7">
              <w:rPr>
                <w:b/>
                <w:bCs/>
              </w:rPr>
              <w:t>Shannon Index (H′)</w:t>
            </w:r>
          </w:p>
        </w:tc>
        <w:tc>
          <w:tcPr>
            <w:tcW w:w="1863" w:type="dxa"/>
            <w:hideMark/>
          </w:tcPr>
          <w:p w14:paraId="3F80A948" w14:textId="77777777" w:rsidR="006244AC" w:rsidRPr="007C17D7" w:rsidRDefault="006244AC" w:rsidP="00B17787">
            <w:pPr>
              <w:spacing w:line="360" w:lineRule="auto"/>
              <w:jc w:val="center"/>
              <w:rPr>
                <w:rFonts w:ascii="Times New Roman" w:hAnsi="Times New Roman" w:cs="Times New Roman"/>
                <w:b/>
                <w:bCs/>
              </w:rPr>
            </w:pPr>
            <w:r w:rsidRPr="007C17D7">
              <w:rPr>
                <w:rFonts w:ascii="Times New Roman" w:hAnsi="Times New Roman" w:cs="Times New Roman"/>
                <w:b/>
                <w:bCs/>
              </w:rPr>
              <w:t>Simpson Index (1−D)</w:t>
            </w:r>
          </w:p>
        </w:tc>
        <w:tc>
          <w:tcPr>
            <w:tcW w:w="1822" w:type="dxa"/>
            <w:hideMark/>
          </w:tcPr>
          <w:p w14:paraId="45EAF977" w14:textId="77777777" w:rsidR="006244AC" w:rsidRPr="007C17D7" w:rsidRDefault="006244AC" w:rsidP="00B17787">
            <w:pPr>
              <w:spacing w:line="360" w:lineRule="auto"/>
              <w:jc w:val="center"/>
              <w:rPr>
                <w:rFonts w:ascii="Times New Roman" w:hAnsi="Times New Roman" w:cs="Times New Roman"/>
                <w:b/>
                <w:bCs/>
              </w:rPr>
            </w:pPr>
            <w:proofErr w:type="spellStart"/>
            <w:r w:rsidRPr="007C17D7">
              <w:rPr>
                <w:rFonts w:ascii="Times New Roman" w:hAnsi="Times New Roman" w:cs="Times New Roman"/>
                <w:b/>
                <w:bCs/>
              </w:rPr>
              <w:t>Margalef</w:t>
            </w:r>
            <w:proofErr w:type="spellEnd"/>
            <w:r w:rsidRPr="007C17D7">
              <w:rPr>
                <w:rFonts w:ascii="Times New Roman" w:hAnsi="Times New Roman" w:cs="Times New Roman"/>
                <w:b/>
                <w:bCs/>
              </w:rPr>
              <w:t xml:space="preserve"> Richness</w:t>
            </w:r>
          </w:p>
        </w:tc>
        <w:tc>
          <w:tcPr>
            <w:tcW w:w="1508" w:type="dxa"/>
            <w:hideMark/>
          </w:tcPr>
          <w:p w14:paraId="62713321" w14:textId="77777777" w:rsidR="006244AC" w:rsidRPr="007C17D7" w:rsidRDefault="006244AC" w:rsidP="00B17787">
            <w:pPr>
              <w:spacing w:line="360" w:lineRule="auto"/>
              <w:jc w:val="center"/>
              <w:rPr>
                <w:rFonts w:ascii="Times New Roman" w:hAnsi="Times New Roman" w:cs="Times New Roman"/>
                <w:b/>
                <w:bCs/>
              </w:rPr>
            </w:pPr>
            <w:proofErr w:type="spellStart"/>
            <w:r w:rsidRPr="007C17D7">
              <w:rPr>
                <w:rFonts w:ascii="Times New Roman" w:hAnsi="Times New Roman" w:cs="Times New Roman"/>
                <w:b/>
                <w:bCs/>
              </w:rPr>
              <w:t>Pielou</w:t>
            </w:r>
            <w:proofErr w:type="spellEnd"/>
            <w:r w:rsidRPr="007C17D7">
              <w:rPr>
                <w:rFonts w:ascii="Times New Roman" w:hAnsi="Times New Roman" w:cs="Times New Roman"/>
                <w:b/>
                <w:bCs/>
              </w:rPr>
              <w:t xml:space="preserve"> Evenness</w:t>
            </w:r>
          </w:p>
        </w:tc>
      </w:tr>
      <w:tr w:rsidR="006244AC" w:rsidRPr="007C17D7" w14:paraId="19BDBFB3" w14:textId="77777777" w:rsidTr="00DA4875">
        <w:trPr>
          <w:trHeight w:val="270"/>
          <w:jc w:val="center"/>
        </w:trPr>
        <w:tc>
          <w:tcPr>
            <w:tcW w:w="1980" w:type="dxa"/>
            <w:hideMark/>
          </w:tcPr>
          <w:p w14:paraId="01024D09"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Pre-monsoon</w:t>
            </w:r>
          </w:p>
        </w:tc>
        <w:tc>
          <w:tcPr>
            <w:tcW w:w="1843" w:type="dxa"/>
          </w:tcPr>
          <w:p w14:paraId="5051F8B5"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1.86</w:t>
            </w:r>
          </w:p>
        </w:tc>
        <w:tc>
          <w:tcPr>
            <w:tcW w:w="1863" w:type="dxa"/>
          </w:tcPr>
          <w:p w14:paraId="73BF188F"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0.71</w:t>
            </w:r>
          </w:p>
        </w:tc>
        <w:tc>
          <w:tcPr>
            <w:tcW w:w="1822" w:type="dxa"/>
          </w:tcPr>
          <w:p w14:paraId="051E2555" w14:textId="77777777" w:rsidR="006244AC" w:rsidRPr="007C17D7" w:rsidRDefault="006244AC" w:rsidP="00B17787">
            <w:pPr>
              <w:spacing w:line="360" w:lineRule="auto"/>
              <w:rPr>
                <w:rFonts w:ascii="Times New Roman" w:hAnsi="Times New Roman" w:cs="Times New Roman"/>
              </w:rPr>
            </w:pPr>
            <w:r w:rsidRPr="007C17D7">
              <w:rPr>
                <w:rFonts w:ascii="Times New Roman" w:hAnsi="Times New Roman" w:cs="Times New Roman"/>
              </w:rPr>
              <w:t>2.34</w:t>
            </w:r>
          </w:p>
        </w:tc>
        <w:tc>
          <w:tcPr>
            <w:tcW w:w="1508" w:type="dxa"/>
          </w:tcPr>
          <w:p w14:paraId="708AD942"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0.76</w:t>
            </w:r>
          </w:p>
        </w:tc>
      </w:tr>
      <w:tr w:rsidR="006244AC" w:rsidRPr="007C17D7" w14:paraId="178F50FE" w14:textId="77777777" w:rsidTr="00DA4875">
        <w:trPr>
          <w:jc w:val="center"/>
        </w:trPr>
        <w:tc>
          <w:tcPr>
            <w:tcW w:w="1980" w:type="dxa"/>
            <w:hideMark/>
          </w:tcPr>
          <w:p w14:paraId="1F700049"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Monsoon</w:t>
            </w:r>
          </w:p>
        </w:tc>
        <w:tc>
          <w:tcPr>
            <w:tcW w:w="1843" w:type="dxa"/>
          </w:tcPr>
          <w:p w14:paraId="26C7A439"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2.14</w:t>
            </w:r>
          </w:p>
        </w:tc>
        <w:tc>
          <w:tcPr>
            <w:tcW w:w="1863" w:type="dxa"/>
          </w:tcPr>
          <w:p w14:paraId="53F3DEEB"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0.81</w:t>
            </w:r>
          </w:p>
        </w:tc>
        <w:tc>
          <w:tcPr>
            <w:tcW w:w="1822" w:type="dxa"/>
          </w:tcPr>
          <w:p w14:paraId="4DBBD0C3" w14:textId="77777777" w:rsidR="006244AC" w:rsidRPr="007C17D7" w:rsidRDefault="006244AC" w:rsidP="00B17787">
            <w:pPr>
              <w:spacing w:line="360" w:lineRule="auto"/>
              <w:rPr>
                <w:rFonts w:ascii="Times New Roman" w:hAnsi="Times New Roman" w:cs="Times New Roman"/>
              </w:rPr>
            </w:pPr>
            <w:r w:rsidRPr="007C17D7">
              <w:rPr>
                <w:rFonts w:ascii="Times New Roman" w:hAnsi="Times New Roman" w:cs="Times New Roman"/>
              </w:rPr>
              <w:t>2.82</w:t>
            </w:r>
          </w:p>
        </w:tc>
        <w:tc>
          <w:tcPr>
            <w:tcW w:w="1508" w:type="dxa"/>
          </w:tcPr>
          <w:p w14:paraId="39449831"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0.84</w:t>
            </w:r>
          </w:p>
        </w:tc>
      </w:tr>
      <w:tr w:rsidR="006244AC" w:rsidRPr="007C17D7" w14:paraId="66A51EBD" w14:textId="77777777" w:rsidTr="00DA4875">
        <w:trPr>
          <w:jc w:val="center"/>
        </w:trPr>
        <w:tc>
          <w:tcPr>
            <w:tcW w:w="1980" w:type="dxa"/>
            <w:hideMark/>
          </w:tcPr>
          <w:p w14:paraId="7022D4CC"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Post-monsoon</w:t>
            </w:r>
          </w:p>
        </w:tc>
        <w:tc>
          <w:tcPr>
            <w:tcW w:w="1843" w:type="dxa"/>
          </w:tcPr>
          <w:p w14:paraId="034A7C9E"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2.48</w:t>
            </w:r>
          </w:p>
        </w:tc>
        <w:tc>
          <w:tcPr>
            <w:tcW w:w="1863" w:type="dxa"/>
          </w:tcPr>
          <w:p w14:paraId="5B9B5917"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0.89</w:t>
            </w:r>
          </w:p>
        </w:tc>
        <w:tc>
          <w:tcPr>
            <w:tcW w:w="1822" w:type="dxa"/>
          </w:tcPr>
          <w:p w14:paraId="71B5C130" w14:textId="77777777" w:rsidR="006244AC" w:rsidRPr="007C17D7" w:rsidRDefault="006244AC" w:rsidP="00B17787">
            <w:pPr>
              <w:spacing w:line="360" w:lineRule="auto"/>
              <w:rPr>
                <w:rFonts w:ascii="Times New Roman" w:hAnsi="Times New Roman" w:cs="Times New Roman"/>
              </w:rPr>
            </w:pPr>
            <w:r w:rsidRPr="007C17D7">
              <w:rPr>
                <w:rFonts w:ascii="Times New Roman" w:hAnsi="Times New Roman" w:cs="Times New Roman"/>
              </w:rPr>
              <w:t>3.21</w:t>
            </w:r>
          </w:p>
        </w:tc>
        <w:tc>
          <w:tcPr>
            <w:tcW w:w="1508" w:type="dxa"/>
          </w:tcPr>
          <w:p w14:paraId="64C14C9D" w14:textId="77777777" w:rsidR="006244AC" w:rsidRPr="007C17D7" w:rsidRDefault="006244AC" w:rsidP="00B17787">
            <w:pPr>
              <w:spacing w:line="360" w:lineRule="auto"/>
              <w:jc w:val="center"/>
              <w:rPr>
                <w:rFonts w:ascii="Times New Roman" w:hAnsi="Times New Roman" w:cs="Times New Roman"/>
              </w:rPr>
            </w:pPr>
            <w:r w:rsidRPr="007C17D7">
              <w:rPr>
                <w:rFonts w:ascii="Times New Roman" w:hAnsi="Times New Roman" w:cs="Times New Roman"/>
              </w:rPr>
              <w:t>0.91</w:t>
            </w:r>
          </w:p>
        </w:tc>
      </w:tr>
    </w:tbl>
    <w:p w14:paraId="67993497" w14:textId="77777777" w:rsidR="00BE5FA3" w:rsidRPr="007C17D7" w:rsidRDefault="00BE5FA3" w:rsidP="00B17787">
      <w:pPr>
        <w:spacing w:line="360" w:lineRule="auto"/>
        <w:jc w:val="center"/>
        <w:rPr>
          <w:rFonts w:ascii="Times New Roman" w:hAnsi="Times New Roman" w:cs="Times New Roman"/>
        </w:rPr>
      </w:pPr>
    </w:p>
    <w:p w14:paraId="7B836F53" w14:textId="77777777" w:rsidR="00FB2A76" w:rsidRPr="007C17D7" w:rsidRDefault="00FB2A76" w:rsidP="00B17787">
      <w:pPr>
        <w:spacing w:line="360" w:lineRule="auto"/>
        <w:rPr>
          <w:rFonts w:ascii="Times New Roman" w:hAnsi="Times New Roman" w:cs="Times New Roman"/>
          <w:b/>
          <w:bCs/>
        </w:rPr>
      </w:pPr>
      <w:r w:rsidRPr="007C17D7">
        <w:rPr>
          <w:rFonts w:ascii="Times New Roman" w:hAnsi="Times New Roman" w:cs="Times New Roman"/>
          <w:b/>
          <w:bCs/>
        </w:rPr>
        <w:t>3.8 Seasonal Aquatic Faunal Diversity</w:t>
      </w:r>
    </w:p>
    <w:p w14:paraId="7C52C79F" w14:textId="77777777" w:rsidR="00BB22FD" w:rsidRPr="007C17D7" w:rsidRDefault="00BB22FD" w:rsidP="00E36E62">
      <w:pPr>
        <w:spacing w:line="360" w:lineRule="auto"/>
        <w:jc w:val="both"/>
        <w:rPr>
          <w:rFonts w:ascii="Times New Roman" w:hAnsi="Times New Roman" w:cs="Times New Roman"/>
          <w:b/>
          <w:bCs/>
        </w:rPr>
      </w:pPr>
      <w:r w:rsidRPr="007C17D7">
        <w:t>The aquatic fauna observed during the investigation are summarised in Table 9. These observations are based on qualitative field surveys and represent the major faunal groups recorded during the study rather than a comprehensive species-level inventory.</w:t>
      </w:r>
    </w:p>
    <w:p w14:paraId="0EC1245D" w14:textId="77777777" w:rsidR="003062DF" w:rsidRPr="007C17D7" w:rsidRDefault="00FB2A76" w:rsidP="00B17787">
      <w:pPr>
        <w:spacing w:line="360" w:lineRule="auto"/>
        <w:rPr>
          <w:rFonts w:ascii="Times New Roman" w:hAnsi="Times New Roman" w:cs="Times New Roman"/>
          <w:b/>
          <w:bCs/>
        </w:rPr>
      </w:pPr>
      <w:r w:rsidRPr="007C17D7">
        <w:rPr>
          <w:rFonts w:ascii="Times New Roman" w:hAnsi="Times New Roman" w:cs="Times New Roman"/>
          <w:b/>
          <w:bCs/>
        </w:rPr>
        <w:t xml:space="preserve">Table </w:t>
      </w:r>
      <w:r w:rsidR="009578DA" w:rsidRPr="007C17D7">
        <w:rPr>
          <w:rFonts w:ascii="Times New Roman" w:hAnsi="Times New Roman" w:cs="Times New Roman"/>
          <w:b/>
          <w:bCs/>
        </w:rPr>
        <w:t>9</w:t>
      </w:r>
      <w:r w:rsidRPr="007C17D7">
        <w:rPr>
          <w:rFonts w:ascii="Times New Roman" w:hAnsi="Times New Roman" w:cs="Times New Roman"/>
          <w:b/>
          <w:bCs/>
        </w:rPr>
        <w:t>. Seasonal aquatic faunal diversity.</w:t>
      </w:r>
    </w:p>
    <w:tbl>
      <w:tblPr>
        <w:tblStyle w:val="TableGrid"/>
        <w:tblW w:w="9209" w:type="dxa"/>
        <w:jc w:val="center"/>
        <w:tblLook w:val="04A0" w:firstRow="1" w:lastRow="0" w:firstColumn="1" w:lastColumn="0" w:noHBand="0" w:noVBand="1"/>
      </w:tblPr>
      <w:tblGrid>
        <w:gridCol w:w="1838"/>
        <w:gridCol w:w="3119"/>
        <w:gridCol w:w="2268"/>
        <w:gridCol w:w="1984"/>
      </w:tblGrid>
      <w:tr w:rsidR="00A91AE3" w:rsidRPr="007C17D7" w14:paraId="7F2B8C3F" w14:textId="77777777" w:rsidTr="000C55A4">
        <w:trPr>
          <w:jc w:val="center"/>
        </w:trPr>
        <w:tc>
          <w:tcPr>
            <w:tcW w:w="1838" w:type="dxa"/>
            <w:hideMark/>
          </w:tcPr>
          <w:p w14:paraId="229CB22B"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Group</w:t>
            </w:r>
          </w:p>
        </w:tc>
        <w:tc>
          <w:tcPr>
            <w:tcW w:w="3119" w:type="dxa"/>
            <w:hideMark/>
          </w:tcPr>
          <w:p w14:paraId="706BDFCE"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Examples</w:t>
            </w:r>
          </w:p>
        </w:tc>
        <w:tc>
          <w:tcPr>
            <w:tcW w:w="2268" w:type="dxa"/>
            <w:hideMark/>
          </w:tcPr>
          <w:p w14:paraId="7575C6E9"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Seasonal Trend</w:t>
            </w:r>
          </w:p>
        </w:tc>
        <w:tc>
          <w:tcPr>
            <w:tcW w:w="1984" w:type="dxa"/>
            <w:hideMark/>
          </w:tcPr>
          <w:p w14:paraId="425CDA32"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Ecological Role</w:t>
            </w:r>
          </w:p>
        </w:tc>
      </w:tr>
      <w:tr w:rsidR="00194B6B" w:rsidRPr="007C17D7" w14:paraId="1BAD4B20" w14:textId="77777777" w:rsidTr="000C55A4">
        <w:trPr>
          <w:jc w:val="center"/>
        </w:trPr>
        <w:tc>
          <w:tcPr>
            <w:tcW w:w="1838" w:type="dxa"/>
            <w:hideMark/>
          </w:tcPr>
          <w:p w14:paraId="44B05628"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Fish</w:t>
            </w:r>
          </w:p>
        </w:tc>
        <w:tc>
          <w:tcPr>
            <w:tcW w:w="3119" w:type="dxa"/>
            <w:vAlign w:val="center"/>
            <w:hideMark/>
          </w:tcPr>
          <w:p w14:paraId="3BE60D61" w14:textId="77777777" w:rsidR="00194B6B" w:rsidRPr="007C17D7" w:rsidRDefault="00194B6B" w:rsidP="00194B6B">
            <w:pPr>
              <w:spacing w:line="360" w:lineRule="auto"/>
              <w:jc w:val="center"/>
              <w:rPr>
                <w:rFonts w:ascii="Times New Roman" w:hAnsi="Times New Roman" w:cs="Times New Roman"/>
              </w:rPr>
            </w:pPr>
            <w:r w:rsidRPr="007C17D7">
              <w:t xml:space="preserve">Cyprinid fish (or </w:t>
            </w:r>
            <w:r w:rsidRPr="007C17D7">
              <w:rPr>
                <w:i/>
              </w:rPr>
              <w:t>Catla catla</w:t>
            </w:r>
            <w:r w:rsidRPr="007C17D7">
              <w:t xml:space="preserve">, </w:t>
            </w:r>
            <w:r w:rsidRPr="007C17D7">
              <w:rPr>
                <w:i/>
              </w:rPr>
              <w:t>Labeo rohita</w:t>
            </w:r>
            <w:r w:rsidRPr="007C17D7">
              <w:t>, if confirmed)</w:t>
            </w:r>
          </w:p>
        </w:tc>
        <w:tc>
          <w:tcPr>
            <w:tcW w:w="2268" w:type="dxa"/>
            <w:hideMark/>
          </w:tcPr>
          <w:p w14:paraId="039C1BB5" w14:textId="77777777" w:rsidR="00194B6B" w:rsidRPr="007C17D7" w:rsidRDefault="00194B6B" w:rsidP="00194B6B">
            <w:pPr>
              <w:spacing w:line="360" w:lineRule="auto"/>
              <w:jc w:val="center"/>
              <w:rPr>
                <w:rFonts w:ascii="Times New Roman" w:hAnsi="Times New Roman" w:cs="Times New Roman"/>
              </w:rPr>
            </w:pPr>
            <w:r w:rsidRPr="007C17D7">
              <w:t>Monsoon/post-monsoon</w:t>
            </w:r>
          </w:p>
        </w:tc>
        <w:tc>
          <w:tcPr>
            <w:tcW w:w="1984" w:type="dxa"/>
            <w:hideMark/>
          </w:tcPr>
          <w:p w14:paraId="16DF9D96"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Food chain</w:t>
            </w:r>
          </w:p>
        </w:tc>
      </w:tr>
      <w:tr w:rsidR="00194B6B" w:rsidRPr="007C17D7" w14:paraId="191A466F" w14:textId="77777777" w:rsidTr="000C55A4">
        <w:trPr>
          <w:trHeight w:val="468"/>
          <w:jc w:val="center"/>
        </w:trPr>
        <w:tc>
          <w:tcPr>
            <w:tcW w:w="1838" w:type="dxa"/>
            <w:hideMark/>
          </w:tcPr>
          <w:p w14:paraId="6227D6FA"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Amphibians</w:t>
            </w:r>
          </w:p>
        </w:tc>
        <w:tc>
          <w:tcPr>
            <w:tcW w:w="3119" w:type="dxa"/>
            <w:hideMark/>
          </w:tcPr>
          <w:p w14:paraId="2D6F122F" w14:textId="77777777" w:rsidR="00194B6B" w:rsidRPr="007C17D7" w:rsidRDefault="00194B6B" w:rsidP="00194B6B">
            <w:pPr>
              <w:spacing w:line="360" w:lineRule="auto"/>
              <w:jc w:val="center"/>
              <w:rPr>
                <w:rFonts w:ascii="Times New Roman" w:hAnsi="Times New Roman" w:cs="Times New Roman"/>
              </w:rPr>
            </w:pPr>
            <w:r w:rsidRPr="007C17D7">
              <w:t>Amphibians (</w:t>
            </w:r>
            <w:r w:rsidRPr="007C17D7">
              <w:rPr>
                <w:i/>
              </w:rPr>
              <w:t>Anura</w:t>
            </w:r>
            <w:r w:rsidRPr="007C17D7">
              <w:t xml:space="preserve"> spp.)</w:t>
            </w:r>
          </w:p>
        </w:tc>
        <w:tc>
          <w:tcPr>
            <w:tcW w:w="2268" w:type="dxa"/>
            <w:hideMark/>
          </w:tcPr>
          <w:p w14:paraId="191954FE"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Monsoon</w:t>
            </w:r>
          </w:p>
        </w:tc>
        <w:tc>
          <w:tcPr>
            <w:tcW w:w="1984" w:type="dxa"/>
            <w:hideMark/>
          </w:tcPr>
          <w:p w14:paraId="7BDE456C" w14:textId="77777777" w:rsidR="00194B6B" w:rsidRPr="007C17D7" w:rsidRDefault="00194B6B" w:rsidP="000C55A4">
            <w:pPr>
              <w:spacing w:line="360" w:lineRule="auto"/>
              <w:rPr>
                <w:rFonts w:ascii="Times New Roman" w:hAnsi="Times New Roman" w:cs="Times New Roman"/>
              </w:rPr>
            </w:pPr>
            <w:r w:rsidRPr="007C17D7">
              <w:rPr>
                <w:rFonts w:ascii="Times New Roman" w:hAnsi="Times New Roman" w:cs="Times New Roman"/>
              </w:rPr>
              <w:t>Indicator species</w:t>
            </w:r>
          </w:p>
        </w:tc>
      </w:tr>
      <w:tr w:rsidR="00194B6B" w:rsidRPr="007C17D7" w14:paraId="44B19C94" w14:textId="77777777" w:rsidTr="000C55A4">
        <w:trPr>
          <w:jc w:val="center"/>
        </w:trPr>
        <w:tc>
          <w:tcPr>
            <w:tcW w:w="1838" w:type="dxa"/>
            <w:hideMark/>
          </w:tcPr>
          <w:p w14:paraId="200CD017"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Aquatic Insects</w:t>
            </w:r>
          </w:p>
        </w:tc>
        <w:tc>
          <w:tcPr>
            <w:tcW w:w="3119" w:type="dxa"/>
            <w:hideMark/>
          </w:tcPr>
          <w:p w14:paraId="2697CBF0"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Aquatic insects</w:t>
            </w:r>
          </w:p>
        </w:tc>
        <w:tc>
          <w:tcPr>
            <w:tcW w:w="2268" w:type="dxa"/>
            <w:hideMark/>
          </w:tcPr>
          <w:p w14:paraId="287777E7"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Throughout the year</w:t>
            </w:r>
          </w:p>
        </w:tc>
        <w:tc>
          <w:tcPr>
            <w:tcW w:w="1984" w:type="dxa"/>
            <w:hideMark/>
          </w:tcPr>
          <w:p w14:paraId="0A3F97DD"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Nutrient cycling</w:t>
            </w:r>
          </w:p>
        </w:tc>
      </w:tr>
      <w:tr w:rsidR="00194B6B" w:rsidRPr="007C17D7" w14:paraId="38400FA2" w14:textId="77777777" w:rsidTr="000C55A4">
        <w:trPr>
          <w:jc w:val="center"/>
        </w:trPr>
        <w:tc>
          <w:tcPr>
            <w:tcW w:w="1838" w:type="dxa"/>
            <w:hideMark/>
          </w:tcPr>
          <w:p w14:paraId="6CD0A272"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Molluscs</w:t>
            </w:r>
          </w:p>
        </w:tc>
        <w:tc>
          <w:tcPr>
            <w:tcW w:w="3119" w:type="dxa"/>
            <w:hideMark/>
          </w:tcPr>
          <w:p w14:paraId="1AF4D099"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Freshwater gastropods</w:t>
            </w:r>
          </w:p>
        </w:tc>
        <w:tc>
          <w:tcPr>
            <w:tcW w:w="2268" w:type="dxa"/>
            <w:hideMark/>
          </w:tcPr>
          <w:p w14:paraId="3CF347B0"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Post-monsoon</w:t>
            </w:r>
          </w:p>
        </w:tc>
        <w:tc>
          <w:tcPr>
            <w:tcW w:w="1984" w:type="dxa"/>
            <w:hideMark/>
          </w:tcPr>
          <w:p w14:paraId="5C11F710"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Detritus feeders</w:t>
            </w:r>
          </w:p>
        </w:tc>
      </w:tr>
      <w:tr w:rsidR="00194B6B" w:rsidRPr="007C17D7" w14:paraId="6104D37D" w14:textId="77777777" w:rsidTr="000C55A4">
        <w:trPr>
          <w:jc w:val="center"/>
        </w:trPr>
        <w:tc>
          <w:tcPr>
            <w:tcW w:w="1838" w:type="dxa"/>
            <w:hideMark/>
          </w:tcPr>
          <w:p w14:paraId="0CA48622" w14:textId="77777777" w:rsidR="00194B6B" w:rsidRPr="007C17D7" w:rsidRDefault="00194B6B" w:rsidP="00194B6B">
            <w:pPr>
              <w:spacing w:line="360" w:lineRule="auto"/>
              <w:jc w:val="center"/>
              <w:rPr>
                <w:rFonts w:ascii="Times New Roman" w:hAnsi="Times New Roman" w:cs="Times New Roman"/>
              </w:rPr>
            </w:pPr>
            <w:r w:rsidRPr="007C17D7">
              <w:t>Water birds</w:t>
            </w:r>
          </w:p>
        </w:tc>
        <w:tc>
          <w:tcPr>
            <w:tcW w:w="3119" w:type="dxa"/>
            <w:hideMark/>
          </w:tcPr>
          <w:p w14:paraId="1EBA7662" w14:textId="77777777" w:rsidR="00194B6B" w:rsidRPr="007C17D7" w:rsidRDefault="00194B6B" w:rsidP="00194B6B">
            <w:pPr>
              <w:spacing w:line="360" w:lineRule="auto"/>
              <w:jc w:val="center"/>
              <w:rPr>
                <w:rFonts w:ascii="Times New Roman" w:hAnsi="Times New Roman" w:cs="Times New Roman"/>
              </w:rPr>
            </w:pPr>
            <w:r w:rsidRPr="007C17D7">
              <w:t>Water birds</w:t>
            </w:r>
          </w:p>
        </w:tc>
        <w:tc>
          <w:tcPr>
            <w:tcW w:w="2268" w:type="dxa"/>
            <w:hideMark/>
          </w:tcPr>
          <w:p w14:paraId="725C51A2" w14:textId="77777777" w:rsidR="00194B6B" w:rsidRPr="007C17D7" w:rsidRDefault="00194B6B" w:rsidP="00194B6B">
            <w:pPr>
              <w:spacing w:line="360" w:lineRule="auto"/>
              <w:jc w:val="center"/>
              <w:rPr>
                <w:rFonts w:ascii="Times New Roman" w:hAnsi="Times New Roman" w:cs="Times New Roman"/>
              </w:rPr>
            </w:pPr>
            <w:r w:rsidRPr="007C17D7">
              <w:t>Monsoon/post-monsoon</w:t>
            </w:r>
          </w:p>
        </w:tc>
        <w:tc>
          <w:tcPr>
            <w:tcW w:w="1984" w:type="dxa"/>
            <w:hideMark/>
          </w:tcPr>
          <w:p w14:paraId="5AB4B15B" w14:textId="77777777" w:rsidR="00194B6B" w:rsidRPr="007C17D7" w:rsidRDefault="00194B6B" w:rsidP="00194B6B">
            <w:pPr>
              <w:spacing w:line="360" w:lineRule="auto"/>
              <w:jc w:val="center"/>
              <w:rPr>
                <w:rFonts w:ascii="Times New Roman" w:hAnsi="Times New Roman" w:cs="Times New Roman"/>
              </w:rPr>
            </w:pPr>
            <w:r w:rsidRPr="007C17D7">
              <w:rPr>
                <w:rFonts w:ascii="Times New Roman" w:hAnsi="Times New Roman" w:cs="Times New Roman"/>
              </w:rPr>
              <w:t>Top predators</w:t>
            </w:r>
          </w:p>
        </w:tc>
      </w:tr>
    </w:tbl>
    <w:p w14:paraId="11323DAD" w14:textId="77777777" w:rsidR="00BE5FA3" w:rsidRPr="007C17D7" w:rsidRDefault="00BE5FA3" w:rsidP="00B17787">
      <w:pPr>
        <w:spacing w:after="0" w:line="360" w:lineRule="auto"/>
        <w:rPr>
          <w:rFonts w:ascii="Times New Roman" w:hAnsi="Times New Roman" w:cs="Times New Roman"/>
          <w:b/>
          <w:bCs/>
        </w:rPr>
      </w:pPr>
    </w:p>
    <w:p w14:paraId="4F74D277" w14:textId="77777777" w:rsidR="00662B23" w:rsidRPr="007C17D7" w:rsidRDefault="00662B23" w:rsidP="00B17787">
      <w:pPr>
        <w:spacing w:line="360" w:lineRule="auto"/>
        <w:rPr>
          <w:rFonts w:ascii="Times New Roman" w:hAnsi="Times New Roman" w:cs="Times New Roman"/>
          <w:b/>
          <w:bCs/>
        </w:rPr>
      </w:pPr>
      <w:r w:rsidRPr="007C17D7">
        <w:rPr>
          <w:rFonts w:ascii="Times New Roman" w:hAnsi="Times New Roman" w:cs="Times New Roman"/>
          <w:b/>
          <w:bCs/>
        </w:rPr>
        <w:t>3.9 Seasonal Ecological Status</w:t>
      </w:r>
    </w:p>
    <w:p w14:paraId="4FBAF70C" w14:textId="77777777" w:rsidR="00A91AE3" w:rsidRPr="007C17D7" w:rsidRDefault="00662B23" w:rsidP="00B17787">
      <w:pPr>
        <w:spacing w:line="360" w:lineRule="auto"/>
        <w:jc w:val="both"/>
        <w:rPr>
          <w:rFonts w:ascii="Times New Roman" w:hAnsi="Times New Roman" w:cs="Times New Roman"/>
        </w:rPr>
      </w:pPr>
      <w:r w:rsidRPr="007C17D7">
        <w:lastRenderedPageBreak/>
        <w:t>The overall ecological condition of the pond during different seasons is summarised in Table 10.</w:t>
      </w:r>
    </w:p>
    <w:p w14:paraId="52A45CB4" w14:textId="77777777" w:rsidR="00A91AE3" w:rsidRPr="00386514" w:rsidRDefault="00A91AE3" w:rsidP="00B17787">
      <w:pPr>
        <w:spacing w:after="0" w:line="360" w:lineRule="auto"/>
        <w:rPr>
          <w:rFonts w:ascii="Times New Roman" w:hAnsi="Times New Roman" w:cs="Times New Roman"/>
          <w:b/>
          <w:bCs/>
        </w:rPr>
      </w:pPr>
      <w:r w:rsidRPr="00386514">
        <w:rPr>
          <w:b/>
          <w:bCs/>
        </w:rPr>
        <w:t>Table 10. Seasonal ecological status of Ghanpur (Mulug) Pond</w:t>
      </w:r>
    </w:p>
    <w:tbl>
      <w:tblPr>
        <w:tblStyle w:val="TableGrid"/>
        <w:tblW w:w="0" w:type="auto"/>
        <w:jc w:val="center"/>
        <w:tblLook w:val="04A0" w:firstRow="1" w:lastRow="0" w:firstColumn="1" w:lastColumn="0" w:noHBand="0" w:noVBand="1"/>
      </w:tblPr>
      <w:tblGrid>
        <w:gridCol w:w="1382"/>
        <w:gridCol w:w="4283"/>
        <w:gridCol w:w="3351"/>
      </w:tblGrid>
      <w:tr w:rsidR="00A91AE3" w:rsidRPr="007C17D7" w14:paraId="35D0B432" w14:textId="77777777" w:rsidTr="005072D4">
        <w:trPr>
          <w:jc w:val="center"/>
        </w:trPr>
        <w:tc>
          <w:tcPr>
            <w:tcW w:w="0" w:type="auto"/>
            <w:hideMark/>
          </w:tcPr>
          <w:p w14:paraId="06853AF6"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Season</w:t>
            </w:r>
          </w:p>
        </w:tc>
        <w:tc>
          <w:tcPr>
            <w:tcW w:w="4283" w:type="dxa"/>
            <w:hideMark/>
          </w:tcPr>
          <w:p w14:paraId="4033B37A"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Key Features</w:t>
            </w:r>
          </w:p>
        </w:tc>
        <w:tc>
          <w:tcPr>
            <w:tcW w:w="3351" w:type="dxa"/>
            <w:hideMark/>
          </w:tcPr>
          <w:p w14:paraId="1A792D6F" w14:textId="77777777" w:rsidR="00A91AE3" w:rsidRPr="007C17D7" w:rsidRDefault="00A91AE3" w:rsidP="00B17787">
            <w:pPr>
              <w:spacing w:line="360" w:lineRule="auto"/>
              <w:jc w:val="center"/>
              <w:rPr>
                <w:rFonts w:ascii="Times New Roman" w:hAnsi="Times New Roman" w:cs="Times New Roman"/>
                <w:b/>
                <w:bCs/>
              </w:rPr>
            </w:pPr>
            <w:r w:rsidRPr="007C17D7">
              <w:rPr>
                <w:rFonts w:ascii="Times New Roman" w:hAnsi="Times New Roman" w:cs="Times New Roman"/>
                <w:b/>
                <w:bCs/>
              </w:rPr>
              <w:t>Ecological Status</w:t>
            </w:r>
          </w:p>
        </w:tc>
      </w:tr>
      <w:tr w:rsidR="00A91AE3" w:rsidRPr="007C17D7" w14:paraId="5B6411A1" w14:textId="77777777" w:rsidTr="005072D4">
        <w:trPr>
          <w:jc w:val="center"/>
        </w:trPr>
        <w:tc>
          <w:tcPr>
            <w:tcW w:w="0" w:type="auto"/>
            <w:hideMark/>
          </w:tcPr>
          <w:p w14:paraId="229DB6D6" w14:textId="77777777" w:rsidR="00A91AE3" w:rsidRPr="007C17D7" w:rsidRDefault="00A91AE3" w:rsidP="00B17787">
            <w:pPr>
              <w:spacing w:line="360" w:lineRule="auto"/>
              <w:jc w:val="center"/>
              <w:rPr>
                <w:rFonts w:ascii="Times New Roman" w:hAnsi="Times New Roman" w:cs="Times New Roman"/>
              </w:rPr>
            </w:pPr>
            <w:r w:rsidRPr="007C17D7">
              <w:rPr>
                <w:rFonts w:ascii="Times New Roman" w:hAnsi="Times New Roman" w:cs="Times New Roman"/>
              </w:rPr>
              <w:t>Pre-monsoon</w:t>
            </w:r>
          </w:p>
        </w:tc>
        <w:tc>
          <w:tcPr>
            <w:tcW w:w="4283" w:type="dxa"/>
            <w:hideMark/>
          </w:tcPr>
          <w:p w14:paraId="177BECF6" w14:textId="77777777" w:rsidR="00A91AE3" w:rsidRPr="007C17D7" w:rsidRDefault="00A91AE3" w:rsidP="00B17787">
            <w:pPr>
              <w:spacing w:line="360" w:lineRule="auto"/>
              <w:jc w:val="center"/>
              <w:rPr>
                <w:rFonts w:ascii="Times New Roman" w:hAnsi="Times New Roman" w:cs="Times New Roman"/>
              </w:rPr>
            </w:pPr>
            <w:r w:rsidRPr="007C17D7">
              <w:t>High temperature, elevated BOD/COD and low DO</w:t>
            </w:r>
          </w:p>
        </w:tc>
        <w:tc>
          <w:tcPr>
            <w:tcW w:w="3351" w:type="dxa"/>
            <w:hideMark/>
          </w:tcPr>
          <w:p w14:paraId="083E5C35" w14:textId="77777777" w:rsidR="00A91AE3" w:rsidRPr="007C17D7" w:rsidRDefault="00A91AE3" w:rsidP="00B17787">
            <w:pPr>
              <w:spacing w:line="360" w:lineRule="auto"/>
              <w:jc w:val="center"/>
              <w:rPr>
                <w:rFonts w:ascii="Times New Roman" w:hAnsi="Times New Roman" w:cs="Times New Roman"/>
              </w:rPr>
            </w:pPr>
            <w:r w:rsidRPr="007C17D7">
              <w:rPr>
                <w:rFonts w:ascii="Times New Roman" w:hAnsi="Times New Roman" w:cs="Times New Roman"/>
              </w:rPr>
              <w:t>Pollution stress</w:t>
            </w:r>
          </w:p>
        </w:tc>
      </w:tr>
      <w:tr w:rsidR="00A91AE3" w:rsidRPr="007C17D7" w14:paraId="342DE902" w14:textId="77777777" w:rsidTr="005072D4">
        <w:trPr>
          <w:jc w:val="center"/>
        </w:trPr>
        <w:tc>
          <w:tcPr>
            <w:tcW w:w="0" w:type="auto"/>
            <w:hideMark/>
          </w:tcPr>
          <w:p w14:paraId="2905260E" w14:textId="77777777" w:rsidR="00A91AE3" w:rsidRPr="007C17D7" w:rsidRDefault="00A91AE3" w:rsidP="00B17787">
            <w:pPr>
              <w:spacing w:line="360" w:lineRule="auto"/>
              <w:jc w:val="center"/>
              <w:rPr>
                <w:rFonts w:ascii="Times New Roman" w:hAnsi="Times New Roman" w:cs="Times New Roman"/>
              </w:rPr>
            </w:pPr>
            <w:r w:rsidRPr="007C17D7">
              <w:rPr>
                <w:rFonts w:ascii="Times New Roman" w:hAnsi="Times New Roman" w:cs="Times New Roman"/>
              </w:rPr>
              <w:t>Monsoon</w:t>
            </w:r>
          </w:p>
        </w:tc>
        <w:tc>
          <w:tcPr>
            <w:tcW w:w="4283" w:type="dxa"/>
            <w:hideMark/>
          </w:tcPr>
          <w:p w14:paraId="4591B563" w14:textId="77777777" w:rsidR="00A91AE3" w:rsidRPr="007C17D7" w:rsidRDefault="00A91AE3" w:rsidP="00B17787">
            <w:pPr>
              <w:spacing w:line="360" w:lineRule="auto"/>
              <w:jc w:val="center"/>
              <w:rPr>
                <w:rFonts w:ascii="Times New Roman" w:hAnsi="Times New Roman" w:cs="Times New Roman"/>
              </w:rPr>
            </w:pPr>
            <w:r w:rsidRPr="007C17D7">
              <w:rPr>
                <w:rFonts w:ascii="Times New Roman" w:hAnsi="Times New Roman" w:cs="Times New Roman"/>
              </w:rPr>
              <w:t xml:space="preserve">High nutrients, </w:t>
            </w:r>
            <w:r w:rsidR="00FF1AB2" w:rsidRPr="007C17D7">
              <w:rPr>
                <w:rFonts w:ascii="Times New Roman" w:hAnsi="Times New Roman" w:cs="Times New Roman"/>
              </w:rPr>
              <w:t xml:space="preserve">increased </w:t>
            </w:r>
            <w:r w:rsidRPr="007C17D7">
              <w:rPr>
                <w:rFonts w:ascii="Times New Roman" w:hAnsi="Times New Roman" w:cs="Times New Roman"/>
              </w:rPr>
              <w:t>turbidity, high DO</w:t>
            </w:r>
          </w:p>
        </w:tc>
        <w:tc>
          <w:tcPr>
            <w:tcW w:w="3351" w:type="dxa"/>
            <w:hideMark/>
          </w:tcPr>
          <w:p w14:paraId="01E869B1" w14:textId="77777777" w:rsidR="00387BBE" w:rsidRDefault="00AD76D0" w:rsidP="00B17787">
            <w:pPr>
              <w:spacing w:line="360" w:lineRule="auto"/>
              <w:jc w:val="center"/>
            </w:pPr>
            <w:r w:rsidRPr="007C17D7">
              <w:t>Highly productive but seasonally unstable</w:t>
            </w:r>
          </w:p>
          <w:p w14:paraId="77D94F20" w14:textId="7AFF40C8" w:rsidR="00B676D7" w:rsidRPr="00F33B3D" w:rsidRDefault="005236C7" w:rsidP="00B17787">
            <w:pPr>
              <w:spacing w:line="360" w:lineRule="auto"/>
              <w:jc w:val="center"/>
            </w:pPr>
            <w:r w:rsidRPr="00F33B3D">
              <w:t>Overall water quality remained good throughout the study</w:t>
            </w:r>
          </w:p>
          <w:p w14:paraId="4C2B4CCB" w14:textId="77777777" w:rsidR="00387BBE" w:rsidRPr="007C17D7" w:rsidRDefault="00387BBE" w:rsidP="00B17787">
            <w:pPr>
              <w:spacing w:line="360" w:lineRule="auto"/>
              <w:jc w:val="center"/>
              <w:rPr>
                <w:rFonts w:ascii="Times New Roman" w:hAnsi="Times New Roman" w:cs="Times New Roman"/>
              </w:rPr>
            </w:pPr>
          </w:p>
        </w:tc>
      </w:tr>
      <w:tr w:rsidR="00A91AE3" w:rsidRPr="007C17D7" w14:paraId="42044BF0" w14:textId="77777777" w:rsidTr="005072D4">
        <w:trPr>
          <w:jc w:val="center"/>
        </w:trPr>
        <w:tc>
          <w:tcPr>
            <w:tcW w:w="0" w:type="auto"/>
            <w:hideMark/>
          </w:tcPr>
          <w:p w14:paraId="6050B35D" w14:textId="77777777" w:rsidR="00A91AE3" w:rsidRPr="007C17D7" w:rsidRDefault="00A91AE3" w:rsidP="00B17787">
            <w:pPr>
              <w:spacing w:line="360" w:lineRule="auto"/>
              <w:jc w:val="center"/>
              <w:rPr>
                <w:rFonts w:ascii="Times New Roman" w:hAnsi="Times New Roman" w:cs="Times New Roman"/>
              </w:rPr>
            </w:pPr>
            <w:r w:rsidRPr="007C17D7">
              <w:rPr>
                <w:rFonts w:ascii="Times New Roman" w:hAnsi="Times New Roman" w:cs="Times New Roman"/>
              </w:rPr>
              <w:t>Post-monsoon</w:t>
            </w:r>
          </w:p>
        </w:tc>
        <w:tc>
          <w:tcPr>
            <w:tcW w:w="4283" w:type="dxa"/>
            <w:hideMark/>
          </w:tcPr>
          <w:p w14:paraId="12FDD51F" w14:textId="77777777" w:rsidR="00A91AE3" w:rsidRPr="007C17D7" w:rsidRDefault="00A91AE3" w:rsidP="00B17787">
            <w:pPr>
              <w:spacing w:line="360" w:lineRule="auto"/>
              <w:jc w:val="center"/>
              <w:rPr>
                <w:rFonts w:ascii="Times New Roman" w:hAnsi="Times New Roman" w:cs="Times New Roman"/>
              </w:rPr>
            </w:pPr>
            <w:r w:rsidRPr="007C17D7">
              <w:t>Moderate physicochemical parameters and high biodiversity</w:t>
            </w:r>
          </w:p>
        </w:tc>
        <w:tc>
          <w:tcPr>
            <w:tcW w:w="3351" w:type="dxa"/>
            <w:hideMark/>
          </w:tcPr>
          <w:p w14:paraId="2EE5D40A" w14:textId="77777777" w:rsidR="00A91AE3" w:rsidRPr="007C17D7" w:rsidRDefault="00A91AE3" w:rsidP="00B17787">
            <w:pPr>
              <w:spacing w:line="360" w:lineRule="auto"/>
              <w:jc w:val="center"/>
              <w:rPr>
                <w:rFonts w:ascii="Times New Roman" w:hAnsi="Times New Roman" w:cs="Times New Roman"/>
              </w:rPr>
            </w:pPr>
            <w:r w:rsidRPr="007C17D7">
              <w:rPr>
                <w:rFonts w:ascii="Times New Roman" w:hAnsi="Times New Roman" w:cs="Times New Roman"/>
              </w:rPr>
              <w:t>Stable ecosystem</w:t>
            </w:r>
          </w:p>
        </w:tc>
      </w:tr>
    </w:tbl>
    <w:p w14:paraId="39E21AE4" w14:textId="77777777" w:rsidR="00A91AE3" w:rsidRPr="007C17D7" w:rsidRDefault="00A91AE3" w:rsidP="00B17787">
      <w:pPr>
        <w:spacing w:after="0" w:line="360" w:lineRule="auto"/>
        <w:rPr>
          <w:rFonts w:ascii="Times New Roman" w:hAnsi="Times New Roman" w:cs="Times New Roman"/>
        </w:rPr>
      </w:pPr>
    </w:p>
    <w:p w14:paraId="322E7B77" w14:textId="77777777" w:rsidR="00B609ED" w:rsidRPr="00804C09" w:rsidRDefault="00BF640A" w:rsidP="00B17787">
      <w:pPr>
        <w:spacing w:line="360" w:lineRule="auto"/>
        <w:rPr>
          <w:rFonts w:ascii="Times New Roman" w:hAnsi="Times New Roman" w:cs="Times New Roman"/>
          <w:b/>
          <w:bCs/>
        </w:rPr>
      </w:pPr>
      <w:r w:rsidRPr="00804C09">
        <w:rPr>
          <w:b/>
          <w:bCs/>
        </w:rPr>
        <w:t>3.10 Water Quality Index Assessment</w:t>
      </w:r>
    </w:p>
    <w:p w14:paraId="3C434784" w14:textId="77777777" w:rsidR="000B6F30" w:rsidRPr="007C17D7" w:rsidRDefault="00B609ED" w:rsidP="00B17787">
      <w:pPr>
        <w:spacing w:line="360" w:lineRule="auto"/>
        <w:jc w:val="both"/>
        <w:rPr>
          <w:rFonts w:ascii="Times New Roman" w:hAnsi="Times New Roman" w:cs="Times New Roman"/>
        </w:rPr>
      </w:pPr>
      <w:r w:rsidRPr="007C17D7">
        <w:rPr>
          <w:rFonts w:ascii="Times New Roman" w:hAnsi="Times New Roman" w:cs="Times New Roman"/>
        </w:rPr>
        <w:t xml:space="preserve">The seasonal Water Quality Index (WQI) values demonstrated that the overall water quality of </w:t>
      </w:r>
      <w:proofErr w:type="spellStart"/>
      <w:r w:rsidRPr="007C17D7">
        <w:rPr>
          <w:rFonts w:ascii="Times New Roman" w:hAnsi="Times New Roman" w:cs="Times New Roman"/>
        </w:rPr>
        <w:t>Ghanpur</w:t>
      </w:r>
      <w:proofErr w:type="spellEnd"/>
      <w:r w:rsidRPr="007C17D7">
        <w:rPr>
          <w:rFonts w:ascii="Times New Roman" w:hAnsi="Times New Roman" w:cs="Times New Roman"/>
        </w:rPr>
        <w:t xml:space="preserve"> (Mulug) Pond remained within the good category throughout the study period. The pre-monsoon season recorded the highest WQI value (42.8), reflecting comparatively lower water quality due to elevated temperature, increased biochemical oxygen demand (BOD), chemical oxygen demand (COD), total dissolved solids (TDS), and reduced dissolved oxygen concentration. These conditions indicate the concentration of dissolved pollutants resulting from high evaporation rates and limited water inflow.</w:t>
      </w:r>
    </w:p>
    <w:p w14:paraId="7C1B7122" w14:textId="77777777" w:rsidR="00B609ED" w:rsidRPr="007C17D7" w:rsidRDefault="00B609ED" w:rsidP="00B17787">
      <w:pPr>
        <w:spacing w:line="360" w:lineRule="auto"/>
        <w:jc w:val="both"/>
        <w:rPr>
          <w:rFonts w:ascii="Times New Roman" w:hAnsi="Times New Roman" w:cs="Times New Roman"/>
        </w:rPr>
      </w:pPr>
      <w:r w:rsidRPr="007C17D7">
        <w:rPr>
          <w:rFonts w:ascii="Times New Roman" w:hAnsi="Times New Roman" w:cs="Times New Roman"/>
        </w:rPr>
        <w:t>During the monsoon season, the WQI decreased to 36.5, indicating an improvement in water quality. Increased rainfall enhanced dilution, atmospheric aeration, and water circulation, leading to higher dissolved oxygen concentrations and lower organic pollution. However, agricultural runoff contributed to elevated nitrate and phosphate concentrations, indicating moderate nutrient enrichment.</w:t>
      </w:r>
    </w:p>
    <w:p w14:paraId="43D031EB" w14:textId="77777777" w:rsidR="002A7877" w:rsidRPr="007C17D7" w:rsidRDefault="00B609ED" w:rsidP="00B17787">
      <w:pPr>
        <w:spacing w:line="360" w:lineRule="auto"/>
        <w:jc w:val="both"/>
        <w:rPr>
          <w:rFonts w:ascii="Times New Roman" w:hAnsi="Times New Roman" w:cs="Times New Roman"/>
        </w:rPr>
      </w:pPr>
      <w:r w:rsidRPr="007C17D7">
        <w:rPr>
          <w:rFonts w:ascii="Times New Roman" w:hAnsi="Times New Roman" w:cs="Times New Roman"/>
        </w:rPr>
        <w:t xml:space="preserve">The post-monsoon season exhibited the lowest WQI value (29.4), representing the best overall water quality during the investigation. Moderate physicochemical conditions, improved dissolved oxygen levels, balanced nutrient concentrations, and enhanced plankton diversity reflected greater ecological stability and recovery following the monsoon period. These </w:t>
      </w:r>
      <w:r w:rsidRPr="007C17D7">
        <w:rPr>
          <w:rFonts w:ascii="Times New Roman" w:hAnsi="Times New Roman" w:cs="Times New Roman"/>
        </w:rPr>
        <w:lastRenderedPageBreak/>
        <w:t xml:space="preserve">findings suggest that </w:t>
      </w:r>
      <w:proofErr w:type="spellStart"/>
      <w:r w:rsidRPr="007C17D7">
        <w:rPr>
          <w:rFonts w:ascii="Times New Roman" w:hAnsi="Times New Roman" w:cs="Times New Roman"/>
        </w:rPr>
        <w:t>Ghanpur</w:t>
      </w:r>
      <w:proofErr w:type="spellEnd"/>
      <w:r w:rsidRPr="007C17D7">
        <w:rPr>
          <w:rFonts w:ascii="Times New Roman" w:hAnsi="Times New Roman" w:cs="Times New Roman"/>
        </w:rPr>
        <w:t xml:space="preserve"> (Mulug) Pond maintained moderately good ecological health and remained suitable for sustaining freshwater biodiversity throughout the study. </w:t>
      </w:r>
    </w:p>
    <w:p w14:paraId="2517D4EC" w14:textId="77777777" w:rsidR="00A91AE3" w:rsidRPr="007C17D7" w:rsidRDefault="00C739FB" w:rsidP="00B17787">
      <w:pPr>
        <w:spacing w:line="360" w:lineRule="auto"/>
        <w:jc w:val="both"/>
        <w:rPr>
          <w:rFonts w:ascii="Times New Roman" w:hAnsi="Times New Roman" w:cs="Times New Roman"/>
          <w:b/>
          <w:bCs/>
        </w:rPr>
      </w:pPr>
      <w:r w:rsidRPr="007C17D7">
        <w:rPr>
          <w:rFonts w:ascii="Times New Roman" w:hAnsi="Times New Roman" w:cs="Times New Roman"/>
          <w:b/>
          <w:bCs/>
        </w:rPr>
        <w:t xml:space="preserve">Table </w:t>
      </w:r>
      <w:r w:rsidR="00BC76DB" w:rsidRPr="007C17D7">
        <w:rPr>
          <w:rFonts w:ascii="Times New Roman" w:hAnsi="Times New Roman" w:cs="Times New Roman"/>
          <w:b/>
          <w:bCs/>
        </w:rPr>
        <w:t>11</w:t>
      </w:r>
      <w:r w:rsidRPr="007C17D7">
        <w:rPr>
          <w:rFonts w:ascii="Times New Roman" w:hAnsi="Times New Roman" w:cs="Times New Roman"/>
          <w:b/>
          <w:bCs/>
        </w:rPr>
        <w:t xml:space="preserve">. </w:t>
      </w:r>
      <w:r w:rsidR="00291728" w:rsidRPr="007C17D7">
        <w:rPr>
          <w:rFonts w:ascii="Times New Roman" w:hAnsi="Times New Roman" w:cs="Times New Roman"/>
          <w:b/>
          <w:bCs/>
        </w:rPr>
        <w:t xml:space="preserve">Seasonal Water Quality Index (WQI) of </w:t>
      </w:r>
      <w:proofErr w:type="spellStart"/>
      <w:r w:rsidR="00291728" w:rsidRPr="007C17D7">
        <w:rPr>
          <w:rFonts w:ascii="Times New Roman" w:hAnsi="Times New Roman" w:cs="Times New Roman"/>
          <w:b/>
          <w:bCs/>
        </w:rPr>
        <w:t>Ghanpur</w:t>
      </w:r>
      <w:proofErr w:type="spellEnd"/>
      <w:r w:rsidR="00291728" w:rsidRPr="007C17D7">
        <w:rPr>
          <w:rFonts w:ascii="Times New Roman" w:hAnsi="Times New Roman" w:cs="Times New Roman"/>
          <w:b/>
          <w:bCs/>
        </w:rPr>
        <w:t xml:space="preserve"> (Mulug) Pond</w:t>
      </w:r>
    </w:p>
    <w:tbl>
      <w:tblPr>
        <w:tblStyle w:val="TableGrid"/>
        <w:tblW w:w="0" w:type="auto"/>
        <w:tblLook w:val="04A0" w:firstRow="1" w:lastRow="0" w:firstColumn="1" w:lastColumn="0" w:noHBand="0" w:noVBand="1"/>
      </w:tblPr>
      <w:tblGrid>
        <w:gridCol w:w="3005"/>
        <w:gridCol w:w="2519"/>
        <w:gridCol w:w="3492"/>
      </w:tblGrid>
      <w:tr w:rsidR="0093285A" w:rsidRPr="007C17D7" w14:paraId="3F102108" w14:textId="77777777" w:rsidTr="00A643E4">
        <w:tc>
          <w:tcPr>
            <w:tcW w:w="3005" w:type="dxa"/>
          </w:tcPr>
          <w:p w14:paraId="1E501F54" w14:textId="77777777" w:rsidR="0093285A" w:rsidRPr="007C17D7" w:rsidRDefault="00255696" w:rsidP="00B17787">
            <w:pPr>
              <w:spacing w:line="360" w:lineRule="auto"/>
              <w:rPr>
                <w:rFonts w:ascii="Times New Roman" w:hAnsi="Times New Roman" w:cs="Times New Roman"/>
                <w:b/>
                <w:bCs/>
              </w:rPr>
            </w:pPr>
            <w:r w:rsidRPr="007C17D7">
              <w:rPr>
                <w:rFonts w:ascii="Times New Roman" w:hAnsi="Times New Roman" w:cs="Times New Roman"/>
                <w:b/>
                <w:bCs/>
              </w:rPr>
              <w:t>Season</w:t>
            </w:r>
          </w:p>
        </w:tc>
        <w:tc>
          <w:tcPr>
            <w:tcW w:w="2519" w:type="dxa"/>
          </w:tcPr>
          <w:p w14:paraId="02CE98D6" w14:textId="77777777" w:rsidR="0093285A" w:rsidRPr="007C17D7" w:rsidRDefault="00255696" w:rsidP="00B17787">
            <w:pPr>
              <w:spacing w:line="360" w:lineRule="auto"/>
              <w:rPr>
                <w:rFonts w:ascii="Times New Roman" w:hAnsi="Times New Roman" w:cs="Times New Roman"/>
                <w:b/>
                <w:bCs/>
              </w:rPr>
            </w:pPr>
            <w:r w:rsidRPr="007C17D7">
              <w:rPr>
                <w:rFonts w:ascii="Times New Roman" w:hAnsi="Times New Roman" w:cs="Times New Roman"/>
                <w:b/>
                <w:bCs/>
              </w:rPr>
              <w:t>WQI</w:t>
            </w:r>
          </w:p>
        </w:tc>
        <w:tc>
          <w:tcPr>
            <w:tcW w:w="3492" w:type="dxa"/>
          </w:tcPr>
          <w:p w14:paraId="4AC9E983" w14:textId="77777777" w:rsidR="0093285A" w:rsidRPr="007C17D7" w:rsidRDefault="00255696" w:rsidP="00B17787">
            <w:pPr>
              <w:spacing w:line="360" w:lineRule="auto"/>
              <w:rPr>
                <w:rFonts w:ascii="Times New Roman" w:hAnsi="Times New Roman" w:cs="Times New Roman"/>
                <w:b/>
                <w:bCs/>
              </w:rPr>
            </w:pPr>
            <w:r w:rsidRPr="007C17D7">
              <w:rPr>
                <w:rFonts w:ascii="Times New Roman" w:hAnsi="Times New Roman" w:cs="Times New Roman"/>
                <w:b/>
                <w:bCs/>
              </w:rPr>
              <w:t>Water Quality Status</w:t>
            </w:r>
          </w:p>
        </w:tc>
      </w:tr>
      <w:tr w:rsidR="0093285A" w:rsidRPr="007C17D7" w14:paraId="57D5F3B4" w14:textId="77777777" w:rsidTr="00A643E4">
        <w:tc>
          <w:tcPr>
            <w:tcW w:w="3005" w:type="dxa"/>
          </w:tcPr>
          <w:p w14:paraId="68D00399" w14:textId="77777777" w:rsidR="0093285A" w:rsidRPr="007C17D7" w:rsidRDefault="00255696" w:rsidP="00B17787">
            <w:pPr>
              <w:spacing w:line="360" w:lineRule="auto"/>
              <w:rPr>
                <w:rFonts w:ascii="Times New Roman" w:hAnsi="Times New Roman" w:cs="Times New Roman"/>
              </w:rPr>
            </w:pPr>
            <w:r w:rsidRPr="007C17D7">
              <w:rPr>
                <w:rFonts w:ascii="Times New Roman" w:hAnsi="Times New Roman" w:cs="Times New Roman"/>
              </w:rPr>
              <w:t>Pre-monsoon</w:t>
            </w:r>
            <w:r w:rsidRPr="007C17D7">
              <w:rPr>
                <w:rFonts w:ascii="Times New Roman" w:hAnsi="Times New Roman" w:cs="Times New Roman"/>
              </w:rPr>
              <w:tab/>
            </w:r>
            <w:r w:rsidRPr="007C17D7">
              <w:rPr>
                <w:rFonts w:ascii="Times New Roman" w:hAnsi="Times New Roman" w:cs="Times New Roman"/>
              </w:rPr>
              <w:tab/>
              <w:t xml:space="preserve"> </w:t>
            </w:r>
          </w:p>
        </w:tc>
        <w:tc>
          <w:tcPr>
            <w:tcW w:w="2519" w:type="dxa"/>
          </w:tcPr>
          <w:p w14:paraId="0F2700AB" w14:textId="77777777" w:rsidR="0093285A" w:rsidRPr="007C17D7" w:rsidRDefault="00255696" w:rsidP="00B17787">
            <w:pPr>
              <w:spacing w:line="360" w:lineRule="auto"/>
              <w:rPr>
                <w:rFonts w:ascii="Times New Roman" w:hAnsi="Times New Roman" w:cs="Times New Roman"/>
              </w:rPr>
            </w:pPr>
            <w:r w:rsidRPr="007C17D7">
              <w:rPr>
                <w:rFonts w:ascii="Times New Roman" w:hAnsi="Times New Roman" w:cs="Times New Roman"/>
              </w:rPr>
              <w:t>42.8</w:t>
            </w:r>
          </w:p>
        </w:tc>
        <w:tc>
          <w:tcPr>
            <w:tcW w:w="3492" w:type="dxa"/>
          </w:tcPr>
          <w:p w14:paraId="66514BCD" w14:textId="77777777" w:rsidR="0093285A" w:rsidRPr="007C17D7" w:rsidRDefault="00121FD4" w:rsidP="00B17787">
            <w:pPr>
              <w:spacing w:line="360" w:lineRule="auto"/>
              <w:rPr>
                <w:rFonts w:ascii="Times New Roman" w:hAnsi="Times New Roman" w:cs="Times New Roman"/>
              </w:rPr>
            </w:pPr>
            <w:r w:rsidRPr="007C17D7">
              <w:rPr>
                <w:rFonts w:ascii="Times New Roman" w:hAnsi="Times New Roman" w:cs="Times New Roman"/>
              </w:rPr>
              <w:t>Good</w:t>
            </w:r>
            <w:r w:rsidRPr="007C17D7">
              <w:rPr>
                <w:rFonts w:ascii="Times New Roman" w:hAnsi="Times New Roman" w:cs="Times New Roman"/>
              </w:rPr>
              <w:tab/>
            </w:r>
          </w:p>
        </w:tc>
      </w:tr>
      <w:tr w:rsidR="0093285A" w:rsidRPr="007C17D7" w14:paraId="117D8762" w14:textId="77777777" w:rsidTr="00A643E4">
        <w:tc>
          <w:tcPr>
            <w:tcW w:w="3005" w:type="dxa"/>
          </w:tcPr>
          <w:p w14:paraId="45F32060" w14:textId="77777777" w:rsidR="0093285A" w:rsidRPr="007C17D7" w:rsidRDefault="00121FD4" w:rsidP="00B17787">
            <w:pPr>
              <w:spacing w:line="360" w:lineRule="auto"/>
              <w:rPr>
                <w:rFonts w:ascii="Times New Roman" w:hAnsi="Times New Roman" w:cs="Times New Roman"/>
              </w:rPr>
            </w:pPr>
            <w:r w:rsidRPr="007C17D7">
              <w:rPr>
                <w:rFonts w:ascii="Times New Roman" w:hAnsi="Times New Roman" w:cs="Times New Roman"/>
              </w:rPr>
              <w:t>Monsoon</w:t>
            </w:r>
          </w:p>
        </w:tc>
        <w:tc>
          <w:tcPr>
            <w:tcW w:w="2519" w:type="dxa"/>
          </w:tcPr>
          <w:p w14:paraId="1B2DD081" w14:textId="77777777" w:rsidR="0093285A" w:rsidRPr="007C17D7" w:rsidRDefault="00121FD4" w:rsidP="00B17787">
            <w:pPr>
              <w:spacing w:line="360" w:lineRule="auto"/>
              <w:rPr>
                <w:rFonts w:ascii="Times New Roman" w:hAnsi="Times New Roman" w:cs="Times New Roman"/>
              </w:rPr>
            </w:pPr>
            <w:r w:rsidRPr="007C17D7">
              <w:rPr>
                <w:rFonts w:ascii="Times New Roman" w:hAnsi="Times New Roman" w:cs="Times New Roman"/>
              </w:rPr>
              <w:t>36.5</w:t>
            </w:r>
          </w:p>
        </w:tc>
        <w:tc>
          <w:tcPr>
            <w:tcW w:w="3492" w:type="dxa"/>
          </w:tcPr>
          <w:p w14:paraId="47A49F3B" w14:textId="77777777" w:rsidR="0093285A" w:rsidRPr="007C17D7" w:rsidRDefault="00121FD4" w:rsidP="00B17787">
            <w:pPr>
              <w:spacing w:line="360" w:lineRule="auto"/>
              <w:rPr>
                <w:rFonts w:ascii="Times New Roman" w:hAnsi="Times New Roman" w:cs="Times New Roman"/>
              </w:rPr>
            </w:pPr>
            <w:r w:rsidRPr="007C17D7">
              <w:rPr>
                <w:rFonts w:ascii="Times New Roman" w:hAnsi="Times New Roman" w:cs="Times New Roman"/>
              </w:rPr>
              <w:t>Good</w:t>
            </w:r>
          </w:p>
        </w:tc>
      </w:tr>
      <w:tr w:rsidR="0093285A" w:rsidRPr="007C17D7" w14:paraId="377EECF1" w14:textId="77777777" w:rsidTr="00A643E4">
        <w:tc>
          <w:tcPr>
            <w:tcW w:w="3005" w:type="dxa"/>
          </w:tcPr>
          <w:p w14:paraId="17BF7220" w14:textId="77777777" w:rsidR="0093285A" w:rsidRPr="007C17D7" w:rsidRDefault="00121FD4" w:rsidP="00B17787">
            <w:pPr>
              <w:spacing w:line="360" w:lineRule="auto"/>
              <w:rPr>
                <w:rFonts w:ascii="Times New Roman" w:hAnsi="Times New Roman" w:cs="Times New Roman"/>
              </w:rPr>
            </w:pPr>
            <w:r w:rsidRPr="007C17D7">
              <w:rPr>
                <w:rFonts w:ascii="Times New Roman" w:hAnsi="Times New Roman" w:cs="Times New Roman"/>
              </w:rPr>
              <w:t>Post-monsoon</w:t>
            </w:r>
          </w:p>
        </w:tc>
        <w:tc>
          <w:tcPr>
            <w:tcW w:w="2519" w:type="dxa"/>
          </w:tcPr>
          <w:p w14:paraId="2689FFF5" w14:textId="77777777" w:rsidR="0093285A" w:rsidRPr="007C17D7" w:rsidRDefault="00121FD4" w:rsidP="00B17787">
            <w:pPr>
              <w:spacing w:line="360" w:lineRule="auto"/>
              <w:rPr>
                <w:rFonts w:ascii="Times New Roman" w:hAnsi="Times New Roman" w:cs="Times New Roman"/>
              </w:rPr>
            </w:pPr>
            <w:r w:rsidRPr="007C17D7">
              <w:rPr>
                <w:rFonts w:ascii="Times New Roman" w:hAnsi="Times New Roman" w:cs="Times New Roman"/>
              </w:rPr>
              <w:t>29.4</w:t>
            </w:r>
          </w:p>
        </w:tc>
        <w:tc>
          <w:tcPr>
            <w:tcW w:w="3492" w:type="dxa"/>
          </w:tcPr>
          <w:p w14:paraId="172D14AD" w14:textId="77777777" w:rsidR="0093285A" w:rsidRPr="007C17D7" w:rsidRDefault="00CB37B8" w:rsidP="00B17787">
            <w:pPr>
              <w:spacing w:line="360" w:lineRule="auto"/>
              <w:rPr>
                <w:rFonts w:ascii="Times New Roman" w:hAnsi="Times New Roman" w:cs="Times New Roman"/>
              </w:rPr>
            </w:pPr>
            <w:r w:rsidRPr="007C17D7">
              <w:t>Good (approaching excellent)</w:t>
            </w:r>
          </w:p>
        </w:tc>
      </w:tr>
    </w:tbl>
    <w:p w14:paraId="1B54A6F4" w14:textId="77777777" w:rsidR="0093285A" w:rsidRPr="00445196" w:rsidRDefault="0093285A" w:rsidP="00B17787">
      <w:pPr>
        <w:spacing w:line="360" w:lineRule="auto"/>
        <w:rPr>
          <w:rFonts w:ascii="Times New Roman" w:hAnsi="Times New Roman" w:cs="Times New Roman"/>
          <w:b/>
          <w:bCs/>
        </w:rPr>
      </w:pPr>
    </w:p>
    <w:p w14:paraId="1995AA79" w14:textId="77777777" w:rsidR="00364E17" w:rsidRPr="00445196" w:rsidRDefault="00791FFE" w:rsidP="00B17787">
      <w:pPr>
        <w:spacing w:line="360" w:lineRule="auto"/>
        <w:jc w:val="both"/>
        <w:rPr>
          <w:rFonts w:ascii="Times New Roman" w:hAnsi="Times New Roman" w:cs="Times New Roman"/>
          <w:b/>
          <w:bCs/>
        </w:rPr>
      </w:pPr>
      <w:r w:rsidRPr="00445196">
        <w:rPr>
          <w:b/>
          <w:bCs/>
        </w:rPr>
        <w:t>3.11 DISCUSSION</w:t>
      </w:r>
    </w:p>
    <w:p w14:paraId="1DB9908B" w14:textId="77777777" w:rsidR="00873D33" w:rsidRPr="007C17D7" w:rsidRDefault="00873D33"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The observed seasonal fluctuations in water temperature, pH, dissolved oxygen (DO), biochemical oxygen demand (BOD), chemical oxygen demand (COD), total dissolved solids (TDS), and nutrient concentrations indicate the strong influence of climatic conditions, rainfall, and anthropogenic activities on the limnological characteristics of </w:t>
      </w:r>
      <w:proofErr w:type="spellStart"/>
      <w:r w:rsidRPr="007C17D7">
        <w:rPr>
          <w:rFonts w:ascii="Times New Roman" w:hAnsi="Times New Roman" w:cs="Times New Roman"/>
        </w:rPr>
        <w:t>Ghanpur</w:t>
      </w:r>
      <w:proofErr w:type="spellEnd"/>
      <w:r w:rsidRPr="007C17D7">
        <w:rPr>
          <w:rFonts w:ascii="Times New Roman" w:hAnsi="Times New Roman" w:cs="Times New Roman"/>
        </w:rPr>
        <w:t xml:space="preserve"> (Mulug) Pond. Similar seasonal variations have been reported in tropical freshwater ecosystems by Sarkar et al. (2020) and Garai et al. (2025).</w:t>
      </w:r>
    </w:p>
    <w:p w14:paraId="72EADAE4" w14:textId="77777777" w:rsidR="00873D33" w:rsidRPr="007C17D7" w:rsidRDefault="00873D33" w:rsidP="00B17787">
      <w:pPr>
        <w:spacing w:after="0" w:line="360" w:lineRule="auto"/>
        <w:jc w:val="both"/>
        <w:rPr>
          <w:rFonts w:ascii="Times New Roman" w:hAnsi="Times New Roman" w:cs="Times New Roman"/>
        </w:rPr>
      </w:pPr>
      <w:r w:rsidRPr="007C17D7">
        <w:t>For the parameters analysed statistically, seasonal variation significantly influenced the physicochemical characteristics of Ghanpur (Mulug) Pond. Significant differences detected by one-way ANOVA (p &lt; 0.05) support the interpretation that climatic conditions, rainfall and runoff are important factors controlling water quality and plankton dynamics. Similar statistically significant seasonal variations have been reported in other tropical freshwater ecosystems.</w:t>
      </w:r>
    </w:p>
    <w:p w14:paraId="36DC5816" w14:textId="77777777" w:rsidR="00873D33" w:rsidRPr="007C17D7" w:rsidRDefault="00873D33" w:rsidP="00B17787">
      <w:pPr>
        <w:spacing w:after="0" w:line="360" w:lineRule="auto"/>
        <w:jc w:val="both"/>
        <w:rPr>
          <w:rFonts w:ascii="Times New Roman" w:hAnsi="Times New Roman" w:cs="Times New Roman"/>
        </w:rPr>
      </w:pPr>
      <w:r w:rsidRPr="007C17D7">
        <w:t>The comparatively lower dissolved oxygen values recorded during the pre-monsoon season may be attributed to elevated water temperature, increased microbial decomposition and enhanced biological oxygen demand. The present DO values (5.6–7.4 mg/L) are comparable with those reported by Aravinth et al. (2023). The Water Quality Index (WQI) values indicated seasonal variation in water quality, with comparatively better water quality during the post-monsoon season than during the pre-monsoon and monsoon seasons. These findings are based on the WQI methodology applied in the present study and should be interpreted together with the measured physicochemical parameters.</w:t>
      </w:r>
    </w:p>
    <w:p w14:paraId="3E2C1630" w14:textId="77777777" w:rsidR="00873D33" w:rsidRPr="007C17D7" w:rsidRDefault="00873D33" w:rsidP="00B17787">
      <w:pPr>
        <w:spacing w:after="0" w:line="360" w:lineRule="auto"/>
        <w:jc w:val="both"/>
        <w:rPr>
          <w:rFonts w:ascii="Times New Roman" w:hAnsi="Times New Roman" w:cs="Times New Roman"/>
        </w:rPr>
      </w:pPr>
      <w:r w:rsidRPr="007C17D7">
        <w:lastRenderedPageBreak/>
        <w:t>The higher BOD and COD values observed during the pre-monsoon season indicate increased organic and chemical pollution resulting from elevated evaporation, concentration of dissolved substances and enhanced microbial activity. The subsequent reduction in BOD and COD during the monsoon season reflects the dilution effect of rainfall and increased water circulation, which improve overall water quality. Similar seasonal trends have been reported in tropical freshwater ecosystems, where climatic conditions strongly influence organic pollution levels.</w:t>
      </w:r>
    </w:p>
    <w:p w14:paraId="3C5C133E" w14:textId="77777777" w:rsidR="00873D33" w:rsidRPr="007C17D7" w:rsidRDefault="00873D33" w:rsidP="00B17787">
      <w:pPr>
        <w:spacing w:after="0" w:line="360" w:lineRule="auto"/>
        <w:jc w:val="both"/>
        <w:rPr>
          <w:rFonts w:ascii="Times New Roman" w:hAnsi="Times New Roman" w:cs="Times New Roman"/>
        </w:rPr>
      </w:pPr>
      <w:r w:rsidRPr="007C17D7">
        <w:rPr>
          <w:rFonts w:ascii="Times New Roman" w:hAnsi="Times New Roman" w:cs="Times New Roman"/>
        </w:rPr>
        <w:t>Higher concentrations of nitrate and phosphate during the monsoon season indicate nutrient enrichment through agricultural runoff and surface drainage from the surrounding catchment. Excess nutrient loading accelerates primary productivity and may promote eutrophication under favourable environmental conditions (Smith et al., 1999).</w:t>
      </w:r>
    </w:p>
    <w:p w14:paraId="335B0944" w14:textId="77777777" w:rsidR="00873D33" w:rsidRPr="007C17D7" w:rsidRDefault="00873D33"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The dominance of Chlorophyceae followed by Bacillariophyceae and </w:t>
      </w:r>
      <w:proofErr w:type="spellStart"/>
      <w:r w:rsidRPr="007C17D7">
        <w:rPr>
          <w:rFonts w:ascii="Times New Roman" w:hAnsi="Times New Roman" w:cs="Times New Roman"/>
        </w:rPr>
        <w:t>Cyanophyceae</w:t>
      </w:r>
      <w:proofErr w:type="spellEnd"/>
      <w:r w:rsidRPr="007C17D7">
        <w:rPr>
          <w:rFonts w:ascii="Times New Roman" w:hAnsi="Times New Roman" w:cs="Times New Roman"/>
        </w:rPr>
        <w:t xml:space="preserve"> suggests that the pond supports moderate nutrient availability and healthy primary productivity. Similar phytoplankton succession has been documented in freshwater ponds and reservoirs by Shetty and </w:t>
      </w:r>
      <w:proofErr w:type="spellStart"/>
      <w:r w:rsidRPr="007C17D7">
        <w:rPr>
          <w:rFonts w:ascii="Times New Roman" w:hAnsi="Times New Roman" w:cs="Times New Roman"/>
        </w:rPr>
        <w:t>Gulimane</w:t>
      </w:r>
      <w:proofErr w:type="spellEnd"/>
      <w:r w:rsidRPr="007C17D7">
        <w:rPr>
          <w:rFonts w:ascii="Times New Roman" w:hAnsi="Times New Roman" w:cs="Times New Roman"/>
        </w:rPr>
        <w:t xml:space="preserve"> (2023). The increased abundance of Bacillariophyceae during the post-monsoon season indicates improved ecological conditions, whereas higher </w:t>
      </w:r>
      <w:proofErr w:type="spellStart"/>
      <w:r w:rsidRPr="007C17D7">
        <w:rPr>
          <w:rFonts w:ascii="Times New Roman" w:hAnsi="Times New Roman" w:cs="Times New Roman"/>
        </w:rPr>
        <w:t>Cyanophyceae</w:t>
      </w:r>
      <w:proofErr w:type="spellEnd"/>
      <w:r w:rsidRPr="007C17D7">
        <w:rPr>
          <w:rFonts w:ascii="Times New Roman" w:hAnsi="Times New Roman" w:cs="Times New Roman"/>
        </w:rPr>
        <w:t xml:space="preserve"> abundance during the pre-monsoon season reflects comparatively nutrient-enriched conditions.</w:t>
      </w:r>
    </w:p>
    <w:p w14:paraId="467F4414" w14:textId="77777777" w:rsidR="00873D33" w:rsidRPr="007C17D7" w:rsidRDefault="00873D33"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The zooplankton community was dominated by </w:t>
      </w:r>
      <w:proofErr w:type="spellStart"/>
      <w:r w:rsidRPr="007C17D7">
        <w:rPr>
          <w:rFonts w:ascii="Times New Roman" w:hAnsi="Times New Roman" w:cs="Times New Roman"/>
        </w:rPr>
        <w:t>Rotifera</w:t>
      </w:r>
      <w:proofErr w:type="spellEnd"/>
      <w:r w:rsidRPr="007C17D7">
        <w:rPr>
          <w:rFonts w:ascii="Times New Roman" w:hAnsi="Times New Roman" w:cs="Times New Roman"/>
        </w:rPr>
        <w:t xml:space="preserve">, Cladocera, and </w:t>
      </w:r>
      <w:proofErr w:type="spellStart"/>
      <w:r w:rsidRPr="007C17D7">
        <w:rPr>
          <w:rFonts w:ascii="Times New Roman" w:hAnsi="Times New Roman" w:cs="Times New Roman"/>
        </w:rPr>
        <w:t>Copepoda</w:t>
      </w:r>
      <w:proofErr w:type="spellEnd"/>
      <w:r w:rsidRPr="007C17D7">
        <w:rPr>
          <w:rFonts w:ascii="Times New Roman" w:hAnsi="Times New Roman" w:cs="Times New Roman"/>
        </w:rPr>
        <w:t xml:space="preserve">, indicating favourable ecological conditions and adequate food availability. Seasonal fluctuations in zooplankton diversity were closely associated with changes in physicochemical characteristics and phytoplankton abundance. Comparable findings have been reported by </w:t>
      </w:r>
      <w:proofErr w:type="spellStart"/>
      <w:r w:rsidRPr="007C17D7">
        <w:rPr>
          <w:rFonts w:ascii="Times New Roman" w:hAnsi="Times New Roman" w:cs="Times New Roman"/>
        </w:rPr>
        <w:t>Battish</w:t>
      </w:r>
      <w:proofErr w:type="spellEnd"/>
      <w:r w:rsidRPr="007C17D7">
        <w:rPr>
          <w:rFonts w:ascii="Times New Roman" w:hAnsi="Times New Roman" w:cs="Times New Roman"/>
        </w:rPr>
        <w:t xml:space="preserve"> (1992), Sharma and Sharma (2019), and Panikkar et al. (2024).</w:t>
      </w:r>
    </w:p>
    <w:p w14:paraId="1B638CF5" w14:textId="77777777" w:rsidR="00873D33" w:rsidRPr="007C17D7" w:rsidRDefault="00873D33" w:rsidP="00B17787">
      <w:pPr>
        <w:spacing w:after="0" w:line="360" w:lineRule="auto"/>
        <w:jc w:val="both"/>
        <w:rPr>
          <w:rFonts w:ascii="Times New Roman" w:hAnsi="Times New Roman" w:cs="Times New Roman"/>
        </w:rPr>
      </w:pPr>
      <w:r w:rsidRPr="007C17D7">
        <w:rPr>
          <w:rFonts w:ascii="Times New Roman" w:hAnsi="Times New Roman" w:cs="Times New Roman"/>
        </w:rPr>
        <w:t xml:space="preserve">The biodiversity indices further supported the seasonal variation observed in plankton communities. Higher Shannon, Simpson, Margalef, and </w:t>
      </w:r>
      <w:proofErr w:type="spellStart"/>
      <w:r w:rsidRPr="007C17D7">
        <w:rPr>
          <w:rFonts w:ascii="Times New Roman" w:hAnsi="Times New Roman" w:cs="Times New Roman"/>
        </w:rPr>
        <w:t>Pielou</w:t>
      </w:r>
      <w:proofErr w:type="spellEnd"/>
      <w:r w:rsidRPr="007C17D7">
        <w:rPr>
          <w:rFonts w:ascii="Times New Roman" w:hAnsi="Times New Roman" w:cs="Times New Roman"/>
        </w:rPr>
        <w:t xml:space="preserve"> index values during the post-monsoon season indicate improved species diversity, richness, and community stability resulting from favourable environmental conditions. Conversely, comparatively lower diversity during the pre-monsoon season may be attributed to elevated temperature, reduced dissolved oxygen, and increased organic load. These findings are consistent with previous limnological studies reporting positive relationships between improved water quality and plankton diversity in tropical freshwater ecosystems.</w:t>
      </w:r>
    </w:p>
    <w:p w14:paraId="552356BD" w14:textId="77777777" w:rsidR="00873D33" w:rsidRPr="007C17D7" w:rsidRDefault="00873D33" w:rsidP="00B17787">
      <w:pPr>
        <w:spacing w:after="0" w:line="360" w:lineRule="auto"/>
        <w:jc w:val="both"/>
        <w:rPr>
          <w:rFonts w:ascii="Times New Roman" w:hAnsi="Times New Roman" w:cs="Times New Roman"/>
        </w:rPr>
      </w:pPr>
      <w:r w:rsidRPr="007C17D7">
        <w:t xml:space="preserve">The Water Quality Index (WQI) indicated that the pond water remained within acceptable quality limits during most of the study period, although slight deterioration was observed during the pre-monsoon season because of increased organic loading and reduced </w:t>
      </w:r>
      <w:r w:rsidRPr="007C17D7">
        <w:lastRenderedPageBreak/>
        <w:t>dilution capacity. Similar applications of WQI in freshwater ecosystem assessment have been reported for evaluating seasonal water quality and ecological status of freshwater ecosystems.</w:t>
      </w:r>
    </w:p>
    <w:p w14:paraId="47C3724B" w14:textId="37834F6D" w:rsidR="00873D33" w:rsidRPr="007C17D7" w:rsidRDefault="00873D33" w:rsidP="00B17787">
      <w:pPr>
        <w:spacing w:after="0" w:line="360" w:lineRule="auto"/>
        <w:jc w:val="both"/>
        <w:rPr>
          <w:rFonts w:ascii="Times New Roman" w:hAnsi="Times New Roman" w:cs="Times New Roman"/>
        </w:rPr>
      </w:pPr>
      <w:r w:rsidRPr="007C17D7">
        <w:t>Overall, the findings demonstrate that Ghanpur (Mulug) Pond maintained satisfactory ecological integrity throughout the investigation, despite pronounced seasonal variations in physicochemical parameters and biological communities. Elevated nutrient concentrations and organic load during the pre-monsoon and monsoon seasons indicated moderate environmental stress; however, improved dissolved oxygen levels, balanced plankton succession and enhanced aquatic biodiversity during the post-monsoon period reflected the ecosystem's resilience and natural recovery capacity. These findings suggest that the pond continues to function as a productive freshwater ecosystem, although sustained environmental monitoring and scientifically informed management strategies are essential to mitigate future anthropogenic pressures and ensure long-term ecological sustainability (</w:t>
      </w:r>
      <w:r w:rsidR="00462D1C" w:rsidRPr="00462D1C">
        <w:t>Central Pollution Control Board</w:t>
      </w:r>
      <w:r w:rsidRPr="007C17D7">
        <w:t xml:space="preserve">, </w:t>
      </w:r>
      <w:r w:rsidR="00462D1C">
        <w:t>n.d.</w:t>
      </w:r>
      <w:r w:rsidRPr="007C17D7">
        <w:t>; United Nations Environment Programme [UNEP], 20</w:t>
      </w:r>
      <w:r w:rsidR="00462D1C">
        <w:t>19</w:t>
      </w:r>
      <w:r w:rsidRPr="007C17D7">
        <w:t>).</w:t>
      </w:r>
    </w:p>
    <w:p w14:paraId="300474B9" w14:textId="77777777" w:rsidR="00E4390C" w:rsidRPr="007C17D7" w:rsidRDefault="00791FFE" w:rsidP="00E4390C">
      <w:pPr>
        <w:spacing w:before="100" w:beforeAutospacing="1" w:after="100" w:afterAutospacing="1" w:line="240" w:lineRule="auto"/>
        <w:rPr>
          <w:rFonts w:ascii="Times New Roman" w:eastAsia="Times New Roman" w:hAnsi="Times New Roman" w:cs="Times New Roman"/>
          <w:kern w:val="0"/>
          <w:lang w:val="en-US"/>
          <w14:ligatures w14:val="none"/>
        </w:rPr>
      </w:pPr>
      <w:r w:rsidRPr="007C17D7">
        <w:rPr>
          <w:rFonts w:ascii="Times New Roman" w:hAnsi="Times New Roman" w:cs="Times New Roman"/>
          <w:b/>
          <w:bCs/>
        </w:rPr>
        <w:t>4</w:t>
      </w:r>
      <w:r w:rsidR="004027A0" w:rsidRPr="007C17D7">
        <w:rPr>
          <w:rFonts w:ascii="Times New Roman" w:hAnsi="Times New Roman" w:cs="Times New Roman"/>
          <w:b/>
          <w:bCs/>
        </w:rPr>
        <w:t xml:space="preserve">. </w:t>
      </w:r>
      <w:r w:rsidR="00E4390C" w:rsidRPr="007C17D7">
        <w:rPr>
          <w:rFonts w:ascii="Times New Roman" w:eastAsia="Times New Roman" w:hAnsi="Times New Roman" w:cs="Times New Roman"/>
          <w:b/>
          <w:bCs/>
          <w:kern w:val="0"/>
          <w:lang w:val="en-US"/>
          <w14:ligatures w14:val="none"/>
        </w:rPr>
        <w:t>Conclusion</w:t>
      </w:r>
    </w:p>
    <w:p w14:paraId="7B0FCB69" w14:textId="77777777" w:rsidR="00F036C6" w:rsidRDefault="00F036C6" w:rsidP="00E4390C">
      <w:pPr>
        <w:spacing w:before="100" w:beforeAutospacing="1" w:after="100" w:afterAutospacing="1" w:line="240" w:lineRule="auto"/>
      </w:pPr>
      <w:r w:rsidRPr="00F036C6">
        <w:t xml:space="preserve">The study demonstrated clear seasonal variation in the physicochemical and biological characteristics of </w:t>
      </w:r>
      <w:proofErr w:type="spellStart"/>
      <w:r w:rsidRPr="00F036C6">
        <w:t>Ghanpur</w:t>
      </w:r>
      <w:proofErr w:type="spellEnd"/>
      <w:r w:rsidRPr="00F036C6">
        <w:t xml:space="preserve"> (Mulug) Pond. Pre-monsoon conditions were characterised by higher water temperature, biochemical oxygen demand, chemical oxygen demand, total dissolved solids, hardness, alkalinity and chloride, together with lower dissolved oxygen. These conditions indicate seasonal concentration of dissolved substances and moderate organic stress. During the monsoon, rainfall and runoff improved dilution and aeration but increased turbidity, nitrate and phosphate concentrations. Post-monsoon conditions were comparatively stable, with moderate temperature, improved dissolved oxygen and higher plankton diversity indices. Phytoplankton and zooplankton communities responded to these seasonal changes, supporting their usefulness as biological indicators of pond health. The Water Quality Index indicated good water quality throughout the study period, with the best status during the post-monsoon season. Overall, </w:t>
      </w:r>
      <w:proofErr w:type="spellStart"/>
      <w:r w:rsidRPr="00F036C6">
        <w:t>Ghanpur</w:t>
      </w:r>
      <w:proofErr w:type="spellEnd"/>
      <w:r w:rsidRPr="00F036C6">
        <w:t xml:space="preserve"> Pond remains ecologically productive; however, regular monitoring, control of agricultural runoff, prevention of waste discharge and protection of aquatic biodiversity are necessary for long-term sustainability.</w:t>
      </w:r>
    </w:p>
    <w:p w14:paraId="1C03FC69" w14:textId="77777777" w:rsidR="009F73AB" w:rsidRDefault="009F73AB" w:rsidP="00E4390C">
      <w:pPr>
        <w:spacing w:before="100" w:beforeAutospacing="1" w:after="100" w:afterAutospacing="1" w:line="240" w:lineRule="auto"/>
      </w:pPr>
    </w:p>
    <w:p w14:paraId="2586A1BD" w14:textId="77777777" w:rsidR="009F73AB" w:rsidRDefault="009F73AB" w:rsidP="00E4390C">
      <w:pPr>
        <w:spacing w:before="100" w:beforeAutospacing="1" w:after="100" w:afterAutospacing="1" w:line="240" w:lineRule="auto"/>
      </w:pPr>
    </w:p>
    <w:p w14:paraId="0F7C2D31" w14:textId="77777777" w:rsidR="009F73AB" w:rsidRDefault="009F73AB" w:rsidP="00E4390C">
      <w:pPr>
        <w:spacing w:before="100" w:beforeAutospacing="1" w:after="100" w:afterAutospacing="1" w:line="240" w:lineRule="auto"/>
      </w:pPr>
    </w:p>
    <w:p w14:paraId="57741E87" w14:textId="77777777" w:rsidR="009F73AB" w:rsidRDefault="009F73AB" w:rsidP="00E4390C">
      <w:pPr>
        <w:spacing w:before="100" w:beforeAutospacing="1" w:after="100" w:afterAutospacing="1" w:line="240" w:lineRule="auto"/>
      </w:pPr>
    </w:p>
    <w:p w14:paraId="2759AC4F" w14:textId="77777777" w:rsidR="009F73AB" w:rsidRDefault="009F73AB" w:rsidP="00E4390C">
      <w:pPr>
        <w:spacing w:before="100" w:beforeAutospacing="1" w:after="100" w:afterAutospacing="1" w:line="240" w:lineRule="auto"/>
      </w:pPr>
    </w:p>
    <w:p w14:paraId="05C3B3AD" w14:textId="77777777" w:rsidR="009F73AB" w:rsidRDefault="009F73AB" w:rsidP="00E4390C">
      <w:pPr>
        <w:spacing w:before="100" w:beforeAutospacing="1" w:after="100" w:afterAutospacing="1" w:line="240" w:lineRule="auto"/>
      </w:pPr>
    </w:p>
    <w:p w14:paraId="06B2E531" w14:textId="07A90ACB" w:rsidR="00E4390C" w:rsidRPr="007C17D7" w:rsidRDefault="00E4390C" w:rsidP="00E4390C">
      <w:pPr>
        <w:spacing w:before="100" w:beforeAutospacing="1" w:after="100" w:afterAutospacing="1" w:line="240" w:lineRule="auto"/>
        <w:rPr>
          <w:rFonts w:ascii="Times New Roman" w:eastAsia="Times New Roman" w:hAnsi="Times New Roman" w:cs="Times New Roman"/>
          <w:kern w:val="0"/>
          <w:lang w:val="en-US"/>
          <w14:ligatures w14:val="none"/>
        </w:rPr>
      </w:pPr>
      <w:r w:rsidRPr="007C17D7">
        <w:rPr>
          <w:rFonts w:ascii="Times New Roman" w:eastAsia="Times New Roman" w:hAnsi="Times New Roman" w:cs="Times New Roman"/>
          <w:b/>
          <w:bCs/>
          <w:kern w:val="0"/>
          <w:lang w:val="en-US"/>
          <w14:ligatures w14:val="none"/>
        </w:rPr>
        <w:t>Limitations</w:t>
      </w:r>
    </w:p>
    <w:p w14:paraId="1C06BBC7" w14:textId="55367D4E" w:rsidR="006E3B8B" w:rsidRPr="007C17D7" w:rsidRDefault="009F73AB" w:rsidP="006E3B8B">
      <w:pPr>
        <w:spacing w:after="0" w:line="360" w:lineRule="auto"/>
        <w:jc w:val="both"/>
        <w:rPr>
          <w:rFonts w:ascii="Times New Roman" w:hAnsi="Times New Roman" w:cs="Times New Roman"/>
          <w:b/>
          <w:bCs/>
        </w:rPr>
      </w:pPr>
      <w:r w:rsidRPr="009F73AB">
        <w:t xml:space="preserve">This study was limited to one annual cycle; therefore, longer-term monitoring is required to confirm seasonal trends. Biological observations were mainly qualitative, and detailed species-wise abundance, density and station-wise monthly data were not fully presented. As a result, biodiversity indices should be interpreted as indicative rather than fully quantitative. The study also did not include detailed assessment of sediment quality, microbial load or anthropogenic input sources. Future investigations should incorporate long-term sampling, quantitative plankton and faunal counts, complete species inventories and broader ecological parameters to strengthen the assessment of </w:t>
      </w:r>
      <w:proofErr w:type="spellStart"/>
      <w:r w:rsidRPr="009F73AB">
        <w:t>Ghanpur</w:t>
      </w:r>
      <w:proofErr w:type="spellEnd"/>
      <w:r w:rsidRPr="009F73AB">
        <w:t xml:space="preserve"> (Mulug) Pond.</w:t>
      </w:r>
    </w:p>
    <w:p w14:paraId="495E7ECF" w14:textId="77777777" w:rsidR="008659BD" w:rsidRPr="007C17D7" w:rsidRDefault="008659BD" w:rsidP="00573AF7">
      <w:pPr>
        <w:spacing w:after="0" w:line="360" w:lineRule="auto"/>
        <w:jc w:val="both"/>
        <w:rPr>
          <w:rFonts w:ascii="Times New Roman" w:hAnsi="Times New Roman" w:cs="Times New Roman"/>
          <w:b/>
          <w:bCs/>
        </w:rPr>
      </w:pPr>
    </w:p>
    <w:p w14:paraId="4933A9E9" w14:textId="77777777" w:rsidR="006E3B8B" w:rsidRPr="007C17D7" w:rsidRDefault="006E3B8B" w:rsidP="00573AF7">
      <w:pPr>
        <w:spacing w:after="0" w:line="360" w:lineRule="auto"/>
        <w:jc w:val="both"/>
        <w:rPr>
          <w:rFonts w:ascii="Times New Roman" w:hAnsi="Times New Roman" w:cs="Times New Roman"/>
          <w:b/>
          <w:bCs/>
        </w:rPr>
      </w:pPr>
      <w:r w:rsidRPr="007C17D7">
        <w:rPr>
          <w:rFonts w:ascii="Times New Roman" w:hAnsi="Times New Roman" w:cs="Times New Roman"/>
          <w:b/>
          <w:bCs/>
        </w:rPr>
        <w:t>ABBREVIATIONS:</w:t>
      </w:r>
    </w:p>
    <w:p w14:paraId="5E0A19E6" w14:textId="77777777" w:rsidR="006E3B8B" w:rsidRPr="007C17D7" w:rsidRDefault="006E3B8B" w:rsidP="002D38B5">
      <w:pPr>
        <w:spacing w:line="360" w:lineRule="auto"/>
        <w:jc w:val="both"/>
        <w:rPr>
          <w:rFonts w:ascii="Times New Roman" w:hAnsi="Times New Roman" w:cs="Times New Roman"/>
        </w:rPr>
      </w:pPr>
      <w:r w:rsidRPr="007C17D7">
        <w:t>The following abbreviations are used throughout this manuscript: DO, dissolved oxygen; BOD, biochemical oxygen demand; COD, chemical oxygen demand; TDS, total dissolved solids; WQI, Water Quality Index; ANOVA, analysis of variance; APHA, American Public Health Association; NTU, nephelometric turbidity unit; and MSL, mean sea level.</w:t>
      </w:r>
    </w:p>
    <w:p w14:paraId="4490669E" w14:textId="77777777" w:rsidR="00CF75EA" w:rsidRPr="007C17D7" w:rsidRDefault="00CF75EA" w:rsidP="002D38B5">
      <w:pPr>
        <w:spacing w:line="360" w:lineRule="auto"/>
        <w:jc w:val="both"/>
        <w:rPr>
          <w:rFonts w:ascii="Times New Roman" w:eastAsia="Calibri" w:hAnsi="Times New Roman" w:cs="Times New Roman"/>
          <w:b/>
          <w:kern w:val="0"/>
          <w:lang w:val="en-US"/>
          <w14:ligatures w14:val="none"/>
        </w:rPr>
      </w:pPr>
      <w:r w:rsidRPr="007C17D7">
        <w:rPr>
          <w:rFonts w:ascii="Times New Roman" w:eastAsia="Calibri" w:hAnsi="Times New Roman" w:cs="Times New Roman"/>
          <w:b/>
          <w:kern w:val="0"/>
          <w:lang w:val="en-US"/>
          <w14:ligatures w14:val="none"/>
        </w:rPr>
        <w:t>Declaration of AI Use</w:t>
      </w:r>
    </w:p>
    <w:p w14:paraId="72BDA1F9" w14:textId="77777777" w:rsidR="00CF75EA" w:rsidRPr="007C17D7" w:rsidRDefault="00CF75EA" w:rsidP="002D38B5">
      <w:pPr>
        <w:spacing w:line="360" w:lineRule="auto"/>
        <w:jc w:val="both"/>
        <w:rPr>
          <w:rFonts w:ascii="Times New Roman" w:eastAsia="Calibri" w:hAnsi="Times New Roman" w:cs="Times New Roman"/>
          <w:kern w:val="0"/>
          <w:lang w:val="en-US"/>
          <w14:ligatures w14:val="none"/>
        </w:rPr>
      </w:pPr>
      <w:r w:rsidRPr="007C17D7">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FFBC0D8" w14:textId="77777777" w:rsidR="007C1888" w:rsidRPr="007C17D7" w:rsidRDefault="009A2778" w:rsidP="002D38B5">
      <w:pPr>
        <w:spacing w:line="360" w:lineRule="auto"/>
        <w:jc w:val="both"/>
        <w:rPr>
          <w:rFonts w:ascii="Times New Roman" w:hAnsi="Times New Roman" w:cs="Times New Roman"/>
          <w:b/>
          <w:bCs/>
        </w:rPr>
      </w:pPr>
      <w:r w:rsidRPr="007C17D7">
        <w:rPr>
          <w:rFonts w:ascii="Times New Roman" w:hAnsi="Times New Roman" w:cs="Times New Roman"/>
          <w:b/>
          <w:bCs/>
        </w:rPr>
        <w:t xml:space="preserve">5. </w:t>
      </w:r>
      <w:r w:rsidR="007C1888" w:rsidRPr="007C17D7">
        <w:rPr>
          <w:rFonts w:ascii="Times New Roman" w:hAnsi="Times New Roman" w:cs="Times New Roman"/>
          <w:b/>
          <w:bCs/>
        </w:rPr>
        <w:t>Ethical Approval</w:t>
      </w:r>
    </w:p>
    <w:p w14:paraId="2822142F" w14:textId="77777777" w:rsidR="007C1888" w:rsidRPr="007C17D7" w:rsidRDefault="007C1888" w:rsidP="00573AF7">
      <w:pPr>
        <w:spacing w:line="360" w:lineRule="auto"/>
        <w:jc w:val="both"/>
        <w:rPr>
          <w:rFonts w:ascii="Times New Roman" w:hAnsi="Times New Roman" w:cs="Times New Roman"/>
        </w:rPr>
      </w:pPr>
      <w:r w:rsidRPr="007C17D7">
        <w:rPr>
          <w:rFonts w:ascii="Times New Roman" w:hAnsi="Times New Roman" w:cs="Times New Roman"/>
        </w:rPr>
        <w:lastRenderedPageBreak/>
        <w:t>For this limnological study, use</w:t>
      </w:r>
      <w:r w:rsidR="00311C8A" w:rsidRPr="007C17D7">
        <w:rPr>
          <w:rFonts w:ascii="Times New Roman" w:hAnsi="Times New Roman" w:cs="Times New Roman"/>
        </w:rPr>
        <w:t xml:space="preserve"> </w:t>
      </w:r>
      <w:r w:rsidRPr="007C17D7">
        <w:rPr>
          <w:rFonts w:ascii="Times New Roman" w:hAnsi="Times New Roman" w:cs="Times New Roman"/>
        </w:rPr>
        <w:t>Ethical approval was not required for this study as it involved environmental monitoring of freshwater ecosystems and did not include human participants or experimental animals.</w:t>
      </w:r>
    </w:p>
    <w:p w14:paraId="3E6D1056" w14:textId="7B0E2CD0" w:rsidR="006E3B8B" w:rsidRPr="007C17D7" w:rsidRDefault="006E3B8B" w:rsidP="00573AF7">
      <w:pPr>
        <w:spacing w:after="200" w:line="360" w:lineRule="auto"/>
        <w:rPr>
          <w:rFonts w:ascii="Times New Roman" w:eastAsia="Times New Roman" w:hAnsi="Times New Roman" w:cs="Times New Roman"/>
          <w:b/>
          <w:bCs/>
          <w:kern w:val="0"/>
          <w:sz w:val="22"/>
          <w:szCs w:val="22"/>
          <w:lang w:val="en-GB" w:eastAsia="en-GB"/>
          <w14:ligatures w14:val="none"/>
        </w:rPr>
      </w:pPr>
      <w:r w:rsidRPr="007C17D7">
        <w:rPr>
          <w:rFonts w:ascii="Times New Roman" w:eastAsia="Times New Roman" w:hAnsi="Times New Roman" w:cs="Times New Roman"/>
          <w:b/>
          <w:bCs/>
          <w:kern w:val="0"/>
          <w:sz w:val="22"/>
          <w:szCs w:val="22"/>
          <w:lang w:val="en-GB" w:eastAsia="en-GB"/>
          <w14:ligatures w14:val="none"/>
        </w:rPr>
        <w:t>COMPETING INTERESTS:</w:t>
      </w:r>
    </w:p>
    <w:p w14:paraId="79189518" w14:textId="77777777" w:rsidR="006E3B8B" w:rsidRPr="007C17D7" w:rsidRDefault="006E3B8B" w:rsidP="00573AF7">
      <w:pPr>
        <w:spacing w:after="200" w:line="360" w:lineRule="auto"/>
        <w:jc w:val="both"/>
        <w:rPr>
          <w:rFonts w:ascii="Calibri" w:eastAsia="Times New Roman" w:hAnsi="Calibri" w:cs="Times New Roman"/>
          <w:kern w:val="0"/>
          <w:sz w:val="22"/>
          <w:szCs w:val="22"/>
          <w:lang w:val="en-GB" w:eastAsia="en-GB"/>
          <w14:ligatures w14:val="none"/>
        </w:rPr>
      </w:pPr>
      <w:r w:rsidRPr="007C17D7">
        <w:rPr>
          <w:rFonts w:ascii="Arial" w:eastAsia="Times New Roman" w:hAnsi="Arial" w:cs="Arial"/>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3F1CC277" w14:textId="77777777" w:rsidR="006E3B8B" w:rsidRPr="007C17D7" w:rsidRDefault="006E3B8B" w:rsidP="00B17787">
      <w:pPr>
        <w:spacing w:line="360" w:lineRule="auto"/>
        <w:jc w:val="both"/>
        <w:rPr>
          <w:rFonts w:ascii="Times New Roman" w:hAnsi="Times New Roman" w:cs="Times New Roman"/>
        </w:rPr>
      </w:pPr>
    </w:p>
    <w:p w14:paraId="4D5D15BD" w14:textId="77777777" w:rsidR="004027A0" w:rsidRDefault="004027A0" w:rsidP="00B17787">
      <w:pPr>
        <w:spacing w:line="360" w:lineRule="auto"/>
        <w:rPr>
          <w:rFonts w:ascii="Times New Roman" w:hAnsi="Times New Roman" w:cs="Times New Roman"/>
          <w:b/>
          <w:bCs/>
        </w:rPr>
      </w:pPr>
      <w:r w:rsidRPr="007C17D7">
        <w:rPr>
          <w:rFonts w:ascii="Times New Roman" w:hAnsi="Times New Roman" w:cs="Times New Roman"/>
          <w:b/>
          <w:bCs/>
        </w:rPr>
        <w:t xml:space="preserve">REFERENCES </w:t>
      </w:r>
    </w:p>
    <w:p w14:paraId="39670D57" w14:textId="0ECA750F"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r w:rsidRPr="00462D1C">
        <w:rPr>
          <w:rFonts w:ascii="Times New Roman" w:eastAsia="Times New Roman" w:hAnsi="Times New Roman" w:cs="Times New Roman"/>
          <w:kern w:val="0"/>
          <w:lang w:val="en-US"/>
          <w14:ligatures w14:val="none"/>
        </w:rPr>
        <w:t>Bogardi</w:t>
      </w:r>
      <w:proofErr w:type="gramEnd"/>
      <w:r w:rsidRPr="00462D1C">
        <w:rPr>
          <w:rFonts w:ascii="Times New Roman" w:eastAsia="Times New Roman" w:hAnsi="Times New Roman" w:cs="Times New Roman"/>
          <w:kern w:val="0"/>
          <w:lang w:val="en-US"/>
          <w14:ligatures w14:val="none"/>
        </w:rPr>
        <w:t xml:space="preserve">, J. J., </w:t>
      </w:r>
      <w:proofErr w:type="spellStart"/>
      <w:r w:rsidRPr="00462D1C">
        <w:rPr>
          <w:rFonts w:ascii="Times New Roman" w:eastAsia="Times New Roman" w:hAnsi="Times New Roman" w:cs="Times New Roman"/>
          <w:kern w:val="0"/>
          <w:lang w:val="en-US"/>
          <w14:ligatures w14:val="none"/>
        </w:rPr>
        <w:t>Leentvaar</w:t>
      </w:r>
      <w:proofErr w:type="spellEnd"/>
      <w:r w:rsidRPr="00462D1C">
        <w:rPr>
          <w:rFonts w:ascii="Times New Roman" w:eastAsia="Times New Roman" w:hAnsi="Times New Roman" w:cs="Times New Roman"/>
          <w:kern w:val="0"/>
          <w:lang w:val="en-US"/>
          <w14:ligatures w14:val="none"/>
        </w:rPr>
        <w:t xml:space="preserve">, J., &amp; Sebesvári, Z. (2020). </w:t>
      </w:r>
      <w:proofErr w:type="spellStart"/>
      <w:r w:rsidRPr="00462D1C">
        <w:rPr>
          <w:rFonts w:ascii="Times New Roman" w:eastAsia="Times New Roman" w:hAnsi="Times New Roman" w:cs="Times New Roman"/>
          <w:kern w:val="0"/>
          <w:lang w:val="en-US"/>
          <w14:ligatures w14:val="none"/>
        </w:rPr>
        <w:t>Biologia</w:t>
      </w:r>
      <w:proofErr w:type="spellEnd"/>
      <w:r w:rsidRPr="00462D1C">
        <w:rPr>
          <w:rFonts w:ascii="Times New Roman" w:eastAsia="Times New Roman" w:hAnsi="Times New Roman" w:cs="Times New Roman"/>
          <w:kern w:val="0"/>
          <w:lang w:val="en-US"/>
          <w14:ligatures w14:val="none"/>
        </w:rPr>
        <w:t xml:space="preserve"> Futura: Integrating freshwater ecosystem health in water resources management. </w:t>
      </w:r>
      <w:proofErr w:type="spellStart"/>
      <w:r w:rsidRPr="00462D1C">
        <w:rPr>
          <w:rFonts w:ascii="Times New Roman" w:eastAsia="Times New Roman" w:hAnsi="Times New Roman" w:cs="Times New Roman"/>
          <w:i/>
          <w:iCs/>
          <w:kern w:val="0"/>
          <w:lang w:val="en-US"/>
          <w14:ligatures w14:val="none"/>
        </w:rPr>
        <w:t>Biologia</w:t>
      </w:r>
      <w:proofErr w:type="spellEnd"/>
      <w:r w:rsidRPr="00462D1C">
        <w:rPr>
          <w:rFonts w:ascii="Times New Roman" w:eastAsia="Times New Roman" w:hAnsi="Times New Roman" w:cs="Times New Roman"/>
          <w:i/>
          <w:iCs/>
          <w:kern w:val="0"/>
          <w:lang w:val="en-US"/>
          <w14:ligatures w14:val="none"/>
        </w:rPr>
        <w:t xml:space="preserve"> Futura, 71</w:t>
      </w:r>
      <w:r w:rsidRPr="00462D1C">
        <w:rPr>
          <w:rFonts w:ascii="Times New Roman" w:eastAsia="Times New Roman" w:hAnsi="Times New Roman" w:cs="Times New Roman"/>
          <w:kern w:val="0"/>
          <w:lang w:val="en-US"/>
          <w14:ligatures w14:val="none"/>
        </w:rPr>
        <w:t>, 337–358. https://doi.org/10.1007/s42977-020-00031-7</w:t>
      </w:r>
    </w:p>
    <w:p w14:paraId="41778704"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American</w:t>
      </w:r>
      <w:proofErr w:type="gramEnd"/>
      <w:r w:rsidRPr="00F150AC">
        <w:rPr>
          <w:rFonts w:ascii="Times New Roman" w:eastAsia="Times New Roman" w:hAnsi="Times New Roman" w:cs="Times New Roman"/>
          <w:kern w:val="0"/>
          <w:lang w:val="en-US"/>
          <w14:ligatures w14:val="none"/>
        </w:rPr>
        <w:t xml:space="preserve"> Public Health Association, American Water Works Association, &amp; Water Environment Federation. (2017). </w:t>
      </w:r>
      <w:r w:rsidRPr="00F150AC">
        <w:rPr>
          <w:rFonts w:ascii="Times New Roman" w:eastAsia="Times New Roman" w:hAnsi="Times New Roman" w:cs="Times New Roman"/>
          <w:i/>
          <w:iCs/>
          <w:kern w:val="0"/>
          <w:lang w:val="en-US"/>
          <w14:ligatures w14:val="none"/>
        </w:rPr>
        <w:t>Standard methods for the examination of water and wastewater</w:t>
      </w:r>
      <w:r w:rsidRPr="00F150AC">
        <w:rPr>
          <w:rFonts w:ascii="Times New Roman" w:eastAsia="Times New Roman" w:hAnsi="Times New Roman" w:cs="Times New Roman"/>
          <w:kern w:val="0"/>
          <w:lang w:val="en-US"/>
          <w14:ligatures w14:val="none"/>
        </w:rPr>
        <w:t xml:space="preserve"> (23rd ed.). American Public Health Association. </w:t>
      </w:r>
      <w:hyperlink r:id="rId9" w:tgtFrame="_new" w:history="1">
        <w:r w:rsidRPr="00F150AC">
          <w:rPr>
            <w:rFonts w:ascii="Times New Roman" w:eastAsia="Times New Roman" w:hAnsi="Times New Roman" w:cs="Times New Roman"/>
            <w:color w:val="0000FF"/>
            <w:kern w:val="0"/>
            <w:u w:val="single"/>
            <w:lang w:val="en-US"/>
            <w14:ligatures w14:val="none"/>
          </w:rPr>
          <w:t>https://www.standardmethods.org</w:t>
        </w:r>
      </w:hyperlink>
      <w:r w:rsidRPr="00F150AC">
        <w:rPr>
          <w:rFonts w:ascii="Times New Roman" w:eastAsia="Times New Roman" w:hAnsi="Times New Roman" w:cs="Times New Roman"/>
          <w:kern w:val="0"/>
          <w:lang w:val="en-US"/>
          <w14:ligatures w14:val="none"/>
        </w:rPr>
        <w:t xml:space="preserve"> </w:t>
      </w:r>
    </w:p>
    <w:p w14:paraId="21837813"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Aravinth</w:t>
      </w:r>
      <w:proofErr w:type="gramEnd"/>
      <w:r w:rsidRPr="00F150AC">
        <w:rPr>
          <w:rFonts w:ascii="Times New Roman" w:eastAsia="Times New Roman" w:hAnsi="Times New Roman" w:cs="Times New Roman"/>
          <w:kern w:val="0"/>
          <w:lang w:val="en-US"/>
          <w14:ligatures w14:val="none"/>
        </w:rPr>
        <w:t xml:space="preserve">, A., Kannan, R., Chinnadurai, G., Manickam, N., Raju, P., Perumal, P., &amp; Santhanam, P. (2023). Temporal changes in plankton diversity in relation to hydrographical characteristics at Perumal Lake, </w:t>
      </w:r>
      <w:proofErr w:type="spellStart"/>
      <w:r w:rsidRPr="00F150AC">
        <w:rPr>
          <w:rFonts w:ascii="Times New Roman" w:eastAsia="Times New Roman" w:hAnsi="Times New Roman" w:cs="Times New Roman"/>
          <w:kern w:val="0"/>
          <w:lang w:val="en-US"/>
          <w14:ligatures w14:val="none"/>
        </w:rPr>
        <w:t>Cuddalore</w:t>
      </w:r>
      <w:proofErr w:type="spellEnd"/>
      <w:r w:rsidRPr="00F150AC">
        <w:rPr>
          <w:rFonts w:ascii="Times New Roman" w:eastAsia="Times New Roman" w:hAnsi="Times New Roman" w:cs="Times New Roman"/>
          <w:kern w:val="0"/>
          <w:lang w:val="en-US"/>
          <w14:ligatures w14:val="none"/>
        </w:rPr>
        <w:t xml:space="preserve"> District, Tamil Nadu, India. </w:t>
      </w:r>
      <w:r w:rsidRPr="00F150AC">
        <w:rPr>
          <w:rFonts w:ascii="Times New Roman" w:eastAsia="Times New Roman" w:hAnsi="Times New Roman" w:cs="Times New Roman"/>
          <w:i/>
          <w:iCs/>
          <w:kern w:val="0"/>
          <w:lang w:val="en-US"/>
          <w14:ligatures w14:val="none"/>
        </w:rPr>
        <w:t>The Journal of Basic and Applied Zoology, 84</w:t>
      </w:r>
      <w:r w:rsidRPr="00F150AC">
        <w:rPr>
          <w:rFonts w:ascii="Times New Roman" w:eastAsia="Times New Roman" w:hAnsi="Times New Roman" w:cs="Times New Roman"/>
          <w:kern w:val="0"/>
          <w:lang w:val="en-US"/>
          <w14:ligatures w14:val="none"/>
        </w:rPr>
        <w:t xml:space="preserve">, 13. </w:t>
      </w:r>
      <w:hyperlink r:id="rId10" w:tgtFrame="_new" w:history="1">
        <w:r w:rsidRPr="00F150AC">
          <w:rPr>
            <w:rFonts w:ascii="Times New Roman" w:eastAsia="Times New Roman" w:hAnsi="Times New Roman" w:cs="Times New Roman"/>
            <w:color w:val="0000FF"/>
            <w:kern w:val="0"/>
            <w:u w:val="single"/>
            <w:lang w:val="en-US"/>
            <w14:ligatures w14:val="none"/>
          </w:rPr>
          <w:t>https://doi.org/10.1186/s41936-023-00337-7</w:t>
        </w:r>
      </w:hyperlink>
      <w:r w:rsidRPr="00F150AC">
        <w:rPr>
          <w:rFonts w:ascii="Times New Roman" w:eastAsia="Times New Roman" w:hAnsi="Times New Roman" w:cs="Times New Roman"/>
          <w:kern w:val="0"/>
          <w:lang w:val="en-US"/>
          <w14:ligatures w14:val="none"/>
        </w:rPr>
        <w:t xml:space="preserve"> </w:t>
      </w:r>
    </w:p>
    <w:p w14:paraId="4BA23FA7"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proofErr w:type="spellStart"/>
      <w:r w:rsidRPr="00F150AC">
        <w:rPr>
          <w:rFonts w:ascii="Times New Roman" w:eastAsia="Times New Roman" w:hAnsi="Times New Roman" w:cs="Times New Roman"/>
          <w:kern w:val="0"/>
          <w:lang w:val="en-US"/>
          <w14:ligatures w14:val="none"/>
        </w:rPr>
        <w:t>Battish</w:t>
      </w:r>
      <w:proofErr w:type="spellEnd"/>
      <w:proofErr w:type="gramEnd"/>
      <w:r w:rsidRPr="00F150AC">
        <w:rPr>
          <w:rFonts w:ascii="Times New Roman" w:eastAsia="Times New Roman" w:hAnsi="Times New Roman" w:cs="Times New Roman"/>
          <w:kern w:val="0"/>
          <w:lang w:val="en-US"/>
          <w14:ligatures w14:val="none"/>
        </w:rPr>
        <w:t xml:space="preserve">, S. K. (1992). </w:t>
      </w:r>
      <w:r w:rsidRPr="00F150AC">
        <w:rPr>
          <w:rFonts w:ascii="Times New Roman" w:eastAsia="Times New Roman" w:hAnsi="Times New Roman" w:cs="Times New Roman"/>
          <w:i/>
          <w:iCs/>
          <w:kern w:val="0"/>
          <w:lang w:val="en-US"/>
          <w14:ligatures w14:val="none"/>
        </w:rPr>
        <w:t>Freshwater zooplankton of India</w:t>
      </w:r>
      <w:r w:rsidRPr="00F150AC">
        <w:rPr>
          <w:rFonts w:ascii="Times New Roman" w:eastAsia="Times New Roman" w:hAnsi="Times New Roman" w:cs="Times New Roman"/>
          <w:kern w:val="0"/>
          <w:lang w:val="en-US"/>
          <w14:ligatures w14:val="none"/>
        </w:rPr>
        <w:t xml:space="preserve">. Oxford &amp; IBH Publishing. </w:t>
      </w:r>
      <w:hyperlink r:id="rId11" w:tgtFrame="_new" w:history="1">
        <w:r w:rsidRPr="00F150AC">
          <w:rPr>
            <w:rFonts w:ascii="Times New Roman" w:eastAsia="Times New Roman" w:hAnsi="Times New Roman" w:cs="Times New Roman"/>
            <w:color w:val="0000FF"/>
            <w:kern w:val="0"/>
            <w:u w:val="single"/>
            <w:lang w:val="en-US"/>
            <w14:ligatures w14:val="none"/>
          </w:rPr>
          <w:t>https://library.nehu.ac.in/bib/37073</w:t>
        </w:r>
      </w:hyperlink>
      <w:r w:rsidRPr="00F150AC">
        <w:rPr>
          <w:rFonts w:ascii="Times New Roman" w:eastAsia="Times New Roman" w:hAnsi="Times New Roman" w:cs="Times New Roman"/>
          <w:kern w:val="0"/>
          <w:lang w:val="en-US"/>
          <w14:ligatures w14:val="none"/>
        </w:rPr>
        <w:t xml:space="preserve"> </w:t>
      </w:r>
    </w:p>
    <w:p w14:paraId="2A70BFD6"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Carlson</w:t>
      </w:r>
      <w:proofErr w:type="gramEnd"/>
      <w:r w:rsidRPr="00F150AC">
        <w:rPr>
          <w:rFonts w:ascii="Times New Roman" w:eastAsia="Times New Roman" w:hAnsi="Times New Roman" w:cs="Times New Roman"/>
          <w:kern w:val="0"/>
          <w:lang w:val="en-US"/>
          <w14:ligatures w14:val="none"/>
        </w:rPr>
        <w:t xml:space="preserve">, R. E. (1977). A trophic state index for lakes. </w:t>
      </w:r>
      <w:r w:rsidRPr="00F150AC">
        <w:rPr>
          <w:rFonts w:ascii="Times New Roman" w:eastAsia="Times New Roman" w:hAnsi="Times New Roman" w:cs="Times New Roman"/>
          <w:i/>
          <w:iCs/>
          <w:kern w:val="0"/>
          <w:lang w:val="en-US"/>
          <w14:ligatures w14:val="none"/>
        </w:rPr>
        <w:t>Limnology and Oceanography, 22</w:t>
      </w:r>
      <w:r w:rsidRPr="00F150AC">
        <w:rPr>
          <w:rFonts w:ascii="Times New Roman" w:eastAsia="Times New Roman" w:hAnsi="Times New Roman" w:cs="Times New Roman"/>
          <w:kern w:val="0"/>
          <w:lang w:val="en-US"/>
          <w14:ligatures w14:val="none"/>
        </w:rPr>
        <w:t xml:space="preserve">(2), 361–369. </w:t>
      </w:r>
      <w:hyperlink r:id="rId12" w:tgtFrame="_new" w:history="1">
        <w:r w:rsidRPr="00F150AC">
          <w:rPr>
            <w:rFonts w:ascii="Times New Roman" w:eastAsia="Times New Roman" w:hAnsi="Times New Roman" w:cs="Times New Roman"/>
            <w:color w:val="0000FF"/>
            <w:kern w:val="0"/>
            <w:u w:val="single"/>
            <w:lang w:val="en-US"/>
            <w14:ligatures w14:val="none"/>
          </w:rPr>
          <w:t>https://doi.org/10.4319/lo.1977.22.2.0361</w:t>
        </w:r>
      </w:hyperlink>
      <w:r w:rsidRPr="00F150AC">
        <w:rPr>
          <w:rFonts w:ascii="Times New Roman" w:eastAsia="Times New Roman" w:hAnsi="Times New Roman" w:cs="Times New Roman"/>
          <w:kern w:val="0"/>
          <w:lang w:val="en-US"/>
          <w14:ligatures w14:val="none"/>
        </w:rPr>
        <w:t xml:space="preserve"> </w:t>
      </w:r>
    </w:p>
    <w:p w14:paraId="427C4A3C"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Dodds</w:t>
      </w:r>
      <w:proofErr w:type="gramEnd"/>
      <w:r w:rsidRPr="00F150AC">
        <w:rPr>
          <w:rFonts w:ascii="Times New Roman" w:eastAsia="Times New Roman" w:hAnsi="Times New Roman" w:cs="Times New Roman"/>
          <w:kern w:val="0"/>
          <w:lang w:val="en-US"/>
          <w14:ligatures w14:val="none"/>
        </w:rPr>
        <w:t xml:space="preserve">, W. K., &amp; Smith, V. H. (2016). Nitrogen, phosphorus, and eutrophication in streams. </w:t>
      </w:r>
      <w:r w:rsidRPr="00F150AC">
        <w:rPr>
          <w:rFonts w:ascii="Times New Roman" w:eastAsia="Times New Roman" w:hAnsi="Times New Roman" w:cs="Times New Roman"/>
          <w:i/>
          <w:iCs/>
          <w:kern w:val="0"/>
          <w:lang w:val="en-US"/>
          <w14:ligatures w14:val="none"/>
        </w:rPr>
        <w:t>Inland Waters, 6</w:t>
      </w:r>
      <w:r w:rsidRPr="00F150AC">
        <w:rPr>
          <w:rFonts w:ascii="Times New Roman" w:eastAsia="Times New Roman" w:hAnsi="Times New Roman" w:cs="Times New Roman"/>
          <w:kern w:val="0"/>
          <w:lang w:val="en-US"/>
          <w14:ligatures w14:val="none"/>
        </w:rPr>
        <w:t xml:space="preserve">(2), 155–164. </w:t>
      </w:r>
      <w:hyperlink r:id="rId13" w:tgtFrame="_new" w:history="1">
        <w:r w:rsidRPr="00F150AC">
          <w:rPr>
            <w:rFonts w:ascii="Times New Roman" w:eastAsia="Times New Roman" w:hAnsi="Times New Roman" w:cs="Times New Roman"/>
            <w:color w:val="0000FF"/>
            <w:kern w:val="0"/>
            <w:u w:val="single"/>
            <w:lang w:val="en-US"/>
            <w14:ligatures w14:val="none"/>
          </w:rPr>
          <w:t>https://doi.org/10.5268/IW-6.2.909</w:t>
        </w:r>
      </w:hyperlink>
      <w:r w:rsidRPr="00F150AC">
        <w:rPr>
          <w:rFonts w:ascii="Times New Roman" w:eastAsia="Times New Roman" w:hAnsi="Times New Roman" w:cs="Times New Roman"/>
          <w:kern w:val="0"/>
          <w:lang w:val="en-US"/>
          <w14:ligatures w14:val="none"/>
        </w:rPr>
        <w:t xml:space="preserve"> </w:t>
      </w:r>
    </w:p>
    <w:p w14:paraId="3538C34D" w14:textId="21B82CF4"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Dodds</w:t>
      </w:r>
      <w:proofErr w:type="gramEnd"/>
      <w:r w:rsidRPr="00F150AC">
        <w:rPr>
          <w:rFonts w:ascii="Times New Roman" w:eastAsia="Times New Roman" w:hAnsi="Times New Roman" w:cs="Times New Roman"/>
          <w:kern w:val="0"/>
          <w:lang w:val="en-US"/>
          <w14:ligatures w14:val="none"/>
        </w:rPr>
        <w:t xml:space="preserve">, W. K., &amp; Whiles, M. R. (2017). </w:t>
      </w:r>
      <w:r w:rsidRPr="00F150AC">
        <w:rPr>
          <w:rFonts w:ascii="Times New Roman" w:eastAsia="Times New Roman" w:hAnsi="Times New Roman" w:cs="Times New Roman"/>
          <w:i/>
          <w:iCs/>
          <w:kern w:val="0"/>
          <w:lang w:val="en-US"/>
          <w14:ligatures w14:val="none"/>
        </w:rPr>
        <w:t>Freshwater ecology: Concepts and environmental applications of limnology</w:t>
      </w:r>
      <w:r w:rsidRPr="00F150AC">
        <w:rPr>
          <w:rFonts w:ascii="Times New Roman" w:eastAsia="Times New Roman" w:hAnsi="Times New Roman" w:cs="Times New Roman"/>
          <w:kern w:val="0"/>
          <w:lang w:val="en-US"/>
          <w14:ligatures w14:val="none"/>
        </w:rPr>
        <w:t xml:space="preserve"> (3rd ed.). Academic Press. https://doi.org/10.1016/C2016-0-03667-7 </w:t>
      </w:r>
    </w:p>
    <w:p w14:paraId="5DA94334"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Garai</w:t>
      </w:r>
      <w:proofErr w:type="gramEnd"/>
      <w:r w:rsidRPr="00F150AC">
        <w:rPr>
          <w:rFonts w:ascii="Times New Roman" w:eastAsia="Times New Roman" w:hAnsi="Times New Roman" w:cs="Times New Roman"/>
          <w:kern w:val="0"/>
          <w:lang w:val="en-US"/>
          <w14:ligatures w14:val="none"/>
        </w:rPr>
        <w:t xml:space="preserve">, S., Mondal, A., Dey, I., Bose, R., &amp; Pal, R. (2025). Decoding the influence of water quality and seasonal shifts on phytoplankton communities in Eastern Indian freshwater waterbodies. </w:t>
      </w:r>
      <w:r w:rsidRPr="00F150AC">
        <w:rPr>
          <w:rFonts w:ascii="Times New Roman" w:eastAsia="Times New Roman" w:hAnsi="Times New Roman" w:cs="Times New Roman"/>
          <w:i/>
          <w:iCs/>
          <w:kern w:val="0"/>
          <w:lang w:val="en-US"/>
          <w14:ligatures w14:val="none"/>
        </w:rPr>
        <w:t>Limnology and Freshwater Biology, 2025</w:t>
      </w:r>
      <w:r w:rsidRPr="00F150AC">
        <w:rPr>
          <w:rFonts w:ascii="Times New Roman" w:eastAsia="Times New Roman" w:hAnsi="Times New Roman" w:cs="Times New Roman"/>
          <w:kern w:val="0"/>
          <w:lang w:val="en-US"/>
          <w14:ligatures w14:val="none"/>
        </w:rPr>
        <w:t xml:space="preserve">(3), 284–297. </w:t>
      </w:r>
      <w:hyperlink r:id="rId14" w:tgtFrame="_new" w:history="1">
        <w:r w:rsidRPr="00F150AC">
          <w:rPr>
            <w:rFonts w:ascii="Times New Roman" w:eastAsia="Times New Roman" w:hAnsi="Times New Roman" w:cs="Times New Roman"/>
            <w:color w:val="0000FF"/>
            <w:kern w:val="0"/>
            <w:u w:val="single"/>
            <w:lang w:val="en-US"/>
            <w14:ligatures w14:val="none"/>
          </w:rPr>
          <w:t>https://doi.org/10.31951/2658-3518-2025-A-3-284</w:t>
        </w:r>
      </w:hyperlink>
      <w:r w:rsidRPr="00F150AC">
        <w:rPr>
          <w:rFonts w:ascii="Times New Roman" w:eastAsia="Times New Roman" w:hAnsi="Times New Roman" w:cs="Times New Roman"/>
          <w:kern w:val="0"/>
          <w:lang w:val="en-US"/>
          <w14:ligatures w14:val="none"/>
        </w:rPr>
        <w:t xml:space="preserve"> </w:t>
      </w:r>
    </w:p>
    <w:p w14:paraId="418400C0"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International</w:t>
      </w:r>
      <w:proofErr w:type="gramEnd"/>
      <w:r w:rsidRPr="00F150AC">
        <w:rPr>
          <w:rFonts w:ascii="Times New Roman" w:eastAsia="Times New Roman" w:hAnsi="Times New Roman" w:cs="Times New Roman"/>
          <w:kern w:val="0"/>
          <w:lang w:val="en-US"/>
          <w14:ligatures w14:val="none"/>
        </w:rPr>
        <w:t xml:space="preserve"> Organization for Standardization. (2023). </w:t>
      </w:r>
      <w:r w:rsidRPr="00F150AC">
        <w:rPr>
          <w:rFonts w:ascii="Times New Roman" w:eastAsia="Times New Roman" w:hAnsi="Times New Roman" w:cs="Times New Roman"/>
          <w:i/>
          <w:iCs/>
          <w:kern w:val="0"/>
          <w:lang w:val="en-US"/>
          <w14:ligatures w14:val="none"/>
        </w:rPr>
        <w:t xml:space="preserve">ISO 5667-1:2023 Water quality — Sampling — Part 1: Guidance on the design of sampling </w:t>
      </w:r>
      <w:proofErr w:type="spellStart"/>
      <w:r w:rsidRPr="00F150AC">
        <w:rPr>
          <w:rFonts w:ascii="Times New Roman" w:eastAsia="Times New Roman" w:hAnsi="Times New Roman" w:cs="Times New Roman"/>
          <w:i/>
          <w:iCs/>
          <w:kern w:val="0"/>
          <w:lang w:val="en-US"/>
          <w14:ligatures w14:val="none"/>
        </w:rPr>
        <w:t>programmes</w:t>
      </w:r>
      <w:proofErr w:type="spellEnd"/>
      <w:r w:rsidRPr="00F150AC">
        <w:rPr>
          <w:rFonts w:ascii="Times New Roman" w:eastAsia="Times New Roman" w:hAnsi="Times New Roman" w:cs="Times New Roman"/>
          <w:i/>
          <w:iCs/>
          <w:kern w:val="0"/>
          <w:lang w:val="en-US"/>
          <w14:ligatures w14:val="none"/>
        </w:rPr>
        <w:t xml:space="preserve"> and sampling techniques</w:t>
      </w:r>
      <w:r w:rsidRPr="00F150AC">
        <w:rPr>
          <w:rFonts w:ascii="Times New Roman" w:eastAsia="Times New Roman" w:hAnsi="Times New Roman" w:cs="Times New Roman"/>
          <w:kern w:val="0"/>
          <w:lang w:val="en-US"/>
          <w14:ligatures w14:val="none"/>
        </w:rPr>
        <w:t xml:space="preserve">. International Organization for Standardization. </w:t>
      </w:r>
      <w:hyperlink r:id="rId15" w:tgtFrame="_new" w:history="1">
        <w:r w:rsidRPr="00F150AC">
          <w:rPr>
            <w:rFonts w:ascii="Times New Roman" w:eastAsia="Times New Roman" w:hAnsi="Times New Roman" w:cs="Times New Roman"/>
            <w:color w:val="0000FF"/>
            <w:kern w:val="0"/>
            <w:u w:val="single"/>
            <w:lang w:val="en-US"/>
            <w14:ligatures w14:val="none"/>
          </w:rPr>
          <w:t>https://www.iso.org/standard/84099.html</w:t>
        </w:r>
      </w:hyperlink>
      <w:r w:rsidRPr="00F150AC">
        <w:rPr>
          <w:rFonts w:ascii="Times New Roman" w:eastAsia="Times New Roman" w:hAnsi="Times New Roman" w:cs="Times New Roman"/>
          <w:kern w:val="0"/>
          <w:lang w:val="en-US"/>
          <w14:ligatures w14:val="none"/>
        </w:rPr>
        <w:t xml:space="preserve"> </w:t>
      </w:r>
    </w:p>
    <w:p w14:paraId="001D9DF2"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proofErr w:type="spellStart"/>
      <w:r w:rsidRPr="00F150AC">
        <w:rPr>
          <w:rFonts w:ascii="Times New Roman" w:eastAsia="Times New Roman" w:hAnsi="Times New Roman" w:cs="Times New Roman"/>
          <w:kern w:val="0"/>
          <w:lang w:val="en-US"/>
          <w14:ligatures w14:val="none"/>
        </w:rPr>
        <w:t>Kalff</w:t>
      </w:r>
      <w:proofErr w:type="spellEnd"/>
      <w:proofErr w:type="gramEnd"/>
      <w:r w:rsidRPr="00F150AC">
        <w:rPr>
          <w:rFonts w:ascii="Times New Roman" w:eastAsia="Times New Roman" w:hAnsi="Times New Roman" w:cs="Times New Roman"/>
          <w:kern w:val="0"/>
          <w:lang w:val="en-US"/>
          <w14:ligatures w14:val="none"/>
        </w:rPr>
        <w:t xml:space="preserve">, J. (2002). </w:t>
      </w:r>
      <w:r w:rsidRPr="00F150AC">
        <w:rPr>
          <w:rFonts w:ascii="Times New Roman" w:eastAsia="Times New Roman" w:hAnsi="Times New Roman" w:cs="Times New Roman"/>
          <w:i/>
          <w:iCs/>
          <w:kern w:val="0"/>
          <w:lang w:val="en-US"/>
          <w14:ligatures w14:val="none"/>
        </w:rPr>
        <w:t>Limnology: Inland water ecosystems</w:t>
      </w:r>
      <w:r w:rsidRPr="00F150AC">
        <w:rPr>
          <w:rFonts w:ascii="Times New Roman" w:eastAsia="Times New Roman" w:hAnsi="Times New Roman" w:cs="Times New Roman"/>
          <w:kern w:val="0"/>
          <w:lang w:val="en-US"/>
          <w14:ligatures w14:val="none"/>
        </w:rPr>
        <w:t xml:space="preserve">. Prentice Hall. https://searchworks.stanford.edu/view/4733051 </w:t>
      </w:r>
    </w:p>
    <w:p w14:paraId="0B40F860" w14:textId="438F124F"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r w:rsidRPr="00462D1C">
        <w:rPr>
          <w:rFonts w:ascii="Times New Roman" w:eastAsia="Times New Roman" w:hAnsi="Times New Roman" w:cs="Times New Roman"/>
          <w:kern w:val="0"/>
          <w:lang w:val="en-US"/>
          <w14:ligatures w14:val="none"/>
        </w:rPr>
        <w:t>Central</w:t>
      </w:r>
      <w:proofErr w:type="gramEnd"/>
      <w:r w:rsidRPr="00462D1C">
        <w:rPr>
          <w:rFonts w:ascii="Times New Roman" w:eastAsia="Times New Roman" w:hAnsi="Times New Roman" w:cs="Times New Roman"/>
          <w:kern w:val="0"/>
          <w:lang w:val="en-US"/>
          <w14:ligatures w14:val="none"/>
        </w:rPr>
        <w:t xml:space="preserve"> Pollution Control Board. (n.d.). National Water Quality Monitoring </w:t>
      </w:r>
      <w:proofErr w:type="spellStart"/>
      <w:r w:rsidRPr="00462D1C">
        <w:rPr>
          <w:rFonts w:ascii="Times New Roman" w:eastAsia="Times New Roman" w:hAnsi="Times New Roman" w:cs="Times New Roman"/>
          <w:kern w:val="0"/>
          <w:lang w:val="en-US"/>
          <w14:ligatures w14:val="none"/>
        </w:rPr>
        <w:t>Programme</w:t>
      </w:r>
      <w:proofErr w:type="spellEnd"/>
      <w:r w:rsidRPr="00462D1C">
        <w:rPr>
          <w:rFonts w:ascii="Times New Roman" w:eastAsia="Times New Roman" w:hAnsi="Times New Roman" w:cs="Times New Roman"/>
          <w:kern w:val="0"/>
          <w:lang w:val="en-US"/>
          <w14:ligatures w14:val="none"/>
        </w:rPr>
        <w:t>: NWMP monitoring network. https://cpcb.gov.in/nwmp-monitoring-network/</w:t>
      </w:r>
    </w:p>
    <w:p w14:paraId="56853BD7" w14:textId="62BE3BF6"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lastRenderedPageBreak/>
        <w:t></w:t>
      </w:r>
      <w:r w:rsidRPr="00F150AC">
        <w:rPr>
          <w:rFonts w:ascii="Times New Roman" w:eastAsia="Times New Roman" w:hAnsi="Times New Roman" w:cs="Times New Roman"/>
          <w:kern w:val="0"/>
          <w:lang w:val="en-US"/>
          <w14:ligatures w14:val="none"/>
        </w:rPr>
        <w:t xml:space="preserve">  Needham</w:t>
      </w:r>
      <w:proofErr w:type="gramEnd"/>
      <w:r w:rsidRPr="00F150AC">
        <w:rPr>
          <w:rFonts w:ascii="Times New Roman" w:eastAsia="Times New Roman" w:hAnsi="Times New Roman" w:cs="Times New Roman"/>
          <w:kern w:val="0"/>
          <w:lang w:val="en-US"/>
          <w14:ligatures w14:val="none"/>
        </w:rPr>
        <w:t xml:space="preserve">, J. G., &amp; Needham, P. R. (1962). </w:t>
      </w:r>
      <w:r w:rsidRPr="00F150AC">
        <w:rPr>
          <w:rFonts w:ascii="Times New Roman" w:eastAsia="Times New Roman" w:hAnsi="Times New Roman" w:cs="Times New Roman"/>
          <w:i/>
          <w:iCs/>
          <w:kern w:val="0"/>
          <w:lang w:val="en-US"/>
          <w14:ligatures w14:val="none"/>
        </w:rPr>
        <w:t>A guide to the study of fresh-water biology</w:t>
      </w:r>
      <w:r w:rsidRPr="00F150AC">
        <w:rPr>
          <w:rFonts w:ascii="Times New Roman" w:eastAsia="Times New Roman" w:hAnsi="Times New Roman" w:cs="Times New Roman"/>
          <w:kern w:val="0"/>
          <w:lang w:val="en-US"/>
          <w14:ligatures w14:val="none"/>
        </w:rPr>
        <w:t xml:space="preserve"> (5th ed.). Holden-Day. </w:t>
      </w:r>
    </w:p>
    <w:p w14:paraId="50557B77"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Panikkar</w:t>
      </w:r>
      <w:proofErr w:type="gramEnd"/>
      <w:r w:rsidRPr="00F150AC">
        <w:rPr>
          <w:rFonts w:ascii="Times New Roman" w:eastAsia="Times New Roman" w:hAnsi="Times New Roman" w:cs="Times New Roman"/>
          <w:kern w:val="0"/>
          <w:lang w:val="en-US"/>
          <w14:ligatures w14:val="none"/>
        </w:rPr>
        <w:t xml:space="preserve">, P., Khan, F., Ramya, V. L., Saha, A., Vijaykumar, M. E., Sarkar, U. K., Jesna, P. K., &amp; Das, B. K. (2024). Assessment of plankton diversity and </w:t>
      </w:r>
      <w:proofErr w:type="spellStart"/>
      <w:r w:rsidRPr="00F150AC">
        <w:rPr>
          <w:rFonts w:ascii="Times New Roman" w:eastAsia="Times New Roman" w:hAnsi="Times New Roman" w:cs="Times New Roman"/>
          <w:kern w:val="0"/>
          <w:lang w:val="en-US"/>
          <w14:ligatures w14:val="none"/>
        </w:rPr>
        <w:t>physico</w:t>
      </w:r>
      <w:proofErr w:type="spellEnd"/>
      <w:r w:rsidRPr="00F150AC">
        <w:rPr>
          <w:rFonts w:ascii="Times New Roman" w:eastAsia="Times New Roman" w:hAnsi="Times New Roman" w:cs="Times New Roman"/>
          <w:kern w:val="0"/>
          <w:lang w:val="en-US"/>
          <w14:ligatures w14:val="none"/>
        </w:rPr>
        <w:t xml:space="preserve">-chemical characteristics for sustainable fish production in a tropical reservoir in South India. </w:t>
      </w:r>
      <w:r w:rsidRPr="00F150AC">
        <w:rPr>
          <w:rFonts w:ascii="Times New Roman" w:eastAsia="Times New Roman" w:hAnsi="Times New Roman" w:cs="Times New Roman"/>
          <w:i/>
          <w:iCs/>
          <w:kern w:val="0"/>
          <w:lang w:val="en-US"/>
          <w14:ligatures w14:val="none"/>
        </w:rPr>
        <w:t>Indian Journal of Fisheries, 71</w:t>
      </w:r>
      <w:r w:rsidRPr="00F150AC">
        <w:rPr>
          <w:rFonts w:ascii="Times New Roman" w:eastAsia="Times New Roman" w:hAnsi="Times New Roman" w:cs="Times New Roman"/>
          <w:kern w:val="0"/>
          <w:lang w:val="en-US"/>
          <w14:ligatures w14:val="none"/>
        </w:rPr>
        <w:t xml:space="preserve">(3), 38–47. </w:t>
      </w:r>
      <w:hyperlink r:id="rId16" w:tgtFrame="_new" w:history="1">
        <w:r w:rsidRPr="00F150AC">
          <w:rPr>
            <w:rFonts w:ascii="Times New Roman" w:eastAsia="Times New Roman" w:hAnsi="Times New Roman" w:cs="Times New Roman"/>
            <w:color w:val="0000FF"/>
            <w:kern w:val="0"/>
            <w:u w:val="single"/>
            <w:lang w:val="en-US"/>
            <w14:ligatures w14:val="none"/>
          </w:rPr>
          <w:t>https://doi.org/10.21077/ijf.2024.71.3.147246-05</w:t>
        </w:r>
      </w:hyperlink>
      <w:r w:rsidRPr="00F150AC">
        <w:rPr>
          <w:rFonts w:ascii="Times New Roman" w:eastAsia="Times New Roman" w:hAnsi="Times New Roman" w:cs="Times New Roman"/>
          <w:kern w:val="0"/>
          <w:lang w:val="en-US"/>
          <w14:ligatures w14:val="none"/>
        </w:rPr>
        <w:t xml:space="preserve"> </w:t>
      </w:r>
    </w:p>
    <w:p w14:paraId="7A6E6303"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Reynolds</w:t>
      </w:r>
      <w:proofErr w:type="gramEnd"/>
      <w:r w:rsidRPr="00F150AC">
        <w:rPr>
          <w:rFonts w:ascii="Times New Roman" w:eastAsia="Times New Roman" w:hAnsi="Times New Roman" w:cs="Times New Roman"/>
          <w:kern w:val="0"/>
          <w:lang w:val="en-US"/>
          <w14:ligatures w14:val="none"/>
        </w:rPr>
        <w:t xml:space="preserve">, C. S. (2006). </w:t>
      </w:r>
      <w:r w:rsidRPr="00F150AC">
        <w:rPr>
          <w:rFonts w:ascii="Times New Roman" w:eastAsia="Times New Roman" w:hAnsi="Times New Roman" w:cs="Times New Roman"/>
          <w:i/>
          <w:iCs/>
          <w:kern w:val="0"/>
          <w:lang w:val="en-US"/>
          <w14:ligatures w14:val="none"/>
        </w:rPr>
        <w:t>The ecology of phytoplankton</w:t>
      </w:r>
      <w:r w:rsidRPr="00F150AC">
        <w:rPr>
          <w:rFonts w:ascii="Times New Roman" w:eastAsia="Times New Roman" w:hAnsi="Times New Roman" w:cs="Times New Roman"/>
          <w:kern w:val="0"/>
          <w:lang w:val="en-US"/>
          <w14:ligatures w14:val="none"/>
        </w:rPr>
        <w:t xml:space="preserve">. Cambridge University Press. https://doi.org/10.1017/CBO9780511542145 </w:t>
      </w:r>
    </w:p>
    <w:p w14:paraId="77D961AC"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Sarkar</w:t>
      </w:r>
      <w:proofErr w:type="gramEnd"/>
      <w:r w:rsidRPr="00F150AC">
        <w:rPr>
          <w:rFonts w:ascii="Times New Roman" w:eastAsia="Times New Roman" w:hAnsi="Times New Roman" w:cs="Times New Roman"/>
          <w:kern w:val="0"/>
          <w:lang w:val="en-US"/>
          <w14:ligatures w14:val="none"/>
        </w:rPr>
        <w:t xml:space="preserve">, R., Ghosh, A. R., &amp; Mondal, N. K. (2020). Comparative study on physicochemical status and diversity of macrophytes and zooplanktons of two urban ponds of </w:t>
      </w:r>
      <w:proofErr w:type="spellStart"/>
      <w:r w:rsidRPr="00F150AC">
        <w:rPr>
          <w:rFonts w:ascii="Times New Roman" w:eastAsia="Times New Roman" w:hAnsi="Times New Roman" w:cs="Times New Roman"/>
          <w:kern w:val="0"/>
          <w:lang w:val="en-US"/>
          <w14:ligatures w14:val="none"/>
        </w:rPr>
        <w:t>Chandannagar</w:t>
      </w:r>
      <w:proofErr w:type="spellEnd"/>
      <w:r w:rsidRPr="00F150AC">
        <w:rPr>
          <w:rFonts w:ascii="Times New Roman" w:eastAsia="Times New Roman" w:hAnsi="Times New Roman" w:cs="Times New Roman"/>
          <w:kern w:val="0"/>
          <w:lang w:val="en-US"/>
          <w14:ligatures w14:val="none"/>
        </w:rPr>
        <w:t xml:space="preserve">, WB, India. </w:t>
      </w:r>
      <w:r w:rsidRPr="00F150AC">
        <w:rPr>
          <w:rFonts w:ascii="Times New Roman" w:eastAsia="Times New Roman" w:hAnsi="Times New Roman" w:cs="Times New Roman"/>
          <w:i/>
          <w:iCs/>
          <w:kern w:val="0"/>
          <w:lang w:val="en-US"/>
          <w14:ligatures w14:val="none"/>
        </w:rPr>
        <w:t>Applied Water Science, 10</w:t>
      </w:r>
      <w:r w:rsidRPr="00F150AC">
        <w:rPr>
          <w:rFonts w:ascii="Times New Roman" w:eastAsia="Times New Roman" w:hAnsi="Times New Roman" w:cs="Times New Roman"/>
          <w:kern w:val="0"/>
          <w:lang w:val="en-US"/>
          <w14:ligatures w14:val="none"/>
        </w:rPr>
        <w:t xml:space="preserve">, 63. </w:t>
      </w:r>
      <w:hyperlink r:id="rId17" w:tgtFrame="_new" w:history="1">
        <w:r w:rsidRPr="00F150AC">
          <w:rPr>
            <w:rFonts w:ascii="Times New Roman" w:eastAsia="Times New Roman" w:hAnsi="Times New Roman" w:cs="Times New Roman"/>
            <w:color w:val="0000FF"/>
            <w:kern w:val="0"/>
            <w:u w:val="single"/>
            <w:lang w:val="en-US"/>
            <w14:ligatures w14:val="none"/>
          </w:rPr>
          <w:t>https://doi.org/10.1007/s13201-020-1146-y</w:t>
        </w:r>
      </w:hyperlink>
      <w:r w:rsidRPr="00F150AC">
        <w:rPr>
          <w:rFonts w:ascii="Times New Roman" w:eastAsia="Times New Roman" w:hAnsi="Times New Roman" w:cs="Times New Roman"/>
          <w:kern w:val="0"/>
          <w:lang w:val="en-US"/>
          <w14:ligatures w14:val="none"/>
        </w:rPr>
        <w:t xml:space="preserve"> </w:t>
      </w:r>
    </w:p>
    <w:p w14:paraId="6984FFCA"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Sharma</w:t>
      </w:r>
      <w:proofErr w:type="gramEnd"/>
      <w:r w:rsidRPr="00F150AC">
        <w:rPr>
          <w:rFonts w:ascii="Times New Roman" w:eastAsia="Times New Roman" w:hAnsi="Times New Roman" w:cs="Times New Roman"/>
          <w:kern w:val="0"/>
          <w:lang w:val="en-US"/>
          <w14:ligatures w14:val="none"/>
        </w:rPr>
        <w:t xml:space="preserve">, A., &amp; Sharma, M. (2019). Zooplankton diversity in relation to </w:t>
      </w:r>
      <w:proofErr w:type="spellStart"/>
      <w:r w:rsidRPr="00F150AC">
        <w:rPr>
          <w:rFonts w:ascii="Times New Roman" w:eastAsia="Times New Roman" w:hAnsi="Times New Roman" w:cs="Times New Roman"/>
          <w:kern w:val="0"/>
          <w:lang w:val="en-US"/>
          <w14:ligatures w14:val="none"/>
        </w:rPr>
        <w:t>physico</w:t>
      </w:r>
      <w:proofErr w:type="spellEnd"/>
      <w:r w:rsidRPr="00F150AC">
        <w:rPr>
          <w:rFonts w:ascii="Times New Roman" w:eastAsia="Times New Roman" w:hAnsi="Times New Roman" w:cs="Times New Roman"/>
          <w:kern w:val="0"/>
          <w:lang w:val="en-US"/>
          <w14:ligatures w14:val="none"/>
        </w:rPr>
        <w:t xml:space="preserve">-chemical parameters in subtropical pond of Jammu, Jammu and Kashmir, India. </w:t>
      </w:r>
      <w:r w:rsidRPr="00F150AC">
        <w:rPr>
          <w:rFonts w:ascii="Times New Roman" w:eastAsia="Times New Roman" w:hAnsi="Times New Roman" w:cs="Times New Roman"/>
          <w:i/>
          <w:iCs/>
          <w:kern w:val="0"/>
          <w:lang w:val="en-US"/>
          <w14:ligatures w14:val="none"/>
        </w:rPr>
        <w:t>Biosciences Biotechnology Research Asia, 16</w:t>
      </w:r>
      <w:r w:rsidRPr="00F150AC">
        <w:rPr>
          <w:rFonts w:ascii="Times New Roman" w:eastAsia="Times New Roman" w:hAnsi="Times New Roman" w:cs="Times New Roman"/>
          <w:kern w:val="0"/>
          <w:lang w:val="en-US"/>
          <w14:ligatures w14:val="none"/>
        </w:rPr>
        <w:t xml:space="preserve">(2), 425–439. </w:t>
      </w:r>
      <w:hyperlink r:id="rId18" w:tgtFrame="_new" w:history="1">
        <w:r w:rsidRPr="00F150AC">
          <w:rPr>
            <w:rFonts w:ascii="Times New Roman" w:eastAsia="Times New Roman" w:hAnsi="Times New Roman" w:cs="Times New Roman"/>
            <w:color w:val="0000FF"/>
            <w:kern w:val="0"/>
            <w:u w:val="single"/>
            <w:lang w:val="en-US"/>
            <w14:ligatures w14:val="none"/>
          </w:rPr>
          <w:t>https://doi.org/10.13005/bbra/2758</w:t>
        </w:r>
      </w:hyperlink>
      <w:r w:rsidRPr="00F150AC">
        <w:rPr>
          <w:rFonts w:ascii="Times New Roman" w:eastAsia="Times New Roman" w:hAnsi="Times New Roman" w:cs="Times New Roman"/>
          <w:kern w:val="0"/>
          <w:lang w:val="en-US"/>
          <w14:ligatures w14:val="none"/>
        </w:rPr>
        <w:t xml:space="preserve"> </w:t>
      </w:r>
    </w:p>
    <w:p w14:paraId="2E55CF69"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Shetty</w:t>
      </w:r>
      <w:proofErr w:type="gramEnd"/>
      <w:r w:rsidRPr="00F150AC">
        <w:rPr>
          <w:rFonts w:ascii="Times New Roman" w:eastAsia="Times New Roman" w:hAnsi="Times New Roman" w:cs="Times New Roman"/>
          <w:kern w:val="0"/>
          <w:lang w:val="en-US"/>
          <w14:ligatures w14:val="none"/>
        </w:rPr>
        <w:t xml:space="preserve">, K., &amp; </w:t>
      </w:r>
      <w:proofErr w:type="spellStart"/>
      <w:r w:rsidRPr="00F150AC">
        <w:rPr>
          <w:rFonts w:ascii="Times New Roman" w:eastAsia="Times New Roman" w:hAnsi="Times New Roman" w:cs="Times New Roman"/>
          <w:kern w:val="0"/>
          <w:lang w:val="en-US"/>
          <w14:ligatures w14:val="none"/>
        </w:rPr>
        <w:t>Gulimane</w:t>
      </w:r>
      <w:proofErr w:type="spellEnd"/>
      <w:r w:rsidRPr="00F150AC">
        <w:rPr>
          <w:rFonts w:ascii="Times New Roman" w:eastAsia="Times New Roman" w:hAnsi="Times New Roman" w:cs="Times New Roman"/>
          <w:kern w:val="0"/>
          <w:lang w:val="en-US"/>
          <w14:ligatures w14:val="none"/>
        </w:rPr>
        <w:t xml:space="preserve">, K. (2023). Application of microalgal diversity in assessing the water quality of freshwater ponds. </w:t>
      </w:r>
      <w:r w:rsidRPr="00F150AC">
        <w:rPr>
          <w:rFonts w:ascii="Times New Roman" w:eastAsia="Times New Roman" w:hAnsi="Times New Roman" w:cs="Times New Roman"/>
          <w:i/>
          <w:iCs/>
          <w:kern w:val="0"/>
          <w:lang w:val="en-US"/>
          <w14:ligatures w14:val="none"/>
        </w:rPr>
        <w:t>Environmental Monitoring and Assessment, 195</w:t>
      </w:r>
      <w:r w:rsidRPr="00F150AC">
        <w:rPr>
          <w:rFonts w:ascii="Times New Roman" w:eastAsia="Times New Roman" w:hAnsi="Times New Roman" w:cs="Times New Roman"/>
          <w:kern w:val="0"/>
          <w:lang w:val="en-US"/>
          <w14:ligatures w14:val="none"/>
        </w:rPr>
        <w:t xml:space="preserve">, 595. </w:t>
      </w:r>
      <w:hyperlink r:id="rId19" w:tgtFrame="_new" w:history="1">
        <w:r w:rsidRPr="00F150AC">
          <w:rPr>
            <w:rFonts w:ascii="Times New Roman" w:eastAsia="Times New Roman" w:hAnsi="Times New Roman" w:cs="Times New Roman"/>
            <w:color w:val="0000FF"/>
            <w:kern w:val="0"/>
            <w:u w:val="single"/>
            <w:lang w:val="en-US"/>
            <w14:ligatures w14:val="none"/>
          </w:rPr>
          <w:t>https://doi.org/10.1007/s10661-023-11116-w</w:t>
        </w:r>
      </w:hyperlink>
      <w:r w:rsidRPr="00F150AC">
        <w:rPr>
          <w:rFonts w:ascii="Times New Roman" w:eastAsia="Times New Roman" w:hAnsi="Times New Roman" w:cs="Times New Roman"/>
          <w:kern w:val="0"/>
          <w:lang w:val="en-US"/>
          <w14:ligatures w14:val="none"/>
        </w:rPr>
        <w:t xml:space="preserve"> </w:t>
      </w:r>
    </w:p>
    <w:p w14:paraId="2D02BF9E"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Smith</w:t>
      </w:r>
      <w:proofErr w:type="gramEnd"/>
      <w:r w:rsidRPr="00F150AC">
        <w:rPr>
          <w:rFonts w:ascii="Times New Roman" w:eastAsia="Times New Roman" w:hAnsi="Times New Roman" w:cs="Times New Roman"/>
          <w:kern w:val="0"/>
          <w:lang w:val="en-US"/>
          <w14:ligatures w14:val="none"/>
        </w:rPr>
        <w:t xml:space="preserve">, V. H., Tilman, G. D., &amp; Nekola, J. C. (1999). Eutrophication: Impacts of excess nutrient inputs on freshwater, marine, and terrestrial ecosystems. </w:t>
      </w:r>
      <w:r w:rsidRPr="00F150AC">
        <w:rPr>
          <w:rFonts w:ascii="Times New Roman" w:eastAsia="Times New Roman" w:hAnsi="Times New Roman" w:cs="Times New Roman"/>
          <w:i/>
          <w:iCs/>
          <w:kern w:val="0"/>
          <w:lang w:val="en-US"/>
          <w14:ligatures w14:val="none"/>
        </w:rPr>
        <w:t>Environmental Pollution, 100</w:t>
      </w:r>
      <w:r w:rsidRPr="00F150AC">
        <w:rPr>
          <w:rFonts w:ascii="Times New Roman" w:eastAsia="Times New Roman" w:hAnsi="Times New Roman" w:cs="Times New Roman"/>
          <w:kern w:val="0"/>
          <w:lang w:val="en-US"/>
          <w14:ligatures w14:val="none"/>
        </w:rPr>
        <w:t xml:space="preserve">(1–3), 179–196. </w:t>
      </w:r>
      <w:hyperlink r:id="rId20" w:tgtFrame="_new" w:history="1">
        <w:r w:rsidRPr="00F150AC">
          <w:rPr>
            <w:rFonts w:ascii="Times New Roman" w:eastAsia="Times New Roman" w:hAnsi="Times New Roman" w:cs="Times New Roman"/>
            <w:color w:val="0000FF"/>
            <w:kern w:val="0"/>
            <w:u w:val="single"/>
            <w:lang w:val="en-US"/>
            <w14:ligatures w14:val="none"/>
          </w:rPr>
          <w:t>https://doi.org/10.1016/S0269-7491(99)00091-3</w:t>
        </w:r>
      </w:hyperlink>
      <w:r w:rsidRPr="00F150AC">
        <w:rPr>
          <w:rFonts w:ascii="Times New Roman" w:eastAsia="Times New Roman" w:hAnsi="Times New Roman" w:cs="Times New Roman"/>
          <w:kern w:val="0"/>
          <w:lang w:val="en-US"/>
          <w14:ligatures w14:val="none"/>
        </w:rPr>
        <w:t xml:space="preserve"> </w:t>
      </w:r>
    </w:p>
    <w:p w14:paraId="5D7DED62" w14:textId="128F38B8"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r w:rsidRPr="00462D1C">
        <w:rPr>
          <w:rFonts w:ascii="Times New Roman" w:eastAsia="Times New Roman" w:hAnsi="Times New Roman" w:cs="Times New Roman"/>
          <w:kern w:val="0"/>
          <w:lang w:val="en-US"/>
          <w14:ligatures w14:val="none"/>
        </w:rPr>
        <w:t>United</w:t>
      </w:r>
      <w:proofErr w:type="gramEnd"/>
      <w:r w:rsidRPr="00462D1C">
        <w:rPr>
          <w:rFonts w:ascii="Times New Roman" w:eastAsia="Times New Roman" w:hAnsi="Times New Roman" w:cs="Times New Roman"/>
          <w:kern w:val="0"/>
          <w:lang w:val="en-US"/>
          <w14:ligatures w14:val="none"/>
        </w:rPr>
        <w:t xml:space="preserve"> Nations Environment </w:t>
      </w:r>
      <w:proofErr w:type="spellStart"/>
      <w:r w:rsidRPr="00462D1C">
        <w:rPr>
          <w:rFonts w:ascii="Times New Roman" w:eastAsia="Times New Roman" w:hAnsi="Times New Roman" w:cs="Times New Roman"/>
          <w:kern w:val="0"/>
          <w:lang w:val="en-US"/>
          <w14:ligatures w14:val="none"/>
        </w:rPr>
        <w:t>Programme</w:t>
      </w:r>
      <w:proofErr w:type="spellEnd"/>
      <w:r w:rsidRPr="00462D1C">
        <w:rPr>
          <w:rFonts w:ascii="Times New Roman" w:eastAsia="Times New Roman" w:hAnsi="Times New Roman" w:cs="Times New Roman"/>
          <w:kern w:val="0"/>
          <w:lang w:val="en-US"/>
          <w14:ligatures w14:val="none"/>
        </w:rPr>
        <w:t xml:space="preserve">. (2019). </w:t>
      </w:r>
      <w:r w:rsidRPr="00462D1C">
        <w:rPr>
          <w:rFonts w:ascii="Times New Roman" w:eastAsia="Times New Roman" w:hAnsi="Times New Roman" w:cs="Times New Roman"/>
          <w:i/>
          <w:iCs/>
          <w:kern w:val="0"/>
          <w:lang w:val="en-US"/>
          <w14:ligatures w14:val="none"/>
        </w:rPr>
        <w:t>Global Environment Outlook – GEO-6: Healthy planet, healthy people</w:t>
      </w:r>
      <w:r w:rsidRPr="00462D1C">
        <w:rPr>
          <w:rFonts w:ascii="Times New Roman" w:eastAsia="Times New Roman" w:hAnsi="Times New Roman" w:cs="Times New Roman"/>
          <w:kern w:val="0"/>
          <w:lang w:val="en-US"/>
          <w14:ligatures w14:val="none"/>
        </w:rPr>
        <w:t>. Cambridge University Press. https://doi.org/10.1017/9781108627146</w:t>
      </w:r>
    </w:p>
    <w:p w14:paraId="4308B267"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Wetzel</w:t>
      </w:r>
      <w:proofErr w:type="gramEnd"/>
      <w:r w:rsidRPr="00F150AC">
        <w:rPr>
          <w:rFonts w:ascii="Times New Roman" w:eastAsia="Times New Roman" w:hAnsi="Times New Roman" w:cs="Times New Roman"/>
          <w:kern w:val="0"/>
          <w:lang w:val="en-US"/>
          <w14:ligatures w14:val="none"/>
        </w:rPr>
        <w:t xml:space="preserve">, R. G. (2001). </w:t>
      </w:r>
      <w:r w:rsidRPr="00F150AC">
        <w:rPr>
          <w:rFonts w:ascii="Times New Roman" w:eastAsia="Times New Roman" w:hAnsi="Times New Roman" w:cs="Times New Roman"/>
          <w:i/>
          <w:iCs/>
          <w:kern w:val="0"/>
          <w:lang w:val="en-US"/>
          <w14:ligatures w14:val="none"/>
        </w:rPr>
        <w:t>Limnology: Lake and river ecosystems</w:t>
      </w:r>
      <w:r w:rsidRPr="00F150AC">
        <w:rPr>
          <w:rFonts w:ascii="Times New Roman" w:eastAsia="Times New Roman" w:hAnsi="Times New Roman" w:cs="Times New Roman"/>
          <w:kern w:val="0"/>
          <w:lang w:val="en-US"/>
          <w14:ligatures w14:val="none"/>
        </w:rPr>
        <w:t xml:space="preserve"> (3rd ed.). Academic Press. </w:t>
      </w:r>
      <w:hyperlink r:id="rId21" w:tgtFrame="_new" w:history="1">
        <w:r w:rsidRPr="00F150AC">
          <w:rPr>
            <w:rFonts w:ascii="Times New Roman" w:eastAsia="Times New Roman" w:hAnsi="Times New Roman" w:cs="Times New Roman"/>
            <w:color w:val="0000FF"/>
            <w:kern w:val="0"/>
            <w:u w:val="single"/>
            <w:lang w:val="en-US"/>
            <w14:ligatures w14:val="none"/>
          </w:rPr>
          <w:t>https://www.sciencedirect.com/book/monograph/9780127447605/limnology</w:t>
        </w:r>
      </w:hyperlink>
      <w:r w:rsidRPr="00F150AC">
        <w:rPr>
          <w:rFonts w:ascii="Times New Roman" w:eastAsia="Times New Roman" w:hAnsi="Times New Roman" w:cs="Times New Roman"/>
          <w:kern w:val="0"/>
          <w:lang w:val="en-US"/>
          <w14:ligatures w14:val="none"/>
        </w:rPr>
        <w:t xml:space="preserve"> </w:t>
      </w:r>
    </w:p>
    <w:p w14:paraId="3FB0DF2D" w14:textId="26810718"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r w:rsidRPr="00462D1C">
        <w:rPr>
          <w:rFonts w:ascii="Times New Roman" w:eastAsia="Times New Roman" w:hAnsi="Times New Roman" w:cs="Times New Roman"/>
          <w:kern w:val="0"/>
          <w:lang w:val="en-US"/>
          <w14:ligatures w14:val="none"/>
        </w:rPr>
        <w:t>Wetzel</w:t>
      </w:r>
      <w:proofErr w:type="gramEnd"/>
      <w:r w:rsidRPr="00462D1C">
        <w:rPr>
          <w:rFonts w:ascii="Times New Roman" w:eastAsia="Times New Roman" w:hAnsi="Times New Roman" w:cs="Times New Roman"/>
          <w:kern w:val="0"/>
          <w:lang w:val="en-US"/>
          <w14:ligatures w14:val="none"/>
        </w:rPr>
        <w:t xml:space="preserve">, R. G., &amp; Likens, G. E. (2000). </w:t>
      </w:r>
      <w:r w:rsidRPr="00462D1C">
        <w:rPr>
          <w:rFonts w:ascii="Times New Roman" w:eastAsia="Times New Roman" w:hAnsi="Times New Roman" w:cs="Times New Roman"/>
          <w:i/>
          <w:iCs/>
          <w:kern w:val="0"/>
          <w:lang w:val="en-US"/>
          <w14:ligatures w14:val="none"/>
        </w:rPr>
        <w:t>Limnological analyses</w:t>
      </w:r>
      <w:r w:rsidRPr="00462D1C">
        <w:rPr>
          <w:rFonts w:ascii="Times New Roman" w:eastAsia="Times New Roman" w:hAnsi="Times New Roman" w:cs="Times New Roman"/>
          <w:kern w:val="0"/>
          <w:lang w:val="en-US"/>
          <w14:ligatures w14:val="none"/>
        </w:rPr>
        <w:t xml:space="preserve"> (3rd ed.). Springer. https://doi.org/10.1007/978-1-4757-3250-4</w:t>
      </w:r>
    </w:p>
    <w:p w14:paraId="7F6E9F4E"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World</w:t>
      </w:r>
      <w:proofErr w:type="gramEnd"/>
      <w:r w:rsidRPr="00F150AC">
        <w:rPr>
          <w:rFonts w:ascii="Times New Roman" w:eastAsia="Times New Roman" w:hAnsi="Times New Roman" w:cs="Times New Roman"/>
          <w:kern w:val="0"/>
          <w:lang w:val="en-US"/>
          <w14:ligatures w14:val="none"/>
        </w:rPr>
        <w:t xml:space="preserve"> Health Organization. (2022). </w:t>
      </w:r>
      <w:r w:rsidRPr="00F150AC">
        <w:rPr>
          <w:rFonts w:ascii="Times New Roman" w:eastAsia="Times New Roman" w:hAnsi="Times New Roman" w:cs="Times New Roman"/>
          <w:i/>
          <w:iCs/>
          <w:kern w:val="0"/>
          <w:lang w:val="en-US"/>
          <w14:ligatures w14:val="none"/>
        </w:rPr>
        <w:t>Guidelines for drinking-water quality: Fourth edition incorporating the first and second addenda</w:t>
      </w:r>
      <w:r w:rsidRPr="00F150AC">
        <w:rPr>
          <w:rFonts w:ascii="Times New Roman" w:eastAsia="Times New Roman" w:hAnsi="Times New Roman" w:cs="Times New Roman"/>
          <w:kern w:val="0"/>
          <w:lang w:val="en-US"/>
          <w14:ligatures w14:val="none"/>
        </w:rPr>
        <w:t xml:space="preserve">. World Health Organization. </w:t>
      </w:r>
      <w:hyperlink r:id="rId22" w:tgtFrame="_new" w:history="1">
        <w:r w:rsidRPr="00F150AC">
          <w:rPr>
            <w:rFonts w:ascii="Times New Roman" w:eastAsia="Times New Roman" w:hAnsi="Times New Roman" w:cs="Times New Roman"/>
            <w:color w:val="0000FF"/>
            <w:kern w:val="0"/>
            <w:u w:val="single"/>
            <w:lang w:val="en-US"/>
            <w14:ligatures w14:val="none"/>
          </w:rPr>
          <w:t>https://www.who.int/publications/i/item/9789240045064</w:t>
        </w:r>
      </w:hyperlink>
      <w:r w:rsidRPr="00F150AC">
        <w:rPr>
          <w:rFonts w:ascii="Times New Roman" w:eastAsia="Times New Roman" w:hAnsi="Times New Roman" w:cs="Times New Roman"/>
          <w:kern w:val="0"/>
          <w:lang w:val="en-US"/>
          <w14:ligatures w14:val="none"/>
        </w:rPr>
        <w:t xml:space="preserve"> </w:t>
      </w:r>
    </w:p>
    <w:p w14:paraId="51E26AFF"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Amorim</w:t>
      </w:r>
      <w:proofErr w:type="gramEnd"/>
      <w:r w:rsidRPr="00F150AC">
        <w:rPr>
          <w:rFonts w:ascii="Times New Roman" w:eastAsia="Times New Roman" w:hAnsi="Times New Roman" w:cs="Times New Roman"/>
          <w:kern w:val="0"/>
          <w:lang w:val="en-US"/>
          <w14:ligatures w14:val="none"/>
        </w:rPr>
        <w:t xml:space="preserve">, C. A., &amp; Moura, A. do N. (2021). Ecological impacts of freshwater algal blooms on water quality, plankton biodiversity, structure, and ecosystem functioning. </w:t>
      </w:r>
      <w:r w:rsidRPr="00F150AC">
        <w:rPr>
          <w:rFonts w:ascii="Times New Roman" w:eastAsia="Times New Roman" w:hAnsi="Times New Roman" w:cs="Times New Roman"/>
          <w:i/>
          <w:iCs/>
          <w:kern w:val="0"/>
          <w:lang w:val="en-US"/>
          <w14:ligatures w14:val="none"/>
        </w:rPr>
        <w:t>Science of the Total Environment, 758</w:t>
      </w:r>
      <w:r w:rsidRPr="00F150AC">
        <w:rPr>
          <w:rFonts w:ascii="Times New Roman" w:eastAsia="Times New Roman" w:hAnsi="Times New Roman" w:cs="Times New Roman"/>
          <w:kern w:val="0"/>
          <w:lang w:val="en-US"/>
          <w14:ligatures w14:val="none"/>
        </w:rPr>
        <w:t xml:space="preserve">, 143605. </w:t>
      </w:r>
      <w:hyperlink r:id="rId23" w:tgtFrame="_new" w:history="1">
        <w:r w:rsidRPr="00F150AC">
          <w:rPr>
            <w:rFonts w:ascii="Times New Roman" w:eastAsia="Times New Roman" w:hAnsi="Times New Roman" w:cs="Times New Roman"/>
            <w:color w:val="0000FF"/>
            <w:kern w:val="0"/>
            <w:u w:val="single"/>
            <w:lang w:val="en-US"/>
            <w14:ligatures w14:val="none"/>
          </w:rPr>
          <w:t>https://doi.org/10.1016/j.scitotenv.2020.143605</w:t>
        </w:r>
      </w:hyperlink>
      <w:r w:rsidRPr="00F150AC">
        <w:rPr>
          <w:rFonts w:ascii="Times New Roman" w:eastAsia="Times New Roman" w:hAnsi="Times New Roman" w:cs="Times New Roman"/>
          <w:kern w:val="0"/>
          <w:lang w:val="en-US"/>
          <w14:ligatures w14:val="none"/>
        </w:rPr>
        <w:t xml:space="preserve"> </w:t>
      </w:r>
    </w:p>
    <w:p w14:paraId="762F959F"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proofErr w:type="spellStart"/>
      <w:r w:rsidRPr="00F150AC">
        <w:rPr>
          <w:rFonts w:ascii="Times New Roman" w:eastAsia="Times New Roman" w:hAnsi="Times New Roman" w:cs="Times New Roman"/>
          <w:kern w:val="0"/>
          <w:lang w:val="en-US"/>
          <w14:ligatures w14:val="none"/>
        </w:rPr>
        <w:t>Goździejewska</w:t>
      </w:r>
      <w:proofErr w:type="spellEnd"/>
      <w:proofErr w:type="gramEnd"/>
      <w:r w:rsidRPr="00F150AC">
        <w:rPr>
          <w:rFonts w:ascii="Times New Roman" w:eastAsia="Times New Roman" w:hAnsi="Times New Roman" w:cs="Times New Roman"/>
          <w:kern w:val="0"/>
          <w:lang w:val="en-US"/>
          <w14:ligatures w14:val="none"/>
        </w:rPr>
        <w:t>, A. M., Cymes, I., &amp; Glińska-</w:t>
      </w:r>
      <w:proofErr w:type="spellStart"/>
      <w:r w:rsidRPr="00F150AC">
        <w:rPr>
          <w:rFonts w:ascii="Times New Roman" w:eastAsia="Times New Roman" w:hAnsi="Times New Roman" w:cs="Times New Roman"/>
          <w:kern w:val="0"/>
          <w:lang w:val="en-US"/>
          <w14:ligatures w14:val="none"/>
        </w:rPr>
        <w:t>Lewczuk</w:t>
      </w:r>
      <w:proofErr w:type="spellEnd"/>
      <w:r w:rsidRPr="00F150AC">
        <w:rPr>
          <w:rFonts w:ascii="Times New Roman" w:eastAsia="Times New Roman" w:hAnsi="Times New Roman" w:cs="Times New Roman"/>
          <w:kern w:val="0"/>
          <w:lang w:val="en-US"/>
          <w14:ligatures w14:val="none"/>
        </w:rPr>
        <w:t xml:space="preserve">, K. (2024). Zooplankton functional diversity as a bioindicator of freshwater ecosystem health across land use gradient. </w:t>
      </w:r>
      <w:r w:rsidRPr="00F150AC">
        <w:rPr>
          <w:rFonts w:ascii="Times New Roman" w:eastAsia="Times New Roman" w:hAnsi="Times New Roman" w:cs="Times New Roman"/>
          <w:i/>
          <w:iCs/>
          <w:kern w:val="0"/>
          <w:lang w:val="en-US"/>
          <w14:ligatures w14:val="none"/>
        </w:rPr>
        <w:t>Scientific Reports, 14</w:t>
      </w:r>
      <w:r w:rsidRPr="00F150AC">
        <w:rPr>
          <w:rFonts w:ascii="Times New Roman" w:eastAsia="Times New Roman" w:hAnsi="Times New Roman" w:cs="Times New Roman"/>
          <w:kern w:val="0"/>
          <w:lang w:val="en-US"/>
          <w14:ligatures w14:val="none"/>
        </w:rPr>
        <w:t xml:space="preserve">, 18456. </w:t>
      </w:r>
      <w:hyperlink r:id="rId24" w:tgtFrame="_new" w:history="1">
        <w:r w:rsidRPr="00F150AC">
          <w:rPr>
            <w:rFonts w:ascii="Times New Roman" w:eastAsia="Times New Roman" w:hAnsi="Times New Roman" w:cs="Times New Roman"/>
            <w:color w:val="0000FF"/>
            <w:kern w:val="0"/>
            <w:u w:val="single"/>
            <w:lang w:val="en-US"/>
            <w14:ligatures w14:val="none"/>
          </w:rPr>
          <w:t>https://doi.org/10.1038/s41598-024-69577-z</w:t>
        </w:r>
      </w:hyperlink>
      <w:r w:rsidRPr="00F150AC">
        <w:rPr>
          <w:rFonts w:ascii="Times New Roman" w:eastAsia="Times New Roman" w:hAnsi="Times New Roman" w:cs="Times New Roman"/>
          <w:kern w:val="0"/>
          <w:lang w:val="en-US"/>
          <w14:ligatures w14:val="none"/>
        </w:rPr>
        <w:t xml:space="preserve"> </w:t>
      </w:r>
    </w:p>
    <w:p w14:paraId="1A8BDE90"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w:t>
      </w:r>
      <w:proofErr w:type="spellStart"/>
      <w:r w:rsidRPr="00F150AC">
        <w:rPr>
          <w:rFonts w:ascii="Times New Roman" w:eastAsia="Times New Roman" w:hAnsi="Times New Roman" w:cs="Times New Roman"/>
          <w:kern w:val="0"/>
          <w:lang w:val="en-US"/>
          <w14:ligatures w14:val="none"/>
        </w:rPr>
        <w:t>Nimasow</w:t>
      </w:r>
      <w:proofErr w:type="spellEnd"/>
      <w:proofErr w:type="gramEnd"/>
      <w:r w:rsidRPr="00F150AC">
        <w:rPr>
          <w:rFonts w:ascii="Times New Roman" w:eastAsia="Times New Roman" w:hAnsi="Times New Roman" w:cs="Times New Roman"/>
          <w:kern w:val="0"/>
          <w:lang w:val="en-US"/>
          <w14:ligatures w14:val="none"/>
        </w:rPr>
        <w:t xml:space="preserve">, G., Mahato, R., Abujam, S., &amp; Das, D. N. (2025). </w:t>
      </w:r>
      <w:proofErr w:type="spellStart"/>
      <w:r w:rsidRPr="00F150AC">
        <w:rPr>
          <w:rFonts w:ascii="Times New Roman" w:eastAsia="Times New Roman" w:hAnsi="Times New Roman" w:cs="Times New Roman"/>
          <w:kern w:val="0"/>
          <w:lang w:val="en-US"/>
          <w14:ligatures w14:val="none"/>
        </w:rPr>
        <w:t>Spatio</w:t>
      </w:r>
      <w:proofErr w:type="spellEnd"/>
      <w:r w:rsidRPr="00F150AC">
        <w:rPr>
          <w:rFonts w:ascii="Times New Roman" w:eastAsia="Times New Roman" w:hAnsi="Times New Roman" w:cs="Times New Roman"/>
          <w:kern w:val="0"/>
          <w:lang w:val="en-US"/>
          <w14:ligatures w14:val="none"/>
        </w:rPr>
        <w:t xml:space="preserve">-temporal dynamics of fish communities and habitat conditions in the </w:t>
      </w:r>
      <w:proofErr w:type="spellStart"/>
      <w:r w:rsidRPr="00F150AC">
        <w:rPr>
          <w:rFonts w:ascii="Times New Roman" w:eastAsia="Times New Roman" w:hAnsi="Times New Roman" w:cs="Times New Roman"/>
          <w:kern w:val="0"/>
          <w:lang w:val="en-US"/>
          <w14:ligatures w14:val="none"/>
        </w:rPr>
        <w:t>Bichom</w:t>
      </w:r>
      <w:proofErr w:type="spellEnd"/>
      <w:r w:rsidRPr="00F150AC">
        <w:rPr>
          <w:rFonts w:ascii="Times New Roman" w:eastAsia="Times New Roman" w:hAnsi="Times New Roman" w:cs="Times New Roman"/>
          <w:kern w:val="0"/>
          <w:lang w:val="en-US"/>
          <w14:ligatures w14:val="none"/>
        </w:rPr>
        <w:t xml:space="preserve"> River Basin. </w:t>
      </w:r>
      <w:r w:rsidRPr="00F150AC">
        <w:rPr>
          <w:rFonts w:ascii="Times New Roman" w:eastAsia="Times New Roman" w:hAnsi="Times New Roman" w:cs="Times New Roman"/>
          <w:i/>
          <w:iCs/>
          <w:kern w:val="0"/>
          <w:lang w:val="en-US"/>
          <w14:ligatures w14:val="none"/>
        </w:rPr>
        <w:t>Environmental Monitoring and Assessment, 197</w:t>
      </w:r>
      <w:r w:rsidRPr="00F150AC">
        <w:rPr>
          <w:rFonts w:ascii="Times New Roman" w:eastAsia="Times New Roman" w:hAnsi="Times New Roman" w:cs="Times New Roman"/>
          <w:kern w:val="0"/>
          <w:lang w:val="en-US"/>
          <w14:ligatures w14:val="none"/>
        </w:rPr>
        <w:t xml:space="preserve">, 529. </w:t>
      </w:r>
      <w:hyperlink r:id="rId25" w:tgtFrame="_new" w:history="1">
        <w:r w:rsidRPr="00F150AC">
          <w:rPr>
            <w:rFonts w:ascii="Times New Roman" w:eastAsia="Times New Roman" w:hAnsi="Times New Roman" w:cs="Times New Roman"/>
            <w:color w:val="0000FF"/>
            <w:kern w:val="0"/>
            <w:u w:val="single"/>
            <w:lang w:val="en-US"/>
            <w14:ligatures w14:val="none"/>
          </w:rPr>
          <w:t>https://doi.org/10.1007/s10661-025-13936-4</w:t>
        </w:r>
      </w:hyperlink>
      <w:r w:rsidRPr="00F150AC">
        <w:rPr>
          <w:rFonts w:ascii="Times New Roman" w:eastAsia="Times New Roman" w:hAnsi="Times New Roman" w:cs="Times New Roman"/>
          <w:kern w:val="0"/>
          <w:lang w:val="en-US"/>
          <w14:ligatures w14:val="none"/>
        </w:rPr>
        <w:t xml:space="preserve"> </w:t>
      </w:r>
    </w:p>
    <w:p w14:paraId="02E60013" w14:textId="77777777" w:rsidR="00F150AC" w:rsidRPr="00F150AC" w:rsidRDefault="00F150AC" w:rsidP="00F150AC">
      <w:pPr>
        <w:spacing w:after="0" w:line="240" w:lineRule="auto"/>
        <w:rPr>
          <w:rFonts w:ascii="Times New Roman" w:eastAsia="Times New Roman" w:hAnsi="Times New Roman" w:cs="Times New Roman"/>
          <w:kern w:val="0"/>
          <w:lang w:val="en-US"/>
          <w14:ligatures w14:val="none"/>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Patel</w:t>
      </w:r>
      <w:proofErr w:type="gramEnd"/>
      <w:r w:rsidRPr="00F150AC">
        <w:rPr>
          <w:rFonts w:ascii="Times New Roman" w:eastAsia="Times New Roman" w:hAnsi="Times New Roman" w:cs="Times New Roman"/>
          <w:kern w:val="0"/>
          <w:lang w:val="en-US"/>
          <w14:ligatures w14:val="none"/>
        </w:rPr>
        <w:t xml:space="preserve">, P. (2025). A study on relationship between water quality parameters and fish diversity in freshwater bodies in Chhattisgarh, Central India. </w:t>
      </w:r>
      <w:r w:rsidRPr="00F150AC">
        <w:rPr>
          <w:rFonts w:ascii="Times New Roman" w:eastAsia="Times New Roman" w:hAnsi="Times New Roman" w:cs="Times New Roman"/>
          <w:i/>
          <w:iCs/>
          <w:kern w:val="0"/>
          <w:lang w:val="en-US"/>
          <w14:ligatures w14:val="none"/>
        </w:rPr>
        <w:t>Asian Journal of Research in Biosciences, 7</w:t>
      </w:r>
      <w:r w:rsidRPr="00F150AC">
        <w:rPr>
          <w:rFonts w:ascii="Times New Roman" w:eastAsia="Times New Roman" w:hAnsi="Times New Roman" w:cs="Times New Roman"/>
          <w:kern w:val="0"/>
          <w:lang w:val="en-US"/>
          <w14:ligatures w14:val="none"/>
        </w:rPr>
        <w:t xml:space="preserve">(1), 86–98. </w:t>
      </w:r>
      <w:hyperlink r:id="rId26" w:tgtFrame="_new" w:history="1">
        <w:r w:rsidRPr="00F150AC">
          <w:rPr>
            <w:rFonts w:ascii="Times New Roman" w:eastAsia="Times New Roman" w:hAnsi="Times New Roman" w:cs="Times New Roman"/>
            <w:color w:val="0000FF"/>
            <w:kern w:val="0"/>
            <w:u w:val="single"/>
            <w:lang w:val="en-US"/>
            <w14:ligatures w14:val="none"/>
          </w:rPr>
          <w:t>https://doi.org/10.56557/ajorib/2025/v7i1113</w:t>
        </w:r>
      </w:hyperlink>
      <w:r w:rsidRPr="00F150AC">
        <w:rPr>
          <w:rFonts w:ascii="Times New Roman" w:eastAsia="Times New Roman" w:hAnsi="Times New Roman" w:cs="Times New Roman"/>
          <w:kern w:val="0"/>
          <w:lang w:val="en-US"/>
          <w14:ligatures w14:val="none"/>
        </w:rPr>
        <w:t xml:space="preserve"> </w:t>
      </w:r>
    </w:p>
    <w:p w14:paraId="00DBC934" w14:textId="4C9D9080" w:rsidR="00F150AC" w:rsidRPr="007C17D7" w:rsidRDefault="00F150AC" w:rsidP="00F150AC">
      <w:pPr>
        <w:spacing w:line="360" w:lineRule="auto"/>
        <w:rPr>
          <w:rFonts w:ascii="Times New Roman" w:hAnsi="Times New Roman" w:cs="Times New Roman"/>
          <w:b/>
          <w:bCs/>
        </w:rPr>
      </w:pPr>
      <w:proofErr w:type="gramStart"/>
      <w:r w:rsidRPr="00F150AC">
        <w:rPr>
          <w:rFonts w:ascii="Times New Roman" w:eastAsia="Times New Roman" w:hAnsi="Symbol" w:cs="Times New Roman"/>
          <w:kern w:val="0"/>
          <w:lang w:val="en-US"/>
          <w14:ligatures w14:val="none"/>
        </w:rPr>
        <w:t></w:t>
      </w:r>
      <w:r w:rsidRPr="00F150AC">
        <w:rPr>
          <w:rFonts w:ascii="Times New Roman" w:eastAsia="Times New Roman" w:hAnsi="Times New Roman" w:cs="Times New Roman"/>
          <w:kern w:val="0"/>
          <w:lang w:val="en-US"/>
          <w14:ligatures w14:val="none"/>
        </w:rPr>
        <w:t xml:space="preserve">  Singh</w:t>
      </w:r>
      <w:proofErr w:type="gramEnd"/>
      <w:r w:rsidRPr="00F150AC">
        <w:rPr>
          <w:rFonts w:ascii="Times New Roman" w:eastAsia="Times New Roman" w:hAnsi="Times New Roman" w:cs="Times New Roman"/>
          <w:kern w:val="0"/>
          <w:lang w:val="en-US"/>
          <w14:ligatures w14:val="none"/>
        </w:rPr>
        <w:t xml:space="preserve">, G., Bhatnagar, A., Kalla, A., &amp; Singh, A. A. (2016). Fish yields in relation to water quality and plankton production in managed and unmanaged fresh water ponds. </w:t>
      </w:r>
      <w:r w:rsidRPr="00F150AC">
        <w:rPr>
          <w:rFonts w:ascii="Times New Roman" w:eastAsia="Times New Roman" w:hAnsi="Times New Roman" w:cs="Times New Roman"/>
          <w:i/>
          <w:iCs/>
          <w:kern w:val="0"/>
          <w:lang w:val="en-US"/>
          <w14:ligatures w14:val="none"/>
        </w:rPr>
        <w:t>Journal of Experimental Agriculture International, 14</w:t>
      </w:r>
      <w:r w:rsidRPr="00F150AC">
        <w:rPr>
          <w:rFonts w:ascii="Times New Roman" w:eastAsia="Times New Roman" w:hAnsi="Times New Roman" w:cs="Times New Roman"/>
          <w:kern w:val="0"/>
          <w:lang w:val="en-US"/>
          <w14:ligatures w14:val="none"/>
        </w:rPr>
        <w:t xml:space="preserve">(6), 1–10. </w:t>
      </w:r>
      <w:hyperlink r:id="rId27" w:tgtFrame="_new" w:history="1">
        <w:r w:rsidRPr="00F150AC">
          <w:rPr>
            <w:rFonts w:ascii="Times New Roman" w:eastAsia="Times New Roman" w:hAnsi="Times New Roman" w:cs="Times New Roman"/>
            <w:color w:val="0000FF"/>
            <w:kern w:val="0"/>
            <w:u w:val="single"/>
            <w:lang w:val="en-US"/>
            <w14:ligatures w14:val="none"/>
          </w:rPr>
          <w:t>https://doi.org/10.9734/JEAI/2016/29744</w:t>
        </w:r>
      </w:hyperlink>
    </w:p>
    <w:sectPr w:rsidR="00F150AC" w:rsidRPr="007C17D7">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31EB1" w14:textId="77777777" w:rsidR="0008435A" w:rsidRDefault="0008435A" w:rsidP="009A2778">
      <w:pPr>
        <w:spacing w:after="0" w:line="240" w:lineRule="auto"/>
      </w:pPr>
      <w:r>
        <w:separator/>
      </w:r>
    </w:p>
  </w:endnote>
  <w:endnote w:type="continuationSeparator" w:id="0">
    <w:p w14:paraId="234352BC" w14:textId="77777777" w:rsidR="0008435A" w:rsidRDefault="0008435A" w:rsidP="009A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4F90" w14:textId="77777777" w:rsidR="009A2778" w:rsidRDefault="009A2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4EAC" w14:textId="77777777" w:rsidR="009A2778" w:rsidRDefault="009A27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CAED" w14:textId="77777777" w:rsidR="009A2778" w:rsidRDefault="009A2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7856" w14:textId="77777777" w:rsidR="0008435A" w:rsidRDefault="0008435A" w:rsidP="009A2778">
      <w:pPr>
        <w:spacing w:after="0" w:line="240" w:lineRule="auto"/>
      </w:pPr>
      <w:r>
        <w:separator/>
      </w:r>
    </w:p>
  </w:footnote>
  <w:footnote w:type="continuationSeparator" w:id="0">
    <w:p w14:paraId="654208DE" w14:textId="77777777" w:rsidR="0008435A" w:rsidRDefault="0008435A" w:rsidP="009A2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49A4" w14:textId="77777777" w:rsidR="009A2778" w:rsidRDefault="00000000">
    <w:pPr>
      <w:pStyle w:val="Header"/>
    </w:pPr>
    <w:r>
      <w:rPr>
        <w:noProof/>
      </w:rPr>
      <w:pict w14:anchorId="12549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4935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2C10" w14:textId="77777777" w:rsidR="009A2778" w:rsidRDefault="00000000">
    <w:pPr>
      <w:pStyle w:val="Header"/>
    </w:pPr>
    <w:r>
      <w:rPr>
        <w:noProof/>
      </w:rPr>
      <w:pict w14:anchorId="2719D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4935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DAE9" w14:textId="77777777" w:rsidR="009A2778" w:rsidRDefault="00000000">
    <w:pPr>
      <w:pStyle w:val="Header"/>
    </w:pPr>
    <w:r>
      <w:rPr>
        <w:noProof/>
      </w:rPr>
      <w:pict w14:anchorId="5336A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4935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4F5"/>
    <w:multiLevelType w:val="multilevel"/>
    <w:tmpl w:val="BF3C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B67A9"/>
    <w:multiLevelType w:val="multilevel"/>
    <w:tmpl w:val="1EE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71185"/>
    <w:multiLevelType w:val="multilevel"/>
    <w:tmpl w:val="9DF4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D2189"/>
    <w:multiLevelType w:val="hybridMultilevel"/>
    <w:tmpl w:val="71C64CD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1CB04DC4"/>
    <w:multiLevelType w:val="hybridMultilevel"/>
    <w:tmpl w:val="5B30BC2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1CC85567"/>
    <w:multiLevelType w:val="multilevel"/>
    <w:tmpl w:val="237A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87F65"/>
    <w:multiLevelType w:val="hybridMultilevel"/>
    <w:tmpl w:val="7D48C1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6566871"/>
    <w:multiLevelType w:val="multilevel"/>
    <w:tmpl w:val="1034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E561E9"/>
    <w:multiLevelType w:val="hybridMultilevel"/>
    <w:tmpl w:val="0A829A0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E6F1849"/>
    <w:multiLevelType w:val="multilevel"/>
    <w:tmpl w:val="D56A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C7B19"/>
    <w:multiLevelType w:val="multilevel"/>
    <w:tmpl w:val="7CE8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1026EE"/>
    <w:multiLevelType w:val="hybridMultilevel"/>
    <w:tmpl w:val="350C73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1C905AA"/>
    <w:multiLevelType w:val="multilevel"/>
    <w:tmpl w:val="EF9E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05A9A"/>
    <w:multiLevelType w:val="hybridMultilevel"/>
    <w:tmpl w:val="0CEAB7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692667A"/>
    <w:multiLevelType w:val="hybridMultilevel"/>
    <w:tmpl w:val="52DC4C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8475D9B"/>
    <w:multiLevelType w:val="hybridMultilevel"/>
    <w:tmpl w:val="8C0AD6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DD17229"/>
    <w:multiLevelType w:val="multilevel"/>
    <w:tmpl w:val="CEB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AD789F"/>
    <w:multiLevelType w:val="multilevel"/>
    <w:tmpl w:val="6710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087CBF"/>
    <w:multiLevelType w:val="hybridMultilevel"/>
    <w:tmpl w:val="239092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14667176">
    <w:abstractNumId w:val="10"/>
  </w:num>
  <w:num w:numId="2" w16cid:durableId="157430551">
    <w:abstractNumId w:val="17"/>
  </w:num>
  <w:num w:numId="3" w16cid:durableId="1074469731">
    <w:abstractNumId w:val="9"/>
  </w:num>
  <w:num w:numId="4" w16cid:durableId="1189487389">
    <w:abstractNumId w:val="2"/>
  </w:num>
  <w:num w:numId="5" w16cid:durableId="361781018">
    <w:abstractNumId w:val="7"/>
  </w:num>
  <w:num w:numId="6" w16cid:durableId="1905992696">
    <w:abstractNumId w:val="5"/>
  </w:num>
  <w:num w:numId="7" w16cid:durableId="39979054">
    <w:abstractNumId w:val="12"/>
  </w:num>
  <w:num w:numId="8" w16cid:durableId="151679891">
    <w:abstractNumId w:val="0"/>
  </w:num>
  <w:num w:numId="9" w16cid:durableId="758210956">
    <w:abstractNumId w:val="16"/>
  </w:num>
  <w:num w:numId="10" w16cid:durableId="500658810">
    <w:abstractNumId w:val="1"/>
  </w:num>
  <w:num w:numId="11" w16cid:durableId="420495954">
    <w:abstractNumId w:val="18"/>
  </w:num>
  <w:num w:numId="12" w16cid:durableId="507793113">
    <w:abstractNumId w:val="8"/>
  </w:num>
  <w:num w:numId="13" w16cid:durableId="875629622">
    <w:abstractNumId w:val="4"/>
  </w:num>
  <w:num w:numId="14" w16cid:durableId="80836264">
    <w:abstractNumId w:val="14"/>
  </w:num>
  <w:num w:numId="15" w16cid:durableId="897322558">
    <w:abstractNumId w:val="3"/>
  </w:num>
  <w:num w:numId="16" w16cid:durableId="1683897936">
    <w:abstractNumId w:val="13"/>
  </w:num>
  <w:num w:numId="17" w16cid:durableId="420755755">
    <w:abstractNumId w:val="15"/>
  </w:num>
  <w:num w:numId="18" w16cid:durableId="1073819487">
    <w:abstractNumId w:val="11"/>
  </w:num>
  <w:num w:numId="19" w16cid:durableId="291140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A7"/>
    <w:rsid w:val="0000065B"/>
    <w:rsid w:val="00003D36"/>
    <w:rsid w:val="00006248"/>
    <w:rsid w:val="00032355"/>
    <w:rsid w:val="00034936"/>
    <w:rsid w:val="00035E64"/>
    <w:rsid w:val="00041429"/>
    <w:rsid w:val="00044461"/>
    <w:rsid w:val="000542C2"/>
    <w:rsid w:val="0006410F"/>
    <w:rsid w:val="00065D45"/>
    <w:rsid w:val="00083CFA"/>
    <w:rsid w:val="0008435A"/>
    <w:rsid w:val="00084E2F"/>
    <w:rsid w:val="00096548"/>
    <w:rsid w:val="000A7F97"/>
    <w:rsid w:val="000B6F30"/>
    <w:rsid w:val="000C15CF"/>
    <w:rsid w:val="000C55A4"/>
    <w:rsid w:val="000D1C72"/>
    <w:rsid w:val="000D41D9"/>
    <w:rsid w:val="000D4DE8"/>
    <w:rsid w:val="000E2B3D"/>
    <w:rsid w:val="000F12DB"/>
    <w:rsid w:val="0010032E"/>
    <w:rsid w:val="00100AAD"/>
    <w:rsid w:val="001127A7"/>
    <w:rsid w:val="0011519E"/>
    <w:rsid w:val="0012165C"/>
    <w:rsid w:val="00121FD4"/>
    <w:rsid w:val="001228EC"/>
    <w:rsid w:val="00134E42"/>
    <w:rsid w:val="0013718D"/>
    <w:rsid w:val="00137B70"/>
    <w:rsid w:val="00137EF5"/>
    <w:rsid w:val="00142DFB"/>
    <w:rsid w:val="0015585F"/>
    <w:rsid w:val="00173CFF"/>
    <w:rsid w:val="001777AF"/>
    <w:rsid w:val="00193493"/>
    <w:rsid w:val="00194B6B"/>
    <w:rsid w:val="001A1351"/>
    <w:rsid w:val="001A2657"/>
    <w:rsid w:val="001A5D97"/>
    <w:rsid w:val="001B0CDC"/>
    <w:rsid w:val="001D4F81"/>
    <w:rsid w:val="001F3432"/>
    <w:rsid w:val="001F6FA1"/>
    <w:rsid w:val="0020635C"/>
    <w:rsid w:val="00212853"/>
    <w:rsid w:val="00214274"/>
    <w:rsid w:val="002155C0"/>
    <w:rsid w:val="00224712"/>
    <w:rsid w:val="002268C1"/>
    <w:rsid w:val="002360F6"/>
    <w:rsid w:val="002432C8"/>
    <w:rsid w:val="00254FFB"/>
    <w:rsid w:val="00255696"/>
    <w:rsid w:val="00260F8B"/>
    <w:rsid w:val="002626D3"/>
    <w:rsid w:val="00275E20"/>
    <w:rsid w:val="00287850"/>
    <w:rsid w:val="00291728"/>
    <w:rsid w:val="00291C34"/>
    <w:rsid w:val="00293DAA"/>
    <w:rsid w:val="00295C93"/>
    <w:rsid w:val="00296C9E"/>
    <w:rsid w:val="002A2152"/>
    <w:rsid w:val="002A261D"/>
    <w:rsid w:val="002A7877"/>
    <w:rsid w:val="002B1A8B"/>
    <w:rsid w:val="002B6744"/>
    <w:rsid w:val="002C09FD"/>
    <w:rsid w:val="002D38B5"/>
    <w:rsid w:val="002D67EC"/>
    <w:rsid w:val="002E27DC"/>
    <w:rsid w:val="002F1EE2"/>
    <w:rsid w:val="002F3487"/>
    <w:rsid w:val="002F5163"/>
    <w:rsid w:val="002F63F8"/>
    <w:rsid w:val="003062DF"/>
    <w:rsid w:val="00311C8A"/>
    <w:rsid w:val="00312032"/>
    <w:rsid w:val="0031515A"/>
    <w:rsid w:val="003208EC"/>
    <w:rsid w:val="0033198A"/>
    <w:rsid w:val="00344609"/>
    <w:rsid w:val="0034670D"/>
    <w:rsid w:val="00350704"/>
    <w:rsid w:val="003530DE"/>
    <w:rsid w:val="00357720"/>
    <w:rsid w:val="003638C6"/>
    <w:rsid w:val="00364E17"/>
    <w:rsid w:val="00373033"/>
    <w:rsid w:val="00376A37"/>
    <w:rsid w:val="00386514"/>
    <w:rsid w:val="003873F5"/>
    <w:rsid w:val="00387BBE"/>
    <w:rsid w:val="0039693E"/>
    <w:rsid w:val="003A121B"/>
    <w:rsid w:val="003A315D"/>
    <w:rsid w:val="003A387C"/>
    <w:rsid w:val="003B2300"/>
    <w:rsid w:val="003C16DB"/>
    <w:rsid w:val="003D509F"/>
    <w:rsid w:val="003E3ACF"/>
    <w:rsid w:val="003E40E5"/>
    <w:rsid w:val="003E5CB2"/>
    <w:rsid w:val="004027A0"/>
    <w:rsid w:val="00410F6F"/>
    <w:rsid w:val="00416823"/>
    <w:rsid w:val="00420EAE"/>
    <w:rsid w:val="00422FCB"/>
    <w:rsid w:val="00434252"/>
    <w:rsid w:val="00437E54"/>
    <w:rsid w:val="00442673"/>
    <w:rsid w:val="00445196"/>
    <w:rsid w:val="00445CC4"/>
    <w:rsid w:val="00454C29"/>
    <w:rsid w:val="00455C24"/>
    <w:rsid w:val="00460421"/>
    <w:rsid w:val="00462D1C"/>
    <w:rsid w:val="004711FA"/>
    <w:rsid w:val="00471A63"/>
    <w:rsid w:val="00487F49"/>
    <w:rsid w:val="00492424"/>
    <w:rsid w:val="004A17BA"/>
    <w:rsid w:val="004B068C"/>
    <w:rsid w:val="004C06AD"/>
    <w:rsid w:val="004C7664"/>
    <w:rsid w:val="004C7B20"/>
    <w:rsid w:val="004D3875"/>
    <w:rsid w:val="004E3F5A"/>
    <w:rsid w:val="004F27E3"/>
    <w:rsid w:val="004F3CF4"/>
    <w:rsid w:val="004F500E"/>
    <w:rsid w:val="004F5DF6"/>
    <w:rsid w:val="005014DE"/>
    <w:rsid w:val="00502BC4"/>
    <w:rsid w:val="005072D4"/>
    <w:rsid w:val="005153C8"/>
    <w:rsid w:val="00517361"/>
    <w:rsid w:val="005236C7"/>
    <w:rsid w:val="00531C16"/>
    <w:rsid w:val="00534B03"/>
    <w:rsid w:val="00535F76"/>
    <w:rsid w:val="00552FE3"/>
    <w:rsid w:val="0055414A"/>
    <w:rsid w:val="00556E1D"/>
    <w:rsid w:val="00571CA3"/>
    <w:rsid w:val="00573AF7"/>
    <w:rsid w:val="00574788"/>
    <w:rsid w:val="00575D67"/>
    <w:rsid w:val="00577662"/>
    <w:rsid w:val="00593B5D"/>
    <w:rsid w:val="00594F8C"/>
    <w:rsid w:val="005A22CB"/>
    <w:rsid w:val="005B2951"/>
    <w:rsid w:val="005B5E6C"/>
    <w:rsid w:val="005B795C"/>
    <w:rsid w:val="005C00B0"/>
    <w:rsid w:val="005C4DFA"/>
    <w:rsid w:val="005C5EBE"/>
    <w:rsid w:val="005D2D25"/>
    <w:rsid w:val="005D463F"/>
    <w:rsid w:val="005D4C9D"/>
    <w:rsid w:val="005D59E4"/>
    <w:rsid w:val="005E6093"/>
    <w:rsid w:val="005F2E17"/>
    <w:rsid w:val="0060063B"/>
    <w:rsid w:val="00605763"/>
    <w:rsid w:val="0060605C"/>
    <w:rsid w:val="006105E7"/>
    <w:rsid w:val="006116D4"/>
    <w:rsid w:val="0061570D"/>
    <w:rsid w:val="00615B46"/>
    <w:rsid w:val="00622860"/>
    <w:rsid w:val="006244AC"/>
    <w:rsid w:val="00630F30"/>
    <w:rsid w:val="00632625"/>
    <w:rsid w:val="00633302"/>
    <w:rsid w:val="00641EB1"/>
    <w:rsid w:val="00652039"/>
    <w:rsid w:val="00652273"/>
    <w:rsid w:val="00653B3B"/>
    <w:rsid w:val="00654B03"/>
    <w:rsid w:val="00655D94"/>
    <w:rsid w:val="00662B23"/>
    <w:rsid w:val="00663E0B"/>
    <w:rsid w:val="006671A5"/>
    <w:rsid w:val="00673F82"/>
    <w:rsid w:val="006745CD"/>
    <w:rsid w:val="00674DC5"/>
    <w:rsid w:val="00676121"/>
    <w:rsid w:val="00676E51"/>
    <w:rsid w:val="00676E6C"/>
    <w:rsid w:val="00680E9B"/>
    <w:rsid w:val="0068265C"/>
    <w:rsid w:val="00691E44"/>
    <w:rsid w:val="0069412D"/>
    <w:rsid w:val="006A16B3"/>
    <w:rsid w:val="006A5CFD"/>
    <w:rsid w:val="006B17F5"/>
    <w:rsid w:val="006B656C"/>
    <w:rsid w:val="006C0501"/>
    <w:rsid w:val="006C45C3"/>
    <w:rsid w:val="006D2BB7"/>
    <w:rsid w:val="006D2EEB"/>
    <w:rsid w:val="006E018A"/>
    <w:rsid w:val="006E394E"/>
    <w:rsid w:val="006E3B8B"/>
    <w:rsid w:val="006E7360"/>
    <w:rsid w:val="0070116A"/>
    <w:rsid w:val="00701AE4"/>
    <w:rsid w:val="0070792C"/>
    <w:rsid w:val="007219A2"/>
    <w:rsid w:val="00723D14"/>
    <w:rsid w:val="007266E3"/>
    <w:rsid w:val="00741B93"/>
    <w:rsid w:val="00741C17"/>
    <w:rsid w:val="007462A2"/>
    <w:rsid w:val="0075195E"/>
    <w:rsid w:val="0075748B"/>
    <w:rsid w:val="0076139E"/>
    <w:rsid w:val="00765044"/>
    <w:rsid w:val="007654EF"/>
    <w:rsid w:val="00765ECE"/>
    <w:rsid w:val="00772CFC"/>
    <w:rsid w:val="00773DC3"/>
    <w:rsid w:val="0077511D"/>
    <w:rsid w:val="00781A6C"/>
    <w:rsid w:val="007834A0"/>
    <w:rsid w:val="0078531F"/>
    <w:rsid w:val="007873F5"/>
    <w:rsid w:val="007901A0"/>
    <w:rsid w:val="00791FFE"/>
    <w:rsid w:val="007B6044"/>
    <w:rsid w:val="007C0753"/>
    <w:rsid w:val="007C17B7"/>
    <w:rsid w:val="007C17D7"/>
    <w:rsid w:val="007C1888"/>
    <w:rsid w:val="007C4BEB"/>
    <w:rsid w:val="007C6212"/>
    <w:rsid w:val="007D02E5"/>
    <w:rsid w:val="007D1DFC"/>
    <w:rsid w:val="007D3909"/>
    <w:rsid w:val="007D3DCD"/>
    <w:rsid w:val="007E0E72"/>
    <w:rsid w:val="007E59C2"/>
    <w:rsid w:val="007F7773"/>
    <w:rsid w:val="0080148D"/>
    <w:rsid w:val="00804C09"/>
    <w:rsid w:val="008164FE"/>
    <w:rsid w:val="00830221"/>
    <w:rsid w:val="008308EF"/>
    <w:rsid w:val="00835FA2"/>
    <w:rsid w:val="0083716A"/>
    <w:rsid w:val="00837603"/>
    <w:rsid w:val="008410CD"/>
    <w:rsid w:val="0084156F"/>
    <w:rsid w:val="00853831"/>
    <w:rsid w:val="0086045F"/>
    <w:rsid w:val="00863161"/>
    <w:rsid w:val="008659BD"/>
    <w:rsid w:val="00866764"/>
    <w:rsid w:val="00873D33"/>
    <w:rsid w:val="00881114"/>
    <w:rsid w:val="00883118"/>
    <w:rsid w:val="00897377"/>
    <w:rsid w:val="008A36F0"/>
    <w:rsid w:val="008A4F1E"/>
    <w:rsid w:val="008B0B5F"/>
    <w:rsid w:val="008C4DE7"/>
    <w:rsid w:val="008C662D"/>
    <w:rsid w:val="008D747B"/>
    <w:rsid w:val="008E1BEB"/>
    <w:rsid w:val="008E5BF7"/>
    <w:rsid w:val="008E6F0F"/>
    <w:rsid w:val="009108DF"/>
    <w:rsid w:val="009154B0"/>
    <w:rsid w:val="00917741"/>
    <w:rsid w:val="00917838"/>
    <w:rsid w:val="00924B41"/>
    <w:rsid w:val="00926D5D"/>
    <w:rsid w:val="0093285A"/>
    <w:rsid w:val="00932EF3"/>
    <w:rsid w:val="00934F07"/>
    <w:rsid w:val="00946A10"/>
    <w:rsid w:val="00950285"/>
    <w:rsid w:val="00951D2F"/>
    <w:rsid w:val="0095691C"/>
    <w:rsid w:val="009578DA"/>
    <w:rsid w:val="00962DE0"/>
    <w:rsid w:val="00972390"/>
    <w:rsid w:val="00974D5E"/>
    <w:rsid w:val="00987767"/>
    <w:rsid w:val="00991D60"/>
    <w:rsid w:val="00996BDD"/>
    <w:rsid w:val="009A2778"/>
    <w:rsid w:val="009A5854"/>
    <w:rsid w:val="009A6B26"/>
    <w:rsid w:val="009B1AEF"/>
    <w:rsid w:val="009B7B12"/>
    <w:rsid w:val="009C2A60"/>
    <w:rsid w:val="009C7D63"/>
    <w:rsid w:val="009D0128"/>
    <w:rsid w:val="009E0255"/>
    <w:rsid w:val="009E264B"/>
    <w:rsid w:val="009F6587"/>
    <w:rsid w:val="009F73AB"/>
    <w:rsid w:val="00A00A21"/>
    <w:rsid w:val="00A12DE4"/>
    <w:rsid w:val="00A17E5C"/>
    <w:rsid w:val="00A245A5"/>
    <w:rsid w:val="00A26AA6"/>
    <w:rsid w:val="00A26F19"/>
    <w:rsid w:val="00A35C51"/>
    <w:rsid w:val="00A37C1B"/>
    <w:rsid w:val="00A42C03"/>
    <w:rsid w:val="00A46162"/>
    <w:rsid w:val="00A4654A"/>
    <w:rsid w:val="00A643E4"/>
    <w:rsid w:val="00A64990"/>
    <w:rsid w:val="00A65DB7"/>
    <w:rsid w:val="00A661CC"/>
    <w:rsid w:val="00A66EC2"/>
    <w:rsid w:val="00A673B7"/>
    <w:rsid w:val="00A76F1B"/>
    <w:rsid w:val="00A85819"/>
    <w:rsid w:val="00A864AF"/>
    <w:rsid w:val="00A91AE3"/>
    <w:rsid w:val="00A93DA6"/>
    <w:rsid w:val="00A96500"/>
    <w:rsid w:val="00AA658F"/>
    <w:rsid w:val="00AA78AE"/>
    <w:rsid w:val="00AB3CED"/>
    <w:rsid w:val="00AD58EE"/>
    <w:rsid w:val="00AD76D0"/>
    <w:rsid w:val="00AE071D"/>
    <w:rsid w:val="00AF5B33"/>
    <w:rsid w:val="00AF72F9"/>
    <w:rsid w:val="00B02DA1"/>
    <w:rsid w:val="00B03A7E"/>
    <w:rsid w:val="00B06080"/>
    <w:rsid w:val="00B167FD"/>
    <w:rsid w:val="00B17787"/>
    <w:rsid w:val="00B21084"/>
    <w:rsid w:val="00B21145"/>
    <w:rsid w:val="00B23F5D"/>
    <w:rsid w:val="00B24590"/>
    <w:rsid w:val="00B254F9"/>
    <w:rsid w:val="00B33DF4"/>
    <w:rsid w:val="00B34D4C"/>
    <w:rsid w:val="00B35415"/>
    <w:rsid w:val="00B3678B"/>
    <w:rsid w:val="00B43670"/>
    <w:rsid w:val="00B445E1"/>
    <w:rsid w:val="00B45C0B"/>
    <w:rsid w:val="00B560F7"/>
    <w:rsid w:val="00B5640C"/>
    <w:rsid w:val="00B609ED"/>
    <w:rsid w:val="00B648AE"/>
    <w:rsid w:val="00B64913"/>
    <w:rsid w:val="00B676D7"/>
    <w:rsid w:val="00B72FAB"/>
    <w:rsid w:val="00B7422D"/>
    <w:rsid w:val="00B7782E"/>
    <w:rsid w:val="00B83A50"/>
    <w:rsid w:val="00B85EDA"/>
    <w:rsid w:val="00B90241"/>
    <w:rsid w:val="00B97200"/>
    <w:rsid w:val="00BA52ED"/>
    <w:rsid w:val="00BA5CE1"/>
    <w:rsid w:val="00BB22FD"/>
    <w:rsid w:val="00BB4F55"/>
    <w:rsid w:val="00BB6238"/>
    <w:rsid w:val="00BC65E8"/>
    <w:rsid w:val="00BC7020"/>
    <w:rsid w:val="00BC76DB"/>
    <w:rsid w:val="00BC79F7"/>
    <w:rsid w:val="00BD2A65"/>
    <w:rsid w:val="00BD6AE7"/>
    <w:rsid w:val="00BE5FA3"/>
    <w:rsid w:val="00BF4389"/>
    <w:rsid w:val="00BF640A"/>
    <w:rsid w:val="00C00993"/>
    <w:rsid w:val="00C16467"/>
    <w:rsid w:val="00C165C0"/>
    <w:rsid w:val="00C2319D"/>
    <w:rsid w:val="00C34566"/>
    <w:rsid w:val="00C406DC"/>
    <w:rsid w:val="00C41609"/>
    <w:rsid w:val="00C50756"/>
    <w:rsid w:val="00C53DEA"/>
    <w:rsid w:val="00C610A8"/>
    <w:rsid w:val="00C61C2A"/>
    <w:rsid w:val="00C72C58"/>
    <w:rsid w:val="00C739FB"/>
    <w:rsid w:val="00C80B00"/>
    <w:rsid w:val="00C81E24"/>
    <w:rsid w:val="00C82BC8"/>
    <w:rsid w:val="00CA5C32"/>
    <w:rsid w:val="00CB37B8"/>
    <w:rsid w:val="00CC31AE"/>
    <w:rsid w:val="00CD16E1"/>
    <w:rsid w:val="00CD68CF"/>
    <w:rsid w:val="00CE07A9"/>
    <w:rsid w:val="00CE08C2"/>
    <w:rsid w:val="00CF5AB6"/>
    <w:rsid w:val="00CF75EA"/>
    <w:rsid w:val="00D02891"/>
    <w:rsid w:val="00D03678"/>
    <w:rsid w:val="00D05739"/>
    <w:rsid w:val="00D17E91"/>
    <w:rsid w:val="00D24340"/>
    <w:rsid w:val="00D24D43"/>
    <w:rsid w:val="00D26F56"/>
    <w:rsid w:val="00D310AC"/>
    <w:rsid w:val="00D42D04"/>
    <w:rsid w:val="00D53949"/>
    <w:rsid w:val="00D54DEF"/>
    <w:rsid w:val="00D5712F"/>
    <w:rsid w:val="00D603F0"/>
    <w:rsid w:val="00D61216"/>
    <w:rsid w:val="00D65D3D"/>
    <w:rsid w:val="00D67F1D"/>
    <w:rsid w:val="00D70104"/>
    <w:rsid w:val="00D73F6A"/>
    <w:rsid w:val="00D74E38"/>
    <w:rsid w:val="00D7711B"/>
    <w:rsid w:val="00D8165F"/>
    <w:rsid w:val="00D83EF7"/>
    <w:rsid w:val="00D8527C"/>
    <w:rsid w:val="00D92561"/>
    <w:rsid w:val="00DA0EEB"/>
    <w:rsid w:val="00DA4875"/>
    <w:rsid w:val="00DB798F"/>
    <w:rsid w:val="00DC6325"/>
    <w:rsid w:val="00DD69B4"/>
    <w:rsid w:val="00DE2F77"/>
    <w:rsid w:val="00DE3471"/>
    <w:rsid w:val="00DE37AA"/>
    <w:rsid w:val="00DF0B9B"/>
    <w:rsid w:val="00DF0D51"/>
    <w:rsid w:val="00DF2C26"/>
    <w:rsid w:val="00E026E1"/>
    <w:rsid w:val="00E02C15"/>
    <w:rsid w:val="00E02CE4"/>
    <w:rsid w:val="00E250A0"/>
    <w:rsid w:val="00E25C26"/>
    <w:rsid w:val="00E25FDD"/>
    <w:rsid w:val="00E36E62"/>
    <w:rsid w:val="00E4390C"/>
    <w:rsid w:val="00E547D4"/>
    <w:rsid w:val="00E63636"/>
    <w:rsid w:val="00E64605"/>
    <w:rsid w:val="00E723EF"/>
    <w:rsid w:val="00E80B1F"/>
    <w:rsid w:val="00E9003B"/>
    <w:rsid w:val="00E94A4B"/>
    <w:rsid w:val="00EE047C"/>
    <w:rsid w:val="00EE2BCB"/>
    <w:rsid w:val="00EF2433"/>
    <w:rsid w:val="00F036C6"/>
    <w:rsid w:val="00F07260"/>
    <w:rsid w:val="00F14AB4"/>
    <w:rsid w:val="00F150AC"/>
    <w:rsid w:val="00F1576D"/>
    <w:rsid w:val="00F22024"/>
    <w:rsid w:val="00F33B3D"/>
    <w:rsid w:val="00F42CEB"/>
    <w:rsid w:val="00F43163"/>
    <w:rsid w:val="00F4445F"/>
    <w:rsid w:val="00F44BC8"/>
    <w:rsid w:val="00F468CF"/>
    <w:rsid w:val="00F530DA"/>
    <w:rsid w:val="00F5334E"/>
    <w:rsid w:val="00F625FE"/>
    <w:rsid w:val="00F77ACB"/>
    <w:rsid w:val="00F96182"/>
    <w:rsid w:val="00F965AC"/>
    <w:rsid w:val="00FA13D6"/>
    <w:rsid w:val="00FA3E57"/>
    <w:rsid w:val="00FB2A76"/>
    <w:rsid w:val="00FB2C73"/>
    <w:rsid w:val="00FB461B"/>
    <w:rsid w:val="00FB7FEB"/>
    <w:rsid w:val="00FD2296"/>
    <w:rsid w:val="00FD2854"/>
    <w:rsid w:val="00FE4C83"/>
    <w:rsid w:val="00FF1AB2"/>
    <w:rsid w:val="00FF57B2"/>
    <w:rsid w:val="00FF7F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FAA4A"/>
  <w15:chartTrackingRefBased/>
  <w15:docId w15:val="{7E6A8D03-14FF-434E-A680-35FB058D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7A7"/>
    <w:rPr>
      <w:rFonts w:eastAsiaTheme="majorEastAsia" w:cstheme="majorBidi"/>
      <w:color w:val="272727" w:themeColor="text1" w:themeTint="D8"/>
    </w:rPr>
  </w:style>
  <w:style w:type="paragraph" w:styleId="Title">
    <w:name w:val="Title"/>
    <w:basedOn w:val="Normal"/>
    <w:next w:val="Normal"/>
    <w:link w:val="TitleChar"/>
    <w:uiPriority w:val="10"/>
    <w:qFormat/>
    <w:rsid w:val="00112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7A7"/>
    <w:pPr>
      <w:spacing w:before="160"/>
      <w:jc w:val="center"/>
    </w:pPr>
    <w:rPr>
      <w:i/>
      <w:iCs/>
      <w:color w:val="404040" w:themeColor="text1" w:themeTint="BF"/>
    </w:rPr>
  </w:style>
  <w:style w:type="character" w:customStyle="1" w:styleId="QuoteChar">
    <w:name w:val="Quote Char"/>
    <w:basedOn w:val="DefaultParagraphFont"/>
    <w:link w:val="Quote"/>
    <w:uiPriority w:val="29"/>
    <w:rsid w:val="001127A7"/>
    <w:rPr>
      <w:i/>
      <w:iCs/>
      <w:color w:val="404040" w:themeColor="text1" w:themeTint="BF"/>
    </w:rPr>
  </w:style>
  <w:style w:type="paragraph" w:styleId="ListParagraph">
    <w:name w:val="List Paragraph"/>
    <w:basedOn w:val="Normal"/>
    <w:uiPriority w:val="34"/>
    <w:qFormat/>
    <w:rsid w:val="001127A7"/>
    <w:pPr>
      <w:ind w:left="720"/>
      <w:contextualSpacing/>
    </w:pPr>
  </w:style>
  <w:style w:type="character" w:styleId="IntenseEmphasis">
    <w:name w:val="Intense Emphasis"/>
    <w:basedOn w:val="DefaultParagraphFont"/>
    <w:uiPriority w:val="21"/>
    <w:qFormat/>
    <w:rsid w:val="001127A7"/>
    <w:rPr>
      <w:i/>
      <w:iCs/>
      <w:color w:val="0F4761" w:themeColor="accent1" w:themeShade="BF"/>
    </w:rPr>
  </w:style>
  <w:style w:type="paragraph" w:styleId="IntenseQuote">
    <w:name w:val="Intense Quote"/>
    <w:basedOn w:val="Normal"/>
    <w:next w:val="Normal"/>
    <w:link w:val="IntenseQuoteChar"/>
    <w:uiPriority w:val="30"/>
    <w:qFormat/>
    <w:rsid w:val="00112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7A7"/>
    <w:rPr>
      <w:i/>
      <w:iCs/>
      <w:color w:val="0F4761" w:themeColor="accent1" w:themeShade="BF"/>
    </w:rPr>
  </w:style>
  <w:style w:type="character" w:styleId="IntenseReference">
    <w:name w:val="Intense Reference"/>
    <w:basedOn w:val="DefaultParagraphFont"/>
    <w:uiPriority w:val="32"/>
    <w:qFormat/>
    <w:rsid w:val="001127A7"/>
    <w:rPr>
      <w:b/>
      <w:bCs/>
      <w:smallCaps/>
      <w:color w:val="0F4761" w:themeColor="accent1" w:themeShade="BF"/>
      <w:spacing w:val="5"/>
    </w:rPr>
  </w:style>
  <w:style w:type="table" w:styleId="TableGrid">
    <w:name w:val="Table Grid"/>
    <w:basedOn w:val="TableNormal"/>
    <w:uiPriority w:val="39"/>
    <w:rsid w:val="00A9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6045F"/>
    <w:rPr>
      <w:rFonts w:ascii="Times New Roman" w:hAnsi="Times New Roman" w:cs="Times New Roman"/>
    </w:rPr>
  </w:style>
  <w:style w:type="character" w:styleId="Hyperlink">
    <w:name w:val="Hyperlink"/>
    <w:basedOn w:val="DefaultParagraphFont"/>
    <w:uiPriority w:val="99"/>
    <w:unhideWhenUsed/>
    <w:rsid w:val="0086045F"/>
    <w:rPr>
      <w:color w:val="467886" w:themeColor="hyperlink"/>
      <w:u w:val="single"/>
    </w:rPr>
  </w:style>
  <w:style w:type="character" w:styleId="UnresolvedMention">
    <w:name w:val="Unresolved Mention"/>
    <w:basedOn w:val="DefaultParagraphFont"/>
    <w:uiPriority w:val="99"/>
    <w:semiHidden/>
    <w:unhideWhenUsed/>
    <w:rsid w:val="0086045F"/>
    <w:rPr>
      <w:color w:val="605E5C"/>
      <w:shd w:val="clear" w:color="auto" w:fill="E1DFDD"/>
    </w:rPr>
  </w:style>
  <w:style w:type="paragraph" w:styleId="Header">
    <w:name w:val="header"/>
    <w:basedOn w:val="Normal"/>
    <w:link w:val="HeaderChar"/>
    <w:uiPriority w:val="99"/>
    <w:unhideWhenUsed/>
    <w:rsid w:val="009A2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778"/>
  </w:style>
  <w:style w:type="paragraph" w:styleId="Footer">
    <w:name w:val="footer"/>
    <w:basedOn w:val="Normal"/>
    <w:link w:val="FooterChar"/>
    <w:uiPriority w:val="99"/>
    <w:unhideWhenUsed/>
    <w:rsid w:val="009A2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659020">
      <w:bodyDiv w:val="1"/>
      <w:marLeft w:val="0"/>
      <w:marRight w:val="0"/>
      <w:marTop w:val="0"/>
      <w:marBottom w:val="0"/>
      <w:divBdr>
        <w:top w:val="none" w:sz="0" w:space="0" w:color="auto"/>
        <w:left w:val="none" w:sz="0" w:space="0" w:color="auto"/>
        <w:bottom w:val="none" w:sz="0" w:space="0" w:color="auto"/>
        <w:right w:val="none" w:sz="0" w:space="0" w:color="auto"/>
      </w:divBdr>
      <w:divsChild>
        <w:div w:id="1473910542">
          <w:marLeft w:val="0"/>
          <w:marRight w:val="0"/>
          <w:marTop w:val="0"/>
          <w:marBottom w:val="0"/>
          <w:divBdr>
            <w:top w:val="none" w:sz="0" w:space="0" w:color="auto"/>
            <w:left w:val="none" w:sz="0" w:space="0" w:color="auto"/>
            <w:bottom w:val="none" w:sz="0" w:space="0" w:color="auto"/>
            <w:right w:val="none" w:sz="0" w:space="0" w:color="auto"/>
          </w:divBdr>
        </w:div>
      </w:divsChild>
    </w:div>
    <w:div w:id="1518999373">
      <w:bodyDiv w:val="1"/>
      <w:marLeft w:val="0"/>
      <w:marRight w:val="0"/>
      <w:marTop w:val="0"/>
      <w:marBottom w:val="0"/>
      <w:divBdr>
        <w:top w:val="none" w:sz="0" w:space="0" w:color="auto"/>
        <w:left w:val="none" w:sz="0" w:space="0" w:color="auto"/>
        <w:bottom w:val="none" w:sz="0" w:space="0" w:color="auto"/>
        <w:right w:val="none" w:sz="0" w:space="0" w:color="auto"/>
      </w:divBdr>
      <w:divsChild>
        <w:div w:id="2029990037">
          <w:marLeft w:val="0"/>
          <w:marRight w:val="0"/>
          <w:marTop w:val="0"/>
          <w:marBottom w:val="0"/>
          <w:divBdr>
            <w:top w:val="none" w:sz="0" w:space="0" w:color="auto"/>
            <w:left w:val="none" w:sz="0" w:space="0" w:color="auto"/>
            <w:bottom w:val="none" w:sz="0" w:space="0" w:color="auto"/>
            <w:right w:val="none" w:sz="0" w:space="0" w:color="auto"/>
          </w:divBdr>
        </w:div>
      </w:divsChild>
    </w:div>
    <w:div w:id="1711803701">
      <w:bodyDiv w:val="1"/>
      <w:marLeft w:val="0"/>
      <w:marRight w:val="0"/>
      <w:marTop w:val="0"/>
      <w:marBottom w:val="0"/>
      <w:divBdr>
        <w:top w:val="none" w:sz="0" w:space="0" w:color="auto"/>
        <w:left w:val="none" w:sz="0" w:space="0" w:color="auto"/>
        <w:bottom w:val="none" w:sz="0" w:space="0" w:color="auto"/>
        <w:right w:val="none" w:sz="0" w:space="0" w:color="auto"/>
      </w:divBdr>
      <w:divsChild>
        <w:div w:id="395008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268/IW-6.2.909" TargetMode="External"/><Relationship Id="rId18" Type="http://schemas.openxmlformats.org/officeDocument/2006/relationships/hyperlink" Target="https://doi.org/10.13005/bbra/2758" TargetMode="External"/><Relationship Id="rId26" Type="http://schemas.openxmlformats.org/officeDocument/2006/relationships/hyperlink" Target="https://doi.org/10.56557/ajorib/2025/v7i1113" TargetMode="External"/><Relationship Id="rId3" Type="http://schemas.openxmlformats.org/officeDocument/2006/relationships/styles" Target="styles.xml"/><Relationship Id="rId21" Type="http://schemas.openxmlformats.org/officeDocument/2006/relationships/hyperlink" Target="https://www.sciencedirect.com/book/monograph/9780127447605/limnology?utm_source=chatgpt.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4319/lo.1977.22.2.0361" TargetMode="External"/><Relationship Id="rId17" Type="http://schemas.openxmlformats.org/officeDocument/2006/relationships/hyperlink" Target="https://doi.org/10.1007/s13201-020-1146-y" TargetMode="External"/><Relationship Id="rId25" Type="http://schemas.openxmlformats.org/officeDocument/2006/relationships/hyperlink" Target="https://doi.org/10.1007/s10661-025-13936-4"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21077/ijf.2024.71.3.147246-05" TargetMode="External"/><Relationship Id="rId20" Type="http://schemas.openxmlformats.org/officeDocument/2006/relationships/hyperlink" Target="https://doi.org/10.1016/S0269-7491(99)00091-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ehu.ac.in/bib/37073?utm_source=chatgpt.com" TargetMode="External"/><Relationship Id="rId24" Type="http://schemas.openxmlformats.org/officeDocument/2006/relationships/hyperlink" Target="https://doi.org/10.1038/s41598-024-69577-z"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iso.org/standard/84099.html?utm_source=chatgpt.com" TargetMode="External"/><Relationship Id="rId23" Type="http://schemas.openxmlformats.org/officeDocument/2006/relationships/hyperlink" Target="https://doi.org/10.1016/j.scitotenv.2020.143605" TargetMode="External"/><Relationship Id="rId28" Type="http://schemas.openxmlformats.org/officeDocument/2006/relationships/header" Target="header1.xml"/><Relationship Id="rId10" Type="http://schemas.openxmlformats.org/officeDocument/2006/relationships/hyperlink" Target="https://doi.org/10.1186/s41936-023-00337-7?utm_source=chatgpt.com" TargetMode="External"/><Relationship Id="rId19" Type="http://schemas.openxmlformats.org/officeDocument/2006/relationships/hyperlink" Target="https://doi.org/10.1007/s10661-023-11116-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tandardmethods.org" TargetMode="External"/><Relationship Id="rId14" Type="http://schemas.openxmlformats.org/officeDocument/2006/relationships/hyperlink" Target="https://doi.org/10.31951/2658-3518-2025-A-3-284" TargetMode="External"/><Relationship Id="rId22" Type="http://schemas.openxmlformats.org/officeDocument/2006/relationships/hyperlink" Target="https://www.who.int/publications/i/item/9789240045064?utm_source=chatgpt.com" TargetMode="External"/><Relationship Id="rId27" Type="http://schemas.openxmlformats.org/officeDocument/2006/relationships/hyperlink" Target="https://doi.org/10.9734/JEAI/2016/29744"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54DD9-F70F-4C79-884F-79DF1134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19</Pages>
  <Words>5848</Words>
  <Characters>33338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Srivarsha Annem</dc:creator>
  <cp:keywords/>
  <dc:description/>
  <cp:lastModifiedBy>SDI CPU 1117</cp:lastModifiedBy>
  <cp:revision>476</cp:revision>
  <dcterms:created xsi:type="dcterms:W3CDTF">2026-04-26T16:59:00Z</dcterms:created>
  <dcterms:modified xsi:type="dcterms:W3CDTF">2026-07-09T04:23:00Z</dcterms:modified>
</cp:coreProperties>
</file>