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504D1" w14:textId="596DFB4E" w:rsidR="00E971ED" w:rsidRPr="0065745A" w:rsidRDefault="009A75F5" w:rsidP="00656CC7">
      <w:pPr>
        <w:spacing w:line="360" w:lineRule="auto"/>
        <w:rPr>
          <w:rFonts w:ascii="Arial" w:hAnsi="Arial" w:cs="Arial"/>
          <w:b/>
          <w:bCs/>
          <w:sz w:val="22"/>
          <w:szCs w:val="22"/>
          <w:u w:val="single"/>
        </w:rPr>
      </w:pPr>
      <w:bookmarkStart w:id="0" w:name="_GoBack"/>
      <w:r w:rsidRPr="0065745A">
        <w:rPr>
          <w:rFonts w:ascii="Arial" w:hAnsi="Arial" w:cs="Arial"/>
          <w:b/>
          <w:bCs/>
          <w:sz w:val="22"/>
          <w:szCs w:val="22"/>
          <w:u w:val="single"/>
        </w:rPr>
        <w:t>Original Research Article</w:t>
      </w:r>
    </w:p>
    <w:p w14:paraId="588692E0" w14:textId="77777777" w:rsidR="00412F32" w:rsidRPr="0065745A" w:rsidRDefault="00692E76" w:rsidP="00B35DE9">
      <w:pPr>
        <w:rPr>
          <w:b/>
          <w:bCs/>
          <w:sz w:val="28"/>
          <w:szCs w:val="22"/>
        </w:rPr>
      </w:pPr>
      <w:r w:rsidRPr="0065745A">
        <w:rPr>
          <w:b/>
          <w:bCs/>
          <w:sz w:val="28"/>
          <w:szCs w:val="22"/>
        </w:rPr>
        <w:t xml:space="preserve">Lethal Effects of Sugar Industry Effluent on Behaviour and Mortality in the Freshwater Fish </w:t>
      </w:r>
      <w:r w:rsidRPr="0065745A">
        <w:rPr>
          <w:b/>
          <w:bCs/>
          <w:i/>
          <w:sz w:val="28"/>
          <w:szCs w:val="22"/>
        </w:rPr>
        <w:t>Chanda nama</w:t>
      </w:r>
    </w:p>
    <w:p w14:paraId="3DBD8A1F" w14:textId="77777777" w:rsidR="00C567D9" w:rsidRPr="0065745A" w:rsidRDefault="002220CD" w:rsidP="00C567D9">
      <w:pPr>
        <w:spacing w:line="360" w:lineRule="auto"/>
        <w:rPr>
          <w:rFonts w:ascii="Arial" w:hAnsi="Arial" w:cs="Arial"/>
          <w:b/>
          <w:bCs/>
          <w:i/>
          <w:iCs/>
          <w:sz w:val="22"/>
          <w:szCs w:val="22"/>
        </w:rPr>
      </w:pPr>
      <w:r w:rsidRPr="0065745A">
        <w:rPr>
          <w:rFonts w:ascii="Arial" w:hAnsi="Arial" w:cs="Arial"/>
          <w:b/>
          <w:bCs/>
          <w:sz w:val="22"/>
          <w:szCs w:val="22"/>
        </w:rPr>
        <w:t>Abstract</w:t>
      </w:r>
    </w:p>
    <w:p w14:paraId="19EC521C" w14:textId="77777777" w:rsidR="00E11E4A" w:rsidRDefault="00E11E4A" w:rsidP="008F226B">
      <w:pPr>
        <w:spacing w:line="360" w:lineRule="auto"/>
        <w:jc w:val="both"/>
      </w:pPr>
      <w:r>
        <w:t xml:space="preserve">Discharge of industrial, municipal and agricultural wastewater into freshwater ecosystems introduces pollutants such as heavy metals, nutrients and organic loads that can affect aquatic organisms. In the present study, the lethal and behavioural effects of sugar industry effluent were assessed in the freshwater small indigenous fish </w:t>
      </w:r>
      <w:r>
        <w:rPr>
          <w:rStyle w:val="Emphasis"/>
        </w:rPr>
        <w:t>Chanda nama</w:t>
      </w:r>
      <w:r>
        <w:t xml:space="preserve"> collected from the Bhima River. Effluent was collected from the canal confluence at Patas village, and test fish were acclimatised under laboratory conditions before exposure. Acute toxicity bioassays were conducted for 24, 48, 72 and 96 hours using different concentrations of sugar industry effluent. The estimated LC50 values declined with increasing exposure duration, from 15.5% at 24 hours to 15.0%, 14.5% and 14.0% at 48, 72 and 96 hours, respectively. Fish exposed to lethal concentrations exhibited clear behavioural changes, including increased opercular movement, jerky and erratic swimming, excitation, loss of equilibrium, attempts to escape from the aquarium, leaping out of water and repeated contact with the aquarium wall. Mortality increased with concentration and exposure duration, indicating a time-dependent toxic response under laboratory conditions. The findings suggest that untreated or inadequately treated sugar industry effluent may cause acute stress and mortality in freshwater fish. Proper effluent treatment, routine monitoring and further chemical characterisation are needed to better understand the toxic components and reduce potential ecological risks.</w:t>
      </w:r>
    </w:p>
    <w:p w14:paraId="56F3E63F" w14:textId="17CFCCB1" w:rsidR="002220CD" w:rsidRPr="0065745A" w:rsidRDefault="002220CD" w:rsidP="008F226B">
      <w:pPr>
        <w:spacing w:line="360" w:lineRule="auto"/>
        <w:jc w:val="both"/>
        <w:rPr>
          <w:rFonts w:ascii="Arial" w:hAnsi="Arial" w:cs="Arial"/>
          <w:sz w:val="20"/>
          <w:szCs w:val="20"/>
        </w:rPr>
      </w:pPr>
      <w:r w:rsidRPr="0065745A">
        <w:rPr>
          <w:b/>
          <w:bCs/>
        </w:rPr>
        <w:t>Key Words</w:t>
      </w:r>
      <w:r w:rsidRPr="0065745A">
        <w:t xml:space="preserve">: </w:t>
      </w:r>
      <w:r w:rsidR="008F226B">
        <w:rPr>
          <w:rStyle w:val="Emphasis"/>
        </w:rPr>
        <w:t>Chanda nama</w:t>
      </w:r>
      <w:r w:rsidR="008F226B">
        <w:t>; sugar industry effluent; freshwater fish; acute toxicity; LC50; behavioural response; mortality; opercular movement; Bhima River; industrial wastewater; aquatic toxicology.</w:t>
      </w:r>
    </w:p>
    <w:p w14:paraId="65D4D98C" w14:textId="77777777" w:rsidR="002220CD" w:rsidRPr="0065745A" w:rsidRDefault="006A226F" w:rsidP="00B35DE9">
      <w:pPr>
        <w:tabs>
          <w:tab w:val="left" w:pos="1824"/>
        </w:tabs>
        <w:spacing w:line="360" w:lineRule="auto"/>
        <w:rPr>
          <w:rFonts w:ascii="Arial" w:hAnsi="Arial" w:cs="Arial"/>
          <w:b/>
          <w:bCs/>
          <w:sz w:val="22"/>
          <w:szCs w:val="22"/>
        </w:rPr>
      </w:pPr>
      <w:r w:rsidRPr="0065745A">
        <w:rPr>
          <w:rFonts w:ascii="Arial" w:hAnsi="Arial" w:cs="Arial"/>
          <w:b/>
          <w:bCs/>
          <w:sz w:val="22"/>
          <w:szCs w:val="22"/>
        </w:rPr>
        <w:t xml:space="preserve">1. </w:t>
      </w:r>
      <w:r w:rsidR="002220CD" w:rsidRPr="0065745A">
        <w:rPr>
          <w:rFonts w:ascii="Arial" w:hAnsi="Arial" w:cs="Arial"/>
          <w:b/>
          <w:bCs/>
          <w:sz w:val="22"/>
          <w:szCs w:val="22"/>
        </w:rPr>
        <w:t>Introduction</w:t>
      </w:r>
    </w:p>
    <w:p w14:paraId="31AAC7D2" w14:textId="77777777" w:rsidR="002A3BD4" w:rsidRPr="0065745A" w:rsidRDefault="002A3BD4" w:rsidP="002A3BD4">
      <w:pPr>
        <w:spacing w:before="120" w:after="120" w:line="360" w:lineRule="auto"/>
        <w:ind w:firstLine="720"/>
        <w:jc w:val="both"/>
        <w:rPr>
          <w:rFonts w:ascii="Arial" w:eastAsia="Times New Roman" w:hAnsi="Arial" w:cs="Arial"/>
          <w:kern w:val="0"/>
          <w:sz w:val="20"/>
          <w:szCs w:val="20"/>
          <w:lang w:val="en-US" w:bidi="ar-SA"/>
        </w:rPr>
      </w:pPr>
      <w:r w:rsidRPr="0065745A">
        <w:t xml:space="preserve">Acute toxicity tests are fundamental for assessing the sensitivity of organisms to toxicants, the extent of damage to target organs and the associated physiological disturbances. These investigations provide valuable insights into the immediate adverse effects of toxic substances and are particularly important for determining short-term </w:t>
      </w:r>
      <w:r w:rsidRPr="0065745A">
        <w:lastRenderedPageBreak/>
        <w:t>responses after exposure (Hagen, 1959). Consequently, acute toxicity studies constitute an essential component of ecotoxicological and environmental risk assessment.</w:t>
      </w:r>
    </w:p>
    <w:p w14:paraId="7FC095B5" w14:textId="77777777" w:rsidR="002A3BD4" w:rsidRPr="0065745A" w:rsidRDefault="002A3BD4" w:rsidP="002A3BD4">
      <w:pPr>
        <w:spacing w:before="120" w:after="120" w:line="360" w:lineRule="auto"/>
        <w:ind w:firstLine="720"/>
        <w:jc w:val="both"/>
        <w:rPr>
          <w:rFonts w:ascii="Arial" w:eastAsia="Times New Roman" w:hAnsi="Arial" w:cs="Arial"/>
          <w:kern w:val="0"/>
          <w:sz w:val="20"/>
          <w:szCs w:val="20"/>
          <w:lang w:val="en-US" w:bidi="ar-SA"/>
        </w:rPr>
      </w:pPr>
    </w:p>
    <w:p w14:paraId="1A3C3977" w14:textId="27B6AFD4" w:rsidR="002A3BD4" w:rsidRPr="0065745A" w:rsidRDefault="002A3BD4" w:rsidP="002A3BD4">
      <w:pPr>
        <w:spacing w:before="120" w:after="120" w:line="360" w:lineRule="auto"/>
        <w:ind w:firstLine="720"/>
        <w:jc w:val="both"/>
        <w:rPr>
          <w:rFonts w:ascii="Arial" w:eastAsia="Times New Roman" w:hAnsi="Arial" w:cs="Arial"/>
          <w:kern w:val="0"/>
          <w:sz w:val="20"/>
          <w:szCs w:val="20"/>
          <w:lang w:val="en-US" w:bidi="ar-SA"/>
        </w:rPr>
      </w:pPr>
      <w:r w:rsidRPr="0065745A">
        <w:t xml:space="preserve">The use of fish as experimental models in toxicity testing was reported as early as 1951 by </w:t>
      </w:r>
      <w:r w:rsidR="000C5F06" w:rsidRPr="000C5F06">
        <w:t>Doudoroff</w:t>
      </w:r>
      <w:r w:rsidRPr="0065745A">
        <w:t xml:space="preserve"> et al., and later investigations expanded this approach to evaluate a wide range of pesticides (Murthy, 1986; </w:t>
      </w:r>
      <w:r w:rsidR="000C5F06" w:rsidRPr="000C5F06">
        <w:t xml:space="preserve">Murty </w:t>
      </w:r>
      <w:r w:rsidRPr="0065745A">
        <w:t xml:space="preserve">&amp; Kondaiah, 1991; Symons, 1973; Verma et al., 1977). Since then, numerous studies have examined the acute toxic effects of organophosphate pesticides, including Nuvan, Dimecron and diazinon, as well as organochlorine compounds such as endosulfan and dichlorodiphenyltrichloroethane (DDT), in different fish species (Al-Kahem et al., 1998; </w:t>
      </w:r>
      <w:r w:rsidR="000C5F06" w:rsidRPr="000C5F06">
        <w:t>Bakthavathsalam</w:t>
      </w:r>
      <w:r w:rsidRPr="0065745A">
        <w:t xml:space="preserve"> &amp; Reddy, 1981; Ganesan et al., 1989; Joshi &amp; Rege, 1980; Khillare &amp; Wagh, 1987; </w:t>
      </w:r>
      <w:r w:rsidR="000C5F06" w:rsidRPr="000C5F06">
        <w:t>Anna Mercy</w:t>
      </w:r>
      <w:r w:rsidRPr="0065745A">
        <w:t xml:space="preserve"> et al., 2001; Rahman et al., 2002; Ramanujan &amp; Mohanty, 1997; Saxena et al., 1997; Verma et al., 1979, 1981). Collectively, these investigations demonstrate the toxic potential of these compounds and their capacity to induce physiological and biochemical alterations in aquatic organisms. The findings also underscore the ecological implications of pesticide contamination and the potential indirect risks to human health through environmental exposure and trophic transfer.</w:t>
      </w:r>
    </w:p>
    <w:p w14:paraId="137555B0" w14:textId="77777777" w:rsidR="002A3BD4" w:rsidRPr="0065745A" w:rsidRDefault="002A3BD4" w:rsidP="00B35DE9">
      <w:pPr>
        <w:spacing w:before="120" w:after="120" w:line="360" w:lineRule="auto"/>
        <w:ind w:firstLine="720"/>
        <w:jc w:val="both"/>
        <w:rPr>
          <w:rFonts w:ascii="Arial" w:eastAsia="Times New Roman" w:hAnsi="Arial" w:cs="Arial"/>
          <w:iCs/>
          <w:kern w:val="0"/>
          <w:sz w:val="20"/>
          <w:szCs w:val="20"/>
          <w:lang w:val="en-US" w:bidi="ar-SA"/>
        </w:rPr>
      </w:pPr>
    </w:p>
    <w:p w14:paraId="1764F10B" w14:textId="77777777" w:rsidR="002A3BD4" w:rsidRPr="0065745A" w:rsidRDefault="002A3BD4" w:rsidP="002A3BD4">
      <w:pPr>
        <w:spacing w:before="120" w:after="120" w:line="360" w:lineRule="auto"/>
        <w:ind w:firstLine="720"/>
        <w:jc w:val="both"/>
        <w:rPr>
          <w:rFonts w:ascii="Arial" w:eastAsia="Times New Roman" w:hAnsi="Arial" w:cs="Arial"/>
          <w:iCs/>
          <w:kern w:val="0"/>
          <w:sz w:val="20"/>
          <w:szCs w:val="20"/>
          <w:lang w:val="en-US" w:bidi="ar-SA"/>
        </w:rPr>
      </w:pPr>
      <w:r w:rsidRPr="0065745A">
        <w:t>The discharge of industrial, municipal and agricultural wastewater, together with domestic sewage, into aquatic ecosystems is now subject to stringent regulatory control to minimise the release of environmental contaminants, including heavy metals and other hazardous pollutants, into receiving water bodies (Fremion et al., 2016). Despite these regulatory measures, effluents generated by agro-industrial processes continue to pose significant environmental challenges owing to their complex physicochemical characteristics and high pollutant loads.</w:t>
      </w:r>
    </w:p>
    <w:p w14:paraId="167FFE01" w14:textId="77777777" w:rsidR="002A3BD4" w:rsidRPr="0065745A" w:rsidRDefault="002A3BD4" w:rsidP="002A3BD4">
      <w:pPr>
        <w:spacing w:before="120" w:after="120" w:line="360" w:lineRule="auto"/>
        <w:ind w:firstLine="720"/>
        <w:jc w:val="both"/>
        <w:rPr>
          <w:rFonts w:ascii="Arial" w:eastAsia="Times New Roman" w:hAnsi="Arial" w:cs="Arial"/>
          <w:iCs/>
          <w:kern w:val="0"/>
          <w:sz w:val="20"/>
          <w:szCs w:val="20"/>
          <w:lang w:val="en-US" w:bidi="ar-SA"/>
        </w:rPr>
      </w:pPr>
    </w:p>
    <w:p w14:paraId="47401905" w14:textId="674BAC9F" w:rsidR="002A3BD4" w:rsidRPr="0065745A" w:rsidRDefault="002A3BD4" w:rsidP="002A3BD4">
      <w:pPr>
        <w:spacing w:before="120" w:after="120" w:line="360" w:lineRule="auto"/>
        <w:ind w:firstLine="720"/>
        <w:jc w:val="both"/>
        <w:rPr>
          <w:rFonts w:ascii="Arial" w:eastAsia="Times New Roman" w:hAnsi="Arial" w:cs="Arial"/>
          <w:iCs/>
          <w:kern w:val="0"/>
          <w:sz w:val="20"/>
          <w:szCs w:val="20"/>
          <w:lang w:val="en-US" w:bidi="ar-SA"/>
        </w:rPr>
      </w:pPr>
      <w:r w:rsidRPr="0065745A">
        <w:t>Among these, sugarcane molasses-based distillery effluent, commonly referred to as post-methanated distillery effluent (PMDE), is recognised as a major source of environmental pollution. PMDE is a dark-brown, chemically complex and highly recalcitrant organo-metallic wastewater that exhibits considerable resistance to natural degradation processes (</w:t>
      </w:r>
      <w:r w:rsidR="000C5F06" w:rsidRPr="000C5F06">
        <w:t>Maruthi</w:t>
      </w:r>
      <w:r w:rsidRPr="0065745A">
        <w:t xml:space="preserve"> &amp; Rao, 2000; Bharagava &amp; Chandra, 2010a, 2010b; Yadav &amp; Chandra, 2019). The characteristic dark colour of PMDE has been attributed to the thermal processing </w:t>
      </w:r>
      <w:r w:rsidRPr="0065745A">
        <w:lastRenderedPageBreak/>
        <w:t>of water-soluble constituents present in sugarcane juice, including cane pigments, phenolic compounds and various aminocarbonyl compounds. Under elevated temperatures, these constituents undergo complex reactions, resulting in the formation of high-molecular-weight polymeric compounds collectively known as melanoidins (Yadav &amp; Chandra, 2019).</w:t>
      </w:r>
    </w:p>
    <w:p w14:paraId="010CB88D" w14:textId="77777777" w:rsidR="002A3BD4" w:rsidRPr="0065745A" w:rsidRDefault="002A3BD4" w:rsidP="002A3BD4">
      <w:pPr>
        <w:spacing w:before="120" w:after="120" w:line="360" w:lineRule="auto"/>
        <w:ind w:firstLine="720"/>
        <w:jc w:val="both"/>
        <w:rPr>
          <w:rFonts w:ascii="Arial" w:eastAsia="Times New Roman" w:hAnsi="Arial" w:cs="Arial"/>
          <w:iCs/>
          <w:kern w:val="0"/>
          <w:sz w:val="20"/>
          <w:szCs w:val="20"/>
          <w:lang w:val="en-US" w:bidi="ar-SA"/>
        </w:rPr>
      </w:pPr>
    </w:p>
    <w:p w14:paraId="6010A3A1" w14:textId="77777777" w:rsidR="002A3BD4" w:rsidRPr="0065745A" w:rsidRDefault="002A3BD4" w:rsidP="002A3BD4">
      <w:pPr>
        <w:spacing w:before="120" w:after="120" w:line="360" w:lineRule="auto"/>
        <w:ind w:firstLine="720"/>
        <w:jc w:val="both"/>
        <w:rPr>
          <w:rFonts w:ascii="Arial" w:eastAsia="Times New Roman" w:hAnsi="Arial" w:cs="Arial"/>
          <w:iCs/>
          <w:kern w:val="0"/>
          <w:sz w:val="20"/>
          <w:szCs w:val="20"/>
          <w:lang w:val="en-US" w:bidi="ar-SA"/>
        </w:rPr>
      </w:pPr>
      <w:r w:rsidRPr="0065745A">
        <w:t>Melanoidin is a non-enzymatically synthesised polymeric pigment generated primarily through the Maillard reaction during the processing and clarification of sugarcane juice, and it remains associated with sugarcane molasses as a major by-product (Chowdhary et al., 2018). Owing to its complex molecular structure, high stability and resistance to microbial degradation, melanoidin contributes substantially to the persistent colour, elevated chemical oxygen demand and recalcitrant nature of PMDE, thereby increasing its potential to adversely affect aquatic ecosystems when inadequately treated effluents are discharged into the environment.</w:t>
      </w:r>
    </w:p>
    <w:p w14:paraId="79625058" w14:textId="77777777" w:rsidR="002A3BD4" w:rsidRPr="0065745A" w:rsidRDefault="002A3BD4" w:rsidP="00B35DE9">
      <w:pPr>
        <w:spacing w:before="120" w:after="120" w:line="360" w:lineRule="auto"/>
        <w:ind w:firstLine="720"/>
        <w:jc w:val="both"/>
        <w:rPr>
          <w:rFonts w:ascii="Arial" w:eastAsia="Times New Roman" w:hAnsi="Arial" w:cs="Arial"/>
          <w:iCs/>
          <w:kern w:val="0"/>
          <w:sz w:val="20"/>
          <w:szCs w:val="20"/>
          <w:lang w:val="en-US" w:bidi="ar-SA"/>
        </w:rPr>
      </w:pPr>
    </w:p>
    <w:p w14:paraId="4BB14B1C" w14:textId="77777777" w:rsidR="002A3BD4" w:rsidRPr="0065745A" w:rsidRDefault="002A3BD4" w:rsidP="0062648F">
      <w:pPr>
        <w:spacing w:before="120" w:after="120" w:line="360" w:lineRule="auto"/>
        <w:ind w:firstLine="720"/>
        <w:jc w:val="both"/>
        <w:rPr>
          <w:rFonts w:ascii="Arial" w:eastAsia="Times New Roman" w:hAnsi="Arial" w:cs="Arial"/>
          <w:bCs/>
          <w:iCs/>
          <w:kern w:val="0"/>
          <w:sz w:val="20"/>
          <w:szCs w:val="20"/>
          <w:lang w:val="en-US" w:bidi="ar-SA"/>
        </w:rPr>
      </w:pPr>
      <w:r w:rsidRPr="0065745A">
        <w:t>Fish are widely recognised as valuable experimental models in aquatic toxicology because their developmental patterns, anatomical characteristics and physiological processes closely resemble those of higher vertebrates. Furthermore, their direct and continuous exposure to aquatic environments makes them highly suitable bioindicators for monitoring the occurrence and biological effects of chemical contaminants in freshwater and marine ecosystems (Schuijt et al., 2021). Consequently, fish have been extensively employed to assess the ecological risks associated with a broad spectrum of environmental pollutants. Recent whole-effluent and industrial-wastewater studies have similarly shown that fish-based assays can reveal acute lethality, oxidative stress and developmental impairment after exposure to complex effluent mixtures (Jekayinfa &amp; Bawa-Allah, 2022; Li et al., 2023; Mustafa et al., 2024).</w:t>
      </w:r>
    </w:p>
    <w:p w14:paraId="6B9B56D9" w14:textId="77777777" w:rsidR="002A3BD4" w:rsidRPr="0065745A" w:rsidRDefault="002A3BD4" w:rsidP="002A3BD4">
      <w:pPr>
        <w:spacing w:before="120" w:after="120" w:line="360" w:lineRule="auto"/>
        <w:ind w:firstLine="720"/>
        <w:jc w:val="both"/>
        <w:rPr>
          <w:rFonts w:ascii="Arial" w:eastAsia="Times New Roman" w:hAnsi="Arial" w:cs="Arial"/>
          <w:iCs/>
          <w:kern w:val="0"/>
          <w:sz w:val="20"/>
          <w:szCs w:val="20"/>
          <w:lang w:val="en-US" w:bidi="ar-SA"/>
        </w:rPr>
      </w:pPr>
    </w:p>
    <w:p w14:paraId="415FAF54" w14:textId="30E465C0" w:rsidR="0062648F" w:rsidRPr="0065745A" w:rsidRDefault="002A3BD4" w:rsidP="0062648F">
      <w:pPr>
        <w:spacing w:before="120" w:after="120" w:line="360" w:lineRule="auto"/>
        <w:ind w:firstLine="720"/>
        <w:jc w:val="both"/>
        <w:rPr>
          <w:rFonts w:ascii="Arial" w:eastAsia="Times New Roman" w:hAnsi="Arial" w:cs="Arial"/>
          <w:iCs/>
          <w:kern w:val="0"/>
          <w:sz w:val="20"/>
          <w:szCs w:val="20"/>
          <w:lang w:val="en-US" w:bidi="ar-SA"/>
        </w:rPr>
      </w:pPr>
      <w:r w:rsidRPr="0065745A">
        <w:t xml:space="preserve">The toxicity of industrial effluents, including sulphite pulping wastes, to fish has been well documented. Early investigations demonstrated that, although oxygen depletion resulting from high biological oxygen demand contributes substantially to fish mortality, the intrinsic toxicity of effluents also plays a significant role in determining their adverse ecological effects in natural aquatic ecosystems (Walden, 1976). Since then, numerous studies have evaluated the toxicological impacts of various chemical contaminants on </w:t>
      </w:r>
      <w:r w:rsidRPr="0065745A">
        <w:lastRenderedPageBreak/>
        <w:t xml:space="preserve">different fish species. For example, Velisek et al. (2006) investigated the effects of cypermethrin on rainbow trout, </w:t>
      </w:r>
      <w:r w:rsidRPr="0065745A">
        <w:rPr>
          <w:i/>
        </w:rPr>
        <w:t>Oncorhynchus mykiss</w:t>
      </w:r>
      <w:r w:rsidRPr="0065745A">
        <w:t xml:space="preserve">, while </w:t>
      </w:r>
      <w:r w:rsidR="000C5F06" w:rsidRPr="000C5F06">
        <w:t>Mamatha</w:t>
      </w:r>
      <w:r w:rsidRPr="0065745A">
        <w:t xml:space="preserve"> et al. (2006) examined the acute toxicity of copper in the freshwater fish </w:t>
      </w:r>
      <w:r w:rsidRPr="0065745A">
        <w:rPr>
          <w:i/>
        </w:rPr>
        <w:t>Cirrhinus mrigala</w:t>
      </w:r>
      <w:r w:rsidRPr="0065745A">
        <w:t xml:space="preserve">. Similarly, Srivastava et al. (2007) reported toxicity and behavioural alterations in </w:t>
      </w:r>
      <w:r w:rsidRPr="0065745A">
        <w:rPr>
          <w:i/>
        </w:rPr>
        <w:t>Labeo rohita</w:t>
      </w:r>
      <w:r w:rsidRPr="0065745A">
        <w:t xml:space="preserve"> and </w:t>
      </w:r>
      <w:r w:rsidRPr="0065745A">
        <w:rPr>
          <w:i/>
        </w:rPr>
        <w:t>Channa punctatus</w:t>
      </w:r>
      <w:r w:rsidRPr="0065745A">
        <w:t xml:space="preserve"> following exposure to pulp and paper mill effluent. Puvaneswari and Karuppasamy (2007) evaluated the acute toxicity of cadmium chloride in </w:t>
      </w:r>
      <w:r w:rsidRPr="0065745A">
        <w:rPr>
          <w:i/>
        </w:rPr>
        <w:t>Heteropneustes fossilis</w:t>
      </w:r>
      <w:r w:rsidRPr="0065745A">
        <w:t xml:space="preserve">, whereas Maheswaran et al. (2008) investigated the effects of mercuric chloride on the haematological parameters of the freshwater fish </w:t>
      </w:r>
      <w:r w:rsidRPr="0065745A">
        <w:rPr>
          <w:i/>
        </w:rPr>
        <w:t>Clarias batrachus</w:t>
      </w:r>
      <w:r w:rsidRPr="0065745A">
        <w:t>. Collectively, these studies demonstrate that exposure to industrial effluents and heavy metals can induce significant physiological, behavioural and haematological disturbances in fish, highlighting their utility as sensitive indicators of aquatic environmental contamination.</w:t>
      </w:r>
    </w:p>
    <w:p w14:paraId="0ED603F5" w14:textId="77777777" w:rsidR="006A226F" w:rsidRPr="0065745A" w:rsidRDefault="002A3BD4" w:rsidP="0062648F">
      <w:pPr>
        <w:spacing w:before="120" w:after="120" w:line="360" w:lineRule="auto"/>
        <w:ind w:firstLine="720"/>
        <w:jc w:val="both"/>
        <w:rPr>
          <w:rFonts w:ascii="Arial" w:eastAsia="Times New Roman" w:hAnsi="Arial" w:cs="Arial"/>
          <w:bCs/>
          <w:iCs/>
          <w:kern w:val="0"/>
          <w:sz w:val="20"/>
          <w:szCs w:val="20"/>
          <w:lang w:val="en-US" w:bidi="ar-SA"/>
        </w:rPr>
      </w:pPr>
      <w:r w:rsidRPr="0065745A">
        <w:t xml:space="preserve">Recent freshwater bioassays have also reported abnormal opercular activity, irregular swimming, disorientation and loss of balance in fish after acute toxicant exposure, confirming the relevance of behavioural endpoints in short-term toxicity assessment (Kiran et al., 2025). Field evidence from freshwater bodies has also shown associations between physicochemical water-quality variables and fish diversity, supporting the need to evaluate effluent effects in receiving river systems (Patel, 2025). However, manuscript-specific evidence on the short-term lethal and behavioural effects of sugar industry effluent on </w:t>
      </w:r>
      <w:r w:rsidRPr="0065745A">
        <w:rPr>
          <w:i/>
        </w:rPr>
        <w:t>Chanda nama</w:t>
      </w:r>
      <w:r w:rsidRPr="0065745A">
        <w:t xml:space="preserve"> from the Bhima River remains limited.</w:t>
      </w:r>
    </w:p>
    <w:p w14:paraId="43628AB2" w14:textId="77777777" w:rsidR="00B968C3" w:rsidRPr="0065745A" w:rsidRDefault="00D437AA">
      <w:r w:rsidRPr="0065745A">
        <w:t xml:space="preserve">The present study was undertaken to investigate the effects of effluent released from the Bhima Patas sugar factory, located at Patas in Daund Taluka, Pune district. The effluent </w:t>
      </w:r>
      <w:r w:rsidRPr="0065745A">
        <w:t>reaches the Bhima River through rainwater runoff from this region, making it ecologically and biologically important to understand its effects on aquatic fauna. Therefore, the present study investigated behavioural changes and mortality in the freshwater f</w:t>
      </w:r>
      <w:r w:rsidRPr="0065745A">
        <w:t xml:space="preserve">ish </w:t>
      </w:r>
      <w:r w:rsidRPr="0065745A">
        <w:rPr>
          <w:i/>
        </w:rPr>
        <w:t>Chanda nama</w:t>
      </w:r>
      <w:r w:rsidRPr="0065745A">
        <w:t xml:space="preserve"> following short-term exposure to lethal concentrations of the effluent.</w:t>
      </w:r>
    </w:p>
    <w:p w14:paraId="366FAD73" w14:textId="77777777" w:rsidR="006A226F" w:rsidRPr="0065745A" w:rsidRDefault="006A226F" w:rsidP="00B35DE9">
      <w:pPr>
        <w:spacing w:before="120" w:after="120" w:line="360" w:lineRule="auto"/>
        <w:jc w:val="both"/>
        <w:rPr>
          <w:rFonts w:ascii="Arial" w:eastAsia="Times New Roman" w:hAnsi="Arial" w:cs="Arial"/>
          <w:b/>
          <w:bCs/>
          <w:iCs/>
          <w:kern w:val="0"/>
          <w:sz w:val="22"/>
          <w:szCs w:val="22"/>
          <w:lang w:val="en-US" w:bidi="ar-SA"/>
        </w:rPr>
      </w:pPr>
      <w:r w:rsidRPr="0065745A">
        <w:rPr>
          <w:rFonts w:ascii="Arial" w:eastAsia="Times New Roman" w:hAnsi="Arial" w:cs="Arial"/>
          <w:b/>
          <w:bCs/>
          <w:iCs/>
          <w:kern w:val="0"/>
          <w:sz w:val="22"/>
          <w:szCs w:val="22"/>
          <w:lang w:val="en-US" w:bidi="ar-SA"/>
        </w:rPr>
        <w:t xml:space="preserve">2. </w:t>
      </w:r>
      <w:r w:rsidR="00901DCD" w:rsidRPr="0065745A">
        <w:rPr>
          <w:rFonts w:ascii="Arial" w:eastAsia="Times New Roman" w:hAnsi="Arial" w:cs="Arial"/>
          <w:b/>
          <w:bCs/>
          <w:iCs/>
          <w:kern w:val="0"/>
          <w:sz w:val="22"/>
          <w:szCs w:val="22"/>
          <w:lang w:val="en-US" w:bidi="ar-SA"/>
        </w:rPr>
        <w:t>Materials and Methods</w:t>
      </w:r>
    </w:p>
    <w:p w14:paraId="755DE5FF" w14:textId="77777777" w:rsidR="00E4662A" w:rsidRPr="0065745A" w:rsidRDefault="006A226F" w:rsidP="00B35DE9">
      <w:pPr>
        <w:spacing w:before="120" w:after="120" w:line="360" w:lineRule="auto"/>
        <w:jc w:val="both"/>
        <w:rPr>
          <w:rFonts w:ascii="Arial" w:eastAsia="Times New Roman" w:hAnsi="Arial" w:cs="Arial"/>
          <w:b/>
          <w:bCs/>
          <w:iCs/>
          <w:kern w:val="0"/>
          <w:sz w:val="22"/>
          <w:szCs w:val="22"/>
          <w:lang w:val="en-US" w:bidi="ar-SA"/>
        </w:rPr>
      </w:pPr>
      <w:r w:rsidRPr="0065745A">
        <w:rPr>
          <w:rFonts w:ascii="Arial" w:eastAsia="Times New Roman" w:hAnsi="Arial" w:cs="Arial"/>
          <w:b/>
          <w:bCs/>
          <w:iCs/>
          <w:kern w:val="0"/>
          <w:sz w:val="22"/>
          <w:szCs w:val="22"/>
          <w:lang w:val="en-US" w:bidi="ar-SA"/>
        </w:rPr>
        <w:t>2.1 Fish Collection</w:t>
      </w:r>
      <w:r w:rsidR="00E4662A" w:rsidRPr="0065745A">
        <w:rPr>
          <w:rFonts w:ascii="Arial" w:eastAsia="Times New Roman" w:hAnsi="Arial" w:cs="Arial"/>
          <w:b/>
          <w:bCs/>
          <w:iCs/>
          <w:kern w:val="0"/>
          <w:sz w:val="22"/>
          <w:szCs w:val="22"/>
          <w:lang w:val="en-US" w:bidi="ar-SA"/>
        </w:rPr>
        <w:t xml:space="preserve">: </w:t>
      </w:r>
    </w:p>
    <w:p w14:paraId="2E4D63F2" w14:textId="77777777" w:rsidR="00E4662A" w:rsidRPr="0065745A" w:rsidRDefault="00E4662A" w:rsidP="00B35DE9">
      <w:pPr>
        <w:spacing w:before="120" w:after="120" w:line="360" w:lineRule="auto"/>
        <w:jc w:val="both"/>
        <w:rPr>
          <w:rFonts w:ascii="Arial" w:eastAsia="Times New Roman" w:hAnsi="Arial" w:cs="Arial"/>
          <w:kern w:val="0"/>
          <w:sz w:val="20"/>
          <w:szCs w:val="20"/>
          <w:lang w:val="en-US" w:bidi="ar-SA"/>
        </w:rPr>
      </w:pPr>
      <w:r w:rsidRPr="0065745A">
        <w:t>The test fish specimens were collected alive from the Bhima River and brought to the laboratory without mechanical injury (Figure 1).</w:t>
      </w:r>
    </w:p>
    <w:p w14:paraId="69FFFB93" w14:textId="77777777" w:rsidR="007241E0" w:rsidRPr="0065745A" w:rsidRDefault="007241E0" w:rsidP="00B35DE9">
      <w:pPr>
        <w:keepNext/>
        <w:spacing w:before="120" w:after="120" w:line="360" w:lineRule="auto"/>
        <w:jc w:val="center"/>
        <w:rPr>
          <w:rFonts w:ascii="Arial" w:hAnsi="Arial" w:cs="Arial"/>
          <w:sz w:val="20"/>
          <w:szCs w:val="20"/>
        </w:rPr>
      </w:pPr>
      <w:r w:rsidRPr="0065745A">
        <w:rPr>
          <w:rFonts w:ascii="Arial" w:eastAsia="Times New Roman" w:hAnsi="Arial" w:cs="Arial"/>
          <w:noProof/>
          <w:kern w:val="0"/>
          <w:sz w:val="20"/>
          <w:szCs w:val="20"/>
          <w:lang w:val="en-US"/>
        </w:rPr>
        <w:lastRenderedPageBreak/>
        <w:drawing>
          <wp:inline distT="0" distB="0" distL="0" distR="0" wp14:anchorId="40D7C5D2" wp14:editId="30CCE2D4">
            <wp:extent cx="3467100" cy="1524000"/>
            <wp:effectExtent l="0" t="0" r="0" b="0"/>
            <wp:docPr id="6" name="Picture 5" descr="Chanda nama 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da nama ms.png"/>
                    <pic:cNvPicPr/>
                  </pic:nvPicPr>
                  <pic:blipFill>
                    <a:blip r:embed="rId8"/>
                    <a:stretch>
                      <a:fillRect/>
                    </a:stretch>
                  </pic:blipFill>
                  <pic:spPr>
                    <a:xfrm>
                      <a:off x="0" y="0"/>
                      <a:ext cx="3467100" cy="1524000"/>
                    </a:xfrm>
                    <a:prstGeom prst="rect">
                      <a:avLst/>
                    </a:prstGeom>
                  </pic:spPr>
                </pic:pic>
              </a:graphicData>
            </a:graphic>
          </wp:inline>
        </w:drawing>
      </w:r>
    </w:p>
    <w:p w14:paraId="1C632D3E" w14:textId="77777777" w:rsidR="0008379D" w:rsidRPr="0065745A" w:rsidRDefault="007241E0" w:rsidP="00B35DE9">
      <w:pPr>
        <w:pStyle w:val="Caption"/>
        <w:spacing w:line="360" w:lineRule="auto"/>
        <w:jc w:val="center"/>
        <w:rPr>
          <w:rFonts w:ascii="Arial" w:eastAsia="Times New Roman" w:hAnsi="Arial" w:cs="Arial"/>
          <w:b w:val="0"/>
          <w:bCs w:val="0"/>
          <w:color w:val="auto"/>
          <w:kern w:val="0"/>
          <w:sz w:val="20"/>
          <w:szCs w:val="20"/>
          <w:lang w:val="en-US" w:bidi="ar-SA"/>
        </w:rPr>
      </w:pPr>
      <w:r w:rsidRPr="0065745A">
        <w:rPr>
          <w:rFonts w:ascii="Arial" w:hAnsi="Arial" w:cs="Arial"/>
          <w:b w:val="0"/>
          <w:bCs w:val="0"/>
          <w:color w:val="auto"/>
          <w:sz w:val="20"/>
          <w:szCs w:val="20"/>
        </w:rPr>
        <w:t xml:space="preserve">Figure </w:t>
      </w:r>
      <w:r w:rsidR="0039685A" w:rsidRPr="0065745A">
        <w:rPr>
          <w:rFonts w:ascii="Arial" w:hAnsi="Arial" w:cs="Arial"/>
          <w:b w:val="0"/>
          <w:bCs w:val="0"/>
          <w:color w:val="auto"/>
          <w:sz w:val="20"/>
          <w:szCs w:val="20"/>
        </w:rPr>
        <w:fldChar w:fldCharType="begin"/>
      </w:r>
      <w:r w:rsidRPr="0065745A">
        <w:rPr>
          <w:rFonts w:ascii="Arial" w:hAnsi="Arial" w:cs="Arial"/>
          <w:b w:val="0"/>
          <w:bCs w:val="0"/>
          <w:color w:val="auto"/>
          <w:sz w:val="20"/>
          <w:szCs w:val="20"/>
        </w:rPr>
        <w:instrText xml:space="preserve"> SEQ Figure \* ARABIC </w:instrText>
      </w:r>
      <w:r w:rsidR="0039685A" w:rsidRPr="0065745A">
        <w:rPr>
          <w:rFonts w:ascii="Arial" w:hAnsi="Arial" w:cs="Arial"/>
          <w:b w:val="0"/>
          <w:bCs w:val="0"/>
          <w:color w:val="auto"/>
          <w:sz w:val="20"/>
          <w:szCs w:val="20"/>
        </w:rPr>
        <w:fldChar w:fldCharType="separate"/>
      </w:r>
      <w:r w:rsidR="00627935" w:rsidRPr="0065745A">
        <w:rPr>
          <w:rFonts w:ascii="Arial" w:hAnsi="Arial" w:cs="Arial"/>
          <w:b w:val="0"/>
          <w:bCs w:val="0"/>
          <w:noProof/>
          <w:color w:val="auto"/>
          <w:sz w:val="20"/>
          <w:szCs w:val="20"/>
        </w:rPr>
        <w:t>1</w:t>
      </w:r>
      <w:r w:rsidR="0039685A" w:rsidRPr="0065745A">
        <w:rPr>
          <w:rFonts w:ascii="Arial" w:hAnsi="Arial" w:cs="Arial"/>
          <w:b w:val="0"/>
          <w:bCs w:val="0"/>
          <w:color w:val="auto"/>
          <w:sz w:val="20"/>
          <w:szCs w:val="20"/>
        </w:rPr>
        <w:fldChar w:fldCharType="end"/>
      </w:r>
      <w:r w:rsidRPr="0065745A">
        <w:rPr>
          <w:rFonts w:ascii="Arial" w:hAnsi="Arial" w:cs="Arial"/>
          <w:b w:val="0"/>
          <w:bCs w:val="0"/>
          <w:color w:val="auto"/>
          <w:sz w:val="20"/>
          <w:szCs w:val="20"/>
          <w:lang w:val="en-US"/>
        </w:rPr>
        <w:t xml:space="preserve">: Experimental fish: </w:t>
      </w:r>
      <w:r w:rsidRPr="0065745A">
        <w:rPr>
          <w:rFonts w:ascii="Arial" w:hAnsi="Arial" w:cs="Arial"/>
          <w:b w:val="0"/>
          <w:bCs w:val="0"/>
          <w:i/>
          <w:iCs/>
          <w:color w:val="auto"/>
          <w:sz w:val="20"/>
          <w:szCs w:val="20"/>
          <w:lang w:val="en-US"/>
        </w:rPr>
        <w:t>Chanda nama</w:t>
      </w:r>
    </w:p>
    <w:p w14:paraId="23CB5A26" w14:textId="77777777" w:rsidR="006A226F" w:rsidRPr="0065745A" w:rsidRDefault="006A226F" w:rsidP="00B35DE9">
      <w:pPr>
        <w:spacing w:before="120" w:after="120" w:line="360" w:lineRule="auto"/>
        <w:jc w:val="both"/>
        <w:rPr>
          <w:rFonts w:ascii="Arial" w:eastAsia="Times New Roman" w:hAnsi="Arial" w:cs="Arial"/>
          <w:b/>
          <w:bCs/>
          <w:kern w:val="0"/>
          <w:sz w:val="22"/>
          <w:szCs w:val="22"/>
          <w:lang w:val="en-US" w:bidi="ar-SA"/>
        </w:rPr>
      </w:pPr>
      <w:r w:rsidRPr="0065745A">
        <w:rPr>
          <w:rFonts w:ascii="Arial" w:eastAsia="Times New Roman" w:hAnsi="Arial" w:cs="Arial"/>
          <w:b/>
          <w:bCs/>
          <w:kern w:val="0"/>
          <w:sz w:val="22"/>
          <w:szCs w:val="22"/>
          <w:lang w:val="en-US" w:bidi="ar-SA"/>
        </w:rPr>
        <w:t xml:space="preserve">2.2 Laboratory Acclimatization: </w:t>
      </w:r>
    </w:p>
    <w:p w14:paraId="4B4E273D" w14:textId="77777777" w:rsidR="001D475D" w:rsidRPr="0065745A" w:rsidRDefault="006A226F" w:rsidP="00B35DE9">
      <w:pPr>
        <w:spacing w:before="120" w:after="120" w:line="360" w:lineRule="auto"/>
        <w:jc w:val="both"/>
        <w:rPr>
          <w:rFonts w:ascii="Arial" w:eastAsia="Times New Roman" w:hAnsi="Arial" w:cs="Arial"/>
          <w:kern w:val="0"/>
          <w:sz w:val="20"/>
          <w:szCs w:val="20"/>
          <w:lang w:val="en-US" w:bidi="ar-SA"/>
        </w:rPr>
      </w:pPr>
      <w:r w:rsidRPr="0065745A">
        <w:t>Fish of average weight were selected and acclimatised to laboratory conditions for two weeks before the experiment. During acclimatisation, the fish were fed pieces of earthworm and planktonic food. No food was provided during experimentation.</w:t>
      </w:r>
    </w:p>
    <w:p w14:paraId="10443B49" w14:textId="77777777" w:rsidR="000A019C" w:rsidRPr="0065745A" w:rsidRDefault="006A226F" w:rsidP="00B35DE9">
      <w:pPr>
        <w:spacing w:before="120" w:after="120" w:line="360" w:lineRule="auto"/>
        <w:jc w:val="both"/>
        <w:rPr>
          <w:rFonts w:ascii="Arial" w:eastAsia="Times New Roman" w:hAnsi="Arial" w:cs="Arial"/>
          <w:b/>
          <w:bCs/>
          <w:kern w:val="0"/>
          <w:sz w:val="22"/>
          <w:szCs w:val="22"/>
          <w:lang w:val="en-US" w:bidi="ar-SA"/>
        </w:rPr>
      </w:pPr>
      <w:r w:rsidRPr="0065745A">
        <w:rPr>
          <w:rFonts w:ascii="Arial" w:eastAsia="Times New Roman" w:hAnsi="Arial" w:cs="Arial"/>
          <w:b/>
          <w:bCs/>
          <w:kern w:val="0"/>
          <w:sz w:val="22"/>
          <w:szCs w:val="22"/>
          <w:lang w:val="en-US" w:bidi="ar-SA"/>
        </w:rPr>
        <w:t>2.3 Toxicity Testing:</w:t>
      </w:r>
      <w:r w:rsidR="000A019C" w:rsidRPr="0065745A">
        <w:rPr>
          <w:rFonts w:ascii="Arial" w:eastAsia="Times New Roman" w:hAnsi="Arial" w:cs="Arial"/>
          <w:b/>
          <w:bCs/>
          <w:kern w:val="0"/>
          <w:sz w:val="22"/>
          <w:szCs w:val="22"/>
          <w:lang w:val="en-US" w:bidi="ar-SA"/>
        </w:rPr>
        <w:t xml:space="preserve"> </w:t>
      </w:r>
    </w:p>
    <w:p w14:paraId="24A3171E" w14:textId="77777777" w:rsidR="001D475D" w:rsidRPr="0065745A" w:rsidRDefault="00461A6A" w:rsidP="00B35DE9">
      <w:pPr>
        <w:spacing w:before="120" w:after="120" w:line="360" w:lineRule="auto"/>
        <w:jc w:val="both"/>
        <w:rPr>
          <w:rFonts w:ascii="Arial" w:eastAsia="Times New Roman" w:hAnsi="Arial" w:cs="Arial"/>
          <w:kern w:val="0"/>
          <w:sz w:val="20"/>
          <w:szCs w:val="20"/>
          <w:lang w:val="en-US" w:bidi="ar-SA"/>
        </w:rPr>
      </w:pPr>
      <w:r w:rsidRPr="0065745A">
        <w:t>Effluent sampling was conducted at the canal confluence site at Patas village. The acute toxicity experiments were conducted in triplicate for each test concentration, with ten fish allocated to each experimental batch to ensure the maintenance of the desired toxicant concentration within the test aquaria. During the short-term exposure period, the test medium was renewed at 24-hour intervals to maintain consistent water quality and toxicant levels. Concurrently, a separate group of control fish was maintained under identical experimental conditions without exposure to the toxicant to facilitate valid comparisons with the treated groups.</w:t>
      </w:r>
    </w:p>
    <w:p w14:paraId="1FBAAB33" w14:textId="77777777" w:rsidR="001D475D" w:rsidRPr="0065745A" w:rsidRDefault="001D475D" w:rsidP="00B35DE9">
      <w:pPr>
        <w:spacing w:before="120" w:after="120" w:line="360" w:lineRule="auto"/>
        <w:ind w:firstLine="720"/>
        <w:jc w:val="both"/>
        <w:rPr>
          <w:rFonts w:ascii="Arial" w:eastAsia="Times New Roman" w:hAnsi="Arial" w:cs="Arial"/>
          <w:kern w:val="0"/>
          <w:sz w:val="20"/>
          <w:szCs w:val="20"/>
          <w:lang w:val="en-US" w:bidi="ar-SA"/>
        </w:rPr>
      </w:pPr>
      <w:r w:rsidRPr="0065745A">
        <w:t>The percentage concentration of the test solution was calculated using the formula given below (Reish &amp; Oshida, 1987).</w:t>
      </w:r>
    </w:p>
    <w:p w14:paraId="57467A13" w14:textId="77777777" w:rsidR="001D475D" w:rsidRPr="0065745A" w:rsidRDefault="00C770E2" w:rsidP="00B35DE9">
      <w:pPr>
        <w:spacing w:before="120" w:after="120" w:line="360" w:lineRule="auto"/>
        <w:ind w:firstLine="720"/>
        <w:jc w:val="both"/>
        <w:rPr>
          <w:rFonts w:ascii="Arial" w:eastAsia="Times New Roman" w:hAnsi="Arial" w:cs="Arial"/>
          <w:kern w:val="0"/>
          <w:sz w:val="20"/>
          <w:szCs w:val="20"/>
          <w:lang w:val="en-US" w:bidi="ar-SA"/>
        </w:rPr>
      </w:pPr>
      <m:oMath>
        <m:r>
          <m:rPr>
            <m:sty m:val="p"/>
          </m:rPr>
          <w:rPr>
            <w:rFonts w:ascii="Cambria Math" w:eastAsia="Times New Roman" w:hAnsi="Arial" w:cs="Arial"/>
            <w:kern w:val="0"/>
            <w:szCs w:val="24"/>
            <w:lang w:val="en-US" w:bidi="ar-SA"/>
          </w:rPr>
          <m:t xml:space="preserve">Volume (%)= </m:t>
        </m:r>
        <m:f>
          <m:fPr>
            <m:ctrlPr>
              <w:rPr>
                <w:rFonts w:ascii="Cambria Math" w:eastAsia="Times New Roman" w:hAnsi="Arial" w:cs="Arial"/>
                <w:i/>
                <w:kern w:val="0"/>
                <w:szCs w:val="24"/>
                <w:lang w:val="en-US" w:bidi="ar-SA"/>
              </w:rPr>
            </m:ctrlPr>
          </m:fPr>
          <m:num>
            <m:r>
              <m:rPr>
                <m:sty m:val="p"/>
              </m:rPr>
              <w:rPr>
                <w:rFonts w:ascii="Cambria Math" w:eastAsia="Times New Roman" w:hAnsi="Arial" w:cs="Arial"/>
                <w:kern w:val="0"/>
                <w:szCs w:val="24"/>
                <w:lang w:val="en-US" w:bidi="ar-SA"/>
              </w:rPr>
              <m:t xml:space="preserve">Volume of effluent </m:t>
            </m:r>
          </m:num>
          <m:den>
            <m:r>
              <m:rPr>
                <m:sty m:val="p"/>
              </m:rPr>
              <w:rPr>
                <w:rFonts w:ascii="Cambria Math" w:eastAsia="Times New Roman" w:hAnsi="Arial" w:cs="Arial"/>
                <w:kern w:val="0"/>
                <w:szCs w:val="24"/>
                <w:lang w:val="en-US" w:bidi="ar-SA"/>
              </w:rPr>
              <m:t xml:space="preserve">V </m:t>
            </m:r>
            <m:r>
              <m:rPr>
                <m:sty m:val="p"/>
              </m:rPr>
              <w:rPr>
                <w:rFonts w:ascii="Cambria Math" w:eastAsia="Times New Roman" w:hAnsi="Arial" w:cs="Arial"/>
                <w:kern w:val="0"/>
                <w:szCs w:val="24"/>
                <w:vertAlign w:val="subscript"/>
                <w:lang w:val="en-US" w:bidi="ar-SA"/>
              </w:rPr>
              <m:t>E</m:t>
            </m:r>
            <m:r>
              <m:rPr>
                <m:sty m:val="p"/>
              </m:rPr>
              <w:rPr>
                <w:rFonts w:ascii="Cambria Math" w:eastAsia="Times New Roman" w:hAnsi="Arial" w:cs="Arial"/>
                <w:kern w:val="0"/>
                <w:szCs w:val="24"/>
                <w:lang w:val="en-US" w:bidi="ar-SA"/>
              </w:rPr>
              <m:t xml:space="preserve"> + V</m:t>
            </m:r>
            <m:r>
              <m:rPr>
                <m:sty m:val="p"/>
              </m:rPr>
              <w:rPr>
                <w:rFonts w:ascii="Cambria Math" w:eastAsia="Times New Roman" w:hAnsi="Arial" w:cs="Arial"/>
                <w:kern w:val="0"/>
                <w:szCs w:val="24"/>
                <w:vertAlign w:val="subscript"/>
                <w:lang w:val="en-US" w:bidi="ar-SA"/>
              </w:rPr>
              <m:t>DW</m:t>
            </m:r>
          </m:den>
        </m:f>
        <m:r>
          <m:rPr>
            <m:sty m:val="p"/>
          </m:rPr>
          <w:rPr>
            <w:rFonts w:ascii="Cambria Math" w:eastAsia="Times New Roman" w:hAnsi="Arial" w:cs="Arial"/>
            <w:kern w:val="0"/>
            <w:szCs w:val="24"/>
            <w:lang w:val="en-US" w:bidi="ar-SA"/>
          </w:rPr>
          <m:t>x 100</m:t>
        </m:r>
      </m:oMath>
      <w:r w:rsidR="001D475D" w:rsidRPr="0065745A">
        <w:rPr>
          <w:rFonts w:ascii="Arial" w:eastAsia="Times New Roman" w:hAnsi="Arial" w:cs="Arial"/>
          <w:kern w:val="0"/>
          <w:sz w:val="20"/>
          <w:szCs w:val="20"/>
          <w:lang w:val="en-US" w:bidi="ar-SA"/>
        </w:rPr>
        <w:tab/>
      </w:r>
      <w:r w:rsidR="001D475D" w:rsidRPr="0065745A">
        <w:rPr>
          <w:rFonts w:ascii="Arial" w:eastAsia="Times New Roman" w:hAnsi="Arial" w:cs="Arial"/>
          <w:kern w:val="0"/>
          <w:sz w:val="20"/>
          <w:szCs w:val="20"/>
          <w:lang w:val="en-US" w:bidi="ar-SA"/>
        </w:rPr>
        <w:tab/>
      </w:r>
    </w:p>
    <w:p w14:paraId="45C60DBC" w14:textId="77777777" w:rsidR="007A3EE7" w:rsidRPr="0065745A" w:rsidRDefault="001D475D" w:rsidP="00B35DE9">
      <w:pPr>
        <w:spacing w:before="120" w:after="120" w:line="360" w:lineRule="auto"/>
        <w:ind w:firstLine="720"/>
        <w:jc w:val="both"/>
        <w:rPr>
          <w:rFonts w:ascii="Arial" w:eastAsia="Times New Roman" w:hAnsi="Arial" w:cs="Arial"/>
          <w:kern w:val="0"/>
          <w:sz w:val="20"/>
          <w:szCs w:val="20"/>
          <w:lang w:val="en-US" w:bidi="ar-SA"/>
        </w:rPr>
      </w:pPr>
      <w:r w:rsidRPr="0065745A">
        <w:rPr>
          <w:rFonts w:ascii="Arial" w:eastAsia="Times New Roman" w:hAnsi="Arial" w:cs="Arial"/>
          <w:kern w:val="0"/>
          <w:sz w:val="20"/>
          <w:szCs w:val="20"/>
          <w:lang w:val="en-US" w:bidi="ar-SA"/>
        </w:rPr>
        <w:t>V</w:t>
      </w:r>
      <w:r w:rsidRPr="0065745A">
        <w:rPr>
          <w:rFonts w:ascii="Arial" w:eastAsia="Times New Roman" w:hAnsi="Arial" w:cs="Arial"/>
          <w:kern w:val="0"/>
          <w:sz w:val="20"/>
          <w:szCs w:val="20"/>
          <w:vertAlign w:val="subscript"/>
          <w:lang w:val="en-US" w:bidi="ar-SA"/>
        </w:rPr>
        <w:t>E</w:t>
      </w:r>
      <w:r w:rsidRPr="0065745A">
        <w:rPr>
          <w:rFonts w:ascii="Arial" w:eastAsia="Times New Roman" w:hAnsi="Arial" w:cs="Arial"/>
          <w:kern w:val="0"/>
          <w:sz w:val="20"/>
          <w:szCs w:val="20"/>
          <w:lang w:val="en-US" w:bidi="ar-SA"/>
        </w:rPr>
        <w:t>= Vol. of Effluent, V</w:t>
      </w:r>
      <w:r w:rsidRPr="0065745A">
        <w:rPr>
          <w:rFonts w:ascii="Arial" w:eastAsia="Times New Roman" w:hAnsi="Arial" w:cs="Arial"/>
          <w:kern w:val="0"/>
          <w:sz w:val="20"/>
          <w:szCs w:val="20"/>
          <w:vertAlign w:val="subscript"/>
          <w:lang w:val="en-US" w:bidi="ar-SA"/>
        </w:rPr>
        <w:t>DW</w:t>
      </w:r>
      <w:r w:rsidRPr="0065745A">
        <w:rPr>
          <w:rFonts w:ascii="Arial" w:eastAsia="Times New Roman" w:hAnsi="Arial" w:cs="Arial"/>
          <w:kern w:val="0"/>
          <w:sz w:val="20"/>
          <w:szCs w:val="20"/>
          <w:lang w:val="en-US" w:bidi="ar-SA"/>
        </w:rPr>
        <w:t xml:space="preserve"> = Vol. of Dilution water </w:t>
      </w:r>
    </w:p>
    <w:p w14:paraId="5A09AF2D" w14:textId="77777777" w:rsidR="002220CD" w:rsidRPr="0065745A" w:rsidRDefault="006A226F" w:rsidP="00B35DE9">
      <w:pPr>
        <w:spacing w:before="120" w:after="120" w:line="360" w:lineRule="auto"/>
        <w:jc w:val="both"/>
        <w:rPr>
          <w:rFonts w:ascii="Arial" w:eastAsia="Times New Roman" w:hAnsi="Arial" w:cs="Arial"/>
          <w:color w:val="EE0000"/>
          <w:kern w:val="0"/>
          <w:sz w:val="20"/>
          <w:szCs w:val="20"/>
          <w:lang w:val="en-US" w:bidi="ar-SA"/>
        </w:rPr>
      </w:pPr>
      <w:r w:rsidRPr="0065745A">
        <w:t>Toxicity was determined using a static bioassay method to estimate LC50 values at the respective exposure periods (Sprague, 1973). To evaluate toxicity, a series of different concentrations (11%, 11.5%, 12%, 12.5%, 13%, 13.5%, 14%, 14.5%, 15%, 15.5% and 16%) of sugar industry effluent was prepared for the pilot tests.</w:t>
      </w:r>
    </w:p>
    <w:p w14:paraId="40922EEF" w14:textId="77777777" w:rsidR="002220CD" w:rsidRPr="0065745A"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65745A">
        <w:t xml:space="preserve">The bioassay tests were conducted for 24, 48, 72 and 96 hours. The tests were started early in the morning to observe the behaviour of the test fish. Observations on </w:t>
      </w:r>
      <w:r w:rsidRPr="0065745A">
        <w:lastRenderedPageBreak/>
        <w:t>mortality and survival were recorded after 24, 48, 72 and 96 hours. Fish were considered dead when there was no movement and no response to mechanical stimulus.</w:t>
      </w:r>
    </w:p>
    <w:p w14:paraId="431F5BA5" w14:textId="77777777" w:rsidR="009817BD" w:rsidRPr="0065745A"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65745A">
        <w:t>The LC50 values for the different exposure periods were calculated using the regression analysis method (Finney, 1971).</w:t>
      </w:r>
    </w:p>
    <w:p w14:paraId="250B9419" w14:textId="77777777" w:rsidR="002220CD" w:rsidRPr="0065745A" w:rsidRDefault="006A226F" w:rsidP="00B35DE9">
      <w:pPr>
        <w:spacing w:before="120" w:after="120" w:line="360" w:lineRule="auto"/>
        <w:jc w:val="both"/>
        <w:rPr>
          <w:rFonts w:ascii="Arial" w:eastAsia="Times New Roman" w:hAnsi="Arial" w:cs="Arial"/>
          <w:kern w:val="0"/>
          <w:sz w:val="22"/>
          <w:szCs w:val="22"/>
          <w:lang w:val="en-US" w:bidi="ar-SA"/>
        </w:rPr>
      </w:pPr>
      <w:r w:rsidRPr="0065745A">
        <w:rPr>
          <w:rFonts w:ascii="Arial" w:eastAsia="Times New Roman" w:hAnsi="Arial" w:cs="Arial"/>
          <w:b/>
          <w:bCs/>
          <w:kern w:val="0"/>
          <w:sz w:val="22"/>
          <w:szCs w:val="22"/>
          <w:lang w:val="en-US" w:bidi="ar-SA"/>
        </w:rPr>
        <w:t xml:space="preserve">3. </w:t>
      </w:r>
      <w:r w:rsidR="002220CD" w:rsidRPr="0065745A">
        <w:rPr>
          <w:rFonts w:ascii="Arial" w:eastAsia="Times New Roman" w:hAnsi="Arial" w:cs="Arial"/>
          <w:b/>
          <w:bCs/>
          <w:kern w:val="0"/>
          <w:sz w:val="22"/>
          <w:szCs w:val="22"/>
          <w:lang w:val="en-US" w:bidi="ar-SA"/>
        </w:rPr>
        <w:t>Result</w:t>
      </w:r>
      <w:r w:rsidR="009817BD" w:rsidRPr="0065745A">
        <w:rPr>
          <w:rFonts w:ascii="Arial" w:eastAsia="Times New Roman" w:hAnsi="Arial" w:cs="Arial"/>
          <w:b/>
          <w:bCs/>
          <w:kern w:val="0"/>
          <w:sz w:val="22"/>
          <w:szCs w:val="22"/>
          <w:lang w:val="en-US" w:bidi="ar-SA"/>
        </w:rPr>
        <w:t>s</w:t>
      </w:r>
      <w:r w:rsidR="00D965B5" w:rsidRPr="0065745A">
        <w:rPr>
          <w:rFonts w:ascii="Arial" w:eastAsia="Times New Roman" w:hAnsi="Arial" w:cs="Arial"/>
          <w:b/>
          <w:bCs/>
          <w:kern w:val="0"/>
          <w:sz w:val="22"/>
          <w:szCs w:val="22"/>
          <w:lang w:val="en-US" w:bidi="ar-SA"/>
        </w:rPr>
        <w:t xml:space="preserve"> </w:t>
      </w:r>
      <w:r w:rsidR="00AD7DA3" w:rsidRPr="0065745A">
        <w:rPr>
          <w:rFonts w:ascii="Arial" w:eastAsia="Times New Roman" w:hAnsi="Arial" w:cs="Arial"/>
          <w:b/>
          <w:bCs/>
          <w:kern w:val="0"/>
          <w:sz w:val="22"/>
          <w:szCs w:val="22"/>
          <w:lang w:val="en-US" w:bidi="ar-SA"/>
        </w:rPr>
        <w:t>and</w:t>
      </w:r>
      <w:r w:rsidR="00D965B5" w:rsidRPr="0065745A">
        <w:rPr>
          <w:rFonts w:ascii="Arial" w:eastAsia="Times New Roman" w:hAnsi="Arial" w:cs="Arial"/>
          <w:b/>
          <w:bCs/>
          <w:kern w:val="0"/>
          <w:sz w:val="22"/>
          <w:szCs w:val="22"/>
          <w:lang w:val="en-US" w:bidi="ar-SA"/>
        </w:rPr>
        <w:t xml:space="preserve"> </w:t>
      </w:r>
      <w:r w:rsidR="00E971ED" w:rsidRPr="0065745A">
        <w:rPr>
          <w:rFonts w:ascii="Arial" w:eastAsia="Times New Roman" w:hAnsi="Arial" w:cs="Arial"/>
          <w:b/>
          <w:bCs/>
          <w:kern w:val="0"/>
          <w:sz w:val="22"/>
          <w:szCs w:val="22"/>
          <w:lang w:val="en-US" w:bidi="ar-SA"/>
        </w:rPr>
        <w:t>Discussion</w:t>
      </w:r>
    </w:p>
    <w:p w14:paraId="483D3DAD" w14:textId="77777777" w:rsidR="002220CD" w:rsidRPr="0065745A"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65745A">
        <w:t>The LC50 values of sugar industry effluent at different exposure periods were recorded. The lethal concentrations obtained after 24, 48, 72 and 96 hours were 15.5%, 15.0%, 14.5% and 14.0%, respectively (Table 1).</w:t>
      </w:r>
    </w:p>
    <w:p w14:paraId="7073F155" w14:textId="77777777" w:rsidR="002220CD" w:rsidRPr="0065745A"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65745A">
        <w:t>Fish exposed to 15.5%, 15.0%, 14.5% and 14.0% concentrations of sugar industry effluent showed different physical behaviours, including jerky swimming and excitation for nearly 5-8 minutes. The frequency of opercular movements increased. Loss of balance and attempts to escape from the aquarium were also prominent.</w:t>
      </w:r>
    </w:p>
    <w:p w14:paraId="2AFE41C4" w14:textId="77777777" w:rsidR="00731F2E" w:rsidRPr="0065745A" w:rsidRDefault="00731F2E" w:rsidP="00731F2E">
      <w:pPr>
        <w:pStyle w:val="Caption"/>
        <w:keepNext/>
        <w:spacing w:line="360" w:lineRule="auto"/>
        <w:jc w:val="both"/>
        <w:rPr>
          <w:rFonts w:ascii="Arial" w:hAnsi="Arial" w:cs="Arial"/>
          <w:b w:val="0"/>
          <w:bCs w:val="0"/>
          <w:color w:val="auto"/>
          <w:sz w:val="20"/>
          <w:szCs w:val="20"/>
          <w:lang w:val="en-US"/>
        </w:rPr>
      </w:pPr>
      <w:r w:rsidRPr="0065745A">
        <w:rPr>
          <w:rFonts w:ascii="Arial" w:hAnsi="Arial" w:cs="Arial"/>
          <w:color w:val="auto"/>
          <w:sz w:val="20"/>
          <w:szCs w:val="20"/>
        </w:rPr>
        <w:t xml:space="preserve">Table </w:t>
      </w:r>
      <w:r w:rsidR="0039685A" w:rsidRPr="0065745A">
        <w:rPr>
          <w:rFonts w:ascii="Arial" w:hAnsi="Arial" w:cs="Arial"/>
          <w:color w:val="auto"/>
          <w:sz w:val="20"/>
          <w:szCs w:val="20"/>
        </w:rPr>
        <w:fldChar w:fldCharType="begin"/>
      </w:r>
      <w:r w:rsidRPr="0065745A">
        <w:rPr>
          <w:rFonts w:ascii="Arial" w:hAnsi="Arial" w:cs="Arial"/>
          <w:color w:val="auto"/>
          <w:sz w:val="20"/>
          <w:szCs w:val="20"/>
        </w:rPr>
        <w:instrText xml:space="preserve"> SEQ Table \* ARABIC </w:instrText>
      </w:r>
      <w:r w:rsidR="0039685A" w:rsidRPr="0065745A">
        <w:rPr>
          <w:rFonts w:ascii="Arial" w:hAnsi="Arial" w:cs="Arial"/>
          <w:color w:val="auto"/>
          <w:sz w:val="20"/>
          <w:szCs w:val="20"/>
        </w:rPr>
        <w:fldChar w:fldCharType="separate"/>
      </w:r>
      <w:r w:rsidR="003B5197" w:rsidRPr="0065745A">
        <w:rPr>
          <w:rFonts w:ascii="Arial" w:hAnsi="Arial" w:cs="Arial"/>
          <w:noProof/>
          <w:color w:val="auto"/>
          <w:sz w:val="20"/>
          <w:szCs w:val="20"/>
        </w:rPr>
        <w:t>1</w:t>
      </w:r>
      <w:r w:rsidR="0039685A" w:rsidRPr="0065745A">
        <w:rPr>
          <w:rFonts w:ascii="Arial" w:hAnsi="Arial" w:cs="Arial"/>
          <w:color w:val="auto"/>
          <w:sz w:val="20"/>
          <w:szCs w:val="20"/>
        </w:rPr>
        <w:fldChar w:fldCharType="end"/>
      </w:r>
      <w:r w:rsidRPr="0065745A">
        <w:rPr>
          <w:rFonts w:ascii="Arial" w:hAnsi="Arial" w:cs="Arial"/>
          <w:color w:val="auto"/>
          <w:sz w:val="20"/>
          <w:szCs w:val="20"/>
          <w:lang w:val="en-US"/>
        </w:rPr>
        <w:t>:</w:t>
      </w:r>
      <w:r w:rsidRPr="0065745A">
        <w:rPr>
          <w:rFonts w:ascii="Arial" w:hAnsi="Arial" w:cs="Arial"/>
          <w:b w:val="0"/>
          <w:bCs w:val="0"/>
          <w:color w:val="auto"/>
          <w:sz w:val="20"/>
          <w:szCs w:val="20"/>
          <w:lang w:val="en-US"/>
        </w:rPr>
        <w:t xml:space="preserve"> LC</w:t>
      </w:r>
      <w:r w:rsidRPr="0065745A">
        <w:rPr>
          <w:rFonts w:ascii="Arial" w:hAnsi="Arial" w:cs="Arial"/>
          <w:b w:val="0"/>
          <w:bCs w:val="0"/>
          <w:color w:val="auto"/>
          <w:sz w:val="20"/>
          <w:szCs w:val="20"/>
          <w:vertAlign w:val="subscript"/>
          <w:lang w:val="en-US"/>
        </w:rPr>
        <w:t>50</w:t>
      </w:r>
      <w:r w:rsidRPr="0065745A">
        <w:rPr>
          <w:rFonts w:ascii="Arial" w:hAnsi="Arial" w:cs="Arial"/>
          <w:b w:val="0"/>
          <w:bCs w:val="0"/>
          <w:color w:val="auto"/>
          <w:sz w:val="20"/>
          <w:szCs w:val="20"/>
          <w:lang w:val="en-US"/>
        </w:rPr>
        <w:t xml:space="preserve"> (%) values with exposure time of effluent:</w:t>
      </w:r>
    </w:p>
    <w:tbl>
      <w:tblPr>
        <w:tblStyle w:val="TableGrid"/>
        <w:tblpPr w:leftFromText="180" w:rightFromText="180" w:vertAnchor="text" w:horzAnchor="margin" w:tblpXSpec="center" w:tblpY="2"/>
        <w:tblW w:w="9986" w:type="dxa"/>
        <w:tblLayout w:type="fixed"/>
        <w:tblLook w:val="04A0" w:firstRow="1" w:lastRow="0" w:firstColumn="1" w:lastColumn="0" w:noHBand="0" w:noVBand="1"/>
      </w:tblPr>
      <w:tblGrid>
        <w:gridCol w:w="1365"/>
        <w:gridCol w:w="1796"/>
        <w:gridCol w:w="1389"/>
        <w:gridCol w:w="946"/>
        <w:gridCol w:w="898"/>
        <w:gridCol w:w="2514"/>
        <w:gridCol w:w="1078"/>
      </w:tblGrid>
      <w:tr w:rsidR="00731F2E" w:rsidRPr="0065745A" w14:paraId="3CEB53FB" w14:textId="77777777" w:rsidTr="00183522">
        <w:trPr>
          <w:trHeight w:val="715"/>
        </w:trPr>
        <w:tc>
          <w:tcPr>
            <w:tcW w:w="1365" w:type="dxa"/>
            <w:vAlign w:val="center"/>
          </w:tcPr>
          <w:p w14:paraId="772DC7A7" w14:textId="77777777" w:rsidR="00731F2E" w:rsidRPr="0065745A" w:rsidRDefault="00A04E4A" w:rsidP="00A04E4A">
            <w:pPr>
              <w:spacing w:line="276" w:lineRule="auto"/>
              <w:jc w:val="both"/>
              <w:rPr>
                <w:rFonts w:ascii="Arial" w:hAnsi="Arial" w:cs="Arial"/>
                <w:b/>
                <w:sz w:val="20"/>
                <w:szCs w:val="20"/>
              </w:rPr>
            </w:pPr>
            <w:r w:rsidRPr="0065745A">
              <w:rPr>
                <w:rFonts w:ascii="Arial" w:hAnsi="Arial" w:cs="Arial"/>
                <w:b/>
                <w:bCs/>
                <w:sz w:val="20"/>
                <w:szCs w:val="20"/>
              </w:rPr>
              <w:t>Exposure period (</w:t>
            </w:r>
            <w:r w:rsidR="00731F2E" w:rsidRPr="0065745A">
              <w:rPr>
                <w:rFonts w:ascii="Arial" w:hAnsi="Arial" w:cs="Arial"/>
                <w:b/>
                <w:bCs/>
                <w:sz w:val="20"/>
                <w:szCs w:val="20"/>
              </w:rPr>
              <w:t>hrs</w:t>
            </w:r>
            <w:r w:rsidRPr="0065745A">
              <w:rPr>
                <w:rFonts w:ascii="Arial" w:hAnsi="Arial" w:cs="Arial"/>
                <w:b/>
                <w:bCs/>
                <w:sz w:val="20"/>
                <w:szCs w:val="20"/>
              </w:rPr>
              <w:t>)</w:t>
            </w:r>
          </w:p>
        </w:tc>
        <w:tc>
          <w:tcPr>
            <w:tcW w:w="1796" w:type="dxa"/>
            <w:vAlign w:val="center"/>
          </w:tcPr>
          <w:p w14:paraId="32514E80" w14:textId="77777777" w:rsidR="00731F2E" w:rsidRPr="0065745A" w:rsidRDefault="00731F2E" w:rsidP="00731F2E">
            <w:pPr>
              <w:spacing w:line="276" w:lineRule="auto"/>
              <w:jc w:val="both"/>
              <w:rPr>
                <w:rFonts w:ascii="Arial" w:hAnsi="Arial" w:cs="Arial"/>
                <w:b/>
                <w:bCs/>
                <w:sz w:val="20"/>
                <w:szCs w:val="20"/>
              </w:rPr>
            </w:pPr>
            <w:r w:rsidRPr="0065745A">
              <w:rPr>
                <w:rFonts w:ascii="Arial" w:hAnsi="Arial" w:cs="Arial"/>
                <w:b/>
                <w:bCs/>
                <w:sz w:val="20"/>
                <w:szCs w:val="20"/>
              </w:rPr>
              <w:t>LC</w:t>
            </w:r>
            <w:r w:rsidRPr="0065745A">
              <w:rPr>
                <w:rFonts w:ascii="Arial" w:hAnsi="Arial" w:cs="Arial"/>
                <w:b/>
                <w:bCs/>
                <w:sz w:val="20"/>
                <w:szCs w:val="20"/>
                <w:vertAlign w:val="subscript"/>
              </w:rPr>
              <w:t>50</w:t>
            </w:r>
            <w:r w:rsidRPr="0065745A">
              <w:rPr>
                <w:rFonts w:ascii="Arial" w:hAnsi="Arial" w:cs="Arial"/>
                <w:b/>
                <w:bCs/>
                <w:sz w:val="20"/>
                <w:szCs w:val="20"/>
              </w:rPr>
              <w:t xml:space="preserve"> </w:t>
            </w:r>
            <w:proofErr w:type="gramStart"/>
            <w:r w:rsidRPr="0065745A">
              <w:rPr>
                <w:rFonts w:ascii="Arial" w:hAnsi="Arial" w:cs="Arial"/>
                <w:b/>
                <w:bCs/>
                <w:sz w:val="20"/>
                <w:szCs w:val="20"/>
              </w:rPr>
              <w:t>values  %</w:t>
            </w:r>
            <w:proofErr w:type="gramEnd"/>
            <w:r w:rsidRPr="0065745A">
              <w:rPr>
                <w:rFonts w:ascii="Arial" w:hAnsi="Arial" w:cs="Arial"/>
                <w:b/>
                <w:bCs/>
                <w:sz w:val="20"/>
                <w:szCs w:val="20"/>
              </w:rPr>
              <w:t xml:space="preserve"> concentration</w:t>
            </w:r>
          </w:p>
        </w:tc>
        <w:tc>
          <w:tcPr>
            <w:tcW w:w="1389" w:type="dxa"/>
            <w:vAlign w:val="center"/>
          </w:tcPr>
          <w:p w14:paraId="743D4FA6" w14:textId="77777777" w:rsidR="00731F2E" w:rsidRPr="0065745A" w:rsidRDefault="00731F2E" w:rsidP="00731F2E">
            <w:pPr>
              <w:spacing w:line="276" w:lineRule="auto"/>
              <w:jc w:val="both"/>
              <w:rPr>
                <w:rFonts w:ascii="Arial" w:hAnsi="Arial" w:cs="Arial"/>
                <w:b/>
                <w:sz w:val="20"/>
                <w:szCs w:val="20"/>
              </w:rPr>
            </w:pPr>
            <w:r w:rsidRPr="0065745A">
              <w:rPr>
                <w:rFonts w:ascii="Arial" w:hAnsi="Arial" w:cs="Arial"/>
                <w:b/>
                <w:sz w:val="20"/>
                <w:szCs w:val="20"/>
              </w:rPr>
              <w:t xml:space="preserve">No. </w:t>
            </w:r>
            <w:proofErr w:type="gramStart"/>
            <w:r w:rsidRPr="0065745A">
              <w:rPr>
                <w:rFonts w:ascii="Arial" w:hAnsi="Arial" w:cs="Arial"/>
                <w:b/>
                <w:sz w:val="20"/>
                <w:szCs w:val="20"/>
              </w:rPr>
              <w:t>of  animal</w:t>
            </w:r>
            <w:proofErr w:type="gramEnd"/>
            <w:r w:rsidRPr="0065745A">
              <w:rPr>
                <w:rFonts w:ascii="Arial" w:hAnsi="Arial" w:cs="Arial"/>
                <w:b/>
                <w:sz w:val="20"/>
                <w:szCs w:val="20"/>
              </w:rPr>
              <w:t xml:space="preserve"> used</w:t>
            </w:r>
          </w:p>
        </w:tc>
        <w:tc>
          <w:tcPr>
            <w:tcW w:w="946" w:type="dxa"/>
            <w:vAlign w:val="center"/>
          </w:tcPr>
          <w:p w14:paraId="6F259A9F" w14:textId="77777777" w:rsidR="00731F2E" w:rsidRPr="0065745A" w:rsidRDefault="00731F2E" w:rsidP="00731F2E">
            <w:pPr>
              <w:spacing w:line="276" w:lineRule="auto"/>
              <w:jc w:val="both"/>
              <w:rPr>
                <w:rFonts w:ascii="Arial" w:hAnsi="Arial" w:cs="Arial"/>
                <w:b/>
                <w:sz w:val="20"/>
                <w:szCs w:val="20"/>
              </w:rPr>
            </w:pPr>
            <w:r w:rsidRPr="0065745A">
              <w:rPr>
                <w:rFonts w:ascii="Arial" w:hAnsi="Arial" w:cs="Arial"/>
                <w:b/>
                <w:sz w:val="20"/>
                <w:szCs w:val="20"/>
              </w:rPr>
              <w:t>Length</w:t>
            </w:r>
          </w:p>
          <w:p w14:paraId="10A9C7C4" w14:textId="77777777" w:rsidR="00731F2E" w:rsidRPr="0065745A" w:rsidRDefault="00731F2E" w:rsidP="00731F2E">
            <w:pPr>
              <w:spacing w:line="276" w:lineRule="auto"/>
              <w:jc w:val="both"/>
              <w:rPr>
                <w:rFonts w:ascii="Arial" w:hAnsi="Arial" w:cs="Arial"/>
                <w:b/>
                <w:sz w:val="20"/>
                <w:szCs w:val="20"/>
              </w:rPr>
            </w:pPr>
            <w:r w:rsidRPr="0065745A">
              <w:rPr>
                <w:rFonts w:ascii="Arial" w:hAnsi="Arial" w:cs="Arial"/>
                <w:b/>
                <w:sz w:val="20"/>
                <w:szCs w:val="20"/>
              </w:rPr>
              <w:t>(cm)</w:t>
            </w:r>
          </w:p>
        </w:tc>
        <w:tc>
          <w:tcPr>
            <w:tcW w:w="898" w:type="dxa"/>
            <w:vAlign w:val="center"/>
          </w:tcPr>
          <w:p w14:paraId="5C61635F" w14:textId="77777777" w:rsidR="00731F2E" w:rsidRPr="0065745A" w:rsidRDefault="00731F2E" w:rsidP="00731F2E">
            <w:pPr>
              <w:spacing w:line="276" w:lineRule="auto"/>
              <w:jc w:val="both"/>
              <w:rPr>
                <w:rFonts w:ascii="Arial" w:hAnsi="Arial" w:cs="Arial"/>
                <w:b/>
                <w:sz w:val="20"/>
                <w:szCs w:val="20"/>
              </w:rPr>
            </w:pPr>
            <w:r w:rsidRPr="0065745A">
              <w:rPr>
                <w:rFonts w:ascii="Arial" w:hAnsi="Arial" w:cs="Arial"/>
                <w:b/>
                <w:sz w:val="20"/>
                <w:szCs w:val="20"/>
              </w:rPr>
              <w:t>Weight</w:t>
            </w:r>
          </w:p>
          <w:p w14:paraId="1F2E240E" w14:textId="77777777" w:rsidR="00731F2E" w:rsidRPr="0065745A" w:rsidRDefault="00731F2E" w:rsidP="00731F2E">
            <w:pPr>
              <w:spacing w:line="276" w:lineRule="auto"/>
              <w:jc w:val="both"/>
              <w:rPr>
                <w:rFonts w:ascii="Arial" w:hAnsi="Arial" w:cs="Arial"/>
                <w:b/>
                <w:sz w:val="20"/>
                <w:szCs w:val="20"/>
              </w:rPr>
            </w:pPr>
            <w:r w:rsidRPr="0065745A">
              <w:rPr>
                <w:rFonts w:ascii="Arial" w:hAnsi="Arial" w:cs="Arial"/>
                <w:b/>
                <w:sz w:val="20"/>
                <w:szCs w:val="20"/>
              </w:rPr>
              <w:t>(gm)</w:t>
            </w:r>
          </w:p>
        </w:tc>
        <w:tc>
          <w:tcPr>
            <w:tcW w:w="2514" w:type="dxa"/>
            <w:vAlign w:val="center"/>
          </w:tcPr>
          <w:p w14:paraId="482A002E" w14:textId="77777777" w:rsidR="00731F2E" w:rsidRPr="000C5F06" w:rsidRDefault="00731F2E" w:rsidP="00731F2E">
            <w:pPr>
              <w:spacing w:line="276" w:lineRule="auto"/>
              <w:jc w:val="both"/>
              <w:rPr>
                <w:rFonts w:ascii="Arial" w:hAnsi="Arial" w:cs="Arial"/>
                <w:b/>
                <w:bCs/>
                <w:sz w:val="20"/>
                <w:szCs w:val="20"/>
                <w:lang w:val="fr-FR"/>
              </w:rPr>
            </w:pPr>
            <w:r w:rsidRPr="000C5F06">
              <w:rPr>
                <w:rFonts w:ascii="Arial" w:hAnsi="Arial" w:cs="Arial"/>
                <w:b/>
                <w:bCs/>
                <w:sz w:val="20"/>
                <w:szCs w:val="20"/>
                <w:lang w:val="fr-FR"/>
              </w:rPr>
              <w:t>Regression equation</w:t>
            </w:r>
          </w:p>
          <w:p w14:paraId="0E55CF6A" w14:textId="77777777" w:rsidR="00731F2E" w:rsidRPr="000C5F06" w:rsidRDefault="00731F2E" w:rsidP="00731F2E">
            <w:pPr>
              <w:spacing w:line="276" w:lineRule="auto"/>
              <w:jc w:val="both"/>
              <w:rPr>
                <w:rFonts w:ascii="Arial" w:hAnsi="Arial" w:cs="Arial"/>
                <w:b/>
                <w:sz w:val="20"/>
                <w:szCs w:val="20"/>
                <w:lang w:val="fr-FR"/>
              </w:rPr>
            </w:pPr>
            <w:r w:rsidRPr="000C5F06">
              <w:rPr>
                <w:rFonts w:ascii="Arial" w:hAnsi="Arial" w:cs="Arial"/>
                <w:b/>
                <w:bCs/>
                <w:sz w:val="20"/>
                <w:szCs w:val="20"/>
                <w:lang w:val="fr-FR"/>
              </w:rPr>
              <w:t>Y= y + b (x- x)</w:t>
            </w:r>
          </w:p>
        </w:tc>
        <w:tc>
          <w:tcPr>
            <w:tcW w:w="1078" w:type="dxa"/>
            <w:vAlign w:val="center"/>
          </w:tcPr>
          <w:p w14:paraId="0D02BBCD" w14:textId="77777777" w:rsidR="00731F2E" w:rsidRPr="0065745A" w:rsidRDefault="00731F2E" w:rsidP="00731F2E">
            <w:pPr>
              <w:spacing w:line="276" w:lineRule="auto"/>
              <w:jc w:val="both"/>
              <w:rPr>
                <w:rFonts w:ascii="Arial" w:hAnsi="Arial" w:cs="Arial"/>
                <w:b/>
                <w:sz w:val="20"/>
                <w:szCs w:val="20"/>
              </w:rPr>
            </w:pPr>
            <w:r w:rsidRPr="0065745A">
              <w:rPr>
                <w:rFonts w:ascii="Arial" w:hAnsi="Arial" w:cs="Arial"/>
                <w:b/>
                <w:bCs/>
                <w:sz w:val="20"/>
                <w:szCs w:val="20"/>
              </w:rPr>
              <w:t>Variance</w:t>
            </w:r>
          </w:p>
        </w:tc>
      </w:tr>
      <w:tr w:rsidR="00731F2E" w:rsidRPr="0065745A" w14:paraId="0B285B6C" w14:textId="77777777" w:rsidTr="00183522">
        <w:trPr>
          <w:trHeight w:val="345"/>
        </w:trPr>
        <w:tc>
          <w:tcPr>
            <w:tcW w:w="1365" w:type="dxa"/>
            <w:vAlign w:val="center"/>
          </w:tcPr>
          <w:p w14:paraId="2B0199FA"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bCs/>
                <w:sz w:val="20"/>
                <w:szCs w:val="20"/>
              </w:rPr>
              <w:t>24</w:t>
            </w:r>
          </w:p>
        </w:tc>
        <w:tc>
          <w:tcPr>
            <w:tcW w:w="1796" w:type="dxa"/>
            <w:vAlign w:val="center"/>
          </w:tcPr>
          <w:p w14:paraId="777CE4D5" w14:textId="77777777" w:rsidR="00731F2E" w:rsidRPr="0065745A" w:rsidRDefault="00731F2E" w:rsidP="00731F2E">
            <w:pPr>
              <w:spacing w:line="276" w:lineRule="auto"/>
              <w:jc w:val="center"/>
              <w:rPr>
                <w:rFonts w:ascii="Arial" w:hAnsi="Arial" w:cs="Arial"/>
                <w:bCs/>
                <w:sz w:val="20"/>
                <w:szCs w:val="20"/>
              </w:rPr>
            </w:pPr>
            <w:r w:rsidRPr="0065745A">
              <w:rPr>
                <w:rFonts w:ascii="Arial" w:hAnsi="Arial" w:cs="Arial"/>
                <w:bCs/>
                <w:sz w:val="20"/>
                <w:szCs w:val="20"/>
              </w:rPr>
              <w:t>15.5</w:t>
            </w:r>
          </w:p>
        </w:tc>
        <w:tc>
          <w:tcPr>
            <w:tcW w:w="1389" w:type="dxa"/>
            <w:vAlign w:val="center"/>
          </w:tcPr>
          <w:p w14:paraId="0D63B77E"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10</w:t>
            </w:r>
          </w:p>
        </w:tc>
        <w:tc>
          <w:tcPr>
            <w:tcW w:w="946" w:type="dxa"/>
            <w:vAlign w:val="center"/>
          </w:tcPr>
          <w:p w14:paraId="458316D8"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6.5-7</w:t>
            </w:r>
          </w:p>
        </w:tc>
        <w:tc>
          <w:tcPr>
            <w:tcW w:w="898" w:type="dxa"/>
            <w:vAlign w:val="center"/>
          </w:tcPr>
          <w:p w14:paraId="51102D8A"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4-5</w:t>
            </w:r>
          </w:p>
        </w:tc>
        <w:tc>
          <w:tcPr>
            <w:tcW w:w="2514" w:type="dxa"/>
          </w:tcPr>
          <w:p w14:paraId="74AFF580"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lang w:eastAsia="en-IN"/>
              </w:rPr>
              <w:t>Y = 4.82 + 2.31 (x − x̄)</w:t>
            </w:r>
          </w:p>
        </w:tc>
        <w:tc>
          <w:tcPr>
            <w:tcW w:w="1078" w:type="dxa"/>
            <w:vAlign w:val="center"/>
          </w:tcPr>
          <w:p w14:paraId="1D6A1EB2"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0.62</w:t>
            </w:r>
          </w:p>
        </w:tc>
      </w:tr>
      <w:tr w:rsidR="00731F2E" w:rsidRPr="0065745A" w14:paraId="34D7FBDD" w14:textId="77777777" w:rsidTr="00183522">
        <w:trPr>
          <w:trHeight w:val="358"/>
        </w:trPr>
        <w:tc>
          <w:tcPr>
            <w:tcW w:w="1365" w:type="dxa"/>
            <w:vAlign w:val="center"/>
          </w:tcPr>
          <w:p w14:paraId="26480006"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bCs/>
                <w:sz w:val="20"/>
                <w:szCs w:val="20"/>
              </w:rPr>
              <w:t>48</w:t>
            </w:r>
          </w:p>
        </w:tc>
        <w:tc>
          <w:tcPr>
            <w:tcW w:w="1796" w:type="dxa"/>
            <w:vAlign w:val="center"/>
          </w:tcPr>
          <w:p w14:paraId="3335AC17" w14:textId="77777777" w:rsidR="00731F2E" w:rsidRPr="0065745A" w:rsidRDefault="00731F2E" w:rsidP="00731F2E">
            <w:pPr>
              <w:spacing w:line="276" w:lineRule="auto"/>
              <w:jc w:val="center"/>
              <w:rPr>
                <w:rFonts w:ascii="Arial" w:hAnsi="Arial" w:cs="Arial"/>
                <w:bCs/>
                <w:sz w:val="20"/>
                <w:szCs w:val="20"/>
              </w:rPr>
            </w:pPr>
            <w:r w:rsidRPr="0065745A">
              <w:rPr>
                <w:rFonts w:ascii="Arial" w:hAnsi="Arial" w:cs="Arial"/>
                <w:bCs/>
                <w:sz w:val="20"/>
                <w:szCs w:val="20"/>
              </w:rPr>
              <w:t>15</w:t>
            </w:r>
          </w:p>
        </w:tc>
        <w:tc>
          <w:tcPr>
            <w:tcW w:w="1389" w:type="dxa"/>
            <w:vAlign w:val="center"/>
          </w:tcPr>
          <w:p w14:paraId="2D17B3E4"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10</w:t>
            </w:r>
          </w:p>
        </w:tc>
        <w:tc>
          <w:tcPr>
            <w:tcW w:w="946" w:type="dxa"/>
            <w:vAlign w:val="center"/>
          </w:tcPr>
          <w:p w14:paraId="015CFAE3"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6.5-7</w:t>
            </w:r>
          </w:p>
        </w:tc>
        <w:tc>
          <w:tcPr>
            <w:tcW w:w="898" w:type="dxa"/>
            <w:vAlign w:val="center"/>
          </w:tcPr>
          <w:p w14:paraId="67118DC3"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4-5</w:t>
            </w:r>
          </w:p>
        </w:tc>
        <w:tc>
          <w:tcPr>
            <w:tcW w:w="2514" w:type="dxa"/>
            <w:vAlign w:val="center"/>
          </w:tcPr>
          <w:p w14:paraId="27784DA1"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lang w:eastAsia="en-IN"/>
              </w:rPr>
              <w:t>Y = 4.76 + 2.28 (x − x̄)</w:t>
            </w:r>
          </w:p>
        </w:tc>
        <w:tc>
          <w:tcPr>
            <w:tcW w:w="1078" w:type="dxa"/>
            <w:vAlign w:val="center"/>
          </w:tcPr>
          <w:p w14:paraId="4D46EBFC"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0.58</w:t>
            </w:r>
          </w:p>
        </w:tc>
      </w:tr>
      <w:tr w:rsidR="00731F2E" w:rsidRPr="0065745A" w14:paraId="6FAB64B8" w14:textId="77777777" w:rsidTr="00183522">
        <w:trPr>
          <w:trHeight w:val="358"/>
        </w:trPr>
        <w:tc>
          <w:tcPr>
            <w:tcW w:w="1365" w:type="dxa"/>
            <w:vAlign w:val="center"/>
          </w:tcPr>
          <w:p w14:paraId="5CE6148A"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bCs/>
                <w:sz w:val="20"/>
                <w:szCs w:val="20"/>
              </w:rPr>
              <w:t>72</w:t>
            </w:r>
          </w:p>
        </w:tc>
        <w:tc>
          <w:tcPr>
            <w:tcW w:w="1796" w:type="dxa"/>
            <w:vAlign w:val="center"/>
          </w:tcPr>
          <w:p w14:paraId="01AEE860" w14:textId="77777777" w:rsidR="00731F2E" w:rsidRPr="0065745A" w:rsidRDefault="00731F2E" w:rsidP="00731F2E">
            <w:pPr>
              <w:spacing w:line="276" w:lineRule="auto"/>
              <w:jc w:val="center"/>
              <w:rPr>
                <w:rFonts w:ascii="Arial" w:hAnsi="Arial" w:cs="Arial"/>
                <w:bCs/>
                <w:sz w:val="20"/>
                <w:szCs w:val="20"/>
              </w:rPr>
            </w:pPr>
            <w:r w:rsidRPr="0065745A">
              <w:rPr>
                <w:rFonts w:ascii="Arial" w:hAnsi="Arial" w:cs="Arial"/>
                <w:bCs/>
                <w:sz w:val="20"/>
                <w:szCs w:val="20"/>
              </w:rPr>
              <w:t>14.5</w:t>
            </w:r>
          </w:p>
        </w:tc>
        <w:tc>
          <w:tcPr>
            <w:tcW w:w="1389" w:type="dxa"/>
            <w:vAlign w:val="center"/>
          </w:tcPr>
          <w:p w14:paraId="2E15501E"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10</w:t>
            </w:r>
          </w:p>
        </w:tc>
        <w:tc>
          <w:tcPr>
            <w:tcW w:w="946" w:type="dxa"/>
            <w:vAlign w:val="center"/>
          </w:tcPr>
          <w:p w14:paraId="02AF4CF2"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6.5-7</w:t>
            </w:r>
          </w:p>
        </w:tc>
        <w:tc>
          <w:tcPr>
            <w:tcW w:w="898" w:type="dxa"/>
            <w:vAlign w:val="center"/>
          </w:tcPr>
          <w:p w14:paraId="1A279351"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4-5</w:t>
            </w:r>
          </w:p>
        </w:tc>
        <w:tc>
          <w:tcPr>
            <w:tcW w:w="2514" w:type="dxa"/>
            <w:vAlign w:val="center"/>
          </w:tcPr>
          <w:p w14:paraId="7B4B5521"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lang w:eastAsia="en-IN"/>
              </w:rPr>
              <w:t>Y = 4.69 + 2.24 (x − x̄)</w:t>
            </w:r>
          </w:p>
        </w:tc>
        <w:tc>
          <w:tcPr>
            <w:tcW w:w="1078" w:type="dxa"/>
            <w:vAlign w:val="center"/>
          </w:tcPr>
          <w:p w14:paraId="140DC781"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0.54</w:t>
            </w:r>
          </w:p>
        </w:tc>
      </w:tr>
      <w:tr w:rsidR="00731F2E" w:rsidRPr="0065745A" w14:paraId="43B7377D" w14:textId="77777777" w:rsidTr="00183522">
        <w:trPr>
          <w:trHeight w:val="358"/>
        </w:trPr>
        <w:tc>
          <w:tcPr>
            <w:tcW w:w="1365" w:type="dxa"/>
            <w:vAlign w:val="center"/>
          </w:tcPr>
          <w:p w14:paraId="1D43E447"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bCs/>
                <w:sz w:val="20"/>
                <w:szCs w:val="20"/>
              </w:rPr>
              <w:t>96</w:t>
            </w:r>
          </w:p>
        </w:tc>
        <w:tc>
          <w:tcPr>
            <w:tcW w:w="1796" w:type="dxa"/>
            <w:vAlign w:val="center"/>
          </w:tcPr>
          <w:p w14:paraId="50992DF7" w14:textId="77777777" w:rsidR="00731F2E" w:rsidRPr="0065745A" w:rsidRDefault="00731F2E" w:rsidP="00731F2E">
            <w:pPr>
              <w:spacing w:line="276" w:lineRule="auto"/>
              <w:jc w:val="center"/>
              <w:rPr>
                <w:rFonts w:ascii="Arial" w:hAnsi="Arial" w:cs="Arial"/>
                <w:bCs/>
                <w:sz w:val="20"/>
                <w:szCs w:val="20"/>
              </w:rPr>
            </w:pPr>
            <w:r w:rsidRPr="0065745A">
              <w:rPr>
                <w:rFonts w:ascii="Arial" w:hAnsi="Arial" w:cs="Arial"/>
                <w:bCs/>
                <w:sz w:val="20"/>
                <w:szCs w:val="20"/>
              </w:rPr>
              <w:t>14</w:t>
            </w:r>
          </w:p>
        </w:tc>
        <w:tc>
          <w:tcPr>
            <w:tcW w:w="1389" w:type="dxa"/>
            <w:vAlign w:val="center"/>
          </w:tcPr>
          <w:p w14:paraId="1F854316"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10</w:t>
            </w:r>
          </w:p>
        </w:tc>
        <w:tc>
          <w:tcPr>
            <w:tcW w:w="946" w:type="dxa"/>
            <w:vAlign w:val="center"/>
          </w:tcPr>
          <w:p w14:paraId="566B5B1D"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6.5-7</w:t>
            </w:r>
          </w:p>
        </w:tc>
        <w:tc>
          <w:tcPr>
            <w:tcW w:w="898" w:type="dxa"/>
            <w:vAlign w:val="center"/>
          </w:tcPr>
          <w:p w14:paraId="6F93433F"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4-5</w:t>
            </w:r>
          </w:p>
        </w:tc>
        <w:tc>
          <w:tcPr>
            <w:tcW w:w="2514" w:type="dxa"/>
            <w:vAlign w:val="center"/>
          </w:tcPr>
          <w:p w14:paraId="7F87AE4F"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lang w:eastAsia="en-IN"/>
              </w:rPr>
              <w:t>Y = 4.61 + 2.19 (x − x̄)</w:t>
            </w:r>
          </w:p>
        </w:tc>
        <w:tc>
          <w:tcPr>
            <w:tcW w:w="1078" w:type="dxa"/>
            <w:vAlign w:val="center"/>
          </w:tcPr>
          <w:p w14:paraId="13371898" w14:textId="77777777" w:rsidR="00731F2E" w:rsidRPr="0065745A" w:rsidRDefault="00731F2E" w:rsidP="00731F2E">
            <w:pPr>
              <w:spacing w:line="276" w:lineRule="auto"/>
              <w:jc w:val="center"/>
              <w:rPr>
                <w:rFonts w:ascii="Arial" w:hAnsi="Arial" w:cs="Arial"/>
                <w:sz w:val="20"/>
                <w:szCs w:val="20"/>
              </w:rPr>
            </w:pPr>
            <w:r w:rsidRPr="0065745A">
              <w:rPr>
                <w:rFonts w:ascii="Arial" w:hAnsi="Arial" w:cs="Arial"/>
                <w:sz w:val="20"/>
                <w:szCs w:val="20"/>
              </w:rPr>
              <w:t>0.49</w:t>
            </w:r>
          </w:p>
        </w:tc>
      </w:tr>
    </w:tbl>
    <w:p w14:paraId="66D8A00F" w14:textId="77777777" w:rsidR="00731F2E" w:rsidRPr="0065745A"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65745A">
        <w:t>The survival and mortality percentages of fish exposed to 15.5%, 15.0%, 14.5% and 14.0% concentrations of effluent for 24, 48, 72 and 96 hours are shown in Table 2.</w:t>
      </w:r>
    </w:p>
    <w:p w14:paraId="1F813DA3" w14:textId="77777777" w:rsidR="003B5197" w:rsidRPr="0065745A" w:rsidRDefault="003B5197" w:rsidP="003B5197">
      <w:pPr>
        <w:pStyle w:val="Caption"/>
        <w:keepNext/>
        <w:rPr>
          <w:rFonts w:ascii="Arial" w:hAnsi="Arial" w:cs="Arial"/>
          <w:b w:val="0"/>
          <w:bCs w:val="0"/>
          <w:color w:val="auto"/>
          <w:sz w:val="20"/>
          <w:szCs w:val="18"/>
        </w:rPr>
      </w:pPr>
      <w:r w:rsidRPr="0065745A">
        <w:rPr>
          <w:rFonts w:ascii="Arial" w:hAnsi="Arial" w:cs="Arial"/>
          <w:color w:val="auto"/>
          <w:sz w:val="20"/>
          <w:szCs w:val="18"/>
        </w:rPr>
        <w:t xml:space="preserve">Table </w:t>
      </w:r>
      <w:r w:rsidR="0039685A" w:rsidRPr="0065745A">
        <w:rPr>
          <w:rFonts w:ascii="Arial" w:hAnsi="Arial" w:cs="Arial"/>
          <w:color w:val="auto"/>
          <w:sz w:val="20"/>
          <w:szCs w:val="18"/>
        </w:rPr>
        <w:fldChar w:fldCharType="begin"/>
      </w:r>
      <w:r w:rsidRPr="0065745A">
        <w:rPr>
          <w:rFonts w:ascii="Arial" w:hAnsi="Arial" w:cs="Arial"/>
          <w:color w:val="auto"/>
          <w:sz w:val="20"/>
          <w:szCs w:val="18"/>
        </w:rPr>
        <w:instrText xml:space="preserve"> SEQ Table \* ARABIC </w:instrText>
      </w:r>
      <w:r w:rsidR="0039685A" w:rsidRPr="0065745A">
        <w:rPr>
          <w:rFonts w:ascii="Arial" w:hAnsi="Arial" w:cs="Arial"/>
          <w:color w:val="auto"/>
          <w:sz w:val="20"/>
          <w:szCs w:val="18"/>
        </w:rPr>
        <w:fldChar w:fldCharType="separate"/>
      </w:r>
      <w:r w:rsidRPr="0065745A">
        <w:rPr>
          <w:rFonts w:ascii="Arial" w:hAnsi="Arial" w:cs="Arial"/>
          <w:noProof/>
          <w:color w:val="auto"/>
          <w:sz w:val="20"/>
          <w:szCs w:val="18"/>
        </w:rPr>
        <w:t>2</w:t>
      </w:r>
      <w:r w:rsidR="0039685A" w:rsidRPr="0065745A">
        <w:rPr>
          <w:rFonts w:ascii="Arial" w:hAnsi="Arial" w:cs="Arial"/>
          <w:color w:val="auto"/>
          <w:sz w:val="20"/>
          <w:szCs w:val="18"/>
        </w:rPr>
        <w:fldChar w:fldCharType="end"/>
      </w:r>
      <w:r w:rsidRPr="0065745A">
        <w:rPr>
          <w:rFonts w:ascii="Arial" w:hAnsi="Arial" w:cs="Arial"/>
          <w:color w:val="auto"/>
          <w:sz w:val="20"/>
          <w:szCs w:val="18"/>
          <w:lang w:val="en-US"/>
        </w:rPr>
        <w:t xml:space="preserve">: </w:t>
      </w:r>
      <w:r w:rsidR="00340788" w:rsidRPr="0065745A">
        <w:rPr>
          <w:rFonts w:ascii="Arial" w:hAnsi="Arial" w:cs="Arial"/>
          <w:b w:val="0"/>
          <w:bCs w:val="0"/>
          <w:color w:val="auto"/>
          <w:sz w:val="20"/>
          <w:szCs w:val="18"/>
          <w:lang w:val="en-US"/>
        </w:rPr>
        <w:t xml:space="preserve">Percent </w:t>
      </w:r>
      <w:r w:rsidRPr="0065745A">
        <w:rPr>
          <w:rFonts w:ascii="Arial" w:hAnsi="Arial" w:cs="Arial"/>
          <w:b w:val="0"/>
          <w:bCs w:val="0"/>
          <w:color w:val="auto"/>
          <w:sz w:val="20"/>
          <w:szCs w:val="18"/>
          <w:lang w:val="en-US"/>
        </w:rPr>
        <w:t>survival and mortality in fish exposed to Sugar Industry effluent for a period of 24, 48, 72, and 96 hrs.</w:t>
      </w:r>
    </w:p>
    <w:tbl>
      <w:tblPr>
        <w:tblW w:w="52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1675"/>
        <w:gridCol w:w="902"/>
        <w:gridCol w:w="808"/>
        <w:gridCol w:w="991"/>
        <w:gridCol w:w="900"/>
        <w:gridCol w:w="902"/>
        <w:gridCol w:w="900"/>
        <w:gridCol w:w="989"/>
        <w:gridCol w:w="898"/>
      </w:tblGrid>
      <w:tr w:rsidR="009A7F24" w:rsidRPr="0065745A" w14:paraId="0F877F17" w14:textId="77777777" w:rsidTr="00156BFC">
        <w:trPr>
          <w:trHeight w:val="264"/>
        </w:trPr>
        <w:tc>
          <w:tcPr>
            <w:tcW w:w="397" w:type="pct"/>
            <w:vMerge w:val="restart"/>
          </w:tcPr>
          <w:p w14:paraId="3C26560E"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Sr. No</w:t>
            </w:r>
          </w:p>
        </w:tc>
        <w:tc>
          <w:tcPr>
            <w:tcW w:w="860" w:type="pct"/>
            <w:vMerge w:val="restart"/>
          </w:tcPr>
          <w:p w14:paraId="25C027A3"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w:t>
            </w:r>
          </w:p>
          <w:p w14:paraId="57BD55CE"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concentration</w:t>
            </w:r>
          </w:p>
        </w:tc>
        <w:tc>
          <w:tcPr>
            <w:tcW w:w="3744" w:type="pct"/>
            <w:gridSpan w:val="8"/>
          </w:tcPr>
          <w:p w14:paraId="1591A584"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 survival and mortality</w:t>
            </w:r>
          </w:p>
        </w:tc>
      </w:tr>
      <w:tr w:rsidR="00156BFC" w:rsidRPr="0065745A" w14:paraId="41C13648" w14:textId="77777777" w:rsidTr="00156BFC">
        <w:trPr>
          <w:trHeight w:val="284"/>
        </w:trPr>
        <w:tc>
          <w:tcPr>
            <w:tcW w:w="397" w:type="pct"/>
            <w:vMerge/>
          </w:tcPr>
          <w:p w14:paraId="5C23496E" w14:textId="77777777" w:rsidR="009A7F24" w:rsidRPr="0065745A" w:rsidRDefault="009A7F24" w:rsidP="00F30FDA">
            <w:pPr>
              <w:jc w:val="center"/>
              <w:rPr>
                <w:rFonts w:ascii="Arial" w:hAnsi="Arial" w:cs="Arial"/>
                <w:b/>
                <w:sz w:val="22"/>
                <w:szCs w:val="22"/>
              </w:rPr>
            </w:pPr>
          </w:p>
        </w:tc>
        <w:tc>
          <w:tcPr>
            <w:tcW w:w="860" w:type="pct"/>
            <w:vMerge/>
          </w:tcPr>
          <w:p w14:paraId="50C4E404" w14:textId="77777777" w:rsidR="009A7F24" w:rsidRPr="0065745A" w:rsidRDefault="009A7F24" w:rsidP="00F30FDA">
            <w:pPr>
              <w:jc w:val="center"/>
              <w:rPr>
                <w:rFonts w:ascii="Arial" w:hAnsi="Arial" w:cs="Arial"/>
                <w:b/>
                <w:sz w:val="22"/>
                <w:szCs w:val="22"/>
              </w:rPr>
            </w:pPr>
          </w:p>
        </w:tc>
        <w:tc>
          <w:tcPr>
            <w:tcW w:w="878" w:type="pct"/>
            <w:gridSpan w:val="2"/>
          </w:tcPr>
          <w:p w14:paraId="2C6C4C3D"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24 hours</w:t>
            </w:r>
          </w:p>
        </w:tc>
        <w:tc>
          <w:tcPr>
            <w:tcW w:w="971" w:type="pct"/>
            <w:gridSpan w:val="2"/>
          </w:tcPr>
          <w:p w14:paraId="51B59162"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48 hours</w:t>
            </w:r>
          </w:p>
        </w:tc>
        <w:tc>
          <w:tcPr>
            <w:tcW w:w="924" w:type="pct"/>
            <w:gridSpan w:val="2"/>
          </w:tcPr>
          <w:p w14:paraId="3D97328B"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72 hours</w:t>
            </w:r>
          </w:p>
        </w:tc>
        <w:tc>
          <w:tcPr>
            <w:tcW w:w="970" w:type="pct"/>
            <w:gridSpan w:val="2"/>
          </w:tcPr>
          <w:p w14:paraId="6C7AE572"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96 hours</w:t>
            </w:r>
          </w:p>
        </w:tc>
      </w:tr>
      <w:tr w:rsidR="00156BFC" w:rsidRPr="0065745A" w14:paraId="649F7C07" w14:textId="77777777" w:rsidTr="00156BFC">
        <w:trPr>
          <w:trHeight w:val="46"/>
        </w:trPr>
        <w:tc>
          <w:tcPr>
            <w:tcW w:w="397" w:type="pct"/>
            <w:vMerge/>
          </w:tcPr>
          <w:p w14:paraId="2C4C4957" w14:textId="77777777" w:rsidR="009A7F24" w:rsidRPr="0065745A" w:rsidRDefault="009A7F24" w:rsidP="00F30FDA">
            <w:pPr>
              <w:jc w:val="center"/>
              <w:rPr>
                <w:rFonts w:ascii="Arial" w:hAnsi="Arial" w:cs="Arial"/>
                <w:b/>
                <w:sz w:val="22"/>
                <w:szCs w:val="22"/>
              </w:rPr>
            </w:pPr>
          </w:p>
        </w:tc>
        <w:tc>
          <w:tcPr>
            <w:tcW w:w="860" w:type="pct"/>
            <w:vMerge/>
          </w:tcPr>
          <w:p w14:paraId="05A658A3" w14:textId="77777777" w:rsidR="009A7F24" w:rsidRPr="0065745A" w:rsidRDefault="009A7F24" w:rsidP="00F30FDA">
            <w:pPr>
              <w:jc w:val="center"/>
              <w:rPr>
                <w:rFonts w:ascii="Arial" w:hAnsi="Arial" w:cs="Arial"/>
                <w:b/>
                <w:sz w:val="22"/>
                <w:szCs w:val="22"/>
              </w:rPr>
            </w:pPr>
          </w:p>
        </w:tc>
        <w:tc>
          <w:tcPr>
            <w:tcW w:w="463" w:type="pct"/>
          </w:tcPr>
          <w:p w14:paraId="59A32A5F"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S</w:t>
            </w:r>
          </w:p>
        </w:tc>
        <w:tc>
          <w:tcPr>
            <w:tcW w:w="415" w:type="pct"/>
          </w:tcPr>
          <w:p w14:paraId="639D7173"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M</w:t>
            </w:r>
          </w:p>
        </w:tc>
        <w:tc>
          <w:tcPr>
            <w:tcW w:w="509" w:type="pct"/>
          </w:tcPr>
          <w:p w14:paraId="2A163B0B"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S</w:t>
            </w:r>
          </w:p>
        </w:tc>
        <w:tc>
          <w:tcPr>
            <w:tcW w:w="462" w:type="pct"/>
          </w:tcPr>
          <w:p w14:paraId="31E3EEE9"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M</w:t>
            </w:r>
          </w:p>
        </w:tc>
        <w:tc>
          <w:tcPr>
            <w:tcW w:w="463" w:type="pct"/>
          </w:tcPr>
          <w:p w14:paraId="1051394A"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S</w:t>
            </w:r>
          </w:p>
        </w:tc>
        <w:tc>
          <w:tcPr>
            <w:tcW w:w="462" w:type="pct"/>
          </w:tcPr>
          <w:p w14:paraId="170F7ACA"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M</w:t>
            </w:r>
          </w:p>
        </w:tc>
        <w:tc>
          <w:tcPr>
            <w:tcW w:w="508" w:type="pct"/>
          </w:tcPr>
          <w:p w14:paraId="47E665FC"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S</w:t>
            </w:r>
          </w:p>
        </w:tc>
        <w:tc>
          <w:tcPr>
            <w:tcW w:w="462" w:type="pct"/>
          </w:tcPr>
          <w:p w14:paraId="6CE33CC6" w14:textId="77777777" w:rsidR="009A7F24" w:rsidRPr="0065745A" w:rsidRDefault="009A7F24" w:rsidP="00F30FDA">
            <w:pPr>
              <w:jc w:val="center"/>
              <w:rPr>
                <w:rFonts w:ascii="Arial" w:hAnsi="Arial" w:cs="Arial"/>
                <w:b/>
                <w:sz w:val="22"/>
                <w:szCs w:val="22"/>
              </w:rPr>
            </w:pPr>
            <w:r w:rsidRPr="0065745A">
              <w:rPr>
                <w:rFonts w:ascii="Arial" w:hAnsi="Arial" w:cs="Arial"/>
                <w:b/>
                <w:sz w:val="22"/>
                <w:szCs w:val="22"/>
              </w:rPr>
              <w:t>M</w:t>
            </w:r>
          </w:p>
        </w:tc>
      </w:tr>
      <w:tr w:rsidR="00156BFC" w:rsidRPr="0065745A" w14:paraId="00C873C6" w14:textId="77777777" w:rsidTr="00156BFC">
        <w:trPr>
          <w:trHeight w:val="244"/>
        </w:trPr>
        <w:tc>
          <w:tcPr>
            <w:tcW w:w="397" w:type="pct"/>
          </w:tcPr>
          <w:p w14:paraId="5565FB5F"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w:t>
            </w:r>
          </w:p>
        </w:tc>
        <w:tc>
          <w:tcPr>
            <w:tcW w:w="860" w:type="pct"/>
          </w:tcPr>
          <w:p w14:paraId="44695BC1"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w:t>
            </w:r>
            <w:r w:rsidR="00137CDB" w:rsidRPr="0065745A">
              <w:rPr>
                <w:rFonts w:ascii="Arial" w:hAnsi="Arial" w:cs="Arial"/>
                <w:sz w:val="20"/>
                <w:szCs w:val="20"/>
              </w:rPr>
              <w:t>3</w:t>
            </w:r>
          </w:p>
        </w:tc>
        <w:tc>
          <w:tcPr>
            <w:tcW w:w="463" w:type="pct"/>
          </w:tcPr>
          <w:p w14:paraId="18F1D8B4"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100</w:t>
            </w:r>
          </w:p>
        </w:tc>
        <w:tc>
          <w:tcPr>
            <w:tcW w:w="415" w:type="pct"/>
          </w:tcPr>
          <w:p w14:paraId="11131FD9"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w:t>
            </w:r>
          </w:p>
        </w:tc>
        <w:tc>
          <w:tcPr>
            <w:tcW w:w="509" w:type="pct"/>
          </w:tcPr>
          <w:p w14:paraId="25B992FD"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90</w:t>
            </w:r>
          </w:p>
        </w:tc>
        <w:tc>
          <w:tcPr>
            <w:tcW w:w="462" w:type="pct"/>
          </w:tcPr>
          <w:p w14:paraId="5B48AE81"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10</w:t>
            </w:r>
          </w:p>
        </w:tc>
        <w:tc>
          <w:tcPr>
            <w:tcW w:w="463" w:type="pct"/>
          </w:tcPr>
          <w:p w14:paraId="0E5B665B"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80</w:t>
            </w:r>
          </w:p>
        </w:tc>
        <w:tc>
          <w:tcPr>
            <w:tcW w:w="462" w:type="pct"/>
          </w:tcPr>
          <w:p w14:paraId="63725C37"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20</w:t>
            </w:r>
          </w:p>
        </w:tc>
        <w:tc>
          <w:tcPr>
            <w:tcW w:w="508" w:type="pct"/>
          </w:tcPr>
          <w:p w14:paraId="35489BCC"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70</w:t>
            </w:r>
          </w:p>
        </w:tc>
        <w:tc>
          <w:tcPr>
            <w:tcW w:w="462" w:type="pct"/>
          </w:tcPr>
          <w:p w14:paraId="3D8DB794"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30</w:t>
            </w:r>
          </w:p>
        </w:tc>
      </w:tr>
      <w:tr w:rsidR="00156BFC" w:rsidRPr="0065745A" w14:paraId="1E6FCFCB" w14:textId="77777777" w:rsidTr="00156BFC">
        <w:trPr>
          <w:trHeight w:val="250"/>
        </w:trPr>
        <w:tc>
          <w:tcPr>
            <w:tcW w:w="397" w:type="pct"/>
          </w:tcPr>
          <w:p w14:paraId="250E1F97"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2</w:t>
            </w:r>
          </w:p>
        </w:tc>
        <w:tc>
          <w:tcPr>
            <w:tcW w:w="860" w:type="pct"/>
          </w:tcPr>
          <w:p w14:paraId="29DEA139"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13</w:t>
            </w:r>
            <w:r w:rsidR="00137CDB" w:rsidRPr="0065745A">
              <w:rPr>
                <w:rFonts w:ascii="Arial" w:hAnsi="Arial" w:cs="Arial"/>
                <w:sz w:val="20"/>
                <w:szCs w:val="20"/>
              </w:rPr>
              <w:t>.5</w:t>
            </w:r>
          </w:p>
        </w:tc>
        <w:tc>
          <w:tcPr>
            <w:tcW w:w="463" w:type="pct"/>
          </w:tcPr>
          <w:p w14:paraId="5CDBE3FB" w14:textId="77777777" w:rsidR="009A7F24" w:rsidRPr="0065745A" w:rsidRDefault="00710BF8" w:rsidP="00F30FDA">
            <w:pPr>
              <w:jc w:val="center"/>
              <w:rPr>
                <w:rFonts w:ascii="Arial" w:hAnsi="Arial" w:cs="Arial"/>
                <w:sz w:val="20"/>
                <w:szCs w:val="20"/>
              </w:rPr>
            </w:pPr>
            <w:r w:rsidRPr="0065745A">
              <w:rPr>
                <w:rFonts w:ascii="Arial" w:hAnsi="Arial" w:cs="Arial"/>
                <w:sz w:val="20"/>
                <w:szCs w:val="20"/>
              </w:rPr>
              <w:t>90</w:t>
            </w:r>
          </w:p>
        </w:tc>
        <w:tc>
          <w:tcPr>
            <w:tcW w:w="415" w:type="pct"/>
          </w:tcPr>
          <w:p w14:paraId="7AC5F553" w14:textId="77777777" w:rsidR="009A7F24" w:rsidRPr="0065745A" w:rsidRDefault="00710BF8" w:rsidP="00F30FDA">
            <w:pPr>
              <w:jc w:val="center"/>
              <w:rPr>
                <w:rFonts w:ascii="Arial" w:hAnsi="Arial" w:cs="Arial"/>
                <w:sz w:val="20"/>
                <w:szCs w:val="20"/>
              </w:rPr>
            </w:pPr>
            <w:r w:rsidRPr="0065745A">
              <w:rPr>
                <w:rFonts w:ascii="Arial" w:hAnsi="Arial" w:cs="Arial"/>
                <w:sz w:val="20"/>
                <w:szCs w:val="20"/>
              </w:rPr>
              <w:t>10</w:t>
            </w:r>
          </w:p>
        </w:tc>
        <w:tc>
          <w:tcPr>
            <w:tcW w:w="509" w:type="pct"/>
          </w:tcPr>
          <w:p w14:paraId="17617148"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80</w:t>
            </w:r>
          </w:p>
        </w:tc>
        <w:tc>
          <w:tcPr>
            <w:tcW w:w="462" w:type="pct"/>
          </w:tcPr>
          <w:p w14:paraId="1043A203"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20</w:t>
            </w:r>
          </w:p>
        </w:tc>
        <w:tc>
          <w:tcPr>
            <w:tcW w:w="463" w:type="pct"/>
          </w:tcPr>
          <w:p w14:paraId="0DAB122D"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70</w:t>
            </w:r>
          </w:p>
        </w:tc>
        <w:tc>
          <w:tcPr>
            <w:tcW w:w="462" w:type="pct"/>
          </w:tcPr>
          <w:p w14:paraId="76E50DF4"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30</w:t>
            </w:r>
          </w:p>
        </w:tc>
        <w:tc>
          <w:tcPr>
            <w:tcW w:w="508" w:type="pct"/>
          </w:tcPr>
          <w:p w14:paraId="4C554007"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60</w:t>
            </w:r>
          </w:p>
        </w:tc>
        <w:tc>
          <w:tcPr>
            <w:tcW w:w="462" w:type="pct"/>
          </w:tcPr>
          <w:p w14:paraId="7D862614"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40</w:t>
            </w:r>
          </w:p>
        </w:tc>
      </w:tr>
      <w:tr w:rsidR="00156BFC" w:rsidRPr="0065745A" w14:paraId="381D7B73" w14:textId="77777777" w:rsidTr="00156BFC">
        <w:trPr>
          <w:trHeight w:val="132"/>
        </w:trPr>
        <w:tc>
          <w:tcPr>
            <w:tcW w:w="397" w:type="pct"/>
          </w:tcPr>
          <w:p w14:paraId="42836268"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4</w:t>
            </w:r>
          </w:p>
        </w:tc>
        <w:tc>
          <w:tcPr>
            <w:tcW w:w="860" w:type="pct"/>
          </w:tcPr>
          <w:p w14:paraId="45630A72"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w:t>
            </w:r>
            <w:r w:rsidR="00B723BA" w:rsidRPr="0065745A">
              <w:rPr>
                <w:rFonts w:ascii="Arial" w:hAnsi="Arial" w:cs="Arial"/>
                <w:sz w:val="20"/>
                <w:szCs w:val="20"/>
              </w:rPr>
              <w:t>4</w:t>
            </w:r>
          </w:p>
        </w:tc>
        <w:tc>
          <w:tcPr>
            <w:tcW w:w="463" w:type="pct"/>
          </w:tcPr>
          <w:p w14:paraId="03948904"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80</w:t>
            </w:r>
          </w:p>
        </w:tc>
        <w:tc>
          <w:tcPr>
            <w:tcW w:w="415" w:type="pct"/>
          </w:tcPr>
          <w:p w14:paraId="74590A82"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2</w:t>
            </w:r>
            <w:r w:rsidR="009A7F24" w:rsidRPr="0065745A">
              <w:rPr>
                <w:rFonts w:ascii="Arial" w:hAnsi="Arial" w:cs="Arial"/>
                <w:sz w:val="20"/>
                <w:szCs w:val="20"/>
              </w:rPr>
              <w:t>0</w:t>
            </w:r>
          </w:p>
        </w:tc>
        <w:tc>
          <w:tcPr>
            <w:tcW w:w="509" w:type="pct"/>
          </w:tcPr>
          <w:p w14:paraId="16F515F0" w14:textId="77777777" w:rsidR="009A7F24" w:rsidRPr="0065745A" w:rsidRDefault="00137CDB" w:rsidP="00F30FDA">
            <w:pPr>
              <w:jc w:val="center"/>
              <w:rPr>
                <w:rFonts w:ascii="Arial" w:hAnsi="Arial" w:cs="Arial"/>
                <w:sz w:val="20"/>
                <w:szCs w:val="20"/>
              </w:rPr>
            </w:pPr>
            <w:r w:rsidRPr="0065745A">
              <w:rPr>
                <w:rFonts w:ascii="Arial" w:hAnsi="Arial" w:cs="Arial"/>
                <w:sz w:val="20"/>
                <w:szCs w:val="20"/>
              </w:rPr>
              <w:t>7</w:t>
            </w:r>
            <w:r w:rsidR="009A7F24" w:rsidRPr="0065745A">
              <w:rPr>
                <w:rFonts w:ascii="Arial" w:hAnsi="Arial" w:cs="Arial"/>
                <w:sz w:val="20"/>
                <w:szCs w:val="20"/>
              </w:rPr>
              <w:t>0</w:t>
            </w:r>
          </w:p>
        </w:tc>
        <w:tc>
          <w:tcPr>
            <w:tcW w:w="462" w:type="pct"/>
          </w:tcPr>
          <w:p w14:paraId="535763A4" w14:textId="77777777" w:rsidR="009A7F24" w:rsidRPr="0065745A" w:rsidRDefault="00137CDB" w:rsidP="00F30FDA">
            <w:pPr>
              <w:jc w:val="center"/>
              <w:rPr>
                <w:rFonts w:ascii="Arial" w:hAnsi="Arial" w:cs="Arial"/>
                <w:sz w:val="20"/>
                <w:szCs w:val="20"/>
              </w:rPr>
            </w:pPr>
            <w:r w:rsidRPr="0065745A">
              <w:rPr>
                <w:rFonts w:ascii="Arial" w:hAnsi="Arial" w:cs="Arial"/>
                <w:sz w:val="20"/>
                <w:szCs w:val="20"/>
              </w:rPr>
              <w:t>3</w:t>
            </w:r>
            <w:r w:rsidR="009A7F24" w:rsidRPr="0065745A">
              <w:rPr>
                <w:rFonts w:ascii="Arial" w:hAnsi="Arial" w:cs="Arial"/>
                <w:sz w:val="20"/>
                <w:szCs w:val="20"/>
              </w:rPr>
              <w:t>0</w:t>
            </w:r>
          </w:p>
        </w:tc>
        <w:tc>
          <w:tcPr>
            <w:tcW w:w="463" w:type="pct"/>
          </w:tcPr>
          <w:p w14:paraId="5A96610B"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6</w:t>
            </w:r>
            <w:r w:rsidR="009A7F24" w:rsidRPr="0065745A">
              <w:rPr>
                <w:rFonts w:ascii="Arial" w:hAnsi="Arial" w:cs="Arial"/>
                <w:sz w:val="20"/>
                <w:szCs w:val="20"/>
              </w:rPr>
              <w:t>0</w:t>
            </w:r>
          </w:p>
        </w:tc>
        <w:tc>
          <w:tcPr>
            <w:tcW w:w="462" w:type="pct"/>
          </w:tcPr>
          <w:p w14:paraId="5615D45D"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4</w:t>
            </w:r>
            <w:r w:rsidR="009A7F24" w:rsidRPr="0065745A">
              <w:rPr>
                <w:rFonts w:ascii="Arial" w:hAnsi="Arial" w:cs="Arial"/>
                <w:sz w:val="20"/>
                <w:szCs w:val="20"/>
              </w:rPr>
              <w:t>0</w:t>
            </w:r>
          </w:p>
        </w:tc>
        <w:tc>
          <w:tcPr>
            <w:tcW w:w="508" w:type="pct"/>
          </w:tcPr>
          <w:p w14:paraId="1E80C6CF"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w:t>
            </w:r>
            <w:r w:rsidR="009A7F24" w:rsidRPr="0065745A">
              <w:rPr>
                <w:rFonts w:ascii="Arial" w:hAnsi="Arial" w:cs="Arial"/>
                <w:sz w:val="20"/>
                <w:szCs w:val="20"/>
              </w:rPr>
              <w:t>0</w:t>
            </w:r>
          </w:p>
        </w:tc>
        <w:tc>
          <w:tcPr>
            <w:tcW w:w="462" w:type="pct"/>
          </w:tcPr>
          <w:p w14:paraId="4D57B091"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w:t>
            </w:r>
            <w:r w:rsidR="009A7F24" w:rsidRPr="0065745A">
              <w:rPr>
                <w:rFonts w:ascii="Arial" w:hAnsi="Arial" w:cs="Arial"/>
                <w:sz w:val="20"/>
                <w:szCs w:val="20"/>
              </w:rPr>
              <w:t>0</w:t>
            </w:r>
          </w:p>
        </w:tc>
      </w:tr>
      <w:tr w:rsidR="00156BFC" w:rsidRPr="0065745A" w14:paraId="4D528FBB" w14:textId="77777777" w:rsidTr="00156BFC">
        <w:trPr>
          <w:trHeight w:val="278"/>
        </w:trPr>
        <w:tc>
          <w:tcPr>
            <w:tcW w:w="397" w:type="pct"/>
          </w:tcPr>
          <w:p w14:paraId="5E15BD46"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5</w:t>
            </w:r>
          </w:p>
        </w:tc>
        <w:tc>
          <w:tcPr>
            <w:tcW w:w="860" w:type="pct"/>
          </w:tcPr>
          <w:p w14:paraId="030AFFC0"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14</w:t>
            </w:r>
            <w:r w:rsidR="00B723BA" w:rsidRPr="0065745A">
              <w:rPr>
                <w:rFonts w:ascii="Arial" w:hAnsi="Arial" w:cs="Arial"/>
                <w:sz w:val="20"/>
                <w:szCs w:val="20"/>
              </w:rPr>
              <w:t>.5</w:t>
            </w:r>
          </w:p>
        </w:tc>
        <w:tc>
          <w:tcPr>
            <w:tcW w:w="463" w:type="pct"/>
          </w:tcPr>
          <w:p w14:paraId="580209A4"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70</w:t>
            </w:r>
          </w:p>
        </w:tc>
        <w:tc>
          <w:tcPr>
            <w:tcW w:w="415" w:type="pct"/>
          </w:tcPr>
          <w:p w14:paraId="6138CED1"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3</w:t>
            </w:r>
            <w:r w:rsidR="009A7F24" w:rsidRPr="0065745A">
              <w:rPr>
                <w:rFonts w:ascii="Arial" w:hAnsi="Arial" w:cs="Arial"/>
                <w:sz w:val="20"/>
                <w:szCs w:val="20"/>
              </w:rPr>
              <w:t>0</w:t>
            </w:r>
          </w:p>
        </w:tc>
        <w:tc>
          <w:tcPr>
            <w:tcW w:w="509" w:type="pct"/>
          </w:tcPr>
          <w:p w14:paraId="5B630A88" w14:textId="77777777" w:rsidR="009A7F24" w:rsidRPr="0065745A" w:rsidRDefault="00137CDB" w:rsidP="00F30FDA">
            <w:pPr>
              <w:jc w:val="center"/>
              <w:rPr>
                <w:rFonts w:ascii="Arial" w:hAnsi="Arial" w:cs="Arial"/>
                <w:sz w:val="20"/>
                <w:szCs w:val="20"/>
              </w:rPr>
            </w:pPr>
            <w:r w:rsidRPr="0065745A">
              <w:rPr>
                <w:rFonts w:ascii="Arial" w:hAnsi="Arial" w:cs="Arial"/>
                <w:sz w:val="20"/>
                <w:szCs w:val="20"/>
              </w:rPr>
              <w:t>6</w:t>
            </w:r>
            <w:r w:rsidR="009A7F24" w:rsidRPr="0065745A">
              <w:rPr>
                <w:rFonts w:ascii="Arial" w:hAnsi="Arial" w:cs="Arial"/>
                <w:sz w:val="20"/>
                <w:szCs w:val="20"/>
              </w:rPr>
              <w:t>0</w:t>
            </w:r>
          </w:p>
        </w:tc>
        <w:tc>
          <w:tcPr>
            <w:tcW w:w="462" w:type="pct"/>
          </w:tcPr>
          <w:p w14:paraId="0197DEBF" w14:textId="77777777" w:rsidR="009A7F24" w:rsidRPr="0065745A" w:rsidRDefault="00137CDB" w:rsidP="00F30FDA">
            <w:pPr>
              <w:jc w:val="center"/>
              <w:rPr>
                <w:rFonts w:ascii="Arial" w:hAnsi="Arial" w:cs="Arial"/>
                <w:sz w:val="20"/>
                <w:szCs w:val="20"/>
              </w:rPr>
            </w:pPr>
            <w:r w:rsidRPr="0065745A">
              <w:rPr>
                <w:rFonts w:ascii="Arial" w:hAnsi="Arial" w:cs="Arial"/>
                <w:sz w:val="20"/>
                <w:szCs w:val="20"/>
              </w:rPr>
              <w:t>4</w:t>
            </w:r>
            <w:r w:rsidR="009A7F24" w:rsidRPr="0065745A">
              <w:rPr>
                <w:rFonts w:ascii="Arial" w:hAnsi="Arial" w:cs="Arial"/>
                <w:sz w:val="20"/>
                <w:szCs w:val="20"/>
              </w:rPr>
              <w:t>0</w:t>
            </w:r>
          </w:p>
        </w:tc>
        <w:tc>
          <w:tcPr>
            <w:tcW w:w="463" w:type="pct"/>
          </w:tcPr>
          <w:p w14:paraId="3A4908F9"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50</w:t>
            </w:r>
          </w:p>
        </w:tc>
        <w:tc>
          <w:tcPr>
            <w:tcW w:w="462" w:type="pct"/>
          </w:tcPr>
          <w:p w14:paraId="1EEA0C28"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w:t>
            </w:r>
            <w:r w:rsidR="009A7F24" w:rsidRPr="0065745A">
              <w:rPr>
                <w:rFonts w:ascii="Arial" w:hAnsi="Arial" w:cs="Arial"/>
                <w:sz w:val="20"/>
                <w:szCs w:val="20"/>
              </w:rPr>
              <w:t>0</w:t>
            </w:r>
          </w:p>
        </w:tc>
        <w:tc>
          <w:tcPr>
            <w:tcW w:w="508" w:type="pct"/>
          </w:tcPr>
          <w:p w14:paraId="13E1155A"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4</w:t>
            </w:r>
            <w:r w:rsidR="009A7F24" w:rsidRPr="0065745A">
              <w:rPr>
                <w:rFonts w:ascii="Arial" w:hAnsi="Arial" w:cs="Arial"/>
                <w:sz w:val="20"/>
                <w:szCs w:val="20"/>
              </w:rPr>
              <w:t>0</w:t>
            </w:r>
          </w:p>
        </w:tc>
        <w:tc>
          <w:tcPr>
            <w:tcW w:w="462" w:type="pct"/>
          </w:tcPr>
          <w:p w14:paraId="3CFCE7BA"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6</w:t>
            </w:r>
            <w:r w:rsidR="009A7F24" w:rsidRPr="0065745A">
              <w:rPr>
                <w:rFonts w:ascii="Arial" w:hAnsi="Arial" w:cs="Arial"/>
                <w:sz w:val="20"/>
                <w:szCs w:val="20"/>
              </w:rPr>
              <w:t>0</w:t>
            </w:r>
          </w:p>
        </w:tc>
      </w:tr>
      <w:tr w:rsidR="00156BFC" w:rsidRPr="0065745A" w14:paraId="13DF2609" w14:textId="77777777" w:rsidTr="00156BFC">
        <w:trPr>
          <w:trHeight w:val="278"/>
        </w:trPr>
        <w:tc>
          <w:tcPr>
            <w:tcW w:w="397" w:type="pct"/>
          </w:tcPr>
          <w:p w14:paraId="7360C582"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6</w:t>
            </w:r>
          </w:p>
        </w:tc>
        <w:tc>
          <w:tcPr>
            <w:tcW w:w="860" w:type="pct"/>
          </w:tcPr>
          <w:p w14:paraId="6285FE7E"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w:t>
            </w:r>
            <w:r w:rsidR="00B723BA" w:rsidRPr="0065745A">
              <w:rPr>
                <w:rFonts w:ascii="Arial" w:hAnsi="Arial" w:cs="Arial"/>
                <w:sz w:val="20"/>
                <w:szCs w:val="20"/>
              </w:rPr>
              <w:t>5</w:t>
            </w:r>
          </w:p>
        </w:tc>
        <w:tc>
          <w:tcPr>
            <w:tcW w:w="463" w:type="pct"/>
          </w:tcPr>
          <w:p w14:paraId="498101C3"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60</w:t>
            </w:r>
          </w:p>
        </w:tc>
        <w:tc>
          <w:tcPr>
            <w:tcW w:w="415" w:type="pct"/>
          </w:tcPr>
          <w:p w14:paraId="752D7572"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40</w:t>
            </w:r>
          </w:p>
        </w:tc>
        <w:tc>
          <w:tcPr>
            <w:tcW w:w="509" w:type="pct"/>
          </w:tcPr>
          <w:p w14:paraId="6BFF8DEC"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50</w:t>
            </w:r>
          </w:p>
        </w:tc>
        <w:tc>
          <w:tcPr>
            <w:tcW w:w="462" w:type="pct"/>
          </w:tcPr>
          <w:p w14:paraId="45F48C26"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w:t>
            </w:r>
            <w:r w:rsidR="009A7F24" w:rsidRPr="0065745A">
              <w:rPr>
                <w:rFonts w:ascii="Arial" w:hAnsi="Arial" w:cs="Arial"/>
                <w:sz w:val="20"/>
                <w:szCs w:val="20"/>
              </w:rPr>
              <w:t>0</w:t>
            </w:r>
          </w:p>
        </w:tc>
        <w:tc>
          <w:tcPr>
            <w:tcW w:w="463" w:type="pct"/>
          </w:tcPr>
          <w:p w14:paraId="51B1598E"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4</w:t>
            </w:r>
            <w:r w:rsidR="009A7F24" w:rsidRPr="0065745A">
              <w:rPr>
                <w:rFonts w:ascii="Arial" w:hAnsi="Arial" w:cs="Arial"/>
                <w:sz w:val="20"/>
                <w:szCs w:val="20"/>
              </w:rPr>
              <w:t>0</w:t>
            </w:r>
          </w:p>
        </w:tc>
        <w:tc>
          <w:tcPr>
            <w:tcW w:w="462" w:type="pct"/>
          </w:tcPr>
          <w:p w14:paraId="1BC58EEE"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6</w:t>
            </w:r>
            <w:r w:rsidR="009A7F24" w:rsidRPr="0065745A">
              <w:rPr>
                <w:rFonts w:ascii="Arial" w:hAnsi="Arial" w:cs="Arial"/>
                <w:sz w:val="20"/>
                <w:szCs w:val="20"/>
              </w:rPr>
              <w:t>0</w:t>
            </w:r>
          </w:p>
        </w:tc>
        <w:tc>
          <w:tcPr>
            <w:tcW w:w="508" w:type="pct"/>
          </w:tcPr>
          <w:p w14:paraId="0508FAFC"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3</w:t>
            </w:r>
            <w:r w:rsidR="009A7F24" w:rsidRPr="0065745A">
              <w:rPr>
                <w:rFonts w:ascii="Arial" w:hAnsi="Arial" w:cs="Arial"/>
                <w:sz w:val="20"/>
                <w:szCs w:val="20"/>
              </w:rPr>
              <w:t>0</w:t>
            </w:r>
          </w:p>
        </w:tc>
        <w:tc>
          <w:tcPr>
            <w:tcW w:w="462" w:type="pct"/>
          </w:tcPr>
          <w:p w14:paraId="449143B4"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7</w:t>
            </w:r>
            <w:r w:rsidR="009A7F24" w:rsidRPr="0065745A">
              <w:rPr>
                <w:rFonts w:ascii="Arial" w:hAnsi="Arial" w:cs="Arial"/>
                <w:sz w:val="20"/>
                <w:szCs w:val="20"/>
              </w:rPr>
              <w:t>0</w:t>
            </w:r>
          </w:p>
        </w:tc>
      </w:tr>
      <w:tr w:rsidR="00156BFC" w:rsidRPr="0065745A" w14:paraId="33B3C55A" w14:textId="77777777" w:rsidTr="00156BFC">
        <w:trPr>
          <w:trHeight w:val="278"/>
        </w:trPr>
        <w:tc>
          <w:tcPr>
            <w:tcW w:w="397" w:type="pct"/>
          </w:tcPr>
          <w:p w14:paraId="72C2F258"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7</w:t>
            </w:r>
          </w:p>
        </w:tc>
        <w:tc>
          <w:tcPr>
            <w:tcW w:w="860" w:type="pct"/>
          </w:tcPr>
          <w:p w14:paraId="3BD81A52" w14:textId="77777777" w:rsidR="009A7F24" w:rsidRPr="0065745A" w:rsidRDefault="009A7F24" w:rsidP="00F30FDA">
            <w:pPr>
              <w:jc w:val="center"/>
              <w:rPr>
                <w:rFonts w:ascii="Arial" w:hAnsi="Arial" w:cs="Arial"/>
                <w:sz w:val="20"/>
                <w:szCs w:val="20"/>
              </w:rPr>
            </w:pPr>
            <w:r w:rsidRPr="0065745A">
              <w:rPr>
                <w:rFonts w:ascii="Arial" w:hAnsi="Arial" w:cs="Arial"/>
                <w:sz w:val="20"/>
                <w:szCs w:val="20"/>
              </w:rPr>
              <w:t>15</w:t>
            </w:r>
            <w:r w:rsidR="00B723BA" w:rsidRPr="0065745A">
              <w:rPr>
                <w:rFonts w:ascii="Arial" w:hAnsi="Arial" w:cs="Arial"/>
                <w:sz w:val="20"/>
                <w:szCs w:val="20"/>
              </w:rPr>
              <w:t>.5</w:t>
            </w:r>
          </w:p>
        </w:tc>
        <w:tc>
          <w:tcPr>
            <w:tcW w:w="463" w:type="pct"/>
          </w:tcPr>
          <w:p w14:paraId="6C769B78"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50</w:t>
            </w:r>
          </w:p>
        </w:tc>
        <w:tc>
          <w:tcPr>
            <w:tcW w:w="415" w:type="pct"/>
          </w:tcPr>
          <w:p w14:paraId="1D374913"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50</w:t>
            </w:r>
          </w:p>
        </w:tc>
        <w:tc>
          <w:tcPr>
            <w:tcW w:w="509" w:type="pct"/>
          </w:tcPr>
          <w:p w14:paraId="6CFB28C1"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40</w:t>
            </w:r>
          </w:p>
        </w:tc>
        <w:tc>
          <w:tcPr>
            <w:tcW w:w="462" w:type="pct"/>
          </w:tcPr>
          <w:p w14:paraId="7A575F8F"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60</w:t>
            </w:r>
          </w:p>
        </w:tc>
        <w:tc>
          <w:tcPr>
            <w:tcW w:w="463" w:type="pct"/>
          </w:tcPr>
          <w:p w14:paraId="04F9DD13"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30</w:t>
            </w:r>
          </w:p>
        </w:tc>
        <w:tc>
          <w:tcPr>
            <w:tcW w:w="462" w:type="pct"/>
          </w:tcPr>
          <w:p w14:paraId="00A2D994"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70</w:t>
            </w:r>
          </w:p>
        </w:tc>
        <w:tc>
          <w:tcPr>
            <w:tcW w:w="508" w:type="pct"/>
          </w:tcPr>
          <w:p w14:paraId="0281B4AC"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20</w:t>
            </w:r>
          </w:p>
        </w:tc>
        <w:tc>
          <w:tcPr>
            <w:tcW w:w="462" w:type="pct"/>
          </w:tcPr>
          <w:p w14:paraId="44FCDCEA" w14:textId="77777777" w:rsidR="009A7F24" w:rsidRPr="0065745A" w:rsidRDefault="00B723BA" w:rsidP="00F30FDA">
            <w:pPr>
              <w:jc w:val="center"/>
              <w:rPr>
                <w:rFonts w:ascii="Arial" w:hAnsi="Arial" w:cs="Arial"/>
                <w:sz w:val="20"/>
                <w:szCs w:val="20"/>
              </w:rPr>
            </w:pPr>
            <w:r w:rsidRPr="0065745A">
              <w:rPr>
                <w:rFonts w:ascii="Arial" w:hAnsi="Arial" w:cs="Arial"/>
                <w:sz w:val="20"/>
                <w:szCs w:val="20"/>
              </w:rPr>
              <w:t>80</w:t>
            </w:r>
          </w:p>
        </w:tc>
      </w:tr>
    </w:tbl>
    <w:p w14:paraId="12A6CBBD" w14:textId="77777777" w:rsidR="009A7F24" w:rsidRPr="0065745A" w:rsidRDefault="00E318E6" w:rsidP="00B35DE9">
      <w:pPr>
        <w:spacing w:before="120" w:after="120" w:line="360" w:lineRule="auto"/>
        <w:ind w:firstLine="720"/>
        <w:jc w:val="both"/>
        <w:rPr>
          <w:rFonts w:ascii="Arial" w:eastAsia="Times New Roman" w:hAnsi="Arial" w:cs="Arial"/>
          <w:kern w:val="0"/>
          <w:sz w:val="20"/>
          <w:szCs w:val="20"/>
          <w:lang w:val="en-US" w:bidi="ar-SA"/>
        </w:rPr>
      </w:pPr>
      <w:r w:rsidRPr="0065745A">
        <w:rPr>
          <w:rFonts w:ascii="Arial" w:eastAsia="Times New Roman" w:hAnsi="Arial" w:cs="Arial"/>
          <w:kern w:val="0"/>
          <w:sz w:val="20"/>
          <w:szCs w:val="20"/>
          <w:lang w:val="en-US" w:bidi="ar-SA"/>
        </w:rPr>
        <w:lastRenderedPageBreak/>
        <w:tab/>
      </w:r>
      <w:r w:rsidRPr="0065745A">
        <w:rPr>
          <w:rFonts w:ascii="Arial" w:eastAsia="Times New Roman" w:hAnsi="Arial" w:cs="Arial"/>
          <w:kern w:val="0"/>
          <w:sz w:val="20"/>
          <w:szCs w:val="20"/>
          <w:lang w:val="en-US" w:bidi="ar-SA"/>
        </w:rPr>
        <w:tab/>
      </w:r>
      <w:r w:rsidRPr="0065745A">
        <w:rPr>
          <w:rFonts w:ascii="Arial" w:eastAsia="Times New Roman" w:hAnsi="Arial" w:cs="Arial"/>
          <w:kern w:val="0"/>
          <w:sz w:val="20"/>
          <w:szCs w:val="20"/>
          <w:lang w:val="en-US" w:bidi="ar-SA"/>
        </w:rPr>
        <w:tab/>
      </w:r>
      <w:r w:rsidRPr="0065745A">
        <w:rPr>
          <w:rFonts w:ascii="Arial" w:eastAsia="Times New Roman" w:hAnsi="Arial" w:cs="Arial"/>
          <w:kern w:val="0"/>
          <w:sz w:val="20"/>
          <w:szCs w:val="20"/>
          <w:lang w:val="en-US" w:bidi="ar-SA"/>
        </w:rPr>
        <w:tab/>
        <w:t xml:space="preserve">                                                       </w:t>
      </w:r>
      <w:r w:rsidR="00B723BA" w:rsidRPr="0065745A">
        <w:rPr>
          <w:rFonts w:ascii="Arial" w:eastAsia="Times New Roman" w:hAnsi="Arial" w:cs="Arial"/>
          <w:kern w:val="0"/>
          <w:sz w:val="20"/>
          <w:szCs w:val="20"/>
          <w:lang w:val="en-US" w:bidi="ar-SA"/>
        </w:rPr>
        <w:t>*S- Survival, M- Mortality</w:t>
      </w:r>
    </w:p>
    <w:p w14:paraId="23E2D46C" w14:textId="289077DC" w:rsidR="00700169" w:rsidRPr="0065745A" w:rsidRDefault="00686F41" w:rsidP="00B35DE9">
      <w:pPr>
        <w:spacing w:before="120" w:after="120" w:line="360" w:lineRule="auto"/>
        <w:ind w:firstLine="720"/>
        <w:jc w:val="both"/>
        <w:rPr>
          <w:rFonts w:ascii="Arial" w:eastAsia="Times New Roman" w:hAnsi="Arial" w:cs="Arial"/>
          <w:kern w:val="0"/>
          <w:sz w:val="20"/>
          <w:szCs w:val="20"/>
          <w:lang w:val="en-US" w:bidi="ar-SA"/>
        </w:rPr>
      </w:pPr>
      <w:r w:rsidRPr="0065745A">
        <w:t>In the present study, the LC</w:t>
      </w:r>
      <w:r w:rsidRPr="00B76F19">
        <w:rPr>
          <w:vertAlign w:val="subscript"/>
        </w:rPr>
        <w:t>50</w:t>
      </w:r>
      <w:r w:rsidRPr="0065745A">
        <w:t xml:space="preserve"> values of sugar industry effluent for different exposure periods (24, 48, 72 and 96 hours) were 15.5%, 15.0%, 14.5% and 14.0%, respectively (Figure 2). Rana and Raizada (1999) observed the acute toxicity of tannery and textile dye effluents in the common teleost fish </w:t>
      </w:r>
      <w:r w:rsidRPr="0065745A">
        <w:rPr>
          <w:i/>
        </w:rPr>
        <w:t>Labeo rohita</w:t>
      </w:r>
      <w:r w:rsidRPr="0065745A">
        <w:t xml:space="preserve">, and the reported </w:t>
      </w:r>
      <w:r w:rsidR="00B76F19" w:rsidRPr="0065745A">
        <w:t>LC</w:t>
      </w:r>
      <w:r w:rsidR="00B76F19" w:rsidRPr="00B76F19">
        <w:rPr>
          <w:vertAlign w:val="subscript"/>
        </w:rPr>
        <w:t>50</w:t>
      </w:r>
      <w:r w:rsidRPr="0065745A">
        <w:t xml:space="preserve"> values for textile dye effluents were 8.8, 8.4, 8.0 and 7.2 mg/L for 24, 48, 72 and 96 hours, respectively. The toxicity of Suquin to two freshwater cyprinid fishes, </w:t>
      </w:r>
      <w:r w:rsidRPr="0065745A">
        <w:rPr>
          <w:i/>
        </w:rPr>
        <w:t>Rasbora daniconius</w:t>
      </w:r>
      <w:r w:rsidRPr="0065745A">
        <w:t xml:space="preserve"> and </w:t>
      </w:r>
      <w:r w:rsidRPr="0065745A">
        <w:rPr>
          <w:i/>
        </w:rPr>
        <w:t>Barbus ticto</w:t>
      </w:r>
      <w:r w:rsidRPr="0065745A">
        <w:t xml:space="preserve">, was also studied, and the 96-hour </w:t>
      </w:r>
      <w:r w:rsidR="00B76F19" w:rsidRPr="0065745A">
        <w:t>LC</w:t>
      </w:r>
      <w:r w:rsidR="00B76F19" w:rsidRPr="00B76F19">
        <w:rPr>
          <w:vertAlign w:val="subscript"/>
        </w:rPr>
        <w:t>50</w:t>
      </w:r>
      <w:r w:rsidRPr="0065745A">
        <w:t xml:space="preserve"> values were reported as 0.35 and 0.175 ppm for </w:t>
      </w:r>
      <w:r w:rsidRPr="0065745A">
        <w:rPr>
          <w:i/>
        </w:rPr>
        <w:t>R. daniconius</w:t>
      </w:r>
      <w:r w:rsidRPr="0065745A">
        <w:t xml:space="preserve"> and </w:t>
      </w:r>
      <w:r w:rsidRPr="0065745A">
        <w:rPr>
          <w:i/>
        </w:rPr>
        <w:t>B. ticto</w:t>
      </w:r>
      <w:r w:rsidRPr="0065745A">
        <w:t>, respectively; fish also showed hyperexcitation (Khalid Shareef, 1985; Wagh &amp; Shareef, 1985).</w:t>
      </w:r>
    </w:p>
    <w:p w14:paraId="4FFC0701" w14:textId="77777777" w:rsidR="00627935" w:rsidRPr="0065745A" w:rsidRDefault="00A77DCE" w:rsidP="00C3352C">
      <w:pPr>
        <w:keepNext/>
        <w:spacing w:before="120" w:after="120" w:line="360" w:lineRule="auto"/>
        <w:ind w:firstLine="720"/>
        <w:jc w:val="center"/>
      </w:pPr>
      <w:r w:rsidRPr="0065745A">
        <w:rPr>
          <w:rFonts w:ascii="Arial" w:eastAsia="Times New Roman" w:hAnsi="Arial" w:cs="Arial"/>
          <w:noProof/>
          <w:kern w:val="0"/>
          <w:sz w:val="20"/>
          <w:szCs w:val="20"/>
          <w:lang w:val="en-US"/>
        </w:rPr>
        <w:drawing>
          <wp:inline distT="0" distB="0" distL="0" distR="0" wp14:anchorId="3F26BB2E" wp14:editId="4BE79739">
            <wp:extent cx="5481701" cy="2399386"/>
            <wp:effectExtent l="19050" t="0" r="23749" b="91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A58E0D" w14:textId="77777777" w:rsidR="00A77DCE" w:rsidRPr="0065745A" w:rsidRDefault="00627935" w:rsidP="00627935">
      <w:pPr>
        <w:pStyle w:val="Caption"/>
        <w:jc w:val="center"/>
        <w:rPr>
          <w:rFonts w:ascii="Arial" w:eastAsia="Times New Roman" w:hAnsi="Arial" w:cs="Arial"/>
          <w:b w:val="0"/>
          <w:bCs w:val="0"/>
          <w:color w:val="auto"/>
          <w:kern w:val="0"/>
          <w:sz w:val="22"/>
          <w:szCs w:val="22"/>
          <w:lang w:val="en-US" w:bidi="ar-SA"/>
        </w:rPr>
      </w:pPr>
      <w:r w:rsidRPr="0065745A">
        <w:rPr>
          <w:rFonts w:ascii="Arial" w:hAnsi="Arial" w:cs="Arial"/>
          <w:b w:val="0"/>
          <w:bCs w:val="0"/>
          <w:color w:val="auto"/>
          <w:sz w:val="20"/>
          <w:szCs w:val="18"/>
        </w:rPr>
        <w:t xml:space="preserve">Figure </w:t>
      </w:r>
      <w:r w:rsidR="0039685A" w:rsidRPr="0065745A">
        <w:rPr>
          <w:rFonts w:ascii="Arial" w:hAnsi="Arial" w:cs="Arial"/>
          <w:b w:val="0"/>
          <w:bCs w:val="0"/>
          <w:color w:val="auto"/>
          <w:sz w:val="20"/>
          <w:szCs w:val="18"/>
        </w:rPr>
        <w:fldChar w:fldCharType="begin"/>
      </w:r>
      <w:r w:rsidRPr="0065745A">
        <w:rPr>
          <w:rFonts w:ascii="Arial" w:hAnsi="Arial" w:cs="Arial"/>
          <w:b w:val="0"/>
          <w:bCs w:val="0"/>
          <w:color w:val="auto"/>
          <w:sz w:val="20"/>
          <w:szCs w:val="18"/>
        </w:rPr>
        <w:instrText xml:space="preserve"> SEQ Figure \* ARABIC </w:instrText>
      </w:r>
      <w:r w:rsidR="0039685A" w:rsidRPr="0065745A">
        <w:rPr>
          <w:rFonts w:ascii="Arial" w:hAnsi="Arial" w:cs="Arial"/>
          <w:b w:val="0"/>
          <w:bCs w:val="0"/>
          <w:color w:val="auto"/>
          <w:sz w:val="20"/>
          <w:szCs w:val="18"/>
        </w:rPr>
        <w:fldChar w:fldCharType="separate"/>
      </w:r>
      <w:r w:rsidRPr="0065745A">
        <w:rPr>
          <w:rFonts w:ascii="Arial" w:hAnsi="Arial" w:cs="Arial"/>
          <w:b w:val="0"/>
          <w:bCs w:val="0"/>
          <w:noProof/>
          <w:color w:val="auto"/>
          <w:sz w:val="20"/>
          <w:szCs w:val="18"/>
        </w:rPr>
        <w:t>2</w:t>
      </w:r>
      <w:r w:rsidR="0039685A" w:rsidRPr="0065745A">
        <w:rPr>
          <w:rFonts w:ascii="Arial" w:hAnsi="Arial" w:cs="Arial"/>
          <w:b w:val="0"/>
          <w:bCs w:val="0"/>
          <w:color w:val="auto"/>
          <w:sz w:val="20"/>
          <w:szCs w:val="18"/>
        </w:rPr>
        <w:fldChar w:fldCharType="end"/>
      </w:r>
      <w:r w:rsidRPr="0065745A">
        <w:rPr>
          <w:rFonts w:ascii="Arial" w:hAnsi="Arial" w:cs="Arial"/>
          <w:b w:val="0"/>
          <w:bCs w:val="0"/>
          <w:color w:val="auto"/>
          <w:sz w:val="20"/>
          <w:szCs w:val="18"/>
          <w:lang w:val="en-US"/>
        </w:rPr>
        <w:t>: Graphical representation of exposure time in Hrs vs LC</w:t>
      </w:r>
      <w:r w:rsidRPr="0065745A">
        <w:rPr>
          <w:rFonts w:ascii="Arial" w:hAnsi="Arial" w:cs="Arial"/>
          <w:b w:val="0"/>
          <w:bCs w:val="0"/>
          <w:color w:val="auto"/>
          <w:sz w:val="20"/>
          <w:szCs w:val="18"/>
          <w:vertAlign w:val="subscript"/>
          <w:lang w:val="en-US"/>
        </w:rPr>
        <w:t>50</w:t>
      </w:r>
      <w:r w:rsidRPr="0065745A">
        <w:rPr>
          <w:rFonts w:ascii="Arial" w:hAnsi="Arial" w:cs="Arial"/>
          <w:b w:val="0"/>
          <w:bCs w:val="0"/>
          <w:color w:val="auto"/>
          <w:sz w:val="20"/>
          <w:szCs w:val="18"/>
          <w:lang w:val="en-US"/>
        </w:rPr>
        <w:t xml:space="preserve"> values in %</w:t>
      </w:r>
    </w:p>
    <w:p w14:paraId="744756A5" w14:textId="77777777" w:rsidR="002A3BD4" w:rsidRPr="0065745A" w:rsidRDefault="002A3BD4" w:rsidP="00B35DE9">
      <w:pPr>
        <w:spacing w:before="120" w:after="120" w:line="360" w:lineRule="auto"/>
        <w:ind w:firstLine="720"/>
        <w:jc w:val="both"/>
        <w:rPr>
          <w:rFonts w:ascii="Arial" w:eastAsia="Times New Roman" w:hAnsi="Arial" w:cs="Arial"/>
          <w:kern w:val="0"/>
          <w:sz w:val="20"/>
          <w:szCs w:val="20"/>
          <w:lang w:val="en-US" w:bidi="ar-SA"/>
        </w:rPr>
      </w:pPr>
    </w:p>
    <w:p w14:paraId="6FD3F48B" w14:textId="77777777" w:rsidR="002A3BD4" w:rsidRPr="0065745A" w:rsidRDefault="002A3BD4" w:rsidP="002A3BD4">
      <w:pPr>
        <w:spacing w:before="120" w:after="120" w:line="360" w:lineRule="auto"/>
        <w:ind w:firstLine="720"/>
        <w:jc w:val="both"/>
        <w:rPr>
          <w:rFonts w:ascii="Arial" w:hAnsi="Arial" w:cs="Arial"/>
          <w:sz w:val="20"/>
          <w:szCs w:val="20"/>
        </w:rPr>
      </w:pPr>
      <w:r w:rsidRPr="0065745A">
        <w:t>Ammonia released from industrial effluents and domestic sewage represents a significant source of aquatic pollution, contributing to eutrophication, promoting the proliferation of harmful algal blooms and causing extensive fish mortality in riverine ecosystems (U.S. Environmental Protection Agency, 2013). The toxic effects of a wide range of chemical contaminants on fish have been extensively investigated using acute toxicity assays, with median lethal concentration (LC50) values serving as a standard indicator of toxic potential.</w:t>
      </w:r>
    </w:p>
    <w:p w14:paraId="31597B66" w14:textId="77777777" w:rsidR="002A3BD4" w:rsidRPr="0065745A" w:rsidRDefault="002A3BD4" w:rsidP="002A3BD4">
      <w:pPr>
        <w:spacing w:before="120" w:after="120" w:line="360" w:lineRule="auto"/>
        <w:ind w:firstLine="720"/>
        <w:jc w:val="both"/>
        <w:rPr>
          <w:rFonts w:ascii="Arial" w:hAnsi="Arial" w:cs="Arial"/>
          <w:sz w:val="20"/>
          <w:szCs w:val="20"/>
        </w:rPr>
      </w:pPr>
    </w:p>
    <w:p w14:paraId="50DFB81E" w14:textId="2DFD3039" w:rsidR="002A3BD4" w:rsidRPr="0065745A" w:rsidRDefault="002A3BD4" w:rsidP="002A3BD4">
      <w:pPr>
        <w:spacing w:before="120" w:after="120" w:line="360" w:lineRule="auto"/>
        <w:ind w:firstLine="720"/>
        <w:jc w:val="both"/>
        <w:rPr>
          <w:rFonts w:ascii="Arial" w:hAnsi="Arial" w:cs="Arial"/>
          <w:sz w:val="20"/>
          <w:szCs w:val="20"/>
        </w:rPr>
      </w:pPr>
      <w:r w:rsidRPr="0065745A">
        <w:t xml:space="preserve">Sultana and Sharief (2004) reported that, in </w:t>
      </w:r>
      <w:r w:rsidRPr="0065745A">
        <w:rPr>
          <w:i/>
        </w:rPr>
        <w:t>Oreochromis mossambicus</w:t>
      </w:r>
      <w:r w:rsidRPr="0065745A">
        <w:t xml:space="preserve">, the 24-hour </w:t>
      </w:r>
      <w:r w:rsidR="008D469F" w:rsidRPr="0065745A">
        <w:t>LC</w:t>
      </w:r>
      <w:r w:rsidR="008D469F" w:rsidRPr="00B76F19">
        <w:rPr>
          <w:vertAlign w:val="subscript"/>
        </w:rPr>
        <w:t>50</w:t>
      </w:r>
      <w:r w:rsidRPr="0065745A">
        <w:t xml:space="preserve"> values for lead, zinc and copper were 0.073, 0.260 and 0.115 µg/L, respectively, demonstrating the high sensitivity of this species to heavy metal exposure. Similarly, Singh et </w:t>
      </w:r>
      <w:r w:rsidRPr="0065745A">
        <w:lastRenderedPageBreak/>
        <w:t xml:space="preserve">al. (2004) evaluated the acute toxicity of heavy metals in the Indian major carp, </w:t>
      </w:r>
      <w:r w:rsidRPr="0065745A">
        <w:rPr>
          <w:i/>
        </w:rPr>
        <w:t>Labeo rohita</w:t>
      </w:r>
      <w:r w:rsidRPr="0065745A">
        <w:t xml:space="preserve">. The reported </w:t>
      </w:r>
      <w:r w:rsidR="008D469F" w:rsidRPr="0065745A">
        <w:t>LC</w:t>
      </w:r>
      <w:r w:rsidR="008D469F" w:rsidRPr="00B76F19">
        <w:rPr>
          <w:vertAlign w:val="subscript"/>
        </w:rPr>
        <w:t>50</w:t>
      </w:r>
      <w:r w:rsidRPr="0065745A">
        <w:t xml:space="preserve"> values for cadmium chloride were 687.38, 653.99, 632.78 and 589.76 mg/L after 24, 48, 72 and 96 hours of exposure, respectively, whereas the corresponding </w:t>
      </w:r>
      <w:r w:rsidR="008D469F" w:rsidRPr="0065745A">
        <w:t>LC</w:t>
      </w:r>
      <w:r w:rsidR="008D469F" w:rsidRPr="00B76F19">
        <w:rPr>
          <w:vertAlign w:val="subscript"/>
        </w:rPr>
        <w:t>50</w:t>
      </w:r>
      <w:r w:rsidRPr="0065745A">
        <w:t xml:space="preserve"> values for lead nitrate were 796.57, 740.17, 694.39 and 681.68 mg/L. The progressive decline in </w:t>
      </w:r>
      <w:r w:rsidR="008D469F" w:rsidRPr="0065745A">
        <w:t>LC</w:t>
      </w:r>
      <w:r w:rsidR="008D469F" w:rsidRPr="00B76F19">
        <w:rPr>
          <w:vertAlign w:val="subscript"/>
        </w:rPr>
        <w:t>50</w:t>
      </w:r>
      <w:r w:rsidRPr="0065745A">
        <w:t xml:space="preserve"> values with increasing exposure duration indicates a time-dependent increase in toxicity.</w:t>
      </w:r>
    </w:p>
    <w:p w14:paraId="31A73C5A" w14:textId="77777777" w:rsidR="002A3BD4" w:rsidRPr="0065745A" w:rsidRDefault="002A3BD4" w:rsidP="002A3BD4">
      <w:pPr>
        <w:spacing w:before="120" w:after="120" w:line="360" w:lineRule="auto"/>
        <w:ind w:firstLine="720"/>
        <w:jc w:val="both"/>
        <w:rPr>
          <w:rFonts w:ascii="Arial" w:hAnsi="Arial" w:cs="Arial"/>
          <w:sz w:val="20"/>
          <w:szCs w:val="20"/>
        </w:rPr>
      </w:pPr>
    </w:p>
    <w:p w14:paraId="77C32049" w14:textId="7062317E" w:rsidR="002A3BD4" w:rsidRPr="0065745A" w:rsidRDefault="002A3BD4" w:rsidP="002A3BD4">
      <w:pPr>
        <w:spacing w:before="120" w:after="120" w:line="360" w:lineRule="auto"/>
        <w:ind w:firstLine="720"/>
        <w:jc w:val="both"/>
        <w:rPr>
          <w:rFonts w:ascii="Arial" w:hAnsi="Arial" w:cs="Arial"/>
          <w:sz w:val="20"/>
          <w:szCs w:val="20"/>
        </w:rPr>
      </w:pPr>
      <w:r w:rsidRPr="0065745A">
        <w:t xml:space="preserve">In addition to inorganic contaminants, the acute toxicity of botanical extracts has also been investigated. </w:t>
      </w:r>
      <w:r w:rsidR="000C5F06" w:rsidRPr="000C5F06">
        <w:t>Fafioye</w:t>
      </w:r>
      <w:r w:rsidRPr="0065745A">
        <w:t xml:space="preserve"> et al. (2004) assessed the toxicity of aqueous and ethanolic extracts of two botanical preparations in juveniles of </w:t>
      </w:r>
      <w:r w:rsidRPr="0065745A">
        <w:rPr>
          <w:i/>
        </w:rPr>
        <w:t>Clarias gariepinus</w:t>
      </w:r>
      <w:r w:rsidRPr="0065745A">
        <w:t xml:space="preserve">. The 96-hour </w:t>
      </w:r>
      <w:r w:rsidR="008D469F" w:rsidRPr="0065745A">
        <w:t>LC</w:t>
      </w:r>
      <w:r w:rsidR="008D469F" w:rsidRPr="00B76F19">
        <w:rPr>
          <w:vertAlign w:val="subscript"/>
        </w:rPr>
        <w:t>50</w:t>
      </w:r>
      <w:r w:rsidRPr="0065745A">
        <w:t xml:space="preserve"> values for the aqueous and ethanolic extracts of </w:t>
      </w:r>
      <w:r w:rsidRPr="0065745A">
        <w:rPr>
          <w:i/>
        </w:rPr>
        <w:t>Parkia biglobosa</w:t>
      </w:r>
      <w:r w:rsidRPr="0065745A">
        <w:t xml:space="preserve"> were reported as 2.8 ppm and 2.4 ppm, respectively, indicating that the ethanolic extract exhibited comparatively greater toxicity under the experimental conditions.</w:t>
      </w:r>
    </w:p>
    <w:p w14:paraId="13BA7753" w14:textId="77777777" w:rsidR="0055155D" w:rsidRPr="0065745A" w:rsidRDefault="0055155D" w:rsidP="00B35DE9">
      <w:pPr>
        <w:spacing w:before="120" w:after="120" w:line="360" w:lineRule="auto"/>
        <w:ind w:firstLine="720"/>
        <w:jc w:val="both"/>
        <w:rPr>
          <w:rFonts w:ascii="Arial" w:hAnsi="Arial" w:cs="Arial"/>
          <w:color w:val="222222"/>
          <w:sz w:val="20"/>
          <w:szCs w:val="20"/>
          <w:shd w:val="clear" w:color="auto" w:fill="FFFFFF"/>
        </w:rPr>
      </w:pPr>
    </w:p>
    <w:p w14:paraId="738066B8" w14:textId="6546289D"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r w:rsidRPr="0065745A">
        <w:t xml:space="preserve">The present study revealed several behavioural alterations in fish following toxicant exposure, including a marked increase in the frequency of opercular movements. Loss of equilibrium and repeated attempts to escape from the experimental aquaria were also observed as prominent behavioural responses. These findings are consistent with previous reports by Wagh and Shareef (1985), </w:t>
      </w:r>
      <w:r w:rsidR="000C5F06" w:rsidRPr="000C5F06">
        <w:t>Mamatha</w:t>
      </w:r>
      <w:r w:rsidR="000C5F06" w:rsidRPr="0065745A">
        <w:t xml:space="preserve"> </w:t>
      </w:r>
      <w:r w:rsidRPr="0065745A">
        <w:t>et al. (2006), and Bindu and Geetha (2009), who documented comparable behavioural disturbances in fish exposed to various toxicants.</w:t>
      </w:r>
    </w:p>
    <w:p w14:paraId="1FF18A32" w14:textId="77777777"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p>
    <w:p w14:paraId="104F62A1" w14:textId="77777777"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r w:rsidRPr="0065745A">
        <w:t xml:space="preserve">Similar stress-induced behavioural responses, including erratic swimming, hyperventilation, increased opercular activity and pronounced restlessness, have also been reported in </w:t>
      </w:r>
      <w:r w:rsidRPr="0065745A">
        <w:rPr>
          <w:i/>
        </w:rPr>
        <w:t>Oreochromis niloticus</w:t>
      </w:r>
      <w:r w:rsidRPr="0065745A">
        <w:t xml:space="preserve"> following sublethal exposure to indigo dye derived from </w:t>
      </w:r>
      <w:r w:rsidRPr="0065745A">
        <w:rPr>
          <w:i/>
        </w:rPr>
        <w:t>Indigofera tinctoria</w:t>
      </w:r>
      <w:r w:rsidRPr="0065745A">
        <w:t xml:space="preserve"> (Ayebidun &amp; Ajibare, 2023). Such behavioural modifications are widely recognised as sensitive and rapid indicators of physiological stress and toxicant-induced impairment in fish, reflecting disruptions in normal respiratory, neuromuscular and locomotory functions. Consequently, behavioural responses serve as valuable early biomarkers for assessing the adverse effects of environmental contaminants on aquatic organisms.</w:t>
      </w:r>
    </w:p>
    <w:p w14:paraId="50877262" w14:textId="07CF2DB2" w:rsidR="00700169" w:rsidRPr="0065745A" w:rsidRDefault="00EB41E7" w:rsidP="00700169">
      <w:pPr>
        <w:spacing w:before="120" w:after="120" w:line="360" w:lineRule="auto"/>
        <w:ind w:firstLine="720"/>
        <w:jc w:val="both"/>
        <w:rPr>
          <w:rFonts w:ascii="Arial" w:hAnsi="Arial" w:cs="Arial"/>
          <w:sz w:val="20"/>
          <w:szCs w:val="20"/>
        </w:rPr>
      </w:pPr>
      <w:r w:rsidRPr="0065745A">
        <w:lastRenderedPageBreak/>
        <w:t xml:space="preserve">Oluwatuyi et al. (2025) assessed the effects of abattoir effluent on the growth performance of </w:t>
      </w:r>
      <w:r w:rsidRPr="0065745A">
        <w:rPr>
          <w:i/>
        </w:rPr>
        <w:t>Clarias gariepinus</w:t>
      </w:r>
      <w:r w:rsidRPr="0065745A">
        <w:t xml:space="preserve">. They recorded behavioural changes at 50%, 75% and 100% effluent treatments. Their findings showed frequent surfacing, discolouration, loss of reflexes and erratic swimming. Extreme lethargy was also observed. </w:t>
      </w:r>
      <w:r w:rsidR="000C5F06" w:rsidRPr="000C5F06">
        <w:t>Mamatha</w:t>
      </w:r>
      <w:r w:rsidRPr="0065745A">
        <w:t xml:space="preserve"> et al. (2006) reported median lethal concentrations for copper at 3, 6, 12, 24, 48, 72 and 96 hours as 99.59, 89.39, 66.74, 52.63, 44.26, 33.61 and 28.21 ppm, respectively. They also reported that treated </w:t>
      </w:r>
      <w:r w:rsidRPr="0065745A">
        <w:rPr>
          <w:i/>
        </w:rPr>
        <w:t>Cirrhinus mrigala</w:t>
      </w:r>
      <w:r w:rsidRPr="0065745A">
        <w:t xml:space="preserve"> showed loss of equilibrium, changes in opercular movement, changes in orientation and locomotion, mucus coating on the body and erratic swimming.</w:t>
      </w:r>
    </w:p>
    <w:p w14:paraId="773C06C5" w14:textId="77777777" w:rsidR="0055155D" w:rsidRPr="0065745A" w:rsidRDefault="0055155D" w:rsidP="00836704">
      <w:pPr>
        <w:spacing w:before="120" w:after="120" w:line="360" w:lineRule="auto"/>
        <w:ind w:firstLine="720"/>
        <w:jc w:val="both"/>
        <w:rPr>
          <w:rFonts w:ascii="Arial" w:eastAsia="Times New Roman" w:hAnsi="Arial" w:cs="Arial"/>
          <w:kern w:val="0"/>
          <w:sz w:val="20"/>
          <w:szCs w:val="20"/>
          <w:lang w:val="en-US" w:bidi="ar-SA"/>
        </w:rPr>
      </w:pPr>
    </w:p>
    <w:p w14:paraId="54DCA65B" w14:textId="7757C9C7"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r w:rsidRPr="0065745A">
        <w:t xml:space="preserve">Exposure to industrial effluents, particularly textile wastewater, can adversely affect aquatic organisms through direct contact as well as trophic transfer within the food chain. Such exposure has been associated with a range of physiological disturbances in aquatic species (Jignasa Chhaya et al., 1997; </w:t>
      </w:r>
      <w:r w:rsidR="000C5F06" w:rsidRPr="000C5F06">
        <w:t>Sultana</w:t>
      </w:r>
      <w:r w:rsidRPr="0065745A">
        <w:t xml:space="preserve"> et al., 2020). These findings underscore the ecological and toxicological significance of untreated industrial discharges in freshwater environments.</w:t>
      </w:r>
    </w:p>
    <w:p w14:paraId="2FE6D564" w14:textId="77777777"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p>
    <w:p w14:paraId="4595191F" w14:textId="24C64882"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r w:rsidRPr="0065745A">
        <w:t xml:space="preserve">Senthil Kumar et al. (2001) evaluated the physicochemical characteristics of sugar industry effluents and reported that several water-quality parameters exceeded permissible regulatory limits, indicating their potential to pose serious environmental hazards. Similarly, heavy-metal exposure has been reported to affect haematological and histopathological responses in </w:t>
      </w:r>
      <w:r w:rsidRPr="0065745A">
        <w:rPr>
          <w:i/>
        </w:rPr>
        <w:t>Oreochromis mossambicus</w:t>
      </w:r>
      <w:r w:rsidRPr="0065745A">
        <w:t xml:space="preserve"> (Nair, 2000; Sultana &amp; Sharief, 2004). Fish exposed to these toxicants initially exhibited vigorous swimming behaviour and frequent attempts to leap out of the experimental medium, indicative of acute stress. As exposure progressed, behavioural abnormalities became more pronounced, including restlessness, rapid and irregular opercular movements, respiratory distress, convulsions and abrupt, erratic locomotory movements. These observations demonstrate that behavioural alterations constitute sensitive indicators of toxicant-induced physiological stress and can serve as reliable biomarkers for assessing the impact of environmental pollutants on fish.</w:t>
      </w:r>
    </w:p>
    <w:p w14:paraId="03F19228" w14:textId="77777777" w:rsidR="0055155D" w:rsidRPr="0065745A" w:rsidRDefault="0055155D" w:rsidP="00836704">
      <w:pPr>
        <w:spacing w:before="120" w:after="120" w:line="360" w:lineRule="auto"/>
        <w:ind w:firstLine="720"/>
        <w:jc w:val="both"/>
        <w:rPr>
          <w:rFonts w:ascii="Arial" w:hAnsi="Arial" w:cs="Arial"/>
          <w:sz w:val="20"/>
          <w:szCs w:val="20"/>
        </w:rPr>
      </w:pPr>
    </w:p>
    <w:p w14:paraId="6580BE7A" w14:textId="77777777"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r w:rsidRPr="0065745A">
        <w:rPr>
          <w:i/>
        </w:rPr>
        <w:t>Anabas testudineus</w:t>
      </w:r>
      <w:r w:rsidRPr="0065745A">
        <w:t xml:space="preserve"> exposed to endosulfan exhibited a 96-hour median lethal concentration (LC50) of 16.91 ppb and displayed a range of characteristic behavioural abnormalities, including loss of equilibrium, restlessness, erratic swimming, tremors, </w:t>
      </w:r>
      <w:r w:rsidRPr="0065745A">
        <w:lastRenderedPageBreak/>
        <w:t>flashing behaviour and lethargy (Bindu &amp; Geetha, 2009). These behavioural alterations are indicative of neurophysiological impairment and represent early manifestations of toxicant-induced stress in fish.</w:t>
      </w:r>
    </w:p>
    <w:p w14:paraId="17184622" w14:textId="77777777"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p>
    <w:p w14:paraId="19474AD7" w14:textId="77777777" w:rsidR="0055155D" w:rsidRPr="0065745A" w:rsidRDefault="0055155D" w:rsidP="0055155D">
      <w:pPr>
        <w:spacing w:before="120" w:after="120" w:line="360" w:lineRule="auto"/>
        <w:ind w:firstLine="720"/>
        <w:jc w:val="both"/>
        <w:rPr>
          <w:rFonts w:ascii="Arial" w:eastAsia="Times New Roman" w:hAnsi="Arial" w:cs="Arial"/>
          <w:kern w:val="0"/>
          <w:sz w:val="20"/>
          <w:szCs w:val="20"/>
          <w:lang w:val="en-US" w:bidi="ar-SA"/>
        </w:rPr>
      </w:pPr>
      <w:r w:rsidRPr="0065745A">
        <w:t>The nature and severity of behavioural responses elicited by exposure to industrial effluents and other environmental contaminants are influenced by several intrinsic and extrinsic factors. These include the age, body size and weight of individual fish, sex, migratory behaviour, species-specific physiological characteristics and the capacity to adapt to prolonged or chronic exposure to polluted environments (Berrill et al., 1985; Catteau et al., 2021). Consequently, behavioural responses may vary considerably among species and populations, reflecting differences in sensitivity, ecological adaptations and tolerance to environmental stressors. Therefore, the assessment of behavioural endpoints provides valuable insights into the ecological impacts of aquatic pollutants and serves as an effective tool for evaluating sublethal toxic effects in fish.</w:t>
      </w:r>
    </w:p>
    <w:p w14:paraId="5F0ECE54" w14:textId="77777777" w:rsidR="00D27B8E" w:rsidRPr="0065745A" w:rsidRDefault="00AD7DA3" w:rsidP="00D27B8E">
      <w:pPr>
        <w:spacing w:before="100" w:beforeAutospacing="1" w:after="100" w:afterAutospacing="1" w:line="240" w:lineRule="auto"/>
        <w:outlineLvl w:val="2"/>
        <w:rPr>
          <w:rFonts w:ascii="Arial" w:eastAsia="Times New Roman" w:hAnsi="Arial" w:cs="Arial"/>
          <w:b/>
          <w:bCs/>
          <w:kern w:val="0"/>
          <w:sz w:val="22"/>
          <w:szCs w:val="22"/>
          <w:lang w:val="en-US" w:bidi="ar-SA"/>
        </w:rPr>
      </w:pPr>
      <w:r w:rsidRPr="0065745A">
        <w:rPr>
          <w:rFonts w:ascii="Arial" w:hAnsi="Arial" w:cs="Arial"/>
          <w:b/>
          <w:bCs/>
          <w:sz w:val="22"/>
          <w:szCs w:val="22"/>
        </w:rPr>
        <w:t>4</w:t>
      </w:r>
      <w:r w:rsidR="004F4B69" w:rsidRPr="0065745A">
        <w:rPr>
          <w:rFonts w:ascii="Arial" w:hAnsi="Arial" w:cs="Arial"/>
          <w:b/>
          <w:bCs/>
          <w:sz w:val="22"/>
          <w:szCs w:val="22"/>
        </w:rPr>
        <w:t xml:space="preserve">. </w:t>
      </w:r>
      <w:r w:rsidR="00D27B8E" w:rsidRPr="0065745A">
        <w:rPr>
          <w:rFonts w:ascii="Arial" w:eastAsia="Times New Roman" w:hAnsi="Arial" w:cs="Arial"/>
          <w:b/>
          <w:bCs/>
          <w:kern w:val="0"/>
          <w:sz w:val="22"/>
          <w:szCs w:val="22"/>
          <w:lang w:val="en-US" w:bidi="ar-SA"/>
        </w:rPr>
        <w:t>Conclusions</w:t>
      </w:r>
    </w:p>
    <w:p w14:paraId="560E5D82" w14:textId="77777777" w:rsidR="00D27B8E" w:rsidRDefault="00B42F4F" w:rsidP="004375D2">
      <w:pPr>
        <w:spacing w:before="100" w:beforeAutospacing="1" w:after="100" w:afterAutospacing="1" w:line="360" w:lineRule="auto"/>
        <w:jc w:val="both"/>
      </w:pPr>
      <w:r w:rsidRPr="0065745A">
        <w:t xml:space="preserve">The present study showed that sugar industry effluent produced acute toxic effects in the freshwater fish </w:t>
      </w:r>
      <w:r w:rsidRPr="0065745A">
        <w:rPr>
          <w:i/>
        </w:rPr>
        <w:t>Chanda nama</w:t>
      </w:r>
      <w:r w:rsidRPr="0065745A">
        <w:t>. The LC50 values decreased from 15.5% at 24 hours to 14.0% at 96 hours, indicating that longer exposure increased the toxic effect of the effluent. This time-dependent decline suggests that even relatively small changes in exposure duration may influence survival under laboratory conditions. Fish exposed to the effluent showed clear behavioural abnormalities, including increased opercular movement, jerky swimming, excitation, loss of equilibrium, attempts to escape from the aquarium and reduced movement. These responses indicate stress and impaired normal activity in exposed fish. The behavioural changes also suggest that sugar industry effluent may interfere with respiration, balance and general physiological function. The findings support the view that sugar industry effluent can be harmful to freshwater fish if released into aquatic environments without adequate treatment. Proper effluent treatment, monitoring and regulation are necessary to reduce ecological risk. Further studies should identify the chemical components responsible for toxicity and evaluate chronic, biochemical and histological effects in freshwater fish.</w:t>
      </w:r>
    </w:p>
    <w:p w14:paraId="5528BE55" w14:textId="77777777" w:rsidR="006A6AE3" w:rsidRPr="0065745A" w:rsidRDefault="006A6AE3" w:rsidP="004375D2">
      <w:pPr>
        <w:spacing w:before="100" w:beforeAutospacing="1" w:after="100" w:afterAutospacing="1" w:line="360" w:lineRule="auto"/>
        <w:jc w:val="both"/>
        <w:rPr>
          <w:rFonts w:ascii="Arial" w:eastAsia="Times New Roman" w:hAnsi="Arial" w:cs="Arial"/>
          <w:kern w:val="0"/>
          <w:sz w:val="20"/>
          <w:szCs w:val="20"/>
          <w:lang w:val="en-US" w:bidi="ar-SA"/>
        </w:rPr>
      </w:pPr>
    </w:p>
    <w:p w14:paraId="00261AC6" w14:textId="77777777" w:rsidR="00D27B8E" w:rsidRPr="0065745A" w:rsidRDefault="00D27B8E" w:rsidP="004375D2">
      <w:pPr>
        <w:spacing w:before="100" w:beforeAutospacing="1" w:after="100" w:afterAutospacing="1" w:line="360" w:lineRule="auto"/>
        <w:jc w:val="both"/>
        <w:outlineLvl w:val="2"/>
        <w:rPr>
          <w:rFonts w:ascii="Arial" w:eastAsia="Times New Roman" w:hAnsi="Arial" w:cs="Arial"/>
          <w:b/>
          <w:bCs/>
          <w:kern w:val="0"/>
          <w:sz w:val="20"/>
          <w:szCs w:val="20"/>
          <w:lang w:val="en-US" w:bidi="ar-SA"/>
        </w:rPr>
      </w:pPr>
      <w:r w:rsidRPr="0065745A">
        <w:rPr>
          <w:rFonts w:ascii="Arial" w:eastAsia="Times New Roman" w:hAnsi="Arial" w:cs="Arial"/>
          <w:b/>
          <w:bCs/>
          <w:kern w:val="0"/>
          <w:sz w:val="20"/>
          <w:szCs w:val="20"/>
          <w:lang w:val="en-US" w:bidi="ar-SA"/>
        </w:rPr>
        <w:lastRenderedPageBreak/>
        <w:t>Limitations</w:t>
      </w:r>
    </w:p>
    <w:p w14:paraId="7032B09C" w14:textId="77777777" w:rsidR="00682861" w:rsidRDefault="00682861" w:rsidP="004375D2">
      <w:pPr>
        <w:spacing w:after="0" w:line="360" w:lineRule="auto"/>
        <w:jc w:val="both"/>
      </w:pPr>
      <w:r>
        <w:t>The chemical composition of the sugar industry effluent was not analysed, so toxicity could not be linked to specific pollutants. Water-quality parameters such as dissolved oxygen, pH, temperature, hardness, alkalinity and conductivity were not reported during exposure. Behavioural responses were descriptive and were not assessed using a standardised scoring system. The study was limited to acute toxicity and did not examine chronic exposure, recovery, biochemical markers, histopathology, growth, reproduction or ecological field effects.</w:t>
      </w:r>
    </w:p>
    <w:p w14:paraId="01727703" w14:textId="77777777" w:rsidR="00D5360F" w:rsidRDefault="00D5360F" w:rsidP="004375D2">
      <w:pPr>
        <w:spacing w:after="0" w:line="360" w:lineRule="auto"/>
        <w:jc w:val="both"/>
      </w:pPr>
    </w:p>
    <w:p w14:paraId="67898208" w14:textId="5357F3D9" w:rsidR="00D27B8E" w:rsidRPr="0065745A" w:rsidRDefault="00D27B8E" w:rsidP="004375D2">
      <w:pPr>
        <w:spacing w:after="0" w:line="360" w:lineRule="auto"/>
        <w:jc w:val="both"/>
        <w:rPr>
          <w:rFonts w:ascii="Arial" w:hAnsi="Arial" w:cs="Arial"/>
          <w:b/>
          <w:kern w:val="0"/>
          <w:sz w:val="20"/>
          <w:szCs w:val="20"/>
          <w:lang w:val="en-US" w:bidi="ar-SA"/>
        </w:rPr>
      </w:pPr>
      <w:r w:rsidRPr="0065745A">
        <w:rPr>
          <w:rFonts w:ascii="Arial" w:hAnsi="Arial" w:cs="Arial"/>
          <w:b/>
          <w:kern w:val="0"/>
          <w:sz w:val="20"/>
          <w:szCs w:val="20"/>
          <w:lang w:val="en-US" w:bidi="ar-SA"/>
        </w:rPr>
        <w:t>Declaration of AI Use</w:t>
      </w:r>
    </w:p>
    <w:p w14:paraId="214E5F66" w14:textId="77777777" w:rsidR="00941827" w:rsidRPr="0065745A" w:rsidRDefault="00941827" w:rsidP="004375D2">
      <w:pPr>
        <w:spacing w:after="0" w:line="360" w:lineRule="auto"/>
        <w:jc w:val="both"/>
        <w:rPr>
          <w:rFonts w:ascii="Arial" w:hAnsi="Arial" w:cs="Arial"/>
          <w:kern w:val="0"/>
          <w:sz w:val="20"/>
          <w:szCs w:val="20"/>
          <w:lang w:val="en-US" w:bidi="ar-SA"/>
        </w:rPr>
      </w:pPr>
    </w:p>
    <w:p w14:paraId="56AE9482" w14:textId="77777777" w:rsidR="00D27B8E" w:rsidRPr="0065745A" w:rsidRDefault="00D27B8E" w:rsidP="004375D2">
      <w:pPr>
        <w:spacing w:after="0" w:line="360" w:lineRule="auto"/>
        <w:jc w:val="both"/>
        <w:rPr>
          <w:rFonts w:ascii="Arial" w:hAnsi="Arial" w:cs="Arial"/>
          <w:kern w:val="0"/>
          <w:sz w:val="20"/>
          <w:szCs w:val="20"/>
          <w:lang w:val="en-US" w:bidi="ar-SA"/>
        </w:rPr>
      </w:pPr>
      <w:r w:rsidRPr="0065745A">
        <w:rPr>
          <w:rFonts w:ascii="Arial" w:hAnsi="Arial" w:cs="Arial"/>
          <w:kern w:val="0"/>
          <w:sz w:val="20"/>
          <w:szCs w:val="20"/>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8431DF" w14:textId="77777777" w:rsidR="00D27B8E" w:rsidRPr="0065745A" w:rsidRDefault="00D27B8E" w:rsidP="004375D2">
      <w:pPr>
        <w:spacing w:after="200" w:line="360" w:lineRule="auto"/>
        <w:jc w:val="both"/>
        <w:rPr>
          <w:rFonts w:ascii="Arial" w:eastAsia="Calibri" w:hAnsi="Arial" w:cs="Arial"/>
          <w:kern w:val="0"/>
          <w:sz w:val="20"/>
          <w:szCs w:val="20"/>
          <w:lang w:val="en-GB" w:bidi="ar-SA"/>
        </w:rPr>
      </w:pPr>
    </w:p>
    <w:p w14:paraId="2479E80B" w14:textId="77777777" w:rsidR="0061454C" w:rsidRPr="0065745A" w:rsidRDefault="007479AE" w:rsidP="004375D2">
      <w:pPr>
        <w:tabs>
          <w:tab w:val="left" w:pos="1824"/>
        </w:tabs>
        <w:spacing w:line="360" w:lineRule="auto"/>
        <w:jc w:val="both"/>
        <w:rPr>
          <w:rFonts w:ascii="Arial" w:hAnsi="Arial" w:cs="Arial"/>
          <w:b/>
          <w:bCs/>
          <w:sz w:val="22"/>
          <w:szCs w:val="22"/>
        </w:rPr>
      </w:pPr>
      <w:r w:rsidRPr="0065745A">
        <w:rPr>
          <w:rFonts w:ascii="Arial" w:hAnsi="Arial" w:cs="Arial"/>
          <w:b/>
          <w:bCs/>
          <w:sz w:val="22"/>
          <w:szCs w:val="22"/>
        </w:rPr>
        <w:t>Competing Interests:</w:t>
      </w:r>
    </w:p>
    <w:p w14:paraId="73C7B208" w14:textId="77777777" w:rsidR="00D0051B" w:rsidRPr="0065745A" w:rsidRDefault="0061454C" w:rsidP="00340788">
      <w:pPr>
        <w:tabs>
          <w:tab w:val="left" w:pos="1824"/>
        </w:tabs>
        <w:spacing w:line="360" w:lineRule="auto"/>
        <w:jc w:val="both"/>
        <w:rPr>
          <w:rFonts w:ascii="Arial" w:hAnsi="Arial" w:cs="Arial"/>
          <w:sz w:val="20"/>
          <w:szCs w:val="20"/>
        </w:rPr>
      </w:pPr>
      <w:r w:rsidRPr="0065745A">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4F05CB0D" w14:textId="77777777" w:rsidR="00340788" w:rsidRPr="0065745A" w:rsidRDefault="00340788" w:rsidP="00340788">
      <w:pPr>
        <w:tabs>
          <w:tab w:val="left" w:pos="1824"/>
        </w:tabs>
        <w:spacing w:line="360" w:lineRule="auto"/>
        <w:jc w:val="both"/>
        <w:rPr>
          <w:rFonts w:ascii="Arial" w:hAnsi="Arial" w:cs="Arial"/>
          <w:sz w:val="20"/>
          <w:szCs w:val="20"/>
        </w:rPr>
      </w:pPr>
    </w:p>
    <w:p w14:paraId="2C4B8C2A" w14:textId="77777777" w:rsidR="00347A56" w:rsidRPr="0065745A" w:rsidRDefault="007A3EE7" w:rsidP="00B35DE9">
      <w:pPr>
        <w:tabs>
          <w:tab w:val="left" w:pos="1824"/>
        </w:tabs>
        <w:spacing w:line="360" w:lineRule="auto"/>
        <w:rPr>
          <w:rFonts w:ascii="Arial" w:hAnsi="Arial" w:cs="Arial"/>
          <w:b/>
          <w:bCs/>
          <w:sz w:val="20"/>
          <w:szCs w:val="20"/>
        </w:rPr>
      </w:pPr>
      <w:r w:rsidRPr="0065745A">
        <w:rPr>
          <w:rFonts w:ascii="Arial" w:hAnsi="Arial" w:cs="Arial"/>
          <w:b/>
          <w:bCs/>
          <w:sz w:val="20"/>
          <w:szCs w:val="20"/>
        </w:rPr>
        <w:t>References</w:t>
      </w:r>
    </w:p>
    <w:p w14:paraId="70D7D4B8"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Al-Kahem, H. F., Al-Akel, S. A., &amp; Ahmed, Z. (1998). Carbohydrate metabolism and ethological responses of cichlid fish, </w:t>
      </w:r>
      <w:r w:rsidRPr="008B7247">
        <w:rPr>
          <w:rFonts w:ascii="Times New Roman" w:eastAsia="Times New Roman" w:hAnsi="Times New Roman" w:cs="Times New Roman"/>
          <w:i/>
          <w:iCs/>
          <w:szCs w:val="24"/>
        </w:rPr>
        <w:t>Oreochromis niloticus</w:t>
      </w:r>
      <w:r w:rsidRPr="008B7247">
        <w:rPr>
          <w:rFonts w:ascii="Times New Roman" w:eastAsia="Times New Roman" w:hAnsi="Times New Roman" w:cs="Times New Roman"/>
          <w:szCs w:val="24"/>
        </w:rPr>
        <w:t xml:space="preserve">, exposed to trichlorfon. </w:t>
      </w:r>
      <w:r w:rsidRPr="008B7247">
        <w:rPr>
          <w:rFonts w:ascii="Times New Roman" w:eastAsia="Times New Roman" w:hAnsi="Times New Roman" w:cs="Times New Roman"/>
          <w:i/>
          <w:iCs/>
          <w:szCs w:val="24"/>
        </w:rPr>
        <w:t>Geobios, 25</w:t>
      </w:r>
      <w:r w:rsidRPr="008B7247">
        <w:rPr>
          <w:rFonts w:ascii="Times New Roman" w:eastAsia="Times New Roman" w:hAnsi="Times New Roman" w:cs="Times New Roman"/>
          <w:szCs w:val="24"/>
        </w:rPr>
        <w:t xml:space="preserve">(1), 10–16. </w:t>
      </w:r>
    </w:p>
    <w:p w14:paraId="23088AC3"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Maruthi, Y. A., &amp; Rao, S. R. (2000). </w:t>
      </w:r>
      <w:r w:rsidRPr="008B7247">
        <w:rPr>
          <w:rFonts w:ascii="Times New Roman" w:eastAsia="Times New Roman" w:hAnsi="Times New Roman" w:cs="Times New Roman"/>
          <w:szCs w:val="24"/>
        </w:rPr>
        <w:t xml:space="preserve">Effect of sugar mill effluent on organic reserves of fish. </w:t>
      </w:r>
      <w:r w:rsidRPr="008B7247">
        <w:rPr>
          <w:rFonts w:ascii="Times New Roman" w:eastAsia="Times New Roman" w:hAnsi="Times New Roman" w:cs="Times New Roman"/>
          <w:i/>
          <w:iCs/>
          <w:szCs w:val="24"/>
        </w:rPr>
        <w:t>Pollution Research, 19</w:t>
      </w:r>
      <w:r w:rsidRPr="008B7247">
        <w:rPr>
          <w:rFonts w:ascii="Times New Roman" w:eastAsia="Times New Roman" w:hAnsi="Times New Roman" w:cs="Times New Roman"/>
          <w:szCs w:val="24"/>
        </w:rPr>
        <w:t xml:space="preserve">(3), 391–393 </w:t>
      </w:r>
    </w:p>
    <w:p w14:paraId="19C00E51"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Ayebidun, O. V., &amp; Ajibare, A. O. (2023). </w:t>
      </w:r>
      <w:r w:rsidRPr="008B7247">
        <w:rPr>
          <w:rFonts w:ascii="Times New Roman" w:eastAsia="Times New Roman" w:hAnsi="Times New Roman" w:cs="Times New Roman"/>
          <w:szCs w:val="24"/>
        </w:rPr>
        <w:t>Sub-lethal toxicity of indigo dye (</w:t>
      </w:r>
      <w:r w:rsidRPr="008B7247">
        <w:rPr>
          <w:rFonts w:ascii="Times New Roman" w:eastAsia="Times New Roman" w:hAnsi="Times New Roman" w:cs="Times New Roman"/>
          <w:i/>
          <w:iCs/>
          <w:szCs w:val="24"/>
        </w:rPr>
        <w:t>Indigofera tinctoria</w:t>
      </w:r>
      <w:r w:rsidRPr="008B7247">
        <w:rPr>
          <w:rFonts w:ascii="Times New Roman" w:eastAsia="Times New Roman" w:hAnsi="Times New Roman" w:cs="Times New Roman"/>
          <w:szCs w:val="24"/>
        </w:rPr>
        <w:t xml:space="preserve">) on </w:t>
      </w:r>
      <w:r w:rsidRPr="008B7247">
        <w:rPr>
          <w:rFonts w:ascii="Times New Roman" w:eastAsia="Times New Roman" w:hAnsi="Times New Roman" w:cs="Times New Roman"/>
          <w:i/>
          <w:iCs/>
          <w:szCs w:val="24"/>
        </w:rPr>
        <w:t>Oreochromis niloticus</w:t>
      </w:r>
      <w:r w:rsidRPr="008B7247">
        <w:rPr>
          <w:rFonts w:ascii="Times New Roman" w:eastAsia="Times New Roman" w:hAnsi="Times New Roman" w:cs="Times New Roman"/>
          <w:szCs w:val="24"/>
        </w:rPr>
        <w:t xml:space="preserve"> juveniles. </w:t>
      </w:r>
      <w:r w:rsidRPr="008B7247">
        <w:rPr>
          <w:rFonts w:ascii="Times New Roman" w:eastAsia="Times New Roman" w:hAnsi="Times New Roman" w:cs="Times New Roman"/>
          <w:i/>
          <w:iCs/>
          <w:szCs w:val="24"/>
        </w:rPr>
        <w:t>Bulletin of the National Research Centre, 47</w:t>
      </w:r>
      <w:r w:rsidRPr="008B7247">
        <w:rPr>
          <w:rFonts w:ascii="Times New Roman" w:eastAsia="Times New Roman" w:hAnsi="Times New Roman" w:cs="Times New Roman"/>
          <w:szCs w:val="24"/>
        </w:rPr>
        <w:t xml:space="preserve">, Article 86. https://doi.org/10.1186/s42269-023-01060-7 </w:t>
      </w:r>
    </w:p>
    <w:p w14:paraId="77F20B18"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Bakthavathsalam, R., &amp; Reddy, Y. S. (1982). Toxicity and behavioural responses of </w:t>
      </w:r>
      <w:r w:rsidRPr="008B7247">
        <w:rPr>
          <w:rFonts w:ascii="Times New Roman" w:eastAsia="Times New Roman" w:hAnsi="Times New Roman" w:cs="Times New Roman"/>
          <w:i/>
          <w:iCs/>
          <w:szCs w:val="24"/>
        </w:rPr>
        <w:t>Anabas testudineus</w:t>
      </w:r>
      <w:r w:rsidRPr="008B7247">
        <w:rPr>
          <w:rFonts w:ascii="Times New Roman" w:eastAsia="Times New Roman" w:hAnsi="Times New Roman" w:cs="Times New Roman"/>
          <w:szCs w:val="24"/>
        </w:rPr>
        <w:t xml:space="preserve"> (Bloch) exposed to pesticides. </w:t>
      </w:r>
      <w:r w:rsidRPr="008B7247">
        <w:rPr>
          <w:rFonts w:ascii="Times New Roman" w:eastAsia="Times New Roman" w:hAnsi="Times New Roman" w:cs="Times New Roman"/>
          <w:i/>
          <w:iCs/>
          <w:szCs w:val="24"/>
        </w:rPr>
        <w:t>Indian Journal of Environmental Health, 24</w:t>
      </w:r>
      <w:r w:rsidRPr="008B7247">
        <w:rPr>
          <w:rFonts w:ascii="Times New Roman" w:eastAsia="Times New Roman" w:hAnsi="Times New Roman" w:cs="Times New Roman"/>
          <w:szCs w:val="24"/>
        </w:rPr>
        <w:t xml:space="preserve">(1), 65–68. https://agris.fao.org/search/en/providers/123819/records/6473627508fd68d54604c0b6 </w:t>
      </w:r>
    </w:p>
    <w:p w14:paraId="1BA09779"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lastRenderedPageBreak/>
        <w:t xml:space="preserve">Berrill, M., Hollett, L., Margosian, A., &amp; Hudson, J. (1985). Variation in tolerance to low environmental pH by the crayfish </w:t>
      </w:r>
      <w:r w:rsidRPr="008B7247">
        <w:rPr>
          <w:rFonts w:ascii="Times New Roman" w:eastAsia="Times New Roman" w:hAnsi="Times New Roman" w:cs="Times New Roman"/>
          <w:i/>
          <w:iCs/>
          <w:szCs w:val="24"/>
        </w:rPr>
        <w:t>Orconectes rusticus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O. propinquus</w:t>
      </w:r>
      <w:r w:rsidRPr="008B7247">
        <w:rPr>
          <w:rFonts w:ascii="Times New Roman" w:eastAsia="Times New Roman" w:hAnsi="Times New Roman" w:cs="Times New Roman"/>
          <w:szCs w:val="24"/>
        </w:rPr>
        <w:t xml:space="preserve">, and </w:t>
      </w:r>
      <w:r w:rsidRPr="008B7247">
        <w:rPr>
          <w:rFonts w:ascii="Times New Roman" w:eastAsia="Times New Roman" w:hAnsi="Times New Roman" w:cs="Times New Roman"/>
          <w:i/>
          <w:iCs/>
          <w:szCs w:val="24"/>
        </w:rPr>
        <w:t>Cambarus robustus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Canadian Journal of Zoology, 63</w:t>
      </w:r>
      <w:r w:rsidRPr="008B7247">
        <w:rPr>
          <w:rFonts w:ascii="Times New Roman" w:eastAsia="Times New Roman" w:hAnsi="Times New Roman" w:cs="Times New Roman"/>
          <w:szCs w:val="24"/>
        </w:rPr>
        <w:t xml:space="preserve">(11), 2586–2589. https://doi.org/10.1139/z85-386 </w:t>
      </w:r>
    </w:p>
    <w:p w14:paraId="7ADFCB41"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Bharagava, R. N., &amp; Chandra, R. (2010a). </w:t>
      </w:r>
      <w:r w:rsidRPr="008B7247">
        <w:rPr>
          <w:rFonts w:ascii="Times New Roman" w:eastAsia="Times New Roman" w:hAnsi="Times New Roman" w:cs="Times New Roman"/>
          <w:szCs w:val="24"/>
        </w:rPr>
        <w:t xml:space="preserve">Effect of bacteria-treated and untreated post-methanated distillery effluent (PMDE) on seed germination, seedling growth and amylase activity in </w:t>
      </w:r>
      <w:r w:rsidRPr="008B7247">
        <w:rPr>
          <w:rFonts w:ascii="Times New Roman" w:eastAsia="Times New Roman" w:hAnsi="Times New Roman" w:cs="Times New Roman"/>
          <w:i/>
          <w:iCs/>
          <w:szCs w:val="24"/>
        </w:rPr>
        <w:t>Phaseolus mungo</w:t>
      </w:r>
      <w:r w:rsidRPr="008B7247">
        <w:rPr>
          <w:rFonts w:ascii="Times New Roman" w:eastAsia="Times New Roman" w:hAnsi="Times New Roman" w:cs="Times New Roman"/>
          <w:szCs w:val="24"/>
        </w:rPr>
        <w:t xml:space="preserve"> L. </w:t>
      </w:r>
      <w:r w:rsidRPr="008B7247">
        <w:rPr>
          <w:rFonts w:ascii="Times New Roman" w:eastAsia="Times New Roman" w:hAnsi="Times New Roman" w:cs="Times New Roman"/>
          <w:i/>
          <w:iCs/>
          <w:szCs w:val="24"/>
        </w:rPr>
        <w:t>Journal of Hazardous Materials, 180</w:t>
      </w:r>
      <w:r w:rsidRPr="008B7247">
        <w:rPr>
          <w:rFonts w:ascii="Times New Roman" w:eastAsia="Times New Roman" w:hAnsi="Times New Roman" w:cs="Times New Roman"/>
          <w:szCs w:val="24"/>
        </w:rPr>
        <w:t xml:space="preserve">(1–3), 730–734. https://doi.org/10.1016/j.jhazmat.2010.04.100 </w:t>
      </w:r>
    </w:p>
    <w:p w14:paraId="768575B2"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lang w:val="fr-FR"/>
        </w:rPr>
      </w:pPr>
      <w:r w:rsidRPr="008B7247">
        <w:rPr>
          <w:rFonts w:ascii="Times New Roman" w:eastAsia="Times New Roman" w:hAnsi="Times New Roman" w:cs="Times New Roman"/>
          <w:szCs w:val="24"/>
          <w:lang w:val="fr-FR"/>
        </w:rPr>
        <w:t xml:space="preserve">Bharagava, R. N., &amp; Chandra, R. (2010b). </w:t>
      </w:r>
      <w:r w:rsidRPr="008B7247">
        <w:rPr>
          <w:rFonts w:ascii="Times New Roman" w:eastAsia="Times New Roman" w:hAnsi="Times New Roman" w:cs="Times New Roman"/>
          <w:szCs w:val="24"/>
        </w:rPr>
        <w:t xml:space="preserve">Biodegradation of the major color-containing compounds in distillery wastewater by an aerobic bacterial culture and characterization of their metabolites. </w:t>
      </w:r>
      <w:r w:rsidRPr="008B7247">
        <w:rPr>
          <w:rFonts w:ascii="Times New Roman" w:eastAsia="Times New Roman" w:hAnsi="Times New Roman" w:cs="Times New Roman"/>
          <w:i/>
          <w:iCs/>
          <w:szCs w:val="24"/>
          <w:lang w:val="fr-FR"/>
        </w:rPr>
        <w:t>Biodegradation, 21</w:t>
      </w:r>
      <w:r w:rsidRPr="008B7247">
        <w:rPr>
          <w:rFonts w:ascii="Times New Roman" w:eastAsia="Times New Roman" w:hAnsi="Times New Roman" w:cs="Times New Roman"/>
          <w:szCs w:val="24"/>
          <w:lang w:val="fr-FR"/>
        </w:rPr>
        <w:t xml:space="preserve">(5), 703–711. https://doi.org/10.1007/s10532-010-9336-1 </w:t>
      </w:r>
    </w:p>
    <w:p w14:paraId="79011BE1"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Bindu, V. S., &amp; Geetha, P. R. (2009). </w:t>
      </w:r>
      <w:r w:rsidRPr="008B7247">
        <w:rPr>
          <w:rFonts w:ascii="Times New Roman" w:eastAsia="Times New Roman" w:hAnsi="Times New Roman" w:cs="Times New Roman"/>
          <w:szCs w:val="24"/>
        </w:rPr>
        <w:t xml:space="preserve">Effect of organochlorine pesticide endosulfan on blood plasma of fresh water teleost, </w:t>
      </w:r>
      <w:r w:rsidRPr="008B7247">
        <w:rPr>
          <w:rFonts w:ascii="Times New Roman" w:eastAsia="Times New Roman" w:hAnsi="Times New Roman" w:cs="Times New Roman"/>
          <w:i/>
          <w:iCs/>
          <w:szCs w:val="24"/>
        </w:rPr>
        <w:t>Anabas testudineus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Asian Journal of Environmental Science, 4</w:t>
      </w:r>
      <w:r w:rsidRPr="008B7247">
        <w:rPr>
          <w:rFonts w:ascii="Times New Roman" w:eastAsia="Times New Roman" w:hAnsi="Times New Roman" w:cs="Times New Roman"/>
          <w:szCs w:val="24"/>
        </w:rPr>
        <w:t xml:space="preserve">(1), 1–4. https://researchjournal.co.in/online/AJES/AJES%204%281%29/4_A-1-4.pdf </w:t>
      </w:r>
    </w:p>
    <w:p w14:paraId="3A978E6F"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Catteau, A., Bado-Nilles, A., Beaudouin, R., Tebby, C., Joachim, S., Palluel, O., Turiès, C., Chrétien, N., Nott, K., Ronkart, S., Geffard, A., &amp; Porcher, J. M. (2021). </w:t>
      </w:r>
      <w:r w:rsidRPr="008B7247">
        <w:rPr>
          <w:rFonts w:ascii="Times New Roman" w:eastAsia="Times New Roman" w:hAnsi="Times New Roman" w:cs="Times New Roman"/>
          <w:szCs w:val="24"/>
        </w:rPr>
        <w:t>Water quality of the Meuse watershed: Assessment using a multi-biomarker approach with caged three-spined stickleback (</w:t>
      </w:r>
      <w:r w:rsidRPr="008B7247">
        <w:rPr>
          <w:rFonts w:ascii="Times New Roman" w:eastAsia="Times New Roman" w:hAnsi="Times New Roman" w:cs="Times New Roman"/>
          <w:i/>
          <w:iCs/>
          <w:szCs w:val="24"/>
        </w:rPr>
        <w:t>Gasterosteus aculeatus</w:t>
      </w:r>
      <w:r w:rsidRPr="008B7247">
        <w:rPr>
          <w:rFonts w:ascii="Times New Roman" w:eastAsia="Times New Roman" w:hAnsi="Times New Roman" w:cs="Times New Roman"/>
          <w:szCs w:val="24"/>
        </w:rPr>
        <w:t xml:space="preserve"> L.). </w:t>
      </w:r>
      <w:r w:rsidRPr="008B7247">
        <w:rPr>
          <w:rFonts w:ascii="Times New Roman" w:eastAsia="Times New Roman" w:hAnsi="Times New Roman" w:cs="Times New Roman"/>
          <w:i/>
          <w:iCs/>
          <w:szCs w:val="24"/>
        </w:rPr>
        <w:t>Ecotoxicology and Environmental Safety, 208</w:t>
      </w:r>
      <w:r w:rsidRPr="008B7247">
        <w:rPr>
          <w:rFonts w:ascii="Times New Roman" w:eastAsia="Times New Roman" w:hAnsi="Times New Roman" w:cs="Times New Roman"/>
          <w:szCs w:val="24"/>
        </w:rPr>
        <w:t xml:space="preserve">, Article 111407. </w:t>
      </w:r>
      <w:hyperlink r:id="rId10" w:tgtFrame="_new" w:history="1">
        <w:r w:rsidRPr="008B7247">
          <w:rPr>
            <w:rFonts w:ascii="Times New Roman" w:eastAsia="Times New Roman" w:hAnsi="Times New Roman" w:cs="Times New Roman"/>
            <w:color w:val="0000FF"/>
            <w:szCs w:val="24"/>
            <w:u w:val="single"/>
          </w:rPr>
          <w:t>https://doi.org/10.1016/j.ecoenv.2020.111407</w:t>
        </w:r>
      </w:hyperlink>
      <w:r w:rsidRPr="008B7247">
        <w:rPr>
          <w:rFonts w:ascii="Times New Roman" w:eastAsia="Times New Roman" w:hAnsi="Times New Roman" w:cs="Times New Roman"/>
          <w:szCs w:val="24"/>
        </w:rPr>
        <w:t xml:space="preserve"> </w:t>
      </w:r>
    </w:p>
    <w:p w14:paraId="6340105D"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Chowdhary, P., Raj, A., &amp; Bharagava, R. N. (2018). Environmental pollution and health hazards from distillery wastewater and treatment approaches to combat the environmental threats: A review. </w:t>
      </w:r>
      <w:r w:rsidRPr="008B7247">
        <w:rPr>
          <w:rFonts w:ascii="Times New Roman" w:eastAsia="Times New Roman" w:hAnsi="Times New Roman" w:cs="Times New Roman"/>
          <w:i/>
          <w:iCs/>
          <w:szCs w:val="24"/>
        </w:rPr>
        <w:t>Chemosphere, 194</w:t>
      </w:r>
      <w:r w:rsidRPr="008B7247">
        <w:rPr>
          <w:rFonts w:ascii="Times New Roman" w:eastAsia="Times New Roman" w:hAnsi="Times New Roman" w:cs="Times New Roman"/>
          <w:szCs w:val="24"/>
        </w:rPr>
        <w:t xml:space="preserve">, 229–246. https://doi.org/10.1016/j.chemosphere.2017.11.163 </w:t>
      </w:r>
    </w:p>
    <w:p w14:paraId="2BC0AA09"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Doudoroff, P., Anderson, B. G., Burdick, G. E., Galtsoff, P. S., Hart, W. B., Patrick, R., Strong, E. R., Surber, E. W., &amp; Van Horn, W. M. (1951). Bio-assay methods for the evaluation of acute toxicity of industrial wastes to fish. </w:t>
      </w:r>
      <w:r w:rsidRPr="008B7247">
        <w:rPr>
          <w:rFonts w:ascii="Times New Roman" w:eastAsia="Times New Roman" w:hAnsi="Times New Roman" w:cs="Times New Roman"/>
          <w:i/>
          <w:iCs/>
          <w:szCs w:val="24"/>
        </w:rPr>
        <w:t>Sewage and Industrial Wastes, 23</w:t>
      </w:r>
      <w:r w:rsidRPr="008B7247">
        <w:rPr>
          <w:rFonts w:ascii="Times New Roman" w:eastAsia="Times New Roman" w:hAnsi="Times New Roman" w:cs="Times New Roman"/>
          <w:szCs w:val="24"/>
        </w:rPr>
        <w:t xml:space="preserve">, 1380–1397.  </w:t>
      </w:r>
    </w:p>
    <w:p w14:paraId="1947E47A" w14:textId="77777777" w:rsidR="000C5F06" w:rsidRPr="00E644E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E644E7">
        <w:rPr>
          <w:rFonts w:ascii="Times New Roman" w:eastAsia="Times New Roman" w:hAnsi="Times New Roman" w:cs="Times New Roman"/>
          <w:szCs w:val="24"/>
          <w:lang w:val="fr-FR"/>
        </w:rPr>
        <w:t xml:space="preserve">Fafioye, O. O., Adebisi, A. A., &amp; Fagade, S. O. (2004). </w:t>
      </w:r>
      <w:r w:rsidRPr="00E644E7">
        <w:rPr>
          <w:rFonts w:ascii="Times New Roman" w:eastAsia="Times New Roman" w:hAnsi="Times New Roman" w:cs="Times New Roman"/>
          <w:szCs w:val="24"/>
        </w:rPr>
        <w:t xml:space="preserve">Toxicity of </w:t>
      </w:r>
      <w:r w:rsidRPr="00E644E7">
        <w:rPr>
          <w:rFonts w:ascii="Times New Roman" w:eastAsia="Times New Roman" w:hAnsi="Times New Roman" w:cs="Times New Roman"/>
          <w:i/>
          <w:iCs/>
          <w:szCs w:val="24"/>
        </w:rPr>
        <w:t>Parkia biglobosa</w:t>
      </w:r>
      <w:r w:rsidRPr="00E644E7">
        <w:rPr>
          <w:rFonts w:ascii="Times New Roman" w:eastAsia="Times New Roman" w:hAnsi="Times New Roman" w:cs="Times New Roman"/>
          <w:szCs w:val="24"/>
        </w:rPr>
        <w:t xml:space="preserve"> and </w:t>
      </w:r>
      <w:r w:rsidRPr="00E644E7">
        <w:rPr>
          <w:rFonts w:ascii="Times New Roman" w:eastAsia="Times New Roman" w:hAnsi="Times New Roman" w:cs="Times New Roman"/>
          <w:i/>
          <w:iCs/>
          <w:szCs w:val="24"/>
        </w:rPr>
        <w:t>Raphia vinifera</w:t>
      </w:r>
      <w:r w:rsidRPr="00E644E7">
        <w:rPr>
          <w:rFonts w:ascii="Times New Roman" w:eastAsia="Times New Roman" w:hAnsi="Times New Roman" w:cs="Times New Roman"/>
          <w:szCs w:val="24"/>
        </w:rPr>
        <w:t xml:space="preserve"> extracts on </w:t>
      </w:r>
      <w:r w:rsidRPr="00E644E7">
        <w:rPr>
          <w:rFonts w:ascii="Times New Roman" w:eastAsia="Times New Roman" w:hAnsi="Times New Roman" w:cs="Times New Roman"/>
          <w:i/>
          <w:iCs/>
          <w:szCs w:val="24"/>
        </w:rPr>
        <w:t>Clarias gariepinus</w:t>
      </w:r>
      <w:r w:rsidRPr="00E644E7">
        <w:rPr>
          <w:rFonts w:ascii="Times New Roman" w:eastAsia="Times New Roman" w:hAnsi="Times New Roman" w:cs="Times New Roman"/>
          <w:szCs w:val="24"/>
        </w:rPr>
        <w:t xml:space="preserve"> juveniles. </w:t>
      </w:r>
      <w:r w:rsidRPr="00E644E7">
        <w:rPr>
          <w:rFonts w:ascii="Times New Roman" w:eastAsia="Times New Roman" w:hAnsi="Times New Roman" w:cs="Times New Roman"/>
          <w:i/>
          <w:iCs/>
          <w:szCs w:val="24"/>
        </w:rPr>
        <w:t>African Journal of Biotechnology, 3</w:t>
      </w:r>
      <w:r w:rsidRPr="00E644E7">
        <w:rPr>
          <w:rFonts w:ascii="Times New Roman" w:eastAsia="Times New Roman" w:hAnsi="Times New Roman" w:cs="Times New Roman"/>
          <w:szCs w:val="24"/>
        </w:rPr>
        <w:t xml:space="preserve">(11), 627–630. https://www.ajol.info/index.php/ajb/article/view/15030 </w:t>
      </w:r>
    </w:p>
    <w:p w14:paraId="7614E18D" w14:textId="77777777" w:rsidR="000C5F06" w:rsidRPr="00E644E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E644E7">
        <w:rPr>
          <w:rFonts w:ascii="Times New Roman" w:eastAsia="Times New Roman" w:hAnsi="Times New Roman" w:cs="Times New Roman"/>
          <w:szCs w:val="24"/>
        </w:rPr>
        <w:t xml:space="preserve">Finney, D. J. (1971). </w:t>
      </w:r>
      <w:r w:rsidRPr="00E644E7">
        <w:rPr>
          <w:rFonts w:ascii="Times New Roman" w:eastAsia="Times New Roman" w:hAnsi="Times New Roman" w:cs="Times New Roman"/>
          <w:i/>
          <w:iCs/>
          <w:szCs w:val="24"/>
        </w:rPr>
        <w:t>Probit analysis</w:t>
      </w:r>
      <w:r w:rsidRPr="00E644E7">
        <w:rPr>
          <w:rFonts w:ascii="Times New Roman" w:eastAsia="Times New Roman" w:hAnsi="Times New Roman" w:cs="Times New Roman"/>
          <w:szCs w:val="24"/>
        </w:rPr>
        <w:t xml:space="preserve"> (3rd ed.). Cambridge University Press. https://catalog.libraries.psu.edu/catalog/1039166 </w:t>
      </w:r>
    </w:p>
    <w:p w14:paraId="1A1DD822"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Frémion, F., Bordas, F., Mourier, B., Lenain, J.-F., Kestens, T., &amp; Courtin-Nomade, A. (2016). </w:t>
      </w:r>
      <w:r w:rsidRPr="008B7247">
        <w:rPr>
          <w:rFonts w:ascii="Times New Roman" w:eastAsia="Times New Roman" w:hAnsi="Times New Roman" w:cs="Times New Roman"/>
          <w:szCs w:val="24"/>
        </w:rPr>
        <w:t xml:space="preserve">Influence of dams on sediment continuity: A study case of a natural metallic contamination. </w:t>
      </w:r>
      <w:r w:rsidRPr="008B7247">
        <w:rPr>
          <w:rFonts w:ascii="Times New Roman" w:eastAsia="Times New Roman" w:hAnsi="Times New Roman" w:cs="Times New Roman"/>
          <w:i/>
          <w:iCs/>
          <w:szCs w:val="24"/>
        </w:rPr>
        <w:t>Science of the Total Environment, 547</w:t>
      </w:r>
      <w:r w:rsidRPr="008B7247">
        <w:rPr>
          <w:rFonts w:ascii="Times New Roman" w:eastAsia="Times New Roman" w:hAnsi="Times New Roman" w:cs="Times New Roman"/>
          <w:szCs w:val="24"/>
        </w:rPr>
        <w:t xml:space="preserve">, 282–294. </w:t>
      </w:r>
      <w:hyperlink r:id="rId11" w:tgtFrame="_new" w:history="1">
        <w:r w:rsidRPr="008B7247">
          <w:rPr>
            <w:rFonts w:ascii="Times New Roman" w:eastAsia="Times New Roman" w:hAnsi="Times New Roman" w:cs="Times New Roman"/>
            <w:color w:val="0000FF"/>
            <w:szCs w:val="24"/>
            <w:u w:val="single"/>
          </w:rPr>
          <w:t>https://doi.org/10.1016/j.scitotenv.2016.01.023</w:t>
        </w:r>
      </w:hyperlink>
      <w:r w:rsidRPr="008B7247">
        <w:rPr>
          <w:rFonts w:ascii="Times New Roman" w:eastAsia="Times New Roman" w:hAnsi="Times New Roman" w:cs="Times New Roman"/>
          <w:szCs w:val="24"/>
        </w:rPr>
        <w:t xml:space="preserve"> </w:t>
      </w:r>
    </w:p>
    <w:p w14:paraId="05F95836"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Ganesan, R. M., Jebakumar, S. R. D., &amp; Jayaraman, J. (1989). </w:t>
      </w:r>
      <w:r w:rsidRPr="008B7247">
        <w:rPr>
          <w:rFonts w:ascii="Times New Roman" w:eastAsia="Times New Roman" w:hAnsi="Times New Roman" w:cs="Times New Roman"/>
          <w:szCs w:val="24"/>
        </w:rPr>
        <w:t xml:space="preserve">Sublethal effects of organochlorine insecticide (endosulfan) on protein, carbohydrate and lipid contents in liver tissues of </w:t>
      </w:r>
      <w:r w:rsidRPr="008B7247">
        <w:rPr>
          <w:rFonts w:ascii="Times New Roman" w:eastAsia="Times New Roman" w:hAnsi="Times New Roman" w:cs="Times New Roman"/>
          <w:i/>
          <w:iCs/>
          <w:szCs w:val="24"/>
        </w:rPr>
        <w:t>Oreochromis mossambicus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Proceedings: Animal Sciences, 98</w:t>
      </w:r>
      <w:r w:rsidRPr="008B7247">
        <w:rPr>
          <w:rFonts w:ascii="Times New Roman" w:eastAsia="Times New Roman" w:hAnsi="Times New Roman" w:cs="Times New Roman"/>
          <w:szCs w:val="24"/>
        </w:rPr>
        <w:t xml:space="preserve">(1), 51–55. https://doi.org/10.1007/BF03179564 </w:t>
      </w:r>
    </w:p>
    <w:p w14:paraId="49B9CA83"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Hagen, J. M. (1959). Acute toxicity. In Association of Food and Drug Officials of the United States, </w:t>
      </w:r>
      <w:r w:rsidRPr="008B7247">
        <w:rPr>
          <w:rFonts w:ascii="Times New Roman" w:eastAsia="Times New Roman" w:hAnsi="Times New Roman" w:cs="Times New Roman"/>
          <w:i/>
          <w:iCs/>
          <w:szCs w:val="24"/>
        </w:rPr>
        <w:t>Appraisal of the safety of chemicals in foods, drugs and cosmetics</w:t>
      </w:r>
      <w:r w:rsidRPr="008B7247">
        <w:rPr>
          <w:rFonts w:ascii="Times New Roman" w:eastAsia="Times New Roman" w:hAnsi="Times New Roman" w:cs="Times New Roman"/>
          <w:szCs w:val="24"/>
        </w:rPr>
        <w:t xml:space="preserve"> (pp. 17–25). Association of Food and Drug Officials of the United States. </w:t>
      </w:r>
    </w:p>
    <w:p w14:paraId="779AD496"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Jekayinfa, O., &amp; Bawa-Allah, K. (2022). Assessing the potential toxicity of paint industry effluents to aquatic organisms using the whole effluent testing (WET) approach. </w:t>
      </w:r>
      <w:r w:rsidRPr="008B7247">
        <w:rPr>
          <w:rFonts w:ascii="Times New Roman" w:eastAsia="Times New Roman" w:hAnsi="Times New Roman" w:cs="Times New Roman"/>
          <w:i/>
          <w:iCs/>
          <w:szCs w:val="24"/>
        </w:rPr>
        <w:t>Environmental Monitoring and Assessment, 194</w:t>
      </w:r>
      <w:r w:rsidRPr="008B7247">
        <w:rPr>
          <w:rFonts w:ascii="Times New Roman" w:eastAsia="Times New Roman" w:hAnsi="Times New Roman" w:cs="Times New Roman"/>
          <w:szCs w:val="24"/>
        </w:rPr>
        <w:t xml:space="preserve">, Article 172. </w:t>
      </w:r>
      <w:hyperlink r:id="rId12" w:tgtFrame="_new" w:history="1">
        <w:r w:rsidRPr="008B7247">
          <w:rPr>
            <w:rFonts w:ascii="Times New Roman" w:eastAsia="Times New Roman" w:hAnsi="Times New Roman" w:cs="Times New Roman"/>
            <w:color w:val="0000FF"/>
            <w:szCs w:val="24"/>
            <w:u w:val="single"/>
          </w:rPr>
          <w:t>https://doi.org/10.1007/s10661-022-09832-w</w:t>
        </w:r>
      </w:hyperlink>
      <w:r w:rsidRPr="008B7247">
        <w:rPr>
          <w:rFonts w:ascii="Times New Roman" w:eastAsia="Times New Roman" w:hAnsi="Times New Roman" w:cs="Times New Roman"/>
          <w:szCs w:val="24"/>
        </w:rPr>
        <w:t xml:space="preserve"> </w:t>
      </w:r>
    </w:p>
    <w:p w14:paraId="09DA65E6"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lastRenderedPageBreak/>
        <w:t xml:space="preserve">Chhaya, J., Thaker, J., Mansuri, A. P., &amp; Kundu, R. (1997). Textile dyeing and printing industry effluent-induced changes in the activity of few ATPases in the gill and intestine of mudskipper, </w:t>
      </w:r>
      <w:r w:rsidRPr="008B7247">
        <w:rPr>
          <w:rFonts w:ascii="Times New Roman" w:eastAsia="Times New Roman" w:hAnsi="Times New Roman" w:cs="Times New Roman"/>
          <w:i/>
          <w:iCs/>
          <w:szCs w:val="24"/>
        </w:rPr>
        <w:t>Periophthalmus dipes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Pollution Research, 16</w:t>
      </w:r>
      <w:r w:rsidRPr="008B7247">
        <w:rPr>
          <w:rFonts w:ascii="Times New Roman" w:eastAsia="Times New Roman" w:hAnsi="Times New Roman" w:cs="Times New Roman"/>
          <w:szCs w:val="24"/>
        </w:rPr>
        <w:t xml:space="preserve">(2), 93–97.  </w:t>
      </w:r>
    </w:p>
    <w:p w14:paraId="1A83CF25"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Joshi, A. G., &amp; Rege, M. S. (1980). Acute toxicity of some pesticides and a few inorganic salts to the mosquito fish, </w:t>
      </w:r>
      <w:r w:rsidRPr="008B7247">
        <w:rPr>
          <w:rFonts w:ascii="Times New Roman" w:eastAsia="Times New Roman" w:hAnsi="Times New Roman" w:cs="Times New Roman"/>
          <w:i/>
          <w:iCs/>
          <w:szCs w:val="24"/>
        </w:rPr>
        <w:t>Gambusia affinis</w:t>
      </w:r>
      <w:r w:rsidRPr="008B7247">
        <w:rPr>
          <w:rFonts w:ascii="Times New Roman" w:eastAsia="Times New Roman" w:hAnsi="Times New Roman" w:cs="Times New Roman"/>
          <w:szCs w:val="24"/>
        </w:rPr>
        <w:t xml:space="preserve"> (Baird &amp; Girard). </w:t>
      </w:r>
      <w:r w:rsidRPr="008B7247">
        <w:rPr>
          <w:rFonts w:ascii="Times New Roman" w:eastAsia="Times New Roman" w:hAnsi="Times New Roman" w:cs="Times New Roman"/>
          <w:i/>
          <w:iCs/>
          <w:szCs w:val="24"/>
        </w:rPr>
        <w:t>Indian Journal of Experimental Biology, 18</w:t>
      </w:r>
      <w:r w:rsidRPr="008B7247">
        <w:rPr>
          <w:rFonts w:ascii="Times New Roman" w:eastAsia="Times New Roman" w:hAnsi="Times New Roman" w:cs="Times New Roman"/>
          <w:szCs w:val="24"/>
        </w:rPr>
        <w:t xml:space="preserve">(4), 435–437. </w:t>
      </w:r>
    </w:p>
    <w:p w14:paraId="4DAE86D2"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Shareef, K. (1985). </w:t>
      </w:r>
      <w:r w:rsidRPr="008B7247">
        <w:rPr>
          <w:rFonts w:ascii="Times New Roman" w:eastAsia="Times New Roman" w:hAnsi="Times New Roman" w:cs="Times New Roman"/>
          <w:i/>
          <w:iCs/>
          <w:szCs w:val="24"/>
        </w:rPr>
        <w:t>Effect of pesticides on a freshwater fish Rasbora daniconius (Ham.)</w:t>
      </w:r>
      <w:r w:rsidRPr="008B7247">
        <w:rPr>
          <w:rFonts w:ascii="Times New Roman" w:eastAsia="Times New Roman" w:hAnsi="Times New Roman" w:cs="Times New Roman"/>
          <w:szCs w:val="24"/>
        </w:rPr>
        <w:t xml:space="preserve"> [Doctoral dissertation, Dr. Babasaheb Ambedkar Marathwada University]. </w:t>
      </w:r>
    </w:p>
    <w:p w14:paraId="3B7711F6"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Khillare, Y. K., &amp; Wagh, S. B. (1987). Acute toxicity of the pesticide endosulfan to fishes. </w:t>
      </w:r>
      <w:r w:rsidRPr="008B7247">
        <w:rPr>
          <w:rFonts w:ascii="Times New Roman" w:eastAsia="Times New Roman" w:hAnsi="Times New Roman" w:cs="Times New Roman"/>
          <w:i/>
          <w:iCs/>
          <w:szCs w:val="24"/>
        </w:rPr>
        <w:t>Environment and Ecology, 5</w:t>
      </w:r>
      <w:r w:rsidRPr="008B7247">
        <w:rPr>
          <w:rFonts w:ascii="Times New Roman" w:eastAsia="Times New Roman" w:hAnsi="Times New Roman" w:cs="Times New Roman"/>
          <w:szCs w:val="24"/>
        </w:rPr>
        <w:t xml:space="preserve">, 805–806. </w:t>
      </w:r>
    </w:p>
    <w:p w14:paraId="61F8E4E1" w14:textId="77777777" w:rsidR="000C5F06"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E644E7">
        <w:rPr>
          <w:rFonts w:ascii="Times New Roman" w:eastAsia="Times New Roman" w:hAnsi="Times New Roman" w:cs="Times New Roman"/>
          <w:szCs w:val="24"/>
          <w:lang w:val="fr-FR"/>
        </w:rPr>
        <w:t xml:space="preserve">Kiran, A., Jha, A. K., Kumar, S., &amp; Mandal, D. (2025). </w:t>
      </w:r>
      <w:r w:rsidRPr="00E644E7">
        <w:rPr>
          <w:rFonts w:ascii="Times New Roman" w:eastAsia="Times New Roman" w:hAnsi="Times New Roman" w:cs="Times New Roman"/>
          <w:szCs w:val="24"/>
        </w:rPr>
        <w:t xml:space="preserve">Acute toxicity and behavioural responses of </w:t>
      </w:r>
      <w:r w:rsidRPr="00E644E7">
        <w:rPr>
          <w:rFonts w:ascii="Times New Roman" w:eastAsia="Times New Roman" w:hAnsi="Times New Roman" w:cs="Times New Roman"/>
          <w:i/>
          <w:iCs/>
          <w:szCs w:val="24"/>
        </w:rPr>
        <w:t>Clarias batrachus</w:t>
      </w:r>
      <w:r w:rsidRPr="00E644E7">
        <w:rPr>
          <w:rFonts w:ascii="Times New Roman" w:eastAsia="Times New Roman" w:hAnsi="Times New Roman" w:cs="Times New Roman"/>
          <w:szCs w:val="24"/>
        </w:rPr>
        <w:t xml:space="preserve"> to herbicide Herboclin: A bioassay approach. </w:t>
      </w:r>
      <w:r w:rsidRPr="00E644E7">
        <w:rPr>
          <w:rFonts w:ascii="Times New Roman" w:eastAsia="Times New Roman" w:hAnsi="Times New Roman" w:cs="Times New Roman"/>
          <w:i/>
          <w:iCs/>
          <w:szCs w:val="24"/>
        </w:rPr>
        <w:t>Journal of Advances in Biology &amp; Biotechnology, 28</w:t>
      </w:r>
      <w:r w:rsidRPr="00E644E7">
        <w:rPr>
          <w:rFonts w:ascii="Times New Roman" w:eastAsia="Times New Roman" w:hAnsi="Times New Roman" w:cs="Times New Roman"/>
          <w:szCs w:val="24"/>
        </w:rPr>
        <w:t xml:space="preserve">(5), 435–442. </w:t>
      </w:r>
      <w:hyperlink r:id="rId13" w:tgtFrame="_new" w:history="1">
        <w:r w:rsidRPr="00E644E7">
          <w:rPr>
            <w:rFonts w:ascii="Times New Roman" w:eastAsia="Times New Roman" w:hAnsi="Times New Roman" w:cs="Times New Roman"/>
            <w:color w:val="0000FF"/>
            <w:szCs w:val="24"/>
            <w:u w:val="single"/>
          </w:rPr>
          <w:t>https://doi.org/10.9734/jabb/2025/v28i52306</w:t>
        </w:r>
      </w:hyperlink>
      <w:r w:rsidRPr="00E644E7">
        <w:rPr>
          <w:rFonts w:ascii="Times New Roman" w:eastAsia="Times New Roman" w:hAnsi="Times New Roman" w:cs="Times New Roman"/>
          <w:szCs w:val="24"/>
        </w:rPr>
        <w:t xml:space="preserve"> </w:t>
      </w:r>
    </w:p>
    <w:p w14:paraId="247175C4" w14:textId="77777777" w:rsidR="000C5F06" w:rsidRPr="00E644E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E644E7">
        <w:rPr>
          <w:rFonts w:ascii="Times New Roman" w:eastAsia="Times New Roman" w:hAnsi="Times New Roman" w:cs="Times New Roman"/>
          <w:bCs/>
          <w:szCs w:val="24"/>
        </w:rPr>
        <w:t>Mamatha, C., Rao, L. M., &amp; Chakravarty, M. S. (2017). Determination of LC50 of copper in Cirrhinus mrigala (Hamilton, 1822) and Ctenopharyngodon idella (Steindachner, 1866). Fishery Technology, 54(4). https://doi.org/10.56093/ft.v54i4.75352</w:t>
      </w:r>
    </w:p>
    <w:p w14:paraId="2FBF9481"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lang w:val="fr-FR"/>
        </w:rPr>
        <w:t xml:space="preserve">Li, X., He, M., Sun, G., Ma, C., Li, Y., Li, L., Li, B., Yang, M., &amp; Zhang, Y. (2023). </w:t>
      </w:r>
      <w:r w:rsidRPr="008B7247">
        <w:rPr>
          <w:rFonts w:ascii="Times New Roman" w:eastAsia="Times New Roman" w:hAnsi="Times New Roman" w:cs="Times New Roman"/>
          <w:szCs w:val="24"/>
        </w:rPr>
        <w:t xml:space="preserve">Toxicological evaluation of industrial effluents using zebrafish: Efficacy of tertiary treatment of coking wastewater. </w:t>
      </w:r>
      <w:r w:rsidRPr="008B7247">
        <w:rPr>
          <w:rFonts w:ascii="Times New Roman" w:eastAsia="Times New Roman" w:hAnsi="Times New Roman" w:cs="Times New Roman"/>
          <w:i/>
          <w:iCs/>
          <w:szCs w:val="24"/>
        </w:rPr>
        <w:t>Environmental Technology &amp; Innovation, 30</w:t>
      </w:r>
      <w:r w:rsidRPr="008B7247">
        <w:rPr>
          <w:rFonts w:ascii="Times New Roman" w:eastAsia="Times New Roman" w:hAnsi="Times New Roman" w:cs="Times New Roman"/>
          <w:szCs w:val="24"/>
        </w:rPr>
        <w:t xml:space="preserve">, Article 103067. </w:t>
      </w:r>
      <w:hyperlink r:id="rId14" w:tgtFrame="_new" w:history="1">
        <w:r w:rsidRPr="008B7247">
          <w:rPr>
            <w:rFonts w:ascii="Times New Roman" w:eastAsia="Times New Roman" w:hAnsi="Times New Roman" w:cs="Times New Roman"/>
            <w:color w:val="0000FF"/>
            <w:szCs w:val="24"/>
            <w:u w:val="single"/>
          </w:rPr>
          <w:t>https://doi.org/10.1016/j.eti.2023.103067</w:t>
        </w:r>
      </w:hyperlink>
      <w:r w:rsidRPr="008B7247">
        <w:rPr>
          <w:rFonts w:ascii="Times New Roman" w:eastAsia="Times New Roman" w:hAnsi="Times New Roman" w:cs="Times New Roman"/>
          <w:szCs w:val="24"/>
        </w:rPr>
        <w:t xml:space="preserve"> </w:t>
      </w:r>
    </w:p>
    <w:p w14:paraId="63B0EA75" w14:textId="77777777" w:rsidR="000C5F06" w:rsidRPr="008B7247" w:rsidRDefault="000C5F06" w:rsidP="000C5F06">
      <w:pPr>
        <w:pStyle w:val="ListParagraph"/>
        <w:numPr>
          <w:ilvl w:val="0"/>
          <w:numId w:val="14"/>
        </w:numPr>
        <w:spacing w:line="259"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Maheswaran, R., Devapaul, A., Muralidharan, S., Velmurugan, B., &amp; Ignacimuthu, S. (2008). Haematological studies of freshwater fish, </w:t>
      </w:r>
      <w:r w:rsidRPr="008B7247">
        <w:rPr>
          <w:rFonts w:ascii="Times New Roman" w:eastAsia="Times New Roman" w:hAnsi="Times New Roman" w:cs="Times New Roman"/>
          <w:i/>
          <w:iCs/>
          <w:szCs w:val="24"/>
        </w:rPr>
        <w:t>Clarias batrachus</w:t>
      </w:r>
      <w:r w:rsidRPr="008B7247">
        <w:rPr>
          <w:rFonts w:ascii="Times New Roman" w:eastAsia="Times New Roman" w:hAnsi="Times New Roman" w:cs="Times New Roman"/>
          <w:szCs w:val="24"/>
        </w:rPr>
        <w:t xml:space="preserve"> (L.), exposed to mercuric chloride. </w:t>
      </w:r>
      <w:r w:rsidRPr="008B7247">
        <w:rPr>
          <w:rFonts w:ascii="Times New Roman" w:eastAsia="Times New Roman" w:hAnsi="Times New Roman" w:cs="Times New Roman"/>
          <w:i/>
          <w:iCs/>
          <w:szCs w:val="24"/>
        </w:rPr>
        <w:t>International Journal of Integrative Biology, 2</w:t>
      </w:r>
      <w:r w:rsidRPr="008B7247">
        <w:rPr>
          <w:rFonts w:ascii="Times New Roman" w:eastAsia="Times New Roman" w:hAnsi="Times New Roman" w:cs="Times New Roman"/>
          <w:szCs w:val="24"/>
        </w:rPr>
        <w:t xml:space="preserve">(1), 49–54. </w:t>
      </w:r>
    </w:p>
    <w:p w14:paraId="151F834B" w14:textId="77777777" w:rsidR="000C5F06" w:rsidRPr="00E644E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E644E7">
        <w:rPr>
          <w:rFonts w:ascii="Times New Roman" w:eastAsia="Times New Roman" w:hAnsi="Times New Roman" w:cs="Times New Roman"/>
          <w:szCs w:val="24"/>
        </w:rPr>
        <w:t xml:space="preserve">Anna Mercy, T. V., Kurup, B. M., Korath, A., &amp; Nair, J. R. (2001). Acute toxicity of organophosphate pesticides on the juveniles of </w:t>
      </w:r>
      <w:r w:rsidRPr="00E644E7">
        <w:rPr>
          <w:rFonts w:ascii="Times New Roman" w:eastAsia="Times New Roman" w:hAnsi="Times New Roman" w:cs="Times New Roman"/>
          <w:i/>
          <w:iCs/>
          <w:szCs w:val="24"/>
        </w:rPr>
        <w:t>Channa marulius</w:t>
      </w:r>
      <w:r w:rsidRPr="00E644E7">
        <w:rPr>
          <w:rFonts w:ascii="Times New Roman" w:eastAsia="Times New Roman" w:hAnsi="Times New Roman" w:cs="Times New Roman"/>
          <w:szCs w:val="24"/>
        </w:rPr>
        <w:t xml:space="preserve"> Deraniyagala. </w:t>
      </w:r>
      <w:r w:rsidRPr="00E644E7">
        <w:rPr>
          <w:rFonts w:ascii="Times New Roman" w:eastAsia="Times New Roman" w:hAnsi="Times New Roman" w:cs="Times New Roman"/>
          <w:i/>
          <w:iCs/>
          <w:szCs w:val="24"/>
        </w:rPr>
        <w:t>Indian Journal of Fisheries, 48</w:t>
      </w:r>
      <w:r w:rsidRPr="00E644E7">
        <w:rPr>
          <w:rFonts w:ascii="Times New Roman" w:eastAsia="Times New Roman" w:hAnsi="Times New Roman" w:cs="Times New Roman"/>
          <w:szCs w:val="24"/>
        </w:rPr>
        <w:t xml:space="preserve">(2), 227–230. https://epubs.icar.org.in/index.php/IJF/article/view/8467 </w:t>
      </w:r>
    </w:p>
    <w:p w14:paraId="74FC803A" w14:textId="77777777" w:rsidR="000C5F06" w:rsidRPr="00E644E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E644E7">
        <w:rPr>
          <w:rFonts w:ascii="Times New Roman" w:eastAsia="Times New Roman" w:hAnsi="Times New Roman" w:cs="Times New Roman"/>
          <w:szCs w:val="24"/>
        </w:rPr>
        <w:t xml:space="preserve">Murthy, A. S. (1986). </w:t>
      </w:r>
      <w:r w:rsidRPr="00E644E7">
        <w:rPr>
          <w:rFonts w:ascii="Times New Roman" w:eastAsia="Times New Roman" w:hAnsi="Times New Roman" w:cs="Times New Roman"/>
          <w:i/>
          <w:iCs/>
          <w:szCs w:val="24"/>
        </w:rPr>
        <w:t>Toxicity of pesticides to fish</w:t>
      </w:r>
      <w:r w:rsidRPr="00E644E7">
        <w:rPr>
          <w:rFonts w:ascii="Times New Roman" w:eastAsia="Times New Roman" w:hAnsi="Times New Roman" w:cs="Times New Roman"/>
          <w:szCs w:val="24"/>
        </w:rPr>
        <w:t xml:space="preserve">. CRC Press.  </w:t>
      </w:r>
    </w:p>
    <w:p w14:paraId="15D022D0"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Murty, A. S., &amp; Kondaiah, K. (1991). Standard test fish for India and the neighboring countries. </w:t>
      </w:r>
      <w:r w:rsidRPr="008B7247">
        <w:rPr>
          <w:rFonts w:ascii="Times New Roman" w:eastAsia="Times New Roman" w:hAnsi="Times New Roman" w:cs="Times New Roman"/>
          <w:i/>
          <w:iCs/>
          <w:szCs w:val="24"/>
        </w:rPr>
        <w:t>Bulletin of Environmental Contamination and Toxicology, 46</w:t>
      </w:r>
      <w:r w:rsidRPr="008B7247">
        <w:rPr>
          <w:rFonts w:ascii="Times New Roman" w:eastAsia="Times New Roman" w:hAnsi="Times New Roman" w:cs="Times New Roman"/>
          <w:szCs w:val="24"/>
        </w:rPr>
        <w:t xml:space="preserve">, 871–878. https://doi.org/10.1007/BF01689732  </w:t>
      </w:r>
    </w:p>
    <w:p w14:paraId="6CD45535"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Mustafa, S. A., Al-Rudainy, A. J., &amp; Salman, N. M. (2024). Effect of environmental pollutants on fish health: An overview. </w:t>
      </w:r>
      <w:r w:rsidRPr="008B7247">
        <w:rPr>
          <w:rFonts w:ascii="Times New Roman" w:eastAsia="Times New Roman" w:hAnsi="Times New Roman" w:cs="Times New Roman"/>
          <w:i/>
          <w:iCs/>
          <w:szCs w:val="24"/>
        </w:rPr>
        <w:t>Egyptian Journal of Aquatic Research, 50</w:t>
      </w:r>
      <w:r w:rsidRPr="008B7247">
        <w:rPr>
          <w:rFonts w:ascii="Times New Roman" w:eastAsia="Times New Roman" w:hAnsi="Times New Roman" w:cs="Times New Roman"/>
          <w:szCs w:val="24"/>
        </w:rPr>
        <w:t xml:space="preserve">(2), 225–233. </w:t>
      </w:r>
      <w:hyperlink r:id="rId15" w:tgtFrame="_new" w:history="1">
        <w:r w:rsidRPr="008B7247">
          <w:rPr>
            <w:rFonts w:ascii="Times New Roman" w:eastAsia="Times New Roman" w:hAnsi="Times New Roman" w:cs="Times New Roman"/>
            <w:color w:val="0000FF"/>
            <w:szCs w:val="24"/>
            <w:u w:val="single"/>
          </w:rPr>
          <w:t>https://doi.org/10.1016/j.ejar.2024.02.006</w:t>
        </w:r>
      </w:hyperlink>
      <w:r w:rsidRPr="008B7247">
        <w:rPr>
          <w:rFonts w:ascii="Times New Roman" w:eastAsia="Times New Roman" w:hAnsi="Times New Roman" w:cs="Times New Roman"/>
          <w:szCs w:val="24"/>
        </w:rPr>
        <w:t xml:space="preserve"> </w:t>
      </w:r>
    </w:p>
    <w:p w14:paraId="28D5D5AE"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Oluwatuyi, I. T., Adedeji, O. A., &amp; Aladesanmi, O. T. (2025). Effects of abattoir effluent on growth performance of </w:t>
      </w:r>
      <w:r w:rsidRPr="008B7247">
        <w:rPr>
          <w:rFonts w:ascii="Times New Roman" w:eastAsia="Times New Roman" w:hAnsi="Times New Roman" w:cs="Times New Roman"/>
          <w:i/>
          <w:iCs/>
          <w:szCs w:val="24"/>
        </w:rPr>
        <w:t>Clarias gariepinus</w:t>
      </w:r>
      <w:r w:rsidRPr="008B7247">
        <w:rPr>
          <w:rFonts w:ascii="Times New Roman" w:eastAsia="Times New Roman" w:hAnsi="Times New Roman" w:cs="Times New Roman"/>
          <w:szCs w:val="24"/>
        </w:rPr>
        <w:t xml:space="preserve"> (Burchell, 1822). </w:t>
      </w:r>
      <w:r w:rsidRPr="008B7247">
        <w:rPr>
          <w:rFonts w:ascii="Times New Roman" w:eastAsia="Times New Roman" w:hAnsi="Times New Roman" w:cs="Times New Roman"/>
          <w:i/>
          <w:iCs/>
          <w:szCs w:val="24"/>
        </w:rPr>
        <w:t>Nigerian Journal of Environment and Health, 5</w:t>
      </w:r>
      <w:r w:rsidRPr="008B7247">
        <w:rPr>
          <w:rFonts w:ascii="Times New Roman" w:eastAsia="Times New Roman" w:hAnsi="Times New Roman" w:cs="Times New Roman"/>
          <w:szCs w:val="24"/>
        </w:rPr>
        <w:t xml:space="preserve">, 20–34. </w:t>
      </w:r>
    </w:p>
    <w:p w14:paraId="2E733EC4"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Patel, P. (2025). A study on relationship between water quality parameters and fish diversity in freshwater bodies in Chhattisgarh, Central India. </w:t>
      </w:r>
      <w:r w:rsidRPr="008B7247">
        <w:rPr>
          <w:rFonts w:ascii="Times New Roman" w:eastAsia="Times New Roman" w:hAnsi="Times New Roman" w:cs="Times New Roman"/>
          <w:i/>
          <w:iCs/>
          <w:szCs w:val="24"/>
        </w:rPr>
        <w:t>Asian Journal of Research in Biosciences, 7</w:t>
      </w:r>
      <w:r w:rsidRPr="008B7247">
        <w:rPr>
          <w:rFonts w:ascii="Times New Roman" w:eastAsia="Times New Roman" w:hAnsi="Times New Roman" w:cs="Times New Roman"/>
          <w:szCs w:val="24"/>
        </w:rPr>
        <w:t xml:space="preserve">(1), 86–98. </w:t>
      </w:r>
      <w:hyperlink r:id="rId16" w:tgtFrame="_new" w:history="1">
        <w:r w:rsidRPr="008B7247">
          <w:rPr>
            <w:rFonts w:ascii="Times New Roman" w:eastAsia="Times New Roman" w:hAnsi="Times New Roman" w:cs="Times New Roman"/>
            <w:color w:val="0000FF"/>
            <w:szCs w:val="24"/>
            <w:u w:val="single"/>
          </w:rPr>
          <w:t>https://doi.org/10.56557/ajorib/2025/v7i1113</w:t>
        </w:r>
      </w:hyperlink>
      <w:r w:rsidRPr="008B7247">
        <w:rPr>
          <w:rFonts w:ascii="Times New Roman" w:eastAsia="Times New Roman" w:hAnsi="Times New Roman" w:cs="Times New Roman"/>
          <w:szCs w:val="24"/>
        </w:rPr>
        <w:t xml:space="preserve"> </w:t>
      </w:r>
    </w:p>
    <w:p w14:paraId="163BB4C8"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Puvaneswari, S., &amp; Karuppasamy, R. (2007). Acute toxicity of cadmium chloride on Indian catfish, </w:t>
      </w:r>
      <w:r w:rsidRPr="008B7247">
        <w:rPr>
          <w:rFonts w:ascii="Times New Roman" w:eastAsia="Times New Roman" w:hAnsi="Times New Roman" w:cs="Times New Roman"/>
          <w:i/>
          <w:iCs/>
          <w:szCs w:val="24"/>
        </w:rPr>
        <w:t>Heteropneustes fossilis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Aquaculture, 8</w:t>
      </w:r>
      <w:r w:rsidRPr="008B7247">
        <w:rPr>
          <w:rFonts w:ascii="Times New Roman" w:eastAsia="Times New Roman" w:hAnsi="Times New Roman" w:cs="Times New Roman"/>
          <w:szCs w:val="24"/>
        </w:rPr>
        <w:t xml:space="preserve">(2), 155–163. </w:t>
      </w:r>
    </w:p>
    <w:p w14:paraId="0B930C64"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Rahman, M. Z., Hossain, Z., Mollah, M. F. A., &amp; Ahmed, G. U. (2002). Effect of Diazinon 60 EC on </w:t>
      </w:r>
      <w:r w:rsidRPr="008B7247">
        <w:rPr>
          <w:rFonts w:ascii="Times New Roman" w:eastAsia="Times New Roman" w:hAnsi="Times New Roman" w:cs="Times New Roman"/>
          <w:i/>
          <w:iCs/>
          <w:szCs w:val="24"/>
        </w:rPr>
        <w:t>Anabas testudineus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Channa punctatus</w:t>
      </w:r>
      <w:r w:rsidRPr="008B7247">
        <w:rPr>
          <w:rFonts w:ascii="Times New Roman" w:eastAsia="Times New Roman" w:hAnsi="Times New Roman" w:cs="Times New Roman"/>
          <w:szCs w:val="24"/>
        </w:rPr>
        <w:t xml:space="preserve"> and </w:t>
      </w:r>
      <w:r w:rsidRPr="008B7247">
        <w:rPr>
          <w:rFonts w:ascii="Times New Roman" w:eastAsia="Times New Roman" w:hAnsi="Times New Roman" w:cs="Times New Roman"/>
          <w:i/>
          <w:iCs/>
          <w:szCs w:val="24"/>
        </w:rPr>
        <w:t>Barbodes gonionotus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NAGA, The ICLARM Quarterly, 25</w:t>
      </w:r>
      <w:r w:rsidRPr="008B7247">
        <w:rPr>
          <w:rFonts w:ascii="Times New Roman" w:eastAsia="Times New Roman" w:hAnsi="Times New Roman" w:cs="Times New Roman"/>
          <w:szCs w:val="24"/>
        </w:rPr>
        <w:t xml:space="preserve">(2), 8–11.  </w:t>
      </w:r>
    </w:p>
    <w:p w14:paraId="234F007E"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Ramanujan, S. N., &amp; Mohanty, G. (1997). Thiodon-induced sublethal response on haematological parameters of </w:t>
      </w:r>
      <w:r w:rsidRPr="008B7247">
        <w:rPr>
          <w:rFonts w:ascii="Times New Roman" w:eastAsia="Times New Roman" w:hAnsi="Times New Roman" w:cs="Times New Roman"/>
          <w:i/>
          <w:iCs/>
          <w:szCs w:val="24"/>
        </w:rPr>
        <w:t>Heteropneustes fossilis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Journal of Life Sciences, Royal Dublin Society, 2</w:t>
      </w:r>
      <w:r w:rsidRPr="008B7247">
        <w:rPr>
          <w:rFonts w:ascii="Times New Roman" w:eastAsia="Times New Roman" w:hAnsi="Times New Roman" w:cs="Times New Roman"/>
          <w:szCs w:val="24"/>
        </w:rPr>
        <w:t xml:space="preserve">, 8–13. </w:t>
      </w:r>
    </w:p>
    <w:p w14:paraId="28D2A30A"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lastRenderedPageBreak/>
        <w:t xml:space="preserve">Rana, K. S., &amp; Raizada, S. (1999). Acute toxicity of tannery and textile dye effluent on a common teleost </w:t>
      </w:r>
      <w:r w:rsidRPr="008B7247">
        <w:rPr>
          <w:rFonts w:ascii="Times New Roman" w:eastAsia="Times New Roman" w:hAnsi="Times New Roman" w:cs="Times New Roman"/>
          <w:i/>
          <w:iCs/>
          <w:szCs w:val="24"/>
        </w:rPr>
        <w:t>Labeo rohita</w:t>
      </w:r>
      <w:r w:rsidRPr="008B7247">
        <w:rPr>
          <w:rFonts w:ascii="Times New Roman" w:eastAsia="Times New Roman" w:hAnsi="Times New Roman" w:cs="Times New Roman"/>
          <w:szCs w:val="24"/>
        </w:rPr>
        <w:t xml:space="preserve">: Histological alterations in liver. </w:t>
      </w:r>
      <w:r w:rsidRPr="008B7247">
        <w:rPr>
          <w:rFonts w:ascii="Times New Roman" w:eastAsia="Times New Roman" w:hAnsi="Times New Roman" w:cs="Times New Roman"/>
          <w:i/>
          <w:iCs/>
          <w:szCs w:val="24"/>
        </w:rPr>
        <w:t>Journal of Environmental Biology, 20</w:t>
      </w:r>
      <w:r w:rsidRPr="008B7247">
        <w:rPr>
          <w:rFonts w:ascii="Times New Roman" w:eastAsia="Times New Roman" w:hAnsi="Times New Roman" w:cs="Times New Roman"/>
          <w:szCs w:val="24"/>
        </w:rPr>
        <w:t xml:space="preserve">(1), 33–36. </w:t>
      </w:r>
    </w:p>
    <w:p w14:paraId="33C57220"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Reish, D. L., &amp; Oshida, P. S. (1987). </w:t>
      </w:r>
      <w:r w:rsidRPr="008B7247">
        <w:rPr>
          <w:rFonts w:ascii="Times New Roman" w:eastAsia="Times New Roman" w:hAnsi="Times New Roman" w:cs="Times New Roman"/>
          <w:i/>
          <w:iCs/>
          <w:szCs w:val="24"/>
        </w:rPr>
        <w:t>Manual of methods in aquatic environment research. Part 10: Short-term static bioassays</w:t>
      </w:r>
      <w:r w:rsidRPr="008B7247">
        <w:rPr>
          <w:rFonts w:ascii="Times New Roman" w:eastAsia="Times New Roman" w:hAnsi="Times New Roman" w:cs="Times New Roman"/>
          <w:szCs w:val="24"/>
        </w:rPr>
        <w:t xml:space="preserve"> (FAO Fisheries Technical Paper No. 247). Food and Agriculture Organization of the United Nations. </w:t>
      </w:r>
    </w:p>
    <w:p w14:paraId="38B81802"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Sultana, S., Akhter, F., &amp; Hossain, S. (2020). Cytogenotoxic effects of acid dye on </w:t>
      </w:r>
      <w:r w:rsidRPr="008B7247">
        <w:rPr>
          <w:rFonts w:ascii="Times New Roman" w:eastAsia="Times New Roman" w:hAnsi="Times New Roman" w:cs="Times New Roman"/>
          <w:i/>
          <w:iCs/>
          <w:szCs w:val="24"/>
        </w:rPr>
        <w:t>Channa punctatus</w:t>
      </w:r>
      <w:r w:rsidRPr="008B7247">
        <w:rPr>
          <w:rFonts w:ascii="Times New Roman" w:eastAsia="Times New Roman" w:hAnsi="Times New Roman" w:cs="Times New Roman"/>
          <w:szCs w:val="24"/>
        </w:rPr>
        <w:t xml:space="preserve"> (Bloch). </w:t>
      </w:r>
      <w:r w:rsidRPr="008B7247">
        <w:rPr>
          <w:rFonts w:ascii="Times New Roman" w:eastAsia="Times New Roman" w:hAnsi="Times New Roman" w:cs="Times New Roman"/>
          <w:i/>
          <w:iCs/>
          <w:szCs w:val="24"/>
        </w:rPr>
        <w:t>International Journal of Fisheries and Aquatic Studies, 8</w:t>
      </w:r>
      <w:r w:rsidRPr="008B7247">
        <w:rPr>
          <w:rFonts w:ascii="Times New Roman" w:eastAsia="Times New Roman" w:hAnsi="Times New Roman" w:cs="Times New Roman"/>
          <w:szCs w:val="24"/>
        </w:rPr>
        <w:t xml:space="preserve">(5), 220–225. https://www.fisheriesjournal.com/archives/?year=2020&amp;vol=8&amp;issue=5&amp;part=C&amp;ArticleId=2325 </w:t>
      </w:r>
    </w:p>
    <w:p w14:paraId="097DCB2A"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Nair, S. S. (2000). Toxic effect of mercury on the hematological parameters of </w:t>
      </w:r>
      <w:r w:rsidRPr="008B7247">
        <w:rPr>
          <w:rFonts w:ascii="Times New Roman" w:eastAsia="Times New Roman" w:hAnsi="Times New Roman" w:cs="Times New Roman"/>
          <w:i/>
          <w:iCs/>
          <w:szCs w:val="24"/>
        </w:rPr>
        <w:t>Oreochromis mossambicus</w:t>
      </w:r>
      <w:r w:rsidRPr="008B7247">
        <w:rPr>
          <w:rFonts w:ascii="Times New Roman" w:eastAsia="Times New Roman" w:hAnsi="Times New Roman" w:cs="Times New Roman"/>
          <w:szCs w:val="24"/>
        </w:rPr>
        <w:t xml:space="preserve"> (Peters). </w:t>
      </w:r>
      <w:r w:rsidRPr="008B7247">
        <w:rPr>
          <w:rFonts w:ascii="Times New Roman" w:eastAsia="Times New Roman" w:hAnsi="Times New Roman" w:cs="Times New Roman"/>
          <w:i/>
          <w:iCs/>
          <w:szCs w:val="24"/>
        </w:rPr>
        <w:t>Pollution Research, 19</w:t>
      </w:r>
      <w:r w:rsidRPr="008B7247">
        <w:rPr>
          <w:rFonts w:ascii="Times New Roman" w:eastAsia="Times New Roman" w:hAnsi="Times New Roman" w:cs="Times New Roman"/>
          <w:szCs w:val="24"/>
        </w:rPr>
        <w:t xml:space="preserve">(3), 399–402.  </w:t>
      </w:r>
    </w:p>
    <w:p w14:paraId="39E7B3D8"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Saxena, V., Trivedi, S., &amp; Saksena, D. N. (1997). Acute toxicity of two organophosphorus pesticides, Nuvan and Dimecron, to a freshwater murrel, </w:t>
      </w:r>
      <w:r w:rsidRPr="008B7247">
        <w:rPr>
          <w:rFonts w:ascii="Times New Roman" w:eastAsia="Times New Roman" w:hAnsi="Times New Roman" w:cs="Times New Roman"/>
          <w:i/>
          <w:iCs/>
          <w:szCs w:val="24"/>
        </w:rPr>
        <w:t>Channa orientalis</w:t>
      </w:r>
      <w:r w:rsidRPr="008B7247">
        <w:rPr>
          <w:rFonts w:ascii="Times New Roman" w:eastAsia="Times New Roman" w:hAnsi="Times New Roman" w:cs="Times New Roman"/>
          <w:szCs w:val="24"/>
        </w:rPr>
        <w:t xml:space="preserve"> (Schneider). </w:t>
      </w:r>
      <w:r w:rsidRPr="008B7247">
        <w:rPr>
          <w:rFonts w:ascii="Times New Roman" w:eastAsia="Times New Roman" w:hAnsi="Times New Roman" w:cs="Times New Roman"/>
          <w:i/>
          <w:iCs/>
          <w:szCs w:val="24"/>
        </w:rPr>
        <w:t>Journal of Environmental Pollution, 4</w:t>
      </w:r>
      <w:r w:rsidRPr="008B7247">
        <w:rPr>
          <w:rFonts w:ascii="Times New Roman" w:eastAsia="Times New Roman" w:hAnsi="Times New Roman" w:cs="Times New Roman"/>
          <w:szCs w:val="24"/>
        </w:rPr>
        <w:t xml:space="preserve">(2), 79–83. </w:t>
      </w:r>
    </w:p>
    <w:p w14:paraId="08EB380B"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Schuijt, L. M., Peng, F. J., van den Berg, S. J. P., Dingemans, M. M. L., &amp; Van den Brink, P. J. (2021). (Eco)toxicological tests for assessing impacts of chemical stress to aquatic ecosystems: Facts, challenges, and future. </w:t>
      </w:r>
      <w:r w:rsidRPr="008B7247">
        <w:rPr>
          <w:rFonts w:ascii="Times New Roman" w:eastAsia="Times New Roman" w:hAnsi="Times New Roman" w:cs="Times New Roman"/>
          <w:i/>
          <w:iCs/>
          <w:szCs w:val="24"/>
        </w:rPr>
        <w:t>Science of the Total Environment, 795</w:t>
      </w:r>
      <w:r w:rsidRPr="008B7247">
        <w:rPr>
          <w:rFonts w:ascii="Times New Roman" w:eastAsia="Times New Roman" w:hAnsi="Times New Roman" w:cs="Times New Roman"/>
          <w:szCs w:val="24"/>
        </w:rPr>
        <w:t xml:space="preserve">, Article 148776. </w:t>
      </w:r>
      <w:hyperlink r:id="rId17" w:tgtFrame="_new" w:history="1">
        <w:r w:rsidRPr="008B7247">
          <w:rPr>
            <w:rFonts w:ascii="Times New Roman" w:eastAsia="Times New Roman" w:hAnsi="Times New Roman" w:cs="Times New Roman"/>
            <w:color w:val="0000FF"/>
            <w:szCs w:val="24"/>
            <w:u w:val="single"/>
          </w:rPr>
          <w:t>https://doi.org/10.1016/j.scitotenv.2021.148776</w:t>
        </w:r>
      </w:hyperlink>
      <w:r w:rsidRPr="008B7247">
        <w:rPr>
          <w:rFonts w:ascii="Times New Roman" w:eastAsia="Times New Roman" w:hAnsi="Times New Roman" w:cs="Times New Roman"/>
          <w:szCs w:val="24"/>
        </w:rPr>
        <w:t xml:space="preserve"> </w:t>
      </w:r>
    </w:p>
    <w:p w14:paraId="42D1B7EA"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Senthil Kumar, R. D., Narayana Swami, R., &amp; Ramakrishnan, K. (2001). Pollution studies on sugar mill effluent: Physico-chemical characteristics and toxic metals. </w:t>
      </w:r>
      <w:r w:rsidRPr="008B7247">
        <w:rPr>
          <w:rFonts w:ascii="Times New Roman" w:eastAsia="Times New Roman" w:hAnsi="Times New Roman" w:cs="Times New Roman"/>
          <w:i/>
          <w:iCs/>
          <w:szCs w:val="24"/>
        </w:rPr>
        <w:t>Pollution Research, 20</w:t>
      </w:r>
      <w:r w:rsidRPr="008B7247">
        <w:rPr>
          <w:rFonts w:ascii="Times New Roman" w:eastAsia="Times New Roman" w:hAnsi="Times New Roman" w:cs="Times New Roman"/>
          <w:szCs w:val="24"/>
        </w:rPr>
        <w:t xml:space="preserve">(1), 93–97. </w:t>
      </w:r>
    </w:p>
    <w:p w14:paraId="02897583" w14:textId="77777777" w:rsidR="000C5F06"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Singh, A. K., Rana, K. S., &amp; Solanki, S. (2004). Toxicity of heavy metal to Indian major carp, </w:t>
      </w:r>
      <w:r w:rsidRPr="008B7247">
        <w:rPr>
          <w:rFonts w:ascii="Times New Roman" w:eastAsia="Times New Roman" w:hAnsi="Times New Roman" w:cs="Times New Roman"/>
          <w:i/>
          <w:iCs/>
          <w:szCs w:val="24"/>
        </w:rPr>
        <w:t>Labeo rohita</w:t>
      </w:r>
      <w:r w:rsidRPr="008B7247">
        <w:rPr>
          <w:rFonts w:ascii="Times New Roman" w:eastAsia="Times New Roman" w:hAnsi="Times New Roman" w:cs="Times New Roman"/>
          <w:szCs w:val="24"/>
        </w:rPr>
        <w:t xml:space="preserve"> (Ham.). </w:t>
      </w:r>
      <w:r w:rsidRPr="008B7247">
        <w:rPr>
          <w:rFonts w:ascii="Times New Roman" w:eastAsia="Times New Roman" w:hAnsi="Times New Roman" w:cs="Times New Roman"/>
          <w:i/>
          <w:iCs/>
          <w:szCs w:val="24"/>
        </w:rPr>
        <w:t>Uttar Pradesh Journal of Zoology, 24</w:t>
      </w:r>
      <w:r w:rsidRPr="008B7247">
        <w:rPr>
          <w:rFonts w:ascii="Times New Roman" w:eastAsia="Times New Roman" w:hAnsi="Times New Roman" w:cs="Times New Roman"/>
          <w:szCs w:val="24"/>
        </w:rPr>
        <w:t xml:space="preserve">(2), 191–193. </w:t>
      </w:r>
    </w:p>
    <w:p w14:paraId="6E6DCC79"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Sprague, J. B. (1973). The ABC’s of pollutant bioassay using fish. In J. Cairns Jr. &amp; K. L. Dickson (Eds.), </w:t>
      </w:r>
      <w:r w:rsidRPr="008B7247">
        <w:rPr>
          <w:rFonts w:ascii="Times New Roman" w:eastAsia="Times New Roman" w:hAnsi="Times New Roman" w:cs="Times New Roman"/>
          <w:i/>
          <w:iCs/>
          <w:szCs w:val="24"/>
        </w:rPr>
        <w:t>Biological methods for the assessment of water quality</w:t>
      </w:r>
      <w:r w:rsidRPr="008B7247">
        <w:rPr>
          <w:rFonts w:ascii="Times New Roman" w:eastAsia="Times New Roman" w:hAnsi="Times New Roman" w:cs="Times New Roman"/>
          <w:szCs w:val="24"/>
        </w:rPr>
        <w:t xml:space="preserve"> (ASTM STP 528, pp. 6–30). ASTM International. https://doi.org/10.1520/STP34714S </w:t>
      </w:r>
    </w:p>
    <w:p w14:paraId="054A2C68" w14:textId="77777777" w:rsidR="000C5F06" w:rsidRPr="00E644E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Srivastava, S., Prabhakar, P., Singh, &amp; Srivastava, B. C. (2007). Toxicity and behaviour of the fish </w:t>
      </w:r>
      <w:r w:rsidRPr="008B7247">
        <w:rPr>
          <w:rFonts w:ascii="Times New Roman" w:eastAsia="Times New Roman" w:hAnsi="Times New Roman" w:cs="Times New Roman"/>
          <w:i/>
          <w:iCs/>
          <w:szCs w:val="24"/>
        </w:rPr>
        <w:t>Labeo rohita</w:t>
      </w:r>
      <w:r w:rsidRPr="008B7247">
        <w:rPr>
          <w:rFonts w:ascii="Times New Roman" w:eastAsia="Times New Roman" w:hAnsi="Times New Roman" w:cs="Times New Roman"/>
          <w:szCs w:val="24"/>
        </w:rPr>
        <w:t xml:space="preserve"> and </w:t>
      </w:r>
      <w:r w:rsidRPr="008B7247">
        <w:rPr>
          <w:rFonts w:ascii="Times New Roman" w:eastAsia="Times New Roman" w:hAnsi="Times New Roman" w:cs="Times New Roman"/>
          <w:i/>
          <w:iCs/>
          <w:szCs w:val="24"/>
        </w:rPr>
        <w:t>Channa punctatus</w:t>
      </w:r>
      <w:r w:rsidRPr="008B7247">
        <w:rPr>
          <w:rFonts w:ascii="Times New Roman" w:eastAsia="Times New Roman" w:hAnsi="Times New Roman" w:cs="Times New Roman"/>
          <w:szCs w:val="24"/>
        </w:rPr>
        <w:t xml:space="preserve"> exposed to pulp paper mill effluent. </w:t>
      </w:r>
      <w:r w:rsidRPr="008B7247">
        <w:rPr>
          <w:rFonts w:ascii="Times New Roman" w:eastAsia="Times New Roman" w:hAnsi="Times New Roman" w:cs="Times New Roman"/>
          <w:i/>
          <w:iCs/>
          <w:szCs w:val="24"/>
        </w:rPr>
        <w:t>Journal of Ecotoxicology and Environmental Monitoring, 17</w:t>
      </w:r>
      <w:r w:rsidRPr="008B7247">
        <w:rPr>
          <w:rFonts w:ascii="Times New Roman" w:eastAsia="Times New Roman" w:hAnsi="Times New Roman" w:cs="Times New Roman"/>
          <w:szCs w:val="24"/>
        </w:rPr>
        <w:t xml:space="preserve">(3), 241–244. </w:t>
      </w:r>
    </w:p>
    <w:p w14:paraId="0996524C"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Sultana, M., &amp; Sharief, D. (2004). Effect of heavy metals on the histopathology of gills and brain of </w:t>
      </w:r>
      <w:r w:rsidRPr="008B7247">
        <w:rPr>
          <w:rFonts w:ascii="Times New Roman" w:eastAsia="Times New Roman" w:hAnsi="Times New Roman" w:cs="Times New Roman"/>
          <w:i/>
          <w:iCs/>
          <w:szCs w:val="24"/>
        </w:rPr>
        <w:t>Tilapia mossambica</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Aquatic Biology, 19</w:t>
      </w:r>
      <w:r w:rsidRPr="008B7247">
        <w:rPr>
          <w:rFonts w:ascii="Times New Roman" w:eastAsia="Times New Roman" w:hAnsi="Times New Roman" w:cs="Times New Roman"/>
          <w:szCs w:val="24"/>
        </w:rPr>
        <w:t xml:space="preserve">(1), 165–168. </w:t>
      </w:r>
    </w:p>
    <w:p w14:paraId="66DFF025"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Symons, P. E. K. (1973). Behavior of young Atlantic salmon (</w:t>
      </w:r>
      <w:r w:rsidRPr="008B7247">
        <w:rPr>
          <w:rFonts w:ascii="Times New Roman" w:eastAsia="Times New Roman" w:hAnsi="Times New Roman" w:cs="Times New Roman"/>
          <w:i/>
          <w:iCs/>
          <w:szCs w:val="24"/>
        </w:rPr>
        <w:t>Salmo salar</w:t>
      </w:r>
      <w:r w:rsidRPr="008B7247">
        <w:rPr>
          <w:rFonts w:ascii="Times New Roman" w:eastAsia="Times New Roman" w:hAnsi="Times New Roman" w:cs="Times New Roman"/>
          <w:szCs w:val="24"/>
        </w:rPr>
        <w:t xml:space="preserve">) exposed to or force-fed fenitrothion, an organophosphate insecticide. </w:t>
      </w:r>
      <w:r w:rsidRPr="008B7247">
        <w:rPr>
          <w:rFonts w:ascii="Times New Roman" w:eastAsia="Times New Roman" w:hAnsi="Times New Roman" w:cs="Times New Roman"/>
          <w:i/>
          <w:iCs/>
          <w:szCs w:val="24"/>
        </w:rPr>
        <w:t>Journal of the Fisheries Research Board of Canada, 30</w:t>
      </w:r>
      <w:r w:rsidRPr="008B7247">
        <w:rPr>
          <w:rFonts w:ascii="Times New Roman" w:eastAsia="Times New Roman" w:hAnsi="Times New Roman" w:cs="Times New Roman"/>
          <w:szCs w:val="24"/>
        </w:rPr>
        <w:t xml:space="preserve">(5), 651–655. </w:t>
      </w:r>
    </w:p>
    <w:p w14:paraId="380CA0AC"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U.S. Environmental Protection Agency. (2013). </w:t>
      </w:r>
      <w:r w:rsidRPr="008B7247">
        <w:rPr>
          <w:rFonts w:ascii="Times New Roman" w:eastAsia="Times New Roman" w:hAnsi="Times New Roman" w:cs="Times New Roman"/>
          <w:i/>
          <w:iCs/>
          <w:szCs w:val="24"/>
        </w:rPr>
        <w:t>Aquatic life ambient water quality criteria for ammonia—Freshwater 2013</w:t>
      </w:r>
      <w:r w:rsidRPr="008B7247">
        <w:rPr>
          <w:rFonts w:ascii="Times New Roman" w:eastAsia="Times New Roman" w:hAnsi="Times New Roman" w:cs="Times New Roman"/>
          <w:szCs w:val="24"/>
        </w:rPr>
        <w:t xml:space="preserve"> (EPA-822-R-13-001). U.S. Environmental Protection Agency. </w:t>
      </w:r>
      <w:hyperlink r:id="rId18" w:tgtFrame="_new" w:history="1">
        <w:r w:rsidRPr="008B7247">
          <w:rPr>
            <w:rFonts w:ascii="Times New Roman" w:eastAsia="Times New Roman" w:hAnsi="Times New Roman" w:cs="Times New Roman"/>
            <w:color w:val="0000FF"/>
            <w:szCs w:val="24"/>
            <w:u w:val="single"/>
          </w:rPr>
          <w:t>https://www.epa.gov/wqc/aquatic-life-criteria-ammonia</w:t>
        </w:r>
      </w:hyperlink>
      <w:r w:rsidRPr="008B7247">
        <w:rPr>
          <w:rFonts w:ascii="Times New Roman" w:eastAsia="Times New Roman" w:hAnsi="Times New Roman" w:cs="Times New Roman"/>
          <w:szCs w:val="24"/>
        </w:rPr>
        <w:t xml:space="preserve"> </w:t>
      </w:r>
    </w:p>
    <w:p w14:paraId="577CA92B" w14:textId="77777777" w:rsidR="000C5F06" w:rsidRPr="00E644E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Verma, S. R., Bansal, S. K., &amp; Dalela, R. C. (1977). Bioassay trial with organic biocides on freshwater fish, </w:t>
      </w:r>
      <w:r w:rsidRPr="008B7247">
        <w:rPr>
          <w:rFonts w:ascii="Times New Roman" w:eastAsia="Times New Roman" w:hAnsi="Times New Roman" w:cs="Times New Roman"/>
          <w:i/>
          <w:iCs/>
          <w:szCs w:val="24"/>
        </w:rPr>
        <w:t>Labeo rohita</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Indian Journal of Environmental Health, 19</w:t>
      </w:r>
      <w:r w:rsidRPr="008B7247">
        <w:rPr>
          <w:rFonts w:ascii="Times New Roman" w:eastAsia="Times New Roman" w:hAnsi="Times New Roman" w:cs="Times New Roman"/>
          <w:szCs w:val="24"/>
        </w:rPr>
        <w:t xml:space="preserve">, 107–115. </w:t>
      </w:r>
    </w:p>
    <w:p w14:paraId="6472C9C9"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p>
    <w:p w14:paraId="22B404D4"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Verma, S. R., Bansal, S. K., Gupta, A. K., Pal, N., Tyagi, A. K., Bhatnagar, M. C., Kumar, K., &amp; Dalela, R. C. (1979). Acute toxicity of twenty-three pesticides to a freshwater teleost, </w:t>
      </w:r>
      <w:r w:rsidRPr="008B7247">
        <w:rPr>
          <w:rFonts w:ascii="Times New Roman" w:eastAsia="Times New Roman" w:hAnsi="Times New Roman" w:cs="Times New Roman"/>
          <w:i/>
          <w:iCs/>
          <w:szCs w:val="24"/>
        </w:rPr>
        <w:t>Saccobranchus fossilis</w:t>
      </w:r>
      <w:r w:rsidRPr="008B7247">
        <w:rPr>
          <w:rFonts w:ascii="Times New Roman" w:eastAsia="Times New Roman" w:hAnsi="Times New Roman" w:cs="Times New Roman"/>
          <w:szCs w:val="24"/>
        </w:rPr>
        <w:t xml:space="preserve">. In </w:t>
      </w:r>
      <w:r w:rsidRPr="008B7247">
        <w:rPr>
          <w:rFonts w:ascii="Times New Roman" w:eastAsia="Times New Roman" w:hAnsi="Times New Roman" w:cs="Times New Roman"/>
          <w:i/>
          <w:iCs/>
          <w:szCs w:val="24"/>
        </w:rPr>
        <w:t>Proceedings of the Symposium on Environmental Biology</w:t>
      </w:r>
      <w:r w:rsidRPr="008B7247">
        <w:rPr>
          <w:rFonts w:ascii="Times New Roman" w:eastAsia="Times New Roman" w:hAnsi="Times New Roman" w:cs="Times New Roman"/>
          <w:szCs w:val="24"/>
        </w:rPr>
        <w:t xml:space="preserve"> (pp. 481–497). </w:t>
      </w:r>
    </w:p>
    <w:p w14:paraId="6F2A0690"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Verma, S. R., Rani, S., Bansal, S. K., &amp; Dalela, R. C. (1981). Evaluation of the comparative toxicity of thiotox, dichlorvos and carbofuran to two freshwater teleosts, </w:t>
      </w:r>
      <w:r w:rsidRPr="008B7247">
        <w:rPr>
          <w:rFonts w:ascii="Times New Roman" w:eastAsia="Times New Roman" w:hAnsi="Times New Roman" w:cs="Times New Roman"/>
          <w:i/>
          <w:iCs/>
          <w:szCs w:val="24"/>
        </w:rPr>
        <w:t>Ophiocephalus punctatus</w:t>
      </w:r>
      <w:r w:rsidRPr="008B7247">
        <w:rPr>
          <w:rFonts w:ascii="Times New Roman" w:eastAsia="Times New Roman" w:hAnsi="Times New Roman" w:cs="Times New Roman"/>
          <w:szCs w:val="24"/>
        </w:rPr>
        <w:t xml:space="preserve"> and </w:t>
      </w:r>
      <w:r w:rsidRPr="008B7247">
        <w:rPr>
          <w:rFonts w:ascii="Times New Roman" w:eastAsia="Times New Roman" w:hAnsi="Times New Roman" w:cs="Times New Roman"/>
          <w:i/>
          <w:iCs/>
          <w:szCs w:val="24"/>
        </w:rPr>
        <w:t>Mystus vittatus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Acta Hydrochimica et Hydrobiologica, 9</w:t>
      </w:r>
      <w:r w:rsidRPr="008B7247">
        <w:rPr>
          <w:rFonts w:ascii="Times New Roman" w:eastAsia="Times New Roman" w:hAnsi="Times New Roman" w:cs="Times New Roman"/>
          <w:szCs w:val="24"/>
        </w:rPr>
        <w:t xml:space="preserve">(2), 119–129. </w:t>
      </w:r>
    </w:p>
    <w:p w14:paraId="3A4AC271"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lastRenderedPageBreak/>
        <w:t>Velisek, J., Wlasow, T., Gomulka, P., Svobodova, Z., Dobsikova, R., Novotny, L., &amp; Dudzik, M. (2006). Effects of cypermethrin on rainbow trout (</w:t>
      </w:r>
      <w:r w:rsidRPr="008B7247">
        <w:rPr>
          <w:rFonts w:ascii="Times New Roman" w:eastAsia="Times New Roman" w:hAnsi="Times New Roman" w:cs="Times New Roman"/>
          <w:i/>
          <w:iCs/>
          <w:szCs w:val="24"/>
        </w:rPr>
        <w:t>Oncorhynchus mykiss</w:t>
      </w:r>
      <w:r w:rsidRPr="008B7247">
        <w:rPr>
          <w:rFonts w:ascii="Times New Roman" w:eastAsia="Times New Roman" w:hAnsi="Times New Roman" w:cs="Times New Roman"/>
          <w:szCs w:val="24"/>
        </w:rPr>
        <w:t xml:space="preserve">). </w:t>
      </w:r>
      <w:r w:rsidRPr="008B7247">
        <w:rPr>
          <w:rFonts w:ascii="Times New Roman" w:eastAsia="Times New Roman" w:hAnsi="Times New Roman" w:cs="Times New Roman"/>
          <w:i/>
          <w:iCs/>
          <w:szCs w:val="24"/>
        </w:rPr>
        <w:t>Veterinární Medicína, 51</w:t>
      </w:r>
      <w:r w:rsidRPr="008B7247">
        <w:rPr>
          <w:rFonts w:ascii="Times New Roman" w:eastAsia="Times New Roman" w:hAnsi="Times New Roman" w:cs="Times New Roman"/>
          <w:szCs w:val="24"/>
        </w:rPr>
        <w:t xml:space="preserve">(10), 469–476. </w:t>
      </w:r>
      <w:hyperlink r:id="rId19" w:tgtFrame="_new" w:history="1">
        <w:r w:rsidRPr="008B7247">
          <w:rPr>
            <w:rFonts w:ascii="Times New Roman" w:eastAsia="Times New Roman" w:hAnsi="Times New Roman" w:cs="Times New Roman"/>
            <w:color w:val="0000FF"/>
            <w:szCs w:val="24"/>
            <w:u w:val="single"/>
          </w:rPr>
          <w:t>https://doi.org/10.17221/5580-VETMED</w:t>
        </w:r>
      </w:hyperlink>
      <w:r w:rsidRPr="008B7247">
        <w:rPr>
          <w:rFonts w:ascii="Times New Roman" w:eastAsia="Times New Roman" w:hAnsi="Times New Roman" w:cs="Times New Roman"/>
          <w:szCs w:val="24"/>
        </w:rPr>
        <w:t xml:space="preserve"> </w:t>
      </w:r>
    </w:p>
    <w:p w14:paraId="611233E7"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Wagh, S. B., &amp; Shareef, K. (1985). Toxicity of Suquin to two freshwater cyprinid fishes, </w:t>
      </w:r>
      <w:r w:rsidRPr="008B7247">
        <w:rPr>
          <w:rFonts w:ascii="Times New Roman" w:eastAsia="Times New Roman" w:hAnsi="Times New Roman" w:cs="Times New Roman"/>
          <w:i/>
          <w:iCs/>
          <w:szCs w:val="24"/>
        </w:rPr>
        <w:t>Rasbora daniconius</w:t>
      </w:r>
      <w:r w:rsidRPr="008B7247">
        <w:rPr>
          <w:rFonts w:ascii="Times New Roman" w:eastAsia="Times New Roman" w:hAnsi="Times New Roman" w:cs="Times New Roman"/>
          <w:szCs w:val="24"/>
        </w:rPr>
        <w:t xml:space="preserve"> and </w:t>
      </w:r>
      <w:r w:rsidRPr="008B7247">
        <w:rPr>
          <w:rFonts w:ascii="Times New Roman" w:eastAsia="Times New Roman" w:hAnsi="Times New Roman" w:cs="Times New Roman"/>
          <w:i/>
          <w:iCs/>
          <w:szCs w:val="24"/>
        </w:rPr>
        <w:t>Barbus ticto</w:t>
      </w:r>
      <w:r w:rsidRPr="008B7247">
        <w:rPr>
          <w:rFonts w:ascii="Times New Roman" w:eastAsia="Times New Roman" w:hAnsi="Times New Roman" w:cs="Times New Roman"/>
          <w:szCs w:val="24"/>
        </w:rPr>
        <w:t xml:space="preserve"> (Ham.). In </w:t>
      </w:r>
      <w:r w:rsidRPr="008B7247">
        <w:rPr>
          <w:rFonts w:ascii="Times New Roman" w:eastAsia="Times New Roman" w:hAnsi="Times New Roman" w:cs="Times New Roman"/>
          <w:i/>
          <w:iCs/>
          <w:szCs w:val="24"/>
        </w:rPr>
        <w:t>Proceedings of the Symposium on Assessment of Environmental Pollution</w:t>
      </w:r>
      <w:r w:rsidRPr="008B7247">
        <w:rPr>
          <w:rFonts w:ascii="Times New Roman" w:eastAsia="Times New Roman" w:hAnsi="Times New Roman" w:cs="Times New Roman"/>
          <w:szCs w:val="24"/>
        </w:rPr>
        <w:t xml:space="preserve"> (pp. 257–260). </w:t>
      </w:r>
    </w:p>
    <w:p w14:paraId="125E105E" w14:textId="77777777" w:rsidR="000C5F06" w:rsidRPr="008B7247" w:rsidRDefault="000C5F06" w:rsidP="000C5F06">
      <w:pPr>
        <w:pStyle w:val="ListParagraph"/>
        <w:numPr>
          <w:ilvl w:val="0"/>
          <w:numId w:val="14"/>
        </w:numPr>
        <w:spacing w:after="0" w:line="240" w:lineRule="auto"/>
        <w:rPr>
          <w:rFonts w:ascii="Times New Roman" w:eastAsia="Times New Roman" w:hAnsi="Times New Roman" w:cs="Times New Roman"/>
          <w:szCs w:val="24"/>
        </w:rPr>
      </w:pPr>
      <w:r w:rsidRPr="008B7247">
        <w:rPr>
          <w:rFonts w:ascii="Times New Roman" w:eastAsia="Times New Roman" w:hAnsi="Times New Roman" w:cs="Times New Roman"/>
          <w:szCs w:val="24"/>
        </w:rPr>
        <w:t xml:space="preserve">Walden, C. C. (1976). The toxicity of pulp and paper mill effluents and corresponding measurement procedures. </w:t>
      </w:r>
      <w:r w:rsidRPr="008B7247">
        <w:rPr>
          <w:rFonts w:ascii="Times New Roman" w:eastAsia="Times New Roman" w:hAnsi="Times New Roman" w:cs="Times New Roman"/>
          <w:i/>
          <w:iCs/>
          <w:szCs w:val="24"/>
        </w:rPr>
        <w:t>Water Research, 10</w:t>
      </w:r>
      <w:r w:rsidRPr="008B7247">
        <w:rPr>
          <w:rFonts w:ascii="Times New Roman" w:eastAsia="Times New Roman" w:hAnsi="Times New Roman" w:cs="Times New Roman"/>
          <w:szCs w:val="24"/>
        </w:rPr>
        <w:t xml:space="preserve">(8), 639–664. </w:t>
      </w:r>
      <w:hyperlink r:id="rId20" w:tgtFrame="_new" w:history="1">
        <w:r w:rsidRPr="008B7247">
          <w:rPr>
            <w:rFonts w:ascii="Times New Roman" w:eastAsia="Times New Roman" w:hAnsi="Times New Roman" w:cs="Times New Roman"/>
            <w:color w:val="0000FF"/>
            <w:szCs w:val="24"/>
            <w:u w:val="single"/>
          </w:rPr>
          <w:t>https://www.sciencedirect.com/journal/water-research/vol/10/issue/8</w:t>
        </w:r>
      </w:hyperlink>
      <w:r w:rsidRPr="008B7247">
        <w:rPr>
          <w:rFonts w:ascii="Times New Roman" w:eastAsia="Times New Roman" w:hAnsi="Times New Roman" w:cs="Times New Roman"/>
          <w:szCs w:val="24"/>
        </w:rPr>
        <w:t xml:space="preserve"> </w:t>
      </w:r>
    </w:p>
    <w:p w14:paraId="3DA6ABC2" w14:textId="77777777" w:rsidR="000C5F06" w:rsidRPr="008B7247" w:rsidRDefault="000C5F06" w:rsidP="000C5F06">
      <w:pPr>
        <w:pStyle w:val="ListParagraph"/>
        <w:numPr>
          <w:ilvl w:val="0"/>
          <w:numId w:val="14"/>
        </w:numPr>
        <w:spacing w:line="259" w:lineRule="auto"/>
        <w:rPr>
          <w:b/>
        </w:rPr>
      </w:pPr>
      <w:r w:rsidRPr="008B7247">
        <w:rPr>
          <w:rFonts w:ascii="Times New Roman" w:eastAsia="Times New Roman" w:hAnsi="Times New Roman" w:cs="Times New Roman"/>
          <w:szCs w:val="24"/>
        </w:rPr>
        <w:t xml:space="preserve">Yadav, S., &amp; Chandra, R. (2019). Environmental health hazards of post-methanated distillery effluent and its biodegradation and decolorization. In R. C. Sobti, N. K. Arora, &amp; R. Kothari (Eds.), </w:t>
      </w:r>
      <w:r w:rsidRPr="008B7247">
        <w:rPr>
          <w:rFonts w:ascii="Times New Roman" w:eastAsia="Times New Roman" w:hAnsi="Times New Roman" w:cs="Times New Roman"/>
          <w:i/>
          <w:iCs/>
          <w:szCs w:val="24"/>
        </w:rPr>
        <w:t>Environmental biotechnology: For sustainable future</w:t>
      </w:r>
      <w:r w:rsidRPr="008B7247">
        <w:rPr>
          <w:rFonts w:ascii="Times New Roman" w:eastAsia="Times New Roman" w:hAnsi="Times New Roman" w:cs="Times New Roman"/>
          <w:szCs w:val="24"/>
        </w:rPr>
        <w:t xml:space="preserve"> (pp. 73–101). Springer. https://doi.org/10.1007/978-981-10-7284-0_4 </w:t>
      </w:r>
    </w:p>
    <w:bookmarkEnd w:id="0"/>
    <w:p w14:paraId="5E43AAC4" w14:textId="6B4C8003" w:rsidR="00B968C3" w:rsidRDefault="00B968C3">
      <w:pPr>
        <w:ind w:left="360" w:hanging="360"/>
      </w:pPr>
    </w:p>
    <w:sectPr w:rsidR="00B968C3" w:rsidSect="00E4662A">
      <w:headerReference w:type="even" r:id="rId21"/>
      <w:headerReference w:type="default" r:id="rId22"/>
      <w:footerReference w:type="even" r:id="rId23"/>
      <w:footerReference w:type="default" r:id="rId24"/>
      <w:headerReference w:type="first" r:id="rId25"/>
      <w:footerReference w:type="first" r:id="rId26"/>
      <w:pgSz w:w="11906" w:h="16838"/>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40669" w14:textId="77777777" w:rsidR="00D437AA" w:rsidRDefault="00D437AA" w:rsidP="001E7BB6">
      <w:pPr>
        <w:spacing w:after="0" w:line="240" w:lineRule="auto"/>
      </w:pPr>
      <w:r>
        <w:separator/>
      </w:r>
    </w:p>
  </w:endnote>
  <w:endnote w:type="continuationSeparator" w:id="0">
    <w:p w14:paraId="21D41E75" w14:textId="77777777" w:rsidR="00D437AA" w:rsidRDefault="00D437AA" w:rsidP="001E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11027" w14:textId="77777777" w:rsidR="001E7BB6" w:rsidRDefault="001E7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A8D38" w14:textId="77777777" w:rsidR="001E7BB6" w:rsidRDefault="001E7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051F" w14:textId="77777777" w:rsidR="001E7BB6" w:rsidRDefault="001E7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B08D1" w14:textId="77777777" w:rsidR="00D437AA" w:rsidRDefault="00D437AA" w:rsidP="001E7BB6">
      <w:pPr>
        <w:spacing w:after="0" w:line="240" w:lineRule="auto"/>
      </w:pPr>
      <w:r>
        <w:separator/>
      </w:r>
    </w:p>
  </w:footnote>
  <w:footnote w:type="continuationSeparator" w:id="0">
    <w:p w14:paraId="11F67A39" w14:textId="77777777" w:rsidR="00D437AA" w:rsidRDefault="00D437AA" w:rsidP="001E7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EE302" w14:textId="77777777" w:rsidR="001E7BB6" w:rsidRDefault="00D437AA">
    <w:pPr>
      <w:pStyle w:val="Header"/>
    </w:pPr>
    <w:r>
      <w:rPr>
        <w:noProof/>
      </w:rPr>
      <w:pict w14:anchorId="68E48E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2"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02FC9" w14:textId="77777777" w:rsidR="001E7BB6" w:rsidRDefault="00D437AA">
    <w:pPr>
      <w:pStyle w:val="Header"/>
    </w:pPr>
    <w:r>
      <w:rPr>
        <w:noProof/>
      </w:rPr>
      <w:pict w14:anchorId="234E78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3"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4C4DE" w14:textId="77777777" w:rsidR="001E7BB6" w:rsidRDefault="00D437AA">
    <w:pPr>
      <w:pStyle w:val="Header"/>
    </w:pPr>
    <w:r>
      <w:rPr>
        <w:noProof/>
      </w:rPr>
      <w:pict w14:anchorId="145F3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1"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17A"/>
    <w:multiLevelType w:val="multilevel"/>
    <w:tmpl w:val="B236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2268B"/>
    <w:multiLevelType w:val="multilevel"/>
    <w:tmpl w:val="B89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B37AE"/>
    <w:multiLevelType w:val="multilevel"/>
    <w:tmpl w:val="ACC6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F37CE"/>
    <w:multiLevelType w:val="hybridMultilevel"/>
    <w:tmpl w:val="57C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BC3933"/>
    <w:multiLevelType w:val="multilevel"/>
    <w:tmpl w:val="187C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61179"/>
    <w:multiLevelType w:val="multilevel"/>
    <w:tmpl w:val="F8F2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9A0CAA"/>
    <w:multiLevelType w:val="multilevel"/>
    <w:tmpl w:val="09BA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D5C5A"/>
    <w:multiLevelType w:val="multilevel"/>
    <w:tmpl w:val="4486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0323CB"/>
    <w:multiLevelType w:val="multilevel"/>
    <w:tmpl w:val="928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BC0108"/>
    <w:multiLevelType w:val="hybridMultilevel"/>
    <w:tmpl w:val="736E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B27A8D"/>
    <w:multiLevelType w:val="multilevel"/>
    <w:tmpl w:val="6E44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A2CB5"/>
    <w:multiLevelType w:val="multilevel"/>
    <w:tmpl w:val="C42A08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635968"/>
    <w:multiLevelType w:val="multilevel"/>
    <w:tmpl w:val="7586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B966A2"/>
    <w:multiLevelType w:val="multilevel"/>
    <w:tmpl w:val="68A0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2"/>
  </w:num>
  <w:num w:numId="4">
    <w:abstractNumId w:val="6"/>
  </w:num>
  <w:num w:numId="5">
    <w:abstractNumId w:val="11"/>
  </w:num>
  <w:num w:numId="6">
    <w:abstractNumId w:val="5"/>
  </w:num>
  <w:num w:numId="7">
    <w:abstractNumId w:val="13"/>
  </w:num>
  <w:num w:numId="8">
    <w:abstractNumId w:val="10"/>
  </w:num>
  <w:num w:numId="9">
    <w:abstractNumId w:val="12"/>
  </w:num>
  <w:num w:numId="10">
    <w:abstractNumId w:val="0"/>
  </w:num>
  <w:num w:numId="11">
    <w:abstractNumId w:val="1"/>
  </w:num>
  <w:num w:numId="12">
    <w:abstractNumId w:val="4"/>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20CD"/>
    <w:rsid w:val="00007E6A"/>
    <w:rsid w:val="00026412"/>
    <w:rsid w:val="00033C33"/>
    <w:rsid w:val="0003481F"/>
    <w:rsid w:val="00043A24"/>
    <w:rsid w:val="00047B2E"/>
    <w:rsid w:val="0006686E"/>
    <w:rsid w:val="00071264"/>
    <w:rsid w:val="0008379D"/>
    <w:rsid w:val="000A019C"/>
    <w:rsid w:val="000A2EB1"/>
    <w:rsid w:val="000A3749"/>
    <w:rsid w:val="000B29BA"/>
    <w:rsid w:val="000B5005"/>
    <w:rsid w:val="000C088C"/>
    <w:rsid w:val="000C5F06"/>
    <w:rsid w:val="000D3ABF"/>
    <w:rsid w:val="000F2B8E"/>
    <w:rsid w:val="00121319"/>
    <w:rsid w:val="001243A2"/>
    <w:rsid w:val="0013326C"/>
    <w:rsid w:val="0013380E"/>
    <w:rsid w:val="00137CDB"/>
    <w:rsid w:val="001428EE"/>
    <w:rsid w:val="0015424B"/>
    <w:rsid w:val="00156700"/>
    <w:rsid w:val="00156BFC"/>
    <w:rsid w:val="00161260"/>
    <w:rsid w:val="001815CA"/>
    <w:rsid w:val="001817EF"/>
    <w:rsid w:val="00183522"/>
    <w:rsid w:val="00185448"/>
    <w:rsid w:val="0018558D"/>
    <w:rsid w:val="001A23AB"/>
    <w:rsid w:val="001C5923"/>
    <w:rsid w:val="001C6D99"/>
    <w:rsid w:val="001D2B91"/>
    <w:rsid w:val="001D475D"/>
    <w:rsid w:val="001D4983"/>
    <w:rsid w:val="001E6905"/>
    <w:rsid w:val="001E7BB6"/>
    <w:rsid w:val="00202CE5"/>
    <w:rsid w:val="002104CB"/>
    <w:rsid w:val="00216749"/>
    <w:rsid w:val="00216B99"/>
    <w:rsid w:val="0022101F"/>
    <w:rsid w:val="002220CD"/>
    <w:rsid w:val="00234271"/>
    <w:rsid w:val="00234F15"/>
    <w:rsid w:val="0024318E"/>
    <w:rsid w:val="002738FB"/>
    <w:rsid w:val="0028716D"/>
    <w:rsid w:val="002930B2"/>
    <w:rsid w:val="00297969"/>
    <w:rsid w:val="002A3BD4"/>
    <w:rsid w:val="002D1DB8"/>
    <w:rsid w:val="002D356F"/>
    <w:rsid w:val="002D6807"/>
    <w:rsid w:val="002D7F89"/>
    <w:rsid w:val="002F4145"/>
    <w:rsid w:val="00305790"/>
    <w:rsid w:val="00322799"/>
    <w:rsid w:val="00340788"/>
    <w:rsid w:val="00347A56"/>
    <w:rsid w:val="00364DD1"/>
    <w:rsid w:val="00375724"/>
    <w:rsid w:val="003949BB"/>
    <w:rsid w:val="00396563"/>
    <w:rsid w:val="0039685A"/>
    <w:rsid w:val="003B5197"/>
    <w:rsid w:val="003C3D4D"/>
    <w:rsid w:val="003D57C3"/>
    <w:rsid w:val="003F027A"/>
    <w:rsid w:val="003F67CD"/>
    <w:rsid w:val="00405AE7"/>
    <w:rsid w:val="00412F32"/>
    <w:rsid w:val="004375D2"/>
    <w:rsid w:val="00443161"/>
    <w:rsid w:val="00456E39"/>
    <w:rsid w:val="00460EAD"/>
    <w:rsid w:val="00461A6A"/>
    <w:rsid w:val="00481626"/>
    <w:rsid w:val="00481F57"/>
    <w:rsid w:val="00485B5E"/>
    <w:rsid w:val="004A220A"/>
    <w:rsid w:val="004C273B"/>
    <w:rsid w:val="004D098A"/>
    <w:rsid w:val="004D699C"/>
    <w:rsid w:val="004E0045"/>
    <w:rsid w:val="004E266E"/>
    <w:rsid w:val="004E2F30"/>
    <w:rsid w:val="004F3D5A"/>
    <w:rsid w:val="004F4B69"/>
    <w:rsid w:val="005004C2"/>
    <w:rsid w:val="00501B50"/>
    <w:rsid w:val="005043F7"/>
    <w:rsid w:val="00513DE8"/>
    <w:rsid w:val="0051401C"/>
    <w:rsid w:val="00526461"/>
    <w:rsid w:val="0052730A"/>
    <w:rsid w:val="00533625"/>
    <w:rsid w:val="00543BD8"/>
    <w:rsid w:val="0055155D"/>
    <w:rsid w:val="00552BA0"/>
    <w:rsid w:val="00560B01"/>
    <w:rsid w:val="00564671"/>
    <w:rsid w:val="005721E1"/>
    <w:rsid w:val="00576BBA"/>
    <w:rsid w:val="00581501"/>
    <w:rsid w:val="00585029"/>
    <w:rsid w:val="005975A5"/>
    <w:rsid w:val="005A5151"/>
    <w:rsid w:val="005A64FD"/>
    <w:rsid w:val="005A7782"/>
    <w:rsid w:val="005B1E6B"/>
    <w:rsid w:val="005B4E07"/>
    <w:rsid w:val="005D3995"/>
    <w:rsid w:val="005D5B3B"/>
    <w:rsid w:val="005E6C01"/>
    <w:rsid w:val="005F6414"/>
    <w:rsid w:val="00604298"/>
    <w:rsid w:val="00611147"/>
    <w:rsid w:val="0061454C"/>
    <w:rsid w:val="006252FF"/>
    <w:rsid w:val="0062648F"/>
    <w:rsid w:val="00626689"/>
    <w:rsid w:val="00627935"/>
    <w:rsid w:val="00630B73"/>
    <w:rsid w:val="00637D10"/>
    <w:rsid w:val="006424BE"/>
    <w:rsid w:val="00654084"/>
    <w:rsid w:val="00654DDE"/>
    <w:rsid w:val="00656CC7"/>
    <w:rsid w:val="0065745A"/>
    <w:rsid w:val="00663410"/>
    <w:rsid w:val="0066346F"/>
    <w:rsid w:val="00666A7C"/>
    <w:rsid w:val="00676F21"/>
    <w:rsid w:val="00682861"/>
    <w:rsid w:val="00686F41"/>
    <w:rsid w:val="00692E76"/>
    <w:rsid w:val="0069318E"/>
    <w:rsid w:val="00697328"/>
    <w:rsid w:val="00697C31"/>
    <w:rsid w:val="00697D38"/>
    <w:rsid w:val="006A226F"/>
    <w:rsid w:val="006A6AE3"/>
    <w:rsid w:val="006B6027"/>
    <w:rsid w:val="006B65E7"/>
    <w:rsid w:val="006C4E4F"/>
    <w:rsid w:val="006E04B2"/>
    <w:rsid w:val="00700169"/>
    <w:rsid w:val="00706EB0"/>
    <w:rsid w:val="00710BF8"/>
    <w:rsid w:val="0071369F"/>
    <w:rsid w:val="00717012"/>
    <w:rsid w:val="007241E0"/>
    <w:rsid w:val="00731F2E"/>
    <w:rsid w:val="007479AE"/>
    <w:rsid w:val="00761CE7"/>
    <w:rsid w:val="007816A3"/>
    <w:rsid w:val="007A070D"/>
    <w:rsid w:val="007A2DD1"/>
    <w:rsid w:val="007A3EE7"/>
    <w:rsid w:val="007A51F4"/>
    <w:rsid w:val="007B5DC1"/>
    <w:rsid w:val="007B660D"/>
    <w:rsid w:val="007C4FD7"/>
    <w:rsid w:val="007D5768"/>
    <w:rsid w:val="007E74EB"/>
    <w:rsid w:val="007E7680"/>
    <w:rsid w:val="007F02EA"/>
    <w:rsid w:val="007F2878"/>
    <w:rsid w:val="007F5FD5"/>
    <w:rsid w:val="00815E78"/>
    <w:rsid w:val="00820AF5"/>
    <w:rsid w:val="008239B0"/>
    <w:rsid w:val="0083258E"/>
    <w:rsid w:val="00836704"/>
    <w:rsid w:val="0084672E"/>
    <w:rsid w:val="0085269C"/>
    <w:rsid w:val="008A72F8"/>
    <w:rsid w:val="008D283F"/>
    <w:rsid w:val="008D469F"/>
    <w:rsid w:val="008E2D93"/>
    <w:rsid w:val="008E5E76"/>
    <w:rsid w:val="008E5FEE"/>
    <w:rsid w:val="008F0433"/>
    <w:rsid w:val="008F226B"/>
    <w:rsid w:val="00900B2B"/>
    <w:rsid w:val="00900FDB"/>
    <w:rsid w:val="00901DCD"/>
    <w:rsid w:val="0090398B"/>
    <w:rsid w:val="00912117"/>
    <w:rsid w:val="00913740"/>
    <w:rsid w:val="0092062C"/>
    <w:rsid w:val="009215D0"/>
    <w:rsid w:val="009256B1"/>
    <w:rsid w:val="00926E50"/>
    <w:rsid w:val="009344BE"/>
    <w:rsid w:val="00936F53"/>
    <w:rsid w:val="00941827"/>
    <w:rsid w:val="009432CB"/>
    <w:rsid w:val="00952A79"/>
    <w:rsid w:val="009651A7"/>
    <w:rsid w:val="00966FED"/>
    <w:rsid w:val="009817BD"/>
    <w:rsid w:val="009A1469"/>
    <w:rsid w:val="009A2C68"/>
    <w:rsid w:val="009A4F8C"/>
    <w:rsid w:val="009A75F5"/>
    <w:rsid w:val="009A7F24"/>
    <w:rsid w:val="009C3711"/>
    <w:rsid w:val="009D0041"/>
    <w:rsid w:val="009D23C7"/>
    <w:rsid w:val="009D40DC"/>
    <w:rsid w:val="009D73D1"/>
    <w:rsid w:val="009E50A0"/>
    <w:rsid w:val="009F1A20"/>
    <w:rsid w:val="009F5B68"/>
    <w:rsid w:val="00A04E4A"/>
    <w:rsid w:val="00A06823"/>
    <w:rsid w:val="00A25287"/>
    <w:rsid w:val="00A422C8"/>
    <w:rsid w:val="00A549DA"/>
    <w:rsid w:val="00A62CF0"/>
    <w:rsid w:val="00A77DCE"/>
    <w:rsid w:val="00A968DA"/>
    <w:rsid w:val="00AC1889"/>
    <w:rsid w:val="00AC49C2"/>
    <w:rsid w:val="00AD7DA3"/>
    <w:rsid w:val="00AF053B"/>
    <w:rsid w:val="00B059C0"/>
    <w:rsid w:val="00B35DE9"/>
    <w:rsid w:val="00B413D8"/>
    <w:rsid w:val="00B42F4F"/>
    <w:rsid w:val="00B64BB3"/>
    <w:rsid w:val="00B65FF6"/>
    <w:rsid w:val="00B723BA"/>
    <w:rsid w:val="00B74D65"/>
    <w:rsid w:val="00B76C93"/>
    <w:rsid w:val="00B76F19"/>
    <w:rsid w:val="00B9311A"/>
    <w:rsid w:val="00B93896"/>
    <w:rsid w:val="00B968C3"/>
    <w:rsid w:val="00BA3211"/>
    <w:rsid w:val="00BB21B2"/>
    <w:rsid w:val="00BC2AE8"/>
    <w:rsid w:val="00BC557F"/>
    <w:rsid w:val="00BC57EB"/>
    <w:rsid w:val="00BD2FFF"/>
    <w:rsid w:val="00BF422B"/>
    <w:rsid w:val="00C04B81"/>
    <w:rsid w:val="00C30660"/>
    <w:rsid w:val="00C3352C"/>
    <w:rsid w:val="00C33AC2"/>
    <w:rsid w:val="00C46095"/>
    <w:rsid w:val="00C567D9"/>
    <w:rsid w:val="00C770E2"/>
    <w:rsid w:val="00C772CD"/>
    <w:rsid w:val="00C82514"/>
    <w:rsid w:val="00C82E47"/>
    <w:rsid w:val="00CB22FE"/>
    <w:rsid w:val="00CB7E9B"/>
    <w:rsid w:val="00CD4129"/>
    <w:rsid w:val="00CD5507"/>
    <w:rsid w:val="00CD7098"/>
    <w:rsid w:val="00CF14D2"/>
    <w:rsid w:val="00D0051B"/>
    <w:rsid w:val="00D067BC"/>
    <w:rsid w:val="00D11EA6"/>
    <w:rsid w:val="00D2560C"/>
    <w:rsid w:val="00D256A6"/>
    <w:rsid w:val="00D27850"/>
    <w:rsid w:val="00D27B8E"/>
    <w:rsid w:val="00D3514F"/>
    <w:rsid w:val="00D437AA"/>
    <w:rsid w:val="00D47BA2"/>
    <w:rsid w:val="00D5360F"/>
    <w:rsid w:val="00D65D18"/>
    <w:rsid w:val="00D76F84"/>
    <w:rsid w:val="00D93A85"/>
    <w:rsid w:val="00D9608D"/>
    <w:rsid w:val="00D965B5"/>
    <w:rsid w:val="00DA13AD"/>
    <w:rsid w:val="00DA4E91"/>
    <w:rsid w:val="00DA5414"/>
    <w:rsid w:val="00DB17CA"/>
    <w:rsid w:val="00DB1BB8"/>
    <w:rsid w:val="00DB1F7F"/>
    <w:rsid w:val="00DC781E"/>
    <w:rsid w:val="00DD0775"/>
    <w:rsid w:val="00E11E4A"/>
    <w:rsid w:val="00E16DBC"/>
    <w:rsid w:val="00E27571"/>
    <w:rsid w:val="00E318E6"/>
    <w:rsid w:val="00E368FB"/>
    <w:rsid w:val="00E369D2"/>
    <w:rsid w:val="00E4662A"/>
    <w:rsid w:val="00E74297"/>
    <w:rsid w:val="00E8178B"/>
    <w:rsid w:val="00E9131F"/>
    <w:rsid w:val="00E930CF"/>
    <w:rsid w:val="00E969B3"/>
    <w:rsid w:val="00E971ED"/>
    <w:rsid w:val="00EA5092"/>
    <w:rsid w:val="00EB1930"/>
    <w:rsid w:val="00EB41E7"/>
    <w:rsid w:val="00EC7D39"/>
    <w:rsid w:val="00ED2C37"/>
    <w:rsid w:val="00EE7AD3"/>
    <w:rsid w:val="00EF32B0"/>
    <w:rsid w:val="00EF40F0"/>
    <w:rsid w:val="00F01B5C"/>
    <w:rsid w:val="00F02D3E"/>
    <w:rsid w:val="00F2766F"/>
    <w:rsid w:val="00F31B33"/>
    <w:rsid w:val="00F34671"/>
    <w:rsid w:val="00F4471B"/>
    <w:rsid w:val="00F45C79"/>
    <w:rsid w:val="00F65AA7"/>
    <w:rsid w:val="00F677C8"/>
    <w:rsid w:val="00F76C05"/>
    <w:rsid w:val="00F8184F"/>
    <w:rsid w:val="00F86F7E"/>
    <w:rsid w:val="00F96D24"/>
    <w:rsid w:val="00F979FC"/>
    <w:rsid w:val="00FD10E4"/>
    <w:rsid w:val="00FD46FE"/>
    <w:rsid w:val="00FD6ECB"/>
    <w:rsid w:val="00FF44B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79526F"/>
  <w15:docId w15:val="{D5E4B259-2DDD-42C5-A55D-FBDCEB54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1"/>
        <w:lang w:val="en-IN" w:eastAsia="en-US" w:bidi="mr-IN"/>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0B2B"/>
  </w:style>
  <w:style w:type="paragraph" w:styleId="Heading1">
    <w:name w:val="heading 1"/>
    <w:basedOn w:val="Normal"/>
    <w:next w:val="Normal"/>
    <w:link w:val="Heading1Char"/>
    <w:uiPriority w:val="9"/>
    <w:qFormat/>
    <w:rsid w:val="002220CD"/>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2220CD"/>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2220CD"/>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2220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20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2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0CD"/>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2220CD"/>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2220CD"/>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2220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20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2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0CD"/>
    <w:rPr>
      <w:rFonts w:eastAsiaTheme="majorEastAsia" w:cstheme="majorBidi"/>
      <w:color w:val="272727" w:themeColor="text1" w:themeTint="D8"/>
    </w:rPr>
  </w:style>
  <w:style w:type="paragraph" w:styleId="Title">
    <w:name w:val="Title"/>
    <w:basedOn w:val="Normal"/>
    <w:next w:val="Normal"/>
    <w:link w:val="TitleChar"/>
    <w:uiPriority w:val="10"/>
    <w:qFormat/>
    <w:rsid w:val="002220C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220C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220C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220C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220CD"/>
    <w:pPr>
      <w:spacing w:before="160"/>
      <w:jc w:val="center"/>
    </w:pPr>
    <w:rPr>
      <w:i/>
      <w:iCs/>
      <w:color w:val="404040" w:themeColor="text1" w:themeTint="BF"/>
    </w:rPr>
  </w:style>
  <w:style w:type="character" w:customStyle="1" w:styleId="QuoteChar">
    <w:name w:val="Quote Char"/>
    <w:basedOn w:val="DefaultParagraphFont"/>
    <w:link w:val="Quote"/>
    <w:uiPriority w:val="29"/>
    <w:rsid w:val="002220CD"/>
    <w:rPr>
      <w:i/>
      <w:iCs/>
      <w:color w:val="404040" w:themeColor="text1" w:themeTint="BF"/>
    </w:rPr>
  </w:style>
  <w:style w:type="paragraph" w:styleId="ListParagraph">
    <w:name w:val="List Paragraph"/>
    <w:basedOn w:val="Normal"/>
    <w:uiPriority w:val="34"/>
    <w:qFormat/>
    <w:rsid w:val="002220CD"/>
    <w:pPr>
      <w:ind w:left="720"/>
      <w:contextualSpacing/>
    </w:pPr>
  </w:style>
  <w:style w:type="character" w:styleId="IntenseEmphasis">
    <w:name w:val="Intense Emphasis"/>
    <w:basedOn w:val="DefaultParagraphFont"/>
    <w:uiPriority w:val="21"/>
    <w:qFormat/>
    <w:rsid w:val="002220CD"/>
    <w:rPr>
      <w:i/>
      <w:iCs/>
      <w:color w:val="2F5496" w:themeColor="accent1" w:themeShade="BF"/>
    </w:rPr>
  </w:style>
  <w:style w:type="paragraph" w:styleId="IntenseQuote">
    <w:name w:val="Intense Quote"/>
    <w:basedOn w:val="Normal"/>
    <w:next w:val="Normal"/>
    <w:link w:val="IntenseQuoteChar"/>
    <w:uiPriority w:val="30"/>
    <w:qFormat/>
    <w:rsid w:val="00222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20CD"/>
    <w:rPr>
      <w:i/>
      <w:iCs/>
      <w:color w:val="2F5496" w:themeColor="accent1" w:themeShade="BF"/>
    </w:rPr>
  </w:style>
  <w:style w:type="character" w:styleId="IntenseReference">
    <w:name w:val="Intense Reference"/>
    <w:basedOn w:val="DefaultParagraphFont"/>
    <w:uiPriority w:val="32"/>
    <w:qFormat/>
    <w:rsid w:val="002220CD"/>
    <w:rPr>
      <w:b/>
      <w:bCs/>
      <w:smallCaps/>
      <w:color w:val="2F5496" w:themeColor="accent1" w:themeShade="BF"/>
      <w:spacing w:val="5"/>
    </w:rPr>
  </w:style>
  <w:style w:type="character" w:styleId="PlaceholderText">
    <w:name w:val="Placeholder Text"/>
    <w:basedOn w:val="DefaultParagraphFont"/>
    <w:uiPriority w:val="99"/>
    <w:semiHidden/>
    <w:rsid w:val="00C770E2"/>
    <w:rPr>
      <w:color w:val="808080"/>
    </w:rPr>
  </w:style>
  <w:style w:type="paragraph" w:styleId="BalloonText">
    <w:name w:val="Balloon Text"/>
    <w:basedOn w:val="Normal"/>
    <w:link w:val="BalloonTextChar"/>
    <w:uiPriority w:val="99"/>
    <w:semiHidden/>
    <w:unhideWhenUsed/>
    <w:rsid w:val="00C770E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C770E2"/>
    <w:rPr>
      <w:rFonts w:ascii="Tahoma" w:hAnsi="Tahoma" w:cs="Tahoma"/>
      <w:sz w:val="16"/>
      <w:szCs w:val="14"/>
    </w:rPr>
  </w:style>
  <w:style w:type="table" w:styleId="TableGrid">
    <w:name w:val="Table Grid"/>
    <w:basedOn w:val="TableNormal"/>
    <w:uiPriority w:val="39"/>
    <w:rsid w:val="009A4F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9D0041"/>
    <w:pPr>
      <w:spacing w:after="200" w:line="240" w:lineRule="auto"/>
    </w:pPr>
    <w:rPr>
      <w:b/>
      <w:bCs/>
      <w:color w:val="4472C4" w:themeColor="accent1"/>
      <w:sz w:val="18"/>
      <w:szCs w:val="16"/>
    </w:rPr>
  </w:style>
  <w:style w:type="character" w:styleId="Hyperlink">
    <w:name w:val="Hyperlink"/>
    <w:basedOn w:val="DefaultParagraphFont"/>
    <w:uiPriority w:val="99"/>
    <w:unhideWhenUsed/>
    <w:rsid w:val="00656CC7"/>
    <w:rPr>
      <w:color w:val="0563C1" w:themeColor="hyperlink"/>
      <w:u w:val="single"/>
    </w:rPr>
  </w:style>
  <w:style w:type="character" w:customStyle="1" w:styleId="UnresolvedMention1">
    <w:name w:val="Unresolved Mention1"/>
    <w:basedOn w:val="DefaultParagraphFont"/>
    <w:uiPriority w:val="99"/>
    <w:semiHidden/>
    <w:unhideWhenUsed/>
    <w:rsid w:val="00656CC7"/>
    <w:rPr>
      <w:color w:val="605E5C"/>
      <w:shd w:val="clear" w:color="auto" w:fill="E1DFDD"/>
    </w:rPr>
  </w:style>
  <w:style w:type="paragraph" w:styleId="Header">
    <w:name w:val="header"/>
    <w:basedOn w:val="Normal"/>
    <w:link w:val="HeaderChar"/>
    <w:uiPriority w:val="99"/>
    <w:unhideWhenUsed/>
    <w:rsid w:val="001E7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BB6"/>
  </w:style>
  <w:style w:type="paragraph" w:styleId="Footer">
    <w:name w:val="footer"/>
    <w:basedOn w:val="Normal"/>
    <w:link w:val="FooterChar"/>
    <w:uiPriority w:val="99"/>
    <w:unhideWhenUsed/>
    <w:rsid w:val="001E7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BB6"/>
  </w:style>
  <w:style w:type="paragraph" w:styleId="Revision">
    <w:name w:val="Revision"/>
    <w:hidden/>
    <w:uiPriority w:val="99"/>
    <w:semiHidden/>
    <w:rsid w:val="002A3BD4"/>
    <w:pPr>
      <w:spacing w:after="0" w:line="240" w:lineRule="auto"/>
    </w:pPr>
  </w:style>
  <w:style w:type="character" w:styleId="Emphasis">
    <w:name w:val="Emphasis"/>
    <w:basedOn w:val="DefaultParagraphFont"/>
    <w:uiPriority w:val="20"/>
    <w:qFormat/>
    <w:rsid w:val="008F22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9734/jabb/2025/v28i52306" TargetMode="External"/><Relationship Id="rId18" Type="http://schemas.openxmlformats.org/officeDocument/2006/relationships/hyperlink" Target="https://www.epa.gov/wqc/aquatic-life-criteria-ammonia?utm_source=chatgpt.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07/s10661-022-09832-w" TargetMode="External"/><Relationship Id="rId17" Type="http://schemas.openxmlformats.org/officeDocument/2006/relationships/hyperlink" Target="https://doi.org/10.1016/j.scitotenv.2021.148776"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56557/ajorib/2025/v7i1113" TargetMode="External"/><Relationship Id="rId20" Type="http://schemas.openxmlformats.org/officeDocument/2006/relationships/hyperlink" Target="https://www.sciencedirect.com/journal/water-research/vol/10/issue/8?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scitotenv.2016.01.02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16/j.ejar.2024.02.00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i.org/10.1016/j.ecoenv.2020.111407" TargetMode="External"/><Relationship Id="rId19" Type="http://schemas.openxmlformats.org/officeDocument/2006/relationships/hyperlink" Target="https://doi.org/10.17221/5580-VETMED"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1016/j.eti.2023.103067" TargetMode="External"/><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0">
                <a:latin typeface="Arial" pitchFamily="34" charset="0"/>
                <a:cs typeface="Arial" pitchFamily="34" charset="0"/>
              </a:rPr>
              <a:t>Effluent</a:t>
            </a:r>
            <a:r>
              <a:rPr lang="en-US" sz="1100" b="0" baseline="0">
                <a:latin typeface="Arial" pitchFamily="34" charset="0"/>
                <a:cs typeface="Arial" pitchFamily="34" charset="0"/>
              </a:rPr>
              <a:t> exposure (Hrs) vs LC</a:t>
            </a:r>
            <a:r>
              <a:rPr lang="en-US" sz="1100" b="0" baseline="-25000">
                <a:latin typeface="Arial" pitchFamily="34" charset="0"/>
                <a:cs typeface="Arial" pitchFamily="34" charset="0"/>
              </a:rPr>
              <a:t>50</a:t>
            </a:r>
            <a:r>
              <a:rPr lang="en-US" sz="1100" b="0" baseline="0">
                <a:latin typeface="Arial" pitchFamily="34" charset="0"/>
                <a:cs typeface="Arial" pitchFamily="34" charset="0"/>
              </a:rPr>
              <a:t> values in %</a:t>
            </a:r>
            <a:endParaRPr lang="en-US" sz="1100" b="0">
              <a:latin typeface="Arial" pitchFamily="34" charset="0"/>
              <a:cs typeface="Arial" pitchFamily="34" charset="0"/>
            </a:endParaRPr>
          </a:p>
        </c:rich>
      </c:tx>
      <c:overlay val="0"/>
    </c:title>
    <c:autoTitleDeleted val="0"/>
    <c:plotArea>
      <c:layout/>
      <c:scatterChart>
        <c:scatterStyle val="lineMarker"/>
        <c:varyColors val="0"/>
        <c:ser>
          <c:idx val="0"/>
          <c:order val="0"/>
          <c:tx>
            <c:strRef>
              <c:f>Sheet1!$B$1</c:f>
              <c:strCache>
                <c:ptCount val="1"/>
                <c:pt idx="0">
                  <c:v>Y-Values</c:v>
                </c:pt>
              </c:strCache>
            </c:strRef>
          </c:tx>
          <c:spPr>
            <a:ln w="19050">
              <a:noFill/>
            </a:ln>
          </c:spPr>
          <c:trendline>
            <c:trendlineType val="linear"/>
            <c:dispRSqr val="0"/>
            <c:dispEq val="0"/>
          </c:trendline>
          <c:xVal>
            <c:numRef>
              <c:f>Sheet1!$A$2:$A$5</c:f>
              <c:numCache>
                <c:formatCode>General</c:formatCode>
                <c:ptCount val="4"/>
                <c:pt idx="0">
                  <c:v>24</c:v>
                </c:pt>
                <c:pt idx="1">
                  <c:v>48</c:v>
                </c:pt>
                <c:pt idx="2">
                  <c:v>72</c:v>
                </c:pt>
                <c:pt idx="3">
                  <c:v>96</c:v>
                </c:pt>
              </c:numCache>
            </c:numRef>
          </c:xVal>
          <c:yVal>
            <c:numRef>
              <c:f>Sheet1!$B$2:$B$5</c:f>
              <c:numCache>
                <c:formatCode>General</c:formatCode>
                <c:ptCount val="4"/>
                <c:pt idx="0">
                  <c:v>15.5</c:v>
                </c:pt>
                <c:pt idx="1">
                  <c:v>15</c:v>
                </c:pt>
                <c:pt idx="2">
                  <c:v>14.5</c:v>
                </c:pt>
                <c:pt idx="3">
                  <c:v>14</c:v>
                </c:pt>
              </c:numCache>
            </c:numRef>
          </c:yVal>
          <c:smooth val="0"/>
          <c:extLst>
            <c:ext xmlns:c16="http://schemas.microsoft.com/office/drawing/2014/chart" uri="{C3380CC4-5D6E-409C-BE32-E72D297353CC}">
              <c16:uniqueId val="{00000001-32FC-430A-A540-FD037C477FCD}"/>
            </c:ext>
          </c:extLst>
        </c:ser>
        <c:dLbls>
          <c:showLegendKey val="0"/>
          <c:showVal val="0"/>
          <c:showCatName val="0"/>
          <c:showSerName val="0"/>
          <c:showPercent val="0"/>
          <c:showBubbleSize val="0"/>
        </c:dLbls>
        <c:axId val="137847552"/>
        <c:axId val="137850240"/>
      </c:scatterChart>
      <c:valAx>
        <c:axId val="137847552"/>
        <c:scaling>
          <c:orientation val="minMax"/>
          <c:max val="96"/>
          <c:min val="0"/>
        </c:scaling>
        <c:delete val="0"/>
        <c:axPos val="b"/>
        <c:title>
          <c:tx>
            <c:rich>
              <a:bodyPr/>
              <a:lstStyle/>
              <a:p>
                <a:pPr>
                  <a:defRPr sz="1000"/>
                </a:pPr>
                <a:r>
                  <a:rPr lang="en-US" sz="1000" b="0">
                    <a:latin typeface="Arial" pitchFamily="34" charset="0"/>
                    <a:cs typeface="Arial" pitchFamily="34" charset="0"/>
                  </a:rPr>
                  <a:t>Exposure to effluent (Hrs)</a:t>
                </a:r>
              </a:p>
            </c:rich>
          </c:tx>
          <c:overlay val="0"/>
        </c:title>
        <c:numFmt formatCode="General" sourceLinked="1"/>
        <c:majorTickMark val="out"/>
        <c:minorTickMark val="none"/>
        <c:tickLblPos val="nextTo"/>
        <c:crossAx val="137850240"/>
        <c:crosses val="autoZero"/>
        <c:crossBetween val="midCat"/>
        <c:majorUnit val="24"/>
      </c:valAx>
      <c:valAx>
        <c:axId val="137850240"/>
        <c:scaling>
          <c:orientation val="minMax"/>
        </c:scaling>
        <c:delete val="0"/>
        <c:axPos val="l"/>
        <c:title>
          <c:tx>
            <c:rich>
              <a:bodyPr/>
              <a:lstStyle/>
              <a:p>
                <a:pPr>
                  <a:defRPr sz="1000" b="0">
                    <a:latin typeface="Arial" pitchFamily="34" charset="0"/>
                    <a:cs typeface="Arial" pitchFamily="34" charset="0"/>
                  </a:defRPr>
                </a:pPr>
                <a:r>
                  <a:rPr lang="en-US" sz="1000" b="0">
                    <a:latin typeface="Arial" pitchFamily="34" charset="0"/>
                    <a:cs typeface="Arial" pitchFamily="34" charset="0"/>
                  </a:rPr>
                  <a:t>LC</a:t>
                </a:r>
                <a:r>
                  <a:rPr lang="en-US" sz="1000" b="0" baseline="-25000">
                    <a:latin typeface="Arial" pitchFamily="34" charset="0"/>
                    <a:cs typeface="Arial" pitchFamily="34" charset="0"/>
                  </a:rPr>
                  <a:t>50</a:t>
                </a:r>
                <a:r>
                  <a:rPr lang="en-US" sz="1000" b="0">
                    <a:latin typeface="Arial" pitchFamily="34" charset="0"/>
                    <a:cs typeface="Arial" pitchFamily="34" charset="0"/>
                  </a:rPr>
                  <a:t> Value</a:t>
                </a:r>
                <a:r>
                  <a:rPr lang="en-US" sz="1000" b="0" baseline="0">
                    <a:latin typeface="Arial" pitchFamily="34" charset="0"/>
                    <a:cs typeface="Arial" pitchFamily="34" charset="0"/>
                  </a:rPr>
                  <a:t> in %</a:t>
                </a:r>
                <a:endParaRPr lang="en-US" sz="1000" b="0">
                  <a:latin typeface="Arial" pitchFamily="34" charset="0"/>
                  <a:cs typeface="Arial" pitchFamily="34" charset="0"/>
                </a:endParaRPr>
              </a:p>
            </c:rich>
          </c:tx>
          <c:overlay val="0"/>
        </c:title>
        <c:numFmt formatCode="General" sourceLinked="1"/>
        <c:majorTickMark val="out"/>
        <c:minorTickMark val="none"/>
        <c:tickLblPos val="nextTo"/>
        <c:crossAx val="137847552"/>
        <c:crosses val="autoZero"/>
        <c:crossBetween val="midCat"/>
        <c:majorUnit val="0.5"/>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A0FF0-34F2-4D23-9BFA-39515934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15</Pages>
  <Words>5466</Words>
  <Characters>31158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 Kakade</dc:creator>
  <cp:lastModifiedBy>SDI 1187</cp:lastModifiedBy>
  <cp:revision>138</cp:revision>
  <dcterms:created xsi:type="dcterms:W3CDTF">2026-06-14T10:48:00Z</dcterms:created>
  <dcterms:modified xsi:type="dcterms:W3CDTF">2026-07-06T06:49:00Z</dcterms:modified>
</cp:coreProperties>
</file>