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932DE" w14:textId="77777777" w:rsidR="00203285" w:rsidRPr="00203285" w:rsidRDefault="00203285" w:rsidP="00E15085">
      <w:pPr>
        <w:pStyle w:val="Heading1"/>
        <w:jc w:val="both"/>
        <w:rPr>
          <w:u w:val="single"/>
        </w:rPr>
      </w:pPr>
      <w:r w:rsidRPr="00203285">
        <w:rPr>
          <w:u w:val="single"/>
        </w:rPr>
        <w:t>Review Article</w:t>
      </w:r>
    </w:p>
    <w:p w14:paraId="10713456" w14:textId="77777777" w:rsidR="00C8757A" w:rsidRDefault="00C8757A" w:rsidP="00E15085">
      <w:pPr>
        <w:pStyle w:val="Heading1"/>
        <w:jc w:val="both"/>
      </w:pPr>
      <w:r>
        <w:t>Impact of Climate Change on Metamorphosis and Reproduction of Arthropods: A Comprehensive Review</w:t>
      </w:r>
    </w:p>
    <w:p w14:paraId="61F177DE" w14:textId="77777777" w:rsidR="00C8757A" w:rsidRDefault="00C8757A" w:rsidP="00E15085">
      <w:pPr>
        <w:pStyle w:val="Heading3"/>
        <w:jc w:val="both"/>
      </w:pPr>
    </w:p>
    <w:p w14:paraId="07907B6F" w14:textId="77777777" w:rsidR="00C8757A" w:rsidRDefault="00C8757A" w:rsidP="00E15085">
      <w:pPr>
        <w:pStyle w:val="Heading3"/>
        <w:jc w:val="both"/>
      </w:pPr>
      <w:r>
        <w:t>Abstract</w:t>
      </w:r>
    </w:p>
    <w:p w14:paraId="4CDC077F" w14:textId="77777777" w:rsidR="00C8757A" w:rsidRPr="00C8757A" w:rsidRDefault="00C8757A" w:rsidP="00E1508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Arthropods constitute the most diverse animal phylum on Earth, and the majority of their species pass through a metamorphic life cycle in which temperature, moisture and photoperiod govern the timing of moulting, pupation and reproductive maturation. Anthropogenic climate change is altering each of these cues simultaneously, with consequences that extend from individual development to population persistence. This review synthesises evidence on how rising mean temperatures, more frequent heatwaves, shifting precipitation regimes and ocean warming and acidification affect metamorphic development, voltinism, diapause, body size, fecundity and sex allocation across insects, crustaceans, arachnids and myriapods. Warming generally accelerates larval and nymphal development up to a thermal optimum, beyond which performance declines sharply, producing smaller adults through the temperature–size rule, altered generation number, and disrupted synchrony between diapause induction and seasonal cues. Reproductive consequences include shifts in fecundity, mating phenology, sperm viability under heat stress and, in some taxa, skewed offspring sex ratios. Marine and freshwater crustaceans show parallel sensitivity of larval moulting and embryo development to warming and acidification, while terrestrial arthropods face compounding effects of drought and altered host-plant or prey phenology. The review identifies marked taxonomic and geographic unevenness in the evidence base, a shortage of multigenerational and multifactorial experiments, and limited integration between physiological and population-level models. Future research priorities include long-term field monitoring of voltinism shifts, experiments combining thermal and hydric stressors, and trait-based forecasting frameworks capable of informing conservation and pest management policy under projected warming scenarios.</w:t>
      </w:r>
    </w:p>
    <w:p w14:paraId="3018797D" w14:textId="77777777" w:rsidR="00C8757A" w:rsidRPr="00C8757A" w:rsidRDefault="00C8757A" w:rsidP="00E1508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b/>
          <w:bCs/>
          <w:sz w:val="24"/>
          <w:szCs w:val="24"/>
          <w:lang w:eastAsia="en-GB"/>
        </w:rPr>
        <w:t>Keywords:</w:t>
      </w:r>
      <w:r w:rsidRPr="00C8757A">
        <w:rPr>
          <w:rFonts w:ascii="Times New Roman" w:eastAsia="Times New Roman" w:hAnsi="Times New Roman" w:cs="Times New Roman"/>
          <w:sz w:val="24"/>
          <w:szCs w:val="24"/>
          <w:lang w:eastAsia="en-GB"/>
        </w:rPr>
        <w:t xml:space="preserve"> climate change, arthropod metamorphosis, insect reproduction, voltinism, diapause, temperature–size rule, phenological mismatch</w:t>
      </w:r>
    </w:p>
    <w:p w14:paraId="35F98EE5" w14:textId="77777777" w:rsidR="00C8757A" w:rsidRPr="00C8757A" w:rsidRDefault="00C8757A" w:rsidP="00E15085">
      <w:pPr>
        <w:spacing w:after="0" w:line="240" w:lineRule="auto"/>
        <w:jc w:val="both"/>
        <w:rPr>
          <w:rFonts w:ascii="Times New Roman" w:eastAsia="Times New Roman" w:hAnsi="Times New Roman" w:cs="Times New Roman"/>
          <w:sz w:val="24"/>
          <w:szCs w:val="24"/>
          <w:lang w:eastAsia="en-GB"/>
        </w:rPr>
      </w:pPr>
    </w:p>
    <w:p w14:paraId="41EBC2E7" w14:textId="77777777" w:rsidR="00C8757A" w:rsidRPr="00C8757A" w:rsidRDefault="00C8757A" w:rsidP="00E1508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8757A">
        <w:rPr>
          <w:rFonts w:ascii="Times New Roman" w:eastAsia="Times New Roman" w:hAnsi="Times New Roman" w:cs="Times New Roman"/>
          <w:b/>
          <w:bCs/>
          <w:sz w:val="27"/>
          <w:szCs w:val="27"/>
          <w:lang w:eastAsia="en-GB"/>
        </w:rPr>
        <w:t>1. Introduction</w:t>
      </w:r>
    </w:p>
    <w:p w14:paraId="0CA0FE59" w14:textId="77777777" w:rsidR="00C8757A" w:rsidRPr="00C8757A" w:rsidRDefault="00C8757A" w:rsidP="00E1508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1.1 Arthropods as ectothermic indicators of environmental change</w:t>
      </w:r>
    </w:p>
    <w:p w14:paraId="174A5B6D" w14:textId="77777777" w:rsidR="00C8757A" w:rsidRPr="00C8757A" w:rsidRDefault="00C8757A" w:rsidP="00E1508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 xml:space="preserve">Arthropods, comprising insects, crustaceans, arachnids and myriapods, represent more than three-quarters of described animal species and underpin essential ecosystem functions including pollination, decomposition, nutrient cycling and the structuring of food webs (Harvey et al., 2023). Almost all arthropods are ectothermic: their body temperature, metabolic rate and developmental progression track ambient thermal conditions closely rather </w:t>
      </w:r>
      <w:r w:rsidRPr="00C8757A">
        <w:rPr>
          <w:rFonts w:ascii="Times New Roman" w:eastAsia="Times New Roman" w:hAnsi="Times New Roman" w:cs="Times New Roman"/>
          <w:sz w:val="24"/>
          <w:szCs w:val="24"/>
          <w:lang w:eastAsia="en-GB"/>
        </w:rPr>
        <w:lastRenderedPageBreak/>
        <w:t>than being internally regulated. This thermal dependence makes arthropods unusually sensitive recorders of environmental change, which is why their development, growth and reproduction are now widely used as early indicators of the biological consequences of a warming planet (Harvey et al., 2023).</w:t>
      </w:r>
      <w:r>
        <w:rPr>
          <w:b/>
          <w:highlight w:val="yellow"/>
        </w:rPr>
        <w:t xml:space="preserve"> </w:t>
      </w:r>
      <w:r w:rsidRPr="00E15085">
        <w:rPr>
          <w:bCs/>
          <w:highlight w:val="yellow"/>
        </w:rPr>
        <w:t>Recent population and phenology studies further indicate that arthropod responses to warming are best interpreted through stage-specific vital rates and phenological constraints rather than through mean temperature effects alone (Gerlich et al., 2025; Kiekebusch et al., 2024).</w:t>
      </w:r>
    </w:p>
    <w:p w14:paraId="1AA215D4" w14:textId="77777777" w:rsidR="00C8757A" w:rsidRPr="00C8757A" w:rsidRDefault="00C8757A" w:rsidP="00E1508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1.2 Metamorphosis as a climate-sensitive developmental strategy</w:t>
      </w:r>
    </w:p>
    <w:p w14:paraId="572C2674" w14:textId="77777777" w:rsidR="00C8757A" w:rsidRPr="00C8757A" w:rsidRDefault="00C8757A" w:rsidP="00E1508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Metamorphosis, the post-embryonic transformation between morphologically and ecologically distinct life stages, is central to arthropod success and takes several forms: the gradual nymphal development of hemimetabolous insects, the complete holometabolous transformation through larval and pupal stages, and the moult-based growth of crustaceans, arachnids and myriapods, in which an inextensible exoskeleton is periodically shed to permit further growth. Each transition is timed by an interaction of temperature, photoperiod, food availability and, in aquatic taxa, water chemistry. Developmental rate in ectotherms typically rises with temperature up to a species-specific optimum and then falls precipitously beyond it, so even modest shifts in mean or extreme temperature can compress or extend developmental windows, alter the number of moults completed, and change the size and condition of the resulting adult (</w:t>
      </w:r>
      <w:proofErr w:type="spellStart"/>
      <w:r w:rsidRPr="00C8757A">
        <w:rPr>
          <w:rFonts w:ascii="Times New Roman" w:eastAsia="Times New Roman" w:hAnsi="Times New Roman" w:cs="Times New Roman"/>
          <w:sz w:val="24"/>
          <w:szCs w:val="24"/>
          <w:lang w:eastAsia="en-GB"/>
        </w:rPr>
        <w:t>Verberk</w:t>
      </w:r>
      <w:proofErr w:type="spellEnd"/>
      <w:r w:rsidRPr="00C8757A">
        <w:rPr>
          <w:rFonts w:ascii="Times New Roman" w:eastAsia="Times New Roman" w:hAnsi="Times New Roman" w:cs="Times New Roman"/>
          <w:sz w:val="24"/>
          <w:szCs w:val="24"/>
          <w:lang w:eastAsia="en-GB"/>
        </w:rPr>
        <w:t xml:space="preserve"> et al., 2021).</w:t>
      </w:r>
      <w:r>
        <w:rPr>
          <w:b/>
          <w:highlight w:val="yellow"/>
        </w:rPr>
        <w:t xml:space="preserve"> </w:t>
      </w:r>
      <w:r w:rsidRPr="00E15085">
        <w:rPr>
          <w:bCs/>
          <w:highlight w:val="yellow"/>
        </w:rPr>
        <w:t>Recent butterfly population modelling across annual life stages supports this stage-specific interpretation, showing that maximum temperatures experienced during particular life-stage periods can strongly influence vital-rate responses under warming (Kiekebusch et al., 2024).</w:t>
      </w:r>
    </w:p>
    <w:p w14:paraId="53CC1212" w14:textId="77777777" w:rsidR="00C8757A" w:rsidRPr="00C8757A" w:rsidRDefault="00C8757A" w:rsidP="00E1508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1.3 Reproduction as a climate-coupled life-history trait</w:t>
      </w:r>
    </w:p>
    <w:p w14:paraId="56DE25E3" w14:textId="77777777" w:rsidR="00C8757A" w:rsidRPr="00C8757A" w:rsidRDefault="00C8757A" w:rsidP="00E1508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Reproductive output in arthropods is tightly coupled to the conditions experienced during the preceding developmental stage. Adult body size, itself temperature dependent, frequently predicts fecundity, while the timing of adult emergence determines whether mating, oviposition and offspring development coincide with favourable resource windows. Climate-driven shifts in diapause induction, overwintering survival and voltinism (the number of generations completed per year) therefore feed directly into reproductive success at the population level (</w:t>
      </w:r>
      <w:proofErr w:type="spellStart"/>
      <w:r w:rsidRPr="00C8757A">
        <w:rPr>
          <w:rFonts w:ascii="Times New Roman" w:eastAsia="Times New Roman" w:hAnsi="Times New Roman" w:cs="Times New Roman"/>
          <w:sz w:val="24"/>
          <w:szCs w:val="24"/>
          <w:lang w:eastAsia="en-GB"/>
        </w:rPr>
        <w:t>Tougeron</w:t>
      </w:r>
      <w:proofErr w:type="spellEnd"/>
      <w:r w:rsidRPr="00C8757A">
        <w:rPr>
          <w:rFonts w:ascii="Times New Roman" w:eastAsia="Times New Roman" w:hAnsi="Times New Roman" w:cs="Times New Roman"/>
          <w:sz w:val="24"/>
          <w:szCs w:val="24"/>
          <w:lang w:eastAsia="en-GB"/>
        </w:rPr>
        <w:t xml:space="preserve">, 2019). In species with environmentally cued offspring sex allocation, even small temperature anomalies can skew sex ratios, with consequences for effective population size (Lockley &amp; </w:t>
      </w:r>
      <w:proofErr w:type="spellStart"/>
      <w:r w:rsidRPr="00C8757A">
        <w:rPr>
          <w:rFonts w:ascii="Times New Roman" w:eastAsia="Times New Roman" w:hAnsi="Times New Roman" w:cs="Times New Roman"/>
          <w:sz w:val="24"/>
          <w:szCs w:val="24"/>
          <w:lang w:eastAsia="en-GB"/>
        </w:rPr>
        <w:t>Eizaguirre</w:t>
      </w:r>
      <w:proofErr w:type="spellEnd"/>
      <w:r w:rsidRPr="00C8757A">
        <w:rPr>
          <w:rFonts w:ascii="Times New Roman" w:eastAsia="Times New Roman" w:hAnsi="Times New Roman" w:cs="Times New Roman"/>
          <w:sz w:val="24"/>
          <w:szCs w:val="24"/>
          <w:lang w:eastAsia="en-GB"/>
        </w:rPr>
        <w:t>, 2021).</w:t>
      </w:r>
      <w:r>
        <w:rPr>
          <w:b/>
          <w:highlight w:val="yellow"/>
        </w:rPr>
        <w:t xml:space="preserve"> </w:t>
      </w:r>
      <w:r w:rsidRPr="00E15085">
        <w:rPr>
          <w:bCs/>
          <w:highlight w:val="yellow"/>
        </w:rPr>
        <w:t>Recent experimental evidence from a model beetle also shows that short heatwave exposure can reduce male reproductive output and reproductive-trait morphology at temperatures below survival limits, supporting the need to assess fertility as well as viability under thermal extremes (Cole et al., 2025). Eco-evolutionary modelling in a cosmopolitan seed beetle further suggests that climate-linked changes in life-history allocation may influence developmental rate, body mass and offspring production, reinforcing the importance of life-history traits in arthropod climate-response forecasts (Burc et al., 2025).</w:t>
      </w:r>
    </w:p>
    <w:p w14:paraId="23605E24" w14:textId="77777777" w:rsidR="00C8757A" w:rsidRPr="00C8757A" w:rsidRDefault="00C8757A" w:rsidP="00E1508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1.4 Why a review of this scope is needed</w:t>
      </w:r>
    </w:p>
    <w:p w14:paraId="43085B67" w14:textId="77777777" w:rsidR="00C8757A" w:rsidRPr="00C8757A" w:rsidRDefault="00C8757A" w:rsidP="00E1508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Despite a substantial body of single-species and single-stressor experiments, no recent synthesis has drawn together evidence spanning terrestrial insects, freshwater and marine crustaceans, and arachnids to compare how climate variables act on metamorphosis and reproduction across these lineages. Existing reviews have tended to focus narrowly on agricultural pest insects (</w:t>
      </w:r>
      <w:proofErr w:type="spellStart"/>
      <w:r w:rsidRPr="00C8757A">
        <w:rPr>
          <w:rFonts w:ascii="Times New Roman" w:eastAsia="Times New Roman" w:hAnsi="Times New Roman" w:cs="Times New Roman"/>
          <w:sz w:val="24"/>
          <w:szCs w:val="24"/>
          <w:lang w:eastAsia="en-GB"/>
        </w:rPr>
        <w:t>Skendžić</w:t>
      </w:r>
      <w:proofErr w:type="spellEnd"/>
      <w:r w:rsidRPr="00C8757A">
        <w:rPr>
          <w:rFonts w:ascii="Times New Roman" w:eastAsia="Times New Roman" w:hAnsi="Times New Roman" w:cs="Times New Roman"/>
          <w:sz w:val="24"/>
          <w:szCs w:val="24"/>
          <w:lang w:eastAsia="en-GB"/>
        </w:rPr>
        <w:t xml:space="preserve"> et al., 2021), on pollinator phenology (Kudo &amp; Cooper, </w:t>
      </w:r>
      <w:r w:rsidRPr="00C8757A">
        <w:rPr>
          <w:rFonts w:ascii="Times New Roman" w:eastAsia="Times New Roman" w:hAnsi="Times New Roman" w:cs="Times New Roman"/>
          <w:sz w:val="24"/>
          <w:szCs w:val="24"/>
          <w:lang w:eastAsia="en-GB"/>
        </w:rPr>
        <w:lastRenderedPageBreak/>
        <w:t>2019), or on marine invertebrate larvae (</w:t>
      </w:r>
      <w:proofErr w:type="spellStart"/>
      <w:r w:rsidRPr="00C8757A">
        <w:rPr>
          <w:rFonts w:ascii="Times New Roman" w:eastAsia="Times New Roman" w:hAnsi="Times New Roman" w:cs="Times New Roman"/>
          <w:sz w:val="24"/>
          <w:szCs w:val="24"/>
          <w:lang w:eastAsia="en-GB"/>
        </w:rPr>
        <w:t>Marochi</w:t>
      </w:r>
      <w:proofErr w:type="spellEnd"/>
      <w:r w:rsidRPr="00C8757A">
        <w:rPr>
          <w:rFonts w:ascii="Times New Roman" w:eastAsia="Times New Roman" w:hAnsi="Times New Roman" w:cs="Times New Roman"/>
          <w:sz w:val="24"/>
          <w:szCs w:val="24"/>
          <w:lang w:eastAsia="en-GB"/>
        </w:rPr>
        <w:t xml:space="preserve"> et al., 2021), leaving the broader arthropod picture fragmented. An integrative treatment is timely given the accumulation, over the past decade, of multigenerational laboratory studies, long-term phenological datasets and marine heatwave experiments that together permit comparison of response patterns across very different arthropod lineages.</w:t>
      </w:r>
    </w:p>
    <w:p w14:paraId="32A74D78" w14:textId="77777777" w:rsidR="00C8757A" w:rsidRPr="00C8757A" w:rsidRDefault="00C8757A" w:rsidP="00E1508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1.5 Scope, research gap and objectives</w:t>
      </w:r>
    </w:p>
    <w:p w14:paraId="5753C045" w14:textId="77777777" w:rsidR="00C8757A" w:rsidRPr="00C8757A" w:rsidRDefault="00C8757A" w:rsidP="00E15085">
      <w:pPr>
        <w:spacing w:before="100" w:beforeAutospacing="1" w:after="100" w:afterAutospacing="1" w:line="240" w:lineRule="auto"/>
        <w:jc w:val="both"/>
        <w:rPr>
          <w:rFonts w:ascii="Times New Roman" w:eastAsia="Times New Roman" w:hAnsi="Times New Roman" w:cs="Times New Roman"/>
          <w:sz w:val="24"/>
          <w:szCs w:val="24"/>
          <w:lang w:eastAsia="en-GB"/>
        </w:rPr>
      </w:pPr>
      <w:r>
        <w:t xml:space="preserve">This review covers literature on the effects of temperature, precipitation, ocean warming and ocean acidification on arthropod metamorphic development and reproductive performance, drawing on terrestrial, freshwater and marine taxa. It does not address the genetics of thermal adaptation in detail, nor does it cover arthropod-vectored disease transmission, both of which fall outside its remit and have been reviewed elsewhere. The principal research gap addressed here is the absence of a cross-taxon synthesis linking metamorphic and reproductive responses to climate variables within a single conceptual framework, and the corresponding difficulty this creates for predicting which arthropod groups are most vulnerable to ongoing warming. </w:t>
      </w:r>
      <w:r w:rsidRPr="00E15085">
        <w:rPr>
          <w:bCs/>
          <w:highlight w:val="yellow"/>
        </w:rPr>
        <w:t xml:space="preserve">Recent evidence has strengthened understanding of thermal fertility limits, vital-rate sensitivity and phenological thresholds, yet these strands remain unevenly integrated across metamorphic and reproductive endpoints in a broad arthropod framework (Burc et al., 2025; Cole et al., 2025; Gerlich et al., 2025; Kiekebusch et al., 2024). </w:t>
      </w:r>
      <w:r>
        <w:t>The objectives of the review are threefold: first, to summarise the physiological and life-history mechanisms by which climate variables alter metamorphosis and reproduction in arthropods; second, to compare response patterns across terrestrial, freshwater and marine lineages; and third, to identify methodological gaps and priority directions for future research.</w:t>
      </w:r>
    </w:p>
    <w:p w14:paraId="43040270" w14:textId="77777777" w:rsidR="00C8757A" w:rsidRPr="00C8757A" w:rsidRDefault="00C8757A" w:rsidP="00E15085">
      <w:pPr>
        <w:spacing w:after="0" w:line="240" w:lineRule="auto"/>
        <w:jc w:val="both"/>
        <w:rPr>
          <w:rFonts w:ascii="Times New Roman" w:eastAsia="Times New Roman" w:hAnsi="Times New Roman" w:cs="Times New Roman"/>
          <w:sz w:val="24"/>
          <w:szCs w:val="24"/>
          <w:lang w:eastAsia="en-GB"/>
        </w:rPr>
      </w:pPr>
    </w:p>
    <w:p w14:paraId="0BDE67B2" w14:textId="77777777" w:rsidR="00C8757A" w:rsidRPr="00C8757A" w:rsidRDefault="00C8757A" w:rsidP="00E1508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8757A">
        <w:rPr>
          <w:rFonts w:ascii="Times New Roman" w:eastAsia="Times New Roman" w:hAnsi="Times New Roman" w:cs="Times New Roman"/>
          <w:b/>
          <w:bCs/>
          <w:sz w:val="27"/>
          <w:szCs w:val="27"/>
          <w:lang w:eastAsia="en-GB"/>
        </w:rPr>
        <w:t>2. Methods for Literature Selection</w:t>
      </w:r>
    </w:p>
    <w:p w14:paraId="6E3CC571" w14:textId="77777777" w:rsidR="00C8757A" w:rsidRPr="00C8757A" w:rsidRDefault="00C8757A" w:rsidP="00E1508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2.1 Search strategy and databases</w:t>
      </w:r>
    </w:p>
    <w:p w14:paraId="2C6F7F95" w14:textId="77777777" w:rsidR="00C8757A" w:rsidRPr="00C8757A" w:rsidRDefault="00C8757A" w:rsidP="00E1508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This review adopted a narrative rather than a systematic review design, reflecting the breadth of taxa, climate variables and disciplinary perspectives (physiology, ecology, entomology, fisheries science) that needed to be integrated into a coherent synthesis rather than answering a single, narrowly defined question. Narrative reviews are recognised as an appropriate format for providing broad, interpretative overviews of heterogeneous literature, where meta-analytic pooling of effect sizes across such different taxa and experimental designs would not be meaningful (</w:t>
      </w:r>
      <w:proofErr w:type="spellStart"/>
      <w:r w:rsidRPr="00C8757A">
        <w:rPr>
          <w:rFonts w:ascii="Times New Roman" w:eastAsia="Times New Roman" w:hAnsi="Times New Roman" w:cs="Times New Roman"/>
          <w:sz w:val="24"/>
          <w:szCs w:val="24"/>
          <w:lang w:eastAsia="en-GB"/>
        </w:rPr>
        <w:t>Baethge</w:t>
      </w:r>
      <w:proofErr w:type="spellEnd"/>
      <w:r w:rsidRPr="00C8757A">
        <w:rPr>
          <w:rFonts w:ascii="Times New Roman" w:eastAsia="Times New Roman" w:hAnsi="Times New Roman" w:cs="Times New Roman"/>
          <w:sz w:val="24"/>
          <w:szCs w:val="24"/>
          <w:lang w:eastAsia="en-GB"/>
        </w:rPr>
        <w:t xml:space="preserve"> et al., 2019). Systematic and narrative reviews are increasingly viewed as complementary rather than hierarchically ranked formats: systematic reviews suit narrowly focused questions, while narrative reviews are better placed to deepen interpretation and critique across a heterogeneous evidence base of the kind addressed here (Greenhalgh et al., 2018). The structure and reporting of this review followed the general principles set out in the Scale for the Assessment of Narrative Review Articles, which emphasises explicit justification of scope, transparent description of the literature search, and balanced presentation of evidence (</w:t>
      </w:r>
      <w:proofErr w:type="spellStart"/>
      <w:r w:rsidRPr="00C8757A">
        <w:rPr>
          <w:rFonts w:ascii="Times New Roman" w:eastAsia="Times New Roman" w:hAnsi="Times New Roman" w:cs="Times New Roman"/>
          <w:sz w:val="24"/>
          <w:szCs w:val="24"/>
          <w:lang w:eastAsia="en-GB"/>
        </w:rPr>
        <w:t>Baethge</w:t>
      </w:r>
      <w:proofErr w:type="spellEnd"/>
      <w:r w:rsidRPr="00C8757A">
        <w:rPr>
          <w:rFonts w:ascii="Times New Roman" w:eastAsia="Times New Roman" w:hAnsi="Times New Roman" w:cs="Times New Roman"/>
          <w:sz w:val="24"/>
          <w:szCs w:val="24"/>
          <w:lang w:eastAsia="en-GB"/>
        </w:rPr>
        <w:t xml:space="preserve"> et al., 2019).</w:t>
      </w:r>
    </w:p>
    <w:p w14:paraId="4C7E3099" w14:textId="77777777" w:rsidR="00C8757A" w:rsidRPr="00C8757A" w:rsidRDefault="00C8757A" w:rsidP="00E1508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Literature searches were conducted in Web of Science, Scopus, Google Scholar and PubMed, supplemented by the field-specific indexing databases CAB Abstracts, BIOSIS Citation Index, Aquatic Sciences and Fisheries Abstracts (ASFA), Zoological Record and AGRICOLA, selected because they index entomological, crustacean and agricultural pest literature not always fully captured by the general databases.</w:t>
      </w:r>
    </w:p>
    <w:p w14:paraId="201B43A3" w14:textId="77777777" w:rsidR="00C8757A" w:rsidRPr="00C8757A" w:rsidRDefault="00C8757A" w:rsidP="00E1508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lastRenderedPageBreak/>
        <w:t>2.2 Search terms and date range</w:t>
      </w:r>
    </w:p>
    <w:p w14:paraId="50FE86D3" w14:textId="6F052FEC" w:rsidR="00C8757A" w:rsidRPr="00C8757A" w:rsidRDefault="00C8757A" w:rsidP="00E1508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 xml:space="preserve">Search strings combined arthropod taxon terms (insect*, crustacean*, arachnid*, myriapod*, arthropod*) with developmental and reproductive terms (metamorphosis, </w:t>
      </w:r>
      <w:proofErr w:type="spellStart"/>
      <w:r w:rsidRPr="00C8757A">
        <w:rPr>
          <w:rFonts w:ascii="Times New Roman" w:eastAsia="Times New Roman" w:hAnsi="Times New Roman" w:cs="Times New Roman"/>
          <w:sz w:val="24"/>
          <w:szCs w:val="24"/>
          <w:lang w:eastAsia="en-GB"/>
        </w:rPr>
        <w:t>larv</w:t>
      </w:r>
      <w:proofErr w:type="spellEnd"/>
      <w:r w:rsidRPr="00C8757A">
        <w:rPr>
          <w:rFonts w:ascii="Times New Roman" w:eastAsia="Times New Roman" w:hAnsi="Times New Roman" w:cs="Times New Roman"/>
          <w:sz w:val="24"/>
          <w:szCs w:val="24"/>
          <w:lang w:eastAsia="en-GB"/>
        </w:rPr>
        <w:t xml:space="preserve">*, pupa*, moult* OR </w:t>
      </w:r>
      <w:proofErr w:type="spellStart"/>
      <w:r w:rsidRPr="00C8757A">
        <w:rPr>
          <w:rFonts w:ascii="Times New Roman" w:eastAsia="Times New Roman" w:hAnsi="Times New Roman" w:cs="Times New Roman"/>
          <w:sz w:val="24"/>
          <w:szCs w:val="24"/>
          <w:lang w:eastAsia="en-GB"/>
        </w:rPr>
        <w:t>molt</w:t>
      </w:r>
      <w:proofErr w:type="spellEnd"/>
      <w:r w:rsidRPr="00C8757A">
        <w:rPr>
          <w:rFonts w:ascii="Times New Roman" w:eastAsia="Times New Roman" w:hAnsi="Times New Roman" w:cs="Times New Roman"/>
          <w:sz w:val="24"/>
          <w:szCs w:val="24"/>
          <w:lang w:eastAsia="en-GB"/>
        </w:rPr>
        <w:t xml:space="preserve">*, diapause, voltinism, fecundity, </w:t>
      </w:r>
      <w:proofErr w:type="spellStart"/>
      <w:r w:rsidRPr="00C8757A">
        <w:rPr>
          <w:rFonts w:ascii="Times New Roman" w:eastAsia="Times New Roman" w:hAnsi="Times New Roman" w:cs="Times New Roman"/>
          <w:sz w:val="24"/>
          <w:szCs w:val="24"/>
          <w:lang w:eastAsia="en-GB"/>
        </w:rPr>
        <w:t>reproduct</w:t>
      </w:r>
      <w:proofErr w:type="spellEnd"/>
      <w:r w:rsidRPr="00C8757A">
        <w:rPr>
          <w:rFonts w:ascii="Times New Roman" w:eastAsia="Times New Roman" w:hAnsi="Times New Roman" w:cs="Times New Roman"/>
          <w:sz w:val="24"/>
          <w:szCs w:val="24"/>
          <w:lang w:eastAsia="en-GB"/>
        </w:rPr>
        <w:t xml:space="preserve">*, sex ratio) and climate terms (climate change, global warming, temperature, ocean acidification, heatwave, drought, precipitation). Boolean combinations such as ("insect*" OR "crustacean*") AND ("metamorphosis" OR "diapause" OR "voltinism") AND ("climate change" OR "warming") were applied iteratively, narrowing or broadening terms depending on retrieval volume. The search covered material published between 1994 and </w:t>
      </w:r>
      <w:r w:rsidR="00E15085">
        <w:rPr>
          <w:rFonts w:ascii="Times New Roman" w:eastAsia="Times New Roman" w:hAnsi="Times New Roman" w:cs="Times New Roman"/>
          <w:sz w:val="24"/>
          <w:szCs w:val="24"/>
          <w:lang w:eastAsia="en-GB"/>
        </w:rPr>
        <w:t>March</w:t>
      </w:r>
      <w:r w:rsidRPr="00C8757A">
        <w:rPr>
          <w:rFonts w:ascii="Times New Roman" w:eastAsia="Times New Roman" w:hAnsi="Times New Roman" w:cs="Times New Roman"/>
          <w:sz w:val="24"/>
          <w:szCs w:val="24"/>
          <w:lang w:eastAsia="en-GB"/>
        </w:rPr>
        <w:t xml:space="preserve"> 2026. The year 1994 was chosen as a practical starting point because it post-dates the foundational temperature–size rule literature and captures the period over which climate-impact research on arthropods has accumulated most substantially, while earlier classic papers establishing core physiological concepts were retained as supplementary citations where directly relevant.</w:t>
      </w:r>
    </w:p>
    <w:p w14:paraId="4F8738D9" w14:textId="77777777" w:rsidR="00C8757A" w:rsidRPr="00C8757A" w:rsidRDefault="00C8757A" w:rsidP="00E1508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2.3 Inclusion and exclusion criteria</w:t>
      </w:r>
    </w:p>
    <w:p w14:paraId="119CC1C3" w14:textId="77777777" w:rsidR="00C8757A" w:rsidRPr="00C8757A" w:rsidRDefault="00C8757A" w:rsidP="00E1508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Eligible sources were peer-reviewed primary research articles and reviews published in indexed scientific journals, reporting empirical, experimental or modelling evidence on the effects of temperature, precipitation, ocean warming or ocean acidification on arthropod metamorphosis, development, voltinism, diapause or reproduction. Authoritative institutional reports from bodies such as the Intergovernmental Panel on Climate Change, the Food and Agriculture Organization or equivalent agencies were eligible where they provided contextual climate projections, provided a verifiable uniform resource locator was available. Excluded sources comprised books, grey literature, conference proceedings, trade publications, preprints, patents and non-peer-reviewed material. Studies addressing arthropod-vectored disease epidemiology, genomic mechanisms of thermal adaptation in isolation from life-history outcomes, and studies on non-arthropod taxa were excluded unless cited briefly for comparative context.</w:t>
      </w:r>
    </w:p>
    <w:p w14:paraId="45C22304" w14:textId="77777777" w:rsidR="00C8757A" w:rsidRPr="00C8757A" w:rsidRDefault="00C8757A" w:rsidP="00E1508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2.4 Screening, duplicate handling and language restriction</w:t>
      </w:r>
    </w:p>
    <w:p w14:paraId="43C62DBD" w14:textId="77777777" w:rsidR="00C8757A" w:rsidRPr="00C8757A" w:rsidRDefault="00C8757A" w:rsidP="00E1508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Search results retrieved from each database were combined and de-duplicated using reference-management software prior to title and abstract screening against the inclusion criteria above. Full texts of records passing this initial screen were then assessed for relevance to metamorphosis or reproduction specifically, rather than to climate effects on arthropods in general terms such as distribution shifts alone. Screening was restricted to English-language publications, a limitation acknowledged in Section 12. Influential or highly cited studies identified through citation tracking of retrieved articles were considered for inclusion even where they predated the primary search window, provided they remained directly relevant to the mechanisms under review.</w:t>
      </w:r>
    </w:p>
    <w:p w14:paraId="24D58AF9" w14:textId="77777777" w:rsidR="00C8757A" w:rsidRPr="00C8757A" w:rsidRDefault="00C8757A" w:rsidP="00E1508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2.5 Summary of search strategy</w:t>
      </w:r>
    </w:p>
    <w:p w14:paraId="2F4127BB" w14:textId="77777777" w:rsidR="00C8757A" w:rsidRPr="00C8757A" w:rsidRDefault="00C8757A" w:rsidP="00E1508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The overall search and screening process, including the databases consulted, the date range applied and the criteria used to admit or exclude sources, is summarised in Table 1.</w:t>
      </w:r>
    </w:p>
    <w:p w14:paraId="719E1064" w14:textId="77777777" w:rsidR="00C8757A" w:rsidRPr="00C8757A" w:rsidRDefault="00C8757A" w:rsidP="00E1508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b/>
          <w:bCs/>
          <w:sz w:val="24"/>
          <w:szCs w:val="24"/>
          <w:lang w:eastAsia="en-GB"/>
        </w:rPr>
        <w:t>Table 1.</w:t>
      </w:r>
      <w:r w:rsidRPr="00C8757A">
        <w:rPr>
          <w:rFonts w:ascii="Times New Roman" w:eastAsia="Times New Roman" w:hAnsi="Times New Roman" w:cs="Times New Roman"/>
          <w:sz w:val="24"/>
          <w:szCs w:val="24"/>
          <w:lang w:eastAsia="en-GB"/>
        </w:rPr>
        <w:t xml:space="preserve"> Summary of the literature search strategy applied in this review.</w:t>
      </w:r>
    </w:p>
    <w:tbl>
      <w:tblPr>
        <w:tblStyle w:val="TableGrid"/>
        <w:tblW w:w="0" w:type="auto"/>
        <w:tblLook w:val="04A0" w:firstRow="1" w:lastRow="0" w:firstColumn="1" w:lastColumn="0" w:noHBand="0" w:noVBand="1"/>
      </w:tblPr>
      <w:tblGrid>
        <w:gridCol w:w="1653"/>
        <w:gridCol w:w="7589"/>
      </w:tblGrid>
      <w:tr w:rsidR="00C8757A" w:rsidRPr="00C8757A" w14:paraId="273E808C" w14:textId="77777777" w:rsidTr="00C8757A">
        <w:tc>
          <w:tcPr>
            <w:tcW w:w="0" w:type="auto"/>
            <w:hideMark/>
          </w:tcPr>
          <w:p w14:paraId="57E7B5E7" w14:textId="77777777" w:rsidR="00C8757A" w:rsidRPr="00C8757A" w:rsidRDefault="00C8757A" w:rsidP="00E15085">
            <w:pPr>
              <w:jc w:val="both"/>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Element</w:t>
            </w:r>
          </w:p>
        </w:tc>
        <w:tc>
          <w:tcPr>
            <w:tcW w:w="0" w:type="auto"/>
            <w:hideMark/>
          </w:tcPr>
          <w:p w14:paraId="6F3A3635" w14:textId="77777777" w:rsidR="00C8757A" w:rsidRPr="00C8757A" w:rsidRDefault="00C8757A" w:rsidP="00E15085">
            <w:pPr>
              <w:jc w:val="both"/>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Specification</w:t>
            </w:r>
          </w:p>
        </w:tc>
      </w:tr>
      <w:tr w:rsidR="00C8757A" w:rsidRPr="00C8757A" w14:paraId="23961889" w14:textId="77777777" w:rsidTr="00C8757A">
        <w:tc>
          <w:tcPr>
            <w:tcW w:w="0" w:type="auto"/>
            <w:hideMark/>
          </w:tcPr>
          <w:p w14:paraId="23D646EA" w14:textId="77777777" w:rsidR="00C8757A" w:rsidRPr="00C8757A" w:rsidRDefault="00C8757A" w:rsidP="00E15085">
            <w:pPr>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lastRenderedPageBreak/>
              <w:t>Databases searched</w:t>
            </w:r>
          </w:p>
        </w:tc>
        <w:tc>
          <w:tcPr>
            <w:tcW w:w="0" w:type="auto"/>
            <w:hideMark/>
          </w:tcPr>
          <w:p w14:paraId="6E6B407E" w14:textId="77777777" w:rsidR="00C8757A" w:rsidRPr="00C8757A" w:rsidRDefault="00C8757A" w:rsidP="00E15085">
            <w:pPr>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Web of Science, Scopus, Google Scholar, PubMed, CAB Abstracts, BIOSIS Citation Index, ASFA, Zoological Record, AGRICOLA</w:t>
            </w:r>
          </w:p>
        </w:tc>
      </w:tr>
      <w:tr w:rsidR="00C8757A" w:rsidRPr="00C8757A" w14:paraId="5A6C25D3" w14:textId="77777777" w:rsidTr="00C8757A">
        <w:tc>
          <w:tcPr>
            <w:tcW w:w="0" w:type="auto"/>
            <w:hideMark/>
          </w:tcPr>
          <w:p w14:paraId="503815DD" w14:textId="77777777" w:rsidR="00C8757A" w:rsidRPr="00C8757A" w:rsidRDefault="00C8757A" w:rsidP="00E15085">
            <w:pPr>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Date range</w:t>
            </w:r>
          </w:p>
        </w:tc>
        <w:tc>
          <w:tcPr>
            <w:tcW w:w="0" w:type="auto"/>
            <w:hideMark/>
          </w:tcPr>
          <w:p w14:paraId="12AB8DD0" w14:textId="77777777" w:rsidR="00C8757A" w:rsidRPr="00C8757A" w:rsidRDefault="00C8757A" w:rsidP="00E15085">
            <w:pPr>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1994 to 1 April 2026</w:t>
            </w:r>
          </w:p>
        </w:tc>
      </w:tr>
      <w:tr w:rsidR="00C8757A" w:rsidRPr="00C8757A" w14:paraId="3429291C" w14:textId="77777777" w:rsidTr="00C8757A">
        <w:tc>
          <w:tcPr>
            <w:tcW w:w="0" w:type="auto"/>
            <w:hideMark/>
          </w:tcPr>
          <w:p w14:paraId="01F3F183" w14:textId="77777777" w:rsidR="00C8757A" w:rsidRPr="00C8757A" w:rsidRDefault="00C8757A" w:rsidP="00E15085">
            <w:pPr>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Core search terms</w:t>
            </w:r>
          </w:p>
        </w:tc>
        <w:tc>
          <w:tcPr>
            <w:tcW w:w="0" w:type="auto"/>
            <w:hideMark/>
          </w:tcPr>
          <w:p w14:paraId="0684EA9C" w14:textId="77777777" w:rsidR="00C8757A" w:rsidRPr="00C8757A" w:rsidRDefault="00C8757A" w:rsidP="00E15085">
            <w:pPr>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Arthropod taxon terms combined with metamorphosis/reproduction terms and climate terms</w:t>
            </w:r>
          </w:p>
        </w:tc>
      </w:tr>
      <w:tr w:rsidR="00C8757A" w:rsidRPr="00C8757A" w14:paraId="70AE28D2" w14:textId="77777777" w:rsidTr="00C8757A">
        <w:tc>
          <w:tcPr>
            <w:tcW w:w="0" w:type="auto"/>
            <w:hideMark/>
          </w:tcPr>
          <w:p w14:paraId="2A1AD7C1" w14:textId="77777777" w:rsidR="00C8757A" w:rsidRPr="00C8757A" w:rsidRDefault="00C8757A" w:rsidP="00E15085">
            <w:pPr>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Review type</w:t>
            </w:r>
          </w:p>
        </w:tc>
        <w:tc>
          <w:tcPr>
            <w:tcW w:w="0" w:type="auto"/>
            <w:hideMark/>
          </w:tcPr>
          <w:p w14:paraId="62D3C15E" w14:textId="77777777" w:rsidR="00C8757A" w:rsidRPr="00C8757A" w:rsidRDefault="00C8757A" w:rsidP="00E15085">
            <w:pPr>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Narrative review (SANRA-informed structure)</w:t>
            </w:r>
          </w:p>
        </w:tc>
      </w:tr>
      <w:tr w:rsidR="00C8757A" w:rsidRPr="00C8757A" w14:paraId="54A1BCD0" w14:textId="77777777" w:rsidTr="00C8757A">
        <w:tc>
          <w:tcPr>
            <w:tcW w:w="0" w:type="auto"/>
            <w:hideMark/>
          </w:tcPr>
          <w:p w14:paraId="6460F793" w14:textId="77777777" w:rsidR="00C8757A" w:rsidRPr="00C8757A" w:rsidRDefault="00C8757A" w:rsidP="00E15085">
            <w:pPr>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Inclusion</w:t>
            </w:r>
          </w:p>
        </w:tc>
        <w:tc>
          <w:tcPr>
            <w:tcW w:w="0" w:type="auto"/>
            <w:hideMark/>
          </w:tcPr>
          <w:p w14:paraId="7706A2D5" w14:textId="77777777" w:rsidR="00C8757A" w:rsidRPr="00C8757A" w:rsidRDefault="00C8757A" w:rsidP="00E15085">
            <w:pPr>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Peer-reviewed primary research and reviews; authoritative institutional reports with verifiable URL</w:t>
            </w:r>
          </w:p>
        </w:tc>
      </w:tr>
      <w:tr w:rsidR="00C8757A" w:rsidRPr="00C8757A" w14:paraId="102DAB92" w14:textId="77777777" w:rsidTr="00C8757A">
        <w:tc>
          <w:tcPr>
            <w:tcW w:w="0" w:type="auto"/>
            <w:hideMark/>
          </w:tcPr>
          <w:p w14:paraId="5BD56615" w14:textId="77777777" w:rsidR="00C8757A" w:rsidRPr="00C8757A" w:rsidRDefault="00C8757A" w:rsidP="00E15085">
            <w:pPr>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Exclusion</w:t>
            </w:r>
          </w:p>
        </w:tc>
        <w:tc>
          <w:tcPr>
            <w:tcW w:w="0" w:type="auto"/>
            <w:hideMark/>
          </w:tcPr>
          <w:p w14:paraId="24BA0A66" w14:textId="77777777" w:rsidR="00C8757A" w:rsidRPr="00C8757A" w:rsidRDefault="00C8757A" w:rsidP="00E15085">
            <w:pPr>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Books, grey literature, conference papers, trade publications, preprints, patents</w:t>
            </w:r>
          </w:p>
        </w:tc>
      </w:tr>
      <w:tr w:rsidR="00C8757A" w:rsidRPr="00C8757A" w14:paraId="12E2178A" w14:textId="77777777" w:rsidTr="00C8757A">
        <w:tc>
          <w:tcPr>
            <w:tcW w:w="0" w:type="auto"/>
            <w:hideMark/>
          </w:tcPr>
          <w:p w14:paraId="431BC293" w14:textId="77777777" w:rsidR="00C8757A" w:rsidRPr="00C8757A" w:rsidRDefault="00C8757A" w:rsidP="00E15085">
            <w:pPr>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Language restriction</w:t>
            </w:r>
          </w:p>
        </w:tc>
        <w:tc>
          <w:tcPr>
            <w:tcW w:w="0" w:type="auto"/>
            <w:hideMark/>
          </w:tcPr>
          <w:p w14:paraId="1B0466A2" w14:textId="77777777" w:rsidR="00C8757A" w:rsidRPr="00C8757A" w:rsidRDefault="00C8757A" w:rsidP="00E15085">
            <w:pPr>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English only</w:t>
            </w:r>
          </w:p>
        </w:tc>
      </w:tr>
      <w:tr w:rsidR="00C8757A" w:rsidRPr="00C8757A" w14:paraId="35D89E67" w14:textId="77777777" w:rsidTr="00C8757A">
        <w:tc>
          <w:tcPr>
            <w:tcW w:w="0" w:type="auto"/>
            <w:hideMark/>
          </w:tcPr>
          <w:p w14:paraId="06ADD5F0" w14:textId="77777777" w:rsidR="00C8757A" w:rsidRPr="00C8757A" w:rsidRDefault="00C8757A" w:rsidP="00E15085">
            <w:pPr>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Screening</w:t>
            </w:r>
          </w:p>
        </w:tc>
        <w:tc>
          <w:tcPr>
            <w:tcW w:w="0" w:type="auto"/>
            <w:hideMark/>
          </w:tcPr>
          <w:p w14:paraId="55F512A1" w14:textId="77777777" w:rsidR="00C8757A" w:rsidRPr="00C8757A" w:rsidRDefault="00C8757A" w:rsidP="00E15085">
            <w:pPr>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Title/abstract screening, full-text assessment for relevance to metamorphosis or reproduction</w:t>
            </w:r>
          </w:p>
        </w:tc>
      </w:tr>
    </w:tbl>
    <w:p w14:paraId="5241AF2E" w14:textId="77777777" w:rsidR="00C8757A" w:rsidRPr="00405B8B" w:rsidRDefault="00C8757A" w:rsidP="00E15085">
      <w:pPr>
        <w:spacing w:before="100" w:beforeAutospacing="1" w:after="100" w:afterAutospacing="1" w:line="240" w:lineRule="auto"/>
        <w:jc w:val="both"/>
        <w:rPr>
          <w:rFonts w:ascii="Times New Roman" w:eastAsia="Times New Roman" w:hAnsi="Times New Roman" w:cs="Times New Roman"/>
          <w:sz w:val="24"/>
          <w:szCs w:val="24"/>
          <w:lang w:val="nl-BE" w:eastAsia="en-GB"/>
        </w:rPr>
      </w:pPr>
      <w:r w:rsidRPr="00405B8B">
        <w:rPr>
          <w:rFonts w:ascii="Times New Roman" w:eastAsia="Times New Roman" w:hAnsi="Times New Roman" w:cs="Times New Roman"/>
          <w:i/>
          <w:iCs/>
          <w:sz w:val="24"/>
          <w:szCs w:val="24"/>
          <w:lang w:val="nl-BE" w:eastAsia="en-GB"/>
        </w:rPr>
        <w:t>Source: (Baethge et al., 2019; Greenhalgh et al., 2018).</w:t>
      </w:r>
    </w:p>
    <w:p w14:paraId="3CEA68C7" w14:textId="77777777" w:rsidR="00C8757A" w:rsidRPr="00405B8B" w:rsidRDefault="00C8757A" w:rsidP="00E15085">
      <w:pPr>
        <w:spacing w:after="0" w:line="240" w:lineRule="auto"/>
        <w:jc w:val="both"/>
        <w:rPr>
          <w:rFonts w:ascii="Times New Roman" w:eastAsia="Times New Roman" w:hAnsi="Times New Roman" w:cs="Times New Roman"/>
          <w:sz w:val="24"/>
          <w:szCs w:val="24"/>
          <w:lang w:val="nl-BE" w:eastAsia="en-GB"/>
        </w:rPr>
      </w:pPr>
    </w:p>
    <w:p w14:paraId="07C277CF" w14:textId="77777777" w:rsidR="00C8757A" w:rsidRPr="00C8757A" w:rsidRDefault="00C8757A" w:rsidP="00E1508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8757A">
        <w:rPr>
          <w:rFonts w:ascii="Times New Roman" w:eastAsia="Times New Roman" w:hAnsi="Times New Roman" w:cs="Times New Roman"/>
          <w:b/>
          <w:bCs/>
          <w:sz w:val="27"/>
          <w:szCs w:val="27"/>
          <w:lang w:eastAsia="en-GB"/>
        </w:rPr>
        <w:t>3. Thermal Effects on Developmental Rate and Metamorphic Timing</w:t>
      </w:r>
    </w:p>
    <w:p w14:paraId="4A7AE7B0" w14:textId="77777777" w:rsidR="00C8757A" w:rsidRPr="00C8757A" w:rsidRDefault="00C8757A" w:rsidP="00E1508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3.1 General thermal performance relationships</w:t>
      </w:r>
    </w:p>
    <w:p w14:paraId="68171A36" w14:textId="77777777" w:rsidR="00C8757A" w:rsidRPr="00C8757A" w:rsidRDefault="00C8757A" w:rsidP="00E1508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Across ectothermic arthropods, developmental rate typically increases approximately linearly with temperature over an intermediate range before plateauing and then declining sharply near the upper thermal limit, producing the characteristic asymmetric thermal performance curve. This relationship underlies projections that moderate warming will shorten larval and nymphal stage durations in many insect and crustacean species, while temperatures exceeding the thermal optimum will impair survival and slow development (Harvey et al., 2023). In agricultural pest insects, accelerated development under warming has already been associated with shorter generation times and an increased number of generations completed annually in regions where seasonal warmth was previously limiting (</w:t>
      </w:r>
      <w:proofErr w:type="spellStart"/>
      <w:r w:rsidRPr="00C8757A">
        <w:rPr>
          <w:rFonts w:ascii="Times New Roman" w:eastAsia="Times New Roman" w:hAnsi="Times New Roman" w:cs="Times New Roman"/>
          <w:sz w:val="24"/>
          <w:szCs w:val="24"/>
          <w:lang w:eastAsia="en-GB"/>
        </w:rPr>
        <w:t>Skendžić</w:t>
      </w:r>
      <w:proofErr w:type="spellEnd"/>
      <w:r w:rsidRPr="00C8757A">
        <w:rPr>
          <w:rFonts w:ascii="Times New Roman" w:eastAsia="Times New Roman" w:hAnsi="Times New Roman" w:cs="Times New Roman"/>
          <w:sz w:val="24"/>
          <w:szCs w:val="24"/>
          <w:lang w:eastAsia="en-GB"/>
        </w:rPr>
        <w:t xml:space="preserve"> et al., 2021).</w:t>
      </w:r>
    </w:p>
    <w:p w14:paraId="59556A33" w14:textId="77777777" w:rsidR="00C8757A" w:rsidRPr="00C8757A" w:rsidRDefault="00C8757A" w:rsidP="00E1508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3.2 Marine and freshwater crustacean larval development</w:t>
      </w:r>
    </w:p>
    <w:p w14:paraId="3CD80589" w14:textId="77777777" w:rsidR="00C8757A" w:rsidRPr="00C8757A" w:rsidRDefault="00C8757A" w:rsidP="00E1508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 xml:space="preserve">In marine decapod crustaceans, larval development is frequently the life stage most exposed to thermal stress because planktonic zoeal and </w:t>
      </w:r>
      <w:proofErr w:type="spellStart"/>
      <w:r w:rsidRPr="00C8757A">
        <w:rPr>
          <w:rFonts w:ascii="Times New Roman" w:eastAsia="Times New Roman" w:hAnsi="Times New Roman" w:cs="Times New Roman"/>
          <w:sz w:val="24"/>
          <w:szCs w:val="24"/>
          <w:lang w:eastAsia="en-GB"/>
        </w:rPr>
        <w:t>megalopal</w:t>
      </w:r>
      <w:proofErr w:type="spellEnd"/>
      <w:r w:rsidRPr="00C8757A">
        <w:rPr>
          <w:rFonts w:ascii="Times New Roman" w:eastAsia="Times New Roman" w:hAnsi="Times New Roman" w:cs="Times New Roman"/>
          <w:sz w:val="24"/>
          <w:szCs w:val="24"/>
          <w:lang w:eastAsia="en-GB"/>
        </w:rPr>
        <w:t xml:space="preserve"> stages cannot behaviourally avoid surface-water warming. Projections for tropical and subtropical Atlantic crab populations indicate that ocean warming will shorten development time from the zoea I to megalopa stage while simultaneously reducing survival probability, with the steepest declines expected at lower latitudes where mean sea temperatures already approach upper thermal limits (</w:t>
      </w:r>
      <w:proofErr w:type="spellStart"/>
      <w:r w:rsidRPr="00C8757A">
        <w:rPr>
          <w:rFonts w:ascii="Times New Roman" w:eastAsia="Times New Roman" w:hAnsi="Times New Roman" w:cs="Times New Roman"/>
          <w:sz w:val="24"/>
          <w:szCs w:val="24"/>
          <w:lang w:eastAsia="en-GB"/>
        </w:rPr>
        <w:t>Marochi</w:t>
      </w:r>
      <w:proofErr w:type="spellEnd"/>
      <w:r w:rsidRPr="00C8757A">
        <w:rPr>
          <w:rFonts w:ascii="Times New Roman" w:eastAsia="Times New Roman" w:hAnsi="Times New Roman" w:cs="Times New Roman"/>
          <w:sz w:val="24"/>
          <w:szCs w:val="24"/>
          <w:lang w:eastAsia="en-GB"/>
        </w:rPr>
        <w:t xml:space="preserve"> et al., 2021). Subsequent experimental work on the same and related species shows that marine heatwave events occurring early in larval development tend to produce comparatively better survival and shorter development times than heatwaves occurring later in the developmental sequence, indicating that vulnerability to thermal extremes is stage-specific rather than uniform across the larval period (</w:t>
      </w:r>
      <w:proofErr w:type="spellStart"/>
      <w:r w:rsidRPr="00C8757A">
        <w:rPr>
          <w:rFonts w:ascii="Times New Roman" w:eastAsia="Times New Roman" w:hAnsi="Times New Roman" w:cs="Times New Roman"/>
          <w:sz w:val="24"/>
          <w:szCs w:val="24"/>
          <w:lang w:eastAsia="en-GB"/>
        </w:rPr>
        <w:t>Marochi</w:t>
      </w:r>
      <w:proofErr w:type="spellEnd"/>
      <w:r w:rsidRPr="00C8757A">
        <w:rPr>
          <w:rFonts w:ascii="Times New Roman" w:eastAsia="Times New Roman" w:hAnsi="Times New Roman" w:cs="Times New Roman"/>
          <w:sz w:val="24"/>
          <w:szCs w:val="24"/>
          <w:lang w:eastAsia="en-GB"/>
        </w:rPr>
        <w:t xml:space="preserve"> et al., 2022). Thermal tolerance assays on zoea larvae of several brachyuran species confirm that survival and developmental progression decline once rearing temperatures exceed species-specific critical thresholds, with physiological costs evident in oxygen consumption and moulting success even before outright mortality occurs (</w:t>
      </w:r>
      <w:proofErr w:type="spellStart"/>
      <w:r w:rsidRPr="00C8757A">
        <w:rPr>
          <w:rFonts w:ascii="Times New Roman" w:eastAsia="Times New Roman" w:hAnsi="Times New Roman" w:cs="Times New Roman"/>
          <w:sz w:val="24"/>
          <w:szCs w:val="24"/>
          <w:lang w:eastAsia="en-GB"/>
        </w:rPr>
        <w:t>Marochi</w:t>
      </w:r>
      <w:proofErr w:type="spellEnd"/>
      <w:r w:rsidRPr="00C8757A">
        <w:rPr>
          <w:rFonts w:ascii="Times New Roman" w:eastAsia="Times New Roman" w:hAnsi="Times New Roman" w:cs="Times New Roman"/>
          <w:sz w:val="24"/>
          <w:szCs w:val="24"/>
          <w:lang w:eastAsia="en-GB"/>
        </w:rPr>
        <w:t xml:space="preserve"> et al., 2024).</w:t>
      </w:r>
    </w:p>
    <w:p w14:paraId="46593EE6" w14:textId="77777777" w:rsidR="00C8757A" w:rsidRPr="00C8757A" w:rsidRDefault="00C8757A" w:rsidP="00E1508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lastRenderedPageBreak/>
        <w:t>3.3 The temperature–size rule and its mechanistic basis</w:t>
      </w:r>
    </w:p>
    <w:p w14:paraId="68CEC722" w14:textId="77777777" w:rsidR="00C8757A" w:rsidRPr="00C8757A" w:rsidRDefault="00C8757A" w:rsidP="00E1508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A near-universal pattern among ectotherms, including the great majority of arthropods studied to date, is the temperature–size rule, whereby individuals reared at warmer temperatures mature faster but at a smaller final body size than conspecifics reared under cooler conditions (</w:t>
      </w:r>
      <w:proofErr w:type="spellStart"/>
      <w:r w:rsidRPr="00C8757A">
        <w:rPr>
          <w:rFonts w:ascii="Times New Roman" w:eastAsia="Times New Roman" w:hAnsi="Times New Roman" w:cs="Times New Roman"/>
          <w:sz w:val="24"/>
          <w:szCs w:val="24"/>
          <w:lang w:eastAsia="en-GB"/>
        </w:rPr>
        <w:t>Verberk</w:t>
      </w:r>
      <w:proofErr w:type="spellEnd"/>
      <w:r w:rsidRPr="00C8757A">
        <w:rPr>
          <w:rFonts w:ascii="Times New Roman" w:eastAsia="Times New Roman" w:hAnsi="Times New Roman" w:cs="Times New Roman"/>
          <w:sz w:val="24"/>
          <w:szCs w:val="24"/>
          <w:lang w:eastAsia="en-GB"/>
        </w:rPr>
        <w:t xml:space="preserve"> et al., 2021). The leading mechanistic explanation implicates oxygen limitation: warming increases metabolic oxygen demand disproportionately relative to the capacity of tracheal or gill systems to supply it, particularly in aquatic ectotherms where oxygen diffuses far more slowly than in air, favouring earlier maturation at smaller size as a means of reducing oxygen-supply constraints (</w:t>
      </w:r>
      <w:proofErr w:type="spellStart"/>
      <w:r w:rsidRPr="00C8757A">
        <w:rPr>
          <w:rFonts w:ascii="Times New Roman" w:eastAsia="Times New Roman" w:hAnsi="Times New Roman" w:cs="Times New Roman"/>
          <w:sz w:val="24"/>
          <w:szCs w:val="24"/>
          <w:lang w:eastAsia="en-GB"/>
        </w:rPr>
        <w:t>Verberk</w:t>
      </w:r>
      <w:proofErr w:type="spellEnd"/>
      <w:r w:rsidRPr="00C8757A">
        <w:rPr>
          <w:rFonts w:ascii="Times New Roman" w:eastAsia="Times New Roman" w:hAnsi="Times New Roman" w:cs="Times New Roman"/>
          <w:sz w:val="24"/>
          <w:szCs w:val="24"/>
          <w:lang w:eastAsia="en-GB"/>
        </w:rPr>
        <w:t xml:space="preserve"> et al., 2021). Controlled experiments manipulating temperature and dissolved oxygen independently in the freshwater isopod </w:t>
      </w:r>
      <w:r w:rsidRPr="00C8757A">
        <w:rPr>
          <w:rFonts w:ascii="Times New Roman" w:eastAsia="Times New Roman" w:hAnsi="Times New Roman" w:cs="Times New Roman"/>
          <w:i/>
          <w:iCs/>
          <w:sz w:val="24"/>
          <w:szCs w:val="24"/>
          <w:lang w:eastAsia="en-GB"/>
        </w:rPr>
        <w:t>Asellus aquaticus</w:t>
      </w:r>
      <w:r w:rsidRPr="00C8757A">
        <w:rPr>
          <w:rFonts w:ascii="Times New Roman" w:eastAsia="Times New Roman" w:hAnsi="Times New Roman" w:cs="Times New Roman"/>
          <w:sz w:val="24"/>
          <w:szCs w:val="24"/>
          <w:lang w:eastAsia="en-GB"/>
        </w:rPr>
        <w:t xml:space="preserve"> provide direct support for this mechanism, showing that size reductions under warming are more pronounced under low oxygen availability than under </w:t>
      </w:r>
      <w:proofErr w:type="spellStart"/>
      <w:r w:rsidRPr="00C8757A">
        <w:rPr>
          <w:rFonts w:ascii="Times New Roman" w:eastAsia="Times New Roman" w:hAnsi="Times New Roman" w:cs="Times New Roman"/>
          <w:sz w:val="24"/>
          <w:szCs w:val="24"/>
          <w:lang w:eastAsia="en-GB"/>
        </w:rPr>
        <w:t>normoxic</w:t>
      </w:r>
      <w:proofErr w:type="spellEnd"/>
      <w:r w:rsidRPr="00C8757A">
        <w:rPr>
          <w:rFonts w:ascii="Times New Roman" w:eastAsia="Times New Roman" w:hAnsi="Times New Roman" w:cs="Times New Roman"/>
          <w:sz w:val="24"/>
          <w:szCs w:val="24"/>
          <w:lang w:eastAsia="en-GB"/>
        </w:rPr>
        <w:t xml:space="preserve"> or </w:t>
      </w:r>
      <w:proofErr w:type="spellStart"/>
      <w:r w:rsidRPr="00C8757A">
        <w:rPr>
          <w:rFonts w:ascii="Times New Roman" w:eastAsia="Times New Roman" w:hAnsi="Times New Roman" w:cs="Times New Roman"/>
          <w:sz w:val="24"/>
          <w:szCs w:val="24"/>
          <w:lang w:eastAsia="en-GB"/>
        </w:rPr>
        <w:t>hyperoxic</w:t>
      </w:r>
      <w:proofErr w:type="spellEnd"/>
      <w:r w:rsidRPr="00C8757A">
        <w:rPr>
          <w:rFonts w:ascii="Times New Roman" w:eastAsia="Times New Roman" w:hAnsi="Times New Roman" w:cs="Times New Roman"/>
          <w:sz w:val="24"/>
          <w:szCs w:val="24"/>
          <w:lang w:eastAsia="en-GB"/>
        </w:rPr>
        <w:t xml:space="preserve"> conditions (</w:t>
      </w:r>
      <w:proofErr w:type="spellStart"/>
      <w:r w:rsidRPr="00C8757A">
        <w:rPr>
          <w:rFonts w:ascii="Times New Roman" w:eastAsia="Times New Roman" w:hAnsi="Times New Roman" w:cs="Times New Roman"/>
          <w:sz w:val="24"/>
          <w:szCs w:val="24"/>
          <w:lang w:eastAsia="en-GB"/>
        </w:rPr>
        <w:t>Hoefnagel</w:t>
      </w:r>
      <w:proofErr w:type="spellEnd"/>
      <w:r w:rsidRPr="00C8757A">
        <w:rPr>
          <w:rFonts w:ascii="Times New Roman" w:eastAsia="Times New Roman" w:hAnsi="Times New Roman" w:cs="Times New Roman"/>
          <w:sz w:val="24"/>
          <w:szCs w:val="24"/>
          <w:lang w:eastAsia="en-GB"/>
        </w:rPr>
        <w:t xml:space="preserve"> &amp; </w:t>
      </w:r>
      <w:proofErr w:type="spellStart"/>
      <w:r w:rsidRPr="00C8757A">
        <w:rPr>
          <w:rFonts w:ascii="Times New Roman" w:eastAsia="Times New Roman" w:hAnsi="Times New Roman" w:cs="Times New Roman"/>
          <w:sz w:val="24"/>
          <w:szCs w:val="24"/>
          <w:lang w:eastAsia="en-GB"/>
        </w:rPr>
        <w:t>Verberk</w:t>
      </w:r>
      <w:proofErr w:type="spellEnd"/>
      <w:r w:rsidRPr="00C8757A">
        <w:rPr>
          <w:rFonts w:ascii="Times New Roman" w:eastAsia="Times New Roman" w:hAnsi="Times New Roman" w:cs="Times New Roman"/>
          <w:sz w:val="24"/>
          <w:szCs w:val="24"/>
          <w:lang w:eastAsia="en-GB"/>
        </w:rPr>
        <w:t xml:space="preserve">, 2015). Comparative analyses further show that warming-induced body-size reductions are systematically greater in aquatic arthropods than in terrestrial ones, consistent with the relatively greater physiological cost of oxygen uptake in water (Forster et al., 2012), and that temperature–size responses observed within a single generation broadly match latitudinal body-size clines across arthropod species, pointing to a shared underlying thermal-oxygen mechanism operating across both plastic and evolutionary timescales (Horne et al., 2015). In terrestrial insects, however, this oxygen-limitation pathway appears considerably weaker, since many species can compensate through increased tracheal ventilation capacity, a form of functional hypoxia management that buffers, though does not eliminate, the link between warming and reduced body size on land (Harrison et al., 2018). The rule also shows numerous taxon-specific exceptions, including instances where nutritional quality of the diet modifies or reverses the expected size response under warming, as demonstrated by rearing experiments on the blowfly </w:t>
      </w:r>
      <w:proofErr w:type="spellStart"/>
      <w:r w:rsidRPr="00C8757A">
        <w:rPr>
          <w:rFonts w:ascii="Times New Roman" w:eastAsia="Times New Roman" w:hAnsi="Times New Roman" w:cs="Times New Roman"/>
          <w:i/>
          <w:iCs/>
          <w:sz w:val="24"/>
          <w:szCs w:val="24"/>
          <w:lang w:eastAsia="en-GB"/>
        </w:rPr>
        <w:t>Aldrichina</w:t>
      </w:r>
      <w:proofErr w:type="spellEnd"/>
      <w:r w:rsidRPr="00C8757A">
        <w:rPr>
          <w:rFonts w:ascii="Times New Roman" w:eastAsia="Times New Roman" w:hAnsi="Times New Roman" w:cs="Times New Roman"/>
          <w:i/>
          <w:iCs/>
          <w:sz w:val="24"/>
          <w:szCs w:val="24"/>
          <w:lang w:eastAsia="en-GB"/>
        </w:rPr>
        <w:t xml:space="preserve"> grahami</w:t>
      </w:r>
      <w:r w:rsidRPr="00C8757A">
        <w:rPr>
          <w:rFonts w:ascii="Times New Roman" w:eastAsia="Times New Roman" w:hAnsi="Times New Roman" w:cs="Times New Roman"/>
          <w:sz w:val="24"/>
          <w:szCs w:val="24"/>
          <w:lang w:eastAsia="en-GB"/>
        </w:rPr>
        <w:t xml:space="preserve"> across a temperature and diet-quality gradient (</w:t>
      </w:r>
      <w:r w:rsidRPr="00C8757A">
        <w:rPr>
          <w:rFonts w:ascii="Times New Roman" w:eastAsia="Times New Roman" w:hAnsi="Times New Roman" w:cs="Times New Roman"/>
          <w:bCs/>
          <w:sz w:val="24"/>
          <w:szCs w:val="24"/>
          <w:lang w:eastAsia="en-GB"/>
        </w:rPr>
        <w:t>Yan et al., 2024</w:t>
      </w:r>
      <w:r w:rsidRPr="00C8757A">
        <w:rPr>
          <w:rFonts w:ascii="Times New Roman" w:eastAsia="Times New Roman" w:hAnsi="Times New Roman" w:cs="Times New Roman"/>
          <w:sz w:val="24"/>
          <w:szCs w:val="24"/>
          <w:lang w:eastAsia="en-GB"/>
        </w:rPr>
        <w:t>).</w:t>
      </w:r>
    </w:p>
    <w:p w14:paraId="5FBA4B6D" w14:textId="77777777" w:rsidR="00C8757A" w:rsidRPr="00C8757A" w:rsidRDefault="00C8757A" w:rsidP="00E1508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3.4 Synthesis: developmental timing under warming</w:t>
      </w:r>
    </w:p>
    <w:p w14:paraId="08EC79E8" w14:textId="77777777" w:rsidR="00C8757A" w:rsidRPr="00C8757A" w:rsidRDefault="00C8757A" w:rsidP="00E1508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The patterns described above, spanning terrestrial insects, marine crab larvae and freshwater crustaceans, are summarised comparatively in Table 2.</w:t>
      </w:r>
    </w:p>
    <w:p w14:paraId="730D5C92" w14:textId="77777777" w:rsidR="00C8757A" w:rsidRPr="00C8757A" w:rsidRDefault="00C8757A" w:rsidP="00E1508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b/>
          <w:bCs/>
          <w:sz w:val="24"/>
          <w:szCs w:val="24"/>
          <w:lang w:eastAsia="en-GB"/>
        </w:rPr>
        <w:t>Table 2.</w:t>
      </w:r>
      <w:r w:rsidRPr="00C8757A">
        <w:rPr>
          <w:rFonts w:ascii="Times New Roman" w:eastAsia="Times New Roman" w:hAnsi="Times New Roman" w:cs="Times New Roman"/>
          <w:sz w:val="24"/>
          <w:szCs w:val="24"/>
          <w:lang w:eastAsia="en-GB"/>
        </w:rPr>
        <w:t xml:space="preserve"> Summary of documented effects of warming on metamorphic development across arthropod groups.</w:t>
      </w:r>
    </w:p>
    <w:tbl>
      <w:tblPr>
        <w:tblStyle w:val="TableGrid"/>
        <w:tblW w:w="0" w:type="auto"/>
        <w:tblLook w:val="04A0" w:firstRow="1" w:lastRow="0" w:firstColumn="1" w:lastColumn="0" w:noHBand="0" w:noVBand="1"/>
      </w:tblPr>
      <w:tblGrid>
        <w:gridCol w:w="2334"/>
        <w:gridCol w:w="4118"/>
        <w:gridCol w:w="2790"/>
      </w:tblGrid>
      <w:tr w:rsidR="00C8757A" w:rsidRPr="00C8757A" w14:paraId="6323434F" w14:textId="77777777" w:rsidTr="00C8757A">
        <w:tc>
          <w:tcPr>
            <w:tcW w:w="0" w:type="auto"/>
            <w:hideMark/>
          </w:tcPr>
          <w:p w14:paraId="62A53C15" w14:textId="77777777" w:rsidR="00C8757A" w:rsidRPr="00C8757A" w:rsidRDefault="00C8757A" w:rsidP="00E15085">
            <w:pPr>
              <w:jc w:val="both"/>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Taxonomic group</w:t>
            </w:r>
          </w:p>
        </w:tc>
        <w:tc>
          <w:tcPr>
            <w:tcW w:w="0" w:type="auto"/>
            <w:hideMark/>
          </w:tcPr>
          <w:p w14:paraId="77FED2F5" w14:textId="77777777" w:rsidR="00C8757A" w:rsidRPr="00C8757A" w:rsidRDefault="00C8757A" w:rsidP="00E15085">
            <w:pPr>
              <w:jc w:val="both"/>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Documented effect of warming</w:t>
            </w:r>
          </w:p>
        </w:tc>
        <w:tc>
          <w:tcPr>
            <w:tcW w:w="0" w:type="auto"/>
            <w:hideMark/>
          </w:tcPr>
          <w:p w14:paraId="05EFFF56" w14:textId="77777777" w:rsidR="00C8757A" w:rsidRPr="00C8757A" w:rsidRDefault="00C8757A" w:rsidP="00E15085">
            <w:pPr>
              <w:jc w:val="both"/>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Representative source</w:t>
            </w:r>
          </w:p>
        </w:tc>
      </w:tr>
      <w:tr w:rsidR="00C8757A" w:rsidRPr="00C8757A" w14:paraId="5FBB2525" w14:textId="77777777" w:rsidTr="00C8757A">
        <w:tc>
          <w:tcPr>
            <w:tcW w:w="0" w:type="auto"/>
            <w:hideMark/>
          </w:tcPr>
          <w:p w14:paraId="5ADA08F6" w14:textId="77777777" w:rsidR="00C8757A" w:rsidRPr="00C8757A" w:rsidRDefault="00C8757A" w:rsidP="00E15085">
            <w:pPr>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Terrestrial insects (general)</w:t>
            </w:r>
          </w:p>
        </w:tc>
        <w:tc>
          <w:tcPr>
            <w:tcW w:w="0" w:type="auto"/>
            <w:hideMark/>
          </w:tcPr>
          <w:p w14:paraId="7996A858" w14:textId="77777777" w:rsidR="00C8757A" w:rsidRPr="00C8757A" w:rsidRDefault="00C8757A" w:rsidP="00E15085">
            <w:pPr>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Faster development to thermal optimum; increased voltinism; smaller adult size</w:t>
            </w:r>
          </w:p>
        </w:tc>
        <w:tc>
          <w:tcPr>
            <w:tcW w:w="0" w:type="auto"/>
            <w:hideMark/>
          </w:tcPr>
          <w:p w14:paraId="23C53626" w14:textId="77777777" w:rsidR="00C8757A" w:rsidRPr="00C8757A" w:rsidRDefault="00C8757A" w:rsidP="00E15085">
            <w:pPr>
              <w:jc w:val="both"/>
              <w:rPr>
                <w:rFonts w:ascii="Times New Roman" w:eastAsia="Times New Roman" w:hAnsi="Times New Roman" w:cs="Times New Roman"/>
                <w:sz w:val="24"/>
                <w:szCs w:val="24"/>
                <w:lang w:eastAsia="en-GB"/>
              </w:rPr>
            </w:pPr>
            <w:r w:rsidRPr="00405B8B">
              <w:rPr>
                <w:rFonts w:ascii="Times New Roman" w:eastAsia="Times New Roman" w:hAnsi="Times New Roman" w:cs="Times New Roman"/>
                <w:sz w:val="24"/>
                <w:szCs w:val="24"/>
                <w:lang w:val="nl-BE" w:eastAsia="en-GB"/>
              </w:rPr>
              <w:t xml:space="preserve">Harvey et al. (2023); Verberk et al. </w:t>
            </w:r>
            <w:r w:rsidRPr="00C8757A">
              <w:rPr>
                <w:rFonts w:ascii="Times New Roman" w:eastAsia="Times New Roman" w:hAnsi="Times New Roman" w:cs="Times New Roman"/>
                <w:sz w:val="24"/>
                <w:szCs w:val="24"/>
                <w:lang w:eastAsia="en-GB"/>
              </w:rPr>
              <w:t>(2021)</w:t>
            </w:r>
          </w:p>
        </w:tc>
      </w:tr>
      <w:tr w:rsidR="00C8757A" w:rsidRPr="00C8757A" w14:paraId="07503745" w14:textId="77777777" w:rsidTr="00C8757A">
        <w:tc>
          <w:tcPr>
            <w:tcW w:w="0" w:type="auto"/>
            <w:hideMark/>
          </w:tcPr>
          <w:p w14:paraId="298CF860" w14:textId="77777777" w:rsidR="00C8757A" w:rsidRPr="00C8757A" w:rsidRDefault="00C8757A" w:rsidP="00E15085">
            <w:pPr>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Agricultural pest insects</w:t>
            </w:r>
          </w:p>
        </w:tc>
        <w:tc>
          <w:tcPr>
            <w:tcW w:w="0" w:type="auto"/>
            <w:hideMark/>
          </w:tcPr>
          <w:p w14:paraId="20213EFD" w14:textId="77777777" w:rsidR="00C8757A" w:rsidRPr="00C8757A" w:rsidRDefault="00C8757A" w:rsidP="00E15085">
            <w:pPr>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Shortened generation time; expanded number of annual generations</w:t>
            </w:r>
          </w:p>
        </w:tc>
        <w:tc>
          <w:tcPr>
            <w:tcW w:w="0" w:type="auto"/>
            <w:hideMark/>
          </w:tcPr>
          <w:p w14:paraId="367A27A8" w14:textId="77777777" w:rsidR="00C8757A" w:rsidRPr="00C8757A" w:rsidRDefault="00C8757A" w:rsidP="00E15085">
            <w:pPr>
              <w:jc w:val="both"/>
              <w:rPr>
                <w:rFonts w:ascii="Times New Roman" w:eastAsia="Times New Roman" w:hAnsi="Times New Roman" w:cs="Times New Roman"/>
                <w:sz w:val="24"/>
                <w:szCs w:val="24"/>
                <w:lang w:eastAsia="en-GB"/>
              </w:rPr>
            </w:pPr>
            <w:proofErr w:type="spellStart"/>
            <w:r w:rsidRPr="00C8757A">
              <w:rPr>
                <w:rFonts w:ascii="Times New Roman" w:eastAsia="Times New Roman" w:hAnsi="Times New Roman" w:cs="Times New Roman"/>
                <w:sz w:val="24"/>
                <w:szCs w:val="24"/>
                <w:lang w:eastAsia="en-GB"/>
              </w:rPr>
              <w:t>Skendžić</w:t>
            </w:r>
            <w:proofErr w:type="spellEnd"/>
            <w:r w:rsidRPr="00C8757A">
              <w:rPr>
                <w:rFonts w:ascii="Times New Roman" w:eastAsia="Times New Roman" w:hAnsi="Times New Roman" w:cs="Times New Roman"/>
                <w:sz w:val="24"/>
                <w:szCs w:val="24"/>
                <w:lang w:eastAsia="en-GB"/>
              </w:rPr>
              <w:t xml:space="preserve"> et al. (2021)</w:t>
            </w:r>
          </w:p>
        </w:tc>
      </w:tr>
      <w:tr w:rsidR="00C8757A" w:rsidRPr="00C8757A" w14:paraId="4D7A5153" w14:textId="77777777" w:rsidTr="00C8757A">
        <w:tc>
          <w:tcPr>
            <w:tcW w:w="0" w:type="auto"/>
            <w:hideMark/>
          </w:tcPr>
          <w:p w14:paraId="2B650060" w14:textId="77777777" w:rsidR="00C8757A" w:rsidRPr="00C8757A" w:rsidRDefault="00C8757A" w:rsidP="00E15085">
            <w:pPr>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Marine brachyuran crab larvae</w:t>
            </w:r>
          </w:p>
        </w:tc>
        <w:tc>
          <w:tcPr>
            <w:tcW w:w="0" w:type="auto"/>
            <w:hideMark/>
          </w:tcPr>
          <w:p w14:paraId="5CCC2017" w14:textId="77777777" w:rsidR="00C8757A" w:rsidRPr="00C8757A" w:rsidRDefault="00C8757A" w:rsidP="00E15085">
            <w:pPr>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Faster zoeal development but reduced survival, especially at lower latitudes</w:t>
            </w:r>
          </w:p>
        </w:tc>
        <w:tc>
          <w:tcPr>
            <w:tcW w:w="0" w:type="auto"/>
            <w:hideMark/>
          </w:tcPr>
          <w:p w14:paraId="1DF7FB8F" w14:textId="77777777" w:rsidR="00C8757A" w:rsidRPr="00C8757A" w:rsidRDefault="00C8757A" w:rsidP="00E15085">
            <w:pPr>
              <w:jc w:val="both"/>
              <w:rPr>
                <w:rFonts w:ascii="Times New Roman" w:eastAsia="Times New Roman" w:hAnsi="Times New Roman" w:cs="Times New Roman"/>
                <w:sz w:val="24"/>
                <w:szCs w:val="24"/>
                <w:lang w:eastAsia="en-GB"/>
              </w:rPr>
            </w:pPr>
            <w:proofErr w:type="spellStart"/>
            <w:r w:rsidRPr="00C8757A">
              <w:rPr>
                <w:rFonts w:ascii="Times New Roman" w:eastAsia="Times New Roman" w:hAnsi="Times New Roman" w:cs="Times New Roman"/>
                <w:sz w:val="24"/>
                <w:szCs w:val="24"/>
                <w:lang w:eastAsia="en-GB"/>
              </w:rPr>
              <w:t>Marochi</w:t>
            </w:r>
            <w:proofErr w:type="spellEnd"/>
            <w:r w:rsidRPr="00C8757A">
              <w:rPr>
                <w:rFonts w:ascii="Times New Roman" w:eastAsia="Times New Roman" w:hAnsi="Times New Roman" w:cs="Times New Roman"/>
                <w:sz w:val="24"/>
                <w:szCs w:val="24"/>
                <w:lang w:eastAsia="en-GB"/>
              </w:rPr>
              <w:t xml:space="preserve"> et al. (2021)</w:t>
            </w:r>
          </w:p>
        </w:tc>
      </w:tr>
      <w:tr w:rsidR="00C8757A" w:rsidRPr="00C8757A" w14:paraId="6335EB1D" w14:textId="77777777" w:rsidTr="00C8757A">
        <w:tc>
          <w:tcPr>
            <w:tcW w:w="0" w:type="auto"/>
            <w:hideMark/>
          </w:tcPr>
          <w:p w14:paraId="688EB5B7" w14:textId="77777777" w:rsidR="00C8757A" w:rsidRPr="00C8757A" w:rsidRDefault="00C8757A" w:rsidP="00E15085">
            <w:pPr>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Marine crab larvae under heatwaves</w:t>
            </w:r>
          </w:p>
        </w:tc>
        <w:tc>
          <w:tcPr>
            <w:tcW w:w="0" w:type="auto"/>
            <w:hideMark/>
          </w:tcPr>
          <w:p w14:paraId="45DE2225" w14:textId="77777777" w:rsidR="00C8757A" w:rsidRPr="00C8757A" w:rsidRDefault="00C8757A" w:rsidP="00E15085">
            <w:pPr>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Stage-specific vulnerability; later-stage exposure more damaging</w:t>
            </w:r>
          </w:p>
        </w:tc>
        <w:tc>
          <w:tcPr>
            <w:tcW w:w="0" w:type="auto"/>
            <w:hideMark/>
          </w:tcPr>
          <w:p w14:paraId="75D0B829" w14:textId="77777777" w:rsidR="00C8757A" w:rsidRPr="00C8757A" w:rsidRDefault="00C8757A" w:rsidP="00E15085">
            <w:pPr>
              <w:jc w:val="both"/>
              <w:rPr>
                <w:rFonts w:ascii="Times New Roman" w:eastAsia="Times New Roman" w:hAnsi="Times New Roman" w:cs="Times New Roman"/>
                <w:sz w:val="24"/>
                <w:szCs w:val="24"/>
                <w:lang w:eastAsia="en-GB"/>
              </w:rPr>
            </w:pPr>
            <w:proofErr w:type="spellStart"/>
            <w:r w:rsidRPr="00C8757A">
              <w:rPr>
                <w:rFonts w:ascii="Times New Roman" w:eastAsia="Times New Roman" w:hAnsi="Times New Roman" w:cs="Times New Roman"/>
                <w:sz w:val="24"/>
                <w:szCs w:val="24"/>
                <w:lang w:eastAsia="en-GB"/>
              </w:rPr>
              <w:t>Marochi</w:t>
            </w:r>
            <w:proofErr w:type="spellEnd"/>
            <w:r w:rsidRPr="00C8757A">
              <w:rPr>
                <w:rFonts w:ascii="Times New Roman" w:eastAsia="Times New Roman" w:hAnsi="Times New Roman" w:cs="Times New Roman"/>
                <w:sz w:val="24"/>
                <w:szCs w:val="24"/>
                <w:lang w:eastAsia="en-GB"/>
              </w:rPr>
              <w:t xml:space="preserve"> et al. (2022)</w:t>
            </w:r>
          </w:p>
        </w:tc>
      </w:tr>
      <w:tr w:rsidR="00C8757A" w:rsidRPr="00C8757A" w14:paraId="2C5F66C1" w14:textId="77777777" w:rsidTr="00C8757A">
        <w:tc>
          <w:tcPr>
            <w:tcW w:w="0" w:type="auto"/>
            <w:hideMark/>
          </w:tcPr>
          <w:p w14:paraId="268998DE" w14:textId="77777777" w:rsidR="00C8757A" w:rsidRPr="00C8757A" w:rsidRDefault="00C8757A" w:rsidP="00E15085">
            <w:pPr>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Freshwater crustaceans (isopods)</w:t>
            </w:r>
          </w:p>
        </w:tc>
        <w:tc>
          <w:tcPr>
            <w:tcW w:w="0" w:type="auto"/>
            <w:hideMark/>
          </w:tcPr>
          <w:p w14:paraId="07BA549E" w14:textId="77777777" w:rsidR="00C8757A" w:rsidRPr="00C8757A" w:rsidRDefault="00C8757A" w:rsidP="00E15085">
            <w:pPr>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Oxygen-mediated size reduction under warming</w:t>
            </w:r>
          </w:p>
        </w:tc>
        <w:tc>
          <w:tcPr>
            <w:tcW w:w="0" w:type="auto"/>
            <w:hideMark/>
          </w:tcPr>
          <w:p w14:paraId="124CEE51" w14:textId="77777777" w:rsidR="00C8757A" w:rsidRPr="00C8757A" w:rsidRDefault="00C8757A" w:rsidP="00E15085">
            <w:pPr>
              <w:jc w:val="both"/>
              <w:rPr>
                <w:rFonts w:ascii="Times New Roman" w:eastAsia="Times New Roman" w:hAnsi="Times New Roman" w:cs="Times New Roman"/>
                <w:sz w:val="24"/>
                <w:szCs w:val="24"/>
                <w:lang w:eastAsia="en-GB"/>
              </w:rPr>
            </w:pPr>
            <w:proofErr w:type="spellStart"/>
            <w:r w:rsidRPr="00C8757A">
              <w:rPr>
                <w:rFonts w:ascii="Times New Roman" w:eastAsia="Times New Roman" w:hAnsi="Times New Roman" w:cs="Times New Roman"/>
                <w:sz w:val="24"/>
                <w:szCs w:val="24"/>
                <w:lang w:eastAsia="en-GB"/>
              </w:rPr>
              <w:t>Hoefnagel</w:t>
            </w:r>
            <w:proofErr w:type="spellEnd"/>
            <w:r w:rsidRPr="00C8757A">
              <w:rPr>
                <w:rFonts w:ascii="Times New Roman" w:eastAsia="Times New Roman" w:hAnsi="Times New Roman" w:cs="Times New Roman"/>
                <w:sz w:val="24"/>
                <w:szCs w:val="24"/>
                <w:lang w:eastAsia="en-GB"/>
              </w:rPr>
              <w:t xml:space="preserve"> &amp; </w:t>
            </w:r>
            <w:proofErr w:type="spellStart"/>
            <w:r w:rsidRPr="00C8757A">
              <w:rPr>
                <w:rFonts w:ascii="Times New Roman" w:eastAsia="Times New Roman" w:hAnsi="Times New Roman" w:cs="Times New Roman"/>
                <w:sz w:val="24"/>
                <w:szCs w:val="24"/>
                <w:lang w:eastAsia="en-GB"/>
              </w:rPr>
              <w:t>Verberk</w:t>
            </w:r>
            <w:proofErr w:type="spellEnd"/>
            <w:r w:rsidRPr="00C8757A">
              <w:rPr>
                <w:rFonts w:ascii="Times New Roman" w:eastAsia="Times New Roman" w:hAnsi="Times New Roman" w:cs="Times New Roman"/>
                <w:sz w:val="24"/>
                <w:szCs w:val="24"/>
                <w:lang w:eastAsia="en-GB"/>
              </w:rPr>
              <w:t xml:space="preserve"> (2015)</w:t>
            </w:r>
          </w:p>
        </w:tc>
      </w:tr>
      <w:tr w:rsidR="00C8757A" w:rsidRPr="00C8757A" w14:paraId="59354697" w14:textId="77777777" w:rsidTr="00C8757A">
        <w:tc>
          <w:tcPr>
            <w:tcW w:w="0" w:type="auto"/>
            <w:hideMark/>
          </w:tcPr>
          <w:p w14:paraId="62F5BEF8" w14:textId="77777777" w:rsidR="00C8757A" w:rsidRPr="00C8757A" w:rsidRDefault="00C8757A" w:rsidP="00E15085">
            <w:pPr>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Cross-arthropod comparison</w:t>
            </w:r>
          </w:p>
        </w:tc>
        <w:tc>
          <w:tcPr>
            <w:tcW w:w="0" w:type="auto"/>
            <w:hideMark/>
          </w:tcPr>
          <w:p w14:paraId="08AC2D87" w14:textId="77777777" w:rsidR="00C8757A" w:rsidRPr="00C8757A" w:rsidRDefault="00C8757A" w:rsidP="00E15085">
            <w:pPr>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Greater size reduction in aquatic than terrestrial species</w:t>
            </w:r>
          </w:p>
        </w:tc>
        <w:tc>
          <w:tcPr>
            <w:tcW w:w="0" w:type="auto"/>
            <w:hideMark/>
          </w:tcPr>
          <w:p w14:paraId="505B4A11" w14:textId="77777777" w:rsidR="00C8757A" w:rsidRPr="00C8757A" w:rsidRDefault="00C8757A" w:rsidP="00E15085">
            <w:pPr>
              <w:jc w:val="both"/>
              <w:rPr>
                <w:rFonts w:ascii="Times New Roman" w:eastAsia="Times New Roman" w:hAnsi="Times New Roman" w:cs="Times New Roman"/>
                <w:sz w:val="24"/>
                <w:szCs w:val="24"/>
                <w:lang w:eastAsia="en-GB"/>
              </w:rPr>
            </w:pPr>
            <w:r w:rsidRPr="00405B8B">
              <w:rPr>
                <w:rFonts w:ascii="Times New Roman" w:eastAsia="Times New Roman" w:hAnsi="Times New Roman" w:cs="Times New Roman"/>
                <w:sz w:val="24"/>
                <w:szCs w:val="24"/>
                <w:lang w:val="nl-BE" w:eastAsia="en-GB"/>
              </w:rPr>
              <w:t xml:space="preserve">Forster et al. (2012); Horne et al. </w:t>
            </w:r>
            <w:r w:rsidRPr="00C8757A">
              <w:rPr>
                <w:rFonts w:ascii="Times New Roman" w:eastAsia="Times New Roman" w:hAnsi="Times New Roman" w:cs="Times New Roman"/>
                <w:sz w:val="24"/>
                <w:szCs w:val="24"/>
                <w:lang w:eastAsia="en-GB"/>
              </w:rPr>
              <w:t>(2015)</w:t>
            </w:r>
          </w:p>
        </w:tc>
      </w:tr>
    </w:tbl>
    <w:p w14:paraId="6BE1F594" w14:textId="77777777" w:rsidR="00C8757A" w:rsidRPr="00C8757A" w:rsidRDefault="00C8757A" w:rsidP="00E1508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i/>
          <w:iCs/>
          <w:sz w:val="24"/>
          <w:szCs w:val="24"/>
          <w:lang w:eastAsia="en-GB"/>
        </w:rPr>
        <w:lastRenderedPageBreak/>
        <w:t xml:space="preserve">Source references: Harvey et al. </w:t>
      </w:r>
      <w:r w:rsidRPr="00405B8B">
        <w:rPr>
          <w:rFonts w:ascii="Times New Roman" w:eastAsia="Times New Roman" w:hAnsi="Times New Roman" w:cs="Times New Roman"/>
          <w:i/>
          <w:iCs/>
          <w:sz w:val="24"/>
          <w:szCs w:val="24"/>
          <w:lang w:val="nl-BE" w:eastAsia="en-GB"/>
        </w:rPr>
        <w:t xml:space="preserve">(2023); Verberk et al. (2021); Skendžić et al. (2021); Marochi et al. (2021, 2022); Hoefnagel &amp; Verberk (2015); Forster et al. (2012); Horne et al. </w:t>
      </w:r>
      <w:r w:rsidRPr="00C8757A">
        <w:rPr>
          <w:rFonts w:ascii="Times New Roman" w:eastAsia="Times New Roman" w:hAnsi="Times New Roman" w:cs="Times New Roman"/>
          <w:i/>
          <w:iCs/>
          <w:sz w:val="24"/>
          <w:szCs w:val="24"/>
          <w:lang w:eastAsia="en-GB"/>
        </w:rPr>
        <w:t>(2015).</w:t>
      </w:r>
    </w:p>
    <w:p w14:paraId="56973017" w14:textId="77777777" w:rsidR="00C8757A" w:rsidRPr="00C8757A" w:rsidRDefault="00C8757A" w:rsidP="00E1508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As Table 2 illustrates, the magnitude and even the direction of size change under warming depend strongly on whether a species develops in water or on land, a distinction that recurs throughout the remainder of this review.</w:t>
      </w:r>
    </w:p>
    <w:p w14:paraId="011CCFFB" w14:textId="77777777" w:rsidR="00C8757A" w:rsidRPr="00C8757A" w:rsidRDefault="00C8757A" w:rsidP="00E15085">
      <w:pPr>
        <w:spacing w:after="0" w:line="240" w:lineRule="auto"/>
        <w:jc w:val="both"/>
        <w:rPr>
          <w:rFonts w:ascii="Times New Roman" w:eastAsia="Times New Roman" w:hAnsi="Times New Roman" w:cs="Times New Roman"/>
          <w:sz w:val="24"/>
          <w:szCs w:val="24"/>
          <w:lang w:eastAsia="en-GB"/>
        </w:rPr>
      </w:pPr>
    </w:p>
    <w:p w14:paraId="496379B2" w14:textId="77777777" w:rsidR="00C8757A" w:rsidRPr="00C8757A" w:rsidRDefault="00C8757A" w:rsidP="00E1508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8757A">
        <w:rPr>
          <w:rFonts w:ascii="Times New Roman" w:eastAsia="Times New Roman" w:hAnsi="Times New Roman" w:cs="Times New Roman"/>
          <w:b/>
          <w:bCs/>
          <w:sz w:val="27"/>
          <w:szCs w:val="27"/>
          <w:lang w:eastAsia="en-GB"/>
        </w:rPr>
        <w:t>4. Diapause, Overwintering and Voltinism Under a Warming Climate</w:t>
      </w:r>
    </w:p>
    <w:p w14:paraId="08406D46" w14:textId="77777777" w:rsidR="00C8757A" w:rsidRPr="00C8757A" w:rsidRDefault="00C8757A" w:rsidP="00E1508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4.1 The function and regulation of diapause</w:t>
      </w:r>
    </w:p>
    <w:p w14:paraId="2AACB993" w14:textId="77777777" w:rsidR="00C8757A" w:rsidRPr="00C8757A" w:rsidRDefault="00C8757A" w:rsidP="00E1508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Diapause is a programmed state of developmental arrest, metabolic suppression and enhanced stress resistance that allows insects and other arthropods to survive predictably unfavourable seasons, most commonly winter cold but also summer drought (</w:t>
      </w:r>
      <w:proofErr w:type="spellStart"/>
      <w:r w:rsidRPr="00C8757A">
        <w:rPr>
          <w:rFonts w:ascii="Times New Roman" w:eastAsia="Times New Roman" w:hAnsi="Times New Roman" w:cs="Times New Roman"/>
          <w:sz w:val="24"/>
          <w:szCs w:val="24"/>
          <w:lang w:eastAsia="en-GB"/>
        </w:rPr>
        <w:t>Tougeron</w:t>
      </w:r>
      <w:proofErr w:type="spellEnd"/>
      <w:r w:rsidRPr="00C8757A">
        <w:rPr>
          <w:rFonts w:ascii="Times New Roman" w:eastAsia="Times New Roman" w:hAnsi="Times New Roman" w:cs="Times New Roman"/>
          <w:sz w:val="24"/>
          <w:szCs w:val="24"/>
          <w:lang w:eastAsia="en-GB"/>
        </w:rPr>
        <w:t>, 2019). Diapause induction, maintenance and termination are governed by an interacting set of environmental cues, principally photoperiod and temperature, with the diapause state itself conferring increased cold hardiness independent of acute cold acclimation (Bale &amp; Hayward, 2010). Because diapause is so tightly tuned to historical seasonal cues, it is considered one of the life-history traits most likely to be disrupted by rapid climate change: photoperiod remains fixed by latitude while temperature shifts independently of it, creating the potential for mismatched cue combinations (Bale &amp; Hayward, 2010).</w:t>
      </w:r>
    </w:p>
    <w:p w14:paraId="3F57F726" w14:textId="77777777" w:rsidR="00C8757A" w:rsidRPr="00C8757A" w:rsidRDefault="00C8757A" w:rsidP="00E1508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4.2 Voltinism shifts under warming</w:t>
      </w:r>
    </w:p>
    <w:p w14:paraId="2CB12FDE" w14:textId="77777777" w:rsidR="00C8757A" w:rsidRPr="00C8757A" w:rsidRDefault="00C8757A" w:rsidP="00E1508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Where diapause is facultative rather than obligate, warmer growing-season temperatures frequently permit an additional generation to be completed before the onset of diapause-inducing conditions, a shift termed an increase in voltinism. Long-term field and modelling studies of the codling moth, a major global pest of pome fruit, project that the risk of a pronounced second generation occurring within a single season will rise from below twenty per cent under historical conditions to between seventy and one hundred per cent under mid-century warming scenarios in parts of Europe, with the risk of a third generation increasing correspondingly from near zero to effectively certain at some sites (</w:t>
      </w:r>
      <w:proofErr w:type="spellStart"/>
      <w:r w:rsidRPr="00C8757A">
        <w:rPr>
          <w:rFonts w:ascii="Times New Roman" w:eastAsia="Times New Roman" w:hAnsi="Times New Roman" w:cs="Times New Roman"/>
          <w:sz w:val="24"/>
          <w:szCs w:val="24"/>
          <w:lang w:eastAsia="en-GB"/>
        </w:rPr>
        <w:t>Stoeckli</w:t>
      </w:r>
      <w:proofErr w:type="spellEnd"/>
      <w:r w:rsidRPr="00C8757A">
        <w:rPr>
          <w:rFonts w:ascii="Times New Roman" w:eastAsia="Times New Roman" w:hAnsi="Times New Roman" w:cs="Times New Roman"/>
          <w:sz w:val="24"/>
          <w:szCs w:val="24"/>
          <w:lang w:eastAsia="en-GB"/>
        </w:rPr>
        <w:t xml:space="preserve"> et al., 2012). Similar facultative shifts toward bivoltine or </w:t>
      </w:r>
      <w:proofErr w:type="spellStart"/>
      <w:r w:rsidRPr="00C8757A">
        <w:rPr>
          <w:rFonts w:ascii="Times New Roman" w:eastAsia="Times New Roman" w:hAnsi="Times New Roman" w:cs="Times New Roman"/>
          <w:sz w:val="24"/>
          <w:szCs w:val="24"/>
          <w:lang w:eastAsia="en-GB"/>
        </w:rPr>
        <w:t>trivoltine</w:t>
      </w:r>
      <w:proofErr w:type="spellEnd"/>
      <w:r w:rsidRPr="00C8757A">
        <w:rPr>
          <w:rFonts w:ascii="Times New Roman" w:eastAsia="Times New Roman" w:hAnsi="Times New Roman" w:cs="Times New Roman"/>
          <w:sz w:val="24"/>
          <w:szCs w:val="24"/>
          <w:lang w:eastAsia="en-GB"/>
        </w:rPr>
        <w:t xml:space="preserve"> life cycles have been documented in the Asian corn borer, where intra-population evolutionary change in the proportion of individuals entering diapause has accompanied recent warming trends, with non-diapausing and facultatively diapausing genotypes increasing in frequency relative to historically dominant obligate diapause genotypes (</w:t>
      </w:r>
      <w:r w:rsidRPr="00C8757A">
        <w:rPr>
          <w:rFonts w:ascii="Times New Roman" w:eastAsia="Times New Roman" w:hAnsi="Times New Roman" w:cs="Times New Roman"/>
          <w:b/>
          <w:bCs/>
          <w:sz w:val="24"/>
          <w:szCs w:val="24"/>
          <w:lang w:eastAsia="en-GB"/>
        </w:rPr>
        <w:t>Wang et al., 2023</w:t>
      </w:r>
      <w:r w:rsidRPr="00C8757A">
        <w:rPr>
          <w:rFonts w:ascii="Times New Roman" w:eastAsia="Times New Roman" w:hAnsi="Times New Roman" w:cs="Times New Roman"/>
          <w:sz w:val="24"/>
          <w:szCs w:val="24"/>
          <w:lang w:eastAsia="en-GB"/>
        </w:rPr>
        <w:t xml:space="preserve">). In bark beetles, the balance between obligate and facultative diapause strategies similarly determines whether populations remain </w:t>
      </w:r>
      <w:proofErr w:type="spellStart"/>
      <w:r w:rsidRPr="00C8757A">
        <w:rPr>
          <w:rFonts w:ascii="Times New Roman" w:eastAsia="Times New Roman" w:hAnsi="Times New Roman" w:cs="Times New Roman"/>
          <w:sz w:val="24"/>
          <w:szCs w:val="24"/>
          <w:lang w:eastAsia="en-GB"/>
        </w:rPr>
        <w:t>univoltine</w:t>
      </w:r>
      <w:proofErr w:type="spellEnd"/>
      <w:r w:rsidRPr="00C8757A">
        <w:rPr>
          <w:rFonts w:ascii="Times New Roman" w:eastAsia="Times New Roman" w:hAnsi="Times New Roman" w:cs="Times New Roman"/>
          <w:sz w:val="24"/>
          <w:szCs w:val="24"/>
          <w:lang w:eastAsia="en-GB"/>
        </w:rPr>
        <w:t xml:space="preserve"> or shift toward semivoltine or multivoltine cycles, with direct consequences for outbreak potential and tree mortality in spruce-dominated forests (</w:t>
      </w:r>
      <w:proofErr w:type="spellStart"/>
      <w:r w:rsidRPr="00C8757A">
        <w:rPr>
          <w:rFonts w:ascii="Times New Roman" w:eastAsia="Times New Roman" w:hAnsi="Times New Roman" w:cs="Times New Roman"/>
          <w:sz w:val="24"/>
          <w:szCs w:val="24"/>
          <w:lang w:eastAsia="en-GB"/>
        </w:rPr>
        <w:t>Schebeck</w:t>
      </w:r>
      <w:proofErr w:type="spellEnd"/>
      <w:r w:rsidRPr="00C8757A">
        <w:rPr>
          <w:rFonts w:ascii="Times New Roman" w:eastAsia="Times New Roman" w:hAnsi="Times New Roman" w:cs="Times New Roman"/>
          <w:sz w:val="24"/>
          <w:szCs w:val="24"/>
          <w:lang w:eastAsia="en-GB"/>
        </w:rPr>
        <w:t xml:space="preserve"> et al., 2017).</w:t>
      </w:r>
    </w:p>
    <w:p w14:paraId="248620EE" w14:textId="77777777" w:rsidR="00C8757A" w:rsidRPr="00C8757A" w:rsidRDefault="00C8757A" w:rsidP="00E1508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4.3 Diapause disruption in aphids and other taxa</w:t>
      </w:r>
    </w:p>
    <w:p w14:paraId="48AA16AA" w14:textId="77777777" w:rsidR="00C8757A" w:rsidRPr="00C8757A" w:rsidRDefault="00C8757A" w:rsidP="00E1508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 xml:space="preserve">In aphids, embryonic diapause in overwintering eggs is induced primarily by photoperiodic cues but is modulated by temperature and food availability, and rising temperatures are expected to alter both the proportion of the population entering diapause and the timing of </w:t>
      </w:r>
      <w:r w:rsidRPr="00C8757A">
        <w:rPr>
          <w:rFonts w:ascii="Times New Roman" w:eastAsia="Times New Roman" w:hAnsi="Times New Roman" w:cs="Times New Roman"/>
          <w:sz w:val="24"/>
          <w:szCs w:val="24"/>
          <w:lang w:eastAsia="en-GB"/>
        </w:rPr>
        <w:lastRenderedPageBreak/>
        <w:t>egg hatching the following spring, with consequences for the synchrony between aphid emergence and the phenology of host plants (</w:t>
      </w:r>
      <w:r w:rsidRPr="00C8757A">
        <w:rPr>
          <w:rFonts w:ascii="Times New Roman" w:eastAsia="Times New Roman" w:hAnsi="Times New Roman" w:cs="Times New Roman"/>
          <w:b/>
          <w:bCs/>
          <w:sz w:val="24"/>
          <w:szCs w:val="24"/>
          <w:lang w:eastAsia="en-GB"/>
        </w:rPr>
        <w:t>Durak et al., 2026</w:t>
      </w:r>
      <w:r w:rsidRPr="00C8757A">
        <w:rPr>
          <w:rFonts w:ascii="Times New Roman" w:eastAsia="Times New Roman" w:hAnsi="Times New Roman" w:cs="Times New Roman"/>
          <w:sz w:val="24"/>
          <w:szCs w:val="24"/>
          <w:lang w:eastAsia="en-GB"/>
        </w:rPr>
        <w:t>). This temperature-dependent regulation of diapause and hatching success illustrates that even taxa with strongly photoperiod-cued diapause are not insulated from warming effects, since the post-diapause developmental rate and the threshold temperatures required for termination remain thermally sensitive.</w:t>
      </w:r>
    </w:p>
    <w:p w14:paraId="4034472F" w14:textId="77777777" w:rsidR="00C8757A" w:rsidRPr="00C8757A" w:rsidRDefault="00C8757A" w:rsidP="00E1508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4.4 Trade-offs and energetic costs of warming during overwintering</w:t>
      </w:r>
    </w:p>
    <w:p w14:paraId="309B9E3B" w14:textId="77777777" w:rsidR="00C8757A" w:rsidRPr="00C8757A" w:rsidRDefault="00C8757A" w:rsidP="00E1508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A further consequence of warmer winters is increased metabolic expenditure during the diapause period itself. Overwintering insects typically operate on a fixed energy budget accumulated prior to diapause onset and lack the capacity to replenish reserves while dormant, so elevated winter temperatures that raise metabolic rate without permitting feeding can deplete energy stores before spring, reducing post-diapause survival and reproductive readiness even where direct cold mortality is avoided (Bale &amp; Hayward, 2010). This energetic trade-off shows that warming does not uniformly benefit overwintering arthropods, and that the relationship between winter temperature and population performance is frequently non-monotonic.</w:t>
      </w:r>
    </w:p>
    <w:p w14:paraId="5D121433" w14:textId="77777777" w:rsidR="00C8757A" w:rsidRPr="00C8757A" w:rsidRDefault="00C8757A" w:rsidP="00E15085">
      <w:pPr>
        <w:spacing w:after="0" w:line="240" w:lineRule="auto"/>
        <w:jc w:val="both"/>
        <w:rPr>
          <w:rFonts w:ascii="Times New Roman" w:eastAsia="Times New Roman" w:hAnsi="Times New Roman" w:cs="Times New Roman"/>
          <w:sz w:val="24"/>
          <w:szCs w:val="24"/>
          <w:lang w:eastAsia="en-GB"/>
        </w:rPr>
      </w:pPr>
    </w:p>
    <w:p w14:paraId="199DCF68" w14:textId="77777777" w:rsidR="00C8757A" w:rsidRPr="00C8757A" w:rsidRDefault="00C8757A" w:rsidP="00E1508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8757A">
        <w:rPr>
          <w:rFonts w:ascii="Times New Roman" w:eastAsia="Times New Roman" w:hAnsi="Times New Roman" w:cs="Times New Roman"/>
          <w:b/>
          <w:bCs/>
          <w:sz w:val="27"/>
          <w:szCs w:val="27"/>
          <w:lang w:eastAsia="en-GB"/>
        </w:rPr>
        <w:t>5. Body Size, Fecundity and Reproductive Output</w:t>
      </w:r>
    </w:p>
    <w:p w14:paraId="562A8B51" w14:textId="77777777" w:rsidR="00C8757A" w:rsidRPr="00C8757A" w:rsidRDefault="00C8757A" w:rsidP="00E1508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5.1 Linking the temperature–size rule to fecundity</w:t>
      </w:r>
    </w:p>
    <w:p w14:paraId="392F87A8" w14:textId="77777777" w:rsidR="00C8757A" w:rsidRPr="00C8757A" w:rsidRDefault="00C8757A" w:rsidP="00E1508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 xml:space="preserve">Because fecundity in most </w:t>
      </w:r>
      <w:proofErr w:type="gramStart"/>
      <w:r w:rsidRPr="00C8757A">
        <w:rPr>
          <w:rFonts w:ascii="Times New Roman" w:eastAsia="Times New Roman" w:hAnsi="Times New Roman" w:cs="Times New Roman"/>
          <w:sz w:val="24"/>
          <w:szCs w:val="24"/>
          <w:lang w:eastAsia="en-GB"/>
        </w:rPr>
        <w:t>arthropods</w:t>
      </w:r>
      <w:proofErr w:type="gramEnd"/>
      <w:r w:rsidRPr="00C8757A">
        <w:rPr>
          <w:rFonts w:ascii="Times New Roman" w:eastAsia="Times New Roman" w:hAnsi="Times New Roman" w:cs="Times New Roman"/>
          <w:sz w:val="24"/>
          <w:szCs w:val="24"/>
          <w:lang w:eastAsia="en-GB"/>
        </w:rPr>
        <w:t xml:space="preserve"> scales positively with adult body size, the widespread reduction in size associated with the temperature–size rule under warming carries a direct, if often modest, cost to individual reproductive output (</w:t>
      </w:r>
      <w:proofErr w:type="spellStart"/>
      <w:r w:rsidRPr="00C8757A">
        <w:rPr>
          <w:rFonts w:ascii="Times New Roman" w:eastAsia="Times New Roman" w:hAnsi="Times New Roman" w:cs="Times New Roman"/>
          <w:sz w:val="24"/>
          <w:szCs w:val="24"/>
          <w:lang w:eastAsia="en-GB"/>
        </w:rPr>
        <w:t>Verberk</w:t>
      </w:r>
      <w:proofErr w:type="spellEnd"/>
      <w:r w:rsidRPr="00C8757A">
        <w:rPr>
          <w:rFonts w:ascii="Times New Roman" w:eastAsia="Times New Roman" w:hAnsi="Times New Roman" w:cs="Times New Roman"/>
          <w:sz w:val="24"/>
          <w:szCs w:val="24"/>
          <w:lang w:eastAsia="en-GB"/>
        </w:rPr>
        <w:t xml:space="preserve"> et al., 2021). This relationship is complicated, however, by the so-called life-history puzzle, in which warming simultaneously accelerates growth and developmental rate, which would be expected on its own to favour maturation at a larger size. Experiments on the blowfly </w:t>
      </w:r>
      <w:proofErr w:type="spellStart"/>
      <w:r w:rsidRPr="00C8757A">
        <w:rPr>
          <w:rFonts w:ascii="Times New Roman" w:eastAsia="Times New Roman" w:hAnsi="Times New Roman" w:cs="Times New Roman"/>
          <w:i/>
          <w:iCs/>
          <w:sz w:val="24"/>
          <w:szCs w:val="24"/>
          <w:lang w:eastAsia="en-GB"/>
        </w:rPr>
        <w:t>Aldrichina</w:t>
      </w:r>
      <w:proofErr w:type="spellEnd"/>
      <w:r w:rsidRPr="00C8757A">
        <w:rPr>
          <w:rFonts w:ascii="Times New Roman" w:eastAsia="Times New Roman" w:hAnsi="Times New Roman" w:cs="Times New Roman"/>
          <w:i/>
          <w:iCs/>
          <w:sz w:val="24"/>
          <w:szCs w:val="24"/>
          <w:lang w:eastAsia="en-GB"/>
        </w:rPr>
        <w:t xml:space="preserve"> grahami</w:t>
      </w:r>
      <w:r w:rsidRPr="00C8757A">
        <w:rPr>
          <w:rFonts w:ascii="Times New Roman" w:eastAsia="Times New Roman" w:hAnsi="Times New Roman" w:cs="Times New Roman"/>
          <w:sz w:val="24"/>
          <w:szCs w:val="24"/>
          <w:lang w:eastAsia="en-GB"/>
        </w:rPr>
        <w:t xml:space="preserve"> show that the net outcome depends strongly on interacting nutritional conditions, with poor diet quality exacerbating size reduction under warming while a high-quality diet partially offsets it (</w:t>
      </w:r>
      <w:r w:rsidRPr="00C8757A">
        <w:rPr>
          <w:rFonts w:ascii="Times New Roman" w:eastAsia="Times New Roman" w:hAnsi="Times New Roman" w:cs="Times New Roman"/>
          <w:b/>
          <w:bCs/>
          <w:sz w:val="24"/>
          <w:szCs w:val="24"/>
          <w:lang w:eastAsia="en-GB"/>
        </w:rPr>
        <w:t>Yan et al., 2024</w:t>
      </w:r>
      <w:r w:rsidRPr="00C8757A">
        <w:rPr>
          <w:rFonts w:ascii="Times New Roman" w:eastAsia="Times New Roman" w:hAnsi="Times New Roman" w:cs="Times New Roman"/>
          <w:sz w:val="24"/>
          <w:szCs w:val="24"/>
          <w:lang w:eastAsia="en-GB"/>
        </w:rPr>
        <w:t>). Projections of warming-driven fecundity loss based on temperature alone are therefore likely to be incomplete without consideration of concurrent resource availability.</w:t>
      </w:r>
    </w:p>
    <w:p w14:paraId="6F73FAB7" w14:textId="77777777" w:rsidR="00C8757A" w:rsidRPr="00C8757A" w:rsidRDefault="00C8757A" w:rsidP="00E1508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5.2 Marine invertebrate fecundity and larval condition</w:t>
      </w:r>
    </w:p>
    <w:p w14:paraId="4F6631A5" w14:textId="77777777" w:rsidR="00C8757A" w:rsidRPr="00C8757A" w:rsidRDefault="00C8757A" w:rsidP="00E1508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In marine crustaceans, maternal thermal experience can carry over into offspring performance through transgenerational and latent effects, meaning that warming experienced by reproductive females can influence larval survival and developmental success independently of the temperature larvae themselves subsequently experience (</w:t>
      </w:r>
      <w:proofErr w:type="spellStart"/>
      <w:r w:rsidRPr="00C8757A">
        <w:rPr>
          <w:rFonts w:ascii="Times New Roman" w:eastAsia="Times New Roman" w:hAnsi="Times New Roman" w:cs="Times New Roman"/>
          <w:sz w:val="24"/>
          <w:szCs w:val="24"/>
          <w:lang w:eastAsia="en-GB"/>
        </w:rPr>
        <w:t>Marochi</w:t>
      </w:r>
      <w:proofErr w:type="spellEnd"/>
      <w:r w:rsidRPr="00C8757A">
        <w:rPr>
          <w:rFonts w:ascii="Times New Roman" w:eastAsia="Times New Roman" w:hAnsi="Times New Roman" w:cs="Times New Roman"/>
          <w:sz w:val="24"/>
          <w:szCs w:val="24"/>
          <w:lang w:eastAsia="en-GB"/>
        </w:rPr>
        <w:t xml:space="preserve"> et al., 2021). Marine heatwave exposure timed around hatching has been shown to reduce both survival and dry mass of newly released larvae, with effects compounding when heatwaves occur later in the vulnerable early developmental window (</w:t>
      </w:r>
      <w:proofErr w:type="spellStart"/>
      <w:r w:rsidRPr="00C8757A">
        <w:rPr>
          <w:rFonts w:ascii="Times New Roman" w:eastAsia="Times New Roman" w:hAnsi="Times New Roman" w:cs="Times New Roman"/>
          <w:sz w:val="24"/>
          <w:szCs w:val="24"/>
          <w:lang w:eastAsia="en-GB"/>
        </w:rPr>
        <w:t>Marochi</w:t>
      </w:r>
      <w:proofErr w:type="spellEnd"/>
      <w:r w:rsidRPr="00C8757A">
        <w:rPr>
          <w:rFonts w:ascii="Times New Roman" w:eastAsia="Times New Roman" w:hAnsi="Times New Roman" w:cs="Times New Roman"/>
          <w:sz w:val="24"/>
          <w:szCs w:val="24"/>
          <w:lang w:eastAsia="en-GB"/>
        </w:rPr>
        <w:t xml:space="preserve"> et al., 2022).</w:t>
      </w:r>
    </w:p>
    <w:p w14:paraId="1E8B67D3" w14:textId="77777777" w:rsidR="00C8757A" w:rsidRPr="00C8757A" w:rsidRDefault="00C8757A" w:rsidP="00E1508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5.3 Pollinator reproduction and colony-level consequences</w:t>
      </w:r>
    </w:p>
    <w:p w14:paraId="651ADE2B" w14:textId="77777777" w:rsidR="00C8757A" w:rsidRPr="00C8757A" w:rsidRDefault="00C8757A" w:rsidP="00E1508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lastRenderedPageBreak/>
        <w:t xml:space="preserve">In social Hymenoptera such as bumblebees, the reproductive consequences of climate-driven phenological shifts operate at the colony level as well as the individual level. The timing of overwintered queen emergence in spring strongly influences colony founding success, and because subsequent colony growth determines the number of new queens and males produced later in the season, any disruption to the synchrony between queen emergence and floral resource availability propagates through the entire reproductive cycle of the colony (Kudo &amp; Cooper, 2019). Long-term monitoring in northern Japan demonstrated that early snowmelt advanced the flowering of a spring ephemeral plant more steeply than it advanced bumblebee queen emergence, producing a phenological mismatch of up to seven days that reduced plant seed-set from approximately sixty per cent to around thirty per cent, with corresponding implications for the floral resources available to founding queens (Kudo &amp; Cooper, 2019). A comparable pattern of asynchronous thermal sensitivity between a ground-nesting solitary bee and its host plant has been documented along the Pacific coast of North America, where the two partners' nesting and flowering </w:t>
      </w:r>
      <w:proofErr w:type="spellStart"/>
      <w:r w:rsidRPr="00C8757A">
        <w:rPr>
          <w:rFonts w:ascii="Times New Roman" w:eastAsia="Times New Roman" w:hAnsi="Times New Roman" w:cs="Times New Roman"/>
          <w:sz w:val="24"/>
          <w:szCs w:val="24"/>
          <w:lang w:eastAsia="en-GB"/>
        </w:rPr>
        <w:t>phenologies</w:t>
      </w:r>
      <w:proofErr w:type="spellEnd"/>
      <w:r w:rsidRPr="00C8757A">
        <w:rPr>
          <w:rFonts w:ascii="Times New Roman" w:eastAsia="Times New Roman" w:hAnsi="Times New Roman" w:cs="Times New Roman"/>
          <w:sz w:val="24"/>
          <w:szCs w:val="24"/>
          <w:lang w:eastAsia="en-GB"/>
        </w:rPr>
        <w:t xml:space="preserve"> responded differently to temperature, raising the prospect of declining overlap under continued warming despite high overlap under present conditions (Olliff-Yang &amp; Mesler, 2018).</w:t>
      </w:r>
    </w:p>
    <w:p w14:paraId="52CA13A0" w14:textId="77777777" w:rsidR="00C8757A" w:rsidRPr="00C8757A" w:rsidRDefault="00C8757A" w:rsidP="00E1508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5.4 Summary of reproductive effects</w:t>
      </w:r>
    </w:p>
    <w:p w14:paraId="2D5FD291" w14:textId="77777777" w:rsidR="00C8757A" w:rsidRPr="00C8757A" w:rsidRDefault="00C8757A" w:rsidP="00E1508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The mechanisms discussed in this section, and the reproductive consequences they produce, are brought together in Table 3.</w:t>
      </w:r>
    </w:p>
    <w:p w14:paraId="501DDEAA" w14:textId="77777777" w:rsidR="00C8757A" w:rsidRPr="00C8757A" w:rsidRDefault="00C8757A" w:rsidP="00E1508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b/>
          <w:bCs/>
          <w:sz w:val="24"/>
          <w:szCs w:val="24"/>
          <w:lang w:eastAsia="en-GB"/>
        </w:rPr>
        <w:t>Table 3.</w:t>
      </w:r>
      <w:r w:rsidRPr="00C8757A">
        <w:rPr>
          <w:rFonts w:ascii="Times New Roman" w:eastAsia="Times New Roman" w:hAnsi="Times New Roman" w:cs="Times New Roman"/>
          <w:sz w:val="24"/>
          <w:szCs w:val="24"/>
          <w:lang w:eastAsia="en-GB"/>
        </w:rPr>
        <w:t xml:space="preserve"> Documented reproductive consequences of climate-driven developmental change in arthropods.</w:t>
      </w:r>
    </w:p>
    <w:tbl>
      <w:tblPr>
        <w:tblStyle w:val="TableGrid"/>
        <w:tblW w:w="0" w:type="auto"/>
        <w:tblLook w:val="04A0" w:firstRow="1" w:lastRow="0" w:firstColumn="1" w:lastColumn="0" w:noHBand="0" w:noVBand="1"/>
      </w:tblPr>
      <w:tblGrid>
        <w:gridCol w:w="2986"/>
        <w:gridCol w:w="4136"/>
        <w:gridCol w:w="2120"/>
      </w:tblGrid>
      <w:tr w:rsidR="00C8757A" w:rsidRPr="00C8757A" w14:paraId="0CFFC334" w14:textId="77777777" w:rsidTr="00C8757A">
        <w:tc>
          <w:tcPr>
            <w:tcW w:w="0" w:type="auto"/>
            <w:hideMark/>
          </w:tcPr>
          <w:p w14:paraId="24F3FF5E" w14:textId="77777777" w:rsidR="00C8757A" w:rsidRPr="00C8757A" w:rsidRDefault="00C8757A" w:rsidP="00E15085">
            <w:pPr>
              <w:jc w:val="both"/>
              <w:rPr>
                <w:rFonts w:ascii="Times New Roman" w:eastAsia="Times New Roman" w:hAnsi="Times New Roman" w:cs="Times New Roman"/>
                <w:bCs/>
                <w:sz w:val="24"/>
                <w:szCs w:val="24"/>
                <w:lang w:eastAsia="en-GB"/>
              </w:rPr>
            </w:pPr>
            <w:r w:rsidRPr="00C8757A">
              <w:rPr>
                <w:rFonts w:ascii="Times New Roman" w:eastAsia="Times New Roman" w:hAnsi="Times New Roman" w:cs="Times New Roman"/>
                <w:bCs/>
                <w:sz w:val="24"/>
                <w:szCs w:val="24"/>
                <w:lang w:eastAsia="en-GB"/>
              </w:rPr>
              <w:t>Mechanism</w:t>
            </w:r>
          </w:p>
        </w:tc>
        <w:tc>
          <w:tcPr>
            <w:tcW w:w="0" w:type="auto"/>
            <w:hideMark/>
          </w:tcPr>
          <w:p w14:paraId="3F988A4C" w14:textId="77777777" w:rsidR="00C8757A" w:rsidRPr="00C8757A" w:rsidRDefault="00C8757A" w:rsidP="00E15085">
            <w:pPr>
              <w:jc w:val="both"/>
              <w:rPr>
                <w:rFonts w:ascii="Times New Roman" w:eastAsia="Times New Roman" w:hAnsi="Times New Roman" w:cs="Times New Roman"/>
                <w:bCs/>
                <w:sz w:val="24"/>
                <w:szCs w:val="24"/>
                <w:lang w:eastAsia="en-GB"/>
              </w:rPr>
            </w:pPr>
            <w:r w:rsidRPr="00C8757A">
              <w:rPr>
                <w:rFonts w:ascii="Times New Roman" w:eastAsia="Times New Roman" w:hAnsi="Times New Roman" w:cs="Times New Roman"/>
                <w:bCs/>
                <w:sz w:val="24"/>
                <w:szCs w:val="24"/>
                <w:lang w:eastAsia="en-GB"/>
              </w:rPr>
              <w:t>Reproductive consequence</w:t>
            </w:r>
          </w:p>
        </w:tc>
        <w:tc>
          <w:tcPr>
            <w:tcW w:w="0" w:type="auto"/>
            <w:hideMark/>
          </w:tcPr>
          <w:p w14:paraId="59FE5495" w14:textId="77777777" w:rsidR="00C8757A" w:rsidRPr="00C8757A" w:rsidRDefault="00C8757A" w:rsidP="00E15085">
            <w:pPr>
              <w:jc w:val="both"/>
              <w:rPr>
                <w:rFonts w:ascii="Times New Roman" w:eastAsia="Times New Roman" w:hAnsi="Times New Roman" w:cs="Times New Roman"/>
                <w:bCs/>
                <w:sz w:val="24"/>
                <w:szCs w:val="24"/>
                <w:lang w:eastAsia="en-GB"/>
              </w:rPr>
            </w:pPr>
            <w:r w:rsidRPr="00C8757A">
              <w:rPr>
                <w:rFonts w:ascii="Times New Roman" w:eastAsia="Times New Roman" w:hAnsi="Times New Roman" w:cs="Times New Roman"/>
                <w:bCs/>
                <w:sz w:val="24"/>
                <w:szCs w:val="24"/>
                <w:lang w:eastAsia="en-GB"/>
              </w:rPr>
              <w:t>Representative source</w:t>
            </w:r>
          </w:p>
        </w:tc>
      </w:tr>
      <w:tr w:rsidR="00C8757A" w:rsidRPr="00C8757A" w14:paraId="0D30E10A" w14:textId="77777777" w:rsidTr="00C8757A">
        <w:tc>
          <w:tcPr>
            <w:tcW w:w="0" w:type="auto"/>
            <w:hideMark/>
          </w:tcPr>
          <w:p w14:paraId="4AF06B05" w14:textId="77777777" w:rsidR="00C8757A" w:rsidRPr="00C8757A" w:rsidRDefault="00C8757A" w:rsidP="00E15085">
            <w:pPr>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Temperature–size rule</w:t>
            </w:r>
          </w:p>
        </w:tc>
        <w:tc>
          <w:tcPr>
            <w:tcW w:w="0" w:type="auto"/>
            <w:hideMark/>
          </w:tcPr>
          <w:p w14:paraId="04468373" w14:textId="77777777" w:rsidR="00C8757A" w:rsidRPr="00C8757A" w:rsidRDefault="00C8757A" w:rsidP="00E15085">
            <w:pPr>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Reduced fecundity via smaller adult body size</w:t>
            </w:r>
          </w:p>
        </w:tc>
        <w:tc>
          <w:tcPr>
            <w:tcW w:w="0" w:type="auto"/>
            <w:hideMark/>
          </w:tcPr>
          <w:p w14:paraId="202D8415" w14:textId="77777777" w:rsidR="00C8757A" w:rsidRPr="00C8757A" w:rsidRDefault="00C8757A" w:rsidP="00E15085">
            <w:pPr>
              <w:jc w:val="both"/>
              <w:rPr>
                <w:rFonts w:ascii="Times New Roman" w:eastAsia="Times New Roman" w:hAnsi="Times New Roman" w:cs="Times New Roman"/>
                <w:sz w:val="24"/>
                <w:szCs w:val="24"/>
                <w:lang w:eastAsia="en-GB"/>
              </w:rPr>
            </w:pPr>
            <w:proofErr w:type="spellStart"/>
            <w:r w:rsidRPr="00C8757A">
              <w:rPr>
                <w:rFonts w:ascii="Times New Roman" w:eastAsia="Times New Roman" w:hAnsi="Times New Roman" w:cs="Times New Roman"/>
                <w:sz w:val="24"/>
                <w:szCs w:val="24"/>
                <w:lang w:eastAsia="en-GB"/>
              </w:rPr>
              <w:t>Verberk</w:t>
            </w:r>
            <w:proofErr w:type="spellEnd"/>
            <w:r w:rsidRPr="00C8757A">
              <w:rPr>
                <w:rFonts w:ascii="Times New Roman" w:eastAsia="Times New Roman" w:hAnsi="Times New Roman" w:cs="Times New Roman"/>
                <w:sz w:val="24"/>
                <w:szCs w:val="24"/>
                <w:lang w:eastAsia="en-GB"/>
              </w:rPr>
              <w:t xml:space="preserve"> et al. (2021)</w:t>
            </w:r>
          </w:p>
        </w:tc>
      </w:tr>
      <w:tr w:rsidR="00C8757A" w:rsidRPr="00C8757A" w14:paraId="23B166E5" w14:textId="77777777" w:rsidTr="00C8757A">
        <w:tc>
          <w:tcPr>
            <w:tcW w:w="0" w:type="auto"/>
            <w:hideMark/>
          </w:tcPr>
          <w:p w14:paraId="2735F415" w14:textId="77777777" w:rsidR="00C8757A" w:rsidRPr="00C8757A" w:rsidRDefault="00C8757A" w:rsidP="00E15085">
            <w:pPr>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Diet–temperature interaction</w:t>
            </w:r>
          </w:p>
        </w:tc>
        <w:tc>
          <w:tcPr>
            <w:tcW w:w="0" w:type="auto"/>
            <w:hideMark/>
          </w:tcPr>
          <w:p w14:paraId="5BE18CFD" w14:textId="77777777" w:rsidR="00C8757A" w:rsidRPr="00C8757A" w:rsidRDefault="00C8757A" w:rsidP="00E15085">
            <w:pPr>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Size and fecundity outcomes modified by nutritional quality</w:t>
            </w:r>
          </w:p>
        </w:tc>
        <w:tc>
          <w:tcPr>
            <w:tcW w:w="0" w:type="auto"/>
            <w:hideMark/>
          </w:tcPr>
          <w:p w14:paraId="76EAAB0F" w14:textId="77777777" w:rsidR="00C8757A" w:rsidRPr="00C8757A" w:rsidRDefault="00C8757A" w:rsidP="00E15085">
            <w:pPr>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bCs/>
                <w:sz w:val="24"/>
                <w:szCs w:val="24"/>
                <w:lang w:eastAsia="en-GB"/>
              </w:rPr>
              <w:t>Yan et al. (2024)</w:t>
            </w:r>
          </w:p>
        </w:tc>
      </w:tr>
      <w:tr w:rsidR="00C8757A" w:rsidRPr="00C8757A" w14:paraId="4E00A0D4" w14:textId="77777777" w:rsidTr="00C8757A">
        <w:tc>
          <w:tcPr>
            <w:tcW w:w="0" w:type="auto"/>
            <w:hideMark/>
          </w:tcPr>
          <w:p w14:paraId="67C53030" w14:textId="77777777" w:rsidR="00C8757A" w:rsidRPr="00C8757A" w:rsidRDefault="00C8757A" w:rsidP="00E15085">
            <w:pPr>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Maternal thermal carry-over</w:t>
            </w:r>
          </w:p>
        </w:tc>
        <w:tc>
          <w:tcPr>
            <w:tcW w:w="0" w:type="auto"/>
            <w:hideMark/>
          </w:tcPr>
          <w:p w14:paraId="12D688D7" w14:textId="77777777" w:rsidR="00C8757A" w:rsidRPr="00C8757A" w:rsidRDefault="00C8757A" w:rsidP="00E15085">
            <w:pPr>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Altered larval survival and condition independent of larval temperature</w:t>
            </w:r>
          </w:p>
        </w:tc>
        <w:tc>
          <w:tcPr>
            <w:tcW w:w="0" w:type="auto"/>
            <w:hideMark/>
          </w:tcPr>
          <w:p w14:paraId="4B4C6D0E" w14:textId="77777777" w:rsidR="00C8757A" w:rsidRPr="00C8757A" w:rsidRDefault="00C8757A" w:rsidP="00E15085">
            <w:pPr>
              <w:jc w:val="both"/>
              <w:rPr>
                <w:rFonts w:ascii="Times New Roman" w:eastAsia="Times New Roman" w:hAnsi="Times New Roman" w:cs="Times New Roman"/>
                <w:sz w:val="24"/>
                <w:szCs w:val="24"/>
                <w:lang w:eastAsia="en-GB"/>
              </w:rPr>
            </w:pPr>
            <w:proofErr w:type="spellStart"/>
            <w:r w:rsidRPr="00C8757A">
              <w:rPr>
                <w:rFonts w:ascii="Times New Roman" w:eastAsia="Times New Roman" w:hAnsi="Times New Roman" w:cs="Times New Roman"/>
                <w:sz w:val="24"/>
                <w:szCs w:val="24"/>
                <w:lang w:eastAsia="en-GB"/>
              </w:rPr>
              <w:t>Marochi</w:t>
            </w:r>
            <w:proofErr w:type="spellEnd"/>
            <w:r w:rsidRPr="00C8757A">
              <w:rPr>
                <w:rFonts w:ascii="Times New Roman" w:eastAsia="Times New Roman" w:hAnsi="Times New Roman" w:cs="Times New Roman"/>
                <w:sz w:val="24"/>
                <w:szCs w:val="24"/>
                <w:lang w:eastAsia="en-GB"/>
              </w:rPr>
              <w:t xml:space="preserve"> et al. (2021, 2022)</w:t>
            </w:r>
          </w:p>
        </w:tc>
      </w:tr>
      <w:tr w:rsidR="00C8757A" w:rsidRPr="00C8757A" w14:paraId="6C7D9E22" w14:textId="77777777" w:rsidTr="00C8757A">
        <w:tc>
          <w:tcPr>
            <w:tcW w:w="0" w:type="auto"/>
            <w:hideMark/>
          </w:tcPr>
          <w:p w14:paraId="0926D0B1" w14:textId="77777777" w:rsidR="00C8757A" w:rsidRPr="00C8757A" w:rsidRDefault="00C8757A" w:rsidP="00E15085">
            <w:pPr>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Phenological mismatch (queen emergence vs. flowering)</w:t>
            </w:r>
          </w:p>
        </w:tc>
        <w:tc>
          <w:tcPr>
            <w:tcW w:w="0" w:type="auto"/>
            <w:hideMark/>
          </w:tcPr>
          <w:p w14:paraId="3120CA74" w14:textId="77777777" w:rsidR="00C8757A" w:rsidRPr="00C8757A" w:rsidRDefault="00C8757A" w:rsidP="00E15085">
            <w:pPr>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Reduced floral resource access at colony founding; cascading colony-level reproductive cost</w:t>
            </w:r>
          </w:p>
        </w:tc>
        <w:tc>
          <w:tcPr>
            <w:tcW w:w="0" w:type="auto"/>
            <w:hideMark/>
          </w:tcPr>
          <w:p w14:paraId="520387CD" w14:textId="77777777" w:rsidR="00C8757A" w:rsidRPr="00C8757A" w:rsidRDefault="00C8757A" w:rsidP="00E15085">
            <w:pPr>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Kudo &amp; Cooper (2019)</w:t>
            </w:r>
          </w:p>
        </w:tc>
      </w:tr>
      <w:tr w:rsidR="00C8757A" w:rsidRPr="00C8757A" w14:paraId="465C97F6" w14:textId="77777777" w:rsidTr="00C8757A">
        <w:tc>
          <w:tcPr>
            <w:tcW w:w="0" w:type="auto"/>
            <w:hideMark/>
          </w:tcPr>
          <w:p w14:paraId="2A287650" w14:textId="77777777" w:rsidR="00C8757A" w:rsidRPr="00C8757A" w:rsidRDefault="00C8757A" w:rsidP="00E15085">
            <w:pPr>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Nesting-biology-dependent thermal sensitivity</w:t>
            </w:r>
          </w:p>
        </w:tc>
        <w:tc>
          <w:tcPr>
            <w:tcW w:w="0" w:type="auto"/>
            <w:hideMark/>
          </w:tcPr>
          <w:p w14:paraId="6D4FAD8E" w14:textId="77777777" w:rsidR="00C8757A" w:rsidRPr="00C8757A" w:rsidRDefault="00C8757A" w:rsidP="00E15085">
            <w:pPr>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Differential phenological response risks declining plant–pollinator overlap</w:t>
            </w:r>
          </w:p>
        </w:tc>
        <w:tc>
          <w:tcPr>
            <w:tcW w:w="0" w:type="auto"/>
            <w:hideMark/>
          </w:tcPr>
          <w:p w14:paraId="24C22044" w14:textId="77777777" w:rsidR="00C8757A" w:rsidRPr="00C8757A" w:rsidRDefault="00C8757A" w:rsidP="00E15085">
            <w:pPr>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Olliff-Yang &amp; Mesler (2018)</w:t>
            </w:r>
          </w:p>
        </w:tc>
      </w:tr>
    </w:tbl>
    <w:p w14:paraId="693E883D" w14:textId="77777777" w:rsidR="00C8757A" w:rsidRPr="00C8757A" w:rsidRDefault="00C8757A" w:rsidP="00E1508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i/>
          <w:iCs/>
          <w:sz w:val="24"/>
          <w:szCs w:val="24"/>
          <w:lang w:eastAsia="en-GB"/>
        </w:rPr>
        <w:t xml:space="preserve">Source references: </w:t>
      </w:r>
      <w:proofErr w:type="spellStart"/>
      <w:r w:rsidRPr="00C8757A">
        <w:rPr>
          <w:rFonts w:ascii="Times New Roman" w:eastAsia="Times New Roman" w:hAnsi="Times New Roman" w:cs="Times New Roman"/>
          <w:i/>
          <w:iCs/>
          <w:sz w:val="24"/>
          <w:szCs w:val="24"/>
          <w:lang w:eastAsia="en-GB"/>
        </w:rPr>
        <w:t>Verberk</w:t>
      </w:r>
      <w:proofErr w:type="spellEnd"/>
      <w:r w:rsidRPr="00C8757A">
        <w:rPr>
          <w:rFonts w:ascii="Times New Roman" w:eastAsia="Times New Roman" w:hAnsi="Times New Roman" w:cs="Times New Roman"/>
          <w:i/>
          <w:iCs/>
          <w:sz w:val="24"/>
          <w:szCs w:val="24"/>
          <w:lang w:eastAsia="en-GB"/>
        </w:rPr>
        <w:t xml:space="preserve"> et al. </w:t>
      </w:r>
      <w:r w:rsidRPr="00405B8B">
        <w:rPr>
          <w:rFonts w:ascii="Times New Roman" w:eastAsia="Times New Roman" w:hAnsi="Times New Roman" w:cs="Times New Roman"/>
          <w:i/>
          <w:iCs/>
          <w:sz w:val="24"/>
          <w:szCs w:val="24"/>
          <w:lang w:val="nl-BE" w:eastAsia="en-GB"/>
        </w:rPr>
        <w:t xml:space="preserve">(2021); </w:t>
      </w:r>
      <w:r w:rsidRPr="00405B8B">
        <w:rPr>
          <w:rFonts w:ascii="Times New Roman" w:eastAsia="Times New Roman" w:hAnsi="Times New Roman" w:cs="Times New Roman"/>
          <w:bCs/>
          <w:i/>
          <w:iCs/>
          <w:sz w:val="24"/>
          <w:szCs w:val="24"/>
          <w:lang w:val="nl-BE" w:eastAsia="en-GB"/>
        </w:rPr>
        <w:t>Yan et al. (2024)</w:t>
      </w:r>
      <w:r w:rsidRPr="00405B8B">
        <w:rPr>
          <w:rFonts w:ascii="Times New Roman" w:eastAsia="Times New Roman" w:hAnsi="Times New Roman" w:cs="Times New Roman"/>
          <w:i/>
          <w:iCs/>
          <w:sz w:val="24"/>
          <w:szCs w:val="24"/>
          <w:lang w:val="nl-BE" w:eastAsia="en-GB"/>
        </w:rPr>
        <w:t xml:space="preserve">; Marochi et al. </w:t>
      </w:r>
      <w:r w:rsidRPr="00C8757A">
        <w:rPr>
          <w:rFonts w:ascii="Times New Roman" w:eastAsia="Times New Roman" w:hAnsi="Times New Roman" w:cs="Times New Roman"/>
          <w:i/>
          <w:iCs/>
          <w:sz w:val="24"/>
          <w:szCs w:val="24"/>
          <w:lang w:eastAsia="en-GB"/>
        </w:rPr>
        <w:t>(2021, 2022); Kudo &amp; Cooper (2019); Olliff-Yang &amp; Mesler (2018).</w:t>
      </w:r>
    </w:p>
    <w:p w14:paraId="1EFD7E21" w14:textId="77777777" w:rsidR="00C8757A" w:rsidRPr="00C8757A" w:rsidRDefault="00C8757A" w:rsidP="00E1508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Taken together, the entries in Table 3 indicate that reproductive costs of warming in arthropods arise through at least two distinct pathways: direct physiological effects on the reproducing individual, and indirect effects transmitted through mismatched timing with mutualists or resources.</w:t>
      </w:r>
    </w:p>
    <w:p w14:paraId="7DDC7607" w14:textId="77777777" w:rsidR="00C8757A" w:rsidRPr="00C8757A" w:rsidRDefault="00C8757A" w:rsidP="00E15085">
      <w:pPr>
        <w:spacing w:after="0" w:line="240" w:lineRule="auto"/>
        <w:jc w:val="both"/>
        <w:rPr>
          <w:rFonts w:ascii="Times New Roman" w:eastAsia="Times New Roman" w:hAnsi="Times New Roman" w:cs="Times New Roman"/>
          <w:sz w:val="24"/>
          <w:szCs w:val="24"/>
          <w:lang w:eastAsia="en-GB"/>
        </w:rPr>
      </w:pPr>
    </w:p>
    <w:p w14:paraId="0DA8D3AC" w14:textId="77777777" w:rsidR="00C8757A" w:rsidRPr="00C8757A" w:rsidRDefault="00C8757A" w:rsidP="00E1508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8757A">
        <w:rPr>
          <w:rFonts w:ascii="Times New Roman" w:eastAsia="Times New Roman" w:hAnsi="Times New Roman" w:cs="Times New Roman"/>
          <w:b/>
          <w:bCs/>
          <w:sz w:val="27"/>
          <w:szCs w:val="27"/>
          <w:lang w:eastAsia="en-GB"/>
        </w:rPr>
        <w:t>6. Phenological Mismatch and Trophic Synchrony</w:t>
      </w:r>
    </w:p>
    <w:p w14:paraId="20CD1AF8" w14:textId="77777777" w:rsidR="00C8757A" w:rsidRPr="00C8757A" w:rsidRDefault="00C8757A" w:rsidP="00E1508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lastRenderedPageBreak/>
        <w:t>6.1 Mechanisms of mismatch</w:t>
      </w:r>
    </w:p>
    <w:p w14:paraId="77905962" w14:textId="77777777" w:rsidR="00C8757A" w:rsidRPr="00C8757A" w:rsidRDefault="00C8757A" w:rsidP="00E1508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Phenological mismatch arises when interacting species respond to climate warming at different rates or via different environmental cues, such that previously synchronous life-history events become temporally offset. For plant–pollinator systems, flowering is frequently cued primarily by temperature and photoperiod, while insect emergence may depend on a combination of soil temperature, air temperature and accumulated degree-days, producing differential sensitivity to the same warming trend (</w:t>
      </w:r>
      <w:proofErr w:type="spellStart"/>
      <w:r w:rsidRPr="00C8757A">
        <w:rPr>
          <w:rFonts w:ascii="Times New Roman" w:eastAsia="Times New Roman" w:hAnsi="Times New Roman" w:cs="Times New Roman"/>
          <w:b/>
          <w:bCs/>
          <w:sz w:val="24"/>
          <w:szCs w:val="24"/>
          <w:lang w:eastAsia="en-GB"/>
        </w:rPr>
        <w:t>Fisogni</w:t>
      </w:r>
      <w:proofErr w:type="spellEnd"/>
      <w:r w:rsidRPr="00C8757A">
        <w:rPr>
          <w:rFonts w:ascii="Times New Roman" w:eastAsia="Times New Roman" w:hAnsi="Times New Roman" w:cs="Times New Roman"/>
          <w:b/>
          <w:bCs/>
          <w:sz w:val="24"/>
          <w:szCs w:val="24"/>
          <w:lang w:eastAsia="en-GB"/>
        </w:rPr>
        <w:t xml:space="preserve"> et al., 2025</w:t>
      </w:r>
      <w:r w:rsidRPr="00C8757A">
        <w:rPr>
          <w:rFonts w:ascii="Times New Roman" w:eastAsia="Times New Roman" w:hAnsi="Times New Roman" w:cs="Times New Roman"/>
          <w:sz w:val="24"/>
          <w:szCs w:val="24"/>
          <w:lang w:eastAsia="en-GB"/>
        </w:rPr>
        <w:t>). Nesting biology can further modulate this sensitivity, as shown by contrasting thermal responses between ground-nesting and other bee species relative to their floral hosts (Olliff-Yang &amp; Mesler, 2018). Because these differing thermal dependencies are rarely identical between interacting species, warming can either increase or decrease synchrony depending on the relative steepness of each species' phenological response, and long-term observational studies of plant–pollinator networks have documented both outcomes within the same community over different time periods (</w:t>
      </w:r>
      <w:r w:rsidRPr="00C8757A">
        <w:rPr>
          <w:rFonts w:ascii="Times New Roman" w:eastAsia="Times New Roman" w:hAnsi="Times New Roman" w:cs="Times New Roman"/>
          <w:bCs/>
          <w:sz w:val="24"/>
          <w:szCs w:val="24"/>
          <w:lang w:eastAsia="en-GB"/>
        </w:rPr>
        <w:t>Freimuth et al., 2022</w:t>
      </w:r>
      <w:r w:rsidRPr="00C8757A">
        <w:rPr>
          <w:rFonts w:ascii="Times New Roman" w:eastAsia="Times New Roman" w:hAnsi="Times New Roman" w:cs="Times New Roman"/>
          <w:sz w:val="24"/>
          <w:szCs w:val="24"/>
          <w:lang w:eastAsia="en-GB"/>
        </w:rPr>
        <w:t>).</w:t>
      </w:r>
    </w:p>
    <w:p w14:paraId="77C1F4C4" w14:textId="77777777" w:rsidR="00C8757A" w:rsidRPr="00C8757A" w:rsidRDefault="00C8757A" w:rsidP="00E1508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6.2 Evidence of intensifying mismatch under continued warming</w:t>
      </w:r>
    </w:p>
    <w:p w14:paraId="66D80042" w14:textId="77777777" w:rsidR="00C8757A" w:rsidRPr="00C8757A" w:rsidRDefault="00C8757A" w:rsidP="00E1508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A global synthesis of climate-driven changes in plant reproductive traits and pollinator phenology compiled several hundred phenological responses across bees, butterflies and flies, predominantly from temperate biomes, and found that drought reduced both the number of blooming plant species and pollinator abundance within affected systems, indicating that mismatch risk is compounded by precipitation change as well as by temperature shifts acting on timing alone (</w:t>
      </w:r>
      <w:proofErr w:type="spellStart"/>
      <w:r w:rsidRPr="00C8757A">
        <w:rPr>
          <w:rFonts w:ascii="Times New Roman" w:eastAsia="Times New Roman" w:hAnsi="Times New Roman" w:cs="Times New Roman"/>
          <w:b/>
          <w:bCs/>
          <w:sz w:val="24"/>
          <w:szCs w:val="24"/>
          <w:lang w:eastAsia="en-GB"/>
        </w:rPr>
        <w:t>Martén</w:t>
      </w:r>
      <w:proofErr w:type="spellEnd"/>
      <w:r w:rsidRPr="00C8757A">
        <w:rPr>
          <w:rFonts w:ascii="Times New Roman" w:eastAsia="Times New Roman" w:hAnsi="Times New Roman" w:cs="Times New Roman"/>
          <w:b/>
          <w:bCs/>
          <w:sz w:val="24"/>
          <w:szCs w:val="24"/>
          <w:lang w:eastAsia="en-GB"/>
        </w:rPr>
        <w:t>-Rodríguez et al., 2025</w:t>
      </w:r>
      <w:r w:rsidRPr="00C8757A">
        <w:rPr>
          <w:rFonts w:ascii="Times New Roman" w:eastAsia="Times New Roman" w:hAnsi="Times New Roman" w:cs="Times New Roman"/>
          <w:sz w:val="24"/>
          <w:szCs w:val="24"/>
          <w:lang w:eastAsia="en-GB"/>
        </w:rPr>
        <w:t>). This synthesis underscores that mismatch is not solely a phenological timing problem but is also mediated by resource abundance, since reduced flowering under drought can constrain pollinator reproduction even where timing remains synchronised.</w:t>
      </w:r>
    </w:p>
    <w:p w14:paraId="078EC3F7" w14:textId="77777777" w:rsidR="00C8757A" w:rsidRPr="00C8757A" w:rsidRDefault="00C8757A" w:rsidP="00E1508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6.3 Consequences for insect reproductive success</w:t>
      </w:r>
    </w:p>
    <w:p w14:paraId="0B0081FF" w14:textId="77777777" w:rsidR="00C8757A" w:rsidRPr="00C8757A" w:rsidRDefault="00C8757A" w:rsidP="00E1508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Where mismatch reduces access to floral or host resources during the period in which reproductive maturation or oviposition would normally occur, the reproductive cost is transmitted directly to the insect population, as demonstrated in the bumblebee–</w:t>
      </w:r>
      <w:r w:rsidRPr="00C8757A">
        <w:rPr>
          <w:rFonts w:ascii="Times New Roman" w:eastAsia="Times New Roman" w:hAnsi="Times New Roman" w:cs="Times New Roman"/>
          <w:i/>
          <w:iCs/>
          <w:sz w:val="24"/>
          <w:szCs w:val="24"/>
          <w:lang w:eastAsia="en-GB"/>
        </w:rPr>
        <w:t>Corydalis</w:t>
      </w:r>
      <w:r w:rsidRPr="00C8757A">
        <w:rPr>
          <w:rFonts w:ascii="Times New Roman" w:eastAsia="Times New Roman" w:hAnsi="Times New Roman" w:cs="Times New Roman"/>
          <w:sz w:val="24"/>
          <w:szCs w:val="24"/>
          <w:lang w:eastAsia="en-GB"/>
        </w:rPr>
        <w:t xml:space="preserve"> system described in Section 5.3 (Kudo &amp; Cooper, 2019). Equivalent mechanisms operate in herbivorous and </w:t>
      </w:r>
      <w:proofErr w:type="spellStart"/>
      <w:r w:rsidRPr="00C8757A">
        <w:rPr>
          <w:rFonts w:ascii="Times New Roman" w:eastAsia="Times New Roman" w:hAnsi="Times New Roman" w:cs="Times New Roman"/>
          <w:sz w:val="24"/>
          <w:szCs w:val="24"/>
          <w:lang w:eastAsia="en-GB"/>
        </w:rPr>
        <w:t>parasitoid</w:t>
      </w:r>
      <w:proofErr w:type="spellEnd"/>
      <w:r w:rsidRPr="00C8757A">
        <w:rPr>
          <w:rFonts w:ascii="Times New Roman" w:eastAsia="Times New Roman" w:hAnsi="Times New Roman" w:cs="Times New Roman"/>
          <w:sz w:val="24"/>
          <w:szCs w:val="24"/>
          <w:lang w:eastAsia="en-GB"/>
        </w:rPr>
        <w:t xml:space="preserve"> insects whose larval development depends on synchrony with host plant phenology or host insect availability, although the magnitude of fitness cost varies depending on the degree of dietary or host specialisation: specialist species are generally considered more vulnerable to mismatch than generalists able to shift among alternative resources (</w:t>
      </w:r>
      <w:proofErr w:type="spellStart"/>
      <w:r w:rsidRPr="00C8757A">
        <w:rPr>
          <w:rFonts w:ascii="Times New Roman" w:eastAsia="Times New Roman" w:hAnsi="Times New Roman" w:cs="Times New Roman"/>
          <w:bCs/>
          <w:sz w:val="24"/>
          <w:szCs w:val="24"/>
          <w:lang w:eastAsia="en-GB"/>
        </w:rPr>
        <w:t>Fisogni</w:t>
      </w:r>
      <w:proofErr w:type="spellEnd"/>
      <w:r w:rsidRPr="00C8757A">
        <w:rPr>
          <w:rFonts w:ascii="Times New Roman" w:eastAsia="Times New Roman" w:hAnsi="Times New Roman" w:cs="Times New Roman"/>
          <w:bCs/>
          <w:sz w:val="24"/>
          <w:szCs w:val="24"/>
          <w:lang w:eastAsia="en-GB"/>
        </w:rPr>
        <w:t xml:space="preserve"> et al., 2025</w:t>
      </w:r>
      <w:r w:rsidRPr="00C8757A">
        <w:rPr>
          <w:rFonts w:ascii="Times New Roman" w:eastAsia="Times New Roman" w:hAnsi="Times New Roman" w:cs="Times New Roman"/>
          <w:sz w:val="24"/>
          <w:szCs w:val="24"/>
          <w:lang w:eastAsia="en-GB"/>
        </w:rPr>
        <w:t>).</w:t>
      </w:r>
    </w:p>
    <w:p w14:paraId="2D87CE02" w14:textId="77777777" w:rsidR="00C8757A" w:rsidRPr="00C8757A" w:rsidRDefault="00C8757A" w:rsidP="00E15085">
      <w:pPr>
        <w:spacing w:after="0" w:line="240" w:lineRule="auto"/>
        <w:jc w:val="both"/>
        <w:rPr>
          <w:rFonts w:ascii="Times New Roman" w:eastAsia="Times New Roman" w:hAnsi="Times New Roman" w:cs="Times New Roman"/>
          <w:sz w:val="24"/>
          <w:szCs w:val="24"/>
          <w:lang w:eastAsia="en-GB"/>
        </w:rPr>
      </w:pPr>
    </w:p>
    <w:p w14:paraId="4DF6E94F" w14:textId="77777777" w:rsidR="00C8757A" w:rsidRPr="00C8757A" w:rsidRDefault="00C8757A" w:rsidP="00E1508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8757A">
        <w:rPr>
          <w:rFonts w:ascii="Times New Roman" w:eastAsia="Times New Roman" w:hAnsi="Times New Roman" w:cs="Times New Roman"/>
          <w:b/>
          <w:bCs/>
          <w:sz w:val="27"/>
          <w:szCs w:val="27"/>
          <w:lang w:eastAsia="en-GB"/>
        </w:rPr>
        <w:t>7. Ocean Warming, Acidification and Aquatic Arthropod Life Cycles</w:t>
      </w:r>
    </w:p>
    <w:p w14:paraId="14615996" w14:textId="77777777" w:rsidR="00C8757A" w:rsidRPr="00C8757A" w:rsidRDefault="00C8757A" w:rsidP="00E1508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7.1 Combined thermal and chemical stressors in marine systems</w:t>
      </w:r>
    </w:p>
    <w:p w14:paraId="75B699D1" w14:textId="77777777" w:rsidR="00C8757A" w:rsidRPr="00C8757A" w:rsidRDefault="00C8757A" w:rsidP="00E1508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 xml:space="preserve">Marine crustaceans face the combined and sometimes interacting pressures of ocean warming and ocean acidification, both consequences of rising atmospheric carbon dioxide concentrations. While the present review focuses primarily on thermal effects, acidification frequently acts in tandem with temperature to influence moulting, exoskeleton calcification </w:t>
      </w:r>
      <w:r w:rsidRPr="00C8757A">
        <w:rPr>
          <w:rFonts w:ascii="Times New Roman" w:eastAsia="Times New Roman" w:hAnsi="Times New Roman" w:cs="Times New Roman"/>
          <w:sz w:val="24"/>
          <w:szCs w:val="24"/>
          <w:lang w:eastAsia="en-GB"/>
        </w:rPr>
        <w:lastRenderedPageBreak/>
        <w:t>and larval condition, and several crustacean studies report that the direction and magnitude of acidification effects can be modified by concurrent warming, such that the two stressors are not simply additive (</w:t>
      </w:r>
      <w:proofErr w:type="spellStart"/>
      <w:r w:rsidRPr="00C8757A">
        <w:rPr>
          <w:rFonts w:ascii="Times New Roman" w:eastAsia="Times New Roman" w:hAnsi="Times New Roman" w:cs="Times New Roman"/>
          <w:sz w:val="24"/>
          <w:szCs w:val="24"/>
          <w:lang w:eastAsia="en-GB"/>
        </w:rPr>
        <w:t>Marochi</w:t>
      </w:r>
      <w:proofErr w:type="spellEnd"/>
      <w:r w:rsidRPr="00C8757A">
        <w:rPr>
          <w:rFonts w:ascii="Times New Roman" w:eastAsia="Times New Roman" w:hAnsi="Times New Roman" w:cs="Times New Roman"/>
          <w:sz w:val="24"/>
          <w:szCs w:val="24"/>
          <w:lang w:eastAsia="en-GB"/>
        </w:rPr>
        <w:t xml:space="preserve"> et al., 2021).</w:t>
      </w:r>
    </w:p>
    <w:p w14:paraId="7937EE51" w14:textId="77777777" w:rsidR="00C8757A" w:rsidRPr="00C8757A" w:rsidRDefault="00C8757A" w:rsidP="00E1508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7.2 Latitudinal variation in vulnerability</w:t>
      </w:r>
    </w:p>
    <w:p w14:paraId="71BEA251" w14:textId="77777777" w:rsidR="00C8757A" w:rsidRPr="00C8757A" w:rsidRDefault="00C8757A" w:rsidP="00E1508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Projections for tropical and subtropical crab populations along the Atlantic coast indicate that the negative effects of warming on larval survival and development time are expected to be more pronounced at lower latitudes, where mean sea temperatures already lie closer to upper thermal limits, than at higher latitudes where some warming may initially fall within a more favourable thermal range (</w:t>
      </w:r>
      <w:proofErr w:type="spellStart"/>
      <w:r w:rsidRPr="00C8757A">
        <w:rPr>
          <w:rFonts w:ascii="Times New Roman" w:eastAsia="Times New Roman" w:hAnsi="Times New Roman" w:cs="Times New Roman"/>
          <w:sz w:val="24"/>
          <w:szCs w:val="24"/>
          <w:lang w:eastAsia="en-GB"/>
        </w:rPr>
        <w:t>Marochi</w:t>
      </w:r>
      <w:proofErr w:type="spellEnd"/>
      <w:r w:rsidRPr="00C8757A">
        <w:rPr>
          <w:rFonts w:ascii="Times New Roman" w:eastAsia="Times New Roman" w:hAnsi="Times New Roman" w:cs="Times New Roman"/>
          <w:sz w:val="24"/>
          <w:szCs w:val="24"/>
          <w:lang w:eastAsia="en-GB"/>
        </w:rPr>
        <w:t xml:space="preserve"> et al., 2021). This latitudinal asymmetry implies that climate vulnerability in marine arthropods is unlikely to be uniform across a species' range, with range-edge or low-latitude populations facing disproportionate risk.</w:t>
      </w:r>
    </w:p>
    <w:p w14:paraId="3965F83C" w14:textId="77777777" w:rsidR="00C8757A" w:rsidRPr="00C8757A" w:rsidRDefault="00C8757A" w:rsidP="00E1508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7.3 Freshwater crustacean and arachnid considerations</w:t>
      </w:r>
    </w:p>
    <w:p w14:paraId="17F0E48D" w14:textId="77777777" w:rsidR="00C8757A" w:rsidRPr="00C8757A" w:rsidRDefault="00C8757A" w:rsidP="00E1508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 xml:space="preserve">Although the marine literature on crustacean larval thermal sensitivity is comparatively well developed, freshwater crustaceans and aquatic arachnids such as water mites remain comparatively understudied with respect to climate-driven reproductive change, despite playing comparably important roles in freshwater food webs. The temperature–size rule and its oxygen-limitation mechanism, established in part from direct manipulative experiments on the freshwater isopod </w:t>
      </w:r>
      <w:r w:rsidRPr="00C8757A">
        <w:rPr>
          <w:rFonts w:ascii="Times New Roman" w:eastAsia="Times New Roman" w:hAnsi="Times New Roman" w:cs="Times New Roman"/>
          <w:i/>
          <w:iCs/>
          <w:sz w:val="24"/>
          <w:szCs w:val="24"/>
          <w:lang w:eastAsia="en-GB"/>
        </w:rPr>
        <w:t>Asellus aquaticus</w:t>
      </w:r>
      <w:r w:rsidRPr="00C8757A">
        <w:rPr>
          <w:rFonts w:ascii="Times New Roman" w:eastAsia="Times New Roman" w:hAnsi="Times New Roman" w:cs="Times New Roman"/>
          <w:sz w:val="24"/>
          <w:szCs w:val="24"/>
          <w:lang w:eastAsia="en-GB"/>
        </w:rPr>
        <w:t xml:space="preserve"> (</w:t>
      </w:r>
      <w:proofErr w:type="spellStart"/>
      <w:r w:rsidRPr="00C8757A">
        <w:rPr>
          <w:rFonts w:ascii="Times New Roman" w:eastAsia="Times New Roman" w:hAnsi="Times New Roman" w:cs="Times New Roman"/>
          <w:sz w:val="24"/>
          <w:szCs w:val="24"/>
          <w:lang w:eastAsia="en-GB"/>
        </w:rPr>
        <w:t>Hoefnagel</w:t>
      </w:r>
      <w:proofErr w:type="spellEnd"/>
      <w:r w:rsidRPr="00C8757A">
        <w:rPr>
          <w:rFonts w:ascii="Times New Roman" w:eastAsia="Times New Roman" w:hAnsi="Times New Roman" w:cs="Times New Roman"/>
          <w:sz w:val="24"/>
          <w:szCs w:val="24"/>
          <w:lang w:eastAsia="en-GB"/>
        </w:rPr>
        <w:t xml:space="preserve"> &amp; </w:t>
      </w:r>
      <w:proofErr w:type="spellStart"/>
      <w:r w:rsidRPr="00C8757A">
        <w:rPr>
          <w:rFonts w:ascii="Times New Roman" w:eastAsia="Times New Roman" w:hAnsi="Times New Roman" w:cs="Times New Roman"/>
          <w:sz w:val="24"/>
          <w:szCs w:val="24"/>
          <w:lang w:eastAsia="en-GB"/>
        </w:rPr>
        <w:t>Verberk</w:t>
      </w:r>
      <w:proofErr w:type="spellEnd"/>
      <w:r w:rsidRPr="00C8757A">
        <w:rPr>
          <w:rFonts w:ascii="Times New Roman" w:eastAsia="Times New Roman" w:hAnsi="Times New Roman" w:cs="Times New Roman"/>
          <w:sz w:val="24"/>
          <w:szCs w:val="24"/>
          <w:lang w:eastAsia="en-GB"/>
        </w:rPr>
        <w:t>, 2015) and supported by cross-species comparisons showing systematically stronger size responses in aquatic than terrestrial arthropods (Forster et al., 2012; Horne et al., 2015), are expected to apply broadly to freshwater crustaceans. Direct experimental confirmation across a wider range of freshwater taxa, and corresponding data on freshwater arachnid reproduction specifically, nonetheless remains a priority research gap.</w:t>
      </w:r>
    </w:p>
    <w:p w14:paraId="0F7CA508" w14:textId="77777777" w:rsidR="00C8757A" w:rsidRPr="00C8757A" w:rsidRDefault="00C8757A" w:rsidP="00E15085">
      <w:pPr>
        <w:spacing w:after="0" w:line="240" w:lineRule="auto"/>
        <w:jc w:val="both"/>
        <w:rPr>
          <w:rFonts w:ascii="Times New Roman" w:eastAsia="Times New Roman" w:hAnsi="Times New Roman" w:cs="Times New Roman"/>
          <w:sz w:val="24"/>
          <w:szCs w:val="24"/>
          <w:lang w:eastAsia="en-GB"/>
        </w:rPr>
      </w:pPr>
    </w:p>
    <w:p w14:paraId="3BD3D309" w14:textId="77777777" w:rsidR="00C8757A" w:rsidRPr="00C8757A" w:rsidRDefault="00C8757A" w:rsidP="00E1508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8757A">
        <w:rPr>
          <w:rFonts w:ascii="Times New Roman" w:eastAsia="Times New Roman" w:hAnsi="Times New Roman" w:cs="Times New Roman"/>
          <w:b/>
          <w:bCs/>
          <w:sz w:val="27"/>
          <w:szCs w:val="27"/>
          <w:lang w:eastAsia="en-GB"/>
        </w:rPr>
        <w:t>8. Drought, Precipitation Change and Terrestrial Arthropod Reproduction</w:t>
      </w:r>
    </w:p>
    <w:p w14:paraId="4853E3C6" w14:textId="77777777" w:rsidR="00C8757A" w:rsidRPr="00C8757A" w:rsidRDefault="00C8757A" w:rsidP="00E1508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8.1 Direct and indirect drought effects</w:t>
      </w:r>
    </w:p>
    <w:p w14:paraId="55560529" w14:textId="77777777" w:rsidR="00C8757A" w:rsidRPr="00C8757A" w:rsidRDefault="00C8757A" w:rsidP="00E1508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For terrestrial arthropods, altered precipitation regimes affect reproduction both directly, through desiccation stress on eggs, larvae and adults, and indirectly, through reductions in host-plant quality, floral resource abundance and prey availability. The global synthesis of climate effects on plant–pollinator systems found that drought reduced the number of blooming plant species in both temperate and tropical biomes, with corresponding reductions in pollinator and flower abundance recorded in pollination network studies (</w:t>
      </w:r>
      <w:proofErr w:type="spellStart"/>
      <w:r w:rsidRPr="00C8757A">
        <w:rPr>
          <w:rFonts w:ascii="Times New Roman" w:eastAsia="Times New Roman" w:hAnsi="Times New Roman" w:cs="Times New Roman"/>
          <w:b/>
          <w:bCs/>
          <w:sz w:val="24"/>
          <w:szCs w:val="24"/>
          <w:lang w:eastAsia="en-GB"/>
        </w:rPr>
        <w:t>Martén</w:t>
      </w:r>
      <w:proofErr w:type="spellEnd"/>
      <w:r w:rsidRPr="00C8757A">
        <w:rPr>
          <w:rFonts w:ascii="Times New Roman" w:eastAsia="Times New Roman" w:hAnsi="Times New Roman" w:cs="Times New Roman"/>
          <w:b/>
          <w:bCs/>
          <w:sz w:val="24"/>
          <w:szCs w:val="24"/>
          <w:lang w:eastAsia="en-GB"/>
        </w:rPr>
        <w:t>-Rodríguez et al., 2025</w:t>
      </w:r>
      <w:r w:rsidRPr="00C8757A">
        <w:rPr>
          <w:rFonts w:ascii="Times New Roman" w:eastAsia="Times New Roman" w:hAnsi="Times New Roman" w:cs="Times New Roman"/>
          <w:sz w:val="24"/>
          <w:szCs w:val="24"/>
          <w:lang w:eastAsia="en-GB"/>
        </w:rPr>
        <w:t>). Because many terrestrial arthropods depend on plant phenology for oviposition cues or larval food, drought-driven reductions in host-plant condition can constrain reproduction even where temperature alone would not be limiting.</w:t>
      </w:r>
    </w:p>
    <w:p w14:paraId="6010D4C1" w14:textId="77777777" w:rsidR="00C8757A" w:rsidRPr="00C8757A" w:rsidRDefault="00C8757A" w:rsidP="00E1508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8.2 Interaction between drought and thermal stress</w:t>
      </w:r>
    </w:p>
    <w:p w14:paraId="00BEC84F" w14:textId="77777777" w:rsidR="00C8757A" w:rsidRPr="00C8757A" w:rsidRDefault="00C8757A" w:rsidP="00E1508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 xml:space="preserve">Drought and elevated temperature frequently co-occur during heatwave events, and their combined physiological cost to arthropods, through accelerated desiccation alongside heat stress, is generally greater than either stressor acting alone. This compounding relationship is particularly relevant for ground-dwelling arachnids and soil-dwelling arthropod larvae, whose </w:t>
      </w:r>
      <w:r w:rsidRPr="00C8757A">
        <w:rPr>
          <w:rFonts w:ascii="Times New Roman" w:eastAsia="Times New Roman" w:hAnsi="Times New Roman" w:cs="Times New Roman"/>
          <w:sz w:val="24"/>
          <w:szCs w:val="24"/>
          <w:lang w:eastAsia="en-GB"/>
        </w:rPr>
        <w:lastRenderedPageBreak/>
        <w:t>reproductive success depends on maintaining adequate hydration during otherwise temperature-favourable development.</w:t>
      </w:r>
    </w:p>
    <w:p w14:paraId="32172A29" w14:textId="77777777" w:rsidR="00C8757A" w:rsidRPr="00C8757A" w:rsidRDefault="00C8757A" w:rsidP="00E15085">
      <w:pPr>
        <w:spacing w:after="0" w:line="240" w:lineRule="auto"/>
        <w:jc w:val="both"/>
        <w:rPr>
          <w:rFonts w:ascii="Times New Roman" w:eastAsia="Times New Roman" w:hAnsi="Times New Roman" w:cs="Times New Roman"/>
          <w:sz w:val="24"/>
          <w:szCs w:val="24"/>
          <w:lang w:eastAsia="en-GB"/>
        </w:rPr>
      </w:pPr>
    </w:p>
    <w:p w14:paraId="3DB927DC" w14:textId="77777777" w:rsidR="00C8757A" w:rsidRPr="00C8757A" w:rsidRDefault="00C8757A" w:rsidP="00E1508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8757A">
        <w:rPr>
          <w:rFonts w:ascii="Times New Roman" w:eastAsia="Times New Roman" w:hAnsi="Times New Roman" w:cs="Times New Roman"/>
          <w:b/>
          <w:bCs/>
          <w:sz w:val="27"/>
          <w:szCs w:val="27"/>
          <w:lang w:eastAsia="en-GB"/>
        </w:rPr>
        <w:t>9. Discussion: Cross-Taxon Patterns and Vulnerability</w:t>
      </w:r>
    </w:p>
    <w:p w14:paraId="033AF469" w14:textId="77777777" w:rsidR="00C8757A" w:rsidRPr="00C8757A" w:rsidRDefault="00C8757A" w:rsidP="00E1508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 xml:space="preserve">Drawing together the evidence reviewed above, several patterns recur across very different arthropod lineages. Developmental rate responses to warming are broadly unimodal, with acceleration toward an optimum followed by sharp decline, a pattern documented consistently from terrestrial insects to marine crab larvae (Harvey et al., 2023; </w:t>
      </w:r>
      <w:proofErr w:type="spellStart"/>
      <w:r w:rsidRPr="00C8757A">
        <w:rPr>
          <w:rFonts w:ascii="Times New Roman" w:eastAsia="Times New Roman" w:hAnsi="Times New Roman" w:cs="Times New Roman"/>
          <w:sz w:val="24"/>
          <w:szCs w:val="24"/>
          <w:lang w:eastAsia="en-GB"/>
        </w:rPr>
        <w:t>Marochi</w:t>
      </w:r>
      <w:proofErr w:type="spellEnd"/>
      <w:r w:rsidRPr="00C8757A">
        <w:rPr>
          <w:rFonts w:ascii="Times New Roman" w:eastAsia="Times New Roman" w:hAnsi="Times New Roman" w:cs="Times New Roman"/>
          <w:sz w:val="24"/>
          <w:szCs w:val="24"/>
          <w:lang w:eastAsia="en-GB"/>
        </w:rPr>
        <w:t xml:space="preserve"> et al., 2021). The temperature–size rule, while not universal, represents a dominant and mechanistically grounded response linking warming to reduced adult body size and, by extension, reduced fecundity, with the strength of this linkage modified by oxygen availability, nutritional context and the relative aquatic or terrestrial habit of the species concerned (</w:t>
      </w:r>
      <w:proofErr w:type="spellStart"/>
      <w:r w:rsidRPr="00C8757A">
        <w:rPr>
          <w:rFonts w:ascii="Times New Roman" w:eastAsia="Times New Roman" w:hAnsi="Times New Roman" w:cs="Times New Roman"/>
          <w:sz w:val="24"/>
          <w:szCs w:val="24"/>
          <w:lang w:eastAsia="en-GB"/>
        </w:rPr>
        <w:t>Verberk</w:t>
      </w:r>
      <w:proofErr w:type="spellEnd"/>
      <w:r w:rsidRPr="00C8757A">
        <w:rPr>
          <w:rFonts w:ascii="Times New Roman" w:eastAsia="Times New Roman" w:hAnsi="Times New Roman" w:cs="Times New Roman"/>
          <w:sz w:val="24"/>
          <w:szCs w:val="24"/>
          <w:lang w:eastAsia="en-GB"/>
        </w:rPr>
        <w:t xml:space="preserve"> et al., 2021; </w:t>
      </w:r>
      <w:proofErr w:type="spellStart"/>
      <w:r w:rsidRPr="00C8757A">
        <w:rPr>
          <w:rFonts w:ascii="Times New Roman" w:eastAsia="Times New Roman" w:hAnsi="Times New Roman" w:cs="Times New Roman"/>
          <w:sz w:val="24"/>
          <w:szCs w:val="24"/>
          <w:lang w:eastAsia="en-GB"/>
        </w:rPr>
        <w:t>Hoefnagel</w:t>
      </w:r>
      <w:proofErr w:type="spellEnd"/>
      <w:r w:rsidRPr="00C8757A">
        <w:rPr>
          <w:rFonts w:ascii="Times New Roman" w:eastAsia="Times New Roman" w:hAnsi="Times New Roman" w:cs="Times New Roman"/>
          <w:sz w:val="24"/>
          <w:szCs w:val="24"/>
          <w:lang w:eastAsia="en-GB"/>
        </w:rPr>
        <w:t xml:space="preserve"> &amp; </w:t>
      </w:r>
      <w:proofErr w:type="spellStart"/>
      <w:r w:rsidRPr="00C8757A">
        <w:rPr>
          <w:rFonts w:ascii="Times New Roman" w:eastAsia="Times New Roman" w:hAnsi="Times New Roman" w:cs="Times New Roman"/>
          <w:sz w:val="24"/>
          <w:szCs w:val="24"/>
          <w:lang w:eastAsia="en-GB"/>
        </w:rPr>
        <w:t>Verberk</w:t>
      </w:r>
      <w:proofErr w:type="spellEnd"/>
      <w:r w:rsidRPr="00C8757A">
        <w:rPr>
          <w:rFonts w:ascii="Times New Roman" w:eastAsia="Times New Roman" w:hAnsi="Times New Roman" w:cs="Times New Roman"/>
          <w:sz w:val="24"/>
          <w:szCs w:val="24"/>
          <w:lang w:eastAsia="en-GB"/>
        </w:rPr>
        <w:t xml:space="preserve">, 2015; Forster et al., 2012; Horne et al., 2015; Harrison et al., 2018; </w:t>
      </w:r>
      <w:r w:rsidRPr="00C8757A">
        <w:rPr>
          <w:rFonts w:ascii="Times New Roman" w:eastAsia="Times New Roman" w:hAnsi="Times New Roman" w:cs="Times New Roman"/>
          <w:bCs/>
          <w:sz w:val="24"/>
          <w:szCs w:val="24"/>
          <w:lang w:eastAsia="en-GB"/>
        </w:rPr>
        <w:t>Yan et al., 2024</w:t>
      </w:r>
      <w:r w:rsidRPr="00C8757A">
        <w:rPr>
          <w:rFonts w:ascii="Times New Roman" w:eastAsia="Times New Roman" w:hAnsi="Times New Roman" w:cs="Times New Roman"/>
          <w:sz w:val="24"/>
          <w:szCs w:val="24"/>
          <w:lang w:eastAsia="en-GB"/>
        </w:rPr>
        <w:t xml:space="preserve">). Diapause and voltinism stand out as particularly sensitive nodes in the arthropod life cycle precisely because they depend on the alignment of multiple, independently shifting environmental cues; disruption here can manifest as beneficial range or generation expansion in pest species, or as energetically costly desynchronisation in others (Bale &amp; Hayward, 2010; </w:t>
      </w:r>
      <w:proofErr w:type="spellStart"/>
      <w:r w:rsidRPr="00C8757A">
        <w:rPr>
          <w:rFonts w:ascii="Times New Roman" w:eastAsia="Times New Roman" w:hAnsi="Times New Roman" w:cs="Times New Roman"/>
          <w:sz w:val="24"/>
          <w:szCs w:val="24"/>
          <w:lang w:eastAsia="en-GB"/>
        </w:rPr>
        <w:t>Tougeron</w:t>
      </w:r>
      <w:proofErr w:type="spellEnd"/>
      <w:r w:rsidRPr="00C8757A">
        <w:rPr>
          <w:rFonts w:ascii="Times New Roman" w:eastAsia="Times New Roman" w:hAnsi="Times New Roman" w:cs="Times New Roman"/>
          <w:sz w:val="24"/>
          <w:szCs w:val="24"/>
          <w:lang w:eastAsia="en-GB"/>
        </w:rPr>
        <w:t xml:space="preserve">, 2019; </w:t>
      </w:r>
      <w:proofErr w:type="spellStart"/>
      <w:r w:rsidRPr="00C8757A">
        <w:rPr>
          <w:rFonts w:ascii="Times New Roman" w:eastAsia="Times New Roman" w:hAnsi="Times New Roman" w:cs="Times New Roman"/>
          <w:sz w:val="24"/>
          <w:szCs w:val="24"/>
          <w:lang w:eastAsia="en-GB"/>
        </w:rPr>
        <w:t>Stoeckli</w:t>
      </w:r>
      <w:proofErr w:type="spellEnd"/>
      <w:r w:rsidRPr="00C8757A">
        <w:rPr>
          <w:rFonts w:ascii="Times New Roman" w:eastAsia="Times New Roman" w:hAnsi="Times New Roman" w:cs="Times New Roman"/>
          <w:sz w:val="24"/>
          <w:szCs w:val="24"/>
          <w:lang w:eastAsia="en-GB"/>
        </w:rPr>
        <w:t xml:space="preserve"> et al., 2012). Reproductive consequences, finally, frequently propagate through interspecific interactions, particularly in pollination systems, such that the climate sensitivity of one partner can determine reproductive outcomes for both (Kudo &amp; Cooper, 2019; Olliff-Yang &amp; Mesler, 2018; </w:t>
      </w:r>
      <w:proofErr w:type="spellStart"/>
      <w:r w:rsidRPr="00C8757A">
        <w:rPr>
          <w:rFonts w:ascii="Times New Roman" w:eastAsia="Times New Roman" w:hAnsi="Times New Roman" w:cs="Times New Roman"/>
          <w:bCs/>
          <w:sz w:val="24"/>
          <w:szCs w:val="24"/>
          <w:lang w:eastAsia="en-GB"/>
        </w:rPr>
        <w:t>Martén</w:t>
      </w:r>
      <w:proofErr w:type="spellEnd"/>
      <w:r w:rsidRPr="00C8757A">
        <w:rPr>
          <w:rFonts w:ascii="Times New Roman" w:eastAsia="Times New Roman" w:hAnsi="Times New Roman" w:cs="Times New Roman"/>
          <w:bCs/>
          <w:sz w:val="24"/>
          <w:szCs w:val="24"/>
          <w:lang w:eastAsia="en-GB"/>
        </w:rPr>
        <w:t>-Rodríguez et al., 2025</w:t>
      </w:r>
      <w:r w:rsidRPr="00C8757A">
        <w:rPr>
          <w:rFonts w:ascii="Times New Roman" w:eastAsia="Times New Roman" w:hAnsi="Times New Roman" w:cs="Times New Roman"/>
          <w:sz w:val="24"/>
          <w:szCs w:val="24"/>
          <w:lang w:eastAsia="en-GB"/>
        </w:rPr>
        <w:t>).</w:t>
      </w:r>
    </w:p>
    <w:p w14:paraId="07BF14E6" w14:textId="77777777" w:rsidR="00C8757A" w:rsidRPr="00C8757A" w:rsidRDefault="00C8757A" w:rsidP="00E1508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A notable asymmetry in the evidence base is the comparative depth of research on agricultural pest insects and commercially important marine crustaceans relative to non-pest terrestrial insects, freshwater arthropods and most arachnid and myriapod groups. This bias likely reflects funding priorities tied to economic interest rather than ecological importance, and it constrains the generality of conclusions that can currently be drawn about arthropod responses to climate change as a whole.</w:t>
      </w:r>
    </w:p>
    <w:p w14:paraId="48916A3D" w14:textId="77777777" w:rsidR="00C8757A" w:rsidRPr="00C8757A" w:rsidRDefault="00C8757A" w:rsidP="00E15085">
      <w:pPr>
        <w:spacing w:after="0" w:line="240" w:lineRule="auto"/>
        <w:jc w:val="both"/>
        <w:rPr>
          <w:rFonts w:ascii="Times New Roman" w:eastAsia="Times New Roman" w:hAnsi="Times New Roman" w:cs="Times New Roman"/>
          <w:sz w:val="24"/>
          <w:szCs w:val="24"/>
          <w:lang w:eastAsia="en-GB"/>
        </w:rPr>
      </w:pPr>
    </w:p>
    <w:p w14:paraId="0DA576DA" w14:textId="77777777" w:rsidR="00C8757A" w:rsidRPr="00C8757A" w:rsidRDefault="00C8757A" w:rsidP="00E1508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8757A">
        <w:rPr>
          <w:rFonts w:ascii="Times New Roman" w:eastAsia="Times New Roman" w:hAnsi="Times New Roman" w:cs="Times New Roman"/>
          <w:b/>
          <w:bCs/>
          <w:sz w:val="27"/>
          <w:szCs w:val="27"/>
          <w:lang w:eastAsia="en-GB"/>
        </w:rPr>
        <w:t>10. Future Directions</w:t>
      </w:r>
    </w:p>
    <w:p w14:paraId="1FCD4571" w14:textId="77777777" w:rsidR="00C8757A" w:rsidRPr="00C8757A" w:rsidRDefault="00C8757A" w:rsidP="00E1508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 xml:space="preserve">Future research would benefit from multigenerational experimental designs that track fecundity, sex allocation and offspring viability across several successive generations under realistic warming scenarios, since most current evidence derives from single-generation exposures that may understate or overstate longer-term reproductive consequences. Greater integration of thermal stress with concurrent drought, precipitation variability and, in aquatic systems, acidification would better reflect the multifactorial nature of climate change as experienced by arthropod populations in the field. Long-term phenological monitoring programmes, particularly for non-pest insects, freshwater crustaceans and arachnids, would help close the substantial taxonomic gap identified in this review. Trait-based and mechanistic models linking individual thermal performance curves to population-level voltinism and fecundity outcomes offer a promising route toward more reliable forecasting, provided they are parameterised with data from a broader range of taxa than currently available. Closer collaboration between entomological, crustacean and pollination-ecology </w:t>
      </w:r>
      <w:r w:rsidRPr="00C8757A">
        <w:rPr>
          <w:rFonts w:ascii="Times New Roman" w:eastAsia="Times New Roman" w:hAnsi="Times New Roman" w:cs="Times New Roman"/>
          <w:sz w:val="24"/>
          <w:szCs w:val="24"/>
          <w:lang w:eastAsia="en-GB"/>
        </w:rPr>
        <w:lastRenderedPageBreak/>
        <w:t>research communities would, finally, help develop a genuinely cross-taxon predictive framework rather than the currently fragmented, lineage-specific body of evidence.</w:t>
      </w:r>
    </w:p>
    <w:p w14:paraId="20EDB507" w14:textId="77777777" w:rsidR="00C8757A" w:rsidRPr="00C8757A" w:rsidRDefault="00C8757A" w:rsidP="00E1508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8757A">
        <w:rPr>
          <w:rFonts w:ascii="Times New Roman" w:eastAsia="Times New Roman" w:hAnsi="Times New Roman" w:cs="Times New Roman"/>
          <w:b/>
          <w:bCs/>
          <w:sz w:val="27"/>
          <w:szCs w:val="27"/>
          <w:lang w:eastAsia="en-GB"/>
        </w:rPr>
        <w:t>11. Conclusions</w:t>
      </w:r>
    </w:p>
    <w:p w14:paraId="5A469121" w14:textId="77777777" w:rsidR="00C8757A" w:rsidRPr="00C8757A" w:rsidRDefault="00C8757A" w:rsidP="00E1508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Climate change is altering the metamorphosis and reproduction of arthropods through interacting effects on developmental rate, body size, diapause timing, voltinism and the synchrony of interspecific interactions. Warming generally accelerates development up to a thermal optimum before impairing it, frequently reduces adult body size through the temperature–size rule with consequent costs to fecundity, and disrupts the photoperiod–temperature cue combinations that govern diapause induction and termination, producing shifts toward increased voltinism in many facultatively diapausing species. Reproductive consequences are evident across terrestrial insects, marine and presumably freshwater crustaceans, and pollination systems, where phenological mismatch between interacting species can transmit climate sensitivity from one partner to another. The evidence base, while substantial for agricultural pests and commercially important marine crustaceans, remains markedly thinner for the majority of non-pest terrestrial arthropods, freshwater taxa and arachnids, limiting the confidence with which broad cross-taxon predictions can currently be made.</w:t>
      </w:r>
    </w:p>
    <w:p w14:paraId="603A72AE" w14:textId="77777777" w:rsidR="00C8757A" w:rsidRPr="00C8757A" w:rsidRDefault="00C8757A" w:rsidP="00E1508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8757A">
        <w:rPr>
          <w:rFonts w:ascii="Times New Roman" w:eastAsia="Times New Roman" w:hAnsi="Times New Roman" w:cs="Times New Roman"/>
          <w:b/>
          <w:bCs/>
          <w:sz w:val="27"/>
          <w:szCs w:val="27"/>
          <w:lang w:eastAsia="en-GB"/>
        </w:rPr>
        <w:t>12. Limitations</w:t>
      </w:r>
    </w:p>
    <w:p w14:paraId="3D4E794B" w14:textId="77777777" w:rsidR="00C8757A" w:rsidRDefault="00C8757A" w:rsidP="00E1508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This review is narrative rather than systematic in design, and although a structured search strategy was applied, it did not involve formal risk-of-bias assessment or quantitative effect-size pooling, meaning that the relative strength of evidence across studies could not be statistically weighted. The restriction to English-language, peer-reviewed sources will have excluded relevant findings published in other languages or in grey literature. The evidence synthesised is also unevenly distributed across taxa, with agricultural pest insects and commercially significant marine crustaceans considerably overrepresented relative to most other arthropod groups, a bias that reflects the underlying literature rather than a deliberate choice in this review and that constrains the generality of the conclusions drawn.</w:t>
      </w:r>
    </w:p>
    <w:p w14:paraId="0690044C" w14:textId="77777777" w:rsidR="00D61849" w:rsidRDefault="00D61849" w:rsidP="00E15085">
      <w:pPr>
        <w:spacing w:before="100" w:beforeAutospacing="1" w:after="100" w:afterAutospacing="1" w:line="240" w:lineRule="auto"/>
        <w:jc w:val="both"/>
        <w:rPr>
          <w:rFonts w:ascii="Times New Roman" w:eastAsia="Times New Roman" w:hAnsi="Times New Roman" w:cs="Times New Roman"/>
          <w:sz w:val="24"/>
          <w:szCs w:val="24"/>
          <w:lang w:eastAsia="en-GB"/>
        </w:rPr>
      </w:pPr>
    </w:p>
    <w:p w14:paraId="5E01871D" w14:textId="77777777" w:rsidR="00D61849" w:rsidRPr="00C04DA0" w:rsidRDefault="00D61849" w:rsidP="00E15085">
      <w:pPr>
        <w:spacing w:after="0" w:line="240" w:lineRule="auto"/>
        <w:jc w:val="both"/>
        <w:rPr>
          <w:rFonts w:ascii="Times New Roman" w:eastAsia="Calibri" w:hAnsi="Times New Roman" w:cs="Times New Roman"/>
          <w:b/>
        </w:rPr>
      </w:pPr>
      <w:r w:rsidRPr="00C04DA0">
        <w:rPr>
          <w:rFonts w:ascii="Times New Roman" w:eastAsia="Calibri" w:hAnsi="Times New Roman" w:cs="Times New Roman"/>
          <w:b/>
        </w:rPr>
        <w:t>Declaration of AI Use</w:t>
      </w:r>
    </w:p>
    <w:p w14:paraId="7BA94384" w14:textId="77777777" w:rsidR="00D61849" w:rsidRPr="00C04DA0" w:rsidRDefault="00D61849" w:rsidP="00E15085">
      <w:pPr>
        <w:spacing w:after="0" w:line="240" w:lineRule="auto"/>
        <w:jc w:val="both"/>
        <w:rPr>
          <w:rFonts w:ascii="Times New Roman" w:eastAsia="Calibri" w:hAnsi="Times New Roman" w:cs="Times New Roman"/>
        </w:rPr>
      </w:pPr>
    </w:p>
    <w:p w14:paraId="279012F2" w14:textId="77777777" w:rsidR="00D61849" w:rsidRDefault="00D61849" w:rsidP="00E15085">
      <w:pPr>
        <w:spacing w:after="0" w:line="240" w:lineRule="auto"/>
        <w:jc w:val="both"/>
        <w:rPr>
          <w:rFonts w:ascii="Times New Roman" w:eastAsia="Calibri" w:hAnsi="Times New Roman" w:cs="Times New Roman"/>
        </w:rPr>
      </w:pPr>
      <w:r w:rsidRPr="00C04DA0">
        <w:rPr>
          <w:rFonts w:ascii="Times New Roman" w:eastAsia="Calibri"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D338848" w14:textId="77777777" w:rsidR="00D61849" w:rsidRPr="00C04DA0" w:rsidRDefault="00D61849" w:rsidP="00E15085">
      <w:pPr>
        <w:spacing w:after="0" w:line="240" w:lineRule="auto"/>
        <w:jc w:val="both"/>
        <w:rPr>
          <w:rFonts w:ascii="Times New Roman" w:eastAsia="Calibri" w:hAnsi="Times New Roman" w:cs="Times New Roman"/>
        </w:rPr>
      </w:pPr>
    </w:p>
    <w:p w14:paraId="1D001F1B" w14:textId="74C7783C" w:rsidR="00D61849" w:rsidRPr="00D61849" w:rsidRDefault="00D61849" w:rsidP="00E15085">
      <w:pPr>
        <w:jc w:val="both"/>
        <w:rPr>
          <w:rFonts w:ascii="Times New Roman" w:eastAsiaTheme="minorEastAsia" w:hAnsi="Times New Roman" w:cs="Times New Roman"/>
          <w:b/>
          <w:bCs/>
          <w:lang w:eastAsia="en-GB"/>
        </w:rPr>
      </w:pPr>
      <w:r w:rsidRPr="00D61849">
        <w:rPr>
          <w:rFonts w:ascii="Times New Roman" w:eastAsiaTheme="minorEastAsia" w:hAnsi="Times New Roman" w:cs="Times New Roman"/>
          <w:b/>
          <w:bCs/>
          <w:lang w:eastAsia="en-GB"/>
        </w:rPr>
        <w:t>COMPETING INTERESTS:</w:t>
      </w:r>
    </w:p>
    <w:p w14:paraId="28B60655" w14:textId="77777777" w:rsidR="00D61849" w:rsidRPr="00D61849" w:rsidRDefault="00D61849" w:rsidP="00E15085">
      <w:pPr>
        <w:jc w:val="both"/>
        <w:rPr>
          <w:rFonts w:ascii="Times New Roman" w:eastAsiaTheme="minorEastAsia" w:hAnsi="Times New Roman" w:cs="Times New Roman"/>
          <w:lang w:eastAsia="en-GB"/>
        </w:rPr>
      </w:pPr>
      <w:r w:rsidRPr="00D61849">
        <w:rPr>
          <w:rFonts w:ascii="Times New Roman" w:eastAsiaTheme="minorEastAsia" w:hAnsi="Times New Roman" w:cs="Times New Roman"/>
          <w:lang w:eastAsia="en-GB"/>
        </w:rPr>
        <w:t>Authors have declared that they have no known competing financial interests OR non-financial interests OR personal relationships that could have appeared to influence the work reported in this paper.</w:t>
      </w:r>
    </w:p>
    <w:p w14:paraId="6A1DB535" w14:textId="77777777" w:rsidR="00D61849" w:rsidRPr="00D61849" w:rsidRDefault="00D61849" w:rsidP="00E15085">
      <w:pPr>
        <w:spacing w:before="100" w:beforeAutospacing="1" w:after="100" w:afterAutospacing="1" w:line="240" w:lineRule="auto"/>
        <w:jc w:val="both"/>
        <w:rPr>
          <w:rFonts w:ascii="Times New Roman" w:eastAsia="Times New Roman" w:hAnsi="Times New Roman" w:cs="Times New Roman"/>
          <w:sz w:val="24"/>
          <w:szCs w:val="24"/>
          <w:lang w:eastAsia="en-GB"/>
        </w:rPr>
      </w:pPr>
    </w:p>
    <w:p w14:paraId="10BD934A" w14:textId="77777777" w:rsidR="00C8757A" w:rsidRPr="00C8757A" w:rsidRDefault="00C8757A" w:rsidP="00E15085">
      <w:pPr>
        <w:spacing w:after="0" w:line="240" w:lineRule="auto"/>
        <w:jc w:val="both"/>
        <w:rPr>
          <w:rFonts w:ascii="Times New Roman" w:eastAsia="Times New Roman" w:hAnsi="Times New Roman" w:cs="Times New Roman"/>
          <w:sz w:val="24"/>
          <w:szCs w:val="24"/>
          <w:lang w:eastAsia="en-GB"/>
        </w:rPr>
      </w:pPr>
    </w:p>
    <w:p w14:paraId="53C839F9" w14:textId="77777777" w:rsidR="00C8757A" w:rsidRPr="00C8757A" w:rsidRDefault="00C8757A" w:rsidP="00E1508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8757A">
        <w:rPr>
          <w:rFonts w:ascii="Times New Roman" w:eastAsia="Times New Roman" w:hAnsi="Times New Roman" w:cs="Times New Roman"/>
          <w:b/>
          <w:bCs/>
          <w:sz w:val="27"/>
          <w:szCs w:val="27"/>
          <w:lang w:eastAsia="en-GB"/>
        </w:rPr>
        <w:t>References</w:t>
      </w:r>
    </w:p>
    <w:p w14:paraId="62AF0343" w14:textId="77777777" w:rsidR="00405B8B" w:rsidRPr="00405B8B" w:rsidRDefault="00405B8B" w:rsidP="00405B8B">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05B8B">
        <w:rPr>
          <w:rFonts w:ascii="Times New Roman" w:eastAsia="Times New Roman" w:hAnsi="Times New Roman" w:cs="Times New Roman"/>
          <w:sz w:val="24"/>
          <w:szCs w:val="24"/>
          <w:lang w:val="en-US"/>
        </w:rPr>
        <w:t xml:space="preserve">Bale, J. S., &amp; Hayward, S. A. L. (2010). Insect overwintering in a changing climate. </w:t>
      </w:r>
      <w:r w:rsidRPr="00405B8B">
        <w:rPr>
          <w:rFonts w:ascii="Times New Roman" w:eastAsia="Times New Roman" w:hAnsi="Times New Roman" w:cs="Times New Roman"/>
          <w:i/>
          <w:iCs/>
          <w:sz w:val="24"/>
          <w:szCs w:val="24"/>
          <w:lang w:val="en-US"/>
        </w:rPr>
        <w:t>Journal of Experimental Biology, 213</w:t>
      </w:r>
      <w:r w:rsidRPr="00405B8B">
        <w:rPr>
          <w:rFonts w:ascii="Times New Roman" w:eastAsia="Times New Roman" w:hAnsi="Times New Roman" w:cs="Times New Roman"/>
          <w:sz w:val="24"/>
          <w:szCs w:val="24"/>
          <w:lang w:val="en-US"/>
        </w:rPr>
        <w:t xml:space="preserve">(6), 980–994. </w:t>
      </w:r>
      <w:hyperlink r:id="rId7" w:tgtFrame="_new" w:history="1">
        <w:r w:rsidRPr="00405B8B">
          <w:rPr>
            <w:rFonts w:ascii="Times New Roman" w:eastAsia="Times New Roman" w:hAnsi="Times New Roman" w:cs="Times New Roman"/>
            <w:color w:val="0000FF"/>
            <w:sz w:val="24"/>
            <w:szCs w:val="24"/>
            <w:u w:val="single"/>
            <w:lang w:val="en-US"/>
          </w:rPr>
          <w:t>https://doi.org/10.1242/jeb.037911</w:t>
        </w:r>
      </w:hyperlink>
    </w:p>
    <w:p w14:paraId="6F1D1C85" w14:textId="77777777" w:rsidR="00405B8B" w:rsidRPr="00405B8B" w:rsidRDefault="00405B8B" w:rsidP="00405B8B">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405B8B">
        <w:rPr>
          <w:rFonts w:ascii="Times New Roman" w:eastAsia="Times New Roman" w:hAnsi="Times New Roman" w:cs="Times New Roman"/>
          <w:sz w:val="24"/>
          <w:szCs w:val="24"/>
          <w:lang w:val="en-US"/>
        </w:rPr>
        <w:t>Baethge</w:t>
      </w:r>
      <w:proofErr w:type="spellEnd"/>
      <w:r w:rsidRPr="00405B8B">
        <w:rPr>
          <w:rFonts w:ascii="Times New Roman" w:eastAsia="Times New Roman" w:hAnsi="Times New Roman" w:cs="Times New Roman"/>
          <w:sz w:val="24"/>
          <w:szCs w:val="24"/>
          <w:lang w:val="en-US"/>
        </w:rPr>
        <w:t xml:space="preserve">, C., Goldbeck-Wood, S., &amp; Mertens, S. (2019). SANRA—a scale for the quality assessment of narrative review articles. </w:t>
      </w:r>
      <w:r w:rsidRPr="00405B8B">
        <w:rPr>
          <w:rFonts w:ascii="Times New Roman" w:eastAsia="Times New Roman" w:hAnsi="Times New Roman" w:cs="Times New Roman"/>
          <w:i/>
          <w:iCs/>
          <w:sz w:val="24"/>
          <w:szCs w:val="24"/>
          <w:lang w:val="en-US"/>
        </w:rPr>
        <w:t>Research Integrity and Peer Review, 4</w:t>
      </w:r>
      <w:r w:rsidRPr="00405B8B">
        <w:rPr>
          <w:rFonts w:ascii="Times New Roman" w:eastAsia="Times New Roman" w:hAnsi="Times New Roman" w:cs="Times New Roman"/>
          <w:sz w:val="24"/>
          <w:szCs w:val="24"/>
          <w:lang w:val="en-US"/>
        </w:rPr>
        <w:t xml:space="preserve">(1), 5. </w:t>
      </w:r>
      <w:hyperlink r:id="rId8" w:tgtFrame="_new" w:history="1">
        <w:r w:rsidRPr="00405B8B">
          <w:rPr>
            <w:rFonts w:ascii="Times New Roman" w:eastAsia="Times New Roman" w:hAnsi="Times New Roman" w:cs="Times New Roman"/>
            <w:color w:val="0000FF"/>
            <w:sz w:val="24"/>
            <w:szCs w:val="24"/>
            <w:u w:val="single"/>
            <w:lang w:val="en-US"/>
          </w:rPr>
          <w:t>https://doi.org/10.1186/s41073-019-0064-8</w:t>
        </w:r>
      </w:hyperlink>
    </w:p>
    <w:p w14:paraId="4ADC0BD5" w14:textId="77777777" w:rsidR="00405B8B" w:rsidRPr="00405B8B" w:rsidRDefault="00405B8B" w:rsidP="00405B8B">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05B8B">
        <w:rPr>
          <w:rFonts w:ascii="Times New Roman" w:eastAsia="Times New Roman" w:hAnsi="Times New Roman" w:cs="Times New Roman"/>
          <w:sz w:val="24"/>
          <w:szCs w:val="24"/>
          <w:lang w:val="en-US"/>
        </w:rPr>
        <w:t>Burc, E., Girard-</w:t>
      </w:r>
      <w:proofErr w:type="spellStart"/>
      <w:r w:rsidRPr="00405B8B">
        <w:rPr>
          <w:rFonts w:ascii="Times New Roman" w:eastAsia="Times New Roman" w:hAnsi="Times New Roman" w:cs="Times New Roman"/>
          <w:sz w:val="24"/>
          <w:szCs w:val="24"/>
          <w:lang w:val="en-US"/>
        </w:rPr>
        <w:t>Tercieux</w:t>
      </w:r>
      <w:proofErr w:type="spellEnd"/>
      <w:r w:rsidRPr="00405B8B">
        <w:rPr>
          <w:rFonts w:ascii="Times New Roman" w:eastAsia="Times New Roman" w:hAnsi="Times New Roman" w:cs="Times New Roman"/>
          <w:sz w:val="24"/>
          <w:szCs w:val="24"/>
          <w:lang w:val="en-US"/>
        </w:rPr>
        <w:t xml:space="preserve">, C., Metz, M., Cazaux, E., Baur, J., </w:t>
      </w:r>
      <w:proofErr w:type="spellStart"/>
      <w:r w:rsidRPr="00405B8B">
        <w:rPr>
          <w:rFonts w:ascii="Times New Roman" w:eastAsia="Times New Roman" w:hAnsi="Times New Roman" w:cs="Times New Roman"/>
          <w:sz w:val="24"/>
          <w:szCs w:val="24"/>
          <w:lang w:val="en-US"/>
        </w:rPr>
        <w:t>Koppik</w:t>
      </w:r>
      <w:proofErr w:type="spellEnd"/>
      <w:r w:rsidRPr="00405B8B">
        <w:rPr>
          <w:rFonts w:ascii="Times New Roman" w:eastAsia="Times New Roman" w:hAnsi="Times New Roman" w:cs="Times New Roman"/>
          <w:sz w:val="24"/>
          <w:szCs w:val="24"/>
          <w:lang w:val="en-US"/>
        </w:rPr>
        <w:t xml:space="preserve">, M., Rêgo, A., Hart, A. F., &amp; Berger, D. (2025). Life-history adaptation under climate warming magnifies the agricultural footprint of a cosmopolitan insect pest. </w:t>
      </w:r>
      <w:r w:rsidRPr="00405B8B">
        <w:rPr>
          <w:rFonts w:ascii="Times New Roman" w:eastAsia="Times New Roman" w:hAnsi="Times New Roman" w:cs="Times New Roman"/>
          <w:i/>
          <w:iCs/>
          <w:sz w:val="24"/>
          <w:szCs w:val="24"/>
          <w:lang w:val="en-US"/>
        </w:rPr>
        <w:t>Nature Communications, 16</w:t>
      </w:r>
      <w:r w:rsidRPr="00405B8B">
        <w:rPr>
          <w:rFonts w:ascii="Times New Roman" w:eastAsia="Times New Roman" w:hAnsi="Times New Roman" w:cs="Times New Roman"/>
          <w:sz w:val="24"/>
          <w:szCs w:val="24"/>
          <w:lang w:val="en-US"/>
        </w:rPr>
        <w:t xml:space="preserve">, 827. </w:t>
      </w:r>
      <w:hyperlink r:id="rId9" w:tgtFrame="_new" w:history="1">
        <w:r w:rsidRPr="00405B8B">
          <w:rPr>
            <w:rFonts w:ascii="Times New Roman" w:eastAsia="Times New Roman" w:hAnsi="Times New Roman" w:cs="Times New Roman"/>
            <w:color w:val="0000FF"/>
            <w:sz w:val="24"/>
            <w:szCs w:val="24"/>
            <w:u w:val="single"/>
            <w:lang w:val="en-US"/>
          </w:rPr>
          <w:t>https://doi.org/10.1038/s41467-025-56177-2</w:t>
        </w:r>
      </w:hyperlink>
    </w:p>
    <w:p w14:paraId="76BECB68" w14:textId="77777777" w:rsidR="00405B8B" w:rsidRPr="00405B8B" w:rsidRDefault="00405B8B" w:rsidP="00405B8B">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05B8B">
        <w:rPr>
          <w:rFonts w:ascii="Times New Roman" w:eastAsia="Times New Roman" w:hAnsi="Times New Roman" w:cs="Times New Roman"/>
          <w:sz w:val="24"/>
          <w:szCs w:val="24"/>
          <w:lang w:val="en-US"/>
        </w:rPr>
        <w:t xml:space="preserve">Cole, B., Vasudeva, R., Dragoi, K., Hibble, J., King, J., Maklakov, A. A., Chapman, T., &amp; Gage, M. J. G. (2025). Short experimental heatwaves have sublethal impacts on male reproduction in a model insect. </w:t>
      </w:r>
      <w:r w:rsidRPr="00405B8B">
        <w:rPr>
          <w:rFonts w:ascii="Times New Roman" w:eastAsia="Times New Roman" w:hAnsi="Times New Roman" w:cs="Times New Roman"/>
          <w:i/>
          <w:iCs/>
          <w:sz w:val="24"/>
          <w:szCs w:val="24"/>
          <w:lang w:val="en-US"/>
        </w:rPr>
        <w:t>Journal of Experimental Biology, 228</w:t>
      </w:r>
      <w:r w:rsidRPr="00405B8B">
        <w:rPr>
          <w:rFonts w:ascii="Times New Roman" w:eastAsia="Times New Roman" w:hAnsi="Times New Roman" w:cs="Times New Roman"/>
          <w:sz w:val="24"/>
          <w:szCs w:val="24"/>
          <w:lang w:val="en-US"/>
        </w:rPr>
        <w:t xml:space="preserve">(15), jeb250555. </w:t>
      </w:r>
      <w:hyperlink r:id="rId10" w:tgtFrame="_new" w:history="1">
        <w:r w:rsidRPr="00405B8B">
          <w:rPr>
            <w:rFonts w:ascii="Times New Roman" w:eastAsia="Times New Roman" w:hAnsi="Times New Roman" w:cs="Times New Roman"/>
            <w:color w:val="0000FF"/>
            <w:sz w:val="24"/>
            <w:szCs w:val="24"/>
            <w:u w:val="single"/>
            <w:lang w:val="en-US"/>
          </w:rPr>
          <w:t>https://doi.org/10.1242/jeb.250555</w:t>
        </w:r>
      </w:hyperlink>
    </w:p>
    <w:p w14:paraId="108E5D9B" w14:textId="77777777" w:rsidR="00405B8B" w:rsidRPr="00405B8B" w:rsidRDefault="00405B8B" w:rsidP="00405B8B">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05B8B">
        <w:rPr>
          <w:rFonts w:ascii="Times New Roman" w:eastAsia="Times New Roman" w:hAnsi="Times New Roman" w:cs="Times New Roman"/>
          <w:sz w:val="24"/>
          <w:szCs w:val="24"/>
          <w:lang w:val="en-US"/>
        </w:rPr>
        <w:t xml:space="preserve">Durak, R., </w:t>
      </w:r>
      <w:proofErr w:type="spellStart"/>
      <w:r w:rsidRPr="00405B8B">
        <w:rPr>
          <w:rFonts w:ascii="Times New Roman" w:eastAsia="Times New Roman" w:hAnsi="Times New Roman" w:cs="Times New Roman"/>
          <w:sz w:val="24"/>
          <w:szCs w:val="24"/>
          <w:lang w:val="en-US"/>
        </w:rPr>
        <w:t>Materowska</w:t>
      </w:r>
      <w:proofErr w:type="spellEnd"/>
      <w:r w:rsidRPr="00405B8B">
        <w:rPr>
          <w:rFonts w:ascii="Times New Roman" w:eastAsia="Times New Roman" w:hAnsi="Times New Roman" w:cs="Times New Roman"/>
          <w:sz w:val="24"/>
          <w:szCs w:val="24"/>
          <w:lang w:val="en-US"/>
        </w:rPr>
        <w:t xml:space="preserve">, M., Bartoszewski, S., &amp; </w:t>
      </w:r>
      <w:proofErr w:type="spellStart"/>
      <w:r w:rsidRPr="00405B8B">
        <w:rPr>
          <w:rFonts w:ascii="Times New Roman" w:eastAsia="Times New Roman" w:hAnsi="Times New Roman" w:cs="Times New Roman"/>
          <w:sz w:val="24"/>
          <w:szCs w:val="24"/>
          <w:lang w:val="en-US"/>
        </w:rPr>
        <w:t>Misiorek</w:t>
      </w:r>
      <w:proofErr w:type="spellEnd"/>
      <w:r w:rsidRPr="00405B8B">
        <w:rPr>
          <w:rFonts w:ascii="Times New Roman" w:eastAsia="Times New Roman" w:hAnsi="Times New Roman" w:cs="Times New Roman"/>
          <w:sz w:val="24"/>
          <w:szCs w:val="24"/>
          <w:lang w:val="en-US"/>
        </w:rPr>
        <w:t xml:space="preserve">, M. (2026). Temperature-dependent regulation of diapause and hatching success in aphids: Implications for climate change. </w:t>
      </w:r>
      <w:r w:rsidRPr="00405B8B">
        <w:rPr>
          <w:rFonts w:ascii="Times New Roman" w:eastAsia="Times New Roman" w:hAnsi="Times New Roman" w:cs="Times New Roman"/>
          <w:i/>
          <w:iCs/>
          <w:sz w:val="24"/>
          <w:szCs w:val="24"/>
          <w:lang w:val="en-US"/>
        </w:rPr>
        <w:t>Environmental Entomology, 55</w:t>
      </w:r>
      <w:r w:rsidRPr="00405B8B">
        <w:rPr>
          <w:rFonts w:ascii="Times New Roman" w:eastAsia="Times New Roman" w:hAnsi="Times New Roman" w:cs="Times New Roman"/>
          <w:sz w:val="24"/>
          <w:szCs w:val="24"/>
          <w:lang w:val="en-US"/>
        </w:rPr>
        <w:t xml:space="preserve">(2), nvag013. </w:t>
      </w:r>
      <w:hyperlink r:id="rId11" w:tgtFrame="_new" w:history="1">
        <w:r w:rsidRPr="00405B8B">
          <w:rPr>
            <w:rFonts w:ascii="Times New Roman" w:eastAsia="Times New Roman" w:hAnsi="Times New Roman" w:cs="Times New Roman"/>
            <w:color w:val="0000FF"/>
            <w:sz w:val="24"/>
            <w:szCs w:val="24"/>
            <w:u w:val="single"/>
            <w:lang w:val="en-US"/>
          </w:rPr>
          <w:t>https://doi.org/10.1093/ee/nvag013</w:t>
        </w:r>
      </w:hyperlink>
    </w:p>
    <w:p w14:paraId="40A9AA7F" w14:textId="77777777" w:rsidR="00405B8B" w:rsidRPr="00405B8B" w:rsidRDefault="00405B8B" w:rsidP="00405B8B">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05B8B">
        <w:rPr>
          <w:rFonts w:ascii="Times New Roman" w:eastAsia="Times New Roman" w:hAnsi="Times New Roman" w:cs="Times New Roman"/>
          <w:sz w:val="24"/>
          <w:szCs w:val="24"/>
          <w:lang w:val="en-US"/>
        </w:rPr>
        <w:t xml:space="preserve">Fisogni, A., de </w:t>
      </w:r>
      <w:proofErr w:type="spellStart"/>
      <w:r w:rsidRPr="00405B8B">
        <w:rPr>
          <w:rFonts w:ascii="Times New Roman" w:eastAsia="Times New Roman" w:hAnsi="Times New Roman" w:cs="Times New Roman"/>
          <w:sz w:val="24"/>
          <w:szCs w:val="24"/>
          <w:lang w:val="en-US"/>
        </w:rPr>
        <w:t>Manincor</w:t>
      </w:r>
      <w:proofErr w:type="spellEnd"/>
      <w:r w:rsidRPr="00405B8B">
        <w:rPr>
          <w:rFonts w:ascii="Times New Roman" w:eastAsia="Times New Roman" w:hAnsi="Times New Roman" w:cs="Times New Roman"/>
          <w:sz w:val="24"/>
          <w:szCs w:val="24"/>
          <w:lang w:val="en-US"/>
        </w:rPr>
        <w:t xml:space="preserve">, N., </w:t>
      </w:r>
      <w:proofErr w:type="spellStart"/>
      <w:r w:rsidRPr="00405B8B">
        <w:rPr>
          <w:rFonts w:ascii="Times New Roman" w:eastAsia="Times New Roman" w:hAnsi="Times New Roman" w:cs="Times New Roman"/>
          <w:sz w:val="24"/>
          <w:szCs w:val="24"/>
          <w:lang w:val="en-US"/>
        </w:rPr>
        <w:t>Kaminskaia</w:t>
      </w:r>
      <w:proofErr w:type="spellEnd"/>
      <w:r w:rsidRPr="00405B8B">
        <w:rPr>
          <w:rFonts w:ascii="Times New Roman" w:eastAsia="Times New Roman" w:hAnsi="Times New Roman" w:cs="Times New Roman"/>
          <w:sz w:val="24"/>
          <w:szCs w:val="24"/>
          <w:lang w:val="en-US"/>
        </w:rPr>
        <w:t xml:space="preserve">, E., &amp; Rafferty, N. E. (2025). Complexities of phenological shifts for plant–pollinator interactions and ways forward. </w:t>
      </w:r>
      <w:r w:rsidRPr="00405B8B">
        <w:rPr>
          <w:rFonts w:ascii="Times New Roman" w:eastAsia="Times New Roman" w:hAnsi="Times New Roman" w:cs="Times New Roman"/>
          <w:i/>
          <w:iCs/>
          <w:sz w:val="24"/>
          <w:szCs w:val="24"/>
          <w:lang w:val="en-US"/>
        </w:rPr>
        <w:t>Integrative and Comparative Biology, 65</w:t>
      </w:r>
      <w:r w:rsidRPr="00405B8B">
        <w:rPr>
          <w:rFonts w:ascii="Times New Roman" w:eastAsia="Times New Roman" w:hAnsi="Times New Roman" w:cs="Times New Roman"/>
          <w:sz w:val="24"/>
          <w:szCs w:val="24"/>
          <w:lang w:val="en-US"/>
        </w:rPr>
        <w:t xml:space="preserve">(4), 932–941. </w:t>
      </w:r>
      <w:hyperlink r:id="rId12" w:tgtFrame="_new" w:history="1">
        <w:r w:rsidRPr="00405B8B">
          <w:rPr>
            <w:rFonts w:ascii="Times New Roman" w:eastAsia="Times New Roman" w:hAnsi="Times New Roman" w:cs="Times New Roman"/>
            <w:color w:val="0000FF"/>
            <w:sz w:val="24"/>
            <w:szCs w:val="24"/>
            <w:u w:val="single"/>
            <w:lang w:val="en-US"/>
          </w:rPr>
          <w:t>https://doi.org/10.1093/icb/icaf034</w:t>
        </w:r>
      </w:hyperlink>
    </w:p>
    <w:p w14:paraId="47FEA3E7" w14:textId="77777777" w:rsidR="00405B8B" w:rsidRPr="00405B8B" w:rsidRDefault="00405B8B" w:rsidP="00405B8B">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05B8B">
        <w:rPr>
          <w:rFonts w:ascii="Times New Roman" w:eastAsia="Times New Roman" w:hAnsi="Times New Roman" w:cs="Times New Roman"/>
          <w:sz w:val="24"/>
          <w:szCs w:val="24"/>
          <w:lang w:val="en-US"/>
        </w:rPr>
        <w:t xml:space="preserve">Forster, J., Hirst, A. G., &amp; Atkinson, D. (2012). Warming-induced reductions in body size are greater in aquatic than terrestrial species. </w:t>
      </w:r>
      <w:r w:rsidRPr="00405B8B">
        <w:rPr>
          <w:rFonts w:ascii="Times New Roman" w:eastAsia="Times New Roman" w:hAnsi="Times New Roman" w:cs="Times New Roman"/>
          <w:i/>
          <w:iCs/>
          <w:sz w:val="24"/>
          <w:szCs w:val="24"/>
          <w:lang w:val="en-US"/>
        </w:rPr>
        <w:t>Proceedings of the National Academy of Sciences, 109</w:t>
      </w:r>
      <w:r w:rsidRPr="00405B8B">
        <w:rPr>
          <w:rFonts w:ascii="Times New Roman" w:eastAsia="Times New Roman" w:hAnsi="Times New Roman" w:cs="Times New Roman"/>
          <w:sz w:val="24"/>
          <w:szCs w:val="24"/>
          <w:lang w:val="en-US"/>
        </w:rPr>
        <w:t xml:space="preserve">(47), 19310–19314. </w:t>
      </w:r>
      <w:hyperlink r:id="rId13" w:tgtFrame="_new" w:history="1">
        <w:r w:rsidRPr="00405B8B">
          <w:rPr>
            <w:rFonts w:ascii="Times New Roman" w:eastAsia="Times New Roman" w:hAnsi="Times New Roman" w:cs="Times New Roman"/>
            <w:color w:val="0000FF"/>
            <w:sz w:val="24"/>
            <w:szCs w:val="24"/>
            <w:u w:val="single"/>
            <w:lang w:val="en-US"/>
          </w:rPr>
          <w:t>https://doi.org/10.1073/pnas.1210460109</w:t>
        </w:r>
      </w:hyperlink>
    </w:p>
    <w:p w14:paraId="0EE29FA0" w14:textId="77777777" w:rsidR="00405B8B" w:rsidRPr="00405B8B" w:rsidRDefault="00405B8B" w:rsidP="00405B8B">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05B8B">
        <w:rPr>
          <w:rFonts w:ascii="Times New Roman" w:eastAsia="Times New Roman" w:hAnsi="Times New Roman" w:cs="Times New Roman"/>
          <w:sz w:val="24"/>
          <w:szCs w:val="24"/>
          <w:lang w:val="en-US"/>
        </w:rPr>
        <w:t xml:space="preserve">Freimuth, J., </w:t>
      </w:r>
      <w:proofErr w:type="spellStart"/>
      <w:r w:rsidRPr="00405B8B">
        <w:rPr>
          <w:rFonts w:ascii="Times New Roman" w:eastAsia="Times New Roman" w:hAnsi="Times New Roman" w:cs="Times New Roman"/>
          <w:sz w:val="24"/>
          <w:szCs w:val="24"/>
          <w:lang w:val="en-US"/>
        </w:rPr>
        <w:t>Bossdorf</w:t>
      </w:r>
      <w:proofErr w:type="spellEnd"/>
      <w:r w:rsidRPr="00405B8B">
        <w:rPr>
          <w:rFonts w:ascii="Times New Roman" w:eastAsia="Times New Roman" w:hAnsi="Times New Roman" w:cs="Times New Roman"/>
          <w:sz w:val="24"/>
          <w:szCs w:val="24"/>
          <w:lang w:val="en-US"/>
        </w:rPr>
        <w:t xml:space="preserve">, O., Scheepens, J. F., &amp; Willems, F. M. (2022). Climate warming changes synchrony of plants and pollinators. </w:t>
      </w:r>
      <w:r w:rsidRPr="00405B8B">
        <w:rPr>
          <w:rFonts w:ascii="Times New Roman" w:eastAsia="Times New Roman" w:hAnsi="Times New Roman" w:cs="Times New Roman"/>
          <w:i/>
          <w:iCs/>
          <w:sz w:val="24"/>
          <w:szCs w:val="24"/>
          <w:lang w:val="en-US"/>
        </w:rPr>
        <w:t>Proceedings of the Royal Society B: Biological Sciences, 289</w:t>
      </w:r>
      <w:r w:rsidRPr="00405B8B">
        <w:rPr>
          <w:rFonts w:ascii="Times New Roman" w:eastAsia="Times New Roman" w:hAnsi="Times New Roman" w:cs="Times New Roman"/>
          <w:sz w:val="24"/>
          <w:szCs w:val="24"/>
          <w:lang w:val="en-US"/>
        </w:rPr>
        <w:t xml:space="preserve">(1971), 20212142. </w:t>
      </w:r>
      <w:hyperlink r:id="rId14" w:tgtFrame="_new" w:history="1">
        <w:r w:rsidRPr="00405B8B">
          <w:rPr>
            <w:rFonts w:ascii="Times New Roman" w:eastAsia="Times New Roman" w:hAnsi="Times New Roman" w:cs="Times New Roman"/>
            <w:color w:val="0000FF"/>
            <w:sz w:val="24"/>
            <w:szCs w:val="24"/>
            <w:u w:val="single"/>
            <w:lang w:val="en-US"/>
          </w:rPr>
          <w:t>https://doi.org/10.1098/rspb.2021.2142</w:t>
        </w:r>
      </w:hyperlink>
    </w:p>
    <w:p w14:paraId="27127446" w14:textId="77777777" w:rsidR="00405B8B" w:rsidRPr="00405B8B" w:rsidRDefault="00405B8B" w:rsidP="00405B8B">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05B8B">
        <w:rPr>
          <w:rFonts w:ascii="Times New Roman" w:eastAsia="Times New Roman" w:hAnsi="Times New Roman" w:cs="Times New Roman"/>
          <w:sz w:val="24"/>
          <w:szCs w:val="24"/>
          <w:lang w:val="en-US"/>
        </w:rPr>
        <w:t xml:space="preserve">Gerlich, H. S., Holmstrup, M., Schmidt, N. M., Phillimore, A. B., &amp; Høye, T. T. (2025). Keeping up with climate change: Have Arctic arthropods reached their phenological limits? </w:t>
      </w:r>
      <w:r w:rsidRPr="00405B8B">
        <w:rPr>
          <w:rFonts w:ascii="Times New Roman" w:eastAsia="Times New Roman" w:hAnsi="Times New Roman" w:cs="Times New Roman"/>
          <w:i/>
          <w:iCs/>
          <w:sz w:val="24"/>
          <w:szCs w:val="24"/>
          <w:lang w:val="en-US"/>
        </w:rPr>
        <w:t>Proceedings of the Royal Society B: Biological Sciences, 292</w:t>
      </w:r>
      <w:r w:rsidRPr="00405B8B">
        <w:rPr>
          <w:rFonts w:ascii="Times New Roman" w:eastAsia="Times New Roman" w:hAnsi="Times New Roman" w:cs="Times New Roman"/>
          <w:sz w:val="24"/>
          <w:szCs w:val="24"/>
          <w:lang w:val="en-US"/>
        </w:rPr>
        <w:t xml:space="preserve">(2051), 20250350. </w:t>
      </w:r>
      <w:hyperlink r:id="rId15" w:tgtFrame="_new" w:history="1">
        <w:r w:rsidRPr="00405B8B">
          <w:rPr>
            <w:rFonts w:ascii="Times New Roman" w:eastAsia="Times New Roman" w:hAnsi="Times New Roman" w:cs="Times New Roman"/>
            <w:color w:val="0000FF"/>
            <w:sz w:val="24"/>
            <w:szCs w:val="24"/>
            <w:u w:val="single"/>
            <w:lang w:val="en-US"/>
          </w:rPr>
          <w:t>https://doi.org/10.1098/rspb.2025.0350</w:t>
        </w:r>
      </w:hyperlink>
    </w:p>
    <w:p w14:paraId="0A036F49" w14:textId="77777777" w:rsidR="00405B8B" w:rsidRPr="00405B8B" w:rsidRDefault="00405B8B" w:rsidP="00405B8B">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05B8B">
        <w:rPr>
          <w:rFonts w:ascii="Times New Roman" w:eastAsia="Times New Roman" w:hAnsi="Times New Roman" w:cs="Times New Roman"/>
          <w:sz w:val="24"/>
          <w:szCs w:val="24"/>
          <w:lang w:val="en-US"/>
        </w:rPr>
        <w:t xml:space="preserve">Greenhalgh, T., Thorne, S., &amp; </w:t>
      </w:r>
      <w:proofErr w:type="spellStart"/>
      <w:r w:rsidRPr="00405B8B">
        <w:rPr>
          <w:rFonts w:ascii="Times New Roman" w:eastAsia="Times New Roman" w:hAnsi="Times New Roman" w:cs="Times New Roman"/>
          <w:sz w:val="24"/>
          <w:szCs w:val="24"/>
          <w:lang w:val="en-US"/>
        </w:rPr>
        <w:t>Malterud</w:t>
      </w:r>
      <w:proofErr w:type="spellEnd"/>
      <w:r w:rsidRPr="00405B8B">
        <w:rPr>
          <w:rFonts w:ascii="Times New Roman" w:eastAsia="Times New Roman" w:hAnsi="Times New Roman" w:cs="Times New Roman"/>
          <w:sz w:val="24"/>
          <w:szCs w:val="24"/>
          <w:lang w:val="en-US"/>
        </w:rPr>
        <w:t xml:space="preserve">, K. (2018). Time to challenge the spurious hierarchy of systematic over narrative reviews? </w:t>
      </w:r>
      <w:r w:rsidRPr="00405B8B">
        <w:rPr>
          <w:rFonts w:ascii="Times New Roman" w:eastAsia="Times New Roman" w:hAnsi="Times New Roman" w:cs="Times New Roman"/>
          <w:i/>
          <w:iCs/>
          <w:sz w:val="24"/>
          <w:szCs w:val="24"/>
          <w:lang w:val="en-US"/>
        </w:rPr>
        <w:t>European Journal of Clinical Investigation, 48</w:t>
      </w:r>
      <w:r w:rsidRPr="00405B8B">
        <w:rPr>
          <w:rFonts w:ascii="Times New Roman" w:eastAsia="Times New Roman" w:hAnsi="Times New Roman" w:cs="Times New Roman"/>
          <w:sz w:val="24"/>
          <w:szCs w:val="24"/>
          <w:lang w:val="en-US"/>
        </w:rPr>
        <w:t xml:space="preserve">(6), e12931. </w:t>
      </w:r>
      <w:hyperlink r:id="rId16" w:tgtFrame="_new" w:history="1">
        <w:r w:rsidRPr="00405B8B">
          <w:rPr>
            <w:rFonts w:ascii="Times New Roman" w:eastAsia="Times New Roman" w:hAnsi="Times New Roman" w:cs="Times New Roman"/>
            <w:color w:val="0000FF"/>
            <w:sz w:val="24"/>
            <w:szCs w:val="24"/>
            <w:u w:val="single"/>
            <w:lang w:val="en-US"/>
          </w:rPr>
          <w:t>https://doi.org/10.1111/eci.12931</w:t>
        </w:r>
      </w:hyperlink>
    </w:p>
    <w:p w14:paraId="40D0EC6E" w14:textId="77777777" w:rsidR="00405B8B" w:rsidRPr="00405B8B" w:rsidRDefault="00405B8B" w:rsidP="00405B8B">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05B8B">
        <w:rPr>
          <w:rFonts w:ascii="Times New Roman" w:eastAsia="Times New Roman" w:hAnsi="Times New Roman" w:cs="Times New Roman"/>
          <w:sz w:val="24"/>
          <w:szCs w:val="24"/>
          <w:lang w:val="en-US"/>
        </w:rPr>
        <w:lastRenderedPageBreak/>
        <w:t xml:space="preserve">Harrison, J. F., Greenlee, K. J., &amp; </w:t>
      </w:r>
      <w:proofErr w:type="spellStart"/>
      <w:r w:rsidRPr="00405B8B">
        <w:rPr>
          <w:rFonts w:ascii="Times New Roman" w:eastAsia="Times New Roman" w:hAnsi="Times New Roman" w:cs="Times New Roman"/>
          <w:sz w:val="24"/>
          <w:szCs w:val="24"/>
          <w:lang w:val="en-US"/>
        </w:rPr>
        <w:t>Verberk</w:t>
      </w:r>
      <w:proofErr w:type="spellEnd"/>
      <w:r w:rsidRPr="00405B8B">
        <w:rPr>
          <w:rFonts w:ascii="Times New Roman" w:eastAsia="Times New Roman" w:hAnsi="Times New Roman" w:cs="Times New Roman"/>
          <w:sz w:val="24"/>
          <w:szCs w:val="24"/>
          <w:lang w:val="en-US"/>
        </w:rPr>
        <w:t xml:space="preserve">, W. C. E. P. (2018). Functional hypoxia in insects: Definition, assessment, and consequences for physiology, ecology, and evolution. </w:t>
      </w:r>
      <w:r w:rsidRPr="00405B8B">
        <w:rPr>
          <w:rFonts w:ascii="Times New Roman" w:eastAsia="Times New Roman" w:hAnsi="Times New Roman" w:cs="Times New Roman"/>
          <w:i/>
          <w:iCs/>
          <w:sz w:val="24"/>
          <w:szCs w:val="24"/>
          <w:lang w:val="en-US"/>
        </w:rPr>
        <w:t>Annual Review of Entomology, 63</w:t>
      </w:r>
      <w:r w:rsidRPr="00405B8B">
        <w:rPr>
          <w:rFonts w:ascii="Times New Roman" w:eastAsia="Times New Roman" w:hAnsi="Times New Roman" w:cs="Times New Roman"/>
          <w:sz w:val="24"/>
          <w:szCs w:val="24"/>
          <w:lang w:val="en-US"/>
        </w:rPr>
        <w:t xml:space="preserve">, 303–325. </w:t>
      </w:r>
      <w:hyperlink r:id="rId17" w:tgtFrame="_new" w:history="1">
        <w:r w:rsidRPr="00405B8B">
          <w:rPr>
            <w:rFonts w:ascii="Times New Roman" w:eastAsia="Times New Roman" w:hAnsi="Times New Roman" w:cs="Times New Roman"/>
            <w:color w:val="0000FF"/>
            <w:sz w:val="24"/>
            <w:szCs w:val="24"/>
            <w:u w:val="single"/>
            <w:lang w:val="en-US"/>
          </w:rPr>
          <w:t>https://doi.org/10.1146/annurev-ento-020117-043145</w:t>
        </w:r>
      </w:hyperlink>
    </w:p>
    <w:p w14:paraId="2A0B188C" w14:textId="77777777" w:rsidR="00405B8B" w:rsidRPr="00405B8B" w:rsidRDefault="00405B8B" w:rsidP="00405B8B">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05B8B">
        <w:rPr>
          <w:rFonts w:ascii="Times New Roman" w:eastAsia="Times New Roman" w:hAnsi="Times New Roman" w:cs="Times New Roman"/>
          <w:sz w:val="24"/>
          <w:szCs w:val="24"/>
          <w:lang w:val="en-US"/>
        </w:rPr>
        <w:t xml:space="preserve">Harvey, J. A., </w:t>
      </w:r>
      <w:proofErr w:type="spellStart"/>
      <w:r w:rsidRPr="00405B8B">
        <w:rPr>
          <w:rFonts w:ascii="Times New Roman" w:eastAsia="Times New Roman" w:hAnsi="Times New Roman" w:cs="Times New Roman"/>
          <w:sz w:val="24"/>
          <w:szCs w:val="24"/>
          <w:lang w:val="en-US"/>
        </w:rPr>
        <w:t>Tougeron</w:t>
      </w:r>
      <w:proofErr w:type="spellEnd"/>
      <w:r w:rsidRPr="00405B8B">
        <w:rPr>
          <w:rFonts w:ascii="Times New Roman" w:eastAsia="Times New Roman" w:hAnsi="Times New Roman" w:cs="Times New Roman"/>
          <w:sz w:val="24"/>
          <w:szCs w:val="24"/>
          <w:lang w:val="en-US"/>
        </w:rPr>
        <w:t xml:space="preserve">, K., </w:t>
      </w:r>
      <w:proofErr w:type="spellStart"/>
      <w:r w:rsidRPr="00405B8B">
        <w:rPr>
          <w:rFonts w:ascii="Times New Roman" w:eastAsia="Times New Roman" w:hAnsi="Times New Roman" w:cs="Times New Roman"/>
          <w:sz w:val="24"/>
          <w:szCs w:val="24"/>
          <w:lang w:val="en-US"/>
        </w:rPr>
        <w:t>Gols</w:t>
      </w:r>
      <w:proofErr w:type="spellEnd"/>
      <w:r w:rsidRPr="00405B8B">
        <w:rPr>
          <w:rFonts w:ascii="Times New Roman" w:eastAsia="Times New Roman" w:hAnsi="Times New Roman" w:cs="Times New Roman"/>
          <w:sz w:val="24"/>
          <w:szCs w:val="24"/>
          <w:lang w:val="en-US"/>
        </w:rPr>
        <w:t xml:space="preserve">, R., Heinen, R., Abarca, M., Abram, P. K., Basset, Y., Berg, M., Boggs, C., Brodeur, J., Cardoso, P., de Boer, J. G., De Snoo, G. R., Deacon, C., Dell, J. E., </w:t>
      </w:r>
      <w:proofErr w:type="spellStart"/>
      <w:r w:rsidRPr="00405B8B">
        <w:rPr>
          <w:rFonts w:ascii="Times New Roman" w:eastAsia="Times New Roman" w:hAnsi="Times New Roman" w:cs="Times New Roman"/>
          <w:sz w:val="24"/>
          <w:szCs w:val="24"/>
          <w:lang w:val="en-US"/>
        </w:rPr>
        <w:t>Desneux</w:t>
      </w:r>
      <w:proofErr w:type="spellEnd"/>
      <w:r w:rsidRPr="00405B8B">
        <w:rPr>
          <w:rFonts w:ascii="Times New Roman" w:eastAsia="Times New Roman" w:hAnsi="Times New Roman" w:cs="Times New Roman"/>
          <w:sz w:val="24"/>
          <w:szCs w:val="24"/>
          <w:lang w:val="en-US"/>
        </w:rPr>
        <w:t xml:space="preserve">, N., Dillon, M. E., Duffy, G. A., Dyer, L. A., . . . Chown, S. L. (2023). Scientists’ warning on climate change and insects. </w:t>
      </w:r>
      <w:r w:rsidRPr="00405B8B">
        <w:rPr>
          <w:rFonts w:ascii="Times New Roman" w:eastAsia="Times New Roman" w:hAnsi="Times New Roman" w:cs="Times New Roman"/>
          <w:i/>
          <w:iCs/>
          <w:sz w:val="24"/>
          <w:szCs w:val="24"/>
          <w:lang w:val="en-US"/>
        </w:rPr>
        <w:t>Ecological Monographs, 93</w:t>
      </w:r>
      <w:r w:rsidRPr="00405B8B">
        <w:rPr>
          <w:rFonts w:ascii="Times New Roman" w:eastAsia="Times New Roman" w:hAnsi="Times New Roman" w:cs="Times New Roman"/>
          <w:sz w:val="24"/>
          <w:szCs w:val="24"/>
          <w:lang w:val="en-US"/>
        </w:rPr>
        <w:t xml:space="preserve">(1), e1553. </w:t>
      </w:r>
      <w:hyperlink r:id="rId18" w:tgtFrame="_new" w:history="1">
        <w:r w:rsidRPr="00405B8B">
          <w:rPr>
            <w:rFonts w:ascii="Times New Roman" w:eastAsia="Times New Roman" w:hAnsi="Times New Roman" w:cs="Times New Roman"/>
            <w:color w:val="0000FF"/>
            <w:sz w:val="24"/>
            <w:szCs w:val="24"/>
            <w:u w:val="single"/>
            <w:lang w:val="en-US"/>
          </w:rPr>
          <w:t>https://doi.org/10.1002/ecm.1553</w:t>
        </w:r>
      </w:hyperlink>
    </w:p>
    <w:p w14:paraId="06B96B82" w14:textId="77777777" w:rsidR="00405B8B" w:rsidRPr="00405B8B" w:rsidRDefault="00405B8B" w:rsidP="00405B8B">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405B8B">
        <w:rPr>
          <w:rFonts w:ascii="Times New Roman" w:eastAsia="Times New Roman" w:hAnsi="Times New Roman" w:cs="Times New Roman"/>
          <w:sz w:val="24"/>
          <w:szCs w:val="24"/>
          <w:lang w:val="en-US"/>
        </w:rPr>
        <w:t>Hoefnagel</w:t>
      </w:r>
      <w:proofErr w:type="spellEnd"/>
      <w:r w:rsidRPr="00405B8B">
        <w:rPr>
          <w:rFonts w:ascii="Times New Roman" w:eastAsia="Times New Roman" w:hAnsi="Times New Roman" w:cs="Times New Roman"/>
          <w:sz w:val="24"/>
          <w:szCs w:val="24"/>
          <w:lang w:val="en-US"/>
        </w:rPr>
        <w:t xml:space="preserve">, K. N., &amp; </w:t>
      </w:r>
      <w:proofErr w:type="spellStart"/>
      <w:r w:rsidRPr="00405B8B">
        <w:rPr>
          <w:rFonts w:ascii="Times New Roman" w:eastAsia="Times New Roman" w:hAnsi="Times New Roman" w:cs="Times New Roman"/>
          <w:sz w:val="24"/>
          <w:szCs w:val="24"/>
          <w:lang w:val="en-US"/>
        </w:rPr>
        <w:t>Verberk</w:t>
      </w:r>
      <w:proofErr w:type="spellEnd"/>
      <w:r w:rsidRPr="00405B8B">
        <w:rPr>
          <w:rFonts w:ascii="Times New Roman" w:eastAsia="Times New Roman" w:hAnsi="Times New Roman" w:cs="Times New Roman"/>
          <w:sz w:val="24"/>
          <w:szCs w:val="24"/>
          <w:lang w:val="en-US"/>
        </w:rPr>
        <w:t xml:space="preserve">, W. C. E. P. (2015). Is the temperature-size rule mediated by oxygen in aquatic ectotherms? </w:t>
      </w:r>
      <w:r w:rsidRPr="00405B8B">
        <w:rPr>
          <w:rFonts w:ascii="Times New Roman" w:eastAsia="Times New Roman" w:hAnsi="Times New Roman" w:cs="Times New Roman"/>
          <w:i/>
          <w:iCs/>
          <w:sz w:val="24"/>
          <w:szCs w:val="24"/>
          <w:lang w:val="en-US"/>
        </w:rPr>
        <w:t>Journal of Thermal Biology, 54</w:t>
      </w:r>
      <w:r w:rsidRPr="00405B8B">
        <w:rPr>
          <w:rFonts w:ascii="Times New Roman" w:eastAsia="Times New Roman" w:hAnsi="Times New Roman" w:cs="Times New Roman"/>
          <w:sz w:val="24"/>
          <w:szCs w:val="24"/>
          <w:lang w:val="en-US"/>
        </w:rPr>
        <w:t xml:space="preserve">, 56–65. </w:t>
      </w:r>
      <w:hyperlink r:id="rId19" w:tgtFrame="_new" w:history="1">
        <w:r w:rsidRPr="00405B8B">
          <w:rPr>
            <w:rFonts w:ascii="Times New Roman" w:eastAsia="Times New Roman" w:hAnsi="Times New Roman" w:cs="Times New Roman"/>
            <w:color w:val="0000FF"/>
            <w:sz w:val="24"/>
            <w:szCs w:val="24"/>
            <w:u w:val="single"/>
            <w:lang w:val="en-US"/>
          </w:rPr>
          <w:t>https://doi.org/10.1016/j.jtherbio.2014.12.003</w:t>
        </w:r>
      </w:hyperlink>
    </w:p>
    <w:p w14:paraId="125E19FE" w14:textId="77777777" w:rsidR="00405B8B" w:rsidRPr="00405B8B" w:rsidRDefault="00405B8B" w:rsidP="00405B8B">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05B8B">
        <w:rPr>
          <w:rFonts w:ascii="Times New Roman" w:eastAsia="Times New Roman" w:hAnsi="Times New Roman" w:cs="Times New Roman"/>
          <w:sz w:val="24"/>
          <w:szCs w:val="24"/>
          <w:lang w:val="en-US"/>
        </w:rPr>
        <w:t xml:space="preserve">Horne, C. R., Hirst, A. G., &amp; Atkinson, D. (2015). Temperature-size responses match latitudinal-size clines in arthropods, revealing critical differences between aquatic and terrestrial species. </w:t>
      </w:r>
      <w:r w:rsidRPr="00405B8B">
        <w:rPr>
          <w:rFonts w:ascii="Times New Roman" w:eastAsia="Times New Roman" w:hAnsi="Times New Roman" w:cs="Times New Roman"/>
          <w:i/>
          <w:iCs/>
          <w:sz w:val="24"/>
          <w:szCs w:val="24"/>
          <w:lang w:val="en-US"/>
        </w:rPr>
        <w:t>Ecology Letters, 18</w:t>
      </w:r>
      <w:r w:rsidRPr="00405B8B">
        <w:rPr>
          <w:rFonts w:ascii="Times New Roman" w:eastAsia="Times New Roman" w:hAnsi="Times New Roman" w:cs="Times New Roman"/>
          <w:sz w:val="24"/>
          <w:szCs w:val="24"/>
          <w:lang w:val="en-US"/>
        </w:rPr>
        <w:t xml:space="preserve">(4), 327–335. </w:t>
      </w:r>
      <w:hyperlink r:id="rId20" w:tgtFrame="_new" w:history="1">
        <w:r w:rsidRPr="00405B8B">
          <w:rPr>
            <w:rFonts w:ascii="Times New Roman" w:eastAsia="Times New Roman" w:hAnsi="Times New Roman" w:cs="Times New Roman"/>
            <w:color w:val="0000FF"/>
            <w:sz w:val="24"/>
            <w:szCs w:val="24"/>
            <w:u w:val="single"/>
            <w:lang w:val="en-US"/>
          </w:rPr>
          <w:t>https://doi.org/10.1111/ele.12413</w:t>
        </w:r>
      </w:hyperlink>
    </w:p>
    <w:p w14:paraId="3F17EEDA" w14:textId="77777777" w:rsidR="00405B8B" w:rsidRPr="00405B8B" w:rsidRDefault="00405B8B" w:rsidP="00405B8B">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05B8B">
        <w:rPr>
          <w:rFonts w:ascii="Times New Roman" w:eastAsia="Times New Roman" w:hAnsi="Times New Roman" w:cs="Times New Roman"/>
          <w:sz w:val="24"/>
          <w:szCs w:val="24"/>
          <w:lang w:val="en-US"/>
        </w:rPr>
        <w:t xml:space="preserve">Kiekebusch, E., Louthan, A. M., Morris, W. F., Hudgens, B. R., &amp; Haddad, N. M. (2024). Vital rate responses to temperature lead to butterfly population declines under future warming scenarios. </w:t>
      </w:r>
      <w:r w:rsidRPr="00405B8B">
        <w:rPr>
          <w:rFonts w:ascii="Times New Roman" w:eastAsia="Times New Roman" w:hAnsi="Times New Roman" w:cs="Times New Roman"/>
          <w:i/>
          <w:iCs/>
          <w:sz w:val="24"/>
          <w:szCs w:val="24"/>
          <w:lang w:val="en-US"/>
        </w:rPr>
        <w:t>Journal of Insect Conservation, 28</w:t>
      </w:r>
      <w:r w:rsidRPr="00405B8B">
        <w:rPr>
          <w:rFonts w:ascii="Times New Roman" w:eastAsia="Times New Roman" w:hAnsi="Times New Roman" w:cs="Times New Roman"/>
          <w:sz w:val="24"/>
          <w:szCs w:val="24"/>
          <w:lang w:val="en-US"/>
        </w:rPr>
        <w:t xml:space="preserve">(5), 1079–1091. </w:t>
      </w:r>
      <w:hyperlink r:id="rId21" w:tgtFrame="_new" w:history="1">
        <w:r w:rsidRPr="00405B8B">
          <w:rPr>
            <w:rFonts w:ascii="Times New Roman" w:eastAsia="Times New Roman" w:hAnsi="Times New Roman" w:cs="Times New Roman"/>
            <w:color w:val="0000FF"/>
            <w:sz w:val="24"/>
            <w:szCs w:val="24"/>
            <w:u w:val="single"/>
            <w:lang w:val="en-US"/>
          </w:rPr>
          <w:t>https://doi.org/10.1007/s10841-024-00626-8</w:t>
        </w:r>
      </w:hyperlink>
    </w:p>
    <w:p w14:paraId="14330946" w14:textId="77777777" w:rsidR="00405B8B" w:rsidRPr="00405B8B" w:rsidRDefault="00405B8B" w:rsidP="00405B8B">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05B8B">
        <w:rPr>
          <w:rFonts w:ascii="Times New Roman" w:eastAsia="Times New Roman" w:hAnsi="Times New Roman" w:cs="Times New Roman"/>
          <w:sz w:val="24"/>
          <w:szCs w:val="24"/>
          <w:lang w:val="en-US"/>
        </w:rPr>
        <w:t xml:space="preserve">Kudo, G., &amp; Cooper, E. J. (2019). When spring ephemerals fail to meet pollinators: Mechanism of phenological mismatch and its impact on plant reproduction. </w:t>
      </w:r>
      <w:r w:rsidRPr="00405B8B">
        <w:rPr>
          <w:rFonts w:ascii="Times New Roman" w:eastAsia="Times New Roman" w:hAnsi="Times New Roman" w:cs="Times New Roman"/>
          <w:i/>
          <w:iCs/>
          <w:sz w:val="24"/>
          <w:szCs w:val="24"/>
          <w:lang w:val="en-US"/>
        </w:rPr>
        <w:t>Proceedings of the Royal Society B: Biological Sciences, 286</w:t>
      </w:r>
      <w:r w:rsidRPr="00405B8B">
        <w:rPr>
          <w:rFonts w:ascii="Times New Roman" w:eastAsia="Times New Roman" w:hAnsi="Times New Roman" w:cs="Times New Roman"/>
          <w:sz w:val="24"/>
          <w:szCs w:val="24"/>
          <w:lang w:val="en-US"/>
        </w:rPr>
        <w:t xml:space="preserve">(1904), 20190573. </w:t>
      </w:r>
      <w:hyperlink r:id="rId22" w:tgtFrame="_new" w:history="1">
        <w:r w:rsidRPr="00405B8B">
          <w:rPr>
            <w:rFonts w:ascii="Times New Roman" w:eastAsia="Times New Roman" w:hAnsi="Times New Roman" w:cs="Times New Roman"/>
            <w:color w:val="0000FF"/>
            <w:sz w:val="24"/>
            <w:szCs w:val="24"/>
            <w:u w:val="single"/>
            <w:lang w:val="en-US"/>
          </w:rPr>
          <w:t>https://doi.org/10.1098/rspb.2019.0573</w:t>
        </w:r>
      </w:hyperlink>
    </w:p>
    <w:p w14:paraId="04F78160" w14:textId="77777777" w:rsidR="00405B8B" w:rsidRPr="00405B8B" w:rsidRDefault="00405B8B" w:rsidP="00405B8B">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05B8B">
        <w:rPr>
          <w:rFonts w:ascii="Times New Roman" w:eastAsia="Times New Roman" w:hAnsi="Times New Roman" w:cs="Times New Roman"/>
          <w:sz w:val="24"/>
          <w:szCs w:val="24"/>
          <w:lang w:val="en-US"/>
        </w:rPr>
        <w:t xml:space="preserve">Lockley, E. C., &amp; </w:t>
      </w:r>
      <w:proofErr w:type="spellStart"/>
      <w:r w:rsidRPr="00405B8B">
        <w:rPr>
          <w:rFonts w:ascii="Times New Roman" w:eastAsia="Times New Roman" w:hAnsi="Times New Roman" w:cs="Times New Roman"/>
          <w:sz w:val="24"/>
          <w:szCs w:val="24"/>
          <w:lang w:val="en-US"/>
        </w:rPr>
        <w:t>Eizaguirre</w:t>
      </w:r>
      <w:proofErr w:type="spellEnd"/>
      <w:r w:rsidRPr="00405B8B">
        <w:rPr>
          <w:rFonts w:ascii="Times New Roman" w:eastAsia="Times New Roman" w:hAnsi="Times New Roman" w:cs="Times New Roman"/>
          <w:sz w:val="24"/>
          <w:szCs w:val="24"/>
          <w:lang w:val="en-US"/>
        </w:rPr>
        <w:t xml:space="preserve">, C. (2021). Effects of global warming on species with temperature-dependent sex determination: Bridging the gap between empirical research and management. </w:t>
      </w:r>
      <w:r w:rsidRPr="00405B8B">
        <w:rPr>
          <w:rFonts w:ascii="Times New Roman" w:eastAsia="Times New Roman" w:hAnsi="Times New Roman" w:cs="Times New Roman"/>
          <w:i/>
          <w:iCs/>
          <w:sz w:val="24"/>
          <w:szCs w:val="24"/>
          <w:lang w:val="en-US"/>
        </w:rPr>
        <w:t>Evolutionary Applications, 14</w:t>
      </w:r>
      <w:r w:rsidRPr="00405B8B">
        <w:rPr>
          <w:rFonts w:ascii="Times New Roman" w:eastAsia="Times New Roman" w:hAnsi="Times New Roman" w:cs="Times New Roman"/>
          <w:sz w:val="24"/>
          <w:szCs w:val="24"/>
          <w:lang w:val="en-US"/>
        </w:rPr>
        <w:t xml:space="preserve">(10), 2361–2377. </w:t>
      </w:r>
      <w:hyperlink r:id="rId23" w:tgtFrame="_new" w:history="1">
        <w:r w:rsidRPr="00405B8B">
          <w:rPr>
            <w:rFonts w:ascii="Times New Roman" w:eastAsia="Times New Roman" w:hAnsi="Times New Roman" w:cs="Times New Roman"/>
            <w:color w:val="0000FF"/>
            <w:sz w:val="24"/>
            <w:szCs w:val="24"/>
            <w:u w:val="single"/>
            <w:lang w:val="en-US"/>
          </w:rPr>
          <w:t>https://doi.org/10.1111/eva.13226</w:t>
        </w:r>
      </w:hyperlink>
    </w:p>
    <w:p w14:paraId="262AE32B" w14:textId="77777777" w:rsidR="00405B8B" w:rsidRPr="00405B8B" w:rsidRDefault="00405B8B" w:rsidP="00405B8B">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405B8B">
        <w:rPr>
          <w:rFonts w:ascii="Times New Roman" w:eastAsia="Times New Roman" w:hAnsi="Times New Roman" w:cs="Times New Roman"/>
          <w:sz w:val="24"/>
          <w:szCs w:val="24"/>
          <w:lang w:val="en-US"/>
        </w:rPr>
        <w:t>Marochi</w:t>
      </w:r>
      <w:proofErr w:type="spellEnd"/>
      <w:r w:rsidRPr="00405B8B">
        <w:rPr>
          <w:rFonts w:ascii="Times New Roman" w:eastAsia="Times New Roman" w:hAnsi="Times New Roman" w:cs="Times New Roman"/>
          <w:sz w:val="24"/>
          <w:szCs w:val="24"/>
          <w:lang w:val="en-US"/>
        </w:rPr>
        <w:t xml:space="preserve">, M. Z., Costa, T. M., &amp; Buckley, L. B. (2021). Ocean warming is projected to speed development and decrease survival of crab larvae. </w:t>
      </w:r>
      <w:r w:rsidRPr="00405B8B">
        <w:rPr>
          <w:rFonts w:ascii="Times New Roman" w:eastAsia="Times New Roman" w:hAnsi="Times New Roman" w:cs="Times New Roman"/>
          <w:i/>
          <w:iCs/>
          <w:sz w:val="24"/>
          <w:szCs w:val="24"/>
          <w:lang w:val="en-US"/>
        </w:rPr>
        <w:t>Estuarine, Coastal and Shelf Science, 259</w:t>
      </w:r>
      <w:r w:rsidRPr="00405B8B">
        <w:rPr>
          <w:rFonts w:ascii="Times New Roman" w:eastAsia="Times New Roman" w:hAnsi="Times New Roman" w:cs="Times New Roman"/>
          <w:sz w:val="24"/>
          <w:szCs w:val="24"/>
          <w:lang w:val="en-US"/>
        </w:rPr>
        <w:t xml:space="preserve">, 107478. </w:t>
      </w:r>
      <w:hyperlink r:id="rId24" w:tgtFrame="_new" w:history="1">
        <w:r w:rsidRPr="00405B8B">
          <w:rPr>
            <w:rFonts w:ascii="Times New Roman" w:eastAsia="Times New Roman" w:hAnsi="Times New Roman" w:cs="Times New Roman"/>
            <w:color w:val="0000FF"/>
            <w:sz w:val="24"/>
            <w:szCs w:val="24"/>
            <w:u w:val="single"/>
            <w:lang w:val="en-US"/>
          </w:rPr>
          <w:t>https://doi.org/10.1016/j.ecss.2021.107478</w:t>
        </w:r>
      </w:hyperlink>
    </w:p>
    <w:p w14:paraId="5659B14D" w14:textId="77777777" w:rsidR="00405B8B" w:rsidRPr="00405B8B" w:rsidRDefault="00405B8B" w:rsidP="00405B8B">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405B8B">
        <w:rPr>
          <w:rFonts w:ascii="Times New Roman" w:eastAsia="Times New Roman" w:hAnsi="Times New Roman" w:cs="Times New Roman"/>
          <w:sz w:val="24"/>
          <w:szCs w:val="24"/>
          <w:lang w:val="en-US"/>
        </w:rPr>
        <w:t>Marochi</w:t>
      </w:r>
      <w:proofErr w:type="spellEnd"/>
      <w:r w:rsidRPr="00405B8B">
        <w:rPr>
          <w:rFonts w:ascii="Times New Roman" w:eastAsia="Times New Roman" w:hAnsi="Times New Roman" w:cs="Times New Roman"/>
          <w:sz w:val="24"/>
          <w:szCs w:val="24"/>
          <w:lang w:val="en-US"/>
        </w:rPr>
        <w:t xml:space="preserve">, M. Z., De Grande, F. R., Pardo, J. C. F., Montenegro, Á., &amp; Costa, T. M. (2022). Marine heatwave impacts on newly-hatched planktonic larvae of an estuarine crab. </w:t>
      </w:r>
      <w:r w:rsidRPr="00405B8B">
        <w:rPr>
          <w:rFonts w:ascii="Times New Roman" w:eastAsia="Times New Roman" w:hAnsi="Times New Roman" w:cs="Times New Roman"/>
          <w:i/>
          <w:iCs/>
          <w:sz w:val="24"/>
          <w:szCs w:val="24"/>
          <w:lang w:val="en-US"/>
        </w:rPr>
        <w:t>Estuarine, Coastal and Shelf Science, 278</w:t>
      </w:r>
      <w:r w:rsidRPr="00405B8B">
        <w:rPr>
          <w:rFonts w:ascii="Times New Roman" w:eastAsia="Times New Roman" w:hAnsi="Times New Roman" w:cs="Times New Roman"/>
          <w:sz w:val="24"/>
          <w:szCs w:val="24"/>
          <w:lang w:val="en-US"/>
        </w:rPr>
        <w:t xml:space="preserve">, 108122. </w:t>
      </w:r>
      <w:hyperlink r:id="rId25" w:tgtFrame="_new" w:history="1">
        <w:r w:rsidRPr="00405B8B">
          <w:rPr>
            <w:rFonts w:ascii="Times New Roman" w:eastAsia="Times New Roman" w:hAnsi="Times New Roman" w:cs="Times New Roman"/>
            <w:color w:val="0000FF"/>
            <w:sz w:val="24"/>
            <w:szCs w:val="24"/>
            <w:u w:val="single"/>
            <w:lang w:val="en-US"/>
          </w:rPr>
          <w:t>https://doi.org/10.1016/j.ecss.2022.108122</w:t>
        </w:r>
      </w:hyperlink>
    </w:p>
    <w:p w14:paraId="49F3B828" w14:textId="77777777" w:rsidR="00405B8B" w:rsidRPr="00405B8B" w:rsidRDefault="00405B8B" w:rsidP="00405B8B">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405B8B">
        <w:rPr>
          <w:rFonts w:ascii="Times New Roman" w:eastAsia="Times New Roman" w:hAnsi="Times New Roman" w:cs="Times New Roman"/>
          <w:sz w:val="24"/>
          <w:szCs w:val="24"/>
          <w:lang w:val="en-US"/>
        </w:rPr>
        <w:t>Marochi</w:t>
      </w:r>
      <w:proofErr w:type="spellEnd"/>
      <w:r w:rsidRPr="00405B8B">
        <w:rPr>
          <w:rFonts w:ascii="Times New Roman" w:eastAsia="Times New Roman" w:hAnsi="Times New Roman" w:cs="Times New Roman"/>
          <w:sz w:val="24"/>
          <w:szCs w:val="24"/>
          <w:lang w:val="en-US"/>
        </w:rPr>
        <w:t xml:space="preserve">, M. Z., Duarte, R. M., &amp; Costa, T. M. (2024). Thermal tolerance, development, and physiological impacts of climate warming on zoea larvae of brachyuran crabs. </w:t>
      </w:r>
      <w:r w:rsidRPr="00405B8B">
        <w:rPr>
          <w:rFonts w:ascii="Times New Roman" w:eastAsia="Times New Roman" w:hAnsi="Times New Roman" w:cs="Times New Roman"/>
          <w:i/>
          <w:iCs/>
          <w:sz w:val="24"/>
          <w:szCs w:val="24"/>
          <w:lang w:val="en-US"/>
        </w:rPr>
        <w:t>Estuarine, Coastal and Shelf Science, 303</w:t>
      </w:r>
      <w:r w:rsidRPr="00405B8B">
        <w:rPr>
          <w:rFonts w:ascii="Times New Roman" w:eastAsia="Times New Roman" w:hAnsi="Times New Roman" w:cs="Times New Roman"/>
          <w:sz w:val="24"/>
          <w:szCs w:val="24"/>
          <w:lang w:val="en-US"/>
        </w:rPr>
        <w:t xml:space="preserve">, 108817. </w:t>
      </w:r>
      <w:hyperlink r:id="rId26" w:tgtFrame="_new" w:history="1">
        <w:r w:rsidRPr="00405B8B">
          <w:rPr>
            <w:rFonts w:ascii="Times New Roman" w:eastAsia="Times New Roman" w:hAnsi="Times New Roman" w:cs="Times New Roman"/>
            <w:color w:val="0000FF"/>
            <w:sz w:val="24"/>
            <w:szCs w:val="24"/>
            <w:u w:val="single"/>
            <w:lang w:val="en-US"/>
          </w:rPr>
          <w:t>https://doi.org/10.1016/j.ecss.2024.108817</w:t>
        </w:r>
      </w:hyperlink>
    </w:p>
    <w:p w14:paraId="25ECA090" w14:textId="77777777" w:rsidR="00405B8B" w:rsidRPr="00405B8B" w:rsidRDefault="00405B8B" w:rsidP="00405B8B">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405B8B">
        <w:rPr>
          <w:rFonts w:ascii="Times New Roman" w:eastAsia="Times New Roman" w:hAnsi="Times New Roman" w:cs="Times New Roman"/>
          <w:sz w:val="24"/>
          <w:szCs w:val="24"/>
          <w:lang w:val="en-US"/>
        </w:rPr>
        <w:t>Martén</w:t>
      </w:r>
      <w:proofErr w:type="spellEnd"/>
      <w:r w:rsidRPr="00405B8B">
        <w:rPr>
          <w:rFonts w:ascii="Times New Roman" w:eastAsia="Times New Roman" w:hAnsi="Times New Roman" w:cs="Times New Roman"/>
          <w:sz w:val="24"/>
          <w:szCs w:val="24"/>
          <w:lang w:val="en-US"/>
        </w:rPr>
        <w:t xml:space="preserve">-Rodríguez, S., Cristobal-Pérez, E. J., de Santiago-Hernández, M. H., Huerta-Ramos, G., Clemente-Martínez, L., Krupnick, G., Taylor, O., </w:t>
      </w:r>
      <w:proofErr w:type="spellStart"/>
      <w:r w:rsidRPr="00405B8B">
        <w:rPr>
          <w:rFonts w:ascii="Times New Roman" w:eastAsia="Times New Roman" w:hAnsi="Times New Roman" w:cs="Times New Roman"/>
          <w:sz w:val="24"/>
          <w:szCs w:val="24"/>
          <w:lang w:val="en-US"/>
        </w:rPr>
        <w:t>Lopezaraiza</w:t>
      </w:r>
      <w:proofErr w:type="spellEnd"/>
      <w:r w:rsidRPr="00405B8B">
        <w:rPr>
          <w:rFonts w:ascii="Times New Roman" w:eastAsia="Times New Roman" w:hAnsi="Times New Roman" w:cs="Times New Roman"/>
          <w:sz w:val="24"/>
          <w:szCs w:val="24"/>
          <w:lang w:val="en-US"/>
        </w:rPr>
        <w:t>-Mikel, M., Balvino-</w:t>
      </w:r>
      <w:r w:rsidRPr="00405B8B">
        <w:rPr>
          <w:rFonts w:ascii="Times New Roman" w:eastAsia="Times New Roman" w:hAnsi="Times New Roman" w:cs="Times New Roman"/>
          <w:sz w:val="24"/>
          <w:szCs w:val="24"/>
          <w:lang w:val="en-US"/>
        </w:rPr>
        <w:lastRenderedPageBreak/>
        <w:t xml:space="preserve">Olvera, F. J., </w:t>
      </w:r>
      <w:proofErr w:type="spellStart"/>
      <w:r w:rsidRPr="00405B8B">
        <w:rPr>
          <w:rFonts w:ascii="Times New Roman" w:eastAsia="Times New Roman" w:hAnsi="Times New Roman" w:cs="Times New Roman"/>
          <w:sz w:val="24"/>
          <w:szCs w:val="24"/>
          <w:lang w:val="en-US"/>
        </w:rPr>
        <w:t>Sentíes</w:t>
      </w:r>
      <w:proofErr w:type="spellEnd"/>
      <w:r w:rsidRPr="00405B8B">
        <w:rPr>
          <w:rFonts w:ascii="Times New Roman" w:eastAsia="Times New Roman" w:hAnsi="Times New Roman" w:cs="Times New Roman"/>
          <w:sz w:val="24"/>
          <w:szCs w:val="24"/>
          <w:lang w:val="en-US"/>
        </w:rPr>
        <w:t xml:space="preserve">-Aguilar, E. M., Díaz-Infante, S., Aguirre Jaimes, A., Novais, S., Cortés-Flores, J., Lobo-Segura, J., Fuchs, E. J., Delgado-Carrillo, O., Ruiz-Mercado, I., </w:t>
      </w:r>
      <w:proofErr w:type="spellStart"/>
      <w:r w:rsidRPr="00405B8B">
        <w:rPr>
          <w:rFonts w:ascii="Times New Roman" w:eastAsia="Times New Roman" w:hAnsi="Times New Roman" w:cs="Times New Roman"/>
          <w:sz w:val="24"/>
          <w:szCs w:val="24"/>
          <w:lang w:val="en-US"/>
        </w:rPr>
        <w:t>Sáyago</w:t>
      </w:r>
      <w:proofErr w:type="spellEnd"/>
      <w:r w:rsidRPr="00405B8B">
        <w:rPr>
          <w:rFonts w:ascii="Times New Roman" w:eastAsia="Times New Roman" w:hAnsi="Times New Roman" w:cs="Times New Roman"/>
          <w:sz w:val="24"/>
          <w:szCs w:val="24"/>
          <w:lang w:val="en-US"/>
        </w:rPr>
        <w:t xml:space="preserve">-Lorenzana, R., . . . Quesada, M. (2025). Untangling the complexity of climate change effects on plant reproductive traits and pollinators: A systematic global synthesis. </w:t>
      </w:r>
      <w:r w:rsidRPr="00405B8B">
        <w:rPr>
          <w:rFonts w:ascii="Times New Roman" w:eastAsia="Times New Roman" w:hAnsi="Times New Roman" w:cs="Times New Roman"/>
          <w:i/>
          <w:iCs/>
          <w:sz w:val="24"/>
          <w:szCs w:val="24"/>
          <w:lang w:val="en-US"/>
        </w:rPr>
        <w:t>Global Change Biology, 31</w:t>
      </w:r>
      <w:r w:rsidRPr="00405B8B">
        <w:rPr>
          <w:rFonts w:ascii="Times New Roman" w:eastAsia="Times New Roman" w:hAnsi="Times New Roman" w:cs="Times New Roman"/>
          <w:sz w:val="24"/>
          <w:szCs w:val="24"/>
          <w:lang w:val="en-US"/>
        </w:rPr>
        <w:t xml:space="preserve">(2), e70081. </w:t>
      </w:r>
      <w:hyperlink r:id="rId27" w:tgtFrame="_new" w:history="1">
        <w:r w:rsidRPr="00405B8B">
          <w:rPr>
            <w:rFonts w:ascii="Times New Roman" w:eastAsia="Times New Roman" w:hAnsi="Times New Roman" w:cs="Times New Roman"/>
            <w:color w:val="0000FF"/>
            <w:sz w:val="24"/>
            <w:szCs w:val="24"/>
            <w:u w:val="single"/>
            <w:lang w:val="en-US"/>
          </w:rPr>
          <w:t>https://doi.org/10.1111/gcb.70081</w:t>
        </w:r>
      </w:hyperlink>
    </w:p>
    <w:p w14:paraId="01D8797A" w14:textId="77777777" w:rsidR="00405B8B" w:rsidRPr="00405B8B" w:rsidRDefault="00405B8B" w:rsidP="00405B8B">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05B8B">
        <w:rPr>
          <w:rFonts w:ascii="Times New Roman" w:eastAsia="Times New Roman" w:hAnsi="Times New Roman" w:cs="Times New Roman"/>
          <w:sz w:val="24"/>
          <w:szCs w:val="24"/>
          <w:lang w:val="en-US"/>
        </w:rPr>
        <w:t xml:space="preserve">Nufio, C. R., Sheffer, M. M., Smith, J. M., Troutman, M. T., Bawa, S. J., Taylor, E. D., Schoville, S. D., Williams, C. M., &amp; Buckley, L. B. (2025). Insect size responses to climate change vary across elevations according to seasonal timing. </w:t>
      </w:r>
      <w:r w:rsidRPr="00405B8B">
        <w:rPr>
          <w:rFonts w:ascii="Times New Roman" w:eastAsia="Times New Roman" w:hAnsi="Times New Roman" w:cs="Times New Roman"/>
          <w:i/>
          <w:iCs/>
          <w:sz w:val="24"/>
          <w:szCs w:val="24"/>
          <w:lang w:val="en-US"/>
        </w:rPr>
        <w:t>PLOS Biology, 23</w:t>
      </w:r>
      <w:r w:rsidRPr="00405B8B">
        <w:rPr>
          <w:rFonts w:ascii="Times New Roman" w:eastAsia="Times New Roman" w:hAnsi="Times New Roman" w:cs="Times New Roman"/>
          <w:sz w:val="24"/>
          <w:szCs w:val="24"/>
          <w:lang w:val="en-US"/>
        </w:rPr>
        <w:t xml:space="preserve">(1), e3002805. </w:t>
      </w:r>
      <w:hyperlink r:id="rId28" w:tgtFrame="_new" w:history="1">
        <w:r w:rsidRPr="00405B8B">
          <w:rPr>
            <w:rFonts w:ascii="Times New Roman" w:eastAsia="Times New Roman" w:hAnsi="Times New Roman" w:cs="Times New Roman"/>
            <w:color w:val="0000FF"/>
            <w:sz w:val="24"/>
            <w:szCs w:val="24"/>
            <w:u w:val="single"/>
            <w:lang w:val="en-US"/>
          </w:rPr>
          <w:t>https://doi.org/10.1371/journal.pbio.3002805</w:t>
        </w:r>
      </w:hyperlink>
    </w:p>
    <w:p w14:paraId="68B8E388" w14:textId="77777777" w:rsidR="00405B8B" w:rsidRPr="00405B8B" w:rsidRDefault="00405B8B" w:rsidP="00405B8B">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05B8B">
        <w:rPr>
          <w:rFonts w:ascii="Times New Roman" w:eastAsia="Times New Roman" w:hAnsi="Times New Roman" w:cs="Times New Roman"/>
          <w:sz w:val="24"/>
          <w:szCs w:val="24"/>
          <w:lang w:val="en-US"/>
        </w:rPr>
        <w:t xml:space="preserve">Olliff-Yang, R. L., &amp; Mesler, M. R. (2018). The potential for phenological mismatch between a perennial herb and its ground-nesting bee pollinator. </w:t>
      </w:r>
      <w:proofErr w:type="spellStart"/>
      <w:r w:rsidRPr="00405B8B">
        <w:rPr>
          <w:rFonts w:ascii="Times New Roman" w:eastAsia="Times New Roman" w:hAnsi="Times New Roman" w:cs="Times New Roman"/>
          <w:i/>
          <w:iCs/>
          <w:sz w:val="24"/>
          <w:szCs w:val="24"/>
          <w:lang w:val="en-US"/>
        </w:rPr>
        <w:t>AoB</w:t>
      </w:r>
      <w:proofErr w:type="spellEnd"/>
      <w:r w:rsidRPr="00405B8B">
        <w:rPr>
          <w:rFonts w:ascii="Times New Roman" w:eastAsia="Times New Roman" w:hAnsi="Times New Roman" w:cs="Times New Roman"/>
          <w:i/>
          <w:iCs/>
          <w:sz w:val="24"/>
          <w:szCs w:val="24"/>
          <w:lang w:val="en-US"/>
        </w:rPr>
        <w:t xml:space="preserve"> Plants, 10</w:t>
      </w:r>
      <w:r w:rsidRPr="00405B8B">
        <w:rPr>
          <w:rFonts w:ascii="Times New Roman" w:eastAsia="Times New Roman" w:hAnsi="Times New Roman" w:cs="Times New Roman"/>
          <w:sz w:val="24"/>
          <w:szCs w:val="24"/>
          <w:lang w:val="en-US"/>
        </w:rPr>
        <w:t xml:space="preserve">(4), ply040. </w:t>
      </w:r>
      <w:hyperlink r:id="rId29" w:tgtFrame="_new" w:history="1">
        <w:r w:rsidRPr="00405B8B">
          <w:rPr>
            <w:rFonts w:ascii="Times New Roman" w:eastAsia="Times New Roman" w:hAnsi="Times New Roman" w:cs="Times New Roman"/>
            <w:color w:val="0000FF"/>
            <w:sz w:val="24"/>
            <w:szCs w:val="24"/>
            <w:u w:val="single"/>
            <w:lang w:val="en-US"/>
          </w:rPr>
          <w:t>https://doi.org/10.1093/aobpla/ply040</w:t>
        </w:r>
      </w:hyperlink>
    </w:p>
    <w:p w14:paraId="17FDCAAD" w14:textId="77777777" w:rsidR="00405B8B" w:rsidRPr="00405B8B" w:rsidRDefault="00405B8B" w:rsidP="00405B8B">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405B8B">
        <w:rPr>
          <w:rFonts w:ascii="Times New Roman" w:eastAsia="Times New Roman" w:hAnsi="Times New Roman" w:cs="Times New Roman"/>
          <w:sz w:val="24"/>
          <w:szCs w:val="24"/>
          <w:lang w:val="en-US"/>
        </w:rPr>
        <w:t>Schebeck</w:t>
      </w:r>
      <w:proofErr w:type="spellEnd"/>
      <w:r w:rsidRPr="00405B8B">
        <w:rPr>
          <w:rFonts w:ascii="Times New Roman" w:eastAsia="Times New Roman" w:hAnsi="Times New Roman" w:cs="Times New Roman"/>
          <w:sz w:val="24"/>
          <w:szCs w:val="24"/>
          <w:lang w:val="en-US"/>
        </w:rPr>
        <w:t xml:space="preserve">, M., Hansen, E. M., Schopf, A., Ragland, G. J., Stauffer, C., &amp; Bentz, B. J. (2017). Diapause and overwintering of two spruce bark beetle species. </w:t>
      </w:r>
      <w:r w:rsidRPr="00405B8B">
        <w:rPr>
          <w:rFonts w:ascii="Times New Roman" w:eastAsia="Times New Roman" w:hAnsi="Times New Roman" w:cs="Times New Roman"/>
          <w:i/>
          <w:iCs/>
          <w:sz w:val="24"/>
          <w:szCs w:val="24"/>
          <w:lang w:val="en-US"/>
        </w:rPr>
        <w:t>Physiological Entomology, 42</w:t>
      </w:r>
      <w:r w:rsidRPr="00405B8B">
        <w:rPr>
          <w:rFonts w:ascii="Times New Roman" w:eastAsia="Times New Roman" w:hAnsi="Times New Roman" w:cs="Times New Roman"/>
          <w:sz w:val="24"/>
          <w:szCs w:val="24"/>
          <w:lang w:val="en-US"/>
        </w:rPr>
        <w:t xml:space="preserve">(3), 200–210. </w:t>
      </w:r>
      <w:hyperlink r:id="rId30" w:tgtFrame="_new" w:history="1">
        <w:r w:rsidRPr="00405B8B">
          <w:rPr>
            <w:rFonts w:ascii="Times New Roman" w:eastAsia="Times New Roman" w:hAnsi="Times New Roman" w:cs="Times New Roman"/>
            <w:color w:val="0000FF"/>
            <w:sz w:val="24"/>
            <w:szCs w:val="24"/>
            <w:u w:val="single"/>
            <w:lang w:val="en-US"/>
          </w:rPr>
          <w:t>https://doi.org/10.1111/phen.12200</w:t>
        </w:r>
      </w:hyperlink>
    </w:p>
    <w:p w14:paraId="7E551966" w14:textId="77777777" w:rsidR="00405B8B" w:rsidRPr="00405B8B" w:rsidRDefault="00405B8B" w:rsidP="00405B8B">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405B8B">
        <w:rPr>
          <w:rFonts w:ascii="Times New Roman" w:eastAsia="Times New Roman" w:hAnsi="Times New Roman" w:cs="Times New Roman"/>
          <w:sz w:val="24"/>
          <w:szCs w:val="24"/>
          <w:lang w:val="en-US"/>
        </w:rPr>
        <w:t>Skendžić</w:t>
      </w:r>
      <w:proofErr w:type="spellEnd"/>
      <w:r w:rsidRPr="00405B8B">
        <w:rPr>
          <w:rFonts w:ascii="Times New Roman" w:eastAsia="Times New Roman" w:hAnsi="Times New Roman" w:cs="Times New Roman"/>
          <w:sz w:val="24"/>
          <w:szCs w:val="24"/>
          <w:lang w:val="en-US"/>
        </w:rPr>
        <w:t xml:space="preserve">, S., Zovko, M., Živković, I. P., </w:t>
      </w:r>
      <w:proofErr w:type="spellStart"/>
      <w:r w:rsidRPr="00405B8B">
        <w:rPr>
          <w:rFonts w:ascii="Times New Roman" w:eastAsia="Times New Roman" w:hAnsi="Times New Roman" w:cs="Times New Roman"/>
          <w:sz w:val="24"/>
          <w:szCs w:val="24"/>
          <w:lang w:val="en-US"/>
        </w:rPr>
        <w:t>Lešić</w:t>
      </w:r>
      <w:proofErr w:type="spellEnd"/>
      <w:r w:rsidRPr="00405B8B">
        <w:rPr>
          <w:rFonts w:ascii="Times New Roman" w:eastAsia="Times New Roman" w:hAnsi="Times New Roman" w:cs="Times New Roman"/>
          <w:sz w:val="24"/>
          <w:szCs w:val="24"/>
          <w:lang w:val="en-US"/>
        </w:rPr>
        <w:t xml:space="preserve">, V., &amp; </w:t>
      </w:r>
      <w:proofErr w:type="spellStart"/>
      <w:r w:rsidRPr="00405B8B">
        <w:rPr>
          <w:rFonts w:ascii="Times New Roman" w:eastAsia="Times New Roman" w:hAnsi="Times New Roman" w:cs="Times New Roman"/>
          <w:sz w:val="24"/>
          <w:szCs w:val="24"/>
          <w:lang w:val="en-US"/>
        </w:rPr>
        <w:t>Lemić</w:t>
      </w:r>
      <w:proofErr w:type="spellEnd"/>
      <w:r w:rsidRPr="00405B8B">
        <w:rPr>
          <w:rFonts w:ascii="Times New Roman" w:eastAsia="Times New Roman" w:hAnsi="Times New Roman" w:cs="Times New Roman"/>
          <w:sz w:val="24"/>
          <w:szCs w:val="24"/>
          <w:lang w:val="en-US"/>
        </w:rPr>
        <w:t xml:space="preserve">, D. (2021). The impact of climate change on agricultural insect pests. </w:t>
      </w:r>
      <w:r w:rsidRPr="00405B8B">
        <w:rPr>
          <w:rFonts w:ascii="Times New Roman" w:eastAsia="Times New Roman" w:hAnsi="Times New Roman" w:cs="Times New Roman"/>
          <w:i/>
          <w:iCs/>
          <w:sz w:val="24"/>
          <w:szCs w:val="24"/>
          <w:lang w:val="en-US"/>
        </w:rPr>
        <w:t>Insects, 12</w:t>
      </w:r>
      <w:r w:rsidRPr="00405B8B">
        <w:rPr>
          <w:rFonts w:ascii="Times New Roman" w:eastAsia="Times New Roman" w:hAnsi="Times New Roman" w:cs="Times New Roman"/>
          <w:sz w:val="24"/>
          <w:szCs w:val="24"/>
          <w:lang w:val="en-US"/>
        </w:rPr>
        <w:t xml:space="preserve">(5), 440. </w:t>
      </w:r>
      <w:hyperlink r:id="rId31" w:tgtFrame="_new" w:history="1">
        <w:r w:rsidRPr="00405B8B">
          <w:rPr>
            <w:rFonts w:ascii="Times New Roman" w:eastAsia="Times New Roman" w:hAnsi="Times New Roman" w:cs="Times New Roman"/>
            <w:color w:val="0000FF"/>
            <w:sz w:val="24"/>
            <w:szCs w:val="24"/>
            <w:u w:val="single"/>
            <w:lang w:val="en-US"/>
          </w:rPr>
          <w:t>https://doi.org/10.3390/insects12050440</w:t>
        </w:r>
      </w:hyperlink>
    </w:p>
    <w:p w14:paraId="21BC53FE" w14:textId="77777777" w:rsidR="00405B8B" w:rsidRPr="00405B8B" w:rsidRDefault="00405B8B" w:rsidP="00405B8B">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405B8B">
        <w:rPr>
          <w:rFonts w:ascii="Times New Roman" w:eastAsia="Times New Roman" w:hAnsi="Times New Roman" w:cs="Times New Roman"/>
          <w:sz w:val="24"/>
          <w:szCs w:val="24"/>
          <w:lang w:val="en-US"/>
        </w:rPr>
        <w:t>Stoeckli</w:t>
      </w:r>
      <w:proofErr w:type="spellEnd"/>
      <w:r w:rsidRPr="00405B8B">
        <w:rPr>
          <w:rFonts w:ascii="Times New Roman" w:eastAsia="Times New Roman" w:hAnsi="Times New Roman" w:cs="Times New Roman"/>
          <w:sz w:val="24"/>
          <w:szCs w:val="24"/>
          <w:lang w:val="en-US"/>
        </w:rPr>
        <w:t xml:space="preserve">, S., Hirschi, M., Spirig, C., </w:t>
      </w:r>
      <w:proofErr w:type="spellStart"/>
      <w:r w:rsidRPr="00405B8B">
        <w:rPr>
          <w:rFonts w:ascii="Times New Roman" w:eastAsia="Times New Roman" w:hAnsi="Times New Roman" w:cs="Times New Roman"/>
          <w:sz w:val="24"/>
          <w:szCs w:val="24"/>
          <w:lang w:val="en-US"/>
        </w:rPr>
        <w:t>Calanca</w:t>
      </w:r>
      <w:proofErr w:type="spellEnd"/>
      <w:r w:rsidRPr="00405B8B">
        <w:rPr>
          <w:rFonts w:ascii="Times New Roman" w:eastAsia="Times New Roman" w:hAnsi="Times New Roman" w:cs="Times New Roman"/>
          <w:sz w:val="24"/>
          <w:szCs w:val="24"/>
          <w:lang w:val="en-US"/>
        </w:rPr>
        <w:t xml:space="preserve">, P., Rotach, M. W., &amp; </w:t>
      </w:r>
      <w:proofErr w:type="spellStart"/>
      <w:r w:rsidRPr="00405B8B">
        <w:rPr>
          <w:rFonts w:ascii="Times New Roman" w:eastAsia="Times New Roman" w:hAnsi="Times New Roman" w:cs="Times New Roman"/>
          <w:sz w:val="24"/>
          <w:szCs w:val="24"/>
          <w:lang w:val="en-US"/>
        </w:rPr>
        <w:t>Samietz</w:t>
      </w:r>
      <w:proofErr w:type="spellEnd"/>
      <w:r w:rsidRPr="00405B8B">
        <w:rPr>
          <w:rFonts w:ascii="Times New Roman" w:eastAsia="Times New Roman" w:hAnsi="Times New Roman" w:cs="Times New Roman"/>
          <w:sz w:val="24"/>
          <w:szCs w:val="24"/>
          <w:lang w:val="en-US"/>
        </w:rPr>
        <w:t>, J. (2012). Impact of climate change on voltinism and prospective diapause induction of a global pest insect—</w:t>
      </w:r>
      <w:r w:rsidRPr="00405B8B">
        <w:rPr>
          <w:rFonts w:ascii="Times New Roman" w:eastAsia="Times New Roman" w:hAnsi="Times New Roman" w:cs="Times New Roman"/>
          <w:i/>
          <w:iCs/>
          <w:sz w:val="24"/>
          <w:szCs w:val="24"/>
          <w:lang w:val="en-US"/>
        </w:rPr>
        <w:t xml:space="preserve">Cydia </w:t>
      </w:r>
      <w:proofErr w:type="spellStart"/>
      <w:r w:rsidRPr="00405B8B">
        <w:rPr>
          <w:rFonts w:ascii="Times New Roman" w:eastAsia="Times New Roman" w:hAnsi="Times New Roman" w:cs="Times New Roman"/>
          <w:i/>
          <w:iCs/>
          <w:sz w:val="24"/>
          <w:szCs w:val="24"/>
          <w:lang w:val="en-US"/>
        </w:rPr>
        <w:t>pomonella</w:t>
      </w:r>
      <w:proofErr w:type="spellEnd"/>
      <w:r w:rsidRPr="00405B8B">
        <w:rPr>
          <w:rFonts w:ascii="Times New Roman" w:eastAsia="Times New Roman" w:hAnsi="Times New Roman" w:cs="Times New Roman"/>
          <w:sz w:val="24"/>
          <w:szCs w:val="24"/>
          <w:lang w:val="en-US"/>
        </w:rPr>
        <w:t xml:space="preserve"> (L.). </w:t>
      </w:r>
      <w:r w:rsidRPr="00405B8B">
        <w:rPr>
          <w:rFonts w:ascii="Times New Roman" w:eastAsia="Times New Roman" w:hAnsi="Times New Roman" w:cs="Times New Roman"/>
          <w:i/>
          <w:iCs/>
          <w:sz w:val="24"/>
          <w:szCs w:val="24"/>
          <w:lang w:val="en-US"/>
        </w:rPr>
        <w:t>PLOS ONE, 7</w:t>
      </w:r>
      <w:r w:rsidRPr="00405B8B">
        <w:rPr>
          <w:rFonts w:ascii="Times New Roman" w:eastAsia="Times New Roman" w:hAnsi="Times New Roman" w:cs="Times New Roman"/>
          <w:sz w:val="24"/>
          <w:szCs w:val="24"/>
          <w:lang w:val="en-US"/>
        </w:rPr>
        <w:t xml:space="preserve">(4), e35723. </w:t>
      </w:r>
      <w:hyperlink r:id="rId32" w:tgtFrame="_new" w:history="1">
        <w:r w:rsidRPr="00405B8B">
          <w:rPr>
            <w:rFonts w:ascii="Times New Roman" w:eastAsia="Times New Roman" w:hAnsi="Times New Roman" w:cs="Times New Roman"/>
            <w:color w:val="0000FF"/>
            <w:sz w:val="24"/>
            <w:szCs w:val="24"/>
            <w:u w:val="single"/>
            <w:lang w:val="en-US"/>
          </w:rPr>
          <w:t>https://doi.org/10.1371/journal.pone.0035723</w:t>
        </w:r>
      </w:hyperlink>
    </w:p>
    <w:p w14:paraId="50EF0D84" w14:textId="77777777" w:rsidR="00405B8B" w:rsidRPr="00405B8B" w:rsidRDefault="00405B8B" w:rsidP="00405B8B">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405B8B">
        <w:rPr>
          <w:rFonts w:ascii="Times New Roman" w:eastAsia="Times New Roman" w:hAnsi="Times New Roman" w:cs="Times New Roman"/>
          <w:sz w:val="24"/>
          <w:szCs w:val="24"/>
          <w:lang w:val="en-US"/>
        </w:rPr>
        <w:t>Tougeron</w:t>
      </w:r>
      <w:proofErr w:type="spellEnd"/>
      <w:r w:rsidRPr="00405B8B">
        <w:rPr>
          <w:rFonts w:ascii="Times New Roman" w:eastAsia="Times New Roman" w:hAnsi="Times New Roman" w:cs="Times New Roman"/>
          <w:sz w:val="24"/>
          <w:szCs w:val="24"/>
          <w:lang w:val="en-US"/>
        </w:rPr>
        <w:t xml:space="preserve">, K. (2019). Diapause research in insects: Historical review and recent work perspectives. </w:t>
      </w:r>
      <w:proofErr w:type="spellStart"/>
      <w:r w:rsidRPr="00405B8B">
        <w:rPr>
          <w:rFonts w:ascii="Times New Roman" w:eastAsia="Times New Roman" w:hAnsi="Times New Roman" w:cs="Times New Roman"/>
          <w:i/>
          <w:iCs/>
          <w:sz w:val="24"/>
          <w:szCs w:val="24"/>
          <w:lang w:val="en-US"/>
        </w:rPr>
        <w:t>Entomologia</w:t>
      </w:r>
      <w:proofErr w:type="spellEnd"/>
      <w:r w:rsidRPr="00405B8B">
        <w:rPr>
          <w:rFonts w:ascii="Times New Roman" w:eastAsia="Times New Roman" w:hAnsi="Times New Roman" w:cs="Times New Roman"/>
          <w:i/>
          <w:iCs/>
          <w:sz w:val="24"/>
          <w:szCs w:val="24"/>
          <w:lang w:val="en-US"/>
        </w:rPr>
        <w:t xml:space="preserve"> </w:t>
      </w:r>
      <w:proofErr w:type="spellStart"/>
      <w:r w:rsidRPr="00405B8B">
        <w:rPr>
          <w:rFonts w:ascii="Times New Roman" w:eastAsia="Times New Roman" w:hAnsi="Times New Roman" w:cs="Times New Roman"/>
          <w:i/>
          <w:iCs/>
          <w:sz w:val="24"/>
          <w:szCs w:val="24"/>
          <w:lang w:val="en-US"/>
        </w:rPr>
        <w:t>Experimentalis</w:t>
      </w:r>
      <w:proofErr w:type="spellEnd"/>
      <w:r w:rsidRPr="00405B8B">
        <w:rPr>
          <w:rFonts w:ascii="Times New Roman" w:eastAsia="Times New Roman" w:hAnsi="Times New Roman" w:cs="Times New Roman"/>
          <w:i/>
          <w:iCs/>
          <w:sz w:val="24"/>
          <w:szCs w:val="24"/>
          <w:lang w:val="en-US"/>
        </w:rPr>
        <w:t xml:space="preserve"> et </w:t>
      </w:r>
      <w:proofErr w:type="spellStart"/>
      <w:r w:rsidRPr="00405B8B">
        <w:rPr>
          <w:rFonts w:ascii="Times New Roman" w:eastAsia="Times New Roman" w:hAnsi="Times New Roman" w:cs="Times New Roman"/>
          <w:i/>
          <w:iCs/>
          <w:sz w:val="24"/>
          <w:szCs w:val="24"/>
          <w:lang w:val="en-US"/>
        </w:rPr>
        <w:t>Applicata</w:t>
      </w:r>
      <w:proofErr w:type="spellEnd"/>
      <w:r w:rsidRPr="00405B8B">
        <w:rPr>
          <w:rFonts w:ascii="Times New Roman" w:eastAsia="Times New Roman" w:hAnsi="Times New Roman" w:cs="Times New Roman"/>
          <w:i/>
          <w:iCs/>
          <w:sz w:val="24"/>
          <w:szCs w:val="24"/>
          <w:lang w:val="en-US"/>
        </w:rPr>
        <w:t>, 167</w:t>
      </w:r>
      <w:r w:rsidRPr="00405B8B">
        <w:rPr>
          <w:rFonts w:ascii="Times New Roman" w:eastAsia="Times New Roman" w:hAnsi="Times New Roman" w:cs="Times New Roman"/>
          <w:sz w:val="24"/>
          <w:szCs w:val="24"/>
          <w:lang w:val="en-US"/>
        </w:rPr>
        <w:t xml:space="preserve">(1), 27–43. </w:t>
      </w:r>
      <w:hyperlink r:id="rId33" w:tgtFrame="_new" w:history="1">
        <w:r w:rsidRPr="00405B8B">
          <w:rPr>
            <w:rFonts w:ascii="Times New Roman" w:eastAsia="Times New Roman" w:hAnsi="Times New Roman" w:cs="Times New Roman"/>
            <w:color w:val="0000FF"/>
            <w:sz w:val="24"/>
            <w:szCs w:val="24"/>
            <w:u w:val="single"/>
            <w:lang w:val="en-US"/>
          </w:rPr>
          <w:t>https://doi.org/10.1111/eea.12753</w:t>
        </w:r>
      </w:hyperlink>
    </w:p>
    <w:p w14:paraId="7DE65D69" w14:textId="77777777" w:rsidR="00405B8B" w:rsidRPr="00405B8B" w:rsidRDefault="00405B8B" w:rsidP="00405B8B">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405B8B">
        <w:rPr>
          <w:rFonts w:ascii="Times New Roman" w:eastAsia="Times New Roman" w:hAnsi="Times New Roman" w:cs="Times New Roman"/>
          <w:sz w:val="24"/>
          <w:szCs w:val="24"/>
          <w:lang w:val="en-US"/>
        </w:rPr>
        <w:t>Verberk</w:t>
      </w:r>
      <w:proofErr w:type="spellEnd"/>
      <w:r w:rsidRPr="00405B8B">
        <w:rPr>
          <w:rFonts w:ascii="Times New Roman" w:eastAsia="Times New Roman" w:hAnsi="Times New Roman" w:cs="Times New Roman"/>
          <w:sz w:val="24"/>
          <w:szCs w:val="24"/>
          <w:lang w:val="en-US"/>
        </w:rPr>
        <w:t xml:space="preserve">, W. C. E. P., Atkinson, D., </w:t>
      </w:r>
      <w:proofErr w:type="spellStart"/>
      <w:r w:rsidRPr="00405B8B">
        <w:rPr>
          <w:rFonts w:ascii="Times New Roman" w:eastAsia="Times New Roman" w:hAnsi="Times New Roman" w:cs="Times New Roman"/>
          <w:sz w:val="24"/>
          <w:szCs w:val="24"/>
          <w:lang w:val="en-US"/>
        </w:rPr>
        <w:t>Hoefnagel</w:t>
      </w:r>
      <w:proofErr w:type="spellEnd"/>
      <w:r w:rsidRPr="00405B8B">
        <w:rPr>
          <w:rFonts w:ascii="Times New Roman" w:eastAsia="Times New Roman" w:hAnsi="Times New Roman" w:cs="Times New Roman"/>
          <w:sz w:val="24"/>
          <w:szCs w:val="24"/>
          <w:lang w:val="en-US"/>
        </w:rPr>
        <w:t xml:space="preserve">, K. N., Hirst, A. G., Horne, C. R., &amp; </w:t>
      </w:r>
      <w:proofErr w:type="spellStart"/>
      <w:r w:rsidRPr="00405B8B">
        <w:rPr>
          <w:rFonts w:ascii="Times New Roman" w:eastAsia="Times New Roman" w:hAnsi="Times New Roman" w:cs="Times New Roman"/>
          <w:sz w:val="24"/>
          <w:szCs w:val="24"/>
          <w:lang w:val="en-US"/>
        </w:rPr>
        <w:t>Siepel</w:t>
      </w:r>
      <w:proofErr w:type="spellEnd"/>
      <w:r w:rsidRPr="00405B8B">
        <w:rPr>
          <w:rFonts w:ascii="Times New Roman" w:eastAsia="Times New Roman" w:hAnsi="Times New Roman" w:cs="Times New Roman"/>
          <w:sz w:val="24"/>
          <w:szCs w:val="24"/>
          <w:lang w:val="en-US"/>
        </w:rPr>
        <w:t xml:space="preserve">, H. (2021). Shrinking body sizes in response to warming: Explanations for the temperature–size rule with special emphasis on the role of oxygen. </w:t>
      </w:r>
      <w:r w:rsidRPr="00405B8B">
        <w:rPr>
          <w:rFonts w:ascii="Times New Roman" w:eastAsia="Times New Roman" w:hAnsi="Times New Roman" w:cs="Times New Roman"/>
          <w:i/>
          <w:iCs/>
          <w:sz w:val="24"/>
          <w:szCs w:val="24"/>
          <w:lang w:val="en-US"/>
        </w:rPr>
        <w:t>Biological Reviews, 96</w:t>
      </w:r>
      <w:r w:rsidRPr="00405B8B">
        <w:rPr>
          <w:rFonts w:ascii="Times New Roman" w:eastAsia="Times New Roman" w:hAnsi="Times New Roman" w:cs="Times New Roman"/>
          <w:sz w:val="24"/>
          <w:szCs w:val="24"/>
          <w:lang w:val="en-US"/>
        </w:rPr>
        <w:t xml:space="preserve">(1), 247–268. </w:t>
      </w:r>
      <w:hyperlink r:id="rId34" w:tgtFrame="_new" w:history="1">
        <w:r w:rsidRPr="00405B8B">
          <w:rPr>
            <w:rFonts w:ascii="Times New Roman" w:eastAsia="Times New Roman" w:hAnsi="Times New Roman" w:cs="Times New Roman"/>
            <w:color w:val="0000FF"/>
            <w:sz w:val="24"/>
            <w:szCs w:val="24"/>
            <w:u w:val="single"/>
            <w:lang w:val="en-US"/>
          </w:rPr>
          <w:t>https://doi.org/10.1111/brv.12653</w:t>
        </w:r>
      </w:hyperlink>
    </w:p>
    <w:p w14:paraId="099A8AE5" w14:textId="77777777" w:rsidR="00405B8B" w:rsidRPr="00405B8B" w:rsidRDefault="00405B8B" w:rsidP="00405B8B">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05B8B">
        <w:rPr>
          <w:rFonts w:ascii="Times New Roman" w:eastAsia="Times New Roman" w:hAnsi="Times New Roman" w:cs="Times New Roman"/>
          <w:sz w:val="24"/>
          <w:szCs w:val="24"/>
          <w:lang w:val="en-US"/>
        </w:rPr>
        <w:t xml:space="preserve">Wang, L., Liu, K., Zhao, X., Zhang, T., Yuan, M., &amp; He, K. (2023). Evolutionary shift of insect diapause strategy in a warming climate: </w:t>
      </w:r>
      <w:proofErr w:type="gramStart"/>
      <w:r w:rsidRPr="00405B8B">
        <w:rPr>
          <w:rFonts w:ascii="Times New Roman" w:eastAsia="Times New Roman" w:hAnsi="Times New Roman" w:cs="Times New Roman"/>
          <w:sz w:val="24"/>
          <w:szCs w:val="24"/>
          <w:lang w:val="en-US"/>
        </w:rPr>
        <w:t>An intra-population evidence</w:t>
      </w:r>
      <w:proofErr w:type="gramEnd"/>
      <w:r w:rsidRPr="00405B8B">
        <w:rPr>
          <w:rFonts w:ascii="Times New Roman" w:eastAsia="Times New Roman" w:hAnsi="Times New Roman" w:cs="Times New Roman"/>
          <w:sz w:val="24"/>
          <w:szCs w:val="24"/>
          <w:lang w:val="en-US"/>
        </w:rPr>
        <w:t xml:space="preserve"> from Asian corn borer. </w:t>
      </w:r>
      <w:r w:rsidRPr="00405B8B">
        <w:rPr>
          <w:rFonts w:ascii="Times New Roman" w:eastAsia="Times New Roman" w:hAnsi="Times New Roman" w:cs="Times New Roman"/>
          <w:i/>
          <w:iCs/>
          <w:sz w:val="24"/>
          <w:szCs w:val="24"/>
          <w:lang w:val="en-US"/>
        </w:rPr>
        <w:t>Biology, 12</w:t>
      </w:r>
      <w:r w:rsidRPr="00405B8B">
        <w:rPr>
          <w:rFonts w:ascii="Times New Roman" w:eastAsia="Times New Roman" w:hAnsi="Times New Roman" w:cs="Times New Roman"/>
          <w:sz w:val="24"/>
          <w:szCs w:val="24"/>
          <w:lang w:val="en-US"/>
        </w:rPr>
        <w:t xml:space="preserve">(6), 762. </w:t>
      </w:r>
      <w:hyperlink r:id="rId35" w:tgtFrame="_new" w:history="1">
        <w:r w:rsidRPr="00405B8B">
          <w:rPr>
            <w:rFonts w:ascii="Times New Roman" w:eastAsia="Times New Roman" w:hAnsi="Times New Roman" w:cs="Times New Roman"/>
            <w:color w:val="0000FF"/>
            <w:sz w:val="24"/>
            <w:szCs w:val="24"/>
            <w:u w:val="single"/>
            <w:lang w:val="en-US"/>
          </w:rPr>
          <w:t>https://doi.org/10.3390/biology12060762</w:t>
        </w:r>
      </w:hyperlink>
    </w:p>
    <w:p w14:paraId="08CF2F83" w14:textId="77777777" w:rsidR="00405B8B" w:rsidRPr="00405B8B" w:rsidRDefault="00405B8B" w:rsidP="00405B8B">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05B8B">
        <w:rPr>
          <w:rFonts w:ascii="Times New Roman" w:eastAsia="Times New Roman" w:hAnsi="Times New Roman" w:cs="Times New Roman"/>
          <w:sz w:val="24"/>
          <w:szCs w:val="24"/>
          <w:lang w:val="en-US"/>
        </w:rPr>
        <w:t xml:space="preserve">Yan, G., Li, D., Wang, G., &amp; Wu, L. (2024). Diet affects the temperature–size relationship in the blowfly </w:t>
      </w:r>
      <w:proofErr w:type="spellStart"/>
      <w:r w:rsidRPr="00405B8B">
        <w:rPr>
          <w:rFonts w:ascii="Times New Roman" w:eastAsia="Times New Roman" w:hAnsi="Times New Roman" w:cs="Times New Roman"/>
          <w:i/>
          <w:iCs/>
          <w:sz w:val="24"/>
          <w:szCs w:val="24"/>
          <w:lang w:val="en-US"/>
        </w:rPr>
        <w:t>Aldrichina</w:t>
      </w:r>
      <w:proofErr w:type="spellEnd"/>
      <w:r w:rsidRPr="00405B8B">
        <w:rPr>
          <w:rFonts w:ascii="Times New Roman" w:eastAsia="Times New Roman" w:hAnsi="Times New Roman" w:cs="Times New Roman"/>
          <w:i/>
          <w:iCs/>
          <w:sz w:val="24"/>
          <w:szCs w:val="24"/>
          <w:lang w:val="en-US"/>
        </w:rPr>
        <w:t xml:space="preserve"> grahami</w:t>
      </w:r>
      <w:r w:rsidRPr="00405B8B">
        <w:rPr>
          <w:rFonts w:ascii="Times New Roman" w:eastAsia="Times New Roman" w:hAnsi="Times New Roman" w:cs="Times New Roman"/>
          <w:sz w:val="24"/>
          <w:szCs w:val="24"/>
          <w:lang w:val="en-US"/>
        </w:rPr>
        <w:t xml:space="preserve">. </w:t>
      </w:r>
      <w:r w:rsidRPr="00405B8B">
        <w:rPr>
          <w:rFonts w:ascii="Times New Roman" w:eastAsia="Times New Roman" w:hAnsi="Times New Roman" w:cs="Times New Roman"/>
          <w:i/>
          <w:iCs/>
          <w:sz w:val="24"/>
          <w:szCs w:val="24"/>
          <w:lang w:val="en-US"/>
        </w:rPr>
        <w:t>Insects, 15</w:t>
      </w:r>
      <w:r w:rsidRPr="00405B8B">
        <w:rPr>
          <w:rFonts w:ascii="Times New Roman" w:eastAsia="Times New Roman" w:hAnsi="Times New Roman" w:cs="Times New Roman"/>
          <w:sz w:val="24"/>
          <w:szCs w:val="24"/>
          <w:lang w:val="en-US"/>
        </w:rPr>
        <w:t xml:space="preserve">(4), 246. </w:t>
      </w:r>
      <w:hyperlink r:id="rId36" w:tgtFrame="_new" w:history="1">
        <w:r w:rsidRPr="00405B8B">
          <w:rPr>
            <w:rFonts w:ascii="Times New Roman" w:eastAsia="Times New Roman" w:hAnsi="Times New Roman" w:cs="Times New Roman"/>
            <w:color w:val="0000FF"/>
            <w:sz w:val="24"/>
            <w:szCs w:val="24"/>
            <w:u w:val="single"/>
            <w:lang w:val="en-US"/>
          </w:rPr>
          <w:t>https://doi.org/10.3390/insects15040246</w:t>
        </w:r>
      </w:hyperlink>
    </w:p>
    <w:p w14:paraId="5B99A075" w14:textId="77777777" w:rsidR="00C8757A" w:rsidRPr="00C8757A" w:rsidRDefault="00C8757A" w:rsidP="00E15085">
      <w:pPr>
        <w:jc w:val="both"/>
        <w:rPr>
          <w:lang w:val="en-IN"/>
        </w:rPr>
      </w:pPr>
    </w:p>
    <w:sectPr w:rsidR="00C8757A" w:rsidRPr="00C8757A" w:rsidSect="004841B3">
      <w:headerReference w:type="even" r:id="rId37"/>
      <w:headerReference w:type="default" r:id="rId38"/>
      <w:footerReference w:type="even" r:id="rId39"/>
      <w:footerReference w:type="default" r:id="rId40"/>
      <w:headerReference w:type="first" r:id="rId41"/>
      <w:footerReference w:type="first" r:id="rId4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D24D9" w14:textId="77777777" w:rsidR="00D66565" w:rsidRDefault="00D66565" w:rsidP="003C6EE2">
      <w:pPr>
        <w:spacing w:after="0" w:line="240" w:lineRule="auto"/>
      </w:pPr>
      <w:r>
        <w:separator/>
      </w:r>
    </w:p>
  </w:endnote>
  <w:endnote w:type="continuationSeparator" w:id="0">
    <w:p w14:paraId="357EA4DF" w14:textId="77777777" w:rsidR="00D66565" w:rsidRDefault="00D66565" w:rsidP="003C6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349D5" w14:textId="77777777" w:rsidR="003C6EE2" w:rsidRDefault="003C6E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8BBE1" w14:textId="77777777" w:rsidR="003C6EE2" w:rsidRDefault="003C6E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55259" w14:textId="77777777" w:rsidR="003C6EE2" w:rsidRDefault="003C6E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81348" w14:textId="77777777" w:rsidR="00D66565" w:rsidRDefault="00D66565" w:rsidP="003C6EE2">
      <w:pPr>
        <w:spacing w:after="0" w:line="240" w:lineRule="auto"/>
      </w:pPr>
      <w:r>
        <w:separator/>
      </w:r>
    </w:p>
  </w:footnote>
  <w:footnote w:type="continuationSeparator" w:id="0">
    <w:p w14:paraId="047F6C95" w14:textId="77777777" w:rsidR="00D66565" w:rsidRDefault="00D66565" w:rsidP="003C6E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78C67" w14:textId="77777777" w:rsidR="003C6EE2" w:rsidRDefault="00000000">
    <w:pPr>
      <w:pStyle w:val="Header"/>
    </w:pPr>
    <w:r>
      <w:rPr>
        <w:noProof/>
      </w:rPr>
      <w:pict w14:anchorId="09FA56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0364313"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3215E" w14:textId="77777777" w:rsidR="003C6EE2" w:rsidRDefault="00000000">
    <w:pPr>
      <w:pStyle w:val="Header"/>
    </w:pPr>
    <w:r>
      <w:rPr>
        <w:noProof/>
      </w:rPr>
      <w:pict w14:anchorId="03767B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0364314"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41CFB" w14:textId="77777777" w:rsidR="003C6EE2" w:rsidRDefault="00000000">
    <w:pPr>
      <w:pStyle w:val="Header"/>
    </w:pPr>
    <w:r>
      <w:rPr>
        <w:noProof/>
      </w:rPr>
      <w:pict w14:anchorId="2B2844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0364312"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73FA2"/>
    <w:multiLevelType w:val="hybridMultilevel"/>
    <w:tmpl w:val="FA9AA0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82833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Mjc1MTU1MbM0NDY1MzVQ0lEKTi0uzszPAykwrAUAhrTLNCwAAAA="/>
  </w:docVars>
  <w:rsids>
    <w:rsidRoot w:val="00C8757A"/>
    <w:rsid w:val="000A073B"/>
    <w:rsid w:val="00203285"/>
    <w:rsid w:val="00282E5B"/>
    <w:rsid w:val="003217CF"/>
    <w:rsid w:val="00345F3B"/>
    <w:rsid w:val="0038616C"/>
    <w:rsid w:val="003C6EE2"/>
    <w:rsid w:val="00405B8B"/>
    <w:rsid w:val="00447D4B"/>
    <w:rsid w:val="004841B3"/>
    <w:rsid w:val="007D4595"/>
    <w:rsid w:val="007F638A"/>
    <w:rsid w:val="00824882"/>
    <w:rsid w:val="00877246"/>
    <w:rsid w:val="008D4523"/>
    <w:rsid w:val="00965255"/>
    <w:rsid w:val="00995C87"/>
    <w:rsid w:val="00C416DF"/>
    <w:rsid w:val="00C8757A"/>
    <w:rsid w:val="00D503BD"/>
    <w:rsid w:val="00D61849"/>
    <w:rsid w:val="00D62D1B"/>
    <w:rsid w:val="00D66565"/>
    <w:rsid w:val="00E150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2E3B16"/>
  <w15:docId w15:val="{1EFA3314-B3BE-4961-A3DC-7B42B036C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1">
    <w:name w:val="heading 1"/>
    <w:basedOn w:val="Normal"/>
    <w:next w:val="Normal"/>
    <w:link w:val="Heading1Char"/>
    <w:uiPriority w:val="9"/>
    <w:qFormat/>
    <w:rsid w:val="00C8757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C8757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C8757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C8757A"/>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Shading1-Accent1">
    <w:name w:val="Medium Shading 1 Accent 1"/>
    <w:basedOn w:val="TableNormal"/>
    <w:uiPriority w:val="63"/>
    <w:rsid w:val="0082488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3Char">
    <w:name w:val="Heading 3 Char"/>
    <w:basedOn w:val="DefaultParagraphFont"/>
    <w:link w:val="Heading3"/>
    <w:uiPriority w:val="9"/>
    <w:rsid w:val="00C8757A"/>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C8757A"/>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C8757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8757A"/>
    <w:rPr>
      <w:b/>
      <w:bCs/>
    </w:rPr>
  </w:style>
  <w:style w:type="character" w:styleId="Emphasis">
    <w:name w:val="Emphasis"/>
    <w:basedOn w:val="DefaultParagraphFont"/>
    <w:uiPriority w:val="20"/>
    <w:qFormat/>
    <w:rsid w:val="00C8757A"/>
    <w:rPr>
      <w:i/>
      <w:iCs/>
    </w:rPr>
  </w:style>
  <w:style w:type="character" w:styleId="Hyperlink">
    <w:name w:val="Hyperlink"/>
    <w:basedOn w:val="DefaultParagraphFont"/>
    <w:uiPriority w:val="99"/>
    <w:semiHidden/>
    <w:unhideWhenUsed/>
    <w:rsid w:val="00C8757A"/>
    <w:rPr>
      <w:color w:val="0000FF"/>
      <w:u w:val="single"/>
    </w:rPr>
  </w:style>
  <w:style w:type="character" w:customStyle="1" w:styleId="Heading2Char">
    <w:name w:val="Heading 2 Char"/>
    <w:basedOn w:val="DefaultParagraphFont"/>
    <w:link w:val="Heading2"/>
    <w:uiPriority w:val="9"/>
    <w:semiHidden/>
    <w:rsid w:val="00C8757A"/>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C8757A"/>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C8757A"/>
    <w:pPr>
      <w:ind w:left="720"/>
      <w:contextualSpacing/>
    </w:pPr>
  </w:style>
  <w:style w:type="table" w:styleId="TableGrid">
    <w:name w:val="Table Grid"/>
    <w:basedOn w:val="TableNormal"/>
    <w:uiPriority w:val="59"/>
    <w:rsid w:val="00C875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6E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6EE2"/>
  </w:style>
  <w:style w:type="paragraph" w:styleId="Footer">
    <w:name w:val="footer"/>
    <w:basedOn w:val="Normal"/>
    <w:link w:val="FooterChar"/>
    <w:uiPriority w:val="99"/>
    <w:unhideWhenUsed/>
    <w:rsid w:val="003C6E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6E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267336">
      <w:bodyDiv w:val="1"/>
      <w:marLeft w:val="0"/>
      <w:marRight w:val="0"/>
      <w:marTop w:val="0"/>
      <w:marBottom w:val="0"/>
      <w:divBdr>
        <w:top w:val="none" w:sz="0" w:space="0" w:color="auto"/>
        <w:left w:val="none" w:sz="0" w:space="0" w:color="auto"/>
        <w:bottom w:val="none" w:sz="0" w:space="0" w:color="auto"/>
        <w:right w:val="none" w:sz="0" w:space="0" w:color="auto"/>
      </w:divBdr>
      <w:divsChild>
        <w:div w:id="1029262241">
          <w:marLeft w:val="0"/>
          <w:marRight w:val="0"/>
          <w:marTop w:val="0"/>
          <w:marBottom w:val="0"/>
          <w:divBdr>
            <w:top w:val="none" w:sz="0" w:space="0" w:color="auto"/>
            <w:left w:val="none" w:sz="0" w:space="0" w:color="auto"/>
            <w:bottom w:val="none" w:sz="0" w:space="0" w:color="auto"/>
            <w:right w:val="none" w:sz="0" w:space="0" w:color="auto"/>
          </w:divBdr>
        </w:div>
        <w:div w:id="2174160">
          <w:marLeft w:val="0"/>
          <w:marRight w:val="0"/>
          <w:marTop w:val="0"/>
          <w:marBottom w:val="0"/>
          <w:divBdr>
            <w:top w:val="none" w:sz="0" w:space="0" w:color="auto"/>
            <w:left w:val="none" w:sz="0" w:space="0" w:color="auto"/>
            <w:bottom w:val="none" w:sz="0" w:space="0" w:color="auto"/>
            <w:right w:val="none" w:sz="0" w:space="0" w:color="auto"/>
          </w:divBdr>
        </w:div>
        <w:div w:id="817694167">
          <w:marLeft w:val="0"/>
          <w:marRight w:val="0"/>
          <w:marTop w:val="0"/>
          <w:marBottom w:val="0"/>
          <w:divBdr>
            <w:top w:val="none" w:sz="0" w:space="0" w:color="auto"/>
            <w:left w:val="none" w:sz="0" w:space="0" w:color="auto"/>
            <w:bottom w:val="none" w:sz="0" w:space="0" w:color="auto"/>
            <w:right w:val="none" w:sz="0" w:space="0" w:color="auto"/>
          </w:divBdr>
        </w:div>
      </w:divsChild>
    </w:div>
    <w:div w:id="139638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73/pnas.1210460109" TargetMode="External"/><Relationship Id="rId18" Type="http://schemas.openxmlformats.org/officeDocument/2006/relationships/hyperlink" Target="https://doi.org/10.1002/ecm.1553" TargetMode="External"/><Relationship Id="rId26" Type="http://schemas.openxmlformats.org/officeDocument/2006/relationships/hyperlink" Target="https://doi.org/10.1016/j.ecss.2024.108817" TargetMode="External"/><Relationship Id="rId39" Type="http://schemas.openxmlformats.org/officeDocument/2006/relationships/footer" Target="footer1.xml"/><Relationship Id="rId21" Type="http://schemas.openxmlformats.org/officeDocument/2006/relationships/hyperlink" Target="https://doi.org/10.1007/s10841-024-00626-8" TargetMode="External"/><Relationship Id="rId34" Type="http://schemas.openxmlformats.org/officeDocument/2006/relationships/hyperlink" Target="https://doi.org/10.1111/brv.12653" TargetMode="External"/><Relationship Id="rId42" Type="http://schemas.openxmlformats.org/officeDocument/2006/relationships/footer" Target="footer3.xml"/><Relationship Id="rId7" Type="http://schemas.openxmlformats.org/officeDocument/2006/relationships/hyperlink" Target="https://doi.org/10.1242/jeb.037911" TargetMode="External"/><Relationship Id="rId2" Type="http://schemas.openxmlformats.org/officeDocument/2006/relationships/styles" Target="styles.xml"/><Relationship Id="rId16" Type="http://schemas.openxmlformats.org/officeDocument/2006/relationships/hyperlink" Target="https://doi.org/10.1111/eci.12931" TargetMode="External"/><Relationship Id="rId20" Type="http://schemas.openxmlformats.org/officeDocument/2006/relationships/hyperlink" Target="https://doi.org/10.1111/ele.12413" TargetMode="External"/><Relationship Id="rId29" Type="http://schemas.openxmlformats.org/officeDocument/2006/relationships/hyperlink" Target="https://doi.org/10.1093/aobpla/ply040" TargetMode="External"/><Relationship Id="rId41"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93/ee/nvag013" TargetMode="External"/><Relationship Id="rId24" Type="http://schemas.openxmlformats.org/officeDocument/2006/relationships/hyperlink" Target="https://doi.org/10.1016/j.ecss.2021.107478" TargetMode="External"/><Relationship Id="rId32" Type="http://schemas.openxmlformats.org/officeDocument/2006/relationships/hyperlink" Target="https://doi.org/10.1371/journal.pone.0035723"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doi.org/10.1098/rspb.2025.0350" TargetMode="External"/><Relationship Id="rId23" Type="http://schemas.openxmlformats.org/officeDocument/2006/relationships/hyperlink" Target="https://doi.org/10.1111/eva.13226" TargetMode="External"/><Relationship Id="rId28" Type="http://schemas.openxmlformats.org/officeDocument/2006/relationships/hyperlink" Target="https://doi.org/10.1371/journal.pbio.3002805" TargetMode="External"/><Relationship Id="rId36" Type="http://schemas.openxmlformats.org/officeDocument/2006/relationships/hyperlink" Target="https://doi.org/10.3390/insects15040246" TargetMode="External"/><Relationship Id="rId10" Type="http://schemas.openxmlformats.org/officeDocument/2006/relationships/hyperlink" Target="https://doi.org/10.1242/jeb.250555" TargetMode="External"/><Relationship Id="rId19" Type="http://schemas.openxmlformats.org/officeDocument/2006/relationships/hyperlink" Target="https://doi.org/10.1016/j.jtherbio.2014.12.003" TargetMode="External"/><Relationship Id="rId31" Type="http://schemas.openxmlformats.org/officeDocument/2006/relationships/hyperlink" Target="https://doi.org/10.3390/insects12050440"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1038/s41467-025-56177-2" TargetMode="External"/><Relationship Id="rId14" Type="http://schemas.openxmlformats.org/officeDocument/2006/relationships/hyperlink" Target="https://doi.org/10.1098/rspb.2021.2142" TargetMode="External"/><Relationship Id="rId22" Type="http://schemas.openxmlformats.org/officeDocument/2006/relationships/hyperlink" Target="https://doi.org/10.1098/rspb.2019.0573" TargetMode="External"/><Relationship Id="rId27" Type="http://schemas.openxmlformats.org/officeDocument/2006/relationships/hyperlink" Target="https://doi.org/10.1111/gcb.70081" TargetMode="External"/><Relationship Id="rId30" Type="http://schemas.openxmlformats.org/officeDocument/2006/relationships/hyperlink" Target="https://doi.org/10.1111/phen.12200" TargetMode="External"/><Relationship Id="rId35" Type="http://schemas.openxmlformats.org/officeDocument/2006/relationships/hyperlink" Target="https://doi.org/10.3390/biology12060762" TargetMode="External"/><Relationship Id="rId43" Type="http://schemas.openxmlformats.org/officeDocument/2006/relationships/fontTable" Target="fontTable.xml"/><Relationship Id="rId8" Type="http://schemas.openxmlformats.org/officeDocument/2006/relationships/hyperlink" Target="https://doi.org/10.1186/s41073-019-0064-8" TargetMode="External"/><Relationship Id="rId3" Type="http://schemas.openxmlformats.org/officeDocument/2006/relationships/settings" Target="settings.xml"/><Relationship Id="rId12" Type="http://schemas.openxmlformats.org/officeDocument/2006/relationships/hyperlink" Target="https://doi.org/10.1093/icb/icaf034" TargetMode="External"/><Relationship Id="rId17" Type="http://schemas.openxmlformats.org/officeDocument/2006/relationships/hyperlink" Target="https://doi.org/10.1146/annurev-ento-020117-043145" TargetMode="External"/><Relationship Id="rId25" Type="http://schemas.openxmlformats.org/officeDocument/2006/relationships/hyperlink" Target="https://doi.org/10.1016/j.ecss.2022.108122" TargetMode="External"/><Relationship Id="rId33" Type="http://schemas.openxmlformats.org/officeDocument/2006/relationships/hyperlink" Target="https://doi.org/10.1111/eea.12753" TargetMode="External"/><Relationship Id="rId3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16</Pages>
  <Words>7714</Words>
  <Characters>43975</Characters>
  <Application>Microsoft Office Word</Application>
  <DocSecurity>0</DocSecurity>
  <Lines>366</Lines>
  <Paragraphs>103</Paragraphs>
  <ScaleCrop>false</ScaleCrop>
  <Company>HP</Company>
  <LinksUpToDate>false</LinksUpToDate>
  <CharactersWithSpaces>51586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Managing Editor</dc:creator>
  <cp:keywords/>
  <dc:description/>
  <cp:lastModifiedBy>SDI CPU 1117</cp:lastModifiedBy>
  <cp:revision>17</cp:revision>
  <dcterms:created xsi:type="dcterms:W3CDTF">2026-06-30T16:15:00Z</dcterms:created>
  <dcterms:modified xsi:type="dcterms:W3CDTF">2026-07-07T06:51:00Z</dcterms:modified>
</cp:coreProperties>
</file>