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436DD" w14:textId="43BA91EF" w:rsidR="00303F97" w:rsidRPr="00303F97" w:rsidRDefault="00303F97" w:rsidP="00303F97">
      <w:pPr>
        <w:pStyle w:val="TableParagraph"/>
        <w:spacing w:line="237" w:lineRule="auto"/>
        <w:ind w:left="108" w:right="243"/>
        <w:rPr>
          <w:b/>
          <w:bCs/>
          <w:sz w:val="36"/>
          <w:szCs w:val="32"/>
        </w:rPr>
      </w:pPr>
      <w:r w:rsidRPr="00303F97">
        <w:rPr>
          <w:b/>
          <w:bCs/>
          <w:sz w:val="36"/>
          <w:szCs w:val="32"/>
          <w:highlight w:val="yellow"/>
        </w:rPr>
        <w:t>Functional Genomics</w:t>
      </w:r>
      <w:r w:rsidRPr="00303F97">
        <w:rPr>
          <w:b/>
          <w:bCs/>
          <w:spacing w:val="-9"/>
          <w:sz w:val="36"/>
          <w:szCs w:val="32"/>
          <w:highlight w:val="yellow"/>
        </w:rPr>
        <w:t xml:space="preserve"> </w:t>
      </w:r>
      <w:r w:rsidRPr="00303F97">
        <w:rPr>
          <w:b/>
          <w:bCs/>
          <w:sz w:val="36"/>
          <w:szCs w:val="32"/>
          <w:highlight w:val="yellow"/>
        </w:rPr>
        <w:t>in</w:t>
      </w:r>
      <w:r w:rsidRPr="00303F97">
        <w:rPr>
          <w:b/>
          <w:bCs/>
          <w:spacing w:val="-9"/>
          <w:sz w:val="36"/>
          <w:szCs w:val="32"/>
          <w:highlight w:val="yellow"/>
        </w:rPr>
        <w:t xml:space="preserve"> </w:t>
      </w:r>
      <w:r w:rsidRPr="00303F97">
        <w:rPr>
          <w:b/>
          <w:bCs/>
          <w:sz w:val="36"/>
          <w:szCs w:val="32"/>
          <w:highlight w:val="yellow"/>
        </w:rPr>
        <w:t>Zoology:</w:t>
      </w:r>
      <w:r w:rsidRPr="00303F97">
        <w:rPr>
          <w:b/>
          <w:bCs/>
          <w:spacing w:val="-9"/>
          <w:sz w:val="36"/>
          <w:szCs w:val="32"/>
          <w:highlight w:val="yellow"/>
        </w:rPr>
        <w:t xml:space="preserve"> </w:t>
      </w:r>
      <w:r w:rsidRPr="00303F97">
        <w:rPr>
          <w:b/>
          <w:bCs/>
          <w:sz w:val="36"/>
          <w:szCs w:val="32"/>
          <w:highlight w:val="yellow"/>
        </w:rPr>
        <w:t>Harnessing</w:t>
      </w:r>
      <w:r w:rsidRPr="00303F97">
        <w:rPr>
          <w:b/>
          <w:bCs/>
          <w:spacing w:val="-11"/>
          <w:sz w:val="36"/>
          <w:szCs w:val="32"/>
          <w:highlight w:val="yellow"/>
        </w:rPr>
        <w:t xml:space="preserve"> </w:t>
      </w:r>
      <w:r w:rsidRPr="00303F97">
        <w:rPr>
          <w:b/>
          <w:bCs/>
          <w:sz w:val="36"/>
          <w:szCs w:val="32"/>
          <w:highlight w:val="yellow"/>
        </w:rPr>
        <w:t>CRISPR-Cas</w:t>
      </w:r>
      <w:r w:rsidRPr="00303F97">
        <w:rPr>
          <w:b/>
          <w:bCs/>
          <w:spacing w:val="-2"/>
          <w:sz w:val="36"/>
          <w:szCs w:val="32"/>
          <w:highlight w:val="yellow"/>
        </w:rPr>
        <w:t xml:space="preserve"> </w:t>
      </w:r>
      <w:r w:rsidRPr="00303F97">
        <w:rPr>
          <w:b/>
          <w:bCs/>
          <w:sz w:val="36"/>
          <w:szCs w:val="32"/>
          <w:highlight w:val="yellow"/>
        </w:rPr>
        <w:t>Mechanisms</w:t>
      </w:r>
      <w:r w:rsidRPr="00303F97">
        <w:rPr>
          <w:b/>
          <w:bCs/>
          <w:spacing w:val="-2"/>
          <w:sz w:val="36"/>
          <w:szCs w:val="32"/>
          <w:highlight w:val="yellow"/>
        </w:rPr>
        <w:t xml:space="preserve"> </w:t>
      </w:r>
      <w:r w:rsidRPr="00303F97">
        <w:rPr>
          <w:b/>
          <w:bCs/>
          <w:sz w:val="36"/>
          <w:szCs w:val="32"/>
          <w:highlight w:val="yellow"/>
        </w:rPr>
        <w:t>and</w:t>
      </w:r>
      <w:r w:rsidRPr="00303F97">
        <w:rPr>
          <w:b/>
          <w:bCs/>
          <w:spacing w:val="-2"/>
          <w:sz w:val="36"/>
          <w:szCs w:val="32"/>
          <w:highlight w:val="yellow"/>
        </w:rPr>
        <w:t xml:space="preserve"> Applications</w:t>
      </w:r>
      <w:r w:rsidRPr="00303F97">
        <w:rPr>
          <w:b/>
          <w:bCs/>
          <w:sz w:val="36"/>
          <w:szCs w:val="36"/>
          <w:lang w:eastAsia="en-GB"/>
        </w:rPr>
        <w:t xml:space="preserve"> </w:t>
      </w:r>
    </w:p>
    <w:p w14:paraId="130BB8BB" w14:textId="77777777" w:rsidR="00303F97" w:rsidRDefault="00303F97" w:rsidP="00303F9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p>
    <w:p w14:paraId="2DCCD35E" w14:textId="4AD97288" w:rsidR="00426439" w:rsidRPr="00DE76CD" w:rsidRDefault="00426439" w:rsidP="00303F9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Abstract</w:t>
      </w:r>
    </w:p>
    <w:p w14:paraId="25D585FB"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The advent of CRISPR–Cas genome editing has changed the study of animal biology, turning functional genomics from a discipline constrained by slow forward-genetic screens and bespoke, species-specific reagents into one capable of rapid, programmable, and broadly portable genetic manipulation. This review critically synthesises the past decade of progress in applying CRISPR-based tools across zoology, spanning classical vertebrate model organisms, emerging non-model invertebrates, livestock and aquaculture species, and wildlife populations of direct conservation concern. We examine the expanding molecular toolkit, from nuclease-mediated knockouts through base and prime editing to transcriptional and epigenetic modulation, and consider how these tools have been adapted to taxa as different as zebrafish, cephalopods, reef-building corals, lepidopteran insects, poultry, and large-bodied mammals. Particular attention is given to three areas where functional genomics meets applied zoology and conservation biology most directly: genetic rescue and de-extinction science aimed at restoring genetic diversity or ecological function to imperilled or vanished species; gene drive technologies designed to suppress or modify wild populations of disease vectors and invasive pests; and genome-edited livestock, poultry, and aquaculture stocks engineered for disease resistance, welfare improvement, and production efficiency. We further evaluate methodological advances in detecting and mitigating off-target mutagenesis, the welfare and biosafety implications of intentionally altering the genomes of sentient animals, and the evolving regulatory landscape governing genome-edited organisms in agriculture, biomedicine, and the environment. Throughout, we take a critical stance, weighing demonstrated efficacy against persistent technical limitations, ecological uncertainty, and unresolved ethical questions. We conclude that CRISPR-based functional genomics has reshaped zoological enquiry in ways unlikely to be reversed, yet its translation into field-deployed conservation and agricultural interventions remains constrained by incomplete ecological risk assessment, uneven regulatory harmonisation, and the biological idiosyncrasies of non-model taxa that resist easy extrapolation from laboratory systems.</w:t>
      </w:r>
    </w:p>
    <w:p w14:paraId="0B81B6F1"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b/>
          <w:bCs/>
          <w:sz w:val="24"/>
          <w:szCs w:val="24"/>
          <w:lang w:eastAsia="en-GB"/>
        </w:rPr>
        <w:t>Keywords:</w:t>
      </w:r>
      <w:r w:rsidRPr="00DE76CD">
        <w:rPr>
          <w:rFonts w:ascii="Times New Roman" w:eastAsia="Times New Roman" w:hAnsi="Times New Roman" w:cs="Times New Roman"/>
          <w:sz w:val="24"/>
          <w:szCs w:val="24"/>
          <w:lang w:eastAsia="en-GB"/>
        </w:rPr>
        <w:t xml:space="preserve"> CRISPR-Cas9; functional genomics; zoology; gene drive; conservation genomics; genome editing; livestock biotechnology; off-target effects</w:t>
      </w:r>
    </w:p>
    <w:p w14:paraId="0A53FD57" w14:textId="77777777" w:rsidR="00426439" w:rsidRPr="00DE76CD" w:rsidRDefault="00426439" w:rsidP="009376E5">
      <w:pPr>
        <w:spacing w:after="0" w:line="240" w:lineRule="auto"/>
        <w:jc w:val="both"/>
        <w:rPr>
          <w:rFonts w:ascii="Times New Roman" w:eastAsia="Times New Roman" w:hAnsi="Times New Roman" w:cs="Times New Roman"/>
          <w:sz w:val="24"/>
          <w:szCs w:val="24"/>
          <w:lang w:eastAsia="en-GB"/>
        </w:rPr>
      </w:pPr>
    </w:p>
    <w:p w14:paraId="532AB883" w14:textId="77777777" w:rsidR="00426439" w:rsidRPr="00DE76CD" w:rsidRDefault="00426439" w:rsidP="009376E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1. Introduction</w:t>
      </w:r>
    </w:p>
    <w:p w14:paraId="28F5657D"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1.1 The functional genomics imperative in animal biology</w:t>
      </w:r>
    </w:p>
    <w:p w14:paraId="69433577" w14:textId="77777777" w:rsidR="00426439" w:rsidRPr="009376E5"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376E5">
        <w:rPr>
          <w:rFonts w:ascii="Times New Roman" w:eastAsia="Times New Roman" w:hAnsi="Times New Roman" w:cs="Times New Roman"/>
          <w:sz w:val="24"/>
          <w:szCs w:val="24"/>
          <w:lang w:eastAsia="en-GB"/>
        </w:rPr>
        <w:t xml:space="preserve">Sequencing an animal's genome has, over the past two decades, become far easier than working out what most of that genome actually does. Knowing the order of nucleotides is the necessary first step towards understanding an organism, but it is not sufficient: most genes identified through comparative and population genomic surveys still lack experimentally validated functions, and a still larger fraction of non-coding regulatory sequence remains entirely uncharacterised. Functional genomics exists to close this gap. It uses systematic </w:t>
      </w:r>
      <w:r w:rsidRPr="009376E5">
        <w:rPr>
          <w:rFonts w:ascii="Times New Roman" w:eastAsia="Times New Roman" w:hAnsi="Times New Roman" w:cs="Times New Roman"/>
          <w:sz w:val="24"/>
          <w:szCs w:val="24"/>
          <w:lang w:eastAsia="en-GB"/>
        </w:rPr>
        <w:lastRenderedPageBreak/>
        <w:t>perturbation of genes, regulatory elements, and gene networks to connect genotype with phenotype across development, physiology, behaviour, and disease. For zoology specifically, this work is complicated by the sheer diversity of animal life: a tool validated in a laboratory mouse cannot simply be assumed to work with the same efficiency in a coral polyp, a parasitic wasp, or an endangered rhinoceros, each of which brings its own reproductive biology, genome architecture, and practical constraints on what experiments are even feasible.</w:t>
      </w:r>
      <w:r w:rsidRPr="009376E5">
        <w:rPr>
          <w:highlight w:val="yellow"/>
        </w:rPr>
        <w:t xml:space="preserve"> Recent reviews similarly indicate that CRISPR-based systems now extend beyond nuclease-mediated disruption to include programmable genome, epigenome and transcriptome editing, while still requiring context-specific validation before gene function can be inferred across diverse biological systems (Villiger et al., 2024; Pacesa et al., 2024).</w:t>
      </w:r>
    </w:p>
    <w:p w14:paraId="5266F3E4"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Before programmable nucleases existed, functional genetic analysis in most animal taxa depended on slow, imprecise, or simply unavailable methods. Chemical and radiation mutagenesis screens, transient knockdown using RNA interference or morpholino oligonucleotides, and the painstaking business of homologous recombination in embryonic stem cells together made up the working toolkit of animal geneticists for much of the twentieth century. With rare exceptions, none of this was applicable beyond a handful of intensively studied model species. The result was a striking asymmetry in biological knowledge: deep mechanistic understanding accumulated for organisms such as the mouse, the zebrafish, and the fruit fly, while the great majority of animal diversity, including taxa of considerable ecological and economic importance, remained essentially a functional black box.</w:t>
      </w:r>
    </w:p>
    <w:p w14:paraId="52A74D9D"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1.2 From zinc-finger nucleases to CRISPR: a paradigm shift</w:t>
      </w:r>
    </w:p>
    <w:p w14:paraId="77596D6D"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Customisable nucleases such as zinc-finger nucleases and transcription activator-like effector nucleases offered an initial route towards targeted mutagenesis in a wider range of organisms, but each new target sequence required a freshly engineered DNA-binding protein, a constraint that made these tools slow, expensive, and accessible mainly to laboratories with substantial protein-engineering expertise (Varshney &amp; Burgess, 2025). The discovery that CRISPR–Cas9 could instead be reprogrammed using a short synthetic guide RNA, rather than a bespoke protein, to direct sequence-specific DNA cleavage changed this picture almost overnight. Designing a new guide requires only a basic understanding of the target locus and can be done within days at minimal cost, and this simplicity explains why uptake of CRISPR–Cas9 across virtually every taxon for which embryos, gametes, or cultured cells could be obtained happened so quickly (Varshney &amp; Burgess, 2025). Within roughly a decade of the first demonstrations of CRISPR-mediated mutagenesis in zebrafish and mammalian cells, the technology had been deployed successfully in organisms as varied as butterflies, squid, corals, poultry, and pigs, fundamentally shifting what is feasible in zoological functional genetics.</w:t>
      </w:r>
      <w:r>
        <w:rPr>
          <w:b/>
          <w:highlight w:val="yellow"/>
        </w:rPr>
        <w:t xml:space="preserve"> </w:t>
      </w:r>
      <w:r w:rsidRPr="009376E5">
        <w:rPr>
          <w:bCs/>
          <w:highlight w:val="yellow"/>
        </w:rPr>
        <w:t>Assessments of CRISPR's first decade have likewise emphasised that the platform's value lies not only in rapid target design, but also in the continuing refinement of editing precision, delivery and interpretation across animals, plants and human cells (Wang &amp; Doudna, 2023).</w:t>
      </w:r>
    </w:p>
    <w:p w14:paraId="3CC7F64B" w14:textId="77777777" w:rsidR="00426439" w:rsidRPr="009376E5" w:rsidRDefault="00426439" w:rsidP="009376E5">
      <w:pPr>
        <w:spacing w:before="100" w:beforeAutospacing="1" w:after="100" w:afterAutospacing="1" w:line="240" w:lineRule="auto"/>
        <w:jc w:val="both"/>
        <w:rPr>
          <w:rFonts w:ascii="Times New Roman" w:eastAsia="Times New Roman" w:hAnsi="Times New Roman" w:cs="Times New Roman"/>
          <w:bCs/>
          <w:sz w:val="24"/>
          <w:szCs w:val="24"/>
          <w:lang w:eastAsia="en-GB"/>
        </w:rPr>
      </w:pPr>
      <w:r w:rsidRPr="00DE76CD">
        <w:rPr>
          <w:rFonts w:ascii="Times New Roman" w:eastAsia="Times New Roman" w:hAnsi="Times New Roman" w:cs="Times New Roman"/>
          <w:sz w:val="24"/>
          <w:szCs w:val="24"/>
          <w:lang w:eastAsia="en-GB"/>
        </w:rPr>
        <w:t>This review considers the resulting body of work critically, asking not merely what CRISPR-based tools can in principle achieve in animals, but what they have actually achieved, where the technology continues to underperform expectations, and what risks and open questions accompany its application to organisms ranging from laboratory models to wild and domesticated populations of direct conservation, agricultural, or biomedical significance.</w:t>
      </w:r>
      <w:r>
        <w:rPr>
          <w:b/>
          <w:highlight w:val="yellow"/>
        </w:rPr>
        <w:t xml:space="preserve"> </w:t>
      </w:r>
      <w:r w:rsidRPr="009376E5">
        <w:rPr>
          <w:bCs/>
          <w:highlight w:val="yellow"/>
        </w:rPr>
        <w:t xml:space="preserve">For applied animal systems, recent evidence also indicates that CRISPR/Cas9 has become the most </w:t>
      </w:r>
      <w:r w:rsidRPr="009376E5">
        <w:rPr>
          <w:bCs/>
          <w:highlight w:val="yellow"/>
        </w:rPr>
        <w:lastRenderedPageBreak/>
        <w:t>commonly reported genome-editing system in peer-reviewed agricultural-animal studies, although the relevance of each edit remains shaped by species-specific biology and production context (Ledesma &amp; Van Eenennaam, 2024).</w:t>
      </w:r>
    </w:p>
    <w:p w14:paraId="5E407349"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1.3 Scope and objectives</w:t>
      </w:r>
    </w:p>
    <w:p w14:paraId="6993A1C4" w14:textId="77777777" w:rsidR="00C95C06" w:rsidRPr="009376E5" w:rsidRDefault="00000000" w:rsidP="009376E5">
      <w:pPr>
        <w:spacing w:before="100" w:after="100" w:line="240" w:lineRule="auto"/>
        <w:jc w:val="both"/>
        <w:rPr>
          <w:bCs/>
        </w:rPr>
      </w:pPr>
      <w:r w:rsidRPr="009376E5">
        <w:rPr>
          <w:bCs/>
          <w:highlight w:val="yellow"/>
        </w:rPr>
        <w:t>Although the manuscript synthesises a broad and rapidly expanding body of CRISPR-Cas research, a clear research gap remains in the uneven translation of experimentally validated genome-editing tools from established model organisms to non-model, domesticated and ecologically embedded animal taxa, where reproductive biology, delivery constraints, welfare considerations and ecological risk assessment continue to limit direct extrapolation.</w:t>
      </w:r>
    </w:p>
    <w:p w14:paraId="5FB1CBC5"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This article reviews the principal applications of CRISPR–Cas genome editing to functional genomics across zoology, drawing mainly on literature published within roughly the past decade. The structure moves outward from the molecular toolkit itself, through its use in classical and emerging model organisms, towards increasingly applied domains: livestock and aquaculture improvement, conservation genomics and de-extinction science, gene drive technologies for vector and pest control, and genome-edited animals at the interface with human biomedicine through avian disease resistance research and xenotransplantation. Later sections address the methodological challenge of off-target mutagenesis and its detection, before turning to the ethical, welfare, and regulatory dimensions that necessarily accompany any technology able to alter heritable genomes in sentient and ecologically embedded organisms. Throughout, the aim is critical evaluation rather than simple cataloguing: to weigh the strength of the evidence behind claimed applications, to identify the technical and biological constraints that keep recurring when laboratory work is translated towards field or commercial deployment, and to flag areas where scientific capability has run ahead of ecological understanding or regulatory clarity. The review does not address plant biotechnology, microbial genome editing, or human clinical gene therapy except where these intersect directly with zoological applications, such as xenotransplantation donor engineering.</w:t>
      </w:r>
    </w:p>
    <w:p w14:paraId="42E3302A" w14:textId="77777777" w:rsidR="00426439" w:rsidRPr="00DE76CD" w:rsidRDefault="00426439" w:rsidP="009376E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2. Methods for Literature Selection</w:t>
      </w:r>
    </w:p>
    <w:p w14:paraId="20BB8ECE"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This article adopts a narrative rather than a systematic review methodology. A systematic review protocol, with its emphasis on exhaustive retrieval and quantitative synthesis around a narrowly defined question, is poorly suited to a topic as methodologically and taxonomically varied as the application of CRISPR–Cas genome editing across the whole of zoology. The aim here is instead to synthesise, contextualise, and critically evaluate developments spanning molecular toolkits, model organism research, applied animal biotechnology, conservation science, and regulatory policy, a task for which a narrative approach offers more interpretive flexibility while still demanding transparency in how sources were chosen. This choice follows established methodological guidance arguing that systematic and narrative reviews serve genuinely different purposes, with the former best suited to summarising data on a narrow question and the latter better suited to building and critiquing understanding across a more heterogeneous evidence base (Greenhalgh et al., 2018), a distinction that closely matches the aims of the present review.</w:t>
      </w:r>
    </w:p>
    <w:p w14:paraId="56623C9E"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Literature was identified through systematic searches of Web of Science, Scopus, Google Scholar, and PubMed, supplemented by searches of five field-specific indexing resources chosen for their relevance to the sub-disciplines covered here: a zoological and animal-science literature database, an agricultural and veterinary science index, a conservation- and </w:t>
      </w:r>
      <w:r w:rsidRPr="00DE76CD">
        <w:rPr>
          <w:rFonts w:ascii="Times New Roman" w:eastAsia="Times New Roman" w:hAnsi="Times New Roman" w:cs="Times New Roman"/>
          <w:sz w:val="24"/>
          <w:szCs w:val="24"/>
          <w:lang w:eastAsia="en-GB"/>
        </w:rPr>
        <w:lastRenderedPageBreak/>
        <w:t>ecology-focused bibliographic database, an aquaculture and fisheries science index, and a regulatory and biosafety document repository maintained by relevant intergovernmental bodies. Search strings combined the core terms "CRISPR" OR "CRISPR-Cas9" OR "genome editing" OR "gene editing" with taxon- or application-specific terms including, but not limited to, "functional genomics," "zoology," "animal model," "livestock," "aquaculture," "gene drive," "conservation genomics," "de-extinction," "xenotransplantation," "off-target," and "ecological risk assessment." Boolean operators and truncation were used to capture morphological variants, and the reference lists of retrieved reviews were hand-searched to identify additional primary literature meeting the inclusion criteria.</w:t>
      </w:r>
    </w:p>
    <w:p w14:paraId="11BC53B1"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The search was bounded chronologically from 2012 onward, the year in which the foundational demonstration of programmable RNA-guided DNA cleavage by Cas9 was published, marking the technological starting point from which essentially all subsequent zoological applications of CRISPR-based functional genomics descend. This was judged the most defensible lower boundary for a review whose subject matter is, by definition, a post-2012 technology, although a small number of older references on gene drive theory and pre-CRISPR genome editing were retained where necessary for historical and mechanistic context. The search concluded shortly before manuscript preparation.</w:t>
      </w:r>
    </w:p>
    <w:p w14:paraId="00E35C0F"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Inclusion criteria comprised original peer-reviewed research articles, peer-reviewed review articles, and peer-reviewed editorials published in indexed academic journals, together with authoritative institutional or intergovernmental reports possessing a verifiable digital object identifier or institutional web address, such as scientific opinions issued by recognised food and environmental safety authorities. Books and book chapters, conference proceedings and abstracts, trade and popular-science publications, preprints that had not yet undergone peer review, patents, and other grey literature lacking formal peer review were excluded, in keeping with the editorial scope of this review. Studies published only in languages other than English were also excluded, given practical constraints on translation and verification, though no clear evidence emerged during screening to suggest that this restriction introduced substantial thematic bias, since the great majority of high-impact primary research and review literature in this field appears in English-language venues.</w:t>
      </w:r>
    </w:p>
    <w:p w14:paraId="2D4F6C1D"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Screening proceeded in two stages. Titles and abstracts retrieved from each database were first screened for topical relevance to CRISPR-based functional genomics in animal taxa, after which the full texts of provisionally relevant records were assessed against the inclusion and exclusion criteria above. Duplicate records retrieved across multiple databases were identified by digital object identifier matching and retained only once. Where several studies addressed substantially overlapping empirical questions, preference was given to the most methodologically rigorous, most recent, or most highly cited study, with earlier or more preliminary work retained only where it offered necessary mechanistic or developmental context. Studies judged influential, meaning that they introduced a technique subsequently adopted across multiple laboratories or taxa, reported the first successful application of genome editing in a previously intractable species, or materially shaped scientific or regulatory debate on a given application, were prioritised for inclusion regardless of publication date, in keeping with standard practice for narrative synthesis of fast-moving technical fields.</w:t>
      </w:r>
    </w:p>
    <w:p w14:paraId="5AF36502" w14:textId="77777777" w:rsidR="00426439" w:rsidRPr="00DE76CD" w:rsidRDefault="00426439" w:rsidP="009376E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3. The CRISPR–Cas Toolkit for Functional Genomics in Animals</w:t>
      </w:r>
    </w:p>
    <w:p w14:paraId="4676E637"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3.1 Nuclease-mediated mutagenesis and the choice of repair pathway</w:t>
      </w:r>
    </w:p>
    <w:p w14:paraId="5A6A9E1A"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lastRenderedPageBreak/>
        <w:t>The core mechanism behind most CRISPR-based functional genomic work in animals is still the induction of a programmable double-stranded DNA break by the Streptococcus pyogenes Cas9 endonuclease, guided to its target locus by a short synthetic guide RNA bearing roughly twenty nucleotides of sequence complementarity (Varshney &amp; Burgess, 2025). Once formed, that break is resolved by one of several competing cellular repair pathways, and which pathway wins out determines what kind of genetic change results. Non-homologous end joining, the dominant route in vertebrate somatic and germ cells, typically introduces small insertions or deletions at the cut site, producing frameshift mutations that disrupt gene function and generate a functional knockout; this pathway underlies the great majority of loss-of-function studies conducted across vertebrate and invertebrate taxa to date (Varshney &amp; Burgess, 2025). Where a more precise change is needed, researchers instead supply an exogenous repair template and exploit homology-directed repair to introduce defined point mutations, epitope tags, or reporter constructs at the target locus. This pathway is markedly less efficient than non-homologous end joining in most somatic contexts but has nonetheless been harnessed successfully for knock-in work in zebrafish, mice, and a growing list of other species (Varshney &amp; Burgess, 2025). A third route, microhomology-mediated end joining, has proved useful for generating larger deletions or templated insertions that exploit short flanking homology arms, and underlies several efficient knock-in strategies developed for zebrafish and other model organisms over the past decade.</w:t>
      </w:r>
    </w:p>
    <w:p w14:paraId="47402848"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 practical complication running through all three repair routes is that S. pyogenes Cas9 only recognises target sequences immediately preceded by a specific protospacer-adjacent motif, which restricts how much of any given genome is directly accessible to editing and complicates guide design in gene-rich or adenine-thymine-rich regions (Varshney &amp; Burgess, 2025). Researchers have tackled this in two complementary ways: by characterising naturally occurring Cas9 orthologues from other bacterial species, which recognise different protospacer-adjacent motifs and, in several cases, offer the further advantage of a smaller protein size more easily packaged into viral delivery vectors; and by engineering Cas9 variants and related Cas12 family enzymes that tolerate alternative or relaxed motif requirements while introducing staggered, rather than blunt, double-stranded breaks that can ease more precise homology-directed insertion (Varshney &amp; Burgess, 2025).</w:t>
      </w:r>
    </w:p>
    <w:p w14:paraId="03562E06"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3.2 Base editing and prime editing: precision without double-stranded breaks</w:t>
      </w:r>
    </w:p>
    <w:p w14:paraId="1C3043D2"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Most disease-relevant and trait-relevant genetic variation in animals consists of single-nucleotide substitutions rather than larger insertions or deletions, and double-stranded breaks carry an inherent risk of unintended large-scale genomic rearrangement. For these two reasons, the development of base editing and prime editing has been widely seen as a major step forward for precision functional genomics. Base editors couple a catalytically impaired, </w:t>
      </w:r>
      <w:proofErr w:type="spellStart"/>
      <w:r w:rsidRPr="00DE76CD">
        <w:rPr>
          <w:rFonts w:ascii="Times New Roman" w:eastAsia="Times New Roman" w:hAnsi="Times New Roman" w:cs="Times New Roman"/>
          <w:sz w:val="24"/>
          <w:szCs w:val="24"/>
          <w:lang w:eastAsia="en-GB"/>
        </w:rPr>
        <w:t>nickase</w:t>
      </w:r>
      <w:proofErr w:type="spellEnd"/>
      <w:r w:rsidRPr="00DE76CD">
        <w:rPr>
          <w:rFonts w:ascii="Times New Roman" w:eastAsia="Times New Roman" w:hAnsi="Times New Roman" w:cs="Times New Roman"/>
          <w:sz w:val="24"/>
          <w:szCs w:val="24"/>
          <w:lang w:eastAsia="en-GB"/>
        </w:rPr>
        <w:t xml:space="preserve"> form of Cas9 to a deaminase enzyme, allowing one nucleotide base to be converted chemically into another without requiring a double-stranded break or a donor repair template. Cytosine base editors catalyse cytosine-to-thymine conversions, while adenine base editors achieve the complementary adenine-to-guanine substitution, and successive generations of both editor classes have progressively narrowed the editing window and reduced unwanted bystander mutations through protein engineering and directed evolution (Varshney &amp; Burgess, 2025). These tools have already been used in zebrafish to model human disease-associated point mutations with substantially higher efficiency than earlier homology-directed knock-in approaches, and in mice to correct or introduce pathogenic substitutions underlying conditions including spinal muscular atrophy, amyotrophic lateral sclerosis, and </w:t>
      </w:r>
      <w:r w:rsidRPr="00DE76CD">
        <w:rPr>
          <w:rFonts w:ascii="Times New Roman" w:eastAsia="Times New Roman" w:hAnsi="Times New Roman" w:cs="Times New Roman"/>
          <w:sz w:val="24"/>
          <w:szCs w:val="24"/>
          <w:lang w:eastAsia="en-GB"/>
        </w:rPr>
        <w:lastRenderedPageBreak/>
        <w:t>Hutchinson–Gilford progeria syndrome, each time yielding measurable physiological and survival benefits in the treated animals (Varshney &amp; Burgess, 2025).</w:t>
      </w:r>
    </w:p>
    <w:p w14:paraId="02A68624"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Prime editing pushes this precision further still, combining a Cas9 </w:t>
      </w:r>
      <w:proofErr w:type="spellStart"/>
      <w:r w:rsidRPr="00DE76CD">
        <w:rPr>
          <w:rFonts w:ascii="Times New Roman" w:eastAsia="Times New Roman" w:hAnsi="Times New Roman" w:cs="Times New Roman"/>
          <w:sz w:val="24"/>
          <w:szCs w:val="24"/>
          <w:lang w:eastAsia="en-GB"/>
        </w:rPr>
        <w:t>nickase</w:t>
      </w:r>
      <w:proofErr w:type="spellEnd"/>
      <w:r w:rsidRPr="00DE76CD">
        <w:rPr>
          <w:rFonts w:ascii="Times New Roman" w:eastAsia="Times New Roman" w:hAnsi="Times New Roman" w:cs="Times New Roman"/>
          <w:sz w:val="24"/>
          <w:szCs w:val="24"/>
          <w:lang w:eastAsia="en-GB"/>
        </w:rPr>
        <w:t xml:space="preserve"> fused to an engineered reverse transcriptase with an extended prime editing guide RNA that both specifies the target site and encodes the desired edit, enabling targeted insertions, deletions, and all twelve possible base-to-base conversions through a search-and-replace mechanism that, again, avoids double-stranded breaks (Varshney &amp; Burgess, 2025). Although prime editing has been demonstrated successfully in mammalian cell culture and in a growing number of animal models, its adoption across the wider range of zoological taxa considered in this review remains fairly limited, reflecting both the technical demands of optimising a more complex multicomponent reagent and the relative youth of the technology.</w:t>
      </w:r>
    </w:p>
    <w:p w14:paraId="4974C50E"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3.3 Transcriptional and epigenetic modulation</w:t>
      </w:r>
    </w:p>
    <w:p w14:paraId="1FB889D9"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Beyond directly altering sequence, catalytically inactivated, or "dead," Cas9 can still be guided to a specific genomic locus without cutting DNA, providing a versatile scaffold for transcriptional and epigenetic manipulation. Fused to a transcriptional repressor domain, dead Cas9 mediates CRISPR interference, allowing reversible, dose-</w:t>
      </w:r>
      <w:proofErr w:type="spellStart"/>
      <w:r w:rsidRPr="00DE76CD">
        <w:rPr>
          <w:rFonts w:ascii="Times New Roman" w:eastAsia="Times New Roman" w:hAnsi="Times New Roman" w:cs="Times New Roman"/>
          <w:sz w:val="24"/>
          <w:szCs w:val="24"/>
          <w:lang w:eastAsia="en-GB"/>
        </w:rPr>
        <w:t>tunable</w:t>
      </w:r>
      <w:proofErr w:type="spellEnd"/>
      <w:r w:rsidRPr="00DE76CD">
        <w:rPr>
          <w:rFonts w:ascii="Times New Roman" w:eastAsia="Times New Roman" w:hAnsi="Times New Roman" w:cs="Times New Roman"/>
          <w:sz w:val="24"/>
          <w:szCs w:val="24"/>
          <w:lang w:eastAsia="en-GB"/>
        </w:rPr>
        <w:t xml:space="preserve"> silencing of a target gene without permanently altering the underlying sequence; fused instead to a transcriptional activator domain, it enables CRISPR activation, in which expression of an endogenous gene is increased from its native genomic context (Varshney &amp; Burgess, 2025). Related fusions to epigenetic modifying enzymes allow the targeted installation or removal of DNA methylation and other chromatin marks, offering a way to study the functional consequences of epigenetic regulation independently of the underlying DNA sequence. These transcriptional and epigenetic tools remain considerably less widely used in non-mammalian zoological systems than nuclease-mediated mutagenesis, but their ability to interrogate gene regulatory networks without permanent genetic change makes them an important complement to the knockout-centred approaches that still dominate functional genomics in most animal taxa.</w:t>
      </w:r>
    </w:p>
    <w:p w14:paraId="058D198F"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b/>
          <w:bCs/>
          <w:sz w:val="24"/>
          <w:szCs w:val="24"/>
          <w:lang w:eastAsia="en-GB"/>
        </w:rPr>
        <w:t>Table 1. Principal classes of CRISPR-based molecular tools applied in zoological functional genomics</w:t>
      </w:r>
    </w:p>
    <w:tbl>
      <w:tblPr>
        <w:tblStyle w:val="MediumShading1-Accent1"/>
        <w:tblW w:w="0" w:type="auto"/>
        <w:tblLook w:val="04A0" w:firstRow="1" w:lastRow="0" w:firstColumn="1" w:lastColumn="0" w:noHBand="0" w:noVBand="1"/>
      </w:tblPr>
      <w:tblGrid>
        <w:gridCol w:w="1912"/>
        <w:gridCol w:w="2207"/>
        <w:gridCol w:w="2513"/>
        <w:gridCol w:w="2610"/>
      </w:tblGrid>
      <w:tr w:rsidR="00426439" w:rsidRPr="00DE76CD" w14:paraId="643302DE" w14:textId="77777777" w:rsidTr="00DE76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1A409E" w14:textId="77777777" w:rsidR="00426439" w:rsidRPr="00DE76CD" w:rsidRDefault="00426439" w:rsidP="009376E5">
            <w:pPr>
              <w:jc w:val="both"/>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Tool class</w:t>
            </w:r>
          </w:p>
        </w:tc>
        <w:tc>
          <w:tcPr>
            <w:tcW w:w="0" w:type="auto"/>
            <w:hideMark/>
          </w:tcPr>
          <w:p w14:paraId="372DB3AF" w14:textId="77777777" w:rsidR="00426439" w:rsidRPr="00DE76CD" w:rsidRDefault="00426439" w:rsidP="009376E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Molecular mechanism</w:t>
            </w:r>
          </w:p>
        </w:tc>
        <w:tc>
          <w:tcPr>
            <w:tcW w:w="0" w:type="auto"/>
            <w:hideMark/>
          </w:tcPr>
          <w:p w14:paraId="6F530295" w14:textId="77777777" w:rsidR="00426439" w:rsidRPr="00DE76CD" w:rsidRDefault="00426439" w:rsidP="009376E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Typical genetic outcome</w:t>
            </w:r>
          </w:p>
        </w:tc>
        <w:tc>
          <w:tcPr>
            <w:tcW w:w="0" w:type="auto"/>
            <w:hideMark/>
          </w:tcPr>
          <w:p w14:paraId="5E970F4E" w14:textId="77777777" w:rsidR="00426439" w:rsidRPr="00DE76CD" w:rsidRDefault="00426439" w:rsidP="009376E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Representative zoological application</w:t>
            </w:r>
          </w:p>
        </w:tc>
      </w:tr>
      <w:tr w:rsidR="00426439" w:rsidRPr="00DE76CD" w14:paraId="126F408F"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01EF32"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Cas9 nuclease (NHEJ-mediated)</w:t>
            </w:r>
          </w:p>
        </w:tc>
        <w:tc>
          <w:tcPr>
            <w:tcW w:w="0" w:type="auto"/>
            <w:hideMark/>
          </w:tcPr>
          <w:p w14:paraId="2941FDE6"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Double-stranded break repaired by non-homologous end joining</w:t>
            </w:r>
          </w:p>
        </w:tc>
        <w:tc>
          <w:tcPr>
            <w:tcW w:w="0" w:type="auto"/>
            <w:hideMark/>
          </w:tcPr>
          <w:p w14:paraId="63B624E3"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Small insertions/deletions causing gene knockout</w:t>
            </w:r>
          </w:p>
        </w:tc>
        <w:tc>
          <w:tcPr>
            <w:tcW w:w="0" w:type="auto"/>
            <w:hideMark/>
          </w:tcPr>
          <w:p w14:paraId="5DB20B7A"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High-throughput F0 mosaic knockout screening in zebrafish</w:t>
            </w:r>
          </w:p>
        </w:tc>
      </w:tr>
      <w:tr w:rsidR="00426439" w:rsidRPr="00DE76CD" w14:paraId="7CD545C2"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0C5D61"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Cas9 nuclease with donor template (HDR-mediated)</w:t>
            </w:r>
          </w:p>
        </w:tc>
        <w:tc>
          <w:tcPr>
            <w:tcW w:w="0" w:type="auto"/>
            <w:hideMark/>
          </w:tcPr>
          <w:p w14:paraId="62672B40"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Double-stranded break repaired using homology-directed repair</w:t>
            </w:r>
          </w:p>
        </w:tc>
        <w:tc>
          <w:tcPr>
            <w:tcW w:w="0" w:type="auto"/>
            <w:hideMark/>
          </w:tcPr>
          <w:p w14:paraId="2AF32E5D"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Precise point mutation, epitope tag, or transgene knock-in</w:t>
            </w:r>
          </w:p>
        </w:tc>
        <w:tc>
          <w:tcPr>
            <w:tcW w:w="0" w:type="auto"/>
            <w:hideMark/>
          </w:tcPr>
          <w:p w14:paraId="4E465FC7"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Disease-model knock-in alleles in zebrafish and mice</w:t>
            </w:r>
          </w:p>
        </w:tc>
      </w:tr>
      <w:tr w:rsidR="00426439" w:rsidRPr="00DE76CD" w14:paraId="11147D3B"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E215F8"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Cytosine and adenine base editors</w:t>
            </w:r>
          </w:p>
        </w:tc>
        <w:tc>
          <w:tcPr>
            <w:tcW w:w="0" w:type="auto"/>
            <w:hideMark/>
          </w:tcPr>
          <w:p w14:paraId="2871938D"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DE76CD">
              <w:rPr>
                <w:rFonts w:ascii="Times New Roman" w:eastAsia="Times New Roman" w:hAnsi="Times New Roman" w:cs="Times New Roman"/>
                <w:sz w:val="24"/>
                <w:szCs w:val="24"/>
                <w:lang w:eastAsia="en-GB"/>
              </w:rPr>
              <w:t>Nickase</w:t>
            </w:r>
            <w:proofErr w:type="spellEnd"/>
            <w:r w:rsidRPr="00DE76CD">
              <w:rPr>
                <w:rFonts w:ascii="Times New Roman" w:eastAsia="Times New Roman" w:hAnsi="Times New Roman" w:cs="Times New Roman"/>
                <w:sz w:val="24"/>
                <w:szCs w:val="24"/>
                <w:lang w:eastAsia="en-GB"/>
              </w:rPr>
              <w:t>-deaminase fusion; chemical base conversion without double-stranded break</w:t>
            </w:r>
          </w:p>
        </w:tc>
        <w:tc>
          <w:tcPr>
            <w:tcW w:w="0" w:type="auto"/>
            <w:hideMark/>
          </w:tcPr>
          <w:p w14:paraId="28365480"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Single-nucleotide substitution</w:t>
            </w:r>
          </w:p>
        </w:tc>
        <w:tc>
          <w:tcPr>
            <w:tcW w:w="0" w:type="auto"/>
            <w:hideMark/>
          </w:tcPr>
          <w:p w14:paraId="475488E4"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Modelling and correcting pathogenic point mutations in mouse models of neuromuscular disease</w:t>
            </w:r>
          </w:p>
        </w:tc>
      </w:tr>
      <w:tr w:rsidR="00426439" w:rsidRPr="00DE76CD" w14:paraId="7496C581"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14F136"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Prime editors</w:t>
            </w:r>
          </w:p>
        </w:tc>
        <w:tc>
          <w:tcPr>
            <w:tcW w:w="0" w:type="auto"/>
            <w:hideMark/>
          </w:tcPr>
          <w:p w14:paraId="707687F8"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proofErr w:type="spellStart"/>
            <w:r w:rsidRPr="00DE76CD">
              <w:rPr>
                <w:rFonts w:ascii="Times New Roman" w:eastAsia="Times New Roman" w:hAnsi="Times New Roman" w:cs="Times New Roman"/>
                <w:sz w:val="24"/>
                <w:szCs w:val="24"/>
                <w:lang w:eastAsia="en-GB"/>
              </w:rPr>
              <w:t>Nickase</w:t>
            </w:r>
            <w:proofErr w:type="spellEnd"/>
            <w:r w:rsidRPr="00DE76CD">
              <w:rPr>
                <w:rFonts w:ascii="Times New Roman" w:eastAsia="Times New Roman" w:hAnsi="Times New Roman" w:cs="Times New Roman"/>
                <w:sz w:val="24"/>
                <w:szCs w:val="24"/>
                <w:lang w:eastAsia="en-GB"/>
              </w:rPr>
              <w:t xml:space="preserve">-reverse transcriptase fusion </w:t>
            </w:r>
            <w:r w:rsidRPr="00DE76CD">
              <w:rPr>
                <w:rFonts w:ascii="Times New Roman" w:eastAsia="Times New Roman" w:hAnsi="Times New Roman" w:cs="Times New Roman"/>
                <w:sz w:val="24"/>
                <w:szCs w:val="24"/>
                <w:lang w:eastAsia="en-GB"/>
              </w:rPr>
              <w:lastRenderedPageBreak/>
              <w:t xml:space="preserve">guided by extended </w:t>
            </w:r>
            <w:proofErr w:type="spellStart"/>
            <w:r w:rsidRPr="00DE76CD">
              <w:rPr>
                <w:rFonts w:ascii="Times New Roman" w:eastAsia="Times New Roman" w:hAnsi="Times New Roman" w:cs="Times New Roman"/>
                <w:sz w:val="24"/>
                <w:szCs w:val="24"/>
                <w:lang w:eastAsia="en-GB"/>
              </w:rPr>
              <w:t>pegRNA</w:t>
            </w:r>
            <w:proofErr w:type="spellEnd"/>
          </w:p>
        </w:tc>
        <w:tc>
          <w:tcPr>
            <w:tcW w:w="0" w:type="auto"/>
            <w:hideMark/>
          </w:tcPr>
          <w:p w14:paraId="0E4B2FC1"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lastRenderedPageBreak/>
              <w:t>Targeted insertion, deletion, or any base-</w:t>
            </w:r>
            <w:r w:rsidRPr="00DE76CD">
              <w:rPr>
                <w:rFonts w:ascii="Times New Roman" w:eastAsia="Times New Roman" w:hAnsi="Times New Roman" w:cs="Times New Roman"/>
                <w:sz w:val="24"/>
                <w:szCs w:val="24"/>
                <w:lang w:eastAsia="en-GB"/>
              </w:rPr>
              <w:lastRenderedPageBreak/>
              <w:t>to-base conversion</w:t>
            </w:r>
          </w:p>
        </w:tc>
        <w:tc>
          <w:tcPr>
            <w:tcW w:w="0" w:type="auto"/>
            <w:hideMark/>
          </w:tcPr>
          <w:p w14:paraId="7573BFEC"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lastRenderedPageBreak/>
              <w:t xml:space="preserve">Emerging precision editing in mammalian </w:t>
            </w:r>
            <w:r w:rsidRPr="00DE76CD">
              <w:rPr>
                <w:rFonts w:ascii="Times New Roman" w:eastAsia="Times New Roman" w:hAnsi="Times New Roman" w:cs="Times New Roman"/>
                <w:sz w:val="24"/>
                <w:szCs w:val="24"/>
                <w:lang w:eastAsia="en-GB"/>
              </w:rPr>
              <w:lastRenderedPageBreak/>
              <w:t>cell and embryo models</w:t>
            </w:r>
          </w:p>
        </w:tc>
      </w:tr>
      <w:tr w:rsidR="00426439" w:rsidRPr="00DE76CD" w14:paraId="596714C3"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23E0F8"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lastRenderedPageBreak/>
              <w:t>CRISPR interference / activation (dCas9 fusions)</w:t>
            </w:r>
          </w:p>
        </w:tc>
        <w:tc>
          <w:tcPr>
            <w:tcW w:w="0" w:type="auto"/>
            <w:hideMark/>
          </w:tcPr>
          <w:p w14:paraId="167A74B8"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Catalytically dead Cas9 fused to repressor or activator domains</w:t>
            </w:r>
          </w:p>
        </w:tc>
        <w:tc>
          <w:tcPr>
            <w:tcW w:w="0" w:type="auto"/>
            <w:hideMark/>
          </w:tcPr>
          <w:p w14:paraId="72DC7C86"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Reversible transcriptional down- or up-regulation</w:t>
            </w:r>
          </w:p>
        </w:tc>
        <w:tc>
          <w:tcPr>
            <w:tcW w:w="0" w:type="auto"/>
            <w:hideMark/>
          </w:tcPr>
          <w:p w14:paraId="0FA21E0A"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Dissection of gene regulatory networks without permanent sequence change</w:t>
            </w:r>
          </w:p>
        </w:tc>
      </w:tr>
      <w:tr w:rsidR="00426439" w:rsidRPr="00DE76CD" w14:paraId="1E215B19"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946058"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Cas12 family nucleases</w:t>
            </w:r>
          </w:p>
        </w:tc>
        <w:tc>
          <w:tcPr>
            <w:tcW w:w="0" w:type="auto"/>
            <w:hideMark/>
          </w:tcPr>
          <w:p w14:paraId="7140F232"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Staggered double-stranded break; T-rich PAM recognition</w:t>
            </w:r>
          </w:p>
        </w:tc>
        <w:tc>
          <w:tcPr>
            <w:tcW w:w="0" w:type="auto"/>
            <w:hideMark/>
          </w:tcPr>
          <w:p w14:paraId="63986D62"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Knockout or facilitated knock-in via staggered cut</w:t>
            </w:r>
          </w:p>
        </w:tc>
        <w:tc>
          <w:tcPr>
            <w:tcW w:w="0" w:type="auto"/>
            <w:hideMark/>
          </w:tcPr>
          <w:p w14:paraId="69A9474E"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Multiplexed editing and expanded targeting range beyond Cas9 PAM constraints</w:t>
            </w:r>
          </w:p>
        </w:tc>
      </w:tr>
    </w:tbl>
    <w:p w14:paraId="00B086CF" w14:textId="194AA4F9"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i/>
          <w:iCs/>
          <w:sz w:val="24"/>
          <w:szCs w:val="24"/>
          <w:lang w:eastAsia="en-GB"/>
        </w:rPr>
        <w:t>Sources: Varshney and Burgess (2025); Zhu et al. (</w:t>
      </w:r>
      <w:r w:rsidR="00BB0DD0" w:rsidRPr="00BB0DD0">
        <w:rPr>
          <w:rFonts w:ascii="Times New Roman" w:eastAsia="Times New Roman" w:hAnsi="Times New Roman" w:cs="Times New Roman"/>
          <w:i/>
          <w:iCs/>
          <w:sz w:val="24"/>
          <w:szCs w:val="24"/>
          <w:lang w:eastAsia="en-GB"/>
        </w:rPr>
        <w:t>202</w:t>
      </w:r>
      <w:r w:rsidR="00BB0DD0">
        <w:rPr>
          <w:rFonts w:ascii="Times New Roman" w:eastAsia="Times New Roman" w:hAnsi="Times New Roman" w:cs="Times New Roman"/>
          <w:i/>
          <w:iCs/>
          <w:sz w:val="24"/>
          <w:szCs w:val="24"/>
          <w:lang w:eastAsia="en-GB"/>
        </w:rPr>
        <w:t>5</w:t>
      </w:r>
      <w:r w:rsidRPr="00DE76CD">
        <w:rPr>
          <w:rFonts w:ascii="Times New Roman" w:eastAsia="Times New Roman" w:hAnsi="Times New Roman" w:cs="Times New Roman"/>
          <w:i/>
          <w:iCs/>
          <w:sz w:val="24"/>
          <w:szCs w:val="24"/>
          <w:lang w:eastAsia="en-GB"/>
        </w:rPr>
        <w:t>); Zou et al. (2023).</w:t>
      </w:r>
    </w:p>
    <w:p w14:paraId="0F305392"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Table 1 lays out, in summary, just how broad this toolkit has become: at one end sits blunt, highly efficient gene disruption suitable for rapid loss-of-function screening, and at the other end sit increasingly refined editors capable of introducing single-nucleotide changes with minimal collateral mutagenesis. As later sections show, however, the practical uptake of these tools across different animal taxa has been markedly uneven, reflecting both the technical maturity of each editor class and biological constraints, such as embryo accessibility, generation time, and reproductive biology, that differ enormously across the animal kingdom.</w:t>
      </w:r>
    </w:p>
    <w:p w14:paraId="4C02CD80" w14:textId="77777777" w:rsidR="00426439" w:rsidRPr="00DE76CD" w:rsidRDefault="00426439" w:rsidP="009376E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4. Functional Genomics in Vertebrate Model Organisms</w:t>
      </w:r>
    </w:p>
    <w:p w14:paraId="22927517"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4.1 Zebrafish as a paradigm of in vivo functional genomics</w:t>
      </w:r>
    </w:p>
    <w:p w14:paraId="67A2BD62"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hAnsi="Times New Roman" w:cs="Times New Roman"/>
        </w:rPr>
        <w:t xml:space="preserve">Among vertebrate models, the zebrafish, </w:t>
      </w:r>
      <w:r w:rsidRPr="00DE76CD">
        <w:rPr>
          <w:rFonts w:ascii="Times New Roman" w:hAnsi="Times New Roman" w:cs="Times New Roman"/>
          <w:i/>
        </w:rPr>
        <w:t>Danio rerio</w:t>
      </w:r>
      <w:r w:rsidRPr="00DE76CD">
        <w:rPr>
          <w:rFonts w:ascii="Times New Roman" w:hAnsi="Times New Roman" w:cs="Times New Roman"/>
        </w:rPr>
        <w:t>, has arguably gained the most from CRISPR-based functional genomics, for a combination of practical and biological reasons: external fertilisation, optically transparent and rapidly developing embryos, high fecundity, and substantial conservation of gene content and disease-relevant pathways with humans (Choe &amp; Kim, 2023). Roughly seventy per cent of human protein-coding genes have at least one zebrafish ortholog, and a still higher proportion of disease-associated genes are similarly represented, which makes the species an unusually informative platform for translational functional genomics (Carrington et al., 2022). The earliest demonstrations of CRISPR–Cas9-mediated mutagenesis in zebrafish, achieved by co-injecting Cas9 messenger RNA or protein together with synthetic or in vitro transcribed guide RNA into one-cell-stage embryos, quickly gave way to large-scale mutagenesis pipelines able to target hundreds of loci with high efficiency and reliable germline transmission, establishing zebrafish as one of the principal organisms in which genome-wide functional annotation has been pursued systematically (Varshney &amp; Burgess, 2025).</w:t>
      </w:r>
    </w:p>
    <w:p w14:paraId="6948441F"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A particularly consequential innovation has been the rise of so-called </w:t>
      </w:r>
      <w:proofErr w:type="spellStart"/>
      <w:r w:rsidRPr="00DE76CD">
        <w:rPr>
          <w:rFonts w:ascii="Times New Roman" w:eastAsia="Times New Roman" w:hAnsi="Times New Roman" w:cs="Times New Roman"/>
          <w:sz w:val="24"/>
          <w:szCs w:val="24"/>
          <w:lang w:eastAsia="en-GB"/>
        </w:rPr>
        <w:t>crispant</w:t>
      </w:r>
      <w:proofErr w:type="spellEnd"/>
      <w:r w:rsidRPr="00DE76CD">
        <w:rPr>
          <w:rFonts w:ascii="Times New Roman" w:eastAsia="Times New Roman" w:hAnsi="Times New Roman" w:cs="Times New Roman"/>
          <w:sz w:val="24"/>
          <w:szCs w:val="24"/>
          <w:lang w:eastAsia="en-GB"/>
        </w:rPr>
        <w:t xml:space="preserve"> approaches, in which highly efficient biallelic mutagenesis in the injected, first-generation founder embryos themselves allows phenotypic analysis within days rather than the months or years previously needed to establish stable homozygous mutant lines through successive generations of breeding (Varshney &amp; Burgess, 2025). This speed-up has, in turn, made genuinely large-scale reverse genetic screens possible. Researchers have systematically targeted panels of candidate genes implicated in processes ranging from sensory hair cell and retinal regeneration to schizophrenia susceptibility, childhood epilepsy, and skeletal fragility, with each screen yielding functional validation, or refutation, of candidate gene involvement at a throughput that earlier mutagenesis methods simply could not match (Varshney &amp; Burgess, 2025). The robustness of the genotyping underlying these screens has itself become a subject </w:t>
      </w:r>
      <w:r w:rsidRPr="00DE76CD">
        <w:rPr>
          <w:rFonts w:ascii="Times New Roman" w:eastAsia="Times New Roman" w:hAnsi="Times New Roman" w:cs="Times New Roman"/>
          <w:sz w:val="24"/>
          <w:szCs w:val="24"/>
          <w:lang w:eastAsia="en-GB"/>
        </w:rPr>
        <w:lastRenderedPageBreak/>
        <w:t>of methodological scrutiny: comparative evaluations of polymerase chain reaction-based, sequencing-based, and chromatographic genotyping strategies have helped clarify the trade-offs in sensitivity, cost, and throughput that determine which pipeline suits a given screening scale (Carrington et al., 2022). Taken together, this experimental ecosystem, spanning forward and reverse genetic screening, knock-in disease modelling, and base-editing validation of single-nucleotide variants, has consolidated zebrafish as a central pillar of vertebrate functional genomics, a status reflected in the dedication of entire special issues of major genetics journals to consolidating the species' contribution to human disease modelling (Choe &amp; Kim, 2023).</w:t>
      </w:r>
    </w:p>
    <w:p w14:paraId="146A4C34"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4.2 Murine and other mammalian models</w:t>
      </w:r>
    </w:p>
    <w:p w14:paraId="4CFA32CB"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In the mouse, CRISPR–Cas9 mutagenesis was first demonstrated by directly co-injecting guide RNA and Cas9 messenger RNA into one-cell embryos, an approach efficient enough to displace, within less than a decade, the laborious embryonic stem cell-based homologous recombination methods that had previously dominated mouse genetics (Varshney &amp; Burgess, 2025). Large international consortia tasked with generating comprehensive panels of knockout mouse lines for systematic phenotyping rapidly adopted CRISPR-based methods, generating well over a thousand new mutant lines and substantially speeding up the pace at which candidate disease genes identified through human genomic studies can be functionally tested in an intact mammalian organism (Varshney &amp; Burgess, 2025). Beyond single-gene knockouts, in vivo genome-wide screening using pooled guide RNA libraries delivered directly to specific organs or tissues has yielded mechanistic insight into processes including tumour growth and metastasis in models of non-small-cell lung cancer, hepatocyte-intrinsic regulators of liver function, and immune cell trafficking to the central nervous system in models of multiple sclerosis, showing that whole-organism CRISPR screening can capture physiologically relevant complexity that cell culture alone cannot reach (Varshney &amp; Burgess, 2025).</w:t>
      </w:r>
    </w:p>
    <w:p w14:paraId="357B6FA9"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4.3 High-throughput and large-scale screening approaches</w:t>
      </w:r>
    </w:p>
    <w:p w14:paraId="5B777F09"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 theme running through vertebrate functional genomics more generally is the steady scaling of CRISPR-based mutagenesis from single-gene studies towards systematic, often genome-wide, perturbation screens. Recently developed multiplexed mosaic perturbation systems, in which a germline-transmitted array of individually activatable guide RNAs allows parallel interrogation of numerous genes across diverse tissues within a single animal, illustrate this trajectory well, as do droplet-based microinjection platforms that have substantially increased the throughput achievable in zebrafish embryo screening (Varshney &amp; Burgess, 2025). Together, these advances mark a broader transition within vertebrate functional genomics, away from the artisanal, single-locus experimentation that characterised much of twentieth-century genetics and towards a more systematic, almost industrial, mode of gene function discovery that nonetheless still depends on the foundational molecular toolkit described in Section 3.</w:t>
      </w:r>
    </w:p>
    <w:p w14:paraId="1251518B" w14:textId="77777777" w:rsidR="00426439" w:rsidRPr="00DE76CD" w:rsidRDefault="00426439" w:rsidP="009376E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5. Extending the Toolkit to Non-Model and Invertebrate Taxa</w:t>
      </w:r>
    </w:p>
    <w:p w14:paraId="54B1E9BB"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hAnsi="Times New Roman" w:cs="Times New Roman"/>
        </w:rPr>
        <w:t xml:space="preserve">5.1 Insects beyond </w:t>
      </w:r>
      <w:r w:rsidRPr="00DE76CD">
        <w:rPr>
          <w:rFonts w:ascii="Times New Roman" w:hAnsi="Times New Roman" w:cs="Times New Roman"/>
          <w:i/>
        </w:rPr>
        <w:t>Drosophila</w:t>
      </w:r>
    </w:p>
    <w:p w14:paraId="48609987"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hAnsi="Times New Roman" w:cs="Times New Roman"/>
          <w:i/>
        </w:rPr>
        <w:t>Drosophila melanogaster</w:t>
      </w:r>
      <w:r w:rsidRPr="00DE76CD">
        <w:rPr>
          <w:rFonts w:ascii="Times New Roman" w:hAnsi="Times New Roman" w:cs="Times New Roman"/>
        </w:rPr>
        <w:t xml:space="preserve"> has long served as the principal invertebrate model for functional genetics, and the development of large-scale, tissue-restricted CRISPR mutagenesis resources, combining </w:t>
      </w:r>
      <w:r w:rsidRPr="00DE76CD">
        <w:rPr>
          <w:rFonts w:ascii="Times New Roman" w:hAnsi="Times New Roman" w:cs="Times New Roman"/>
        </w:rPr>
        <w:lastRenderedPageBreak/>
        <w:t xml:space="preserve">tunable Cas9 transgenic lines with extensive libraries of guide RNA-expressing strains, has sharpened the precision with which gene function can be dissected in spatially and temporally controlled contexts in this species, building on decades of forward-genetic and RNA interference-based work (Port et al., 2020). Yet most insect diversity, including pollinators, agricultural pests, disease vectors, and taxa of conservation concern, lies well beyond </w:t>
      </w:r>
      <w:r w:rsidRPr="00DE76CD">
        <w:rPr>
          <w:rFonts w:ascii="Times New Roman" w:hAnsi="Times New Roman" w:cs="Times New Roman"/>
          <w:i/>
        </w:rPr>
        <w:t>Drosophila</w:t>
      </w:r>
      <w:r w:rsidRPr="00DE76CD">
        <w:rPr>
          <w:rFonts w:ascii="Times New Roman" w:hAnsi="Times New Roman" w:cs="Times New Roman"/>
        </w:rPr>
        <w:t>, and extending CRISPR-based functional genomics to these non-model insects has required a different set of biological constraints to be navigated: variable embryo accessibility for microinjection, the frequent absence of well-annotated reference genomes, and the lack of established protocols for guide RNA and Cas9 delivery (Ahmed et al., 2025). A recent methodological synthesis addressing exactly this challenge has catalogued the experimental considerations relevant to establishing CRISPR-based mutagenesis in a new insect model, spanning guide design and delivery, the choice between non-homologous end joining and homology-directed repair strategies, and methods for screening and visually marking successful mutants, while noting that these considerations, though framed around insects, are largely transferable to other non-model invertebrate taxa more broadly (Ahmed et al., 2025).</w:t>
      </w:r>
    </w:p>
    <w:p w14:paraId="3CEEADC7"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hAnsi="Times New Roman" w:cs="Times New Roman"/>
        </w:rPr>
        <w:t xml:space="preserve">Lepidopteran species have proved a particularly productive arena for non-model insect functional genomics, owing to their long-standing role as a system for studying the evolution and development of complex pigmentation patterns. Detailed CRISPR–Cas9 protocols developed for the African butterfly </w:t>
      </w:r>
      <w:r w:rsidRPr="00DE76CD">
        <w:rPr>
          <w:rFonts w:ascii="Times New Roman" w:hAnsi="Times New Roman" w:cs="Times New Roman"/>
          <w:i/>
        </w:rPr>
        <w:t>Bicyclus anynana</w:t>
      </w:r>
      <w:r w:rsidRPr="00DE76CD">
        <w:rPr>
          <w:rFonts w:ascii="Times New Roman" w:hAnsi="Times New Roman" w:cs="Times New Roman"/>
        </w:rPr>
        <w:t>, an emerging evolutionary developmental biology model with a sequenced genome amenable to germline transformation, have allowed researchers to disrupt genes governing eyespot development and melanin pigmentation in a targeted way, generating somatic mosaic mutants with clearly interpretable morphological phenotypes and establishing a reproducible, video-documented methodological pipeline that has since been adapted for use in other butterfly species (Banerjee &amp; Monteiro, 2018). The cumulative effect of these methodological investments has been to turn Lepidoptera from a taxon studied almost exclusively through comparative and correlative approaches into one open to direct, hypothesis-driven functional testing of candidate patterning genes, a development with real implications for evolutionary developmental zoology more broadly.</w:t>
      </w:r>
    </w:p>
    <w:p w14:paraId="2B8D8E0D"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5.2 Cephalopods and the genetic tractability of soft-bodied molluscs</w:t>
      </w:r>
    </w:p>
    <w:p w14:paraId="708F4BA2"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hAnsi="Times New Roman" w:cs="Times New Roman"/>
        </w:rPr>
        <w:t xml:space="preserve">Cephalopod molluscs, including octopuses, squid, and cuttlefish, offer an unusually compelling case study in extending functional genomic methods to taxa whose biology departs sharply from conventional laboratory models. Coleoid cephalopods possess sophisticated nervous systems, dynamic camouflage and skin-based visual communication, and an extraordinary capacity for post-transcriptional protein recoding through adenosine-to-inosine RNA editing, yet the absence of genetically tractable laboratory models long prevented direct functional dissection of the molecular mechanisms behind these traits. The successful use of CRISPR–Cas9 to generate a stable albino mutant line in the emerging cephalopod model </w:t>
      </w:r>
      <w:r w:rsidRPr="00DE76CD">
        <w:rPr>
          <w:rFonts w:ascii="Times New Roman" w:hAnsi="Times New Roman" w:cs="Times New Roman"/>
          <w:i/>
        </w:rPr>
        <w:t>Euprymna berryi</w:t>
      </w:r>
      <w:r w:rsidRPr="00DE76CD">
        <w:rPr>
          <w:rFonts w:ascii="Times New Roman" w:hAnsi="Times New Roman" w:cs="Times New Roman"/>
        </w:rPr>
        <w:t>, achieved by disrupting a gene required for ommochrome pigment biosynthesis, is a notable methodological advance for two reasons: the resulting pigmentation-deficient phenotype is practically useful for in vivo functional imaging of neural activity through the animal's normally opaque chromatophore layer, and the work demonstrates more generally that targeted gene disruption is achievable even in a cephalopod species, whose embryonic development had not previously been treated as a tractable genetic system (Ahuja et al., 2023). This achievement opens a methodological path towards directly testing hypotheses about the functional and adaptive significance of cephalopod-specific genomic and post-transcriptional innovations that, until recently, could only be addressed through comparative genomic inference.</w:t>
      </w:r>
    </w:p>
    <w:p w14:paraId="4455678F"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5.3 Cnidarians and the genetics of coral resilience</w:t>
      </w:r>
    </w:p>
    <w:p w14:paraId="1B72AD65"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hAnsi="Times New Roman" w:cs="Times New Roman"/>
        </w:rPr>
        <w:t>Reef-building corals occupy a position of acute ecological and conservation significance, as keystone organisms of one of the planet's most biodiverse and climate-threatened ecosystems, yet the biology of coral stress tolerance had, until comparatively recently, been studied almost entirely through correlative genomic and transcriptomic approaches, simply because no genetic tools existed to test candidate gene function directly in these organisms. The demonstration that microinjecting single-</w:t>
      </w:r>
      <w:r w:rsidRPr="00DE76CD">
        <w:rPr>
          <w:rFonts w:ascii="Times New Roman" w:hAnsi="Times New Roman" w:cs="Times New Roman"/>
        </w:rPr>
        <w:lastRenderedPageBreak/>
        <w:t xml:space="preserve">guide RNA and Cas9 ribonucleoprotein complexes into fertilised coral eggs can achieve mutation frequencies high enough to produce a detectable phenotype in the injected generation itself opened a path towards rigorous hypothesis testing in corals for the first time. Building directly on this methodological foundation, researchers targeting the gene encoding heat shock transcription factor 1 in the coral </w:t>
      </w:r>
      <w:r w:rsidRPr="00DE76CD">
        <w:rPr>
          <w:rFonts w:ascii="Times New Roman" w:hAnsi="Times New Roman" w:cs="Times New Roman"/>
          <w:i/>
        </w:rPr>
        <w:t>Acropora millepora</w:t>
      </w:r>
      <w:r w:rsidRPr="00DE76CD">
        <w:rPr>
          <w:rFonts w:ascii="Times New Roman" w:hAnsi="Times New Roman" w:cs="Times New Roman"/>
        </w:rPr>
        <w:t xml:space="preserve"> showed that larvae carrying CRISPR-induced disruptions of this locus had measurably reduced thermal tolerance compared with wild-type controls, providing direct functional confirmation that this transcription factor contributes causally to coral heat stress resilience rather than merely correlating with it (Cleves et al., 2020). That distinction matters a great deal given how urgent it is to identify genuinely actionable targets for coral conservation and assisted adaptation strategies in the face of accelerating ocean warming. The work illustrates a pattern evident across the non-model taxa discussed in this section: CRISPR-based functional genomics has moved from laboratory proof of concept to a tool capable of directly informing conservation-relevant biological questions that correlative genomics alone cannot resolve.</w:t>
      </w:r>
    </w:p>
    <w:p w14:paraId="1972CA5E" w14:textId="77777777" w:rsidR="00426439" w:rsidRPr="00DE76CD" w:rsidRDefault="00426439" w:rsidP="009376E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6. Livestock and Aquaculture Genetic Improvement</w:t>
      </w:r>
    </w:p>
    <w:p w14:paraId="63CA4759"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6.1 Disease resistance in terrestrial livestock</w:t>
      </w:r>
    </w:p>
    <w:p w14:paraId="621FFAF2"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Among the most economically consequential applications of CRISPR-based functional genomics in zoology is the engineering of disease resistance traits in livestock, a domain where the technology has moved from laboratory proof of concept towards traits approaching, or already within, regulatory review for commercial production. The foundational achievement here was the generation of pigs carrying a CRISPR-mediated disruption of the </w:t>
      </w:r>
      <w:r w:rsidRPr="00DE76CD">
        <w:rPr>
          <w:rFonts w:ascii="Times New Roman" w:eastAsia="Times New Roman" w:hAnsi="Times New Roman" w:cs="Times New Roman"/>
          <w:i/>
          <w:iCs/>
          <w:sz w:val="24"/>
          <w:szCs w:val="24"/>
          <w:lang w:eastAsia="en-GB"/>
        </w:rPr>
        <w:t>CD163</w:t>
      </w:r>
      <w:r w:rsidRPr="00DE76CD">
        <w:rPr>
          <w:rFonts w:ascii="Times New Roman" w:eastAsia="Times New Roman" w:hAnsi="Times New Roman" w:cs="Times New Roman"/>
          <w:sz w:val="24"/>
          <w:szCs w:val="24"/>
          <w:lang w:eastAsia="en-GB"/>
        </w:rPr>
        <w:t xml:space="preserve"> gene, whose protein product had previously been identified as the main cellular receptor used by porcine reproductive and respiratory syndrome virus to enter cells, one of the most economically damaging pathogens affecting global pig production. The resulting knockout pigs were completely resistant to infection by both major genotypes of the virus, showing no clinical signs, viraemia, or detectable antibody response after experimental challenge (Whitworth et al., 2016). This result has since been extended and refined by several independent groups, who have developed alternative </w:t>
      </w:r>
      <w:r w:rsidRPr="00DE76CD">
        <w:rPr>
          <w:rFonts w:ascii="Times New Roman" w:eastAsia="Times New Roman" w:hAnsi="Times New Roman" w:cs="Times New Roman"/>
          <w:i/>
          <w:iCs/>
          <w:sz w:val="24"/>
          <w:szCs w:val="24"/>
          <w:lang w:eastAsia="en-GB"/>
        </w:rPr>
        <w:t>CD163</w:t>
      </w:r>
      <w:r w:rsidRPr="00DE76CD">
        <w:rPr>
          <w:rFonts w:ascii="Times New Roman" w:eastAsia="Times New Roman" w:hAnsi="Times New Roman" w:cs="Times New Roman"/>
          <w:sz w:val="24"/>
          <w:szCs w:val="24"/>
          <w:lang w:eastAsia="en-GB"/>
        </w:rPr>
        <w:t xml:space="preserve"> editing strategies, including partial domain deletions designed to preserve the receptor's other physiological functions while still blocking viral entry, reflecting a growing recognition that disease-resistance editing must be weighed against the potential cost to normal immune and scavenging functions of the targeted gene (Wang et al., 2025).</w:t>
      </w:r>
    </w:p>
    <w:p w14:paraId="7FEAF90A"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hAnsi="Times New Roman" w:cs="Times New Roman"/>
        </w:rPr>
        <w:t xml:space="preserve">This case has come to exemplify a broader pattern across livestock genome editing, in which CRISPR–Cas9 is used to disrupt or modify single genes of large phenotypic effect across six main trait categories: disease resistance, growth performance and meat production, milk composition, reproductive traits, adaptation to environmental and thermal stress, and animal welfare more broadly (Wang et al., 2025). Comprehensive reviews of this rapidly growing literature have catalogued successful applications spanning improved mastitis resistance in dairy cattle, enhanced meat production performance in pigs, increased milk yield in goats, and the production of naturally hornless, or polled, cattle through introgression of an already-characterised polled allele. This last example is particularly instructive: genome editing was used not to introduce a novel trait but to speed the spread of an existing, naturally occurring beneficial variant into commercial breeding lines, sidestepping the multi-generational backcrossing that conventional breeding would otherwise require (Wang et al., 2025). Complementary reviews focused on identifying candidate disease-resistance loci through immunogenomic profiling, and on integrating CRISPR-based tools with established livestock breeding programmes rather than treating them as a wholly novel parallel production stream, have likewise argued that the most plausible near-term route to commercial impact lies in using genome editing to introduce single, well-characterised, large-effect alleles into existing elite breeding </w:t>
      </w:r>
      <w:r w:rsidRPr="00DE76CD">
        <w:rPr>
          <w:rFonts w:ascii="Times New Roman" w:hAnsi="Times New Roman" w:cs="Times New Roman"/>
        </w:rPr>
        <w:lastRenderedPageBreak/>
        <w:t>populations, rather than attempting de novo trait engineering (Rodriguez-Villamil et al., 2024; Kim et al., 2026).</w:t>
      </w:r>
    </w:p>
    <w:p w14:paraId="746100BF"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Editorial syntheses accompanying recent special issues on genome editing in agricultural animals have likewise stressed the breadth of ongoing translational work, noting in particular how far large animal genome editing has matured from early pronuclear microinjection methods towards the comparatively flexible and cost-effective CRISPR–Cas9 platform, now capable of generating homozygous multi-gene knockouts with high efficiency, while cautioning that the welfare, off-target, and mosaicism risks associated with the technology need to be weighed alongside its productivity benefits (</w:t>
      </w:r>
      <w:proofErr w:type="spellStart"/>
      <w:r w:rsidRPr="00DE76CD">
        <w:rPr>
          <w:rFonts w:ascii="Times New Roman" w:eastAsia="Times New Roman" w:hAnsi="Times New Roman" w:cs="Times New Roman"/>
          <w:sz w:val="24"/>
          <w:szCs w:val="24"/>
          <w:lang w:eastAsia="en-GB"/>
        </w:rPr>
        <w:t>Laible</w:t>
      </w:r>
      <w:proofErr w:type="spellEnd"/>
      <w:r w:rsidRPr="00DE76CD">
        <w:rPr>
          <w:rFonts w:ascii="Times New Roman" w:eastAsia="Times New Roman" w:hAnsi="Times New Roman" w:cs="Times New Roman"/>
          <w:sz w:val="24"/>
          <w:szCs w:val="24"/>
          <w:lang w:eastAsia="en-GB"/>
        </w:rPr>
        <w:t xml:space="preserve"> &amp; Cigan, 2025). A well-documented case illustrating this welfare dimension concerns the so-called slick-coated cattle developed through CRISPR-mediated introduction of an intentional genomic alteration into the prolactin receptor gene, intended to produce a shorter, slicker hair coat that improves thermoregulation and reduces heat stress in cattle raised in warm climates. After this trait was submitted to the United States Food and Drug Administration for risk assessment in 2022, subsequent welfare-focused academic scrutiny examined both the regulatory agency's own low-risk determination regarding unintended, off-target genomic alterations and the broader, still only partially resolved, empirical question of whether slick-coated animals genuinely experience better welfare outcomes under heat stress than conventionally bred animals (</w:t>
      </w:r>
      <w:proofErr w:type="spellStart"/>
      <w:r w:rsidRPr="00DE76CD">
        <w:rPr>
          <w:rFonts w:ascii="Times New Roman" w:eastAsia="Times New Roman" w:hAnsi="Times New Roman" w:cs="Times New Roman"/>
          <w:sz w:val="24"/>
          <w:szCs w:val="24"/>
          <w:lang w:eastAsia="en-GB"/>
        </w:rPr>
        <w:t>Pozzebon</w:t>
      </w:r>
      <w:proofErr w:type="spellEnd"/>
      <w:r w:rsidRPr="00DE76CD">
        <w:rPr>
          <w:rFonts w:ascii="Times New Roman" w:eastAsia="Times New Roman" w:hAnsi="Times New Roman" w:cs="Times New Roman"/>
          <w:sz w:val="24"/>
          <w:szCs w:val="24"/>
          <w:lang w:eastAsia="en-GB"/>
        </w:rPr>
        <w:t xml:space="preserve"> et al., 2024). This case usefully captures a tension that recurs throughout applied livestock genome editing: a trait can be framed in productivity terms by its developers well before the evidence base needed to substantiate a parallel welfare claim has caught up.</w:t>
      </w:r>
    </w:p>
    <w:p w14:paraId="48669300"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6.2 Production traits, welfare, and thermotolerance</w:t>
      </w:r>
    </w:p>
    <w:p w14:paraId="22224B55"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Beyond disease resistance narrowly defined, CRISPR-based genome editing in livestock has increasingly targeted traits with direct bearing on animal welfare under environmental and climatic stress, a category whose ethical evaluation differs subtly from disease-resistance editing because the intervention changes the animal's own physiological response to its environment rather than simply blocking pathogen entry. The slick-coat cattle case discussed above exemplifies this category, as does ongoing work targeting growth hormone receptor and myostatin pathways to influence body composition and feed efficiency across multiple livestock species, applications whose welfare implications call for case-by-case evaluation rather than a blanket label of either uniformly beneficial or uniformly concerning (</w:t>
      </w:r>
      <w:proofErr w:type="spellStart"/>
      <w:r w:rsidRPr="00DE76CD">
        <w:rPr>
          <w:rFonts w:ascii="Times New Roman" w:eastAsia="Times New Roman" w:hAnsi="Times New Roman" w:cs="Times New Roman"/>
          <w:sz w:val="24"/>
          <w:szCs w:val="24"/>
          <w:lang w:eastAsia="en-GB"/>
        </w:rPr>
        <w:t>Pozzebon</w:t>
      </w:r>
      <w:proofErr w:type="spellEnd"/>
      <w:r w:rsidRPr="00DE76CD">
        <w:rPr>
          <w:rFonts w:ascii="Times New Roman" w:eastAsia="Times New Roman" w:hAnsi="Times New Roman" w:cs="Times New Roman"/>
          <w:sz w:val="24"/>
          <w:szCs w:val="24"/>
          <w:lang w:eastAsia="en-GB"/>
        </w:rPr>
        <w:t xml:space="preserve"> et al., 2024; Wang et al., 2025).</w:t>
      </w:r>
    </w:p>
    <w:p w14:paraId="18B0B7AD"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6.3 Aquaculture species and biosafety considerations</w:t>
      </w:r>
    </w:p>
    <w:p w14:paraId="4E831960"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Aquaculture presents a distinctive mix of opportunity and risk for CRISPR-based functional genomics, reflecting both the rapid growth of farmed aquatic food production as a global food security priority and the heightened ecological sensitivity of aquatic systems to the potential escape of genetically modified organisms into wild populations. Reviews surveying the use of CRISPR–Cas9 across major aquaculture taxa, including Atlantic salmon, Nile tilapia, rainbow trout, common carp, and several marine invertebrate species, have documented successful editing of genes governing growth, pigmentation, sex determination, reproductive sterility, and disease resistance. The production of germ cell-free, and therefore sterile, Atlantic salmon through disruption of a germ cell-specific gene is a particularly significant application, since it speaks directly to a long-standing industry concern: genetic introgression between escaped farmed fish and wild conspecific populations (</w:t>
      </w:r>
      <w:proofErr w:type="spellStart"/>
      <w:r w:rsidRPr="00DE76CD">
        <w:rPr>
          <w:rFonts w:ascii="Times New Roman" w:eastAsia="Times New Roman" w:hAnsi="Times New Roman" w:cs="Times New Roman"/>
          <w:sz w:val="24"/>
          <w:szCs w:val="24"/>
          <w:lang w:eastAsia="en-GB"/>
        </w:rPr>
        <w:t>Gutási</w:t>
      </w:r>
      <w:proofErr w:type="spellEnd"/>
      <w:r w:rsidRPr="00DE76CD">
        <w:rPr>
          <w:rFonts w:ascii="Times New Roman" w:eastAsia="Times New Roman" w:hAnsi="Times New Roman" w:cs="Times New Roman"/>
          <w:sz w:val="24"/>
          <w:szCs w:val="24"/>
          <w:lang w:eastAsia="en-GB"/>
        </w:rPr>
        <w:t xml:space="preserve"> et al., 2023). Methodological refinements specific to Atlantic salmon, including asymmetrical </w:t>
      </w:r>
      <w:r w:rsidRPr="00DE76CD">
        <w:rPr>
          <w:rFonts w:ascii="Times New Roman" w:eastAsia="Times New Roman" w:hAnsi="Times New Roman" w:cs="Times New Roman"/>
          <w:sz w:val="24"/>
          <w:szCs w:val="24"/>
          <w:lang w:eastAsia="en-GB"/>
        </w:rPr>
        <w:lastRenderedPageBreak/>
        <w:t>oligonucleotide donor designs that substantially improve the efficiency of precise single-nucleotide replacement and epitope tagging in the founder, or F0, generation, have mattered particularly given the unusually long generation time of salmonid species, which makes the conventional strategy of breeding mosaic founders to homozygosity prohibitively slow for many research and applied breeding purposes (Straume et al., 2021).</w:t>
      </w:r>
    </w:p>
    <w:p w14:paraId="16715431"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Even so, a comprehensive risk–benefit assessment framework developed specifically for gene editing in aquaculture has stressed that the benefits of improved welfare, nutritional attributes, and production efficiency must be weighed systematically against the risk of unintended side effects on other traits and, critically, the risk of genetic introgression into wild populations should edited animals escape containment. The proposed framework identifies nine key considerations spanning genetic and ecological impacts, disease risk mitigation, the nature of the edit itself, supply chain and environmental footprint, animal welfare, human nutrition, and broader ethical and community impacts, and warns explicitly that public acceptance of gene-edited aquatic species will erode quickly should risk mitigation prove inadequate or be perceived as such (Robinson et al., 2024). This framework illustrates a theme that recurs throughout this review: the ecological risk profile of a given genome-editing application in zoology cannot be judged purely on molecular precision or production benefit, but must also account for the containment biology, reproductive ecology, and regulatory context specific to the taxon and production system involved.</w:t>
      </w:r>
    </w:p>
    <w:p w14:paraId="14B786E3"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b/>
          <w:bCs/>
          <w:sz w:val="24"/>
          <w:szCs w:val="24"/>
          <w:lang w:eastAsia="en-GB"/>
        </w:rPr>
        <w:t>Table 2. Representative applications of CRISPR-Cas9 genome editing in livestock and aquaculture species</w:t>
      </w:r>
    </w:p>
    <w:tbl>
      <w:tblPr>
        <w:tblStyle w:val="MediumShading1-Accent1"/>
        <w:tblW w:w="0" w:type="auto"/>
        <w:tblLook w:val="04A0" w:firstRow="1" w:lastRow="0" w:firstColumn="1" w:lastColumn="0" w:noHBand="0" w:noVBand="1"/>
      </w:tblPr>
      <w:tblGrid>
        <w:gridCol w:w="1907"/>
        <w:gridCol w:w="1834"/>
        <w:gridCol w:w="2150"/>
        <w:gridCol w:w="3351"/>
      </w:tblGrid>
      <w:tr w:rsidR="00426439" w:rsidRPr="00DE76CD" w14:paraId="15087837" w14:textId="77777777" w:rsidTr="00DE76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BE76F3" w14:textId="77777777" w:rsidR="00426439" w:rsidRPr="00DE76CD" w:rsidRDefault="00426439" w:rsidP="009376E5">
            <w:pPr>
              <w:jc w:val="both"/>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Species</w:t>
            </w:r>
          </w:p>
        </w:tc>
        <w:tc>
          <w:tcPr>
            <w:tcW w:w="0" w:type="auto"/>
            <w:hideMark/>
          </w:tcPr>
          <w:p w14:paraId="28E622DE" w14:textId="77777777" w:rsidR="00426439" w:rsidRPr="00DE76CD" w:rsidRDefault="00426439" w:rsidP="009376E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Target gene/locus</w:t>
            </w:r>
          </w:p>
        </w:tc>
        <w:tc>
          <w:tcPr>
            <w:tcW w:w="0" w:type="auto"/>
            <w:hideMark/>
          </w:tcPr>
          <w:p w14:paraId="1FD46948" w14:textId="77777777" w:rsidR="00426439" w:rsidRPr="00DE76CD" w:rsidRDefault="00426439" w:rsidP="009376E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Edited trait</w:t>
            </w:r>
          </w:p>
        </w:tc>
        <w:tc>
          <w:tcPr>
            <w:tcW w:w="0" w:type="auto"/>
            <w:hideMark/>
          </w:tcPr>
          <w:p w14:paraId="32D79F56" w14:textId="77777777" w:rsidR="00426439" w:rsidRPr="00DE76CD" w:rsidRDefault="00426439" w:rsidP="009376E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Reported outcome</w:t>
            </w:r>
          </w:p>
        </w:tc>
      </w:tr>
      <w:tr w:rsidR="00426439" w:rsidRPr="00DE76CD" w14:paraId="47564F7C"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F8A4E2"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hAnsi="Times New Roman" w:cs="Times New Roman"/>
              </w:rPr>
              <w:t>Pig (</w:t>
            </w:r>
            <w:r w:rsidRPr="00DE76CD">
              <w:rPr>
                <w:rFonts w:ascii="Times New Roman" w:hAnsi="Times New Roman" w:cs="Times New Roman"/>
                <w:i/>
              </w:rPr>
              <w:t>Sus scrofa</w:t>
            </w:r>
            <w:r w:rsidRPr="00DE76CD">
              <w:rPr>
                <w:rFonts w:ascii="Times New Roman" w:hAnsi="Times New Roman" w:cs="Times New Roman"/>
              </w:rPr>
              <w:t>)</w:t>
            </w:r>
          </w:p>
        </w:tc>
        <w:tc>
          <w:tcPr>
            <w:tcW w:w="0" w:type="auto"/>
            <w:hideMark/>
          </w:tcPr>
          <w:p w14:paraId="5DDA2FD7"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i/>
                <w:iCs/>
                <w:sz w:val="24"/>
                <w:szCs w:val="24"/>
                <w:lang w:eastAsia="en-GB"/>
              </w:rPr>
              <w:t>CD163</w:t>
            </w:r>
          </w:p>
        </w:tc>
        <w:tc>
          <w:tcPr>
            <w:tcW w:w="0" w:type="auto"/>
            <w:hideMark/>
          </w:tcPr>
          <w:p w14:paraId="166A3EB9"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Disease resistance</w:t>
            </w:r>
          </w:p>
        </w:tc>
        <w:tc>
          <w:tcPr>
            <w:tcW w:w="0" w:type="auto"/>
            <w:hideMark/>
          </w:tcPr>
          <w:p w14:paraId="04F50891"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Complete resistance to porcine reproductive and respiratory syndrome virus infection</w:t>
            </w:r>
          </w:p>
        </w:tc>
      </w:tr>
      <w:tr w:rsidR="00426439" w:rsidRPr="00DE76CD" w14:paraId="19831871"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341359"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hAnsi="Times New Roman" w:cs="Times New Roman"/>
              </w:rPr>
              <w:t>Cattle (</w:t>
            </w:r>
            <w:r w:rsidRPr="00DE76CD">
              <w:rPr>
                <w:rFonts w:ascii="Times New Roman" w:hAnsi="Times New Roman" w:cs="Times New Roman"/>
                <w:i/>
              </w:rPr>
              <w:t>Bos taurus</w:t>
            </w:r>
            <w:r w:rsidRPr="00DE76CD">
              <w:rPr>
                <w:rFonts w:ascii="Times New Roman" w:hAnsi="Times New Roman" w:cs="Times New Roman"/>
              </w:rPr>
              <w:t>)</w:t>
            </w:r>
          </w:p>
        </w:tc>
        <w:tc>
          <w:tcPr>
            <w:tcW w:w="0" w:type="auto"/>
            <w:hideMark/>
          </w:tcPr>
          <w:p w14:paraId="49D72C3A"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i/>
                <w:iCs/>
                <w:sz w:val="24"/>
                <w:szCs w:val="24"/>
                <w:lang w:eastAsia="en-GB"/>
              </w:rPr>
              <w:t>PRLR</w:t>
            </w:r>
            <w:r w:rsidRPr="00DE76CD">
              <w:rPr>
                <w:rFonts w:ascii="Times New Roman" w:eastAsia="Times New Roman" w:hAnsi="Times New Roman" w:cs="Times New Roman"/>
                <w:sz w:val="24"/>
                <w:szCs w:val="24"/>
                <w:lang w:eastAsia="en-GB"/>
              </w:rPr>
              <w:t xml:space="preserve"> (prolactin receptor)</w:t>
            </w:r>
          </w:p>
        </w:tc>
        <w:tc>
          <w:tcPr>
            <w:tcW w:w="0" w:type="auto"/>
            <w:hideMark/>
          </w:tcPr>
          <w:p w14:paraId="5EC88050"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Thermotolerance</w:t>
            </w:r>
          </w:p>
        </w:tc>
        <w:tc>
          <w:tcPr>
            <w:tcW w:w="0" w:type="auto"/>
            <w:hideMark/>
          </w:tcPr>
          <w:p w14:paraId="4CEF75B2"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Slicker, shorter coat intended to reduce heat stress; welfare benefits still under evaluation</w:t>
            </w:r>
          </w:p>
        </w:tc>
      </w:tr>
      <w:tr w:rsidR="00426439" w:rsidRPr="00DE76CD" w14:paraId="7A21B448"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4D544E"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hAnsi="Times New Roman" w:cs="Times New Roman"/>
              </w:rPr>
              <w:t>Cattle (</w:t>
            </w:r>
            <w:r w:rsidRPr="00DE76CD">
              <w:rPr>
                <w:rFonts w:ascii="Times New Roman" w:hAnsi="Times New Roman" w:cs="Times New Roman"/>
                <w:i/>
              </w:rPr>
              <w:t>Bos taurus</w:t>
            </w:r>
            <w:r w:rsidRPr="00DE76CD">
              <w:rPr>
                <w:rFonts w:ascii="Times New Roman" w:hAnsi="Times New Roman" w:cs="Times New Roman"/>
              </w:rPr>
              <w:t>)</w:t>
            </w:r>
          </w:p>
        </w:tc>
        <w:tc>
          <w:tcPr>
            <w:tcW w:w="0" w:type="auto"/>
            <w:hideMark/>
          </w:tcPr>
          <w:p w14:paraId="12A82974"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Polled locus</w:t>
            </w:r>
          </w:p>
        </w:tc>
        <w:tc>
          <w:tcPr>
            <w:tcW w:w="0" w:type="auto"/>
            <w:hideMark/>
          </w:tcPr>
          <w:p w14:paraId="584AF6F2"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Welfare (dehorning avoidance)</w:t>
            </w:r>
          </w:p>
        </w:tc>
        <w:tc>
          <w:tcPr>
            <w:tcW w:w="0" w:type="auto"/>
            <w:hideMark/>
          </w:tcPr>
          <w:p w14:paraId="4EF07768"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Introgression of naturally occurring hornless allele without multi-generational backcrossing</w:t>
            </w:r>
          </w:p>
        </w:tc>
      </w:tr>
      <w:tr w:rsidR="00426439" w:rsidRPr="00DE76CD" w14:paraId="6C001F3A"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0E36BF"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hAnsi="Times New Roman" w:cs="Times New Roman"/>
              </w:rPr>
              <w:t>Atlantic salmon (</w:t>
            </w:r>
            <w:r w:rsidRPr="00DE76CD">
              <w:rPr>
                <w:rFonts w:ascii="Times New Roman" w:hAnsi="Times New Roman" w:cs="Times New Roman"/>
                <w:i/>
              </w:rPr>
              <w:t>Salmo salar</w:t>
            </w:r>
            <w:r w:rsidRPr="00DE76CD">
              <w:rPr>
                <w:rFonts w:ascii="Times New Roman" w:hAnsi="Times New Roman" w:cs="Times New Roman"/>
              </w:rPr>
              <w:t>)</w:t>
            </w:r>
          </w:p>
        </w:tc>
        <w:tc>
          <w:tcPr>
            <w:tcW w:w="0" w:type="auto"/>
            <w:hideMark/>
          </w:tcPr>
          <w:p w14:paraId="0E5742B0"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proofErr w:type="spellStart"/>
            <w:r w:rsidRPr="00DE76CD">
              <w:rPr>
                <w:rFonts w:ascii="Times New Roman" w:eastAsia="Times New Roman" w:hAnsi="Times New Roman" w:cs="Times New Roman"/>
                <w:i/>
                <w:iCs/>
                <w:sz w:val="24"/>
                <w:szCs w:val="24"/>
                <w:lang w:eastAsia="en-GB"/>
              </w:rPr>
              <w:t>dnd</w:t>
            </w:r>
            <w:proofErr w:type="spellEnd"/>
            <w:r w:rsidRPr="00DE76CD">
              <w:rPr>
                <w:rFonts w:ascii="Times New Roman" w:eastAsia="Times New Roman" w:hAnsi="Times New Roman" w:cs="Times New Roman"/>
                <w:sz w:val="24"/>
                <w:szCs w:val="24"/>
                <w:lang w:eastAsia="en-GB"/>
              </w:rPr>
              <w:t xml:space="preserve"> (dead end)</w:t>
            </w:r>
          </w:p>
        </w:tc>
        <w:tc>
          <w:tcPr>
            <w:tcW w:w="0" w:type="auto"/>
            <w:hideMark/>
          </w:tcPr>
          <w:p w14:paraId="44A612CF"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Reproductive containment</w:t>
            </w:r>
          </w:p>
        </w:tc>
        <w:tc>
          <w:tcPr>
            <w:tcW w:w="0" w:type="auto"/>
            <w:hideMark/>
          </w:tcPr>
          <w:p w14:paraId="322C63DF"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Production of germ cell-free, sterile fish to prevent genetic introgression into wild stocks</w:t>
            </w:r>
          </w:p>
        </w:tc>
      </w:tr>
      <w:tr w:rsidR="00426439" w:rsidRPr="00DE76CD" w14:paraId="051B9F92"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BADD45"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hAnsi="Times New Roman" w:cs="Times New Roman"/>
              </w:rPr>
              <w:t>Atlantic salmon (</w:t>
            </w:r>
            <w:r w:rsidRPr="00DE76CD">
              <w:rPr>
                <w:rFonts w:ascii="Times New Roman" w:hAnsi="Times New Roman" w:cs="Times New Roman"/>
                <w:i/>
              </w:rPr>
              <w:t>Salmo salar</w:t>
            </w:r>
            <w:r w:rsidRPr="00DE76CD">
              <w:rPr>
                <w:rFonts w:ascii="Times New Roman" w:hAnsi="Times New Roman" w:cs="Times New Roman"/>
              </w:rPr>
              <w:t>)</w:t>
            </w:r>
          </w:p>
        </w:tc>
        <w:tc>
          <w:tcPr>
            <w:tcW w:w="0" w:type="auto"/>
            <w:hideMark/>
          </w:tcPr>
          <w:p w14:paraId="2AC77ACE"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i/>
                <w:iCs/>
                <w:sz w:val="24"/>
                <w:szCs w:val="24"/>
                <w:lang w:eastAsia="en-GB"/>
              </w:rPr>
              <w:t>slc45a2</w:t>
            </w:r>
            <w:r w:rsidRPr="00DE76CD">
              <w:rPr>
                <w:rFonts w:ascii="Times New Roman" w:eastAsia="Times New Roman" w:hAnsi="Times New Roman" w:cs="Times New Roman"/>
                <w:sz w:val="24"/>
                <w:szCs w:val="24"/>
                <w:lang w:eastAsia="en-GB"/>
              </w:rPr>
              <w:t xml:space="preserve">; </w:t>
            </w:r>
            <w:proofErr w:type="spellStart"/>
            <w:r w:rsidRPr="00DE76CD">
              <w:rPr>
                <w:rFonts w:ascii="Times New Roman" w:eastAsia="Times New Roman" w:hAnsi="Times New Roman" w:cs="Times New Roman"/>
                <w:i/>
                <w:iCs/>
                <w:sz w:val="24"/>
                <w:szCs w:val="24"/>
                <w:lang w:eastAsia="en-GB"/>
              </w:rPr>
              <w:t>dnd</w:t>
            </w:r>
            <w:proofErr w:type="spellEnd"/>
          </w:p>
        </w:tc>
        <w:tc>
          <w:tcPr>
            <w:tcW w:w="0" w:type="auto"/>
            <w:hideMark/>
          </w:tcPr>
          <w:p w14:paraId="41BF0967"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Methodological precision</w:t>
            </w:r>
          </w:p>
        </w:tc>
        <w:tc>
          <w:tcPr>
            <w:tcW w:w="0" w:type="auto"/>
            <w:hideMark/>
          </w:tcPr>
          <w:p w14:paraId="58D882B8"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Improved single-nucleotide replacement efficiency using asymmetrical oligonucleotide donors</w:t>
            </w:r>
          </w:p>
        </w:tc>
      </w:tr>
      <w:tr w:rsidR="00426439" w:rsidRPr="00DE76CD" w14:paraId="425CF4E8"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C54589"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hAnsi="Times New Roman" w:cs="Times New Roman"/>
              </w:rPr>
              <w:t>Nile tilapia (</w:t>
            </w:r>
            <w:r w:rsidRPr="00DE76CD">
              <w:rPr>
                <w:rFonts w:ascii="Times New Roman" w:hAnsi="Times New Roman" w:cs="Times New Roman"/>
                <w:i/>
              </w:rPr>
              <w:t>Oreochromis niloticus</w:t>
            </w:r>
            <w:r w:rsidRPr="00DE76CD">
              <w:rPr>
                <w:rFonts w:ascii="Times New Roman" w:hAnsi="Times New Roman" w:cs="Times New Roman"/>
              </w:rPr>
              <w:t>)</w:t>
            </w:r>
          </w:p>
        </w:tc>
        <w:tc>
          <w:tcPr>
            <w:tcW w:w="0" w:type="auto"/>
            <w:hideMark/>
          </w:tcPr>
          <w:p w14:paraId="1E0953AA"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Pigmentation and growth loci</w:t>
            </w:r>
          </w:p>
        </w:tc>
        <w:tc>
          <w:tcPr>
            <w:tcW w:w="0" w:type="auto"/>
            <w:hideMark/>
          </w:tcPr>
          <w:p w14:paraId="66DB71C1"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Production traits</w:t>
            </w:r>
          </w:p>
        </w:tc>
        <w:tc>
          <w:tcPr>
            <w:tcW w:w="0" w:type="auto"/>
            <w:hideMark/>
          </w:tcPr>
          <w:p w14:paraId="0BA7E085"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Targeted modification of coloration and growth-related phenotypes</w:t>
            </w:r>
          </w:p>
        </w:tc>
      </w:tr>
    </w:tbl>
    <w:p w14:paraId="032C30AB"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hAnsi="Times New Roman" w:cs="Times New Roman"/>
        </w:rPr>
        <w:t xml:space="preserve">Sources: Whitworth et al. (2016); Pozzebon et al. </w:t>
      </w:r>
      <w:r w:rsidRPr="00BB0DD0">
        <w:rPr>
          <w:rFonts w:ascii="Times New Roman" w:hAnsi="Times New Roman" w:cs="Times New Roman"/>
          <w:lang w:val="nl-BE"/>
        </w:rPr>
        <w:t xml:space="preserve">(2024); Wang et al. (2025); Gutási et al. </w:t>
      </w:r>
      <w:r w:rsidRPr="00DE76CD">
        <w:rPr>
          <w:rFonts w:ascii="Times New Roman" w:hAnsi="Times New Roman" w:cs="Times New Roman"/>
        </w:rPr>
        <w:t>(2023); Straume et al. (2021).</w:t>
      </w:r>
    </w:p>
    <w:p w14:paraId="5153AF11"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lastRenderedPageBreak/>
        <w:t>Table 2 makes a structural feature of this work visible at a glance: the most mature and commercially proximate applications of livestock and aquaculture genome editing each target a single, well-characterised gene of large phenotypic effect, rather than attempting to modify several polygenic trait architectures at once. This pattern reflects both the current technical limits of multiplexed editing in large-genome mammalian and fish embryos and a pragmatic regulatory calculus, since traits achievable through a single, precisely characterised edit are more readily compared with naturally occurring genetic variation than complex polygenic modifications would be, a distinction that, as Section 11 discusses further, has come to sit at the centre of regulatory debate over how genome-edited livestock and aquaculture species should be classified and assessed.</w:t>
      </w:r>
    </w:p>
    <w:p w14:paraId="126FF9B2" w14:textId="77777777" w:rsidR="00426439" w:rsidRPr="00DE76CD" w:rsidRDefault="00426439" w:rsidP="009376E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7. Conservation Genomics: Genetic Rescue, Biobanking, and De-Extinction</w:t>
      </w:r>
    </w:p>
    <w:p w14:paraId="6CCAD5F6"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7.1 Genetic rescue of small and inbred populations</w:t>
      </w:r>
    </w:p>
    <w:p w14:paraId="3C7F3654"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hAnsi="Times New Roman" w:cs="Times New Roman"/>
        </w:rPr>
        <w:t xml:space="preserve">Conservation biology has increasingly looked to genomic technologies, CRISPR-based editing among them, as a way of addressing the genetic erosion that so often accompanies severe population decline. Small, isolated, or recently bottlenecked populations typically suffer reduced heterozygosity, an accumulation of deleterious recessive alleles, and diminished adaptive potential, problems that conventional conservation management, focused on habitat protection and demographic recovery, cannot resolve on its own. The northern white rhinoceros, </w:t>
      </w:r>
      <w:r w:rsidRPr="00DE76CD">
        <w:rPr>
          <w:rFonts w:ascii="Times New Roman" w:hAnsi="Times New Roman" w:cs="Times New Roman"/>
          <w:i/>
        </w:rPr>
        <w:t>Ceratotherium simum cottoni</w:t>
      </w:r>
      <w:r w:rsidRPr="00DE76CD">
        <w:rPr>
          <w:rFonts w:ascii="Times New Roman" w:hAnsi="Times New Roman" w:cs="Times New Roman"/>
        </w:rPr>
        <w:t>, is perhaps the starkest illustration of this challenge now facing conservation genomics: the subspecies has been reduced to two non-reproductive females following the death of the last fertile male, which makes natural reproduction impossible and has forced an ambitious, multi-decade programme combining induced pluripotent stem cell technology, in vitro generation of primordial germ cell-like cells, oocyte collection from the surviving females, and the establishment of the closely related southern white rhinoceros as a surrogate species for embryo transfer (Korody &amp; Hildebrandt, 2025). This programme depends more directly on advanced assisted reproductive and stem cell technologies than on CRISPR-mediated sequence editing as such, but it exemplifies the broader category of functional genomic intervention now being considered for subspecies and populations that have crossed the threshold of natural genetic viability. The recent demonstration that a successful embryo transfer can be achieved in the closely related southern white rhinoceros surrogate is a critical de-risking milestone for the programme's longer-term feasibility (Korody &amp; Hildebrandt, 2025).</w:t>
      </w:r>
    </w:p>
    <w:p w14:paraId="77540702"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7.2 De-extinction as applied functional genomics</w:t>
      </w:r>
    </w:p>
    <w:p w14:paraId="6D9DD767"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A conceptually related, though ethically and technically distinct, application concerns de-extinction: using genomic, cloning, or genome-editing methods to recreate organisms resembling species that have already been lost. Influential critical scholarship in this area has long argued that the various pathways to de-extinction, whether selective back-breeding, somatic cell nuclear transfer cloning from preserved tissue, or direct genome editing of a closely related extant species' genome to introduce extinct-lineage alleles, differ fundamentally in the degree of genetic and phenotypic fidelity to the original species they can plausibly achieve. On this view, genome editing is best understood not as a route to producing an exact genetic replica of an extinct organism, but as a means of generating a functional ecological proxy capable of restoring lost ecosystem interactions, such as seed dispersal or predation pressure, even where full genomic identity with the extinct lineage remains technically out of reach (Shapiro, 2017). This functional, rather than strictly taxonomic, framing of de-extinction's conservation value has proved influential, shifting the central evaluative question away from whether a resurrected organism is "really" the extinct </w:t>
      </w:r>
      <w:r w:rsidRPr="00DE76CD">
        <w:rPr>
          <w:rFonts w:ascii="Times New Roman" w:eastAsia="Times New Roman" w:hAnsi="Times New Roman" w:cs="Times New Roman"/>
          <w:sz w:val="24"/>
          <w:szCs w:val="24"/>
          <w:lang w:eastAsia="en-GB"/>
        </w:rPr>
        <w:lastRenderedPageBreak/>
        <w:t>species and towards whether it can perform the ecological roles whose loss is considered conservation-relevant.</w:t>
      </w:r>
    </w:p>
    <w:p w14:paraId="5B5D7809"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More recent synthesis of progress across the field has documented substantial advances in the underlying technological pipeline: improvements in ancient deoxyribonucleic acid sequencing and assembly, advances in stem cell and assisted reproductive technology applicable to generating viable embryos from edited genomes, and parallel innovations in reintroduction science, artificial intelligence-assisted habitat suitability modelling, and long-term post-release ecological monitoring, all of which are needed if a genomically engineered proxy organism is ever to be established as a self-sustaining population in a real ecosystem rather than remaining a laboratory curiosity (Turner et al., 2025). This synthesis is notably cautious about how close full de-extinction outcomes actually are, suggesting instead that the conservation value of the underlying technological investment may, in the near term, accrue more to currently endangered species than to already extinct ones, through the same genome engineering, stem cell, and reproductive technologies being developed and refined under the de-extinction banner (Turner et al., 2025). This observation chimes closely with the genetic rescue work on the northern white rhinoceros discussed above, suggesting that the most immediately actionable conservation genomic applications of CRISPR-adjacent functional genomic technology may lie less in resurrecting lost species than in extending the technological lifeline available to extant, severely imperilled ones.</w:t>
      </w:r>
    </w:p>
    <w:p w14:paraId="2BD2E795" w14:textId="77777777" w:rsidR="00426439" w:rsidRPr="00DE76CD" w:rsidRDefault="00426439" w:rsidP="009376E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8. Gene Drives and Population-Level Genetic Control</w:t>
      </w:r>
    </w:p>
    <w:p w14:paraId="550B11B3"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8.1 Mechanisms and molecular architecture of gene drives</w:t>
      </w:r>
    </w:p>
    <w:p w14:paraId="24B2E050"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Whereas the sections above deal with functional genomic interventions targeting individual organisms or captive breeding populations, gene drive technology is a qualitatively different application of CRISPR-based tools, designed explicitly to propagate a genetic modification through an entire wild population by biasing inheritance beyond the fifty per cent transmission rate expected under Mendelian segregation. A homing-type CRISPR gene drive achieves this bias by encoding both a guide RNA and a Cas9 endonuclease at a specific genomic locus, such that, in a heterozygous individual, the drive construct directs cleavage of the corresponding wild-type allele on the homologous chromosome. The cell's own homology-directed repair machinery then copies the drive construct into the cleaved site, converting the heterozygote into a homozygote and ensuring that essentially all of that individual's gametes, rather than the Mendelian expectation of half, carry the drive (Raban et al., 2023). Because each successive generation of drive-carrying individuals converts a correspondingly larger share of the population to drive-positive status, the technology offers, at least in principle, a route to spreading a genetic trait, or pushing a population towards a suppressing fitness cost, using a comparatively small number of initial releases. This sets gene drives apart from conventional genetic biocontrol methods, which need sustained, large-scale releases to achieve comparable effects (Raban et al., 2023).</w:t>
      </w:r>
    </w:p>
    <w:p w14:paraId="7D542032"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Drive architectures have diversified considerably since the first demonstrations of CRISPR-based homing drives. Researchers have developed split-drive systems, in which the Cas9 and guide RNA components sit at separate, unlinked genomic loci; toxin-antidote systems that achieve population suppression or localisation through engineered genetic incompatibility rather than homing as such; and self-limiting daisy-chain or </w:t>
      </w:r>
      <w:proofErr w:type="spellStart"/>
      <w:r w:rsidRPr="00DE76CD">
        <w:rPr>
          <w:rFonts w:ascii="Times New Roman" w:eastAsia="Times New Roman" w:hAnsi="Times New Roman" w:cs="Times New Roman"/>
          <w:sz w:val="24"/>
          <w:szCs w:val="24"/>
          <w:lang w:eastAsia="en-GB"/>
        </w:rPr>
        <w:t>daisyfield</w:t>
      </w:r>
      <w:proofErr w:type="spellEnd"/>
      <w:r w:rsidRPr="00DE76CD">
        <w:rPr>
          <w:rFonts w:ascii="Times New Roman" w:eastAsia="Times New Roman" w:hAnsi="Times New Roman" w:cs="Times New Roman"/>
          <w:sz w:val="24"/>
          <w:szCs w:val="24"/>
          <w:lang w:eastAsia="en-GB"/>
        </w:rPr>
        <w:t xml:space="preserve"> architectures designed to spread only transiently, or only within a spatially bounded target population, before attenuating naturally. Each represents a distinct way of balancing the competing demands of </w:t>
      </w:r>
      <w:r w:rsidRPr="00DE76CD">
        <w:rPr>
          <w:rFonts w:ascii="Times New Roman" w:eastAsia="Times New Roman" w:hAnsi="Times New Roman" w:cs="Times New Roman"/>
          <w:sz w:val="24"/>
          <w:szCs w:val="24"/>
          <w:lang w:eastAsia="en-GB"/>
        </w:rPr>
        <w:lastRenderedPageBreak/>
        <w:t>population-level efficacy and biosafety containment (Raban et al., 2023; Champer et al., 2019).</w:t>
      </w:r>
    </w:p>
    <w:p w14:paraId="1F6414C7"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8.2 Applications to disease vectors</w:t>
      </w:r>
    </w:p>
    <w:p w14:paraId="5D7DDE73"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hAnsi="Times New Roman" w:cs="Times New Roman"/>
        </w:rPr>
        <w:t xml:space="preserve">The most extensively developed and field-proximate application of gene drive technology is the control of mosquito vectors responsible for malaria and other vector-borne diseases of substantial global health burden. Laboratory and caged-population research has demonstrated that homing-based drives targeting fertility or sex-determination genes in </w:t>
      </w:r>
      <w:r w:rsidRPr="00DE76CD">
        <w:rPr>
          <w:rFonts w:ascii="Times New Roman" w:hAnsi="Times New Roman" w:cs="Times New Roman"/>
          <w:i/>
        </w:rPr>
        <w:t>Anopheles gambiae</w:t>
      </w:r>
      <w:r w:rsidRPr="00DE76CD">
        <w:rPr>
          <w:rFonts w:ascii="Times New Roman" w:hAnsi="Times New Roman" w:cs="Times New Roman"/>
        </w:rPr>
        <w:t xml:space="preserve"> can achieve strong inheritance bias and meaningful population suppression under controlled cage conditions (Raban et al., 2023), results that have helped catalyse detailed planning for the first field trials of low-threshold gene drive systems intended to reduce malaria transmission across sub-Saharan Africa. A comprehensive synthesis addressing the design of such initial field trials has stressed that moving successfully from laboratory cage to open-field release requires careful attention to trial design, including genetic, entomological, and epidemiological efficacy endpoints, spatial and temporal monitoring of transgene spread, and structured community engagement protocols informed by the accumulated experience of biological control field trials more generally, while acknowledging that numerous scientific and regulatory uncertainties, including how drive spread will actually behave under realistic ecological heterogeneity, remain to be resolved before such trials can proceed (Connolly et al., 2024). That caution is itself instructive: even in the application domain where gene drive technology has advanced furthest towards field deployment, the responsible research community continues to treat the move from cage to field as needing far more extensive risk characterisation than the underlying molecular biology alone would suggest.</w:t>
      </w:r>
    </w:p>
    <w:p w14:paraId="40CBB88B"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8.3 Applications to invasive species</w:t>
      </w:r>
    </w:p>
    <w:p w14:paraId="6273935F"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 second major application concerns the use of gene drives to control or eradicate invasive alien species that threaten native biodiversity, agriculture, or public health, an application whose ecological stakes and biosafety requirements differ from disease vector control in important ways, not least because invasive species control often targets populations within, rather than disconnected from, the species' broader native range, raising distinct containment and reversibility concerns. Early critical commentary on this prospect framed the central question starkly, weighing gene drive technology's apparent capacity to function as a biocontrol "silver bullet" against the genuine possibility that an inadequately contained or poorly targeted drive could itself become a novel global conservation threat. That commentary drew explicit comparison with the documented successes and cautionary failures of classical biological control programmes, arguing that gene drive deployment decisions should be informed by the same rigorous attention to target specificity, population connectivity, and potential non-target ecological cascades that responsible classical biocontrol practice already demands (Webber et al., 2015).</w:t>
      </w:r>
    </w:p>
    <w:p w14:paraId="06E98C6A"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hAnsi="Times New Roman" w:cs="Times New Roman"/>
        </w:rPr>
        <w:t xml:space="preserve">Subsequent modelling work on specific invasive species has tried to turn these precautionary principles into concrete drive designs. A detailed modelling study of the grey squirrel, </w:t>
      </w:r>
      <w:r w:rsidRPr="00DE76CD">
        <w:rPr>
          <w:rFonts w:ascii="Times New Roman" w:hAnsi="Times New Roman" w:cs="Times New Roman"/>
          <w:i/>
        </w:rPr>
        <w:t>Sciurus carolinensis</w:t>
      </w:r>
      <w:r w:rsidRPr="00DE76CD">
        <w:rPr>
          <w:rFonts w:ascii="Times New Roman" w:hAnsi="Times New Roman" w:cs="Times New Roman"/>
        </w:rPr>
        <w:t>, an invasive pest responsible for substantial biodiversity and economic losses in the United Kingdom, proposed a combined drive architecture, termed HD-ClvR, integrating a homing drive component with a cleave-and-rescue toxin-antidote system to counter the emergence of drive-resistant alleles, alongside a self-limiting daisyfield component meant to allow controllable localisation of drive spread through deliberate, supplementation-dependent release strategies. Simulation results suggested that this combined architecture could control a targeted grey squirrel population effectively while posing comparatively little risk to other, non-target squirrel populations, although the authors were careful to note that the strategy had not yet been tested in live animals and that the wider ecosystem-level consequences of abrupt grey squirrel population suppression would need careful further thought before any field application (Faber et al., 2021).</w:t>
      </w:r>
    </w:p>
    <w:p w14:paraId="48BC7D5F"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hAnsi="Times New Roman" w:cs="Times New Roman"/>
        </w:rPr>
        <w:lastRenderedPageBreak/>
        <w:t xml:space="preserve">A similar trajectory of escalating empirical and modelling sophistication is visible in research on the invasive common wasp, </w:t>
      </w:r>
      <w:r w:rsidRPr="00DE76CD">
        <w:rPr>
          <w:rFonts w:ascii="Times New Roman" w:hAnsi="Times New Roman" w:cs="Times New Roman"/>
          <w:i/>
        </w:rPr>
        <w:t>Vespula vulgaris</w:t>
      </w:r>
      <w:r w:rsidRPr="00DE76CD">
        <w:rPr>
          <w:rFonts w:ascii="Times New Roman" w:hAnsi="Times New Roman" w:cs="Times New Roman"/>
        </w:rPr>
        <w:t>, in New Zealand. An initial assessment identified candidate spermatogenesis genes with enough genetic divergence between native and invaded wasp populations to allow a potentially population-specific, or "precision," gene drive design, with in vitro testing confirming guide RNA specificity within the target genus while ruling out cross-reactivity in other Hymenoptera (Lester et al., 2020). A later, more spatially and demographically explicit modelling analysis of the same system, however, tempered that earlier optimism considerably, concluding that complete extinction of the targeted wasp population through gene drive was unlikely under realistic assumptions, with the degree of population suppression achieved instead found to depend sensitively on dispersal rates and population growth dynamics that vary substantially across the invaded landscape (Lester et al., 2023). This sequence of studies, moving from initial molecular feasibility towards more sobering demographic and spatial realism, exemplifies a pattern that recurs throughout the invasive species gene drive literature: early proof-of-concept enthusiasm is consistently followed by more cautious, ecologically grounded modelling that substantially qualifies how much population suppression is realistically achievable in the field.</w:t>
      </w:r>
    </w:p>
    <w:p w14:paraId="02228E91"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This pattern of escalating caution is reinforced by theoretical work examining the population genetics of CRISPR gene drive invasiveness more broadly, which has shown mathematically that even comparatively inefficient drive systems, those with substantial resistance allele formation or incomplete homing efficiency, are still likely to be highly invasive once released into a connected wild population. Releasing even a small number of drive-carrying organisms can be expected to spread not only through the initially targeted local population but onward into additional populations linked by even very low rates of gene flow (Noble et al., 2018). The important corollary here is that resistance evolution, often proposed as a natural safeguard limiting unintended drive spread, cannot in general be relied on to prevent invasion of non-target populations. This reinforces arguments made independently by conservation biologists that any gene drive intended for invasive species control should be engineered with genuine molecular safeguards against unintended spread from the outset, rather than relying on resistance evolution or population isolation as an incidental containment mechanism (Esvelt &amp; Gemmell, 2017).</w:t>
      </w:r>
    </w:p>
    <w:p w14:paraId="02C3F71E"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8.4 Safeguarding strategies and containment</w:t>
      </w:r>
    </w:p>
    <w:p w14:paraId="32EBF459"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hAnsi="Times New Roman" w:cs="Times New Roman"/>
        </w:rPr>
        <w:t xml:space="preserve">In direct response to these invasiveness concerns, considerable methodological effort has gone into experimentally validating molecular strategies that could safeguard gene drive research itself against unintended escape from the laboratory. Experimental work in </w:t>
      </w:r>
      <w:r w:rsidRPr="00DE76CD">
        <w:rPr>
          <w:rFonts w:ascii="Times New Roman" w:hAnsi="Times New Roman" w:cs="Times New Roman"/>
          <w:i/>
        </w:rPr>
        <w:t>Drosophila melanogaster</w:t>
      </w:r>
      <w:r w:rsidRPr="00DE76CD">
        <w:rPr>
          <w:rFonts w:ascii="Times New Roman" w:hAnsi="Times New Roman" w:cs="Times New Roman"/>
        </w:rPr>
        <w:t xml:space="preserve"> has shown that both synthetic target-site drives, engineered to recognise an artificial sequence absent from wild genomes, and split-drive systems, in which the Cas9 and guide RNA components are genomically unlinked and so cannot together propagate autonomously beyond a contained laboratory cross, perform comparably to standard homing drives in terms of conversion efficiency while carrying a substantially lower risk of inadvertent environmental release. This gives researchers empirically validated containment options for early-stage gene drive research that do not require deferring all experimentation until field-ready, fully safeguarded constructs become available (Champer et al., 2019).</w:t>
      </w:r>
    </w:p>
    <w:p w14:paraId="2109B885"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The range of drive architectures, target applications, and findings discussed across this section is summarised in Table 3, which brings together the molecular logic of each approach with the specific zoological or public health problem it has been designed, or proposed, to solve. Read across, the table makes clear that gene drive technology occupies a distinctive position within CRISPR-based functional genomics in zoology: unlike the laboratory and applied breeding contexts addressed in Sections 4 through 7, gene drives are explicitly designed to propagate autonomously through wild populations, a property that turns questions </w:t>
      </w:r>
      <w:r w:rsidRPr="00DE76CD">
        <w:rPr>
          <w:rFonts w:ascii="Times New Roman" w:eastAsia="Times New Roman" w:hAnsi="Times New Roman" w:cs="Times New Roman"/>
          <w:sz w:val="24"/>
          <w:szCs w:val="24"/>
          <w:lang w:eastAsia="en-GB"/>
        </w:rPr>
        <w:lastRenderedPageBreak/>
        <w:t>of molecular efficiency and containment from secondary technical concerns into the central scientific and ethical preoccupation of the field.</w:t>
      </w:r>
    </w:p>
    <w:p w14:paraId="0CF88F60"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b/>
          <w:bCs/>
          <w:sz w:val="24"/>
          <w:szCs w:val="24"/>
          <w:lang w:eastAsia="en-GB"/>
        </w:rPr>
        <w:t>Table 3. Gene drive strategies proposed or developed for population-level genetic control in zoological pest and vector management</w:t>
      </w:r>
    </w:p>
    <w:tbl>
      <w:tblPr>
        <w:tblStyle w:val="MediumShading1-Accent1"/>
        <w:tblW w:w="0" w:type="auto"/>
        <w:tblLook w:val="04A0" w:firstRow="1" w:lastRow="0" w:firstColumn="1" w:lastColumn="0" w:noHBand="0" w:noVBand="1"/>
      </w:tblPr>
      <w:tblGrid>
        <w:gridCol w:w="2469"/>
        <w:gridCol w:w="2365"/>
        <w:gridCol w:w="1644"/>
        <w:gridCol w:w="2764"/>
      </w:tblGrid>
      <w:tr w:rsidR="00426439" w:rsidRPr="00DE76CD" w14:paraId="1EDB0EFF" w14:textId="77777777" w:rsidTr="00DE76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A10D2C" w14:textId="77777777" w:rsidR="00426439" w:rsidRPr="00DE76CD" w:rsidRDefault="00426439" w:rsidP="009376E5">
            <w:pPr>
              <w:jc w:val="both"/>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Drive architecture</w:t>
            </w:r>
          </w:p>
        </w:tc>
        <w:tc>
          <w:tcPr>
            <w:tcW w:w="0" w:type="auto"/>
            <w:hideMark/>
          </w:tcPr>
          <w:p w14:paraId="5B832CC5" w14:textId="77777777" w:rsidR="00426439" w:rsidRPr="00DE76CD" w:rsidRDefault="00426439" w:rsidP="009376E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Mechanistic principle</w:t>
            </w:r>
          </w:p>
        </w:tc>
        <w:tc>
          <w:tcPr>
            <w:tcW w:w="0" w:type="auto"/>
            <w:hideMark/>
          </w:tcPr>
          <w:p w14:paraId="52596EF6" w14:textId="77777777" w:rsidR="00426439" w:rsidRPr="00DE76CD" w:rsidRDefault="00426439" w:rsidP="009376E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Primary intended application</w:t>
            </w:r>
          </w:p>
        </w:tc>
        <w:tc>
          <w:tcPr>
            <w:tcW w:w="0" w:type="auto"/>
            <w:hideMark/>
          </w:tcPr>
          <w:p w14:paraId="4C02B4B3" w14:textId="77777777" w:rsidR="00426439" w:rsidRPr="00DE76CD" w:rsidRDefault="00426439" w:rsidP="009376E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Key reported finding</w:t>
            </w:r>
          </w:p>
        </w:tc>
      </w:tr>
      <w:tr w:rsidR="00426439" w:rsidRPr="00DE76CD" w14:paraId="1177F1BE"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DB098D"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Homing-type CRISPR drive</w:t>
            </w:r>
          </w:p>
        </w:tc>
        <w:tc>
          <w:tcPr>
            <w:tcW w:w="0" w:type="auto"/>
            <w:hideMark/>
          </w:tcPr>
          <w:p w14:paraId="720A59E9"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Cas9/guide RNA construct converts heterozygotes to homozygotes via homology-directed repair</w:t>
            </w:r>
          </w:p>
        </w:tc>
        <w:tc>
          <w:tcPr>
            <w:tcW w:w="0" w:type="auto"/>
            <w:hideMark/>
          </w:tcPr>
          <w:p w14:paraId="12282ADF"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hAnsi="Times New Roman" w:cs="Times New Roman"/>
              </w:rPr>
              <w:t>Malaria vector (</w:t>
            </w:r>
            <w:r w:rsidRPr="00DE76CD">
              <w:rPr>
                <w:rFonts w:ascii="Times New Roman" w:hAnsi="Times New Roman" w:cs="Times New Roman"/>
                <w:i/>
              </w:rPr>
              <w:t>Anopheles gambiae</w:t>
            </w:r>
            <w:r w:rsidRPr="00DE76CD">
              <w:rPr>
                <w:rFonts w:ascii="Times New Roman" w:hAnsi="Times New Roman" w:cs="Times New Roman"/>
              </w:rPr>
              <w:t>) suppression</w:t>
            </w:r>
          </w:p>
        </w:tc>
        <w:tc>
          <w:tcPr>
            <w:tcW w:w="0" w:type="auto"/>
            <w:hideMark/>
          </w:tcPr>
          <w:p w14:paraId="2A015DCB"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Strong inheritance bias and population suppression demonstrated under laboratory cage conditions, informing subsequent field-trial planning</w:t>
            </w:r>
          </w:p>
        </w:tc>
      </w:tr>
      <w:tr w:rsidR="00426439" w:rsidRPr="00DE76CD" w14:paraId="5260FEE4"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81B3F4"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Split drive</w:t>
            </w:r>
          </w:p>
        </w:tc>
        <w:tc>
          <w:tcPr>
            <w:tcW w:w="0" w:type="auto"/>
            <w:hideMark/>
          </w:tcPr>
          <w:p w14:paraId="27E17EBE"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Cas9 and guide RNA encoded at unlinked loci, preventing autonomous propagation</w:t>
            </w:r>
          </w:p>
        </w:tc>
        <w:tc>
          <w:tcPr>
            <w:tcW w:w="0" w:type="auto"/>
            <w:hideMark/>
          </w:tcPr>
          <w:p w14:paraId="10C81678"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Laboratory biosafety containment</w:t>
            </w:r>
          </w:p>
        </w:tc>
        <w:tc>
          <w:tcPr>
            <w:tcW w:w="0" w:type="auto"/>
            <w:hideMark/>
          </w:tcPr>
          <w:p w14:paraId="6712AC18"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Performance comparable to standard homing drives with substantially reduced escape risk</w:t>
            </w:r>
          </w:p>
        </w:tc>
      </w:tr>
      <w:tr w:rsidR="00426439" w:rsidRPr="00DE76CD" w14:paraId="59D736E3"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1F596D"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Toxin-antidote / cleave-and-rescue</w:t>
            </w:r>
          </w:p>
        </w:tc>
        <w:tc>
          <w:tcPr>
            <w:tcW w:w="0" w:type="auto"/>
            <w:hideMark/>
          </w:tcPr>
          <w:p w14:paraId="43B69A51"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Genetic incompatibility used to suppress or localise spread</w:t>
            </w:r>
          </w:p>
        </w:tc>
        <w:tc>
          <w:tcPr>
            <w:tcW w:w="0" w:type="auto"/>
            <w:hideMark/>
          </w:tcPr>
          <w:p w14:paraId="4F4AE8AC"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Invasive grey squirrel control (modelled)</w:t>
            </w:r>
          </w:p>
        </w:tc>
        <w:tc>
          <w:tcPr>
            <w:tcW w:w="0" w:type="auto"/>
            <w:hideMark/>
          </w:tcPr>
          <w:p w14:paraId="07CCE0C2"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Combined HD-</w:t>
            </w:r>
            <w:proofErr w:type="spellStart"/>
            <w:r w:rsidRPr="00DE76CD">
              <w:rPr>
                <w:rFonts w:ascii="Times New Roman" w:eastAsia="Times New Roman" w:hAnsi="Times New Roman" w:cs="Times New Roman"/>
                <w:sz w:val="24"/>
                <w:szCs w:val="24"/>
                <w:lang w:eastAsia="en-GB"/>
              </w:rPr>
              <w:t>ClvR</w:t>
            </w:r>
            <w:proofErr w:type="spellEnd"/>
            <w:r w:rsidRPr="00DE76CD">
              <w:rPr>
                <w:rFonts w:ascii="Times New Roman" w:eastAsia="Times New Roman" w:hAnsi="Times New Roman" w:cs="Times New Roman"/>
                <w:sz w:val="24"/>
                <w:szCs w:val="24"/>
                <w:lang w:eastAsia="en-GB"/>
              </w:rPr>
              <w:t xml:space="preserve"> architecture predicted to control target population with limited non-target risk</w:t>
            </w:r>
          </w:p>
        </w:tc>
      </w:tr>
      <w:tr w:rsidR="00426439" w:rsidRPr="00DE76CD" w14:paraId="338858C0"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617616"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Precision/specificity-targeted drive</w:t>
            </w:r>
          </w:p>
        </w:tc>
        <w:tc>
          <w:tcPr>
            <w:tcW w:w="0" w:type="auto"/>
            <w:hideMark/>
          </w:tcPr>
          <w:p w14:paraId="25FBF8BE"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Guide RNA designed against genetically divergent invasive-range alleles</w:t>
            </w:r>
          </w:p>
        </w:tc>
        <w:tc>
          <w:tcPr>
            <w:tcW w:w="0" w:type="auto"/>
            <w:hideMark/>
          </w:tcPr>
          <w:p w14:paraId="4E826731"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Invasive common wasp control</w:t>
            </w:r>
          </w:p>
        </w:tc>
        <w:tc>
          <w:tcPr>
            <w:tcW w:w="0" w:type="auto"/>
            <w:hideMark/>
          </w:tcPr>
          <w:p w14:paraId="7BBD984A"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Target specificity confirmed in vitro; subsequent spatial modelling suggested extinction unlikely without favourable dispersal/growth conditions</w:t>
            </w:r>
          </w:p>
        </w:tc>
      </w:tr>
      <w:tr w:rsidR="00426439" w:rsidRPr="00DE76CD" w14:paraId="7F1FEB2B"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C19FFC"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Daisy-chain / </w:t>
            </w:r>
            <w:proofErr w:type="spellStart"/>
            <w:r w:rsidRPr="00DE76CD">
              <w:rPr>
                <w:rFonts w:ascii="Times New Roman" w:eastAsia="Times New Roman" w:hAnsi="Times New Roman" w:cs="Times New Roman"/>
                <w:sz w:val="24"/>
                <w:szCs w:val="24"/>
                <w:lang w:eastAsia="en-GB"/>
              </w:rPr>
              <w:t>daisyfield</w:t>
            </w:r>
            <w:proofErr w:type="spellEnd"/>
            <w:r w:rsidRPr="00DE76CD">
              <w:rPr>
                <w:rFonts w:ascii="Times New Roman" w:eastAsia="Times New Roman" w:hAnsi="Times New Roman" w:cs="Times New Roman"/>
                <w:sz w:val="24"/>
                <w:szCs w:val="24"/>
                <w:lang w:eastAsia="en-GB"/>
              </w:rPr>
              <w:t xml:space="preserve"> (self-limiting)</w:t>
            </w:r>
          </w:p>
        </w:tc>
        <w:tc>
          <w:tcPr>
            <w:tcW w:w="0" w:type="auto"/>
            <w:hideMark/>
          </w:tcPr>
          <w:p w14:paraId="6F233F0A"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Drive components arranged to attenuate spread beyond a defined number of generations or geographic area</w:t>
            </w:r>
          </w:p>
        </w:tc>
        <w:tc>
          <w:tcPr>
            <w:tcW w:w="0" w:type="auto"/>
            <w:hideMark/>
          </w:tcPr>
          <w:p w14:paraId="36366130"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Spatially bounded population control</w:t>
            </w:r>
          </w:p>
        </w:tc>
        <w:tc>
          <w:tcPr>
            <w:tcW w:w="0" w:type="auto"/>
            <w:hideMark/>
          </w:tcPr>
          <w:p w14:paraId="5F3B4055"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Proposed as containment strategy to reduce risk of uncontrolled spread to non-target populations</w:t>
            </w:r>
          </w:p>
        </w:tc>
      </w:tr>
    </w:tbl>
    <w:p w14:paraId="068DDF37"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hAnsi="Times New Roman" w:cs="Times New Roman"/>
        </w:rPr>
        <w:t xml:space="preserve">Sources: Raban et al. (2023); Connolly et al. </w:t>
      </w:r>
      <w:r w:rsidRPr="00BB0DD0">
        <w:rPr>
          <w:rFonts w:ascii="Times New Roman" w:hAnsi="Times New Roman" w:cs="Times New Roman"/>
          <w:lang w:val="nl-BE"/>
        </w:rPr>
        <w:t xml:space="preserve">(2024); Champer et al. (2019); Faber et al. </w:t>
      </w:r>
      <w:r w:rsidRPr="00DE76CD">
        <w:rPr>
          <w:rFonts w:ascii="Times New Roman" w:hAnsi="Times New Roman" w:cs="Times New Roman"/>
        </w:rPr>
        <w:t>(2021); Lester et al. (2020); Lester et al. (2023); Noble et al. (2018).</w:t>
      </w:r>
    </w:p>
    <w:p w14:paraId="0BB8E792" w14:textId="77777777" w:rsidR="00426439" w:rsidRPr="00DE76CD" w:rsidRDefault="00426439" w:rsidP="009376E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9. Avian Disease Resistance and Xenotransplantation: Functional Genomics at the Animal–Human Interface</w:t>
      </w:r>
    </w:p>
    <w:p w14:paraId="4F98946B"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9.1 Genome editing of primordial germ cells in poultry</w:t>
      </w:r>
    </w:p>
    <w:p w14:paraId="2B82B88B"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lastRenderedPageBreak/>
        <w:t>Avian genome editing has historically lagged behind work in mammals, a gap attributable mainly to the unique reproductive biology of birds, in which the large, yolk-laden egg and the inaccessibility of the early embryo within a hard shell rule out the pronuclear microinjection techniques routinely used in mammalian embryos (He et al., 2025). This obstacle has been substantially overcome through the development of robust in vitro culture systems for chicken primordial germ cells, the migratory precursors of the germline. These cells can be isolated from embryonic blood or developing gonads, expanded and genetically modified in culture using CRISPR–Cas9, and then reintroduced into the vasculature of a recipient embryo to create a germline chimera capable, once it matures and breeds, of passing the engineered modification on to offspring (He et al., 2025). This primordial germ cell-mediated platform has made the chicken a genuinely tractable system for genetic engineering applied to disease resistance, agricultural trait enhancement, and the development of novel biotechnological platforms, including oviduct-based bioreactors for recombinant protein production.</w:t>
      </w:r>
    </w:p>
    <w:p w14:paraId="50EE8702"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The most consequential application of this platform so far addresses avian influenza, a disease of severe and ongoing concern for both poultry welfare and pandemic preparedness. Building on the prior identification of the chicken acidic nuclear phosphoprotein 32 family member ANP32A as an essential host factor co-opted by the influenza A viral polymerase, researchers used CRISPR–Cas9-mediated homology-directed repair to introduce two specific amino acid substitutions into the ANP32A gene of primordial germ cells, then generated homozygous gene-edited chickens that proved resistant to infection following low-dose viral challenge, with nine of ten edited birds remaining uninfected (Idoko-</w:t>
      </w:r>
      <w:proofErr w:type="spellStart"/>
      <w:r w:rsidRPr="00DE76CD">
        <w:rPr>
          <w:rFonts w:ascii="Times New Roman" w:eastAsia="Times New Roman" w:hAnsi="Times New Roman" w:cs="Times New Roman"/>
          <w:sz w:val="24"/>
          <w:szCs w:val="24"/>
          <w:lang w:eastAsia="en-GB"/>
        </w:rPr>
        <w:t>Akoh</w:t>
      </w:r>
      <w:proofErr w:type="spellEnd"/>
      <w:r w:rsidRPr="00DE76CD">
        <w:rPr>
          <w:rFonts w:ascii="Times New Roman" w:eastAsia="Times New Roman" w:hAnsi="Times New Roman" w:cs="Times New Roman"/>
          <w:sz w:val="24"/>
          <w:szCs w:val="24"/>
          <w:lang w:eastAsia="en-GB"/>
        </w:rPr>
        <w:t xml:space="preserve"> et al., 2023). Challenge with a substantially higher viral dose, however, revealed breakthrough infections, and the surviving virus was found to carry adaptive mutations in its own polymerase gene that restored compatibility with the edited ANP32A protein. More strikingly, the virus proved capable of co-opting the related ANP32B and ANP32E paralogues as alternative cofactors once the primary ANP32A pathway was blocked, a redundancy resolved only when the research team additionally disrupted both paralogous genes, achieving complete abrogation of viral growth in cultured cells (Idoko-</w:t>
      </w:r>
      <w:proofErr w:type="spellStart"/>
      <w:r w:rsidRPr="00DE76CD">
        <w:rPr>
          <w:rFonts w:ascii="Times New Roman" w:eastAsia="Times New Roman" w:hAnsi="Times New Roman" w:cs="Times New Roman"/>
          <w:sz w:val="24"/>
          <w:szCs w:val="24"/>
          <w:lang w:eastAsia="en-GB"/>
        </w:rPr>
        <w:t>Akoh</w:t>
      </w:r>
      <w:proofErr w:type="spellEnd"/>
      <w:r w:rsidRPr="00DE76CD">
        <w:rPr>
          <w:rFonts w:ascii="Times New Roman" w:eastAsia="Times New Roman" w:hAnsi="Times New Roman" w:cs="Times New Roman"/>
          <w:sz w:val="24"/>
          <w:szCs w:val="24"/>
          <w:lang w:eastAsia="en-GB"/>
        </w:rPr>
        <w:t xml:space="preserve"> et al., 2023). This result carries an important general lesson for functional genomics applied to host-pathogen interactions across zoology: single-gene disease-resistance interventions aimed at a rapidly evolving pathogen risk being circumvented either through pathogen adaptation at the targeted locus or through exploitation of redundant host pathways, such that durable resistance is likely to require deliberately multiplexed, rather than single-locus, genetic interventions, a conclusion that bears directly on the comparable porcine disease-resistance work discussed in Section 6.</w:t>
      </w:r>
    </w:p>
    <w:p w14:paraId="69BE41BF"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9.2 Pigs as xenotransplantation donors</w:t>
      </w:r>
    </w:p>
    <w:p w14:paraId="42ED3D6A"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A further domain in which CRISPR-based functional genomics has advanced rapidly at the interface between animal biology and human biomedicine is the genetic engineering of pigs as a source of organs for xenotransplantation, motivated by the severe and persistent shortage of human donor organs. The principal immunological obstacle to pig-to-human xenotransplantation, hyperacute rejection mediated by pre-formed human antibodies against the galactose alpha-1,3-galactose epitope expressed on porcine vascular endothelium, has been addressed through pigs carrying knockouts of the alpha-1,3-galactosyltransferase gene responsible for this epitope, a modification now routinely combined with further </w:t>
      </w:r>
      <w:proofErr w:type="spellStart"/>
      <w:r w:rsidRPr="00DE76CD">
        <w:rPr>
          <w:rFonts w:ascii="Times New Roman" w:eastAsia="Times New Roman" w:hAnsi="Times New Roman" w:cs="Times New Roman"/>
          <w:sz w:val="24"/>
          <w:szCs w:val="24"/>
          <w:lang w:eastAsia="en-GB"/>
        </w:rPr>
        <w:t>xenoantigen</w:t>
      </w:r>
      <w:proofErr w:type="spellEnd"/>
      <w:r w:rsidRPr="00DE76CD">
        <w:rPr>
          <w:rFonts w:ascii="Times New Roman" w:eastAsia="Times New Roman" w:hAnsi="Times New Roman" w:cs="Times New Roman"/>
          <w:sz w:val="24"/>
          <w:szCs w:val="24"/>
          <w:lang w:eastAsia="en-GB"/>
        </w:rPr>
        <w:t xml:space="preserve">-encoding gene knockouts and the introduction of multiple human complement-regulatory and anticoagulant transgenes to address subsequent layers of immunological and physiological incompatibility (Urban et al., 2025). This multiplexed genetic engineering strategy has moved quickly from laboratory and non-human primate preclinical models </w:t>
      </w:r>
      <w:r w:rsidRPr="00DE76CD">
        <w:rPr>
          <w:rFonts w:ascii="Times New Roman" w:eastAsia="Times New Roman" w:hAnsi="Times New Roman" w:cs="Times New Roman"/>
          <w:sz w:val="24"/>
          <w:szCs w:val="24"/>
          <w:lang w:eastAsia="en-GB"/>
        </w:rPr>
        <w:lastRenderedPageBreak/>
        <w:t>towards human clinical application: pig kidneys and hearts carrying as many as ten distinct genetic modifications have now been transplanted into both brain-dead human decedents and, more recently, living human recipients, alongside parallel progress in pig-to-human liver xenotransplantation (Camenzind, 2024).</w:t>
      </w:r>
    </w:p>
    <w:p w14:paraId="2259DD1B"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This rapid clinical translation has, in turn, prompted commissioned ethical review specifically addressing the animal welfare dimensions of xenotransplantation research and donor animal husbandry, a domain where the genetic engineering itself, however technically sophisticated, is only one part of a much larger programme of intensive animal experimentation, including extensive use of non-human primates in preclinical safety and efficacy testing. An expert ethics committee report has characterised the cumulative welfare burden of this work as the subject of genuine and unresolved disagreement even among specialists charged with weighing the technology's substantial potential to address otherwise unmet human medical need against the severe strain it places on the animals used to develop it (Camenzind, 2024). This case shows with particular clarity a tension that recurs, in less acute form, throughout this review: the genetic engineering component of a given zoological biotechnology application is often the most scientifically novel element of the overall research programme, yet it is rarely the primary source of the programme's most serious ethical and welfare costs, which more often arise from the broader experimental and husbandry context in which the edited animals are generated, kept, and tested.</w:t>
      </w:r>
    </w:p>
    <w:p w14:paraId="6C84273A" w14:textId="77777777" w:rsidR="00426439" w:rsidRPr="00DE76CD" w:rsidRDefault="00426439" w:rsidP="009376E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10. Off-Target Effects, Detection Methodologies, and Biosafety</w:t>
      </w:r>
    </w:p>
    <w:p w14:paraId="24E1D4C8"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10.1 Mechanisms of off-target activity</w:t>
      </w:r>
    </w:p>
    <w:p w14:paraId="06ACC81D"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 persistent technical limitation qualifying enthusiasm for CRISPR-based functional genomics across every application discussed above is the possibility that the Cas9-guide RNA complex will bind and cleave genomic sequences other than the intended target, owing to partial sequence complementarity between the guide RNA and unintended genomic loci, or to the protospacer-adjacent motif tolerance of certain Cas9 variants. Such off-target mutagenesis matters particularly in zoological functional genomics because an unintended mutation at a locus other than the gene under study can confound interpretation, potentially attributing to the intended target gene a phenotype that, in reality, arises from collateral damage elsewhere in the genome. In applied contexts such as livestock and conservation genome editing, off-target mutations additionally raise direct animal welfare and ecological safety concerns, particularly where the edited organism is destined for environmental release or food production (Carrington et al., 2022). The robustness of any functional genomic conclusion therefore depends critically on how sensitive and comprehensive the methods are, both for confirming the intended on-target edit and for screening for unintended off-target modification, a dependency that has motivated substantial independent investment in indel detection and off-target discovery technology running parallel to the application-focused research surveyed in earlier sections (Carrington et al., 2022).</w:t>
      </w:r>
    </w:p>
    <w:p w14:paraId="2D85B0A4"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10.2 Detection technologies</w:t>
      </w:r>
    </w:p>
    <w:p w14:paraId="7CD64E94"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Considerable methodological innovation has gone into improving the sensitivity with which off-target mutagenesis can be detected, particularly within living animals rather than the more readily characterised cultured cell systems where tissue heterogeneity in vivo has historically limited assay sensitivity. One influential approach exploits the transient recruitment of the endogenous DNA repair factor MRE11 to sites of Cas-induced double-stranded breaks, using </w:t>
      </w:r>
      <w:r w:rsidRPr="00DE76CD">
        <w:rPr>
          <w:rFonts w:ascii="Times New Roman" w:eastAsia="Times New Roman" w:hAnsi="Times New Roman" w:cs="Times New Roman"/>
          <w:sz w:val="24"/>
          <w:szCs w:val="24"/>
          <w:lang w:eastAsia="en-GB"/>
        </w:rPr>
        <w:lastRenderedPageBreak/>
        <w:t>chromatin immunoprecipitation followed by sequencing to map the genome-wide distribution of repair factor binding and so infer the location of both intended and unintended cleavage events. A refinement of this approach, achieved by pharmacologically prolonging MRE11 residence time at damage sites through inhibition of a competing repair kinase, has been shown to discover up to fivefold more off-target sites than the original method across immortalised cell lines, primary human cells, and, importantly for zoological applications, living mice subjected to in vivo adenoviral delivery of a Cas9-guide RNA targeting a cardiovascular risk gene. This makes the refined approach among the most sensitive currently available methods for in vivo off-target discovery (Zou et al., 2023).</w:t>
      </w:r>
    </w:p>
    <w:p w14:paraId="44917D26" w14:textId="365F4F38"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A complementary and more recently developed approach instead exploits the single-stranded DNA intermediates generated during the cellular response to genome editing, tracking the binding of replication protein A, a protein that coats and protects exposed single-stranded DNA, to identify both on-target and off-target editing events across a notably broad range of genome editor modalities, including conventional Cas9 nucleases, cytosine and adenine base editors, and prime editors, while requiring comparatively little cellular input and remaining applicable in vitro, ex vivo, and in vivo (Zhu et al., </w:t>
      </w:r>
      <w:r w:rsidR="00BB0DD0" w:rsidRPr="00BB0DD0">
        <w:rPr>
          <w:rFonts w:ascii="Times New Roman" w:eastAsia="Times New Roman" w:hAnsi="Times New Roman" w:cs="Times New Roman"/>
          <w:sz w:val="24"/>
          <w:szCs w:val="24"/>
          <w:lang w:eastAsia="en-GB"/>
        </w:rPr>
        <w:t>2025</w:t>
      </w:r>
      <w:r w:rsidRPr="00DE76CD">
        <w:rPr>
          <w:rFonts w:ascii="Times New Roman" w:eastAsia="Times New Roman" w:hAnsi="Times New Roman" w:cs="Times New Roman"/>
          <w:sz w:val="24"/>
          <w:szCs w:val="24"/>
          <w:lang w:eastAsia="en-GB"/>
        </w:rPr>
        <w:t xml:space="preserve">). A particularly consequential finding from this work is that off-target effects associated with a single, identical guide RNA can vary substantially depending on both the specific genome editor modality used and the particular cell type or tissue context in which editing is performed. This carries an important methodological implication: off-target risk assessments conducted in a convenient surrogate cell line cannot be assumed to generalise reliably to the specific cell type, tissue, or species ultimately targeted in a given functional genomic or applied editing programme, reinforcing a broader theme already visible in the host-pathogen and ecological applications discussed in Sections 8 and 9, namely that biological context-dependence repeatedly undermines straightforward extrapolation from one experimental system to another within this field (Zhu et al., </w:t>
      </w:r>
      <w:r w:rsidR="00BB0DD0" w:rsidRPr="00BB0DD0">
        <w:rPr>
          <w:rFonts w:ascii="Times New Roman" w:eastAsia="Times New Roman" w:hAnsi="Times New Roman" w:cs="Times New Roman"/>
          <w:sz w:val="24"/>
          <w:szCs w:val="24"/>
          <w:lang w:eastAsia="en-GB"/>
        </w:rPr>
        <w:t>2025</w:t>
      </w:r>
      <w:r w:rsidRPr="00DE76CD">
        <w:rPr>
          <w:rFonts w:ascii="Times New Roman" w:eastAsia="Times New Roman" w:hAnsi="Times New Roman" w:cs="Times New Roman"/>
          <w:sz w:val="24"/>
          <w:szCs w:val="24"/>
          <w:lang w:eastAsia="en-GB"/>
        </w:rPr>
        <w:t>).</w:t>
      </w:r>
    </w:p>
    <w:p w14:paraId="1C7AFE89" w14:textId="77777777" w:rsidR="00426439" w:rsidRPr="00DE76CD" w:rsidRDefault="00426439" w:rsidP="009376E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11. Ethical, Regulatory, and Ecological Risk Considerations</w:t>
      </w:r>
    </w:p>
    <w:p w14:paraId="35839E8B"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11.1 Animal welfare considerations</w:t>
      </w:r>
    </w:p>
    <w:p w14:paraId="15660CFF"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Applying CRISPR-based genome editing to sentient, captive, and wild animals raises welfare questions that are, in important respects, distinct from, even where they overlap with, the purely scientific and technical considerations addressed elsewhere in this review. As the slick-coat cattle case in Section 6 illustrates, a genetic modification framed in productivity or even welfare-improving terms by its developers does not automatically carry a correspondingly well-substantiated empirical welfare benefit, and independent academic scrutiny applying established animal welfare science frameworks to specific commercial genome-editing applications has identified persistent gaps between regulatory risk characterisations, typically focused narrowly on the molecular safety of the editing process itself, and the broader, still incompletely answered question of whether the resulting animals genuinely experience improved welfare under the environmental conditions the edit is meant to address (</w:t>
      </w:r>
      <w:proofErr w:type="spellStart"/>
      <w:r w:rsidRPr="00DE76CD">
        <w:rPr>
          <w:rFonts w:ascii="Times New Roman" w:eastAsia="Times New Roman" w:hAnsi="Times New Roman" w:cs="Times New Roman"/>
          <w:sz w:val="24"/>
          <w:szCs w:val="24"/>
          <w:lang w:eastAsia="en-GB"/>
        </w:rPr>
        <w:t>Pozzebon</w:t>
      </w:r>
      <w:proofErr w:type="spellEnd"/>
      <w:r w:rsidRPr="00DE76CD">
        <w:rPr>
          <w:rFonts w:ascii="Times New Roman" w:eastAsia="Times New Roman" w:hAnsi="Times New Roman" w:cs="Times New Roman"/>
          <w:sz w:val="24"/>
          <w:szCs w:val="24"/>
          <w:lang w:eastAsia="en-GB"/>
        </w:rPr>
        <w:t xml:space="preserve"> et al., 2024). A structurally similar gap shows up in the xenotransplantation domain, where commissioned ethical review has concluded that the principal unresolved welfare concern attaches less to the genetic engineering procedure itself than to the cumulative experimental burden placed on donor pigs and, especially, on non-human primates used in preclinical validation, a burden whose ethical acceptability remains a matter of genuine, unresolved disagreement even among specialist ethics committee members directly tasked with evaluating it (Camenzind, 2024). Taken together, these cases suggest that </w:t>
      </w:r>
      <w:r w:rsidRPr="00DE76CD">
        <w:rPr>
          <w:rFonts w:ascii="Times New Roman" w:eastAsia="Times New Roman" w:hAnsi="Times New Roman" w:cs="Times New Roman"/>
          <w:sz w:val="24"/>
          <w:szCs w:val="24"/>
          <w:lang w:eastAsia="en-GB"/>
        </w:rPr>
        <w:lastRenderedPageBreak/>
        <w:t>responsibly evaluating any proposed zoological genome-editing application requires welfare assessment that goes well beyond the molecular fidelity of the edit itself, encompassing the full experimental, husbandry, and environmental context in which the edited animal is created and subsequently lives.</w:t>
      </w:r>
    </w:p>
    <w:p w14:paraId="070D4597"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11.2 Regulatory frameworks</w:t>
      </w:r>
    </w:p>
    <w:p w14:paraId="2333791D"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The regulatory treatment of genome-edited animals varies considerably across jurisdictions and continues to evolve quickly in response to the pace of underlying scientific development. Within the European Union, the regulatory default has historically treated genome-edited animals as falling within the scope of existing genetically modified organism legislation, with correspondingly strict pre-market risk assessment requirements. Reflecting the pace of recent biotechnological development, the European Food Safety Authority's Panel on Genetically Modified Organisms has been asked to assess specifically whether existing risk assessment guidance, developed originally with conventional transgenic organisms in mind, remains adequate for the distinct hazard profile presented by animals generated using newer genomic techniques, including targeted mutagenesis achieved without inserting any exogenous deoxyribonucleic acid sequence. The resulting scientific opinion concluded that no novel hazards specifically attributable to the editing process or to the newly introduced trait itself have been identified when such techniques are compared against established genomic techniques or conventional breeding, while also noting that several genome-edited animal products developed elsewhere in the world have already been judged non-genetically-modified, and therefore subject to substantially lighter regulatory treatment, under the differing legislative frameworks of other jurisdictions such as Argentina and Brazil (EFSA Panel on Genetically Modified Organisms et al., 2025). This regulatory divergence, between approaches that treat targeted mutagenesis lacking exogenous DNA insertion as functionally equivalent to conventional breeding and approaches that retain the full genetically modified organism apparatus regardless of the specific molecular mechanism used, is a substantial and currently unresolved source of uncertainty for international trade in genome-edited livestock and aquaculture products. It is itself the subject of ongoing academic and policy commentary arguing that regulatory frameworks would benefit from greater international harmonisation focused on the nature of the resulting genetic change rather than on the specific technological process by which that change was achieved (</w:t>
      </w:r>
      <w:proofErr w:type="spellStart"/>
      <w:r w:rsidRPr="00DE76CD">
        <w:rPr>
          <w:rFonts w:ascii="Times New Roman" w:eastAsia="Times New Roman" w:hAnsi="Times New Roman" w:cs="Times New Roman"/>
          <w:sz w:val="24"/>
          <w:szCs w:val="24"/>
          <w:lang w:eastAsia="en-GB"/>
        </w:rPr>
        <w:t>Laible</w:t>
      </w:r>
      <w:proofErr w:type="spellEnd"/>
      <w:r w:rsidRPr="00DE76CD">
        <w:rPr>
          <w:rFonts w:ascii="Times New Roman" w:eastAsia="Times New Roman" w:hAnsi="Times New Roman" w:cs="Times New Roman"/>
          <w:sz w:val="24"/>
          <w:szCs w:val="24"/>
          <w:lang w:eastAsia="en-GB"/>
        </w:rPr>
        <w:t xml:space="preserve"> &amp; Cigan, 2025; Rodriguez-Villamil et al., 2024).</w:t>
      </w:r>
    </w:p>
    <w:p w14:paraId="08BA1D6A" w14:textId="77777777" w:rsidR="00426439" w:rsidRPr="00DE76CD" w:rsidRDefault="00426439" w:rsidP="009376E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11.3 Ecological risk assessment of gene drives</w:t>
      </w:r>
    </w:p>
    <w:p w14:paraId="670710BF"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Gene drive technologies present a distinct and, in important respects, more acute regulatory and risk-assessment challenge than conventional genome-edited livestock or aquaculture applications, precisely because a successful gene drive release is intended to propagate autonomously through, and potentially beyond, the population it initially targets, a property with no direct precedent in conventional genetically modified organism regulation, which has historically assumed a containable, reproductively confined organism. The detailed problem-formulation exercises conducted ahead of proposed gene drive field trials for malaria vector control, in which researchers and regulators have systematically catalogued plausible causal pathways by which a population-suppression drive release might result in environmental or public health harm, illustrate just how much more elaborate the risk-assessment apparatus for gene drive technologies is becoming relative to conventional genetically modified organisms. That apparatus must explicitly engage with the spatial and temporal dynamics of drive spread across connected populations rather than treating the released organism as a discrete, spatially </w:t>
      </w:r>
      <w:r w:rsidRPr="00DE76CD">
        <w:rPr>
          <w:rFonts w:ascii="Times New Roman" w:eastAsia="Times New Roman" w:hAnsi="Times New Roman" w:cs="Times New Roman"/>
          <w:sz w:val="24"/>
          <w:szCs w:val="24"/>
          <w:lang w:eastAsia="en-GB"/>
        </w:rPr>
        <w:lastRenderedPageBreak/>
        <w:t>bounded entity (Connolly et al., 2024). The weight of theoretical and empirical evidence reviewed in Section 8, indicating that even imperfectly efficient drive systems are likely to prove substantially invasive once released into a genetically connected wild population, reinforces a conclusion now broadly shared across the conservation genetics and biosafety literature: responsible gene drive deployment, whether for disease vector or invasive species control, will require molecular containment safeguards engineered into the drive construct from its earliest design stages, rather than relying on population isolation, resistance allele evolution, or after-the-fact regulatory intervention as a substitute for proactive biosafety engineering (Noble et al., 2018; Esvelt &amp; Gemmell, 2017; Champer et al., 2019).</w:t>
      </w:r>
    </w:p>
    <w:p w14:paraId="151A53CB"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Table 4 draws these regulatory and risk-assessment threads together across the application domains covered in this review, setting out for each the primary focus of current risk assessment and the issue that remains most contested or unresolved. Read alongside the discussion above, the table makes clear that no single regulatory template currently spans the full range of zoological genome-editing applications: livestock and aquaculture editing is converging, unevenly, on a framework that asks whether the resulting genetic change is comparable to conventional breeding, whereas gene drive and xenotransplantation applications raise risk and welfare questions, around uncontrolled spread and cumulative animal experimentation respectively, that existing genetically modified organism and animal research governance structures were not originally designed to handle.</w:t>
      </w:r>
    </w:p>
    <w:p w14:paraId="2E0D5582"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b/>
          <w:bCs/>
          <w:sz w:val="24"/>
          <w:szCs w:val="24"/>
          <w:lang w:eastAsia="en-GB"/>
        </w:rPr>
        <w:t>Table 4. Comparative considerations in the regulatory and ecological risk assessment of genome-edited animals across application domains</w:t>
      </w:r>
    </w:p>
    <w:tbl>
      <w:tblPr>
        <w:tblStyle w:val="MediumShading1-Accent1"/>
        <w:tblW w:w="0" w:type="auto"/>
        <w:tblLook w:val="04A0" w:firstRow="1" w:lastRow="0" w:firstColumn="1" w:lastColumn="0" w:noHBand="0" w:noVBand="1"/>
      </w:tblPr>
      <w:tblGrid>
        <w:gridCol w:w="2868"/>
        <w:gridCol w:w="3049"/>
        <w:gridCol w:w="3325"/>
      </w:tblGrid>
      <w:tr w:rsidR="00426439" w:rsidRPr="00DE76CD" w14:paraId="14373183" w14:textId="77777777" w:rsidTr="00DE76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962FFF" w14:textId="77777777" w:rsidR="00426439" w:rsidRPr="00DE76CD" w:rsidRDefault="00426439" w:rsidP="009376E5">
            <w:pPr>
              <w:jc w:val="both"/>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Application domain</w:t>
            </w:r>
          </w:p>
        </w:tc>
        <w:tc>
          <w:tcPr>
            <w:tcW w:w="0" w:type="auto"/>
            <w:hideMark/>
          </w:tcPr>
          <w:p w14:paraId="2CBC2653" w14:textId="77777777" w:rsidR="00426439" w:rsidRPr="00DE76CD" w:rsidRDefault="00426439" w:rsidP="009376E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Primary risk-assessment focus</w:t>
            </w:r>
          </w:p>
        </w:tc>
        <w:tc>
          <w:tcPr>
            <w:tcW w:w="0" w:type="auto"/>
            <w:hideMark/>
          </w:tcPr>
          <w:p w14:paraId="49170C14" w14:textId="77777777" w:rsidR="00426439" w:rsidRPr="00DE76CD" w:rsidRDefault="00426439" w:rsidP="009376E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Key unresolved or contested issue</w:t>
            </w:r>
          </w:p>
        </w:tc>
      </w:tr>
      <w:tr w:rsidR="00426439" w:rsidRPr="00DE76CD" w14:paraId="527C2507"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7324B1"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Livestock disease resistance and production traits</w:t>
            </w:r>
          </w:p>
        </w:tc>
        <w:tc>
          <w:tcPr>
            <w:tcW w:w="0" w:type="auto"/>
            <w:hideMark/>
          </w:tcPr>
          <w:p w14:paraId="70535352"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Molecular characterisation; food and feed safety; comparability to conventional breeding</w:t>
            </w:r>
          </w:p>
        </w:tc>
        <w:tc>
          <w:tcPr>
            <w:tcW w:w="0" w:type="auto"/>
            <w:hideMark/>
          </w:tcPr>
          <w:p w14:paraId="47B05365"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Cross-jurisdictional divergence in classification of edits lacking exogenous DNA insertion</w:t>
            </w:r>
          </w:p>
        </w:tc>
      </w:tr>
      <w:tr w:rsidR="00426439" w:rsidRPr="00DE76CD" w14:paraId="638CBBFA"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A5677D"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Aquaculture genetic improvement</w:t>
            </w:r>
          </w:p>
        </w:tc>
        <w:tc>
          <w:tcPr>
            <w:tcW w:w="0" w:type="auto"/>
            <w:hideMark/>
          </w:tcPr>
          <w:p w14:paraId="07802079"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Genetic and ecological introgression risk into wild stocks; containment</w:t>
            </w:r>
          </w:p>
        </w:tc>
        <w:tc>
          <w:tcPr>
            <w:tcW w:w="0" w:type="auto"/>
            <w:hideMark/>
          </w:tcPr>
          <w:p w14:paraId="596A7163"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Adequacy of physical and reproductive containment under commercial-scale conditions</w:t>
            </w:r>
          </w:p>
        </w:tc>
      </w:tr>
      <w:tr w:rsidR="00426439" w:rsidRPr="00DE76CD" w14:paraId="0E0813D2"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145DEF"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Gene drives (disease vector control)</w:t>
            </w:r>
          </w:p>
        </w:tc>
        <w:tc>
          <w:tcPr>
            <w:tcW w:w="0" w:type="auto"/>
            <w:hideMark/>
          </w:tcPr>
          <w:p w14:paraId="0D6453D2"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Spatial/temporal spread dynamics; non-target and ecosystem effects; reversibility</w:t>
            </w:r>
          </w:p>
        </w:tc>
        <w:tc>
          <w:tcPr>
            <w:tcW w:w="0" w:type="auto"/>
            <w:hideMark/>
          </w:tcPr>
          <w:p w14:paraId="5CF06964"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Translation of laboratory cage efficacy to realistic field population dynamics</w:t>
            </w:r>
          </w:p>
        </w:tc>
      </w:tr>
      <w:tr w:rsidR="00426439" w:rsidRPr="00DE76CD" w14:paraId="527B7234"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ED27BE"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Gene drives (invasive species control)</w:t>
            </w:r>
          </w:p>
        </w:tc>
        <w:tc>
          <w:tcPr>
            <w:tcW w:w="0" w:type="auto"/>
            <w:hideMark/>
          </w:tcPr>
          <w:p w14:paraId="331A96AA"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Population connectivity; risk of spread to non-target or native-range populations</w:t>
            </w:r>
          </w:p>
        </w:tc>
        <w:tc>
          <w:tcPr>
            <w:tcW w:w="0" w:type="auto"/>
            <w:hideMark/>
          </w:tcPr>
          <w:p w14:paraId="1E12CE27"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Reliability of molecular containment (e.g., split drives, daisy drives) under field conditions</w:t>
            </w:r>
          </w:p>
        </w:tc>
      </w:tr>
      <w:tr w:rsidR="00426439" w:rsidRPr="00DE76CD" w14:paraId="53525607"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D90C08"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Xenotransplantation donor engineering</w:t>
            </w:r>
          </w:p>
        </w:tc>
        <w:tc>
          <w:tcPr>
            <w:tcW w:w="0" w:type="auto"/>
            <w:hideMark/>
          </w:tcPr>
          <w:p w14:paraId="75AF7242"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Molecular safety of multiplexed edits; zoonotic risk; donor animal welfare</w:t>
            </w:r>
          </w:p>
        </w:tc>
        <w:tc>
          <w:tcPr>
            <w:tcW w:w="0" w:type="auto"/>
            <w:hideMark/>
          </w:tcPr>
          <w:p w14:paraId="66BF48A2" w14:textId="77777777" w:rsidR="00426439" w:rsidRPr="00DE76CD" w:rsidRDefault="00426439" w:rsidP="009376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Ethical weighting of cumulative preclinical animal experimentation burden against human medical benefit</w:t>
            </w:r>
          </w:p>
        </w:tc>
      </w:tr>
      <w:tr w:rsidR="00426439" w:rsidRPr="00DE76CD" w14:paraId="64369DE2"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BB28F5" w14:textId="77777777" w:rsidR="00426439" w:rsidRPr="00DE76CD" w:rsidRDefault="00426439" w:rsidP="009376E5">
            <w:pPr>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Conservation genetic rescue / de-extinction</w:t>
            </w:r>
          </w:p>
        </w:tc>
        <w:tc>
          <w:tcPr>
            <w:tcW w:w="0" w:type="auto"/>
            <w:hideMark/>
          </w:tcPr>
          <w:p w14:paraId="5F1EED62"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Long-term viability and ecological function of resulting organisms</w:t>
            </w:r>
          </w:p>
        </w:tc>
        <w:tc>
          <w:tcPr>
            <w:tcW w:w="0" w:type="auto"/>
            <w:hideMark/>
          </w:tcPr>
          <w:p w14:paraId="4085B326" w14:textId="77777777" w:rsidR="00426439" w:rsidRPr="00DE76CD" w:rsidRDefault="00426439" w:rsidP="009376E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Allocation of conservation resources between extant endangered species and de-extinction research</w:t>
            </w:r>
          </w:p>
        </w:tc>
      </w:tr>
    </w:tbl>
    <w:p w14:paraId="1E53C237"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i/>
          <w:iCs/>
          <w:sz w:val="24"/>
          <w:szCs w:val="24"/>
          <w:lang w:eastAsia="en-GB"/>
        </w:rPr>
        <w:lastRenderedPageBreak/>
        <w:t>Sources: EFSA Panel on Genetically Modified Organisms et al. (2025); Robinson et al. (2024); Connolly et al. (2024); Noble et al. (2018); Camenzind (2024); Turner et al. (2025).</w:t>
      </w:r>
    </w:p>
    <w:p w14:paraId="0E4E8D07" w14:textId="77777777" w:rsidR="00426439" w:rsidRPr="00DE76CD" w:rsidRDefault="00426439" w:rsidP="009376E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12. Future Directions</w:t>
      </w:r>
    </w:p>
    <w:p w14:paraId="7684FF3C"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Several trajectories evident across the literature surveyed in this review are likely to shape the next phase of CRISPR-based functional genomics in zoology. First, base and prime editing technologies, currently concentrated overwhelmingly in mammalian and a small number of vertebrate model systems, can be expected to extend gradually into a wider range of zoological taxa as delivery and screening methods are adapted to the reproductive and embryological quirks of additional species, opening the door to substantially more precise functional validation of single-nucleotide variants across a broader slice of animal diversity than is currently feasible. Second, the methodological lessons emerging from off-target detection research, particularly the demonstrated context-dependence of editing fidelity across cell types and editor modalities, point towards a growing expectation that functional genomic and applied genome-editing studies will need species- and tissue-specific off-target validation rather than relying on generic safety inferences drawn from a convenient surrogate system. Third, the recurring pattern seen across host-pathogen disease-resistance work in both poultry and pigs, where single-gene interventions have repeatedly proved vulnerable to either pathogen adaptation or host pathway redundancy, suggests that durable disease-resistance editing will increasingly depend on deliberately multiplexed, rather than single-locus, genetic strategies. Finally, the gene drive literature's clear trajectory, from early molecular feasibility demonstrations towards increasingly sophisticated spatial, demographic, and biosafety-focused modelling, indicates that field translation of this technology, where it happens at all, is likely to proceed considerably more cautiously and incrementally than the underlying molecular biology alone might suggest, with regulatory harmonisation and ecological risk characterisation, rather than further gains in editing efficiency, the main rate-limiting steps for the foreseeable future.</w:t>
      </w:r>
    </w:p>
    <w:p w14:paraId="67409BC1" w14:textId="77777777" w:rsidR="00426439" w:rsidRPr="00DE76CD" w:rsidRDefault="00426439" w:rsidP="009376E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13. Conclusions</w:t>
      </w:r>
    </w:p>
    <w:p w14:paraId="34A417CD" w14:textId="77777777" w:rsidR="00426439" w:rsidRPr="00DE76CD"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CRISPR-based genome editing has, in little more than a decade, transformed the practice of functional genomics across zoology, extending precise, programmable genetic manipulation from a small handful of intensively studied vertebrate model organisms to taxa as varied as butterflies, squid, corals, poultry, and large domesticated mammals. This transformation has paid real scientific dividends, enabling systematic, high-throughput interrogation of gene function in zebrafish and mice, opening previously intractable non-model invertebrates to direct hypothesis testing, and providing the molecular basis for applied work spanning livestock disease resistance, aquaculture sustainability, conservation genetic rescue, and the engineering of pig organs for human xenotransplantation. At the same time, the literature reviewed here consistently shows that technical capability has often run ahead of biological and ecological certainty. Disease-resistance edits targeting single genes have proved vulnerable to pathogen adaptation and host pathway redundancy; gene drives that propagate efficiently in the laboratory have repeatedly proved, once subjected to more careful spatial and demographic modelling, less straightforwardly translatable to decisive field-level population control than initial proof-of-concept results implied; and welfare and ecological risk assessments have, in several well-documented cases, lagged behind the pace of the underlying molecular innovation. The most responsible and scientifically credible applications of this technology are accordingly those that have built this uncertainty explicitly into their design, whether through engineered molecular containment safeguards in gene </w:t>
      </w:r>
      <w:r w:rsidRPr="00DE76CD">
        <w:rPr>
          <w:rFonts w:ascii="Times New Roman" w:eastAsia="Times New Roman" w:hAnsi="Times New Roman" w:cs="Times New Roman"/>
          <w:sz w:val="24"/>
          <w:szCs w:val="24"/>
          <w:lang w:eastAsia="en-GB"/>
        </w:rPr>
        <w:lastRenderedPageBreak/>
        <w:t>drive research, multiplexed rather than single-locus disease-resistance strategies, or off-target validation tailored to the particular species and tissue under study. CRISPR-based functional genomics has unmistakably expanded what zoological science can ask and answer; whether that expanded capability turns into durable, ecologically and ethically sound applied outcomes will depend substantially on whether the research community continues to treat technical feasibility and responsible translation as distinct, sequential achievements rather than conflating the two.</w:t>
      </w:r>
    </w:p>
    <w:p w14:paraId="1631E167" w14:textId="77777777" w:rsidR="00426439" w:rsidRPr="00DE76CD" w:rsidRDefault="00426439" w:rsidP="009376E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14. Limitations</w:t>
      </w:r>
    </w:p>
    <w:p w14:paraId="12A0DC4D" w14:textId="77777777" w:rsidR="00426439" w:rsidRDefault="00426439"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This review is subject to several limitations that bear on how its conclusions should be read. As a narrative rather than systematic review, the selection and synthesis of literature, while conducted according to the transparent search and screening methodology described in Section 2, necessarily reflects a degree of interpretive judgement about relevance and significance that a fully systematic protocol with predefined, exhaustively applied inclusion criteria would minimise; readers seeking a quantitative, exhaustively enumerated account of any single sub-topic addressed here, such as gene drive ecological modelling or livestock disease-resistance editing specifically, should consult dedicated systematic reviews and meta-analyses of those narrower questions. Excluding non-English-language publications, preprints, grey literature, and non-peer-reviewed sources, while consistent with the editorial scope adopted for this article, may have left out relevant findings, particularly emerging work disseminated initially via preprint servers that had not yet completed peer review at the time of writing, a category that includes some closely related demographic and bioinformatic studies referenced only indirectly here. The pace of development in this field is such that any review risks becoming partly outdated quite quickly; several of the regulatory determinations, clinical xenotransplantation milestones, and field-trial planning efforts discussed in this article are likely to have moved on further by the time of publication. Finally, this review has necessarily been selective in its taxonomic and applied coverage, prioritising depth of critical analysis within the domains addressed over exhaustive coverage of every zoological taxon or application area, such as amphibian, reptilian, or further invertebrate functional genomics, where CRISPR-based research is ongoing but was judged, on the evidence currently available, less central to the principal applied and conceptual themes structuring this synthesis.</w:t>
      </w:r>
    </w:p>
    <w:p w14:paraId="40302C12" w14:textId="77777777" w:rsidR="00B41278" w:rsidRDefault="00B41278"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13178DED" w14:textId="77777777" w:rsidR="00B41278" w:rsidRPr="00C04DA0" w:rsidRDefault="00B41278" w:rsidP="009376E5">
      <w:pPr>
        <w:spacing w:after="0" w:line="240" w:lineRule="auto"/>
        <w:jc w:val="both"/>
        <w:rPr>
          <w:rFonts w:ascii="Times New Roman" w:eastAsia="Calibri" w:hAnsi="Times New Roman" w:cs="Times New Roman"/>
          <w:b/>
        </w:rPr>
      </w:pPr>
      <w:r w:rsidRPr="00C04DA0">
        <w:rPr>
          <w:rFonts w:ascii="Times New Roman" w:eastAsia="Calibri" w:hAnsi="Times New Roman" w:cs="Times New Roman"/>
          <w:b/>
        </w:rPr>
        <w:t>Declaration of AI Use</w:t>
      </w:r>
    </w:p>
    <w:p w14:paraId="09AC7958" w14:textId="77777777" w:rsidR="00B41278" w:rsidRPr="00C04DA0" w:rsidRDefault="00B41278" w:rsidP="009376E5">
      <w:pPr>
        <w:spacing w:after="0" w:line="240" w:lineRule="auto"/>
        <w:jc w:val="both"/>
        <w:rPr>
          <w:rFonts w:ascii="Times New Roman" w:eastAsia="Calibri" w:hAnsi="Times New Roman" w:cs="Times New Roman"/>
        </w:rPr>
      </w:pPr>
    </w:p>
    <w:p w14:paraId="38B7D9F2" w14:textId="77777777" w:rsidR="00B41278" w:rsidRDefault="00B41278" w:rsidP="009376E5">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030DC81" w14:textId="77777777" w:rsidR="00B41278" w:rsidRPr="00C04DA0" w:rsidRDefault="00B41278" w:rsidP="009376E5">
      <w:pPr>
        <w:spacing w:after="0" w:line="240" w:lineRule="auto"/>
        <w:jc w:val="both"/>
        <w:rPr>
          <w:rFonts w:ascii="Times New Roman" w:eastAsia="Calibri" w:hAnsi="Times New Roman" w:cs="Times New Roman"/>
        </w:rPr>
      </w:pPr>
    </w:p>
    <w:p w14:paraId="6D87EE31" w14:textId="77777777" w:rsidR="00B41278" w:rsidRPr="00B41278" w:rsidRDefault="00B41278" w:rsidP="009376E5">
      <w:pPr>
        <w:jc w:val="both"/>
        <w:rPr>
          <w:rFonts w:ascii="Arial" w:eastAsiaTheme="minorEastAsia" w:hAnsi="Arial" w:cs="Arial"/>
          <w:b/>
          <w:bCs/>
          <w:lang w:eastAsia="en-GB"/>
        </w:rPr>
      </w:pPr>
      <w:r w:rsidRPr="00B41278">
        <w:rPr>
          <w:rFonts w:ascii="Arial" w:eastAsiaTheme="minorEastAsia" w:hAnsi="Arial" w:cs="Arial"/>
          <w:b/>
          <w:bCs/>
          <w:lang w:eastAsia="en-GB"/>
        </w:rPr>
        <w:t>COMPETING INTERESTS DISCLAIMER:</w:t>
      </w:r>
    </w:p>
    <w:p w14:paraId="12C9C9E3" w14:textId="77777777" w:rsidR="00B41278" w:rsidRPr="00B41278" w:rsidRDefault="00B41278" w:rsidP="009376E5">
      <w:pPr>
        <w:jc w:val="both"/>
        <w:rPr>
          <w:rFonts w:eastAsiaTheme="minorEastAsia"/>
          <w:lang w:eastAsia="en-GB"/>
        </w:rPr>
      </w:pPr>
      <w:r w:rsidRPr="00B41278">
        <w:rPr>
          <w:rFonts w:ascii="Arial" w:eastAsiaTheme="minorEastAsia" w:hAnsi="Arial" w:cs="Arial"/>
          <w:b/>
          <w:bCs/>
          <w:lang w:eastAsia="en-GB"/>
        </w:rPr>
        <w:lastRenderedPageBreak/>
        <w:t>Authors have declared that they have no known competing financial interests OR non-financial interests OR personal relationships that could have appeared to influence the work reported in this paper.</w:t>
      </w:r>
    </w:p>
    <w:p w14:paraId="6252C388" w14:textId="77777777" w:rsidR="00B41278" w:rsidRPr="00DE76CD" w:rsidRDefault="00B41278" w:rsidP="009376E5">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1C242FD8" w14:textId="77777777" w:rsidR="00426439" w:rsidRPr="00DE76CD" w:rsidRDefault="00426439" w:rsidP="009376E5">
      <w:pPr>
        <w:spacing w:after="0" w:line="240" w:lineRule="auto"/>
        <w:jc w:val="both"/>
        <w:rPr>
          <w:rFonts w:ascii="Times New Roman" w:eastAsia="Times New Roman" w:hAnsi="Times New Roman" w:cs="Times New Roman"/>
          <w:sz w:val="24"/>
          <w:szCs w:val="24"/>
          <w:lang w:eastAsia="en-GB"/>
        </w:rPr>
      </w:pPr>
    </w:p>
    <w:p w14:paraId="334C397A" w14:textId="77777777" w:rsidR="00426439" w:rsidRPr="00DE76CD" w:rsidRDefault="00426439" w:rsidP="009376E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References</w:t>
      </w:r>
    </w:p>
    <w:p w14:paraId="4542D364" w14:textId="3C9011BD"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nl-BE"/>
        </w:rPr>
        <w:t xml:space="preserve">Ahmed, H. M. M., Zheng, L., &amp; Hunnekuhl, V. S. (2025). </w:t>
      </w:r>
      <w:r w:rsidRPr="00BB0DD0">
        <w:rPr>
          <w:rFonts w:ascii="Times New Roman" w:eastAsia="Times New Roman" w:hAnsi="Times New Roman" w:cs="Times New Roman"/>
          <w:sz w:val="24"/>
          <w:szCs w:val="24"/>
          <w:lang w:val="en-US"/>
        </w:rPr>
        <w:t xml:space="preserve">Transferable approaches to CRISPR-Cas9 induced genome editing in non-model insects: A brief guide. </w:t>
      </w:r>
      <w:r w:rsidRPr="00BB0DD0">
        <w:rPr>
          <w:rFonts w:ascii="Times New Roman" w:eastAsia="Times New Roman" w:hAnsi="Times New Roman" w:cs="Times New Roman"/>
          <w:i/>
          <w:iCs/>
          <w:sz w:val="24"/>
          <w:szCs w:val="24"/>
          <w:lang w:val="en-US"/>
        </w:rPr>
        <w:t>Frontiers in Zoology, 22</w:t>
      </w:r>
      <w:r w:rsidRPr="00BB0DD0">
        <w:rPr>
          <w:rFonts w:ascii="Times New Roman" w:eastAsia="Times New Roman" w:hAnsi="Times New Roman" w:cs="Times New Roman"/>
          <w:sz w:val="24"/>
          <w:szCs w:val="24"/>
          <w:lang w:val="en-US"/>
        </w:rPr>
        <w:t xml:space="preserve">, Article 13. </w:t>
      </w:r>
      <w:hyperlink r:id="rId7" w:tgtFrame="_new" w:history="1">
        <w:r w:rsidRPr="00BB0DD0">
          <w:rPr>
            <w:rFonts w:ascii="Times New Roman" w:eastAsia="Times New Roman" w:hAnsi="Times New Roman" w:cs="Times New Roman"/>
            <w:color w:val="0000FF"/>
            <w:sz w:val="24"/>
            <w:szCs w:val="24"/>
            <w:u w:val="single"/>
            <w:lang w:val="en-US"/>
          </w:rPr>
          <w:t>https://doi.org/10.1186/s12983-025-00566-2</w:t>
        </w:r>
      </w:hyperlink>
      <w:r w:rsidRPr="00BB0DD0">
        <w:rPr>
          <w:rFonts w:ascii="Times New Roman" w:eastAsia="Times New Roman" w:hAnsi="Times New Roman" w:cs="Times New Roman"/>
          <w:sz w:val="24"/>
          <w:szCs w:val="24"/>
          <w:lang w:val="en-US"/>
        </w:rPr>
        <w:t xml:space="preserve"> </w:t>
      </w:r>
    </w:p>
    <w:p w14:paraId="2FB47D78" w14:textId="489CE0F7"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Ahuja, N., </w:t>
      </w:r>
      <w:proofErr w:type="spellStart"/>
      <w:r w:rsidRPr="00BB0DD0">
        <w:rPr>
          <w:rFonts w:ascii="Times New Roman" w:eastAsia="Times New Roman" w:hAnsi="Times New Roman" w:cs="Times New Roman"/>
          <w:sz w:val="24"/>
          <w:szCs w:val="24"/>
          <w:lang w:val="en-US"/>
        </w:rPr>
        <w:t>Hwaun</w:t>
      </w:r>
      <w:proofErr w:type="spellEnd"/>
      <w:r w:rsidRPr="00BB0DD0">
        <w:rPr>
          <w:rFonts w:ascii="Times New Roman" w:eastAsia="Times New Roman" w:hAnsi="Times New Roman" w:cs="Times New Roman"/>
          <w:sz w:val="24"/>
          <w:szCs w:val="24"/>
          <w:lang w:val="en-US"/>
        </w:rPr>
        <w:t xml:space="preserve">, E., Pungor, J. R., Rafiq, R., Nemes, S., Sakmar, T., Vogt, M. A., Grasse, B., Diaz Quiroz, J., Montague, T. G., Null, R. W., Dallis, D. N., </w:t>
      </w:r>
      <w:proofErr w:type="spellStart"/>
      <w:r w:rsidRPr="00BB0DD0">
        <w:rPr>
          <w:rFonts w:ascii="Times New Roman" w:eastAsia="Times New Roman" w:hAnsi="Times New Roman" w:cs="Times New Roman"/>
          <w:sz w:val="24"/>
          <w:szCs w:val="24"/>
          <w:lang w:val="en-US"/>
        </w:rPr>
        <w:t>Gavriouchkina</w:t>
      </w:r>
      <w:proofErr w:type="spellEnd"/>
      <w:r w:rsidRPr="00BB0DD0">
        <w:rPr>
          <w:rFonts w:ascii="Times New Roman" w:eastAsia="Times New Roman" w:hAnsi="Times New Roman" w:cs="Times New Roman"/>
          <w:sz w:val="24"/>
          <w:szCs w:val="24"/>
          <w:lang w:val="en-US"/>
        </w:rPr>
        <w:t xml:space="preserve">, D., </w:t>
      </w:r>
      <w:proofErr w:type="spellStart"/>
      <w:r w:rsidRPr="00BB0DD0">
        <w:rPr>
          <w:rFonts w:ascii="Times New Roman" w:eastAsia="Times New Roman" w:hAnsi="Times New Roman" w:cs="Times New Roman"/>
          <w:sz w:val="24"/>
          <w:szCs w:val="24"/>
          <w:lang w:val="en-US"/>
        </w:rPr>
        <w:t>Marlétaz</w:t>
      </w:r>
      <w:proofErr w:type="spellEnd"/>
      <w:r w:rsidRPr="00BB0DD0">
        <w:rPr>
          <w:rFonts w:ascii="Times New Roman" w:eastAsia="Times New Roman" w:hAnsi="Times New Roman" w:cs="Times New Roman"/>
          <w:sz w:val="24"/>
          <w:szCs w:val="24"/>
          <w:lang w:val="en-US"/>
        </w:rPr>
        <w:t xml:space="preserve">, F., Abbo, L., Rokhsar, D. S., Niell, C. M., Soltesz, I., Albertin, C. B., &amp; Rosenthal, J. J. C. (2023). Creation of an albino squid line by CRISPR-Cas9 and its application for in vivo functional imaging of neural activity. </w:t>
      </w:r>
      <w:r w:rsidRPr="00BB0DD0">
        <w:rPr>
          <w:rFonts w:ascii="Times New Roman" w:eastAsia="Times New Roman" w:hAnsi="Times New Roman" w:cs="Times New Roman"/>
          <w:i/>
          <w:iCs/>
          <w:sz w:val="24"/>
          <w:szCs w:val="24"/>
          <w:lang w:val="en-US"/>
        </w:rPr>
        <w:t>Current Biology, 33</w:t>
      </w:r>
      <w:r w:rsidRPr="00BB0DD0">
        <w:rPr>
          <w:rFonts w:ascii="Times New Roman" w:eastAsia="Times New Roman" w:hAnsi="Times New Roman" w:cs="Times New Roman"/>
          <w:sz w:val="24"/>
          <w:szCs w:val="24"/>
          <w:lang w:val="en-US"/>
        </w:rPr>
        <w:t xml:space="preserve">(13), 2774–2783.e5. </w:t>
      </w:r>
      <w:hyperlink r:id="rId8" w:tgtFrame="_new" w:history="1">
        <w:r w:rsidRPr="00BB0DD0">
          <w:rPr>
            <w:rFonts w:ascii="Times New Roman" w:eastAsia="Times New Roman" w:hAnsi="Times New Roman" w:cs="Times New Roman"/>
            <w:color w:val="0000FF"/>
            <w:sz w:val="24"/>
            <w:szCs w:val="24"/>
            <w:u w:val="single"/>
            <w:lang w:val="en-US"/>
          </w:rPr>
          <w:t>https://doi.org/10.1016/j.cub.2023.05.066</w:t>
        </w:r>
      </w:hyperlink>
      <w:r w:rsidRPr="00BB0DD0">
        <w:rPr>
          <w:rFonts w:ascii="Times New Roman" w:eastAsia="Times New Roman" w:hAnsi="Times New Roman" w:cs="Times New Roman"/>
          <w:sz w:val="24"/>
          <w:szCs w:val="24"/>
          <w:lang w:val="en-US"/>
        </w:rPr>
        <w:t xml:space="preserve"> </w:t>
      </w:r>
    </w:p>
    <w:p w14:paraId="3A3E2BC7" w14:textId="62B14F16"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Banerjee, T. D., &amp; Monteiro, A. (2018). CRISPR-Cas9 mediated genome editing in </w:t>
      </w:r>
      <w:proofErr w:type="spellStart"/>
      <w:r w:rsidRPr="00BB0DD0">
        <w:rPr>
          <w:rFonts w:ascii="Times New Roman" w:eastAsia="Times New Roman" w:hAnsi="Times New Roman" w:cs="Times New Roman"/>
          <w:i/>
          <w:iCs/>
          <w:sz w:val="24"/>
          <w:szCs w:val="24"/>
          <w:lang w:val="en-US"/>
        </w:rPr>
        <w:t>Bicyclus</w:t>
      </w:r>
      <w:proofErr w:type="spellEnd"/>
      <w:r w:rsidRPr="00BB0DD0">
        <w:rPr>
          <w:rFonts w:ascii="Times New Roman" w:eastAsia="Times New Roman" w:hAnsi="Times New Roman" w:cs="Times New Roman"/>
          <w:i/>
          <w:iCs/>
          <w:sz w:val="24"/>
          <w:szCs w:val="24"/>
          <w:lang w:val="en-US"/>
        </w:rPr>
        <w:t xml:space="preserve"> </w:t>
      </w:r>
      <w:proofErr w:type="spellStart"/>
      <w:r w:rsidRPr="00BB0DD0">
        <w:rPr>
          <w:rFonts w:ascii="Times New Roman" w:eastAsia="Times New Roman" w:hAnsi="Times New Roman" w:cs="Times New Roman"/>
          <w:i/>
          <w:iCs/>
          <w:sz w:val="24"/>
          <w:szCs w:val="24"/>
          <w:lang w:val="en-US"/>
        </w:rPr>
        <w:t>anynana</w:t>
      </w:r>
      <w:proofErr w:type="spellEnd"/>
      <w:r w:rsidRPr="00BB0DD0">
        <w:rPr>
          <w:rFonts w:ascii="Times New Roman" w:eastAsia="Times New Roman" w:hAnsi="Times New Roman" w:cs="Times New Roman"/>
          <w:sz w:val="24"/>
          <w:szCs w:val="24"/>
          <w:lang w:val="en-US"/>
        </w:rPr>
        <w:t xml:space="preserve"> butterflies. </w:t>
      </w:r>
      <w:r w:rsidRPr="00BB0DD0">
        <w:rPr>
          <w:rFonts w:ascii="Times New Roman" w:eastAsia="Times New Roman" w:hAnsi="Times New Roman" w:cs="Times New Roman"/>
          <w:i/>
          <w:iCs/>
          <w:sz w:val="24"/>
          <w:szCs w:val="24"/>
          <w:lang w:val="en-US"/>
        </w:rPr>
        <w:t>Methods and Protocols, 1</w:t>
      </w:r>
      <w:r w:rsidRPr="00BB0DD0">
        <w:rPr>
          <w:rFonts w:ascii="Times New Roman" w:eastAsia="Times New Roman" w:hAnsi="Times New Roman" w:cs="Times New Roman"/>
          <w:sz w:val="24"/>
          <w:szCs w:val="24"/>
          <w:lang w:val="en-US"/>
        </w:rPr>
        <w:t xml:space="preserve">(2), Article 16. </w:t>
      </w:r>
      <w:hyperlink r:id="rId9" w:tgtFrame="_new" w:history="1">
        <w:r w:rsidRPr="00BB0DD0">
          <w:rPr>
            <w:rFonts w:ascii="Times New Roman" w:eastAsia="Times New Roman" w:hAnsi="Times New Roman" w:cs="Times New Roman"/>
            <w:color w:val="0000FF"/>
            <w:sz w:val="24"/>
            <w:szCs w:val="24"/>
            <w:u w:val="single"/>
            <w:lang w:val="en-US"/>
          </w:rPr>
          <w:t>https://doi.org/10.3390/mps1020016</w:t>
        </w:r>
      </w:hyperlink>
      <w:r w:rsidRPr="00BB0DD0">
        <w:rPr>
          <w:rFonts w:ascii="Times New Roman" w:eastAsia="Times New Roman" w:hAnsi="Times New Roman" w:cs="Times New Roman"/>
          <w:sz w:val="24"/>
          <w:szCs w:val="24"/>
          <w:lang w:val="en-US"/>
        </w:rPr>
        <w:t xml:space="preserve"> </w:t>
      </w:r>
    </w:p>
    <w:p w14:paraId="7E223A32" w14:textId="443B348F"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Camenzind, S. (2024). Xenotransplantation in the age of genome editing: Results from the expert report for the Federal Ethics Committee on Nonhuman Biotechnology with a special focus on animal ethics. </w:t>
      </w:r>
      <w:r w:rsidRPr="00BB0DD0">
        <w:rPr>
          <w:rFonts w:ascii="Times New Roman" w:eastAsia="Times New Roman" w:hAnsi="Times New Roman" w:cs="Times New Roman"/>
          <w:i/>
          <w:iCs/>
          <w:sz w:val="24"/>
          <w:szCs w:val="24"/>
          <w:lang w:val="en-US"/>
        </w:rPr>
        <w:t>Xenotransplantation, 31</w:t>
      </w:r>
      <w:r w:rsidRPr="00BB0DD0">
        <w:rPr>
          <w:rFonts w:ascii="Times New Roman" w:eastAsia="Times New Roman" w:hAnsi="Times New Roman" w:cs="Times New Roman"/>
          <w:sz w:val="24"/>
          <w:szCs w:val="24"/>
          <w:lang w:val="en-US"/>
        </w:rPr>
        <w:t xml:space="preserve">(6), e70008. </w:t>
      </w:r>
      <w:hyperlink r:id="rId10" w:tgtFrame="_new" w:history="1">
        <w:r w:rsidRPr="00BB0DD0">
          <w:rPr>
            <w:rFonts w:ascii="Times New Roman" w:eastAsia="Times New Roman" w:hAnsi="Times New Roman" w:cs="Times New Roman"/>
            <w:color w:val="0000FF"/>
            <w:sz w:val="24"/>
            <w:szCs w:val="24"/>
            <w:u w:val="single"/>
            <w:lang w:val="en-US"/>
          </w:rPr>
          <w:t>https://doi.org/10.1111/xen.70008</w:t>
        </w:r>
      </w:hyperlink>
      <w:r w:rsidRPr="00BB0DD0">
        <w:rPr>
          <w:rFonts w:ascii="Times New Roman" w:eastAsia="Times New Roman" w:hAnsi="Times New Roman" w:cs="Times New Roman"/>
          <w:sz w:val="24"/>
          <w:szCs w:val="24"/>
          <w:lang w:val="en-US"/>
        </w:rPr>
        <w:t xml:space="preserve"> </w:t>
      </w:r>
    </w:p>
    <w:p w14:paraId="021F8641" w14:textId="6B9D4425"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Carrington, B., Bishop, K., &amp; Sood, R. (2022). A comprehensive review of indel detection methods for identification of zebrafish knockout mutants generated by genome-editing nucleases. </w:t>
      </w:r>
      <w:r w:rsidRPr="00BB0DD0">
        <w:rPr>
          <w:rFonts w:ascii="Times New Roman" w:eastAsia="Times New Roman" w:hAnsi="Times New Roman" w:cs="Times New Roman"/>
          <w:i/>
          <w:iCs/>
          <w:sz w:val="24"/>
          <w:szCs w:val="24"/>
          <w:lang w:val="en-US"/>
        </w:rPr>
        <w:t>Genes, 13</w:t>
      </w:r>
      <w:r w:rsidRPr="00BB0DD0">
        <w:rPr>
          <w:rFonts w:ascii="Times New Roman" w:eastAsia="Times New Roman" w:hAnsi="Times New Roman" w:cs="Times New Roman"/>
          <w:sz w:val="24"/>
          <w:szCs w:val="24"/>
          <w:lang w:val="en-US"/>
        </w:rPr>
        <w:t xml:space="preserve">(5), Article 857. </w:t>
      </w:r>
      <w:hyperlink r:id="rId11" w:tgtFrame="_new" w:history="1">
        <w:r w:rsidRPr="00BB0DD0">
          <w:rPr>
            <w:rFonts w:ascii="Times New Roman" w:eastAsia="Times New Roman" w:hAnsi="Times New Roman" w:cs="Times New Roman"/>
            <w:color w:val="0000FF"/>
            <w:sz w:val="24"/>
            <w:szCs w:val="24"/>
            <w:u w:val="single"/>
            <w:lang w:val="en-US"/>
          </w:rPr>
          <w:t>https://doi.org/10.3390/genes13050857</w:t>
        </w:r>
      </w:hyperlink>
      <w:r w:rsidRPr="00BB0DD0">
        <w:rPr>
          <w:rFonts w:ascii="Times New Roman" w:eastAsia="Times New Roman" w:hAnsi="Times New Roman" w:cs="Times New Roman"/>
          <w:sz w:val="24"/>
          <w:szCs w:val="24"/>
          <w:lang w:val="en-US"/>
        </w:rPr>
        <w:t xml:space="preserve"> </w:t>
      </w:r>
    </w:p>
    <w:p w14:paraId="0E6E2948" w14:textId="25DF98AA"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Champer, J., Chung, J., Lee, Y. L., Liu, C., Yang, E., Wen, Z., Clark, A. G., &amp; Messer, P. W. (2019). Molecular safeguarding of CRISPR gene drive experiments. </w:t>
      </w:r>
      <w:proofErr w:type="spellStart"/>
      <w:r w:rsidRPr="00BB0DD0">
        <w:rPr>
          <w:rFonts w:ascii="Times New Roman" w:eastAsia="Times New Roman" w:hAnsi="Times New Roman" w:cs="Times New Roman"/>
          <w:i/>
          <w:iCs/>
          <w:sz w:val="24"/>
          <w:szCs w:val="24"/>
          <w:lang w:val="en-US"/>
        </w:rPr>
        <w:t>eLife</w:t>
      </w:r>
      <w:proofErr w:type="spellEnd"/>
      <w:r w:rsidRPr="00BB0DD0">
        <w:rPr>
          <w:rFonts w:ascii="Times New Roman" w:eastAsia="Times New Roman" w:hAnsi="Times New Roman" w:cs="Times New Roman"/>
          <w:i/>
          <w:iCs/>
          <w:sz w:val="24"/>
          <w:szCs w:val="24"/>
          <w:lang w:val="en-US"/>
        </w:rPr>
        <w:t>, 8</w:t>
      </w:r>
      <w:r w:rsidRPr="00BB0DD0">
        <w:rPr>
          <w:rFonts w:ascii="Times New Roman" w:eastAsia="Times New Roman" w:hAnsi="Times New Roman" w:cs="Times New Roman"/>
          <w:sz w:val="24"/>
          <w:szCs w:val="24"/>
          <w:lang w:val="en-US"/>
        </w:rPr>
        <w:t xml:space="preserve">, e41439. </w:t>
      </w:r>
      <w:hyperlink r:id="rId12" w:tgtFrame="_new" w:history="1">
        <w:r w:rsidRPr="00BB0DD0">
          <w:rPr>
            <w:rFonts w:ascii="Times New Roman" w:eastAsia="Times New Roman" w:hAnsi="Times New Roman" w:cs="Times New Roman"/>
            <w:color w:val="0000FF"/>
            <w:sz w:val="24"/>
            <w:szCs w:val="24"/>
            <w:u w:val="single"/>
            <w:lang w:val="en-US"/>
          </w:rPr>
          <w:t>https://doi.org/10.7554/eLife.41439</w:t>
        </w:r>
      </w:hyperlink>
      <w:r w:rsidRPr="00BB0DD0">
        <w:rPr>
          <w:rFonts w:ascii="Times New Roman" w:eastAsia="Times New Roman" w:hAnsi="Times New Roman" w:cs="Times New Roman"/>
          <w:sz w:val="24"/>
          <w:szCs w:val="24"/>
          <w:lang w:val="en-US"/>
        </w:rPr>
        <w:t xml:space="preserve"> </w:t>
      </w:r>
    </w:p>
    <w:p w14:paraId="33327571" w14:textId="6B2419A5"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nl-BE"/>
        </w:rPr>
        <w:t xml:space="preserve">Choe, S.-K., &amp; Kim, C.-H. (2023). </w:t>
      </w:r>
      <w:r w:rsidRPr="00BB0DD0">
        <w:rPr>
          <w:rFonts w:ascii="Times New Roman" w:eastAsia="Times New Roman" w:hAnsi="Times New Roman" w:cs="Times New Roman"/>
          <w:sz w:val="24"/>
          <w:szCs w:val="24"/>
          <w:lang w:val="en-US"/>
        </w:rPr>
        <w:t xml:space="preserve">Zebrafish: A powerful model for genetics and genomics. </w:t>
      </w:r>
      <w:r w:rsidRPr="00BB0DD0">
        <w:rPr>
          <w:rFonts w:ascii="Times New Roman" w:eastAsia="Times New Roman" w:hAnsi="Times New Roman" w:cs="Times New Roman"/>
          <w:i/>
          <w:iCs/>
          <w:sz w:val="24"/>
          <w:szCs w:val="24"/>
          <w:lang w:val="en-US"/>
        </w:rPr>
        <w:t>International Journal of Molecular Sciences, 24</w:t>
      </w:r>
      <w:r w:rsidRPr="00BB0DD0">
        <w:rPr>
          <w:rFonts w:ascii="Times New Roman" w:eastAsia="Times New Roman" w:hAnsi="Times New Roman" w:cs="Times New Roman"/>
          <w:sz w:val="24"/>
          <w:szCs w:val="24"/>
          <w:lang w:val="en-US"/>
        </w:rPr>
        <w:t xml:space="preserve">(9), Article 8169. </w:t>
      </w:r>
      <w:hyperlink r:id="rId13" w:tgtFrame="_new" w:history="1">
        <w:r w:rsidRPr="00BB0DD0">
          <w:rPr>
            <w:rFonts w:ascii="Times New Roman" w:eastAsia="Times New Roman" w:hAnsi="Times New Roman" w:cs="Times New Roman"/>
            <w:color w:val="0000FF"/>
            <w:sz w:val="24"/>
            <w:szCs w:val="24"/>
            <w:u w:val="single"/>
            <w:lang w:val="en-US"/>
          </w:rPr>
          <w:t>https://doi.org/10.3390/ijms24098169</w:t>
        </w:r>
      </w:hyperlink>
      <w:r w:rsidRPr="00BB0DD0">
        <w:rPr>
          <w:rFonts w:ascii="Times New Roman" w:eastAsia="Times New Roman" w:hAnsi="Times New Roman" w:cs="Times New Roman"/>
          <w:sz w:val="24"/>
          <w:szCs w:val="24"/>
          <w:lang w:val="en-US"/>
        </w:rPr>
        <w:t xml:space="preserve"> </w:t>
      </w:r>
    </w:p>
    <w:p w14:paraId="31D04911" w14:textId="2651ED0B"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Cleves, P. A., Tinoco, A. I., Bradford, J., Perrin, D., Bay, L. K., &amp; Pringle, J. R. (2020). Reduced thermal tolerance in a coral carrying CRISPR-induced mutations in the gene for a heat-shock transcription factor. </w:t>
      </w:r>
      <w:r w:rsidRPr="00BB0DD0">
        <w:rPr>
          <w:rFonts w:ascii="Times New Roman" w:eastAsia="Times New Roman" w:hAnsi="Times New Roman" w:cs="Times New Roman"/>
          <w:i/>
          <w:iCs/>
          <w:sz w:val="24"/>
          <w:szCs w:val="24"/>
          <w:lang w:val="en-US"/>
        </w:rPr>
        <w:t>Proceedings of the National Academy of Sciences, 117</w:t>
      </w:r>
      <w:r w:rsidRPr="00BB0DD0">
        <w:rPr>
          <w:rFonts w:ascii="Times New Roman" w:eastAsia="Times New Roman" w:hAnsi="Times New Roman" w:cs="Times New Roman"/>
          <w:sz w:val="24"/>
          <w:szCs w:val="24"/>
          <w:lang w:val="en-US"/>
        </w:rPr>
        <w:t xml:space="preserve">(46), 28899–28905. </w:t>
      </w:r>
      <w:hyperlink r:id="rId14" w:tgtFrame="_new" w:history="1">
        <w:r w:rsidRPr="00BB0DD0">
          <w:rPr>
            <w:rFonts w:ascii="Times New Roman" w:eastAsia="Times New Roman" w:hAnsi="Times New Roman" w:cs="Times New Roman"/>
            <w:color w:val="0000FF"/>
            <w:sz w:val="24"/>
            <w:szCs w:val="24"/>
            <w:u w:val="single"/>
            <w:lang w:val="en-US"/>
          </w:rPr>
          <w:t>https://doi.org/10.1073/pnas.1920779117</w:t>
        </w:r>
      </w:hyperlink>
      <w:r w:rsidRPr="00BB0DD0">
        <w:rPr>
          <w:rFonts w:ascii="Times New Roman" w:eastAsia="Times New Roman" w:hAnsi="Times New Roman" w:cs="Times New Roman"/>
          <w:sz w:val="24"/>
          <w:szCs w:val="24"/>
          <w:lang w:val="en-US"/>
        </w:rPr>
        <w:t xml:space="preserve"> </w:t>
      </w:r>
    </w:p>
    <w:p w14:paraId="1E8FE2ED" w14:textId="54971392"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Connolly, J. B., Burt, A., </w:t>
      </w:r>
      <w:proofErr w:type="spellStart"/>
      <w:r w:rsidRPr="00BB0DD0">
        <w:rPr>
          <w:rFonts w:ascii="Times New Roman" w:eastAsia="Times New Roman" w:hAnsi="Times New Roman" w:cs="Times New Roman"/>
          <w:sz w:val="24"/>
          <w:szCs w:val="24"/>
          <w:lang w:val="en-US"/>
        </w:rPr>
        <w:t>Christophides</w:t>
      </w:r>
      <w:proofErr w:type="spellEnd"/>
      <w:r w:rsidRPr="00BB0DD0">
        <w:rPr>
          <w:rFonts w:ascii="Times New Roman" w:eastAsia="Times New Roman" w:hAnsi="Times New Roman" w:cs="Times New Roman"/>
          <w:sz w:val="24"/>
          <w:szCs w:val="24"/>
          <w:lang w:val="en-US"/>
        </w:rPr>
        <w:t xml:space="preserve">, G., Diabate, A., </w:t>
      </w:r>
      <w:proofErr w:type="spellStart"/>
      <w:r w:rsidRPr="00BB0DD0">
        <w:rPr>
          <w:rFonts w:ascii="Times New Roman" w:eastAsia="Times New Roman" w:hAnsi="Times New Roman" w:cs="Times New Roman"/>
          <w:sz w:val="24"/>
          <w:szCs w:val="24"/>
          <w:lang w:val="en-US"/>
        </w:rPr>
        <w:t>Habtewold</w:t>
      </w:r>
      <w:proofErr w:type="spellEnd"/>
      <w:r w:rsidRPr="00BB0DD0">
        <w:rPr>
          <w:rFonts w:ascii="Times New Roman" w:eastAsia="Times New Roman" w:hAnsi="Times New Roman" w:cs="Times New Roman"/>
          <w:sz w:val="24"/>
          <w:szCs w:val="24"/>
          <w:lang w:val="en-US"/>
        </w:rPr>
        <w:t xml:space="preserve">, T., Hancock, P. A., James, A. A., Kayondo, J. K., </w:t>
      </w:r>
      <w:proofErr w:type="spellStart"/>
      <w:r w:rsidRPr="00BB0DD0">
        <w:rPr>
          <w:rFonts w:ascii="Times New Roman" w:eastAsia="Times New Roman" w:hAnsi="Times New Roman" w:cs="Times New Roman"/>
          <w:sz w:val="24"/>
          <w:szCs w:val="24"/>
          <w:lang w:val="en-US"/>
        </w:rPr>
        <w:t>Lwetoijera</w:t>
      </w:r>
      <w:proofErr w:type="spellEnd"/>
      <w:r w:rsidRPr="00BB0DD0">
        <w:rPr>
          <w:rFonts w:ascii="Times New Roman" w:eastAsia="Times New Roman" w:hAnsi="Times New Roman" w:cs="Times New Roman"/>
          <w:sz w:val="24"/>
          <w:szCs w:val="24"/>
          <w:lang w:val="en-US"/>
        </w:rPr>
        <w:t xml:space="preserve">, D. W., </w:t>
      </w:r>
      <w:proofErr w:type="spellStart"/>
      <w:r w:rsidRPr="00BB0DD0">
        <w:rPr>
          <w:rFonts w:ascii="Times New Roman" w:eastAsia="Times New Roman" w:hAnsi="Times New Roman" w:cs="Times New Roman"/>
          <w:sz w:val="24"/>
          <w:szCs w:val="24"/>
          <w:lang w:val="en-US"/>
        </w:rPr>
        <w:t>Manjurano</w:t>
      </w:r>
      <w:proofErr w:type="spellEnd"/>
      <w:r w:rsidRPr="00BB0DD0">
        <w:rPr>
          <w:rFonts w:ascii="Times New Roman" w:eastAsia="Times New Roman" w:hAnsi="Times New Roman" w:cs="Times New Roman"/>
          <w:sz w:val="24"/>
          <w:szCs w:val="24"/>
          <w:lang w:val="en-US"/>
        </w:rPr>
        <w:t xml:space="preserve">, A., McKemey, A. R., Santos, M. R., </w:t>
      </w:r>
      <w:proofErr w:type="spellStart"/>
      <w:r w:rsidRPr="00BB0DD0">
        <w:rPr>
          <w:rFonts w:ascii="Times New Roman" w:eastAsia="Times New Roman" w:hAnsi="Times New Roman" w:cs="Times New Roman"/>
          <w:sz w:val="24"/>
          <w:szCs w:val="24"/>
          <w:lang w:val="en-US"/>
        </w:rPr>
        <w:t>Windbichler</w:t>
      </w:r>
      <w:proofErr w:type="spellEnd"/>
      <w:r w:rsidRPr="00BB0DD0">
        <w:rPr>
          <w:rFonts w:ascii="Times New Roman" w:eastAsia="Times New Roman" w:hAnsi="Times New Roman" w:cs="Times New Roman"/>
          <w:sz w:val="24"/>
          <w:szCs w:val="24"/>
          <w:lang w:val="en-US"/>
        </w:rPr>
        <w:t xml:space="preserve">, N., &amp; Randazzo, F. (2024). Considerations for first field trials of low-threshold gene drive for malaria vector control. </w:t>
      </w:r>
      <w:r w:rsidRPr="00BB0DD0">
        <w:rPr>
          <w:rFonts w:ascii="Times New Roman" w:eastAsia="Times New Roman" w:hAnsi="Times New Roman" w:cs="Times New Roman"/>
          <w:i/>
          <w:iCs/>
          <w:sz w:val="24"/>
          <w:szCs w:val="24"/>
          <w:lang w:val="en-US"/>
        </w:rPr>
        <w:t>Malaria Journal, 23</w:t>
      </w:r>
      <w:r w:rsidRPr="00BB0DD0">
        <w:rPr>
          <w:rFonts w:ascii="Times New Roman" w:eastAsia="Times New Roman" w:hAnsi="Times New Roman" w:cs="Times New Roman"/>
          <w:sz w:val="24"/>
          <w:szCs w:val="24"/>
          <w:lang w:val="en-US"/>
        </w:rPr>
        <w:t xml:space="preserve">, Article 156. </w:t>
      </w:r>
      <w:hyperlink r:id="rId15" w:tgtFrame="_new" w:history="1">
        <w:r w:rsidRPr="00BB0DD0">
          <w:rPr>
            <w:rFonts w:ascii="Times New Roman" w:eastAsia="Times New Roman" w:hAnsi="Times New Roman" w:cs="Times New Roman"/>
            <w:color w:val="0000FF"/>
            <w:sz w:val="24"/>
            <w:szCs w:val="24"/>
            <w:u w:val="single"/>
            <w:lang w:val="en-US"/>
          </w:rPr>
          <w:t>https://doi.org/10.1186/s12936-024-04952-9</w:t>
        </w:r>
      </w:hyperlink>
      <w:r w:rsidRPr="00BB0DD0">
        <w:rPr>
          <w:rFonts w:ascii="Times New Roman" w:eastAsia="Times New Roman" w:hAnsi="Times New Roman" w:cs="Times New Roman"/>
          <w:sz w:val="24"/>
          <w:szCs w:val="24"/>
          <w:lang w:val="en-US"/>
        </w:rPr>
        <w:t xml:space="preserve"> </w:t>
      </w:r>
    </w:p>
    <w:p w14:paraId="11015818" w14:textId="480C4CC5"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nl-BE"/>
        </w:rPr>
      </w:pPr>
      <w:r w:rsidRPr="00BB0DD0">
        <w:rPr>
          <w:rFonts w:ascii="Times New Roman" w:eastAsia="Times New Roman" w:hAnsi="Times New Roman" w:cs="Times New Roman"/>
          <w:sz w:val="24"/>
          <w:szCs w:val="24"/>
          <w:lang w:val="en-US"/>
        </w:rPr>
        <w:t xml:space="preserve">EFSA Panel on Genetically Modified Organisms (GMO), </w:t>
      </w:r>
      <w:proofErr w:type="spellStart"/>
      <w:r w:rsidRPr="00BB0DD0">
        <w:rPr>
          <w:rFonts w:ascii="Times New Roman" w:eastAsia="Times New Roman" w:hAnsi="Times New Roman" w:cs="Times New Roman"/>
          <w:sz w:val="24"/>
          <w:szCs w:val="24"/>
          <w:lang w:val="en-US"/>
        </w:rPr>
        <w:t>Casacuberta</w:t>
      </w:r>
      <w:proofErr w:type="spellEnd"/>
      <w:r w:rsidRPr="00BB0DD0">
        <w:rPr>
          <w:rFonts w:ascii="Times New Roman" w:eastAsia="Times New Roman" w:hAnsi="Times New Roman" w:cs="Times New Roman"/>
          <w:sz w:val="24"/>
          <w:szCs w:val="24"/>
          <w:lang w:val="en-US"/>
        </w:rPr>
        <w:t xml:space="preserve">, J., Barro, F., </w:t>
      </w:r>
      <w:proofErr w:type="spellStart"/>
      <w:r w:rsidRPr="00BB0DD0">
        <w:rPr>
          <w:rFonts w:ascii="Times New Roman" w:eastAsia="Times New Roman" w:hAnsi="Times New Roman" w:cs="Times New Roman"/>
          <w:sz w:val="24"/>
          <w:szCs w:val="24"/>
          <w:lang w:val="en-US"/>
        </w:rPr>
        <w:t>Braeuning</w:t>
      </w:r>
      <w:proofErr w:type="spellEnd"/>
      <w:r w:rsidRPr="00BB0DD0">
        <w:rPr>
          <w:rFonts w:ascii="Times New Roman" w:eastAsia="Times New Roman" w:hAnsi="Times New Roman" w:cs="Times New Roman"/>
          <w:sz w:val="24"/>
          <w:szCs w:val="24"/>
          <w:lang w:val="en-US"/>
        </w:rPr>
        <w:t xml:space="preserve">, A., de </w:t>
      </w:r>
      <w:proofErr w:type="spellStart"/>
      <w:r w:rsidRPr="00BB0DD0">
        <w:rPr>
          <w:rFonts w:ascii="Times New Roman" w:eastAsia="Times New Roman" w:hAnsi="Times New Roman" w:cs="Times New Roman"/>
          <w:sz w:val="24"/>
          <w:szCs w:val="24"/>
          <w:lang w:val="en-US"/>
        </w:rPr>
        <w:t>Maagd</w:t>
      </w:r>
      <w:proofErr w:type="spellEnd"/>
      <w:r w:rsidRPr="00BB0DD0">
        <w:rPr>
          <w:rFonts w:ascii="Times New Roman" w:eastAsia="Times New Roman" w:hAnsi="Times New Roman" w:cs="Times New Roman"/>
          <w:sz w:val="24"/>
          <w:szCs w:val="24"/>
          <w:lang w:val="en-US"/>
        </w:rPr>
        <w:t xml:space="preserve">, R., Epstein, M. M., Frenzel, T., Gallois, J.-L., Koning, F., </w:t>
      </w:r>
      <w:proofErr w:type="spellStart"/>
      <w:r w:rsidRPr="00BB0DD0">
        <w:rPr>
          <w:rFonts w:ascii="Times New Roman" w:eastAsia="Times New Roman" w:hAnsi="Times New Roman" w:cs="Times New Roman"/>
          <w:sz w:val="24"/>
          <w:szCs w:val="24"/>
          <w:lang w:val="en-US"/>
        </w:rPr>
        <w:t>Messéan</w:t>
      </w:r>
      <w:proofErr w:type="spellEnd"/>
      <w:r w:rsidRPr="00BB0DD0">
        <w:rPr>
          <w:rFonts w:ascii="Times New Roman" w:eastAsia="Times New Roman" w:hAnsi="Times New Roman" w:cs="Times New Roman"/>
          <w:sz w:val="24"/>
          <w:szCs w:val="24"/>
          <w:lang w:val="en-US"/>
        </w:rPr>
        <w:t xml:space="preserve">, A., Moreno, F. J., </w:t>
      </w:r>
      <w:proofErr w:type="spellStart"/>
      <w:r w:rsidRPr="00BB0DD0">
        <w:rPr>
          <w:rFonts w:ascii="Times New Roman" w:eastAsia="Times New Roman" w:hAnsi="Times New Roman" w:cs="Times New Roman"/>
          <w:sz w:val="24"/>
          <w:szCs w:val="24"/>
          <w:lang w:val="en-US"/>
        </w:rPr>
        <w:t>Nogué</w:t>
      </w:r>
      <w:proofErr w:type="spellEnd"/>
      <w:r w:rsidRPr="00BB0DD0">
        <w:rPr>
          <w:rFonts w:ascii="Times New Roman" w:eastAsia="Times New Roman" w:hAnsi="Times New Roman" w:cs="Times New Roman"/>
          <w:sz w:val="24"/>
          <w:szCs w:val="24"/>
          <w:lang w:val="en-US"/>
        </w:rPr>
        <w:t xml:space="preserve">, F., Schulman, A. H., Tebbe, C., Veromann, E., Firbank, L., Glandorf, D., Herskin, M. S., Lillico, S. G., . . . Savoini, G. (2025). New developments in biotechnology applied to animals: An assessment of the adequacy and </w:t>
      </w:r>
      <w:r w:rsidRPr="00BB0DD0">
        <w:rPr>
          <w:rFonts w:ascii="Times New Roman" w:eastAsia="Times New Roman" w:hAnsi="Times New Roman" w:cs="Times New Roman"/>
          <w:sz w:val="24"/>
          <w:szCs w:val="24"/>
          <w:lang w:val="en-US"/>
        </w:rPr>
        <w:lastRenderedPageBreak/>
        <w:t xml:space="preserve">sufficiency of current EFSA guidance for animal risk assessment. </w:t>
      </w:r>
      <w:r w:rsidRPr="00BB0DD0">
        <w:rPr>
          <w:rFonts w:ascii="Times New Roman" w:eastAsia="Times New Roman" w:hAnsi="Times New Roman" w:cs="Times New Roman"/>
          <w:i/>
          <w:iCs/>
          <w:sz w:val="24"/>
          <w:szCs w:val="24"/>
          <w:lang w:val="nl-BE"/>
        </w:rPr>
        <w:t>EFSA Journal, 23</w:t>
      </w:r>
      <w:r w:rsidRPr="00BB0DD0">
        <w:rPr>
          <w:rFonts w:ascii="Times New Roman" w:eastAsia="Times New Roman" w:hAnsi="Times New Roman" w:cs="Times New Roman"/>
          <w:sz w:val="24"/>
          <w:szCs w:val="24"/>
          <w:lang w:val="nl-BE"/>
        </w:rPr>
        <w:t xml:space="preserve">(8), e9566. </w:t>
      </w:r>
      <w:hyperlink r:id="rId16" w:tgtFrame="_new" w:history="1">
        <w:r w:rsidRPr="00BB0DD0">
          <w:rPr>
            <w:rFonts w:ascii="Times New Roman" w:eastAsia="Times New Roman" w:hAnsi="Times New Roman" w:cs="Times New Roman"/>
            <w:color w:val="0000FF"/>
            <w:sz w:val="24"/>
            <w:szCs w:val="24"/>
            <w:u w:val="single"/>
            <w:lang w:val="nl-BE"/>
          </w:rPr>
          <w:t>https://doi.org/10.2903/j.efsa.2025.9566</w:t>
        </w:r>
      </w:hyperlink>
      <w:r w:rsidRPr="00BB0DD0">
        <w:rPr>
          <w:rFonts w:ascii="Times New Roman" w:eastAsia="Times New Roman" w:hAnsi="Times New Roman" w:cs="Times New Roman"/>
          <w:sz w:val="24"/>
          <w:szCs w:val="24"/>
          <w:lang w:val="nl-BE"/>
        </w:rPr>
        <w:t xml:space="preserve"> </w:t>
      </w:r>
    </w:p>
    <w:p w14:paraId="7B9D5AD2" w14:textId="4E0F23A1"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nl-BE"/>
        </w:rPr>
        <w:t xml:space="preserve">Esvelt, K. M., &amp; Gemmell, N. J. (2017). </w:t>
      </w:r>
      <w:r w:rsidRPr="00BB0DD0">
        <w:rPr>
          <w:rFonts w:ascii="Times New Roman" w:eastAsia="Times New Roman" w:hAnsi="Times New Roman" w:cs="Times New Roman"/>
          <w:sz w:val="24"/>
          <w:szCs w:val="24"/>
          <w:lang w:val="en-US"/>
        </w:rPr>
        <w:t xml:space="preserve">Conservation demands safe gene drive. </w:t>
      </w:r>
      <w:r w:rsidRPr="00BB0DD0">
        <w:rPr>
          <w:rFonts w:ascii="Times New Roman" w:eastAsia="Times New Roman" w:hAnsi="Times New Roman" w:cs="Times New Roman"/>
          <w:i/>
          <w:iCs/>
          <w:sz w:val="24"/>
          <w:szCs w:val="24"/>
          <w:lang w:val="en-US"/>
        </w:rPr>
        <w:t>PLOS Biology, 15</w:t>
      </w:r>
      <w:r w:rsidRPr="00BB0DD0">
        <w:rPr>
          <w:rFonts w:ascii="Times New Roman" w:eastAsia="Times New Roman" w:hAnsi="Times New Roman" w:cs="Times New Roman"/>
          <w:sz w:val="24"/>
          <w:szCs w:val="24"/>
          <w:lang w:val="en-US"/>
        </w:rPr>
        <w:t xml:space="preserve">(11), e2003850. </w:t>
      </w:r>
      <w:hyperlink r:id="rId17" w:tgtFrame="_new" w:history="1">
        <w:r w:rsidRPr="00BB0DD0">
          <w:rPr>
            <w:rFonts w:ascii="Times New Roman" w:eastAsia="Times New Roman" w:hAnsi="Times New Roman" w:cs="Times New Roman"/>
            <w:color w:val="0000FF"/>
            <w:sz w:val="24"/>
            <w:szCs w:val="24"/>
            <w:u w:val="single"/>
            <w:lang w:val="en-US"/>
          </w:rPr>
          <w:t>https://doi.org/10.1371/journal.pbio.2003850</w:t>
        </w:r>
      </w:hyperlink>
      <w:r w:rsidRPr="00BB0DD0">
        <w:rPr>
          <w:rFonts w:ascii="Times New Roman" w:eastAsia="Times New Roman" w:hAnsi="Times New Roman" w:cs="Times New Roman"/>
          <w:sz w:val="24"/>
          <w:szCs w:val="24"/>
          <w:lang w:val="en-US"/>
        </w:rPr>
        <w:t xml:space="preserve"> </w:t>
      </w:r>
    </w:p>
    <w:p w14:paraId="5EB21CC7" w14:textId="09079383"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Faber, N. R., McFarlane, G. R., Gaynor, R. C., </w:t>
      </w:r>
      <w:proofErr w:type="spellStart"/>
      <w:r w:rsidRPr="00BB0DD0">
        <w:rPr>
          <w:rFonts w:ascii="Times New Roman" w:eastAsia="Times New Roman" w:hAnsi="Times New Roman" w:cs="Times New Roman"/>
          <w:sz w:val="24"/>
          <w:szCs w:val="24"/>
          <w:lang w:val="en-US"/>
        </w:rPr>
        <w:t>Pocrnic</w:t>
      </w:r>
      <w:proofErr w:type="spellEnd"/>
      <w:r w:rsidRPr="00BB0DD0">
        <w:rPr>
          <w:rFonts w:ascii="Times New Roman" w:eastAsia="Times New Roman" w:hAnsi="Times New Roman" w:cs="Times New Roman"/>
          <w:sz w:val="24"/>
          <w:szCs w:val="24"/>
          <w:lang w:val="en-US"/>
        </w:rPr>
        <w:t xml:space="preserve">, I., Whitelaw, C. B. A., &amp; Gorjanc, G. (2021). Novel combination of CRISPR-based gene drives eliminates resistance and </w:t>
      </w:r>
      <w:proofErr w:type="spellStart"/>
      <w:r w:rsidRPr="00BB0DD0">
        <w:rPr>
          <w:rFonts w:ascii="Times New Roman" w:eastAsia="Times New Roman" w:hAnsi="Times New Roman" w:cs="Times New Roman"/>
          <w:sz w:val="24"/>
          <w:szCs w:val="24"/>
          <w:lang w:val="en-US"/>
        </w:rPr>
        <w:t>localises</w:t>
      </w:r>
      <w:proofErr w:type="spellEnd"/>
      <w:r w:rsidRPr="00BB0DD0">
        <w:rPr>
          <w:rFonts w:ascii="Times New Roman" w:eastAsia="Times New Roman" w:hAnsi="Times New Roman" w:cs="Times New Roman"/>
          <w:sz w:val="24"/>
          <w:szCs w:val="24"/>
          <w:lang w:val="en-US"/>
        </w:rPr>
        <w:t xml:space="preserve"> spread. </w:t>
      </w:r>
      <w:r w:rsidRPr="00BB0DD0">
        <w:rPr>
          <w:rFonts w:ascii="Times New Roman" w:eastAsia="Times New Roman" w:hAnsi="Times New Roman" w:cs="Times New Roman"/>
          <w:i/>
          <w:iCs/>
          <w:sz w:val="24"/>
          <w:szCs w:val="24"/>
          <w:lang w:val="en-US"/>
        </w:rPr>
        <w:t>Scientific Reports, 11</w:t>
      </w:r>
      <w:r w:rsidRPr="00BB0DD0">
        <w:rPr>
          <w:rFonts w:ascii="Times New Roman" w:eastAsia="Times New Roman" w:hAnsi="Times New Roman" w:cs="Times New Roman"/>
          <w:sz w:val="24"/>
          <w:szCs w:val="24"/>
          <w:lang w:val="en-US"/>
        </w:rPr>
        <w:t xml:space="preserve">, Article 3719. </w:t>
      </w:r>
      <w:hyperlink r:id="rId18" w:tgtFrame="_new" w:history="1">
        <w:r w:rsidRPr="00BB0DD0">
          <w:rPr>
            <w:rFonts w:ascii="Times New Roman" w:eastAsia="Times New Roman" w:hAnsi="Times New Roman" w:cs="Times New Roman"/>
            <w:color w:val="0000FF"/>
            <w:sz w:val="24"/>
            <w:szCs w:val="24"/>
            <w:u w:val="single"/>
            <w:lang w:val="en-US"/>
          </w:rPr>
          <w:t>https://doi.org/10.1038/s41598-021-83239-4</w:t>
        </w:r>
      </w:hyperlink>
      <w:r w:rsidRPr="00BB0DD0">
        <w:rPr>
          <w:rFonts w:ascii="Times New Roman" w:eastAsia="Times New Roman" w:hAnsi="Times New Roman" w:cs="Times New Roman"/>
          <w:sz w:val="24"/>
          <w:szCs w:val="24"/>
          <w:lang w:val="en-US"/>
        </w:rPr>
        <w:t xml:space="preserve"> </w:t>
      </w:r>
    </w:p>
    <w:p w14:paraId="7206ED1C" w14:textId="68E609D0"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Greenhalgh, T., Thorne, S., &amp; </w:t>
      </w:r>
      <w:proofErr w:type="spellStart"/>
      <w:r w:rsidRPr="00BB0DD0">
        <w:rPr>
          <w:rFonts w:ascii="Times New Roman" w:eastAsia="Times New Roman" w:hAnsi="Times New Roman" w:cs="Times New Roman"/>
          <w:sz w:val="24"/>
          <w:szCs w:val="24"/>
          <w:lang w:val="en-US"/>
        </w:rPr>
        <w:t>Malterud</w:t>
      </w:r>
      <w:proofErr w:type="spellEnd"/>
      <w:r w:rsidRPr="00BB0DD0">
        <w:rPr>
          <w:rFonts w:ascii="Times New Roman" w:eastAsia="Times New Roman" w:hAnsi="Times New Roman" w:cs="Times New Roman"/>
          <w:sz w:val="24"/>
          <w:szCs w:val="24"/>
          <w:lang w:val="en-US"/>
        </w:rPr>
        <w:t xml:space="preserve">, K. (2018). Time to challenge the spurious hierarchy of systematic over narrative reviews? </w:t>
      </w:r>
      <w:r w:rsidRPr="00BB0DD0">
        <w:rPr>
          <w:rFonts w:ascii="Times New Roman" w:eastAsia="Times New Roman" w:hAnsi="Times New Roman" w:cs="Times New Roman"/>
          <w:i/>
          <w:iCs/>
          <w:sz w:val="24"/>
          <w:szCs w:val="24"/>
          <w:lang w:val="en-US"/>
        </w:rPr>
        <w:t>European Journal of Clinical Investigation, 48</w:t>
      </w:r>
      <w:r w:rsidRPr="00BB0DD0">
        <w:rPr>
          <w:rFonts w:ascii="Times New Roman" w:eastAsia="Times New Roman" w:hAnsi="Times New Roman" w:cs="Times New Roman"/>
          <w:sz w:val="24"/>
          <w:szCs w:val="24"/>
          <w:lang w:val="en-US"/>
        </w:rPr>
        <w:t xml:space="preserve">(6), e12931. </w:t>
      </w:r>
      <w:hyperlink r:id="rId19" w:tgtFrame="_new" w:history="1">
        <w:r w:rsidRPr="00BB0DD0">
          <w:rPr>
            <w:rFonts w:ascii="Times New Roman" w:eastAsia="Times New Roman" w:hAnsi="Times New Roman" w:cs="Times New Roman"/>
            <w:color w:val="0000FF"/>
            <w:sz w:val="24"/>
            <w:szCs w:val="24"/>
            <w:u w:val="single"/>
            <w:lang w:val="en-US"/>
          </w:rPr>
          <w:t>https://doi.org/10.1111/eci.12931</w:t>
        </w:r>
      </w:hyperlink>
      <w:r w:rsidRPr="00BB0DD0">
        <w:rPr>
          <w:rFonts w:ascii="Times New Roman" w:eastAsia="Times New Roman" w:hAnsi="Times New Roman" w:cs="Times New Roman"/>
          <w:sz w:val="24"/>
          <w:szCs w:val="24"/>
          <w:lang w:val="en-US"/>
        </w:rPr>
        <w:t xml:space="preserve"> </w:t>
      </w:r>
    </w:p>
    <w:p w14:paraId="0EC33DD1" w14:textId="2DCB0C36"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proofErr w:type="spellStart"/>
      <w:r w:rsidRPr="00BB0DD0">
        <w:rPr>
          <w:rFonts w:ascii="Times New Roman" w:eastAsia="Times New Roman" w:hAnsi="Times New Roman" w:cs="Times New Roman"/>
          <w:sz w:val="24"/>
          <w:szCs w:val="24"/>
          <w:lang w:val="en-US"/>
        </w:rPr>
        <w:t>Gutási</w:t>
      </w:r>
      <w:proofErr w:type="spellEnd"/>
      <w:r w:rsidRPr="00BB0DD0">
        <w:rPr>
          <w:rFonts w:ascii="Times New Roman" w:eastAsia="Times New Roman" w:hAnsi="Times New Roman" w:cs="Times New Roman"/>
          <w:sz w:val="24"/>
          <w:szCs w:val="24"/>
          <w:lang w:val="en-US"/>
        </w:rPr>
        <w:t>, A., Hammer, S. E., El-</w:t>
      </w:r>
      <w:proofErr w:type="spellStart"/>
      <w:r w:rsidRPr="00BB0DD0">
        <w:rPr>
          <w:rFonts w:ascii="Times New Roman" w:eastAsia="Times New Roman" w:hAnsi="Times New Roman" w:cs="Times New Roman"/>
          <w:sz w:val="24"/>
          <w:szCs w:val="24"/>
          <w:lang w:val="en-US"/>
        </w:rPr>
        <w:t>Matbouli</w:t>
      </w:r>
      <w:proofErr w:type="spellEnd"/>
      <w:r w:rsidRPr="00BB0DD0">
        <w:rPr>
          <w:rFonts w:ascii="Times New Roman" w:eastAsia="Times New Roman" w:hAnsi="Times New Roman" w:cs="Times New Roman"/>
          <w:sz w:val="24"/>
          <w:szCs w:val="24"/>
          <w:lang w:val="en-US"/>
        </w:rPr>
        <w:t xml:space="preserve">, M., &amp; Saleh, M. (2023). Recent applications of gene editing in fish species and aquatic medicine. </w:t>
      </w:r>
      <w:r w:rsidRPr="00BB0DD0">
        <w:rPr>
          <w:rFonts w:ascii="Times New Roman" w:eastAsia="Times New Roman" w:hAnsi="Times New Roman" w:cs="Times New Roman"/>
          <w:i/>
          <w:iCs/>
          <w:sz w:val="24"/>
          <w:szCs w:val="24"/>
          <w:lang w:val="en-US"/>
        </w:rPr>
        <w:t>Animals, 13</w:t>
      </w:r>
      <w:r w:rsidRPr="00BB0DD0">
        <w:rPr>
          <w:rFonts w:ascii="Times New Roman" w:eastAsia="Times New Roman" w:hAnsi="Times New Roman" w:cs="Times New Roman"/>
          <w:sz w:val="24"/>
          <w:szCs w:val="24"/>
          <w:lang w:val="en-US"/>
        </w:rPr>
        <w:t xml:space="preserve">(7), Article 1250. </w:t>
      </w:r>
      <w:hyperlink r:id="rId20" w:tgtFrame="_new" w:history="1">
        <w:r w:rsidRPr="00BB0DD0">
          <w:rPr>
            <w:rFonts w:ascii="Times New Roman" w:eastAsia="Times New Roman" w:hAnsi="Times New Roman" w:cs="Times New Roman"/>
            <w:color w:val="0000FF"/>
            <w:sz w:val="24"/>
            <w:szCs w:val="24"/>
            <w:u w:val="single"/>
            <w:lang w:val="en-US"/>
          </w:rPr>
          <w:t>https://doi.org/10.3390/ani13071250</w:t>
        </w:r>
      </w:hyperlink>
      <w:r w:rsidRPr="00BB0DD0">
        <w:rPr>
          <w:rFonts w:ascii="Times New Roman" w:eastAsia="Times New Roman" w:hAnsi="Times New Roman" w:cs="Times New Roman"/>
          <w:sz w:val="24"/>
          <w:szCs w:val="24"/>
          <w:lang w:val="en-US"/>
        </w:rPr>
        <w:t xml:space="preserve"> </w:t>
      </w:r>
    </w:p>
    <w:p w14:paraId="73272B1A" w14:textId="45CA3CFD"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He, J., Shi, N., Yao, H., Li, J., Wang, Y., &amp; Zhang, J. (2025). Genome editing in the chicken: From PGC-mediated germline transmission to advanced applications. </w:t>
      </w:r>
      <w:r w:rsidRPr="00BB0DD0">
        <w:rPr>
          <w:rFonts w:ascii="Times New Roman" w:eastAsia="Times New Roman" w:hAnsi="Times New Roman" w:cs="Times New Roman"/>
          <w:i/>
          <w:iCs/>
          <w:sz w:val="24"/>
          <w:szCs w:val="24"/>
          <w:lang w:val="en-US"/>
        </w:rPr>
        <w:t>International Journal of Molecular Sciences, 26</w:t>
      </w:r>
      <w:r w:rsidRPr="00BB0DD0">
        <w:rPr>
          <w:rFonts w:ascii="Times New Roman" w:eastAsia="Times New Roman" w:hAnsi="Times New Roman" w:cs="Times New Roman"/>
          <w:sz w:val="24"/>
          <w:szCs w:val="24"/>
          <w:lang w:val="en-US"/>
        </w:rPr>
        <w:t xml:space="preserve">(19), Article 9426. </w:t>
      </w:r>
      <w:hyperlink r:id="rId21" w:tgtFrame="_new" w:history="1">
        <w:r w:rsidRPr="00BB0DD0">
          <w:rPr>
            <w:rFonts w:ascii="Times New Roman" w:eastAsia="Times New Roman" w:hAnsi="Times New Roman" w:cs="Times New Roman"/>
            <w:color w:val="0000FF"/>
            <w:sz w:val="24"/>
            <w:szCs w:val="24"/>
            <w:u w:val="single"/>
            <w:lang w:val="en-US"/>
          </w:rPr>
          <w:t>https://doi.org/10.3390/ijms26199426</w:t>
        </w:r>
      </w:hyperlink>
      <w:r w:rsidRPr="00BB0DD0">
        <w:rPr>
          <w:rFonts w:ascii="Times New Roman" w:eastAsia="Times New Roman" w:hAnsi="Times New Roman" w:cs="Times New Roman"/>
          <w:sz w:val="24"/>
          <w:szCs w:val="24"/>
          <w:lang w:val="en-US"/>
        </w:rPr>
        <w:t xml:space="preserve"> </w:t>
      </w:r>
    </w:p>
    <w:p w14:paraId="40AD7CC8" w14:textId="1262547E"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Idoko-</w:t>
      </w:r>
      <w:proofErr w:type="spellStart"/>
      <w:r w:rsidRPr="00BB0DD0">
        <w:rPr>
          <w:rFonts w:ascii="Times New Roman" w:eastAsia="Times New Roman" w:hAnsi="Times New Roman" w:cs="Times New Roman"/>
          <w:sz w:val="24"/>
          <w:szCs w:val="24"/>
          <w:lang w:val="en-US"/>
        </w:rPr>
        <w:t>Akoh</w:t>
      </w:r>
      <w:proofErr w:type="spellEnd"/>
      <w:r w:rsidRPr="00BB0DD0">
        <w:rPr>
          <w:rFonts w:ascii="Times New Roman" w:eastAsia="Times New Roman" w:hAnsi="Times New Roman" w:cs="Times New Roman"/>
          <w:sz w:val="24"/>
          <w:szCs w:val="24"/>
          <w:lang w:val="en-US"/>
        </w:rPr>
        <w:t xml:space="preserve">, A., Goldhill, D. H., Sheppard, C. M., Bialy, D., Quantrill, J. L., Sukhova, K., Brown, J. C., Richardson, S., Campbell, C., Taylor, L., Sherman, A., </w:t>
      </w:r>
      <w:proofErr w:type="spellStart"/>
      <w:r w:rsidRPr="00BB0DD0">
        <w:rPr>
          <w:rFonts w:ascii="Times New Roman" w:eastAsia="Times New Roman" w:hAnsi="Times New Roman" w:cs="Times New Roman"/>
          <w:sz w:val="24"/>
          <w:szCs w:val="24"/>
          <w:lang w:val="en-US"/>
        </w:rPr>
        <w:t>Nazki</w:t>
      </w:r>
      <w:proofErr w:type="spellEnd"/>
      <w:r w:rsidRPr="00BB0DD0">
        <w:rPr>
          <w:rFonts w:ascii="Times New Roman" w:eastAsia="Times New Roman" w:hAnsi="Times New Roman" w:cs="Times New Roman"/>
          <w:sz w:val="24"/>
          <w:szCs w:val="24"/>
          <w:lang w:val="en-US"/>
        </w:rPr>
        <w:t xml:space="preserve">, S., Long, J. S., Skinner, M. A., Shelton, H., Sang, H. M., Barclay, W. S., &amp; McGrew, M. J. (2023). Creating resistance to avian influenza infection through genome editing of the ANP32 gene family. </w:t>
      </w:r>
      <w:r w:rsidRPr="00BB0DD0">
        <w:rPr>
          <w:rFonts w:ascii="Times New Roman" w:eastAsia="Times New Roman" w:hAnsi="Times New Roman" w:cs="Times New Roman"/>
          <w:i/>
          <w:iCs/>
          <w:sz w:val="24"/>
          <w:szCs w:val="24"/>
          <w:lang w:val="en-US"/>
        </w:rPr>
        <w:t>Nature Communications, 14</w:t>
      </w:r>
      <w:r w:rsidRPr="00BB0DD0">
        <w:rPr>
          <w:rFonts w:ascii="Times New Roman" w:eastAsia="Times New Roman" w:hAnsi="Times New Roman" w:cs="Times New Roman"/>
          <w:sz w:val="24"/>
          <w:szCs w:val="24"/>
          <w:lang w:val="en-US"/>
        </w:rPr>
        <w:t xml:space="preserve">, Article 6136. </w:t>
      </w:r>
      <w:hyperlink r:id="rId22" w:tgtFrame="_new" w:history="1">
        <w:r w:rsidRPr="00BB0DD0">
          <w:rPr>
            <w:rFonts w:ascii="Times New Roman" w:eastAsia="Times New Roman" w:hAnsi="Times New Roman" w:cs="Times New Roman"/>
            <w:color w:val="0000FF"/>
            <w:sz w:val="24"/>
            <w:szCs w:val="24"/>
            <w:u w:val="single"/>
            <w:lang w:val="en-US"/>
          </w:rPr>
          <w:t>https://doi.org/10.1038/s41467-023-41476-3</w:t>
        </w:r>
      </w:hyperlink>
      <w:r w:rsidRPr="00BB0DD0">
        <w:rPr>
          <w:rFonts w:ascii="Times New Roman" w:eastAsia="Times New Roman" w:hAnsi="Times New Roman" w:cs="Times New Roman"/>
          <w:sz w:val="24"/>
          <w:szCs w:val="24"/>
          <w:lang w:val="en-US"/>
        </w:rPr>
        <w:t xml:space="preserve"> </w:t>
      </w:r>
    </w:p>
    <w:p w14:paraId="5A98D3B4" w14:textId="7D132C7D"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Kim, S., Park, Y.-G., Choi, J.-H., &amp; Moon, S.-H. (2026). CRISPR technology for livestock improvement: Advances and future directions. </w:t>
      </w:r>
      <w:r w:rsidRPr="00BB0DD0">
        <w:rPr>
          <w:rFonts w:ascii="Times New Roman" w:eastAsia="Times New Roman" w:hAnsi="Times New Roman" w:cs="Times New Roman"/>
          <w:i/>
          <w:iCs/>
          <w:sz w:val="24"/>
          <w:szCs w:val="24"/>
          <w:lang w:val="en-US"/>
        </w:rPr>
        <w:t>Molecular Biotechnology, 68</w:t>
      </w:r>
      <w:r w:rsidRPr="00BB0DD0">
        <w:rPr>
          <w:rFonts w:ascii="Times New Roman" w:eastAsia="Times New Roman" w:hAnsi="Times New Roman" w:cs="Times New Roman"/>
          <w:sz w:val="24"/>
          <w:szCs w:val="24"/>
          <w:lang w:val="en-US"/>
        </w:rPr>
        <w:t xml:space="preserve">, 2185–2200. </w:t>
      </w:r>
      <w:hyperlink r:id="rId23" w:tgtFrame="_new" w:history="1">
        <w:r w:rsidRPr="00BB0DD0">
          <w:rPr>
            <w:rFonts w:ascii="Times New Roman" w:eastAsia="Times New Roman" w:hAnsi="Times New Roman" w:cs="Times New Roman"/>
            <w:color w:val="0000FF"/>
            <w:sz w:val="24"/>
            <w:szCs w:val="24"/>
            <w:u w:val="single"/>
            <w:lang w:val="en-US"/>
          </w:rPr>
          <w:t>https://doi.org/10.1007/s12033-025-01532-3</w:t>
        </w:r>
      </w:hyperlink>
      <w:r w:rsidRPr="00BB0DD0">
        <w:rPr>
          <w:rFonts w:ascii="Times New Roman" w:eastAsia="Times New Roman" w:hAnsi="Times New Roman" w:cs="Times New Roman"/>
          <w:sz w:val="24"/>
          <w:szCs w:val="24"/>
          <w:lang w:val="en-US"/>
        </w:rPr>
        <w:t xml:space="preserve"> </w:t>
      </w:r>
    </w:p>
    <w:p w14:paraId="33FE926F" w14:textId="646936AA"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Korody, M. L., &amp; Hildebrandt, T. B. (2025). Progress toward genetic rescue of the northern white rhinoceros (</w:t>
      </w:r>
      <w:proofErr w:type="spellStart"/>
      <w:r w:rsidRPr="00BB0DD0">
        <w:rPr>
          <w:rFonts w:ascii="Times New Roman" w:eastAsia="Times New Roman" w:hAnsi="Times New Roman" w:cs="Times New Roman"/>
          <w:i/>
          <w:iCs/>
          <w:sz w:val="24"/>
          <w:szCs w:val="24"/>
          <w:lang w:val="en-US"/>
        </w:rPr>
        <w:t>Ceratotherium</w:t>
      </w:r>
      <w:proofErr w:type="spellEnd"/>
      <w:r w:rsidRPr="00BB0DD0">
        <w:rPr>
          <w:rFonts w:ascii="Times New Roman" w:eastAsia="Times New Roman" w:hAnsi="Times New Roman" w:cs="Times New Roman"/>
          <w:i/>
          <w:iCs/>
          <w:sz w:val="24"/>
          <w:szCs w:val="24"/>
          <w:lang w:val="en-US"/>
        </w:rPr>
        <w:t xml:space="preserve"> </w:t>
      </w:r>
      <w:proofErr w:type="spellStart"/>
      <w:r w:rsidRPr="00BB0DD0">
        <w:rPr>
          <w:rFonts w:ascii="Times New Roman" w:eastAsia="Times New Roman" w:hAnsi="Times New Roman" w:cs="Times New Roman"/>
          <w:i/>
          <w:iCs/>
          <w:sz w:val="24"/>
          <w:szCs w:val="24"/>
          <w:lang w:val="en-US"/>
        </w:rPr>
        <w:t>simum</w:t>
      </w:r>
      <w:proofErr w:type="spellEnd"/>
      <w:r w:rsidRPr="00BB0DD0">
        <w:rPr>
          <w:rFonts w:ascii="Times New Roman" w:eastAsia="Times New Roman" w:hAnsi="Times New Roman" w:cs="Times New Roman"/>
          <w:i/>
          <w:iCs/>
          <w:sz w:val="24"/>
          <w:szCs w:val="24"/>
          <w:lang w:val="en-US"/>
        </w:rPr>
        <w:t xml:space="preserve"> </w:t>
      </w:r>
      <w:proofErr w:type="spellStart"/>
      <w:r w:rsidRPr="00BB0DD0">
        <w:rPr>
          <w:rFonts w:ascii="Times New Roman" w:eastAsia="Times New Roman" w:hAnsi="Times New Roman" w:cs="Times New Roman"/>
          <w:i/>
          <w:iCs/>
          <w:sz w:val="24"/>
          <w:szCs w:val="24"/>
          <w:lang w:val="en-US"/>
        </w:rPr>
        <w:t>cottoni</w:t>
      </w:r>
      <w:proofErr w:type="spellEnd"/>
      <w:r w:rsidRPr="00BB0DD0">
        <w:rPr>
          <w:rFonts w:ascii="Times New Roman" w:eastAsia="Times New Roman" w:hAnsi="Times New Roman" w:cs="Times New Roman"/>
          <w:sz w:val="24"/>
          <w:szCs w:val="24"/>
          <w:lang w:val="en-US"/>
        </w:rPr>
        <w:t xml:space="preserve">). </w:t>
      </w:r>
      <w:r w:rsidRPr="00BB0DD0">
        <w:rPr>
          <w:rFonts w:ascii="Times New Roman" w:eastAsia="Times New Roman" w:hAnsi="Times New Roman" w:cs="Times New Roman"/>
          <w:i/>
          <w:iCs/>
          <w:sz w:val="24"/>
          <w:szCs w:val="24"/>
          <w:lang w:val="en-US"/>
        </w:rPr>
        <w:t>Annual Review of Animal Biosciences, 13</w:t>
      </w:r>
      <w:r w:rsidRPr="00BB0DD0">
        <w:rPr>
          <w:rFonts w:ascii="Times New Roman" w:eastAsia="Times New Roman" w:hAnsi="Times New Roman" w:cs="Times New Roman"/>
          <w:sz w:val="24"/>
          <w:szCs w:val="24"/>
          <w:lang w:val="en-US"/>
        </w:rPr>
        <w:t xml:space="preserve">, 483–505. </w:t>
      </w:r>
      <w:hyperlink r:id="rId24" w:tgtFrame="_new" w:history="1">
        <w:r w:rsidRPr="00BB0DD0">
          <w:rPr>
            <w:rFonts w:ascii="Times New Roman" w:eastAsia="Times New Roman" w:hAnsi="Times New Roman" w:cs="Times New Roman"/>
            <w:color w:val="0000FF"/>
            <w:sz w:val="24"/>
            <w:szCs w:val="24"/>
            <w:u w:val="single"/>
            <w:lang w:val="en-US"/>
          </w:rPr>
          <w:t>https://doi.org/10.1146/annurev-animal-111523-102158</w:t>
        </w:r>
      </w:hyperlink>
      <w:r w:rsidRPr="00BB0DD0">
        <w:rPr>
          <w:rFonts w:ascii="Times New Roman" w:eastAsia="Times New Roman" w:hAnsi="Times New Roman" w:cs="Times New Roman"/>
          <w:sz w:val="24"/>
          <w:szCs w:val="24"/>
          <w:lang w:val="en-US"/>
        </w:rPr>
        <w:t xml:space="preserve"> </w:t>
      </w:r>
    </w:p>
    <w:p w14:paraId="48447155" w14:textId="7C654B74"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proofErr w:type="spellStart"/>
      <w:r w:rsidRPr="00BB0DD0">
        <w:rPr>
          <w:rFonts w:ascii="Times New Roman" w:eastAsia="Times New Roman" w:hAnsi="Times New Roman" w:cs="Times New Roman"/>
          <w:sz w:val="24"/>
          <w:szCs w:val="24"/>
          <w:lang w:val="en-US"/>
        </w:rPr>
        <w:t>Laible</w:t>
      </w:r>
      <w:proofErr w:type="spellEnd"/>
      <w:r w:rsidRPr="00BB0DD0">
        <w:rPr>
          <w:rFonts w:ascii="Times New Roman" w:eastAsia="Times New Roman" w:hAnsi="Times New Roman" w:cs="Times New Roman"/>
          <w:sz w:val="24"/>
          <w:szCs w:val="24"/>
          <w:lang w:val="en-US"/>
        </w:rPr>
        <w:t xml:space="preserve">, G., &amp; Cigan, M. (2025). Editorial: Insights in genome editing in animals 2023/2024. </w:t>
      </w:r>
      <w:r w:rsidRPr="00BB0DD0">
        <w:rPr>
          <w:rFonts w:ascii="Times New Roman" w:eastAsia="Times New Roman" w:hAnsi="Times New Roman" w:cs="Times New Roman"/>
          <w:i/>
          <w:iCs/>
          <w:sz w:val="24"/>
          <w:szCs w:val="24"/>
          <w:lang w:val="en-US"/>
        </w:rPr>
        <w:t>Frontiers in Genome Editing, 7</w:t>
      </w:r>
      <w:r w:rsidRPr="00BB0DD0">
        <w:rPr>
          <w:rFonts w:ascii="Times New Roman" w:eastAsia="Times New Roman" w:hAnsi="Times New Roman" w:cs="Times New Roman"/>
          <w:sz w:val="24"/>
          <w:szCs w:val="24"/>
          <w:lang w:val="en-US"/>
        </w:rPr>
        <w:t xml:space="preserve">, Article 1556425. </w:t>
      </w:r>
      <w:hyperlink r:id="rId25" w:tgtFrame="_new" w:history="1">
        <w:r w:rsidRPr="00BB0DD0">
          <w:rPr>
            <w:rFonts w:ascii="Times New Roman" w:eastAsia="Times New Roman" w:hAnsi="Times New Roman" w:cs="Times New Roman"/>
            <w:color w:val="0000FF"/>
            <w:sz w:val="24"/>
            <w:szCs w:val="24"/>
            <w:u w:val="single"/>
            <w:lang w:val="en-US"/>
          </w:rPr>
          <w:t>https://doi.org/10.3389/fgeed.2025.1556425</w:t>
        </w:r>
      </w:hyperlink>
      <w:r w:rsidRPr="00BB0DD0">
        <w:rPr>
          <w:rFonts w:ascii="Times New Roman" w:eastAsia="Times New Roman" w:hAnsi="Times New Roman" w:cs="Times New Roman"/>
          <w:sz w:val="24"/>
          <w:szCs w:val="24"/>
          <w:lang w:val="en-US"/>
        </w:rPr>
        <w:t xml:space="preserve"> </w:t>
      </w:r>
    </w:p>
    <w:p w14:paraId="04BCAEE3" w14:textId="545C8689"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nl-BE"/>
        </w:rPr>
        <w:t xml:space="preserve">Ledesma, A. V., &amp; Van Eenennaam, A. L. (2024). </w:t>
      </w:r>
      <w:r w:rsidRPr="00BB0DD0">
        <w:rPr>
          <w:rFonts w:ascii="Times New Roman" w:eastAsia="Times New Roman" w:hAnsi="Times New Roman" w:cs="Times New Roman"/>
          <w:sz w:val="24"/>
          <w:szCs w:val="24"/>
          <w:lang w:val="en-US"/>
        </w:rPr>
        <w:t xml:space="preserve">Global status of gene edited animals for agricultural applications. </w:t>
      </w:r>
      <w:r w:rsidRPr="00BB0DD0">
        <w:rPr>
          <w:rFonts w:ascii="Times New Roman" w:eastAsia="Times New Roman" w:hAnsi="Times New Roman" w:cs="Times New Roman"/>
          <w:i/>
          <w:iCs/>
          <w:sz w:val="24"/>
          <w:szCs w:val="24"/>
          <w:lang w:val="en-US"/>
        </w:rPr>
        <w:t>The Veterinary Journal, 305</w:t>
      </w:r>
      <w:r w:rsidRPr="00BB0DD0">
        <w:rPr>
          <w:rFonts w:ascii="Times New Roman" w:eastAsia="Times New Roman" w:hAnsi="Times New Roman" w:cs="Times New Roman"/>
          <w:sz w:val="24"/>
          <w:szCs w:val="24"/>
          <w:lang w:val="en-US"/>
        </w:rPr>
        <w:t xml:space="preserve">, 106142. </w:t>
      </w:r>
      <w:hyperlink r:id="rId26" w:tgtFrame="_new" w:history="1">
        <w:r w:rsidRPr="00BB0DD0">
          <w:rPr>
            <w:rFonts w:ascii="Times New Roman" w:eastAsia="Times New Roman" w:hAnsi="Times New Roman" w:cs="Times New Roman"/>
            <w:color w:val="0000FF"/>
            <w:sz w:val="24"/>
            <w:szCs w:val="24"/>
            <w:u w:val="single"/>
            <w:lang w:val="en-US"/>
          </w:rPr>
          <w:t>https://doi.org/10.1016/j.tvjl.2024.106142</w:t>
        </w:r>
      </w:hyperlink>
      <w:r w:rsidRPr="00BB0DD0">
        <w:rPr>
          <w:rFonts w:ascii="Times New Roman" w:eastAsia="Times New Roman" w:hAnsi="Times New Roman" w:cs="Times New Roman"/>
          <w:sz w:val="24"/>
          <w:szCs w:val="24"/>
          <w:lang w:val="en-US"/>
        </w:rPr>
        <w:t xml:space="preserve"> </w:t>
      </w:r>
    </w:p>
    <w:p w14:paraId="558DE83F" w14:textId="1D939458"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Lester, P. J., Bulgarella, M., Baty, J. W., Dearden, P. K., </w:t>
      </w:r>
      <w:proofErr w:type="spellStart"/>
      <w:r w:rsidRPr="00BB0DD0">
        <w:rPr>
          <w:rFonts w:ascii="Times New Roman" w:eastAsia="Times New Roman" w:hAnsi="Times New Roman" w:cs="Times New Roman"/>
          <w:sz w:val="24"/>
          <w:szCs w:val="24"/>
          <w:lang w:val="en-US"/>
        </w:rPr>
        <w:t>Guhlin</w:t>
      </w:r>
      <w:proofErr w:type="spellEnd"/>
      <w:r w:rsidRPr="00BB0DD0">
        <w:rPr>
          <w:rFonts w:ascii="Times New Roman" w:eastAsia="Times New Roman" w:hAnsi="Times New Roman" w:cs="Times New Roman"/>
          <w:sz w:val="24"/>
          <w:szCs w:val="24"/>
          <w:lang w:val="en-US"/>
        </w:rPr>
        <w:t xml:space="preserve">, J., &amp; Kean, J. M. (2020). The potential for a CRISPR gene drive to eradicate or suppress globally invasive social wasps. </w:t>
      </w:r>
      <w:r w:rsidRPr="00BB0DD0">
        <w:rPr>
          <w:rFonts w:ascii="Times New Roman" w:eastAsia="Times New Roman" w:hAnsi="Times New Roman" w:cs="Times New Roman"/>
          <w:i/>
          <w:iCs/>
          <w:sz w:val="24"/>
          <w:szCs w:val="24"/>
          <w:lang w:val="en-US"/>
        </w:rPr>
        <w:t>Scientific Reports, 10</w:t>
      </w:r>
      <w:r w:rsidRPr="00BB0DD0">
        <w:rPr>
          <w:rFonts w:ascii="Times New Roman" w:eastAsia="Times New Roman" w:hAnsi="Times New Roman" w:cs="Times New Roman"/>
          <w:sz w:val="24"/>
          <w:szCs w:val="24"/>
          <w:lang w:val="en-US"/>
        </w:rPr>
        <w:t xml:space="preserve">, Article 12398. </w:t>
      </w:r>
      <w:hyperlink r:id="rId27" w:tgtFrame="_new" w:history="1">
        <w:r w:rsidRPr="00BB0DD0">
          <w:rPr>
            <w:rFonts w:ascii="Times New Roman" w:eastAsia="Times New Roman" w:hAnsi="Times New Roman" w:cs="Times New Roman"/>
            <w:color w:val="0000FF"/>
            <w:sz w:val="24"/>
            <w:szCs w:val="24"/>
            <w:u w:val="single"/>
            <w:lang w:val="en-US"/>
          </w:rPr>
          <w:t>https://doi.org/10.1038/s41598-020-69259-6</w:t>
        </w:r>
      </w:hyperlink>
      <w:r w:rsidRPr="00BB0DD0">
        <w:rPr>
          <w:rFonts w:ascii="Times New Roman" w:eastAsia="Times New Roman" w:hAnsi="Times New Roman" w:cs="Times New Roman"/>
          <w:sz w:val="24"/>
          <w:szCs w:val="24"/>
          <w:lang w:val="en-US"/>
        </w:rPr>
        <w:t xml:space="preserve"> </w:t>
      </w:r>
    </w:p>
    <w:p w14:paraId="4013920D" w14:textId="4BC5B884"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Lester, P. J., O’Sullivan, D., &amp; Perry, G. L. W. (2023). Gene drives for invasive wasp control: Extinction is unlikely, with suppression dependent on dispersal and growth rates. </w:t>
      </w:r>
      <w:r w:rsidRPr="00BB0DD0">
        <w:rPr>
          <w:rFonts w:ascii="Times New Roman" w:eastAsia="Times New Roman" w:hAnsi="Times New Roman" w:cs="Times New Roman"/>
          <w:i/>
          <w:iCs/>
          <w:sz w:val="24"/>
          <w:szCs w:val="24"/>
          <w:lang w:val="en-US"/>
        </w:rPr>
        <w:t>Ecological Applications, 33</w:t>
      </w:r>
      <w:r w:rsidRPr="00BB0DD0">
        <w:rPr>
          <w:rFonts w:ascii="Times New Roman" w:eastAsia="Times New Roman" w:hAnsi="Times New Roman" w:cs="Times New Roman"/>
          <w:sz w:val="24"/>
          <w:szCs w:val="24"/>
          <w:lang w:val="en-US"/>
        </w:rPr>
        <w:t xml:space="preserve">(7), e2912. </w:t>
      </w:r>
      <w:hyperlink r:id="rId28" w:tgtFrame="_new" w:history="1">
        <w:r w:rsidRPr="00BB0DD0">
          <w:rPr>
            <w:rFonts w:ascii="Times New Roman" w:eastAsia="Times New Roman" w:hAnsi="Times New Roman" w:cs="Times New Roman"/>
            <w:color w:val="0000FF"/>
            <w:sz w:val="24"/>
            <w:szCs w:val="24"/>
            <w:u w:val="single"/>
            <w:lang w:val="en-US"/>
          </w:rPr>
          <w:t>https://doi.org/10.1002/eap.2912</w:t>
        </w:r>
      </w:hyperlink>
      <w:r w:rsidRPr="00BB0DD0">
        <w:rPr>
          <w:rFonts w:ascii="Times New Roman" w:eastAsia="Times New Roman" w:hAnsi="Times New Roman" w:cs="Times New Roman"/>
          <w:sz w:val="24"/>
          <w:szCs w:val="24"/>
          <w:lang w:val="en-US"/>
        </w:rPr>
        <w:t xml:space="preserve"> </w:t>
      </w:r>
    </w:p>
    <w:p w14:paraId="49D6DC68" w14:textId="4BD0CE11"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Noble, C., Adlam, B., Church, G. M., Esvelt, K. M., &amp; Nowak, M. A. (2018). Current CRISPR gene drive systems are likely to be highly invasive in wild populations. </w:t>
      </w:r>
      <w:proofErr w:type="spellStart"/>
      <w:r w:rsidRPr="00BB0DD0">
        <w:rPr>
          <w:rFonts w:ascii="Times New Roman" w:eastAsia="Times New Roman" w:hAnsi="Times New Roman" w:cs="Times New Roman"/>
          <w:i/>
          <w:iCs/>
          <w:sz w:val="24"/>
          <w:szCs w:val="24"/>
          <w:lang w:val="en-US"/>
        </w:rPr>
        <w:t>eLife</w:t>
      </w:r>
      <w:proofErr w:type="spellEnd"/>
      <w:r w:rsidRPr="00BB0DD0">
        <w:rPr>
          <w:rFonts w:ascii="Times New Roman" w:eastAsia="Times New Roman" w:hAnsi="Times New Roman" w:cs="Times New Roman"/>
          <w:i/>
          <w:iCs/>
          <w:sz w:val="24"/>
          <w:szCs w:val="24"/>
          <w:lang w:val="en-US"/>
        </w:rPr>
        <w:t>, 7</w:t>
      </w:r>
      <w:r w:rsidRPr="00BB0DD0">
        <w:rPr>
          <w:rFonts w:ascii="Times New Roman" w:eastAsia="Times New Roman" w:hAnsi="Times New Roman" w:cs="Times New Roman"/>
          <w:sz w:val="24"/>
          <w:szCs w:val="24"/>
          <w:lang w:val="en-US"/>
        </w:rPr>
        <w:t xml:space="preserve">, e33423. </w:t>
      </w:r>
      <w:hyperlink r:id="rId29" w:tgtFrame="_new" w:history="1">
        <w:r w:rsidRPr="00BB0DD0">
          <w:rPr>
            <w:rFonts w:ascii="Times New Roman" w:eastAsia="Times New Roman" w:hAnsi="Times New Roman" w:cs="Times New Roman"/>
            <w:color w:val="0000FF"/>
            <w:sz w:val="24"/>
            <w:szCs w:val="24"/>
            <w:u w:val="single"/>
            <w:lang w:val="en-US"/>
          </w:rPr>
          <w:t>https://doi.org/10.7554/eLife.33423</w:t>
        </w:r>
      </w:hyperlink>
      <w:r w:rsidRPr="00BB0DD0">
        <w:rPr>
          <w:rFonts w:ascii="Times New Roman" w:eastAsia="Times New Roman" w:hAnsi="Times New Roman" w:cs="Times New Roman"/>
          <w:sz w:val="24"/>
          <w:szCs w:val="24"/>
          <w:lang w:val="en-US"/>
        </w:rPr>
        <w:t xml:space="preserve"> </w:t>
      </w:r>
    </w:p>
    <w:p w14:paraId="52D259E5" w14:textId="7C95A58A"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proofErr w:type="spellStart"/>
      <w:r w:rsidRPr="00BB0DD0">
        <w:rPr>
          <w:rFonts w:ascii="Times New Roman" w:eastAsia="Times New Roman" w:hAnsi="Times New Roman" w:cs="Times New Roman"/>
          <w:sz w:val="24"/>
          <w:szCs w:val="24"/>
          <w:lang w:val="en-US"/>
        </w:rPr>
        <w:t>Pacesa</w:t>
      </w:r>
      <w:proofErr w:type="spellEnd"/>
      <w:r w:rsidRPr="00BB0DD0">
        <w:rPr>
          <w:rFonts w:ascii="Times New Roman" w:eastAsia="Times New Roman" w:hAnsi="Times New Roman" w:cs="Times New Roman"/>
          <w:sz w:val="24"/>
          <w:szCs w:val="24"/>
          <w:lang w:val="en-US"/>
        </w:rPr>
        <w:t xml:space="preserve">, M., Pelea, O., &amp; </w:t>
      </w:r>
      <w:proofErr w:type="spellStart"/>
      <w:r w:rsidRPr="00BB0DD0">
        <w:rPr>
          <w:rFonts w:ascii="Times New Roman" w:eastAsia="Times New Roman" w:hAnsi="Times New Roman" w:cs="Times New Roman"/>
          <w:sz w:val="24"/>
          <w:szCs w:val="24"/>
          <w:lang w:val="en-US"/>
        </w:rPr>
        <w:t>Jinek</w:t>
      </w:r>
      <w:proofErr w:type="spellEnd"/>
      <w:r w:rsidRPr="00BB0DD0">
        <w:rPr>
          <w:rFonts w:ascii="Times New Roman" w:eastAsia="Times New Roman" w:hAnsi="Times New Roman" w:cs="Times New Roman"/>
          <w:sz w:val="24"/>
          <w:szCs w:val="24"/>
          <w:lang w:val="en-US"/>
        </w:rPr>
        <w:t xml:space="preserve">, M. (2024). Past, present, and future of CRISPR genome editing technologies. </w:t>
      </w:r>
      <w:r w:rsidRPr="00BB0DD0">
        <w:rPr>
          <w:rFonts w:ascii="Times New Roman" w:eastAsia="Times New Roman" w:hAnsi="Times New Roman" w:cs="Times New Roman"/>
          <w:i/>
          <w:iCs/>
          <w:sz w:val="24"/>
          <w:szCs w:val="24"/>
          <w:lang w:val="en-US"/>
        </w:rPr>
        <w:t>Cell, 187</w:t>
      </w:r>
      <w:r w:rsidRPr="00BB0DD0">
        <w:rPr>
          <w:rFonts w:ascii="Times New Roman" w:eastAsia="Times New Roman" w:hAnsi="Times New Roman" w:cs="Times New Roman"/>
          <w:sz w:val="24"/>
          <w:szCs w:val="24"/>
          <w:lang w:val="en-US"/>
        </w:rPr>
        <w:t xml:space="preserve">(5), 1076–1100. </w:t>
      </w:r>
      <w:hyperlink r:id="rId30" w:tgtFrame="_new" w:history="1">
        <w:r w:rsidRPr="00BB0DD0">
          <w:rPr>
            <w:rFonts w:ascii="Times New Roman" w:eastAsia="Times New Roman" w:hAnsi="Times New Roman" w:cs="Times New Roman"/>
            <w:color w:val="0000FF"/>
            <w:sz w:val="24"/>
            <w:szCs w:val="24"/>
            <w:u w:val="single"/>
            <w:lang w:val="en-US"/>
          </w:rPr>
          <w:t>https://doi.org/10.1016/j.cell.2024.01.042</w:t>
        </w:r>
      </w:hyperlink>
      <w:r w:rsidRPr="00BB0DD0">
        <w:rPr>
          <w:rFonts w:ascii="Times New Roman" w:eastAsia="Times New Roman" w:hAnsi="Times New Roman" w:cs="Times New Roman"/>
          <w:sz w:val="24"/>
          <w:szCs w:val="24"/>
          <w:lang w:val="en-US"/>
        </w:rPr>
        <w:t xml:space="preserve"> </w:t>
      </w:r>
    </w:p>
    <w:p w14:paraId="6ACF9768" w14:textId="22410E97"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nl-BE"/>
        </w:rPr>
      </w:pPr>
      <w:r w:rsidRPr="00BB0DD0">
        <w:rPr>
          <w:rFonts w:ascii="Times New Roman" w:eastAsia="Times New Roman" w:hAnsi="Times New Roman" w:cs="Times New Roman"/>
          <w:sz w:val="24"/>
          <w:szCs w:val="24"/>
          <w:lang w:val="en-US"/>
        </w:rPr>
        <w:lastRenderedPageBreak/>
        <w:t xml:space="preserve">Port, F., Strein, C., Stricker, M., Rauscher, B., </w:t>
      </w:r>
      <w:proofErr w:type="spellStart"/>
      <w:r w:rsidRPr="00BB0DD0">
        <w:rPr>
          <w:rFonts w:ascii="Times New Roman" w:eastAsia="Times New Roman" w:hAnsi="Times New Roman" w:cs="Times New Roman"/>
          <w:sz w:val="24"/>
          <w:szCs w:val="24"/>
          <w:lang w:val="en-US"/>
        </w:rPr>
        <w:t>Heigwer</w:t>
      </w:r>
      <w:proofErr w:type="spellEnd"/>
      <w:r w:rsidRPr="00BB0DD0">
        <w:rPr>
          <w:rFonts w:ascii="Times New Roman" w:eastAsia="Times New Roman" w:hAnsi="Times New Roman" w:cs="Times New Roman"/>
          <w:sz w:val="24"/>
          <w:szCs w:val="24"/>
          <w:lang w:val="en-US"/>
        </w:rPr>
        <w:t xml:space="preserve">, F., Zhou, J., </w:t>
      </w:r>
      <w:proofErr w:type="spellStart"/>
      <w:r w:rsidRPr="00BB0DD0">
        <w:rPr>
          <w:rFonts w:ascii="Times New Roman" w:eastAsia="Times New Roman" w:hAnsi="Times New Roman" w:cs="Times New Roman"/>
          <w:sz w:val="24"/>
          <w:szCs w:val="24"/>
          <w:lang w:val="en-US"/>
        </w:rPr>
        <w:t>Beyersdörffer</w:t>
      </w:r>
      <w:proofErr w:type="spellEnd"/>
      <w:r w:rsidRPr="00BB0DD0">
        <w:rPr>
          <w:rFonts w:ascii="Times New Roman" w:eastAsia="Times New Roman" w:hAnsi="Times New Roman" w:cs="Times New Roman"/>
          <w:sz w:val="24"/>
          <w:szCs w:val="24"/>
          <w:lang w:val="en-US"/>
        </w:rPr>
        <w:t xml:space="preserve">, C., Frei, J., Hess, A., Kern, K., Lange, L., Langner, N., Malamud, R., Pavlović, B., Rädecke, K., Schmitt, L., Voos, L., Valentini, E., &amp; Boutros, M. (2020). A large-scale resource for tissue-specific CRISPR mutagenesis in </w:t>
      </w:r>
      <w:r w:rsidRPr="00BB0DD0">
        <w:rPr>
          <w:rFonts w:ascii="Times New Roman" w:eastAsia="Times New Roman" w:hAnsi="Times New Roman" w:cs="Times New Roman"/>
          <w:i/>
          <w:iCs/>
          <w:sz w:val="24"/>
          <w:szCs w:val="24"/>
          <w:lang w:val="en-US"/>
        </w:rPr>
        <w:t>Drosophila</w:t>
      </w:r>
      <w:r w:rsidRPr="00BB0DD0">
        <w:rPr>
          <w:rFonts w:ascii="Times New Roman" w:eastAsia="Times New Roman" w:hAnsi="Times New Roman" w:cs="Times New Roman"/>
          <w:sz w:val="24"/>
          <w:szCs w:val="24"/>
          <w:lang w:val="en-US"/>
        </w:rPr>
        <w:t xml:space="preserve">. </w:t>
      </w:r>
      <w:proofErr w:type="spellStart"/>
      <w:r w:rsidRPr="00BB0DD0">
        <w:rPr>
          <w:rFonts w:ascii="Times New Roman" w:eastAsia="Times New Roman" w:hAnsi="Times New Roman" w:cs="Times New Roman"/>
          <w:i/>
          <w:iCs/>
          <w:sz w:val="24"/>
          <w:szCs w:val="24"/>
          <w:lang w:val="en-US"/>
        </w:rPr>
        <w:t>eLife</w:t>
      </w:r>
      <w:proofErr w:type="spellEnd"/>
      <w:r w:rsidRPr="00BB0DD0">
        <w:rPr>
          <w:rFonts w:ascii="Times New Roman" w:eastAsia="Times New Roman" w:hAnsi="Times New Roman" w:cs="Times New Roman"/>
          <w:i/>
          <w:iCs/>
          <w:sz w:val="24"/>
          <w:szCs w:val="24"/>
          <w:lang w:val="en-US"/>
        </w:rPr>
        <w:t>, 9</w:t>
      </w:r>
      <w:r w:rsidRPr="00BB0DD0">
        <w:rPr>
          <w:rFonts w:ascii="Times New Roman" w:eastAsia="Times New Roman" w:hAnsi="Times New Roman" w:cs="Times New Roman"/>
          <w:sz w:val="24"/>
          <w:szCs w:val="24"/>
          <w:lang w:val="en-US"/>
        </w:rPr>
        <w:t xml:space="preserve">, e53865. </w:t>
      </w:r>
      <w:hyperlink r:id="rId31" w:tgtFrame="_new" w:history="1">
        <w:r w:rsidRPr="00BB0DD0">
          <w:rPr>
            <w:rFonts w:ascii="Times New Roman" w:eastAsia="Times New Roman" w:hAnsi="Times New Roman" w:cs="Times New Roman"/>
            <w:color w:val="0000FF"/>
            <w:sz w:val="24"/>
            <w:szCs w:val="24"/>
            <w:u w:val="single"/>
            <w:lang w:val="nl-BE"/>
          </w:rPr>
          <w:t>https://doi.org/10.7554/eLife.53865</w:t>
        </w:r>
      </w:hyperlink>
      <w:r w:rsidRPr="00BB0DD0">
        <w:rPr>
          <w:rFonts w:ascii="Times New Roman" w:eastAsia="Times New Roman" w:hAnsi="Times New Roman" w:cs="Times New Roman"/>
          <w:sz w:val="24"/>
          <w:szCs w:val="24"/>
          <w:lang w:val="nl-BE"/>
        </w:rPr>
        <w:t xml:space="preserve"> </w:t>
      </w:r>
    </w:p>
    <w:p w14:paraId="38F05C3B" w14:textId="79462E3F"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nl-BE"/>
        </w:rPr>
        <w:t xml:space="preserve">Pozzebon, M., Guldbrandtsen, B., &amp; Sandøe, P. (2024). </w:t>
      </w:r>
      <w:r w:rsidRPr="00BB0DD0">
        <w:rPr>
          <w:rFonts w:ascii="Times New Roman" w:eastAsia="Times New Roman" w:hAnsi="Times New Roman" w:cs="Times New Roman"/>
          <w:sz w:val="24"/>
          <w:szCs w:val="24"/>
          <w:lang w:val="en-US"/>
        </w:rPr>
        <w:t xml:space="preserve">Gene editing cattle for enhancing heat tolerance: A welfare review of the PRLR-SLICK cattle case. </w:t>
      </w:r>
      <w:proofErr w:type="spellStart"/>
      <w:r w:rsidRPr="00BB0DD0">
        <w:rPr>
          <w:rFonts w:ascii="Times New Roman" w:eastAsia="Times New Roman" w:hAnsi="Times New Roman" w:cs="Times New Roman"/>
          <w:i/>
          <w:iCs/>
          <w:sz w:val="24"/>
          <w:szCs w:val="24"/>
          <w:lang w:val="en-US"/>
        </w:rPr>
        <w:t>NanoEthics</w:t>
      </w:r>
      <w:proofErr w:type="spellEnd"/>
      <w:r w:rsidRPr="00BB0DD0">
        <w:rPr>
          <w:rFonts w:ascii="Times New Roman" w:eastAsia="Times New Roman" w:hAnsi="Times New Roman" w:cs="Times New Roman"/>
          <w:i/>
          <w:iCs/>
          <w:sz w:val="24"/>
          <w:szCs w:val="24"/>
          <w:lang w:val="en-US"/>
        </w:rPr>
        <w:t>, 18</w:t>
      </w:r>
      <w:r w:rsidRPr="00BB0DD0">
        <w:rPr>
          <w:rFonts w:ascii="Times New Roman" w:eastAsia="Times New Roman" w:hAnsi="Times New Roman" w:cs="Times New Roman"/>
          <w:sz w:val="24"/>
          <w:szCs w:val="24"/>
          <w:lang w:val="en-US"/>
        </w:rPr>
        <w:t xml:space="preserve">(2), Article 6. </w:t>
      </w:r>
      <w:hyperlink r:id="rId32" w:tgtFrame="_new" w:history="1">
        <w:r w:rsidRPr="00BB0DD0">
          <w:rPr>
            <w:rFonts w:ascii="Times New Roman" w:eastAsia="Times New Roman" w:hAnsi="Times New Roman" w:cs="Times New Roman"/>
            <w:color w:val="0000FF"/>
            <w:sz w:val="24"/>
            <w:szCs w:val="24"/>
            <w:u w:val="single"/>
            <w:lang w:val="en-US"/>
          </w:rPr>
          <w:t>https://doi.org/10.1007/s11569-024-00455-8</w:t>
        </w:r>
      </w:hyperlink>
      <w:r w:rsidRPr="00BB0DD0">
        <w:rPr>
          <w:rFonts w:ascii="Times New Roman" w:eastAsia="Times New Roman" w:hAnsi="Times New Roman" w:cs="Times New Roman"/>
          <w:sz w:val="24"/>
          <w:szCs w:val="24"/>
          <w:lang w:val="en-US"/>
        </w:rPr>
        <w:t xml:space="preserve"> </w:t>
      </w:r>
    </w:p>
    <w:p w14:paraId="780F0930" w14:textId="156AF17E"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Raban, R., Marshall, J. M., Hay, B. A., &amp; Akbari, O. S. (2023). Manipulating the destiny of wild populations using CRISPR. </w:t>
      </w:r>
      <w:r w:rsidRPr="00BB0DD0">
        <w:rPr>
          <w:rFonts w:ascii="Times New Roman" w:eastAsia="Times New Roman" w:hAnsi="Times New Roman" w:cs="Times New Roman"/>
          <w:i/>
          <w:iCs/>
          <w:sz w:val="24"/>
          <w:szCs w:val="24"/>
          <w:lang w:val="en-US"/>
        </w:rPr>
        <w:t>Annual Review of Genetics, 57</w:t>
      </w:r>
      <w:r w:rsidRPr="00BB0DD0">
        <w:rPr>
          <w:rFonts w:ascii="Times New Roman" w:eastAsia="Times New Roman" w:hAnsi="Times New Roman" w:cs="Times New Roman"/>
          <w:sz w:val="24"/>
          <w:szCs w:val="24"/>
          <w:lang w:val="en-US"/>
        </w:rPr>
        <w:t xml:space="preserve">, 361–390. </w:t>
      </w:r>
      <w:hyperlink r:id="rId33" w:tgtFrame="_new" w:history="1">
        <w:r w:rsidRPr="00BB0DD0">
          <w:rPr>
            <w:rFonts w:ascii="Times New Roman" w:eastAsia="Times New Roman" w:hAnsi="Times New Roman" w:cs="Times New Roman"/>
            <w:color w:val="0000FF"/>
            <w:sz w:val="24"/>
            <w:szCs w:val="24"/>
            <w:u w:val="single"/>
            <w:lang w:val="en-US"/>
          </w:rPr>
          <w:t>https://doi.org/10.1146/annurev-genet-031623-105059</w:t>
        </w:r>
      </w:hyperlink>
      <w:r w:rsidRPr="00BB0DD0">
        <w:rPr>
          <w:rFonts w:ascii="Times New Roman" w:eastAsia="Times New Roman" w:hAnsi="Times New Roman" w:cs="Times New Roman"/>
          <w:sz w:val="24"/>
          <w:szCs w:val="24"/>
          <w:lang w:val="en-US"/>
        </w:rPr>
        <w:t xml:space="preserve"> </w:t>
      </w:r>
    </w:p>
    <w:p w14:paraId="73E07AC2" w14:textId="0922934B"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Robinson, N. A., Østbye, T.-K. K., Kettunen, A. H., Coates, A., Barrett, L. T., Robledo, D., &amp; Dempster, T. D. (2024). A guide to assess the use of gene editing in aquaculture. </w:t>
      </w:r>
      <w:r w:rsidRPr="00BB0DD0">
        <w:rPr>
          <w:rFonts w:ascii="Times New Roman" w:eastAsia="Times New Roman" w:hAnsi="Times New Roman" w:cs="Times New Roman"/>
          <w:i/>
          <w:iCs/>
          <w:sz w:val="24"/>
          <w:szCs w:val="24"/>
          <w:lang w:val="en-US"/>
        </w:rPr>
        <w:t>Reviews in Aquaculture, 16</w:t>
      </w:r>
      <w:r w:rsidRPr="00BB0DD0">
        <w:rPr>
          <w:rFonts w:ascii="Times New Roman" w:eastAsia="Times New Roman" w:hAnsi="Times New Roman" w:cs="Times New Roman"/>
          <w:sz w:val="24"/>
          <w:szCs w:val="24"/>
          <w:lang w:val="en-US"/>
        </w:rPr>
        <w:t xml:space="preserve">(2), 775–784. </w:t>
      </w:r>
      <w:hyperlink r:id="rId34" w:tgtFrame="_new" w:history="1">
        <w:r w:rsidRPr="00BB0DD0">
          <w:rPr>
            <w:rFonts w:ascii="Times New Roman" w:eastAsia="Times New Roman" w:hAnsi="Times New Roman" w:cs="Times New Roman"/>
            <w:color w:val="0000FF"/>
            <w:sz w:val="24"/>
            <w:szCs w:val="24"/>
            <w:u w:val="single"/>
            <w:lang w:val="en-US"/>
          </w:rPr>
          <w:t>https://doi.org/10.1111/raq.12866</w:t>
        </w:r>
      </w:hyperlink>
      <w:r w:rsidRPr="00BB0DD0">
        <w:rPr>
          <w:rFonts w:ascii="Times New Roman" w:eastAsia="Times New Roman" w:hAnsi="Times New Roman" w:cs="Times New Roman"/>
          <w:sz w:val="24"/>
          <w:szCs w:val="24"/>
          <w:lang w:val="en-US"/>
        </w:rPr>
        <w:t xml:space="preserve"> </w:t>
      </w:r>
    </w:p>
    <w:p w14:paraId="05D25C4A" w14:textId="0F73DF0F"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Rodriguez-Villamil, P., Beaton, B. P., &amp; Krisher, R. L. (2024). Gene editing in livestock: Innovations and applications. </w:t>
      </w:r>
      <w:r w:rsidRPr="00BB0DD0">
        <w:rPr>
          <w:rFonts w:ascii="Times New Roman" w:eastAsia="Times New Roman" w:hAnsi="Times New Roman" w:cs="Times New Roman"/>
          <w:i/>
          <w:iCs/>
          <w:sz w:val="24"/>
          <w:szCs w:val="24"/>
          <w:lang w:val="en-US"/>
        </w:rPr>
        <w:t>Animal Reproduction, 21</w:t>
      </w:r>
      <w:r w:rsidRPr="00BB0DD0">
        <w:rPr>
          <w:rFonts w:ascii="Times New Roman" w:eastAsia="Times New Roman" w:hAnsi="Times New Roman" w:cs="Times New Roman"/>
          <w:sz w:val="24"/>
          <w:szCs w:val="24"/>
          <w:lang w:val="en-US"/>
        </w:rPr>
        <w:t xml:space="preserve">(3), e20240054. </w:t>
      </w:r>
      <w:hyperlink r:id="rId35" w:tgtFrame="_new" w:history="1">
        <w:r w:rsidRPr="00BB0DD0">
          <w:rPr>
            <w:rFonts w:ascii="Times New Roman" w:eastAsia="Times New Roman" w:hAnsi="Times New Roman" w:cs="Times New Roman"/>
            <w:color w:val="0000FF"/>
            <w:sz w:val="24"/>
            <w:szCs w:val="24"/>
            <w:u w:val="single"/>
            <w:lang w:val="en-US"/>
          </w:rPr>
          <w:t>https://doi.org/10.1590/1984-3143-AR2024-0054</w:t>
        </w:r>
      </w:hyperlink>
      <w:r w:rsidRPr="00BB0DD0">
        <w:rPr>
          <w:rFonts w:ascii="Times New Roman" w:eastAsia="Times New Roman" w:hAnsi="Times New Roman" w:cs="Times New Roman"/>
          <w:sz w:val="24"/>
          <w:szCs w:val="24"/>
          <w:lang w:val="en-US"/>
        </w:rPr>
        <w:t xml:space="preserve"> </w:t>
      </w:r>
    </w:p>
    <w:p w14:paraId="722B4771" w14:textId="1F6E55D8"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Shapiro, B. (2017). Pathways to de-extinction: How close can we get to resurrection of an extinct species? </w:t>
      </w:r>
      <w:r w:rsidRPr="00BB0DD0">
        <w:rPr>
          <w:rFonts w:ascii="Times New Roman" w:eastAsia="Times New Roman" w:hAnsi="Times New Roman" w:cs="Times New Roman"/>
          <w:i/>
          <w:iCs/>
          <w:sz w:val="24"/>
          <w:szCs w:val="24"/>
          <w:lang w:val="en-US"/>
        </w:rPr>
        <w:t>Functional Ecology, 31</w:t>
      </w:r>
      <w:r w:rsidRPr="00BB0DD0">
        <w:rPr>
          <w:rFonts w:ascii="Times New Roman" w:eastAsia="Times New Roman" w:hAnsi="Times New Roman" w:cs="Times New Roman"/>
          <w:sz w:val="24"/>
          <w:szCs w:val="24"/>
          <w:lang w:val="en-US"/>
        </w:rPr>
        <w:t xml:space="preserve">(5), 996–1002. </w:t>
      </w:r>
      <w:hyperlink r:id="rId36" w:tgtFrame="_new" w:history="1">
        <w:r w:rsidRPr="00BB0DD0">
          <w:rPr>
            <w:rFonts w:ascii="Times New Roman" w:eastAsia="Times New Roman" w:hAnsi="Times New Roman" w:cs="Times New Roman"/>
            <w:color w:val="0000FF"/>
            <w:sz w:val="24"/>
            <w:szCs w:val="24"/>
            <w:u w:val="single"/>
            <w:lang w:val="en-US"/>
          </w:rPr>
          <w:t>https://doi.org/10.1111/1365-2435.12705</w:t>
        </w:r>
      </w:hyperlink>
      <w:r w:rsidRPr="00BB0DD0">
        <w:rPr>
          <w:rFonts w:ascii="Times New Roman" w:eastAsia="Times New Roman" w:hAnsi="Times New Roman" w:cs="Times New Roman"/>
          <w:sz w:val="24"/>
          <w:szCs w:val="24"/>
          <w:lang w:val="en-US"/>
        </w:rPr>
        <w:t xml:space="preserve"> </w:t>
      </w:r>
    </w:p>
    <w:p w14:paraId="01609B9D" w14:textId="35991042"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Straume, A. H., </w:t>
      </w:r>
      <w:proofErr w:type="spellStart"/>
      <w:r w:rsidRPr="00BB0DD0">
        <w:rPr>
          <w:rFonts w:ascii="Times New Roman" w:eastAsia="Times New Roman" w:hAnsi="Times New Roman" w:cs="Times New Roman"/>
          <w:sz w:val="24"/>
          <w:szCs w:val="24"/>
          <w:lang w:val="en-US"/>
        </w:rPr>
        <w:t>Kjærner</w:t>
      </w:r>
      <w:proofErr w:type="spellEnd"/>
      <w:r w:rsidRPr="00BB0DD0">
        <w:rPr>
          <w:rFonts w:ascii="Times New Roman" w:eastAsia="Times New Roman" w:hAnsi="Times New Roman" w:cs="Times New Roman"/>
          <w:sz w:val="24"/>
          <w:szCs w:val="24"/>
          <w:lang w:val="en-US"/>
        </w:rPr>
        <w:t xml:space="preserve">-Semb, E., </w:t>
      </w:r>
      <w:proofErr w:type="spellStart"/>
      <w:r w:rsidRPr="00BB0DD0">
        <w:rPr>
          <w:rFonts w:ascii="Times New Roman" w:eastAsia="Times New Roman" w:hAnsi="Times New Roman" w:cs="Times New Roman"/>
          <w:sz w:val="24"/>
          <w:szCs w:val="24"/>
          <w:lang w:val="en-US"/>
        </w:rPr>
        <w:t>Skaftnesmo</w:t>
      </w:r>
      <w:proofErr w:type="spellEnd"/>
      <w:r w:rsidRPr="00BB0DD0">
        <w:rPr>
          <w:rFonts w:ascii="Times New Roman" w:eastAsia="Times New Roman" w:hAnsi="Times New Roman" w:cs="Times New Roman"/>
          <w:sz w:val="24"/>
          <w:szCs w:val="24"/>
          <w:lang w:val="en-US"/>
        </w:rPr>
        <w:t xml:space="preserve">, K. O., </w:t>
      </w:r>
      <w:proofErr w:type="spellStart"/>
      <w:r w:rsidRPr="00BB0DD0">
        <w:rPr>
          <w:rFonts w:ascii="Times New Roman" w:eastAsia="Times New Roman" w:hAnsi="Times New Roman" w:cs="Times New Roman"/>
          <w:sz w:val="24"/>
          <w:szCs w:val="24"/>
          <w:lang w:val="en-US"/>
        </w:rPr>
        <w:t>Güralp</w:t>
      </w:r>
      <w:proofErr w:type="spellEnd"/>
      <w:r w:rsidRPr="00BB0DD0">
        <w:rPr>
          <w:rFonts w:ascii="Times New Roman" w:eastAsia="Times New Roman" w:hAnsi="Times New Roman" w:cs="Times New Roman"/>
          <w:sz w:val="24"/>
          <w:szCs w:val="24"/>
          <w:lang w:val="en-US"/>
        </w:rPr>
        <w:t xml:space="preserve">, H., Lillico, S., Wargelius, A., &amp; Edvardsen, R. B. (2021). Single nucleotide replacement in the Atlantic salmon genome using CRISPR/Cas9 and asymmetrical oligonucleotide donors. </w:t>
      </w:r>
      <w:r w:rsidRPr="00BB0DD0">
        <w:rPr>
          <w:rFonts w:ascii="Times New Roman" w:eastAsia="Times New Roman" w:hAnsi="Times New Roman" w:cs="Times New Roman"/>
          <w:i/>
          <w:iCs/>
          <w:sz w:val="24"/>
          <w:szCs w:val="24"/>
          <w:lang w:val="en-US"/>
        </w:rPr>
        <w:t>BMC Genomics, 22</w:t>
      </w:r>
      <w:r w:rsidRPr="00BB0DD0">
        <w:rPr>
          <w:rFonts w:ascii="Times New Roman" w:eastAsia="Times New Roman" w:hAnsi="Times New Roman" w:cs="Times New Roman"/>
          <w:sz w:val="24"/>
          <w:szCs w:val="24"/>
          <w:lang w:val="en-US"/>
        </w:rPr>
        <w:t xml:space="preserve">, Article 563. </w:t>
      </w:r>
      <w:hyperlink r:id="rId37" w:tgtFrame="_new" w:history="1">
        <w:r w:rsidRPr="00BB0DD0">
          <w:rPr>
            <w:rFonts w:ascii="Times New Roman" w:eastAsia="Times New Roman" w:hAnsi="Times New Roman" w:cs="Times New Roman"/>
            <w:color w:val="0000FF"/>
            <w:sz w:val="24"/>
            <w:szCs w:val="24"/>
            <w:u w:val="single"/>
            <w:lang w:val="en-US"/>
          </w:rPr>
          <w:t>https://doi.org/10.1186/s12864-021-07823-8</w:t>
        </w:r>
      </w:hyperlink>
      <w:r w:rsidRPr="00BB0DD0">
        <w:rPr>
          <w:rFonts w:ascii="Times New Roman" w:eastAsia="Times New Roman" w:hAnsi="Times New Roman" w:cs="Times New Roman"/>
          <w:sz w:val="24"/>
          <w:szCs w:val="24"/>
          <w:lang w:val="en-US"/>
        </w:rPr>
        <w:t xml:space="preserve"> </w:t>
      </w:r>
    </w:p>
    <w:p w14:paraId="723E7654" w14:textId="138CB996"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Turner, S. D., Keyte, A., Pask, A., &amp; Shapiro, B. (2025). De-extinction technology and its application to conservation. </w:t>
      </w:r>
      <w:r w:rsidRPr="00BB0DD0">
        <w:rPr>
          <w:rFonts w:ascii="Times New Roman" w:eastAsia="Times New Roman" w:hAnsi="Times New Roman" w:cs="Times New Roman"/>
          <w:i/>
          <w:iCs/>
          <w:sz w:val="24"/>
          <w:szCs w:val="24"/>
          <w:lang w:val="en-US"/>
        </w:rPr>
        <w:t>Journal of Heredity</w:t>
      </w:r>
      <w:r w:rsidRPr="00BB0DD0">
        <w:rPr>
          <w:rFonts w:ascii="Times New Roman" w:eastAsia="Times New Roman" w:hAnsi="Times New Roman" w:cs="Times New Roman"/>
          <w:sz w:val="24"/>
          <w:szCs w:val="24"/>
          <w:lang w:val="en-US"/>
        </w:rPr>
        <w:t xml:space="preserve">. Advance online publication. </w:t>
      </w:r>
      <w:hyperlink r:id="rId38" w:tgtFrame="_new" w:history="1">
        <w:r w:rsidRPr="00BB0DD0">
          <w:rPr>
            <w:rFonts w:ascii="Times New Roman" w:eastAsia="Times New Roman" w:hAnsi="Times New Roman" w:cs="Times New Roman"/>
            <w:color w:val="0000FF"/>
            <w:sz w:val="24"/>
            <w:szCs w:val="24"/>
            <w:u w:val="single"/>
            <w:lang w:val="en-US"/>
          </w:rPr>
          <w:t>https://doi.org/10.1093/jhered/esaf069</w:t>
        </w:r>
      </w:hyperlink>
      <w:r w:rsidRPr="00BB0DD0">
        <w:rPr>
          <w:rFonts w:ascii="Times New Roman" w:eastAsia="Times New Roman" w:hAnsi="Times New Roman" w:cs="Times New Roman"/>
          <w:sz w:val="24"/>
          <w:szCs w:val="24"/>
          <w:lang w:val="en-US"/>
        </w:rPr>
        <w:t xml:space="preserve"> </w:t>
      </w:r>
    </w:p>
    <w:p w14:paraId="614E595E" w14:textId="38BCF209"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nl-BE"/>
        </w:rPr>
        <w:t xml:space="preserve">Urban, W., Kropacz, M., Łach, M., &amp; Jankowska, A. (2025). </w:t>
      </w:r>
      <w:r w:rsidRPr="00BB0DD0">
        <w:rPr>
          <w:rFonts w:ascii="Times New Roman" w:eastAsia="Times New Roman" w:hAnsi="Times New Roman" w:cs="Times New Roman"/>
          <w:sz w:val="24"/>
          <w:szCs w:val="24"/>
          <w:lang w:val="en-US"/>
        </w:rPr>
        <w:t xml:space="preserve">CRISPR-Cas9 in the tailoring of genetically engineered animals. </w:t>
      </w:r>
      <w:r w:rsidRPr="00BB0DD0">
        <w:rPr>
          <w:rFonts w:ascii="Times New Roman" w:eastAsia="Times New Roman" w:hAnsi="Times New Roman" w:cs="Times New Roman"/>
          <w:i/>
          <w:iCs/>
          <w:sz w:val="24"/>
          <w:szCs w:val="24"/>
          <w:lang w:val="en-US"/>
        </w:rPr>
        <w:t>Current Issues in Molecular Biology, 47</w:t>
      </w:r>
      <w:r w:rsidRPr="00BB0DD0">
        <w:rPr>
          <w:rFonts w:ascii="Times New Roman" w:eastAsia="Times New Roman" w:hAnsi="Times New Roman" w:cs="Times New Roman"/>
          <w:sz w:val="24"/>
          <w:szCs w:val="24"/>
          <w:lang w:val="en-US"/>
        </w:rPr>
        <w:t xml:space="preserve">(5), Article 330. </w:t>
      </w:r>
      <w:hyperlink r:id="rId39" w:tgtFrame="_new" w:history="1">
        <w:r w:rsidRPr="00BB0DD0">
          <w:rPr>
            <w:rFonts w:ascii="Times New Roman" w:eastAsia="Times New Roman" w:hAnsi="Times New Roman" w:cs="Times New Roman"/>
            <w:color w:val="0000FF"/>
            <w:sz w:val="24"/>
            <w:szCs w:val="24"/>
            <w:u w:val="single"/>
            <w:lang w:val="en-US"/>
          </w:rPr>
          <w:t>https://doi.org/10.3390/cimb47050330</w:t>
        </w:r>
      </w:hyperlink>
      <w:r w:rsidRPr="00BB0DD0">
        <w:rPr>
          <w:rFonts w:ascii="Times New Roman" w:eastAsia="Times New Roman" w:hAnsi="Times New Roman" w:cs="Times New Roman"/>
          <w:sz w:val="24"/>
          <w:szCs w:val="24"/>
          <w:lang w:val="en-US"/>
        </w:rPr>
        <w:t xml:space="preserve"> </w:t>
      </w:r>
    </w:p>
    <w:p w14:paraId="15C76343" w14:textId="6F2661AC"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Varshney, G. K., &amp; Burgess, S. M. (2025). CRISPR-based functional genomics tools in vertebrate models. </w:t>
      </w:r>
      <w:r w:rsidRPr="00BB0DD0">
        <w:rPr>
          <w:rFonts w:ascii="Times New Roman" w:eastAsia="Times New Roman" w:hAnsi="Times New Roman" w:cs="Times New Roman"/>
          <w:i/>
          <w:iCs/>
          <w:sz w:val="24"/>
          <w:szCs w:val="24"/>
          <w:lang w:val="en-US"/>
        </w:rPr>
        <w:t>Experimental &amp; Molecular Medicine, 57</w:t>
      </w:r>
      <w:r w:rsidRPr="00BB0DD0">
        <w:rPr>
          <w:rFonts w:ascii="Times New Roman" w:eastAsia="Times New Roman" w:hAnsi="Times New Roman" w:cs="Times New Roman"/>
          <w:sz w:val="24"/>
          <w:szCs w:val="24"/>
          <w:lang w:val="en-US"/>
        </w:rPr>
        <w:t xml:space="preserve">(7), 1355–1372. </w:t>
      </w:r>
      <w:hyperlink r:id="rId40" w:tgtFrame="_new" w:history="1">
        <w:r w:rsidRPr="00BB0DD0">
          <w:rPr>
            <w:rFonts w:ascii="Times New Roman" w:eastAsia="Times New Roman" w:hAnsi="Times New Roman" w:cs="Times New Roman"/>
            <w:color w:val="0000FF"/>
            <w:sz w:val="24"/>
            <w:szCs w:val="24"/>
            <w:u w:val="single"/>
            <w:lang w:val="en-US"/>
          </w:rPr>
          <w:t>https://doi.org/10.1038/s12276-025-01514-0</w:t>
        </w:r>
      </w:hyperlink>
      <w:r w:rsidRPr="00BB0DD0">
        <w:rPr>
          <w:rFonts w:ascii="Times New Roman" w:eastAsia="Times New Roman" w:hAnsi="Times New Roman" w:cs="Times New Roman"/>
          <w:sz w:val="24"/>
          <w:szCs w:val="24"/>
          <w:lang w:val="en-US"/>
        </w:rPr>
        <w:t xml:space="preserve"> </w:t>
      </w:r>
    </w:p>
    <w:p w14:paraId="1D37BB56" w14:textId="30AD45C6"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nl-BE"/>
        </w:rPr>
      </w:pPr>
      <w:r w:rsidRPr="00BB0DD0">
        <w:rPr>
          <w:rFonts w:ascii="Times New Roman" w:eastAsia="Times New Roman" w:hAnsi="Times New Roman" w:cs="Times New Roman"/>
          <w:sz w:val="24"/>
          <w:szCs w:val="24"/>
          <w:lang w:val="nl-BE"/>
        </w:rPr>
        <w:t xml:space="preserve">Villiger, L., Joung, J., Koblan, L., Weissman, J., Abudayyeh, O. O., &amp; Gootenberg, J. S. (2024). </w:t>
      </w:r>
      <w:r w:rsidRPr="00BB0DD0">
        <w:rPr>
          <w:rFonts w:ascii="Times New Roman" w:eastAsia="Times New Roman" w:hAnsi="Times New Roman" w:cs="Times New Roman"/>
          <w:sz w:val="24"/>
          <w:szCs w:val="24"/>
          <w:lang w:val="en-US"/>
        </w:rPr>
        <w:t xml:space="preserve">CRISPR technologies for genome, epigenome and transcriptome editing. </w:t>
      </w:r>
      <w:r w:rsidRPr="00BB0DD0">
        <w:rPr>
          <w:rFonts w:ascii="Times New Roman" w:eastAsia="Times New Roman" w:hAnsi="Times New Roman" w:cs="Times New Roman"/>
          <w:i/>
          <w:iCs/>
          <w:sz w:val="24"/>
          <w:szCs w:val="24"/>
          <w:lang w:val="en-US"/>
        </w:rPr>
        <w:t>Nature Reviews Molecular Cell Biology, 25</w:t>
      </w:r>
      <w:r w:rsidRPr="00BB0DD0">
        <w:rPr>
          <w:rFonts w:ascii="Times New Roman" w:eastAsia="Times New Roman" w:hAnsi="Times New Roman" w:cs="Times New Roman"/>
          <w:sz w:val="24"/>
          <w:szCs w:val="24"/>
          <w:lang w:val="en-US"/>
        </w:rPr>
        <w:t xml:space="preserve">, 464–487. </w:t>
      </w:r>
      <w:hyperlink r:id="rId41" w:tgtFrame="_new" w:history="1">
        <w:r w:rsidRPr="00BB0DD0">
          <w:rPr>
            <w:rFonts w:ascii="Times New Roman" w:eastAsia="Times New Roman" w:hAnsi="Times New Roman" w:cs="Times New Roman"/>
            <w:color w:val="0000FF"/>
            <w:sz w:val="24"/>
            <w:szCs w:val="24"/>
            <w:u w:val="single"/>
            <w:lang w:val="nl-BE"/>
          </w:rPr>
          <w:t>https://doi.org/10.1038/s41580-023-00697-6</w:t>
        </w:r>
      </w:hyperlink>
      <w:r w:rsidRPr="00BB0DD0">
        <w:rPr>
          <w:rFonts w:ascii="Times New Roman" w:eastAsia="Times New Roman" w:hAnsi="Times New Roman" w:cs="Times New Roman"/>
          <w:sz w:val="24"/>
          <w:szCs w:val="24"/>
          <w:lang w:val="nl-BE"/>
        </w:rPr>
        <w:t xml:space="preserve"> </w:t>
      </w:r>
    </w:p>
    <w:p w14:paraId="7E1A9C58" w14:textId="6BBA44AE"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nl-BE"/>
        </w:rPr>
        <w:t xml:space="preserve">Wang, J. Y., &amp; Doudna, J. A. (2023). </w:t>
      </w:r>
      <w:r w:rsidRPr="00BB0DD0">
        <w:rPr>
          <w:rFonts w:ascii="Times New Roman" w:eastAsia="Times New Roman" w:hAnsi="Times New Roman" w:cs="Times New Roman"/>
          <w:sz w:val="24"/>
          <w:szCs w:val="24"/>
          <w:lang w:val="en-US"/>
        </w:rPr>
        <w:t xml:space="preserve">CRISPR technology: A decade of genome editing is only the beginning. </w:t>
      </w:r>
      <w:r w:rsidRPr="00BB0DD0">
        <w:rPr>
          <w:rFonts w:ascii="Times New Roman" w:eastAsia="Times New Roman" w:hAnsi="Times New Roman" w:cs="Times New Roman"/>
          <w:i/>
          <w:iCs/>
          <w:sz w:val="24"/>
          <w:szCs w:val="24"/>
          <w:lang w:val="en-US"/>
        </w:rPr>
        <w:t>Science, 379</w:t>
      </w:r>
      <w:r w:rsidRPr="00BB0DD0">
        <w:rPr>
          <w:rFonts w:ascii="Times New Roman" w:eastAsia="Times New Roman" w:hAnsi="Times New Roman" w:cs="Times New Roman"/>
          <w:sz w:val="24"/>
          <w:szCs w:val="24"/>
          <w:lang w:val="en-US"/>
        </w:rPr>
        <w:t xml:space="preserve">(6629), eadd8643. </w:t>
      </w:r>
      <w:hyperlink r:id="rId42" w:tgtFrame="_new" w:history="1">
        <w:r w:rsidRPr="00BB0DD0">
          <w:rPr>
            <w:rFonts w:ascii="Times New Roman" w:eastAsia="Times New Roman" w:hAnsi="Times New Roman" w:cs="Times New Roman"/>
            <w:color w:val="0000FF"/>
            <w:sz w:val="24"/>
            <w:szCs w:val="24"/>
            <w:u w:val="single"/>
            <w:lang w:val="en-US"/>
          </w:rPr>
          <w:t>https://doi.org/10.1126/science.add8643</w:t>
        </w:r>
      </w:hyperlink>
      <w:r w:rsidRPr="00BB0DD0">
        <w:rPr>
          <w:rFonts w:ascii="Times New Roman" w:eastAsia="Times New Roman" w:hAnsi="Times New Roman" w:cs="Times New Roman"/>
          <w:sz w:val="24"/>
          <w:szCs w:val="24"/>
          <w:lang w:val="en-US"/>
        </w:rPr>
        <w:t xml:space="preserve"> </w:t>
      </w:r>
    </w:p>
    <w:p w14:paraId="5DECCE75" w14:textId="2F99AB20"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nl-BE"/>
        </w:rPr>
        <w:t xml:space="preserve">Wang, J., Zhang, L., Pan, C., Lan, X., Xing, B., &amp; Li, M. (2025). </w:t>
      </w:r>
      <w:r w:rsidRPr="00BB0DD0">
        <w:rPr>
          <w:rFonts w:ascii="Times New Roman" w:eastAsia="Times New Roman" w:hAnsi="Times New Roman" w:cs="Times New Roman"/>
          <w:sz w:val="24"/>
          <w:szCs w:val="24"/>
          <w:lang w:val="en-US"/>
        </w:rPr>
        <w:t xml:space="preserve">Application of gene editing technology in livestock: Progress, challenges, and future perspectives. </w:t>
      </w:r>
      <w:r w:rsidRPr="00BB0DD0">
        <w:rPr>
          <w:rFonts w:ascii="Times New Roman" w:eastAsia="Times New Roman" w:hAnsi="Times New Roman" w:cs="Times New Roman"/>
          <w:i/>
          <w:iCs/>
          <w:sz w:val="24"/>
          <w:szCs w:val="24"/>
          <w:lang w:val="en-US"/>
        </w:rPr>
        <w:t>Agriculture, 15</w:t>
      </w:r>
      <w:r w:rsidRPr="00BB0DD0">
        <w:rPr>
          <w:rFonts w:ascii="Times New Roman" w:eastAsia="Times New Roman" w:hAnsi="Times New Roman" w:cs="Times New Roman"/>
          <w:sz w:val="24"/>
          <w:szCs w:val="24"/>
          <w:lang w:val="en-US"/>
        </w:rPr>
        <w:t xml:space="preserve">(20), Article 2155. </w:t>
      </w:r>
      <w:hyperlink r:id="rId43" w:tgtFrame="_new" w:history="1">
        <w:r w:rsidRPr="00BB0DD0">
          <w:rPr>
            <w:rFonts w:ascii="Times New Roman" w:eastAsia="Times New Roman" w:hAnsi="Times New Roman" w:cs="Times New Roman"/>
            <w:color w:val="0000FF"/>
            <w:sz w:val="24"/>
            <w:szCs w:val="24"/>
            <w:u w:val="single"/>
            <w:lang w:val="en-US"/>
          </w:rPr>
          <w:t>https://doi.org/10.3390/agriculture15202155</w:t>
        </w:r>
      </w:hyperlink>
      <w:r w:rsidRPr="00BB0DD0">
        <w:rPr>
          <w:rFonts w:ascii="Times New Roman" w:eastAsia="Times New Roman" w:hAnsi="Times New Roman" w:cs="Times New Roman"/>
          <w:sz w:val="24"/>
          <w:szCs w:val="24"/>
          <w:lang w:val="en-US"/>
        </w:rPr>
        <w:t xml:space="preserve"> </w:t>
      </w:r>
    </w:p>
    <w:p w14:paraId="60B94D52" w14:textId="4BDEE8D7"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Webber, B. L., Raghu, S., &amp; Edwards, O. R. (2015). Opinion: Is CRISPR-based gene drive a biocontrol silver bullet or global conservation threat? </w:t>
      </w:r>
      <w:r w:rsidRPr="00BB0DD0">
        <w:rPr>
          <w:rFonts w:ascii="Times New Roman" w:eastAsia="Times New Roman" w:hAnsi="Times New Roman" w:cs="Times New Roman"/>
          <w:i/>
          <w:iCs/>
          <w:sz w:val="24"/>
          <w:szCs w:val="24"/>
          <w:lang w:val="en-US"/>
        </w:rPr>
        <w:t>Proceedings of the National Academy of Sciences, 112</w:t>
      </w:r>
      <w:r w:rsidRPr="00BB0DD0">
        <w:rPr>
          <w:rFonts w:ascii="Times New Roman" w:eastAsia="Times New Roman" w:hAnsi="Times New Roman" w:cs="Times New Roman"/>
          <w:sz w:val="24"/>
          <w:szCs w:val="24"/>
          <w:lang w:val="en-US"/>
        </w:rPr>
        <w:t xml:space="preserve">(34), 10565–10567. </w:t>
      </w:r>
      <w:hyperlink r:id="rId44" w:tgtFrame="_new" w:history="1">
        <w:r w:rsidRPr="00BB0DD0">
          <w:rPr>
            <w:rFonts w:ascii="Times New Roman" w:eastAsia="Times New Roman" w:hAnsi="Times New Roman" w:cs="Times New Roman"/>
            <w:color w:val="0000FF"/>
            <w:sz w:val="24"/>
            <w:szCs w:val="24"/>
            <w:u w:val="single"/>
            <w:lang w:val="en-US"/>
          </w:rPr>
          <w:t>https://doi.org/10.1073/pnas.1514258112</w:t>
        </w:r>
      </w:hyperlink>
      <w:r w:rsidRPr="00BB0DD0">
        <w:rPr>
          <w:rFonts w:ascii="Times New Roman" w:eastAsia="Times New Roman" w:hAnsi="Times New Roman" w:cs="Times New Roman"/>
          <w:sz w:val="24"/>
          <w:szCs w:val="24"/>
          <w:lang w:val="en-US"/>
        </w:rPr>
        <w:t xml:space="preserve"> </w:t>
      </w:r>
    </w:p>
    <w:p w14:paraId="3FD8356E" w14:textId="61D76667"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Whitworth, K. M., Rowland, R. R. R., Ewen, C. L., Trible, B. R., Kerrigan, M. A., Cino-Ozuna, A. G., Samuel, M. S., Lightner, J. E., McLaren, D. G., Mileham, A. J., Wells, K. D., &amp; Prather, R. S. (2016). Gene-edited pigs are protected from porcine reproductive </w:t>
      </w:r>
      <w:r w:rsidRPr="00BB0DD0">
        <w:rPr>
          <w:rFonts w:ascii="Times New Roman" w:eastAsia="Times New Roman" w:hAnsi="Times New Roman" w:cs="Times New Roman"/>
          <w:sz w:val="24"/>
          <w:szCs w:val="24"/>
          <w:lang w:val="en-US"/>
        </w:rPr>
        <w:lastRenderedPageBreak/>
        <w:t xml:space="preserve">and respiratory syndrome virus. </w:t>
      </w:r>
      <w:r w:rsidRPr="00BB0DD0">
        <w:rPr>
          <w:rFonts w:ascii="Times New Roman" w:eastAsia="Times New Roman" w:hAnsi="Times New Roman" w:cs="Times New Roman"/>
          <w:i/>
          <w:iCs/>
          <w:sz w:val="24"/>
          <w:szCs w:val="24"/>
          <w:lang w:val="en-US"/>
        </w:rPr>
        <w:t>Nature Biotechnology, 34</w:t>
      </w:r>
      <w:r w:rsidRPr="00BB0DD0">
        <w:rPr>
          <w:rFonts w:ascii="Times New Roman" w:eastAsia="Times New Roman" w:hAnsi="Times New Roman" w:cs="Times New Roman"/>
          <w:sz w:val="24"/>
          <w:szCs w:val="24"/>
          <w:lang w:val="en-US"/>
        </w:rPr>
        <w:t xml:space="preserve">(1), 20–22. </w:t>
      </w:r>
      <w:hyperlink r:id="rId45" w:tgtFrame="_new" w:history="1">
        <w:r w:rsidRPr="00BB0DD0">
          <w:rPr>
            <w:rFonts w:ascii="Times New Roman" w:eastAsia="Times New Roman" w:hAnsi="Times New Roman" w:cs="Times New Roman"/>
            <w:color w:val="0000FF"/>
            <w:sz w:val="24"/>
            <w:szCs w:val="24"/>
            <w:u w:val="single"/>
            <w:lang w:val="en-US"/>
          </w:rPr>
          <w:t>https://doi.org/10.1038/nbt.3434</w:t>
        </w:r>
      </w:hyperlink>
      <w:r w:rsidRPr="00BB0DD0">
        <w:rPr>
          <w:rFonts w:ascii="Times New Roman" w:eastAsia="Times New Roman" w:hAnsi="Times New Roman" w:cs="Times New Roman"/>
          <w:sz w:val="24"/>
          <w:szCs w:val="24"/>
          <w:lang w:val="en-US"/>
        </w:rPr>
        <w:t xml:space="preserve"> </w:t>
      </w:r>
    </w:p>
    <w:p w14:paraId="6486935A" w14:textId="016ED95C" w:rsidR="00BB0DD0" w:rsidRPr="00BB0DD0" w:rsidRDefault="00BB0DD0" w:rsidP="00BB0DD0">
      <w:pPr>
        <w:spacing w:after="0" w:line="240" w:lineRule="auto"/>
        <w:ind w:left="540" w:hanging="540"/>
        <w:jc w:val="both"/>
        <w:rPr>
          <w:rFonts w:ascii="Times New Roman" w:eastAsia="Times New Roman" w:hAnsi="Times New Roman" w:cs="Times New Roman"/>
          <w:sz w:val="24"/>
          <w:szCs w:val="24"/>
          <w:lang w:val="en-US"/>
        </w:rPr>
      </w:pPr>
      <w:r w:rsidRPr="00BB0DD0">
        <w:rPr>
          <w:rFonts w:ascii="Times New Roman" w:eastAsia="Times New Roman" w:hAnsi="Times New Roman" w:cs="Times New Roman"/>
          <w:sz w:val="24"/>
          <w:szCs w:val="24"/>
          <w:lang w:val="en-US"/>
        </w:rPr>
        <w:t xml:space="preserve">Zhu, M., Xu, R., Yuan, J., Wang, J., Ren, X., Cong, T., You, Y., Ju, A., Xu, L., Wang, H., Zheng, P., Tao, H., Lin, C., Yu, H., Du, J., Lin, X., Xie, W., Li, Y., &amp; Lan, X. (2025). Tracking-seq reveals the heterogeneity of off-target effects in CRISPR–Cas9-mediated genome editing. </w:t>
      </w:r>
      <w:r w:rsidRPr="00BB0DD0">
        <w:rPr>
          <w:rFonts w:ascii="Times New Roman" w:eastAsia="Times New Roman" w:hAnsi="Times New Roman" w:cs="Times New Roman"/>
          <w:i/>
          <w:iCs/>
          <w:sz w:val="24"/>
          <w:szCs w:val="24"/>
          <w:lang w:val="en-US"/>
        </w:rPr>
        <w:t>Nature Biotechnology, 43</w:t>
      </w:r>
      <w:r w:rsidRPr="00BB0DD0">
        <w:rPr>
          <w:rFonts w:ascii="Times New Roman" w:eastAsia="Times New Roman" w:hAnsi="Times New Roman" w:cs="Times New Roman"/>
          <w:sz w:val="24"/>
          <w:szCs w:val="24"/>
          <w:lang w:val="en-US"/>
        </w:rPr>
        <w:t xml:space="preserve">(5), 799–810. </w:t>
      </w:r>
      <w:hyperlink r:id="rId46" w:tgtFrame="_new" w:history="1">
        <w:r w:rsidRPr="00BB0DD0">
          <w:rPr>
            <w:rFonts w:ascii="Times New Roman" w:eastAsia="Times New Roman" w:hAnsi="Times New Roman" w:cs="Times New Roman"/>
            <w:color w:val="0000FF"/>
            <w:sz w:val="24"/>
            <w:szCs w:val="24"/>
            <w:u w:val="single"/>
            <w:lang w:val="en-US"/>
          </w:rPr>
          <w:t>https://doi.org/10.1038/s41587-024-02307-y</w:t>
        </w:r>
      </w:hyperlink>
      <w:r w:rsidRPr="00BB0DD0">
        <w:rPr>
          <w:rFonts w:ascii="Times New Roman" w:eastAsia="Times New Roman" w:hAnsi="Times New Roman" w:cs="Times New Roman"/>
          <w:sz w:val="24"/>
          <w:szCs w:val="24"/>
          <w:lang w:val="en-US"/>
        </w:rPr>
        <w:t xml:space="preserve"> </w:t>
      </w:r>
    </w:p>
    <w:p w14:paraId="04CA7FBD" w14:textId="793DEC73" w:rsidR="00426439" w:rsidRPr="00BB0DD0" w:rsidRDefault="00BB0DD0" w:rsidP="00BB0DD0">
      <w:pPr>
        <w:spacing w:before="100" w:beforeAutospacing="1" w:after="100" w:afterAutospacing="1" w:line="240" w:lineRule="auto"/>
        <w:ind w:left="540" w:hanging="540"/>
        <w:jc w:val="both"/>
        <w:rPr>
          <w:rFonts w:ascii="Times New Roman" w:eastAsia="Times New Roman" w:hAnsi="Times New Roman" w:cs="Times New Roman"/>
          <w:sz w:val="24"/>
          <w:szCs w:val="24"/>
          <w:lang w:eastAsia="en-GB"/>
        </w:rPr>
      </w:pPr>
      <w:r w:rsidRPr="00BB0DD0">
        <w:rPr>
          <w:rFonts w:ascii="Times New Roman" w:eastAsia="Times New Roman" w:hAnsi="Times New Roman" w:cs="Times New Roman"/>
          <w:sz w:val="24"/>
          <w:szCs w:val="24"/>
          <w:lang w:val="en-US"/>
        </w:rPr>
        <w:t xml:space="preserve">Zou, R. S., Liu, Y., Reyes Gaido, O. E., Konig, M. F., Mog, B. J., Shen, L. L., Aviles-Vazquez, F., Marin-Gonzalez, A., &amp; Ha, T. (2023). Improving the sensitivity of in vivo CRISPR off-target detection with DISCOVER-Seq+. </w:t>
      </w:r>
      <w:r w:rsidRPr="00BB0DD0">
        <w:rPr>
          <w:rFonts w:ascii="Times New Roman" w:eastAsia="Times New Roman" w:hAnsi="Times New Roman" w:cs="Times New Roman"/>
          <w:i/>
          <w:iCs/>
          <w:sz w:val="24"/>
          <w:szCs w:val="24"/>
          <w:lang w:val="en-US"/>
        </w:rPr>
        <w:t>Nature Methods, 20</w:t>
      </w:r>
      <w:r w:rsidRPr="00BB0DD0">
        <w:rPr>
          <w:rFonts w:ascii="Times New Roman" w:eastAsia="Times New Roman" w:hAnsi="Times New Roman" w:cs="Times New Roman"/>
          <w:sz w:val="24"/>
          <w:szCs w:val="24"/>
          <w:lang w:val="en-US"/>
        </w:rPr>
        <w:t xml:space="preserve">(5), 706–713. </w:t>
      </w:r>
      <w:hyperlink r:id="rId47" w:tgtFrame="_new" w:history="1">
        <w:r w:rsidRPr="00BB0DD0">
          <w:rPr>
            <w:rFonts w:ascii="Times New Roman" w:eastAsia="Times New Roman" w:hAnsi="Times New Roman" w:cs="Times New Roman"/>
            <w:color w:val="0000FF"/>
            <w:sz w:val="24"/>
            <w:szCs w:val="24"/>
            <w:u w:val="single"/>
            <w:lang w:val="en-US"/>
          </w:rPr>
          <w:t>https://doi.org/10.1038/s41592-023-01840-z</w:t>
        </w:r>
      </w:hyperlink>
    </w:p>
    <w:sectPr w:rsidR="00426439" w:rsidRPr="00BB0DD0" w:rsidSect="004841B3">
      <w:headerReference w:type="even" r:id="rId48"/>
      <w:headerReference w:type="default" r:id="rId49"/>
      <w:footerReference w:type="even" r:id="rId50"/>
      <w:footerReference w:type="default" r:id="rId51"/>
      <w:headerReference w:type="first" r:id="rId52"/>
      <w:footerReference w:type="firs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0AA67" w14:textId="77777777" w:rsidR="007C2AE9" w:rsidRDefault="007C2AE9" w:rsidP="00EE7ADF">
      <w:pPr>
        <w:spacing w:after="0" w:line="240" w:lineRule="auto"/>
      </w:pPr>
      <w:r>
        <w:separator/>
      </w:r>
    </w:p>
  </w:endnote>
  <w:endnote w:type="continuationSeparator" w:id="0">
    <w:p w14:paraId="56615231" w14:textId="77777777" w:rsidR="007C2AE9" w:rsidRDefault="007C2AE9" w:rsidP="00EE7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98E7A" w14:textId="77777777" w:rsidR="00EE7ADF" w:rsidRDefault="00EE7A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79FC8" w14:textId="77777777" w:rsidR="00EE7ADF" w:rsidRDefault="00EE7A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56DCB" w14:textId="77777777" w:rsidR="00EE7ADF" w:rsidRDefault="00EE7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4D3CD" w14:textId="77777777" w:rsidR="007C2AE9" w:rsidRDefault="007C2AE9" w:rsidP="00EE7ADF">
      <w:pPr>
        <w:spacing w:after="0" w:line="240" w:lineRule="auto"/>
      </w:pPr>
      <w:r>
        <w:separator/>
      </w:r>
    </w:p>
  </w:footnote>
  <w:footnote w:type="continuationSeparator" w:id="0">
    <w:p w14:paraId="76628F2B" w14:textId="77777777" w:rsidR="007C2AE9" w:rsidRDefault="007C2AE9" w:rsidP="00EE7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3CD57" w14:textId="77777777" w:rsidR="00EE7ADF" w:rsidRDefault="00000000">
    <w:pPr>
      <w:pStyle w:val="Header"/>
    </w:pPr>
    <w:r>
      <w:rPr>
        <w:noProof/>
      </w:rPr>
      <w:pict w14:anchorId="62D7A0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9157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B5A54" w14:textId="77777777" w:rsidR="00EE7ADF" w:rsidRDefault="00000000">
    <w:pPr>
      <w:pStyle w:val="Header"/>
    </w:pPr>
    <w:r>
      <w:rPr>
        <w:noProof/>
      </w:rPr>
      <w:pict w14:anchorId="49968E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9158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1D10" w14:textId="77777777" w:rsidR="00EE7ADF" w:rsidRDefault="00000000">
    <w:pPr>
      <w:pStyle w:val="Header"/>
    </w:pPr>
    <w:r>
      <w:rPr>
        <w:noProof/>
      </w:rPr>
      <w:pict w14:anchorId="0819EB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9157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96E25"/>
    <w:multiLevelType w:val="hybridMultilevel"/>
    <w:tmpl w:val="1688B83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866CA0"/>
    <w:multiLevelType w:val="hybridMultilevel"/>
    <w:tmpl w:val="14A0B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7389060">
    <w:abstractNumId w:val="1"/>
  </w:num>
  <w:num w:numId="2" w16cid:durableId="457838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c1MTG3BGJjUwNTMyUdpeDU4uLM/DyQAsNaAB+PhDcsAAAA"/>
  </w:docVars>
  <w:rsids>
    <w:rsidRoot w:val="00426439"/>
    <w:rsid w:val="000A073B"/>
    <w:rsid w:val="00303F97"/>
    <w:rsid w:val="00332937"/>
    <w:rsid w:val="0038616C"/>
    <w:rsid w:val="00426439"/>
    <w:rsid w:val="004841B3"/>
    <w:rsid w:val="007C2AE9"/>
    <w:rsid w:val="009126DB"/>
    <w:rsid w:val="00917CB3"/>
    <w:rsid w:val="009376E5"/>
    <w:rsid w:val="00B04B71"/>
    <w:rsid w:val="00B41278"/>
    <w:rsid w:val="00BB0DD0"/>
    <w:rsid w:val="00C90252"/>
    <w:rsid w:val="00C95C06"/>
    <w:rsid w:val="00DE76CD"/>
    <w:rsid w:val="00EE7ADF"/>
    <w:rsid w:val="00F33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1D583"/>
  <w15:docId w15:val="{AD814A7F-60FE-404D-BACA-C59D41AD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42643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2643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426439"/>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643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26439"/>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26439"/>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4264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26439"/>
    <w:rPr>
      <w:b/>
      <w:bCs/>
    </w:rPr>
  </w:style>
  <w:style w:type="character" w:styleId="Emphasis">
    <w:name w:val="Emphasis"/>
    <w:basedOn w:val="DefaultParagraphFont"/>
    <w:uiPriority w:val="20"/>
    <w:qFormat/>
    <w:rsid w:val="00426439"/>
    <w:rPr>
      <w:i/>
      <w:iCs/>
    </w:rPr>
  </w:style>
  <w:style w:type="character" w:styleId="Hyperlink">
    <w:name w:val="Hyperlink"/>
    <w:basedOn w:val="DefaultParagraphFont"/>
    <w:uiPriority w:val="99"/>
    <w:semiHidden/>
    <w:unhideWhenUsed/>
    <w:rsid w:val="00426439"/>
    <w:rPr>
      <w:color w:val="0000FF"/>
      <w:u w:val="single"/>
    </w:rPr>
  </w:style>
  <w:style w:type="table" w:styleId="LightShading-Accent1">
    <w:name w:val="Light Shading Accent 1"/>
    <w:basedOn w:val="TableNormal"/>
    <w:uiPriority w:val="60"/>
    <w:rsid w:val="00DE76C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DE7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DE76C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EE7A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ADF"/>
  </w:style>
  <w:style w:type="paragraph" w:styleId="Footer">
    <w:name w:val="footer"/>
    <w:basedOn w:val="Normal"/>
    <w:link w:val="FooterChar"/>
    <w:uiPriority w:val="99"/>
    <w:unhideWhenUsed/>
    <w:rsid w:val="00EE7A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7ADF"/>
  </w:style>
  <w:style w:type="paragraph" w:customStyle="1" w:styleId="TableParagraph">
    <w:name w:val="Table Paragraph"/>
    <w:basedOn w:val="Normal"/>
    <w:uiPriority w:val="1"/>
    <w:qFormat/>
    <w:rsid w:val="00303F97"/>
    <w:pPr>
      <w:widowControl w:val="0"/>
      <w:autoSpaceDE w:val="0"/>
      <w:autoSpaceDN w:val="0"/>
      <w:spacing w:after="0" w:line="240" w:lineRule="auto"/>
      <w:ind w:left="107"/>
    </w:pPr>
    <w:rPr>
      <w:rFonts w:ascii="Times New Roman" w:eastAsia="Times New Roman" w:hAnsi="Times New Roman" w:cs="Times New Roman"/>
      <w:lang w:val="en-US"/>
    </w:rPr>
  </w:style>
  <w:style w:type="paragraph" w:styleId="ListParagraph">
    <w:name w:val="List Paragraph"/>
    <w:basedOn w:val="Normal"/>
    <w:uiPriority w:val="34"/>
    <w:qFormat/>
    <w:rsid w:val="00BB0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4844">
      <w:bodyDiv w:val="1"/>
      <w:marLeft w:val="0"/>
      <w:marRight w:val="0"/>
      <w:marTop w:val="0"/>
      <w:marBottom w:val="0"/>
      <w:divBdr>
        <w:top w:val="none" w:sz="0" w:space="0" w:color="auto"/>
        <w:left w:val="none" w:sz="0" w:space="0" w:color="auto"/>
        <w:bottom w:val="none" w:sz="0" w:space="0" w:color="auto"/>
        <w:right w:val="none" w:sz="0" w:space="0" w:color="auto"/>
      </w:divBdr>
      <w:divsChild>
        <w:div w:id="1837762044">
          <w:marLeft w:val="0"/>
          <w:marRight w:val="0"/>
          <w:marTop w:val="0"/>
          <w:marBottom w:val="0"/>
          <w:divBdr>
            <w:top w:val="none" w:sz="0" w:space="0" w:color="auto"/>
            <w:left w:val="none" w:sz="0" w:space="0" w:color="auto"/>
            <w:bottom w:val="none" w:sz="0" w:space="0" w:color="auto"/>
            <w:right w:val="none" w:sz="0" w:space="0" w:color="auto"/>
          </w:divBdr>
        </w:div>
        <w:div w:id="653341173">
          <w:marLeft w:val="0"/>
          <w:marRight w:val="0"/>
          <w:marTop w:val="0"/>
          <w:marBottom w:val="0"/>
          <w:divBdr>
            <w:top w:val="none" w:sz="0" w:space="0" w:color="auto"/>
            <w:left w:val="none" w:sz="0" w:space="0" w:color="auto"/>
            <w:bottom w:val="none" w:sz="0" w:space="0" w:color="auto"/>
            <w:right w:val="none" w:sz="0" w:space="0" w:color="auto"/>
          </w:divBdr>
        </w:div>
        <w:div w:id="178586576">
          <w:marLeft w:val="0"/>
          <w:marRight w:val="0"/>
          <w:marTop w:val="0"/>
          <w:marBottom w:val="0"/>
          <w:divBdr>
            <w:top w:val="none" w:sz="0" w:space="0" w:color="auto"/>
            <w:left w:val="none" w:sz="0" w:space="0" w:color="auto"/>
            <w:bottom w:val="none" w:sz="0" w:space="0" w:color="auto"/>
            <w:right w:val="none" w:sz="0" w:space="0" w:color="auto"/>
          </w:divBdr>
        </w:div>
        <w:div w:id="998846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ijms24098169" TargetMode="External"/><Relationship Id="rId18" Type="http://schemas.openxmlformats.org/officeDocument/2006/relationships/hyperlink" Target="https://doi.org/10.1038/s41598-021-83239-4" TargetMode="External"/><Relationship Id="rId26" Type="http://schemas.openxmlformats.org/officeDocument/2006/relationships/hyperlink" Target="https://doi.org/10.1016/j.tvjl.2024.106142" TargetMode="External"/><Relationship Id="rId39" Type="http://schemas.openxmlformats.org/officeDocument/2006/relationships/hyperlink" Target="https://doi.org/10.3390/cimb47050330" TargetMode="External"/><Relationship Id="rId21" Type="http://schemas.openxmlformats.org/officeDocument/2006/relationships/hyperlink" Target="https://doi.org/10.3390/ijms26199426" TargetMode="External"/><Relationship Id="rId34" Type="http://schemas.openxmlformats.org/officeDocument/2006/relationships/hyperlink" Target="https://doi.org/10.1111/raq.12866" TargetMode="External"/><Relationship Id="rId42" Type="http://schemas.openxmlformats.org/officeDocument/2006/relationships/hyperlink" Target="https://doi.org/10.1126/science.add8643" TargetMode="External"/><Relationship Id="rId47" Type="http://schemas.openxmlformats.org/officeDocument/2006/relationships/hyperlink" Target="https://doi.org/10.1038/s41592-023-01840-z"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hyperlink" Target="https://doi.org/10.1186/s12983-025-00566-2?utm_source=chatgpt.com" TargetMode="External"/><Relationship Id="rId2" Type="http://schemas.openxmlformats.org/officeDocument/2006/relationships/styles" Target="styles.xml"/><Relationship Id="rId16" Type="http://schemas.openxmlformats.org/officeDocument/2006/relationships/hyperlink" Target="https://doi.org/10.2903/j.efsa.2025.9566" TargetMode="External"/><Relationship Id="rId29" Type="http://schemas.openxmlformats.org/officeDocument/2006/relationships/hyperlink" Target="https://doi.org/10.7554/eLife.33423" TargetMode="External"/><Relationship Id="rId11" Type="http://schemas.openxmlformats.org/officeDocument/2006/relationships/hyperlink" Target="https://doi.org/10.3390/genes13050857" TargetMode="External"/><Relationship Id="rId24" Type="http://schemas.openxmlformats.org/officeDocument/2006/relationships/hyperlink" Target="https://doi.org/10.1146/annurev-animal-111523-102158" TargetMode="External"/><Relationship Id="rId32" Type="http://schemas.openxmlformats.org/officeDocument/2006/relationships/hyperlink" Target="https://doi.org/10.1007/s11569-024-00455-8" TargetMode="External"/><Relationship Id="rId37" Type="http://schemas.openxmlformats.org/officeDocument/2006/relationships/hyperlink" Target="https://doi.org/10.1186/s12864-021-07823-8" TargetMode="External"/><Relationship Id="rId40" Type="http://schemas.openxmlformats.org/officeDocument/2006/relationships/hyperlink" Target="https://doi.org/10.1038/s12276-025-01514-0" TargetMode="External"/><Relationship Id="rId45" Type="http://schemas.openxmlformats.org/officeDocument/2006/relationships/hyperlink" Target="https://doi.org/10.1038/nbt.3434" TargetMode="External"/><Relationship Id="rId53"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s://doi.org/10.1111/xen.70008" TargetMode="External"/><Relationship Id="rId19" Type="http://schemas.openxmlformats.org/officeDocument/2006/relationships/hyperlink" Target="https://doi.org/10.1111/eci.12931" TargetMode="External"/><Relationship Id="rId31" Type="http://schemas.openxmlformats.org/officeDocument/2006/relationships/hyperlink" Target="https://doi.org/10.7554/eLife.53865" TargetMode="External"/><Relationship Id="rId44" Type="http://schemas.openxmlformats.org/officeDocument/2006/relationships/hyperlink" Target="https://doi.org/10.1073/pnas.1514258112" TargetMode="External"/><Relationship Id="rId52"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doi.org/10.3390/mps1020016" TargetMode="External"/><Relationship Id="rId14" Type="http://schemas.openxmlformats.org/officeDocument/2006/relationships/hyperlink" Target="https://doi.org/10.1073/pnas.1920779117" TargetMode="External"/><Relationship Id="rId22" Type="http://schemas.openxmlformats.org/officeDocument/2006/relationships/hyperlink" Target="https://doi.org/10.1038/s41467-023-41476-3" TargetMode="External"/><Relationship Id="rId27" Type="http://schemas.openxmlformats.org/officeDocument/2006/relationships/hyperlink" Target="https://doi.org/10.1038/s41598-020-69259-6" TargetMode="External"/><Relationship Id="rId30" Type="http://schemas.openxmlformats.org/officeDocument/2006/relationships/hyperlink" Target="https://doi.org/10.1016/j.cell.2024.01.042" TargetMode="External"/><Relationship Id="rId35" Type="http://schemas.openxmlformats.org/officeDocument/2006/relationships/hyperlink" Target="https://doi.org/10.1590/1984-3143-AR2024-0054" TargetMode="External"/><Relationship Id="rId43" Type="http://schemas.openxmlformats.org/officeDocument/2006/relationships/hyperlink" Target="https://doi.org/10.3390/agriculture15202155" TargetMode="External"/><Relationship Id="rId48" Type="http://schemas.openxmlformats.org/officeDocument/2006/relationships/header" Target="header1.xml"/><Relationship Id="rId8" Type="http://schemas.openxmlformats.org/officeDocument/2006/relationships/hyperlink" Target="https://doi.org/10.1016/j.cub.2023.05.066" TargetMode="External"/><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doi.org/10.7554/eLife.41439" TargetMode="External"/><Relationship Id="rId17" Type="http://schemas.openxmlformats.org/officeDocument/2006/relationships/hyperlink" Target="https://doi.org/10.1371/journal.pbio.2003850" TargetMode="External"/><Relationship Id="rId25" Type="http://schemas.openxmlformats.org/officeDocument/2006/relationships/hyperlink" Target="https://doi.org/10.3389/fgeed.2025.1556425" TargetMode="External"/><Relationship Id="rId33" Type="http://schemas.openxmlformats.org/officeDocument/2006/relationships/hyperlink" Target="https://doi.org/10.1146/annurev-genet-031623-105059" TargetMode="External"/><Relationship Id="rId38" Type="http://schemas.openxmlformats.org/officeDocument/2006/relationships/hyperlink" Target="https://doi.org/10.1093/jhered/esaf069" TargetMode="External"/><Relationship Id="rId46" Type="http://schemas.openxmlformats.org/officeDocument/2006/relationships/hyperlink" Target="https://doi.org/10.1038/s41587-024-02307-y" TargetMode="External"/><Relationship Id="rId20" Type="http://schemas.openxmlformats.org/officeDocument/2006/relationships/hyperlink" Target="https://doi.org/10.3390/ani13071250" TargetMode="External"/><Relationship Id="rId41" Type="http://schemas.openxmlformats.org/officeDocument/2006/relationships/hyperlink" Target="https://doi.org/10.1038/s41580-023-00697-6"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186/s12936-024-04952-9" TargetMode="External"/><Relationship Id="rId23" Type="http://schemas.openxmlformats.org/officeDocument/2006/relationships/hyperlink" Target="https://doi.org/10.1007/s12033-025-01532-3" TargetMode="External"/><Relationship Id="rId28" Type="http://schemas.openxmlformats.org/officeDocument/2006/relationships/hyperlink" Target="https://doi.org/10.1002/eap.2912" TargetMode="External"/><Relationship Id="rId36" Type="http://schemas.openxmlformats.org/officeDocument/2006/relationships/hyperlink" Target="https://doi.org/10.1111/1365-2435.12705" TargetMode="External"/><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28</Pages>
  <Words>15428</Words>
  <Characters>87941</Characters>
  <Application>Microsoft Office Word</Application>
  <DocSecurity>0</DocSecurity>
  <Lines>732</Lines>
  <Paragraphs>206</Paragraphs>
  <ScaleCrop>false</ScaleCrop>
  <Company>HP</Company>
  <LinksUpToDate>false</LinksUpToDate>
  <CharactersWithSpaces>103163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Editor-90</cp:lastModifiedBy>
  <cp:revision>10</cp:revision>
  <dcterms:created xsi:type="dcterms:W3CDTF">2026-06-25T18:22:00Z</dcterms:created>
  <dcterms:modified xsi:type="dcterms:W3CDTF">2026-07-07T04:24:00Z</dcterms:modified>
</cp:coreProperties>
</file>